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tblInd w:w="-34" w:type="dxa"/>
        <w:tblBorders>
          <w:bottom w:val="single" w:sz="24" w:space="0" w:color="auto"/>
          <w:insideH w:val="single" w:sz="8" w:space="0" w:color="auto"/>
        </w:tblBorders>
        <w:tblLayout w:type="fixed"/>
        <w:tblLook w:val="0000" w:firstRow="0" w:lastRow="0" w:firstColumn="0" w:lastColumn="0" w:noHBand="0" w:noVBand="0"/>
      </w:tblPr>
      <w:tblGrid>
        <w:gridCol w:w="3049"/>
        <w:gridCol w:w="4890"/>
        <w:gridCol w:w="1701"/>
      </w:tblGrid>
      <w:tr w:rsidR="008E0081" w:rsidTr="0094139B">
        <w:trPr>
          <w:cantSplit/>
          <w:trHeight w:val="708"/>
        </w:trPr>
        <w:tc>
          <w:tcPr>
            <w:tcW w:w="3049" w:type="dxa"/>
            <w:tcBorders>
              <w:bottom w:val="nil"/>
            </w:tcBorders>
          </w:tcPr>
          <w:p w:rsidR="008E0081" w:rsidRPr="00DD3258" w:rsidRDefault="00D415F7" w:rsidP="00D415F7">
            <w:pPr>
              <w:pStyle w:val="Heading7"/>
              <w:bidi w:val="0"/>
              <w:jc w:val="left"/>
              <w:rPr>
                <w:rFonts w:cs="Times New Roman"/>
                <w:bCs w:val="0"/>
                <w:noProof w:val="0"/>
                <w:sz w:val="56"/>
                <w:szCs w:val="56"/>
                <w:rtl/>
              </w:rPr>
            </w:pPr>
            <w:bookmarkStart w:id="0" w:name="_GoBack"/>
            <w:bookmarkEnd w:id="0"/>
            <w:r>
              <w:rPr>
                <w:rFonts w:ascii="Arial" w:hAnsi="Arial" w:cs="Arial"/>
                <w:bCs w:val="0"/>
                <w:noProof w:val="0"/>
                <w:sz w:val="64"/>
                <w:szCs w:val="64"/>
              </w:rPr>
              <w:t>MC</w:t>
            </w:r>
          </w:p>
        </w:tc>
        <w:tc>
          <w:tcPr>
            <w:tcW w:w="6591" w:type="dxa"/>
            <w:gridSpan w:val="2"/>
            <w:tcBorders>
              <w:bottom w:val="nil"/>
            </w:tcBorders>
          </w:tcPr>
          <w:p w:rsidR="008E0081" w:rsidRPr="000844F9" w:rsidRDefault="008E0081" w:rsidP="0094139B">
            <w:pPr>
              <w:jc w:val="both"/>
              <w:rPr>
                <w:rFonts w:cs="Traditional Arabic"/>
                <w:b/>
                <w:bCs/>
                <w:sz w:val="44"/>
                <w:szCs w:val="44"/>
              </w:rPr>
            </w:pPr>
            <w:r w:rsidRPr="000844F9">
              <w:rPr>
                <w:rFonts w:cs="Traditional Arabic"/>
                <w:b/>
                <w:bCs/>
                <w:sz w:val="44"/>
                <w:szCs w:val="44"/>
                <w:rtl/>
              </w:rPr>
              <w:t>الأمم المتحدة</w:t>
            </w:r>
          </w:p>
        </w:tc>
      </w:tr>
      <w:tr w:rsidR="008E0081" w:rsidTr="0094139B">
        <w:trPr>
          <w:cantSplit/>
          <w:trHeight w:val="415"/>
        </w:trPr>
        <w:tc>
          <w:tcPr>
            <w:tcW w:w="3049" w:type="dxa"/>
            <w:tcBorders>
              <w:top w:val="nil"/>
              <w:bottom w:val="single" w:sz="4" w:space="0" w:color="auto"/>
            </w:tcBorders>
          </w:tcPr>
          <w:p w:rsidR="008E0081" w:rsidRPr="00951818" w:rsidRDefault="008E0081" w:rsidP="00954E71">
            <w:pPr>
              <w:bidi w:val="0"/>
              <w:spacing w:before="120"/>
              <w:rPr>
                <w:rFonts w:cs="Times New Roman"/>
                <w:sz w:val="20"/>
                <w:szCs w:val="20"/>
              </w:rPr>
            </w:pPr>
            <w:r w:rsidRPr="006C560D">
              <w:rPr>
                <w:rFonts w:cs="Times New Roman"/>
                <w:b/>
                <w:bCs/>
                <w:sz w:val="28"/>
              </w:rPr>
              <w:t>UNEP</w:t>
            </w:r>
            <w:r>
              <w:rPr>
                <w:rFonts w:cs="Times New Roman"/>
                <w:sz w:val="20"/>
                <w:szCs w:val="20"/>
              </w:rPr>
              <w:t>/</w:t>
            </w:r>
            <w:r w:rsidR="00D415F7">
              <w:rPr>
                <w:rFonts w:cs="Times New Roman"/>
                <w:sz w:val="20"/>
                <w:szCs w:val="20"/>
              </w:rPr>
              <w:t>MC</w:t>
            </w:r>
            <w:r>
              <w:rPr>
                <w:rFonts w:cs="Times New Roman"/>
                <w:sz w:val="20"/>
                <w:szCs w:val="20"/>
              </w:rPr>
              <w:t>/</w:t>
            </w:r>
            <w:r w:rsidR="00D415F7">
              <w:rPr>
                <w:rFonts w:cs="Times New Roman"/>
                <w:sz w:val="20"/>
                <w:szCs w:val="20"/>
              </w:rPr>
              <w:t>COP</w:t>
            </w:r>
            <w:r>
              <w:rPr>
                <w:rFonts w:cs="Times New Roman"/>
                <w:sz w:val="20"/>
                <w:szCs w:val="20"/>
              </w:rPr>
              <w:t>.</w:t>
            </w:r>
            <w:r w:rsidR="00D415F7">
              <w:rPr>
                <w:rFonts w:cs="Times New Roman"/>
                <w:sz w:val="20"/>
                <w:szCs w:val="20"/>
              </w:rPr>
              <w:t>1</w:t>
            </w:r>
            <w:r>
              <w:rPr>
                <w:rFonts w:cs="Times New Roman"/>
                <w:sz w:val="20"/>
                <w:szCs w:val="20"/>
              </w:rPr>
              <w:t>/</w:t>
            </w:r>
            <w:r w:rsidR="00B57AEE">
              <w:rPr>
                <w:rFonts w:cs="Times New Roman"/>
                <w:sz w:val="20"/>
                <w:szCs w:val="20"/>
              </w:rPr>
              <w:t>7</w:t>
            </w:r>
          </w:p>
        </w:tc>
        <w:tc>
          <w:tcPr>
            <w:tcW w:w="6591" w:type="dxa"/>
            <w:gridSpan w:val="2"/>
            <w:tcBorders>
              <w:top w:val="nil"/>
              <w:bottom w:val="single" w:sz="4" w:space="0" w:color="auto"/>
            </w:tcBorders>
          </w:tcPr>
          <w:p w:rsidR="008E0081" w:rsidRPr="004B0A17" w:rsidRDefault="008E0081" w:rsidP="0094139B">
            <w:pPr>
              <w:bidi w:val="0"/>
              <w:jc w:val="both"/>
              <w:rPr>
                <w:rFonts w:cs="Times New Roman"/>
                <w:b/>
                <w:bCs/>
                <w:sz w:val="20"/>
                <w:szCs w:val="20"/>
                <w:rtl/>
              </w:rPr>
            </w:pPr>
          </w:p>
        </w:tc>
      </w:tr>
      <w:tr w:rsidR="008E0081" w:rsidTr="002B10C7">
        <w:trPr>
          <w:cantSplit/>
          <w:trHeight w:val="2219"/>
        </w:trPr>
        <w:tc>
          <w:tcPr>
            <w:tcW w:w="3049" w:type="dxa"/>
            <w:tcBorders>
              <w:top w:val="single" w:sz="4" w:space="0" w:color="auto"/>
            </w:tcBorders>
          </w:tcPr>
          <w:p w:rsidR="008E0081" w:rsidRPr="00A969A0" w:rsidRDefault="008E0081" w:rsidP="002B10C7">
            <w:pPr>
              <w:bidi w:val="0"/>
              <w:spacing w:before="240"/>
              <w:jc w:val="both"/>
              <w:rPr>
                <w:rFonts w:cs="Times New Roman"/>
                <w:sz w:val="20"/>
                <w:szCs w:val="20"/>
                <w:lang w:val="en-GB"/>
              </w:rPr>
            </w:pPr>
            <w:r w:rsidRPr="00A969A0">
              <w:rPr>
                <w:rFonts w:cs="Times New Roman"/>
                <w:sz w:val="20"/>
                <w:szCs w:val="20"/>
              </w:rPr>
              <w:t>Distr.</w:t>
            </w:r>
            <w:r w:rsidRPr="00A969A0">
              <w:rPr>
                <w:rFonts w:cs="Times New Roman"/>
                <w:sz w:val="20"/>
                <w:szCs w:val="20"/>
                <w:lang w:val="en-GB"/>
              </w:rPr>
              <w:t>: General</w:t>
            </w:r>
          </w:p>
          <w:p w:rsidR="008E0081" w:rsidRPr="00A969A0" w:rsidRDefault="00B57AEE" w:rsidP="00B57AEE">
            <w:pPr>
              <w:bidi w:val="0"/>
              <w:jc w:val="both"/>
              <w:rPr>
                <w:rFonts w:cs="Times New Roman"/>
                <w:sz w:val="20"/>
                <w:szCs w:val="20"/>
              </w:rPr>
            </w:pPr>
            <w:r>
              <w:rPr>
                <w:rFonts w:cs="Times New Roman"/>
                <w:sz w:val="20"/>
                <w:szCs w:val="20"/>
              </w:rPr>
              <w:t>12</w:t>
            </w:r>
            <w:r w:rsidR="00954E71">
              <w:rPr>
                <w:rFonts w:cs="Times New Roman"/>
                <w:sz w:val="20"/>
                <w:szCs w:val="20"/>
              </w:rPr>
              <w:t xml:space="preserve"> </w:t>
            </w:r>
            <w:r>
              <w:rPr>
                <w:rFonts w:cs="Times New Roman"/>
                <w:sz w:val="20"/>
                <w:szCs w:val="20"/>
              </w:rPr>
              <w:t>April</w:t>
            </w:r>
            <w:r w:rsidR="007336E6" w:rsidRPr="00A969A0">
              <w:rPr>
                <w:rFonts w:cs="Times New Roman"/>
                <w:sz w:val="20"/>
                <w:szCs w:val="20"/>
              </w:rPr>
              <w:t xml:space="preserve"> 20</w:t>
            </w:r>
            <w:r w:rsidR="007336E6">
              <w:rPr>
                <w:rFonts w:cs="Times New Roman"/>
                <w:sz w:val="20"/>
                <w:szCs w:val="20"/>
              </w:rPr>
              <w:t>1</w:t>
            </w:r>
            <w:r w:rsidR="00D415F7">
              <w:rPr>
                <w:rFonts w:cs="Times New Roman"/>
                <w:sz w:val="20"/>
                <w:szCs w:val="20"/>
              </w:rPr>
              <w:t>7</w:t>
            </w:r>
          </w:p>
          <w:p w:rsidR="008E0081" w:rsidRPr="00A969A0" w:rsidRDefault="008E0081" w:rsidP="0094139B">
            <w:pPr>
              <w:pStyle w:val="Heading5"/>
              <w:bidi w:val="0"/>
              <w:spacing w:before="240"/>
              <w:ind w:left="34" w:right="34"/>
              <w:jc w:val="both"/>
              <w:rPr>
                <w:rFonts w:ascii="Times New Roman" w:hAnsi="Times New Roman" w:cs="Times New Roman"/>
                <w:b w:val="0"/>
                <w:bCs w:val="0"/>
                <w:noProof w:val="0"/>
                <w:szCs w:val="20"/>
                <w:rtl/>
              </w:rPr>
            </w:pPr>
            <w:r w:rsidRPr="00A969A0">
              <w:rPr>
                <w:rFonts w:ascii="Times New Roman" w:hAnsi="Times New Roman" w:cs="Times New Roman"/>
                <w:b w:val="0"/>
                <w:bCs w:val="0"/>
                <w:noProof w:val="0"/>
                <w:szCs w:val="20"/>
              </w:rPr>
              <w:t>Arabic</w:t>
            </w:r>
          </w:p>
          <w:p w:rsidR="008E0081" w:rsidRDefault="008E0081" w:rsidP="0094139B">
            <w:pPr>
              <w:bidi w:val="0"/>
              <w:ind w:right="34"/>
              <w:jc w:val="both"/>
            </w:pPr>
            <w:r w:rsidRPr="00A969A0">
              <w:rPr>
                <w:rFonts w:cs="Times New Roman"/>
                <w:sz w:val="20"/>
                <w:szCs w:val="20"/>
              </w:rPr>
              <w:t>Original: English</w:t>
            </w:r>
          </w:p>
        </w:tc>
        <w:tc>
          <w:tcPr>
            <w:tcW w:w="4890" w:type="dxa"/>
            <w:tcBorders>
              <w:top w:val="single" w:sz="4" w:space="0" w:color="auto"/>
            </w:tcBorders>
            <w:vAlign w:val="center"/>
          </w:tcPr>
          <w:p w:rsidR="008E0081" w:rsidRDefault="008E0081" w:rsidP="0094139B">
            <w:pPr>
              <w:spacing w:line="840" w:lineRule="exact"/>
              <w:ind w:left="164" w:firstLine="17"/>
              <w:rPr>
                <w:rtl/>
              </w:rPr>
            </w:pPr>
            <w:r w:rsidRPr="00E760C7">
              <w:rPr>
                <w:rFonts w:cs="Traditional Arabic"/>
                <w:b/>
                <w:bCs/>
                <w:sz w:val="52"/>
                <w:szCs w:val="52"/>
                <w:rtl/>
              </w:rPr>
              <w:t>برنامج الأمم</w:t>
            </w:r>
            <w:r>
              <w:rPr>
                <w:rFonts w:cs="Traditional Arabic"/>
                <w:b/>
                <w:bCs/>
                <w:sz w:val="52"/>
                <w:szCs w:val="52"/>
              </w:rPr>
              <w:t xml:space="preserve"> </w:t>
            </w:r>
            <w:r w:rsidRPr="00E760C7">
              <w:rPr>
                <w:rFonts w:cs="Traditional Arabic"/>
                <w:b/>
                <w:bCs/>
                <w:sz w:val="52"/>
                <w:szCs w:val="52"/>
                <w:rtl/>
              </w:rPr>
              <w:t>المتحدة للبيئة</w:t>
            </w:r>
          </w:p>
        </w:tc>
        <w:tc>
          <w:tcPr>
            <w:tcW w:w="1701" w:type="dxa"/>
            <w:tcBorders>
              <w:top w:val="single" w:sz="4" w:space="0" w:color="auto"/>
            </w:tcBorders>
          </w:tcPr>
          <w:p w:rsidR="008E0081" w:rsidRDefault="002B10C7" w:rsidP="0094139B">
            <w:pPr>
              <w:spacing w:line="14" w:lineRule="exact"/>
              <w:jc w:val="right"/>
            </w:pPr>
            <w:r>
              <w:rPr>
                <w:noProof/>
                <w:lang w:val="en-GB" w:eastAsia="zh-CN"/>
              </w:rPr>
              <w:drawing>
                <wp:anchor distT="0" distB="0" distL="114300" distR="114300" simplePos="0" relativeHeight="251657216" behindDoc="0" locked="0" layoutInCell="1" allowOverlap="1" wp14:anchorId="7F603703" wp14:editId="292B6AEC">
                  <wp:simplePos x="0" y="0"/>
                  <wp:positionH relativeFrom="column">
                    <wp:posOffset>99060</wp:posOffset>
                  </wp:positionH>
                  <wp:positionV relativeFrom="paragraph">
                    <wp:posOffset>-3810</wp:posOffset>
                  </wp:positionV>
                  <wp:extent cx="611505" cy="742315"/>
                  <wp:effectExtent l="0" t="0" r="0" b="635"/>
                  <wp:wrapSquare wrapText="bothSides"/>
                  <wp:docPr id="4" name="Picture 4" desc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LOGO"/>
                          <pic:cNvPicPr>
                            <a:picLocks noChangeAspect="1" noChangeArrowheads="1"/>
                          </pic:cNvPicPr>
                        </pic:nvPicPr>
                        <pic:blipFill>
                          <a:blip r:embed="rId9" cstate="print">
                            <a:extLst>
                              <a:ext uri="{28A0092B-C50C-407E-A947-70E740481C1C}">
                                <a14:useLocalDpi xmlns:a14="http://schemas.microsoft.com/office/drawing/2010/main" val="0"/>
                              </a:ext>
                            </a:extLst>
                          </a:blip>
                          <a:srcRect t="-28909"/>
                          <a:stretch>
                            <a:fillRect/>
                          </a:stretch>
                        </pic:blipFill>
                        <pic:spPr bwMode="auto">
                          <a:xfrm>
                            <a:off x="0" y="0"/>
                            <a:ext cx="611505" cy="742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zh-CN"/>
              </w:rPr>
              <w:drawing>
                <wp:anchor distT="0" distB="0" distL="114300" distR="114300" simplePos="0" relativeHeight="251658240" behindDoc="0" locked="0" layoutInCell="1" allowOverlap="1" wp14:anchorId="01B1AABE" wp14:editId="17EFE7AF">
                  <wp:simplePos x="0" y="0"/>
                  <wp:positionH relativeFrom="column">
                    <wp:posOffset>95885</wp:posOffset>
                  </wp:positionH>
                  <wp:positionV relativeFrom="paragraph">
                    <wp:posOffset>739140</wp:posOffset>
                  </wp:positionV>
                  <wp:extent cx="684000" cy="638889"/>
                  <wp:effectExtent l="0" t="0" r="1905"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b="9727"/>
                          <a:stretch>
                            <a:fillRect/>
                          </a:stretch>
                        </pic:blipFill>
                        <pic:spPr bwMode="auto">
                          <a:xfrm>
                            <a:off x="0" y="0"/>
                            <a:ext cx="684000" cy="638889"/>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bidiVisual/>
        <w:tblW w:w="0" w:type="auto"/>
        <w:tblBorders>
          <w:insideH w:val="single" w:sz="4" w:space="0" w:color="auto"/>
          <w:insideV w:val="single" w:sz="4" w:space="0" w:color="auto"/>
        </w:tblBorders>
        <w:tblLook w:val="0000" w:firstRow="0" w:lastRow="0" w:firstColumn="0" w:lastColumn="0" w:noHBand="0" w:noVBand="0"/>
      </w:tblPr>
      <w:tblGrid>
        <w:gridCol w:w="5209"/>
      </w:tblGrid>
      <w:tr w:rsidR="008E0081" w:rsidTr="002B10C7">
        <w:tc>
          <w:tcPr>
            <w:tcW w:w="5209" w:type="dxa"/>
          </w:tcPr>
          <w:p w:rsidR="008E0081" w:rsidRDefault="00F81C26" w:rsidP="00FE61CB">
            <w:pPr>
              <w:spacing w:before="40" w:line="360" w:lineRule="exact"/>
              <w:ind w:left="142" w:right="2002"/>
              <w:jc w:val="both"/>
              <w:rPr>
                <w:rFonts w:cs="Traditional Arabic"/>
                <w:b/>
                <w:bCs/>
                <w:sz w:val="30"/>
                <w:szCs w:val="30"/>
                <w:rtl/>
              </w:rPr>
            </w:pPr>
            <w:r>
              <w:rPr>
                <w:rFonts w:cs="Traditional Arabic"/>
                <w:b/>
                <w:bCs/>
                <w:sz w:val="30"/>
                <w:szCs w:val="30"/>
                <w:rtl/>
              </w:rPr>
              <w:t xml:space="preserve">مؤتمر الأطراف في </w:t>
            </w:r>
            <w:r w:rsidR="00D415F7">
              <w:rPr>
                <w:rFonts w:cs="Traditional Arabic"/>
                <w:b/>
                <w:bCs/>
                <w:sz w:val="30"/>
                <w:szCs w:val="30"/>
                <w:rtl/>
              </w:rPr>
              <w:t>اتفاقية ميناماتا بشأن الزئبق</w:t>
            </w:r>
          </w:p>
          <w:p w:rsidR="00D415F7" w:rsidRPr="00A579D1" w:rsidRDefault="00D415F7" w:rsidP="00B57AEE">
            <w:pPr>
              <w:spacing w:line="360" w:lineRule="exact"/>
              <w:ind w:left="140" w:right="748"/>
              <w:jc w:val="both"/>
              <w:rPr>
                <w:rFonts w:cs="Traditional Arabic"/>
                <w:b/>
                <w:bCs/>
                <w:sz w:val="30"/>
                <w:szCs w:val="30"/>
                <w:rtl/>
              </w:rPr>
            </w:pPr>
            <w:r>
              <w:rPr>
                <w:rFonts w:cs="Traditional Arabic"/>
                <w:b/>
                <w:bCs/>
                <w:sz w:val="30"/>
                <w:szCs w:val="30"/>
                <w:rtl/>
              </w:rPr>
              <w:t>الاجتماع الأول</w:t>
            </w:r>
          </w:p>
          <w:p w:rsidR="008E0081" w:rsidRDefault="00D415F7" w:rsidP="00D415F7">
            <w:pPr>
              <w:spacing w:line="360" w:lineRule="exact"/>
              <w:ind w:left="140"/>
              <w:jc w:val="both"/>
              <w:rPr>
                <w:rFonts w:ascii="Traditional Arabic" w:hAnsi="Traditional Arabic" w:cs="Traditional Arabic"/>
                <w:sz w:val="30"/>
                <w:szCs w:val="30"/>
                <w:rtl/>
              </w:rPr>
            </w:pPr>
            <w:r>
              <w:rPr>
                <w:rFonts w:ascii="Traditional Arabic" w:hAnsi="Traditional Arabic" w:cs="Traditional Arabic"/>
                <w:sz w:val="30"/>
                <w:szCs w:val="30"/>
                <w:rtl/>
              </w:rPr>
              <w:t>جنيف،</w:t>
            </w:r>
            <w:r w:rsidR="008E0081" w:rsidRPr="00895AF3">
              <w:rPr>
                <w:rFonts w:ascii="Traditional Arabic" w:hAnsi="Traditional Arabic" w:cs="Traditional Arabic"/>
                <w:sz w:val="30"/>
                <w:szCs w:val="30"/>
                <w:rtl/>
              </w:rPr>
              <w:t xml:space="preserve"> </w:t>
            </w:r>
            <w:r>
              <w:rPr>
                <w:rFonts w:ascii="Traditional Arabic" w:hAnsi="Traditional Arabic" w:cs="Traditional Arabic"/>
                <w:sz w:val="30"/>
                <w:szCs w:val="30"/>
                <w:rtl/>
              </w:rPr>
              <w:t>24</w:t>
            </w:r>
            <w:r w:rsidR="008E0081" w:rsidRPr="00895AF3">
              <w:rPr>
                <w:rFonts w:ascii="Traditional Arabic" w:hAnsi="Traditional Arabic" w:cs="Traditional Arabic"/>
                <w:sz w:val="30"/>
                <w:szCs w:val="30"/>
                <w:rtl/>
              </w:rPr>
              <w:t>-</w:t>
            </w:r>
            <w:r>
              <w:rPr>
                <w:rFonts w:ascii="Traditional Arabic" w:hAnsi="Traditional Arabic" w:cs="Traditional Arabic"/>
                <w:sz w:val="30"/>
                <w:szCs w:val="30"/>
                <w:rtl/>
              </w:rPr>
              <w:t>29</w:t>
            </w:r>
            <w:r w:rsidR="007336E6" w:rsidRPr="00895AF3">
              <w:rPr>
                <w:rFonts w:ascii="Traditional Arabic" w:hAnsi="Traditional Arabic" w:cs="Traditional Arabic"/>
                <w:sz w:val="30"/>
                <w:szCs w:val="30"/>
                <w:rtl/>
              </w:rPr>
              <w:t xml:space="preserve"> </w:t>
            </w:r>
            <w:r>
              <w:rPr>
                <w:rFonts w:ascii="Traditional Arabic" w:hAnsi="Traditional Arabic" w:cs="Traditional Arabic"/>
                <w:sz w:val="30"/>
                <w:szCs w:val="30"/>
                <w:rtl/>
              </w:rPr>
              <w:t>أيلول</w:t>
            </w:r>
            <w:r w:rsidR="008E0081">
              <w:rPr>
                <w:rFonts w:ascii="Traditional Arabic" w:hAnsi="Traditional Arabic" w:cs="Traditional Arabic"/>
                <w:sz w:val="30"/>
                <w:szCs w:val="30"/>
                <w:rtl/>
              </w:rPr>
              <w:t>/</w:t>
            </w:r>
            <w:r>
              <w:rPr>
                <w:rFonts w:ascii="Traditional Arabic" w:hAnsi="Traditional Arabic" w:cs="Traditional Arabic"/>
                <w:sz w:val="30"/>
                <w:szCs w:val="30"/>
                <w:rtl/>
              </w:rPr>
              <w:t>سبتمبر</w:t>
            </w:r>
            <w:r w:rsidR="007336E6" w:rsidRPr="00895AF3">
              <w:rPr>
                <w:rFonts w:ascii="Traditional Arabic" w:hAnsi="Traditional Arabic" w:cs="Traditional Arabic"/>
                <w:sz w:val="30"/>
                <w:szCs w:val="30"/>
                <w:rtl/>
              </w:rPr>
              <w:t xml:space="preserve"> 201</w:t>
            </w:r>
            <w:r>
              <w:rPr>
                <w:rFonts w:ascii="Traditional Arabic" w:hAnsi="Traditional Arabic" w:cs="Traditional Arabic"/>
                <w:sz w:val="30"/>
                <w:szCs w:val="30"/>
                <w:rtl/>
              </w:rPr>
              <w:t>7</w:t>
            </w:r>
          </w:p>
          <w:p w:rsidR="008E0081" w:rsidRDefault="008E0081" w:rsidP="00B57AEE">
            <w:pPr>
              <w:spacing w:line="360" w:lineRule="exact"/>
              <w:ind w:left="140"/>
              <w:jc w:val="both"/>
              <w:rPr>
                <w:rStyle w:val="FootnoteReference"/>
                <w:rFonts w:cs="Times New Roman"/>
                <w:sz w:val="24"/>
                <w:szCs w:val="24"/>
                <w:vertAlign w:val="baseline"/>
                <w:rtl/>
              </w:rPr>
            </w:pPr>
            <w:r>
              <w:rPr>
                <w:rFonts w:ascii="Traditional Arabic" w:hAnsi="Traditional Arabic" w:cs="Traditional Arabic"/>
                <w:sz w:val="30"/>
                <w:szCs w:val="30"/>
                <w:rtl/>
              </w:rPr>
              <w:t xml:space="preserve">البند </w:t>
            </w:r>
            <w:r w:rsidR="00954E71">
              <w:rPr>
                <w:rFonts w:ascii="Traditional Arabic" w:hAnsi="Traditional Arabic" w:cs="Traditional Arabic"/>
                <w:sz w:val="30"/>
                <w:szCs w:val="30"/>
                <w:rtl/>
              </w:rPr>
              <w:t xml:space="preserve">5 </w:t>
            </w:r>
            <w:r w:rsidR="00074790">
              <w:rPr>
                <w:rFonts w:ascii="Traditional Arabic" w:hAnsi="Traditional Arabic" w:cs="Traditional Arabic"/>
                <w:sz w:val="30"/>
                <w:szCs w:val="30"/>
                <w:rtl/>
              </w:rPr>
              <w:t>(</w:t>
            </w:r>
            <w:r w:rsidR="00954E71">
              <w:rPr>
                <w:rFonts w:ascii="Traditional Arabic" w:hAnsi="Traditional Arabic" w:cs="Traditional Arabic"/>
                <w:sz w:val="30"/>
                <w:szCs w:val="30"/>
                <w:rtl/>
              </w:rPr>
              <w:t>أ</w:t>
            </w:r>
            <w:r w:rsidR="00074790">
              <w:rPr>
                <w:rFonts w:ascii="Traditional Arabic" w:hAnsi="Traditional Arabic" w:cs="Traditional Arabic"/>
                <w:sz w:val="30"/>
                <w:szCs w:val="30"/>
                <w:rtl/>
              </w:rPr>
              <w:t xml:space="preserve">) </w:t>
            </w:r>
            <w:r w:rsidR="00954E71">
              <w:rPr>
                <w:rFonts w:ascii="Traditional Arabic" w:hAnsi="Traditional Arabic" w:cs="Traditional Arabic"/>
                <w:sz w:val="30"/>
                <w:szCs w:val="30"/>
                <w:rtl/>
              </w:rPr>
              <w:t>’</w:t>
            </w:r>
            <w:r w:rsidR="00B57AEE">
              <w:rPr>
                <w:rFonts w:ascii="Traditional Arabic" w:hAnsi="Traditional Arabic" w:cs="Traditional Arabic" w:hint="cs"/>
                <w:sz w:val="30"/>
                <w:szCs w:val="30"/>
                <w:rtl/>
              </w:rPr>
              <w:t>3</w:t>
            </w:r>
            <w:r w:rsidR="00954E71">
              <w:rPr>
                <w:rFonts w:ascii="Traditional Arabic" w:hAnsi="Traditional Arabic" w:cs="Traditional Arabic"/>
                <w:sz w:val="30"/>
                <w:szCs w:val="30"/>
                <w:rtl/>
              </w:rPr>
              <w:t xml:space="preserve">‘ </w:t>
            </w:r>
            <w:r>
              <w:rPr>
                <w:rFonts w:ascii="Traditional Arabic" w:hAnsi="Traditional Arabic" w:cs="Traditional Arabic"/>
                <w:sz w:val="30"/>
                <w:szCs w:val="30"/>
                <w:rtl/>
              </w:rPr>
              <w:t>من جدول الأعمال المؤقت</w:t>
            </w:r>
            <w:r w:rsidRPr="00980912">
              <w:rPr>
                <w:rStyle w:val="FootnoteReference"/>
                <w:rFonts w:cs="Times New Roman"/>
                <w:sz w:val="24"/>
                <w:szCs w:val="24"/>
                <w:rtl/>
              </w:rPr>
              <w:footnoteReference w:customMarkFollows="1" w:id="1"/>
              <w:t>*</w:t>
            </w:r>
          </w:p>
          <w:p w:rsidR="008E0081" w:rsidRPr="000E56D0" w:rsidRDefault="00954E71" w:rsidP="00B57AEE">
            <w:pPr>
              <w:spacing w:line="340" w:lineRule="exact"/>
              <w:ind w:left="142" w:right="884"/>
              <w:jc w:val="both"/>
              <w:rPr>
                <w:rFonts w:ascii="Traditional Arabic" w:hAnsi="Traditional Arabic" w:cs="Traditional Arabic"/>
                <w:b/>
                <w:bCs/>
                <w:sz w:val="28"/>
                <w:rtl/>
              </w:rPr>
            </w:pPr>
            <w:r w:rsidRPr="00940E5B">
              <w:rPr>
                <w:rFonts w:ascii="Traditional Arabic" w:hAnsi="Traditional Arabic" w:cs="Traditional Arabic"/>
                <w:b/>
                <w:bCs/>
                <w:sz w:val="28"/>
                <w:rtl/>
              </w:rPr>
              <w:t xml:space="preserve">مسائل تعرض على مؤتمر الأطراف لكي يتخذ إجراءً بشأنها في اجتماعه الأول: مسائل تنص عليها الاتفاقية: </w:t>
            </w:r>
            <w:r w:rsidR="00B57AEE" w:rsidRPr="00B57AEE">
              <w:rPr>
                <w:rFonts w:ascii="Traditional Arabic" w:hAnsi="Traditional Arabic" w:cs="Traditional Arabic"/>
                <w:b/>
                <w:bCs/>
                <w:sz w:val="28"/>
                <w:rtl/>
              </w:rPr>
              <w:t>التوجيهات المشار إليها في الفقرتين ٨ (أ) و٨ (ب) من المادة 8</w:t>
            </w:r>
          </w:p>
        </w:tc>
      </w:tr>
    </w:tbl>
    <w:p w:rsidR="00954E71" w:rsidRPr="00940E5B" w:rsidRDefault="00954E71" w:rsidP="00D06B01">
      <w:pPr>
        <w:keepNext/>
        <w:keepLines/>
        <w:suppressAutoHyphens/>
        <w:spacing w:before="360" w:after="240" w:line="400" w:lineRule="exact"/>
        <w:ind w:left="1134"/>
        <w:jc w:val="both"/>
        <w:textDirection w:val="tbRlV"/>
        <w:rPr>
          <w:rFonts w:ascii="Traditional Arabic" w:hAnsi="Traditional Arabic" w:cs="Traditional Arabic"/>
          <w:bCs/>
          <w:sz w:val="34"/>
          <w:szCs w:val="34"/>
          <w:rtl/>
          <w:lang w:val="en-GB" w:eastAsia="zh-TW"/>
        </w:rPr>
      </w:pPr>
      <w:r w:rsidRPr="00940E5B">
        <w:rPr>
          <w:rFonts w:ascii="Traditional Arabic" w:hAnsi="Traditional Arabic" w:cs="Traditional Arabic"/>
          <w:bCs/>
          <w:sz w:val="34"/>
          <w:szCs w:val="34"/>
          <w:rtl/>
          <w:lang w:val="en-GB" w:eastAsia="zh-TW"/>
        </w:rPr>
        <w:t xml:space="preserve">التوجيهات المتعلقة </w:t>
      </w:r>
      <w:r w:rsidR="00B57AEE">
        <w:rPr>
          <w:rFonts w:ascii="Traditional Arabic" w:hAnsi="Traditional Arabic" w:cs="Traditional Arabic" w:hint="cs"/>
          <w:bCs/>
          <w:sz w:val="34"/>
          <w:szCs w:val="34"/>
          <w:rtl/>
          <w:lang w:val="en-GB" w:eastAsia="zh-TW"/>
        </w:rPr>
        <w:t>بانبعاثات</w:t>
      </w:r>
      <w:r w:rsidRPr="00940E5B">
        <w:rPr>
          <w:rFonts w:ascii="Traditional Arabic" w:hAnsi="Traditional Arabic" w:cs="Traditional Arabic"/>
          <w:bCs/>
          <w:sz w:val="34"/>
          <w:szCs w:val="34"/>
          <w:rtl/>
          <w:lang w:val="en-GB" w:eastAsia="zh-TW"/>
        </w:rPr>
        <w:t xml:space="preserve"> الزئبق (المادة </w:t>
      </w:r>
      <w:r w:rsidR="00B57AEE">
        <w:rPr>
          <w:rFonts w:ascii="Traditional Arabic" w:hAnsi="Traditional Arabic" w:cs="Traditional Arabic" w:hint="cs"/>
          <w:bCs/>
          <w:sz w:val="34"/>
          <w:szCs w:val="34"/>
          <w:rtl/>
          <w:lang w:val="en-GB" w:eastAsia="zh-TW"/>
        </w:rPr>
        <w:t>8</w:t>
      </w:r>
      <w:r w:rsidR="00B57AEE">
        <w:rPr>
          <w:rFonts w:ascii="Traditional Arabic" w:hAnsi="Traditional Arabic" w:cs="Traditional Arabic"/>
          <w:bCs/>
          <w:sz w:val="34"/>
          <w:szCs w:val="34"/>
          <w:rtl/>
          <w:lang w:val="en-GB" w:eastAsia="zh-TW"/>
        </w:rPr>
        <w:t>)</w:t>
      </w:r>
      <w:r w:rsidR="00B57AEE">
        <w:rPr>
          <w:rFonts w:ascii="Traditional Arabic" w:hAnsi="Traditional Arabic" w:cs="Traditional Arabic" w:hint="cs"/>
          <w:bCs/>
          <w:sz w:val="34"/>
          <w:szCs w:val="34"/>
          <w:rtl/>
          <w:lang w:val="en-GB" w:eastAsia="zh-TW"/>
        </w:rPr>
        <w:t xml:space="preserve"> المشار إليها في الفقرتين 8 (أ) و8 (ب)</w:t>
      </w:r>
    </w:p>
    <w:p w:rsidR="00954E71" w:rsidRPr="00940E5B" w:rsidRDefault="00954E71" w:rsidP="00D06B01">
      <w:pPr>
        <w:keepNext/>
        <w:keepLines/>
        <w:suppressAutoHyphens/>
        <w:spacing w:after="240" w:line="400" w:lineRule="exact"/>
        <w:ind w:left="1134"/>
        <w:jc w:val="both"/>
        <w:textDirection w:val="tbRlV"/>
        <w:rPr>
          <w:rFonts w:ascii="Traditional Arabic" w:hAnsi="Traditional Arabic" w:cs="Traditional Arabic"/>
          <w:bCs/>
          <w:sz w:val="32"/>
          <w:szCs w:val="32"/>
          <w:rtl/>
          <w:lang w:val="en-GB" w:eastAsia="zh-TW"/>
        </w:rPr>
      </w:pPr>
      <w:r w:rsidRPr="00940E5B">
        <w:rPr>
          <w:rFonts w:ascii="Traditional Arabic" w:hAnsi="Traditional Arabic" w:cs="Traditional Arabic"/>
          <w:bCs/>
          <w:sz w:val="32"/>
          <w:szCs w:val="32"/>
          <w:rtl/>
          <w:lang w:val="en-GB" w:eastAsia="zh-TW"/>
        </w:rPr>
        <w:t>مذكرة من الأمانة</w:t>
      </w:r>
    </w:p>
    <w:p w:rsidR="00B42898" w:rsidRDefault="00F37B77" w:rsidP="006F7165">
      <w:pPr>
        <w:tabs>
          <w:tab w:val="left" w:pos="1841"/>
        </w:tabs>
        <w:spacing w:after="120" w:line="400" w:lineRule="exact"/>
        <w:ind w:left="1134"/>
        <w:jc w:val="both"/>
        <w:textDirection w:val="tbRlV"/>
        <w:rPr>
          <w:rFonts w:cs="Traditional Arabic"/>
          <w:sz w:val="20"/>
          <w:szCs w:val="30"/>
          <w:rtl/>
        </w:rPr>
      </w:pPr>
      <w:dir w:val="rtl">
        <w:r w:rsidR="00954E71" w:rsidRPr="00940E5B">
          <w:rPr>
            <w:rFonts w:cs="Traditional Arabic"/>
            <w:sz w:val="20"/>
            <w:szCs w:val="30"/>
            <w:rtl/>
            <w:lang w:val="en-GB" w:eastAsia="zh-TW"/>
          </w:rPr>
          <w:t>1 -</w:t>
        </w:r>
        <w:r w:rsidR="00954E71" w:rsidRPr="00940E5B">
          <w:rPr>
            <w:rFonts w:cs="Traditional Arabic"/>
            <w:sz w:val="20"/>
            <w:szCs w:val="30"/>
            <w:rtl/>
            <w:lang w:val="en-GB" w:eastAsia="zh-TW"/>
          </w:rPr>
          <w:tab/>
        </w:r>
        <w:r w:rsidR="00D002D1">
          <w:rPr>
            <w:rFonts w:cs="Traditional Arabic" w:hint="cs"/>
            <w:sz w:val="20"/>
            <w:szCs w:val="30"/>
            <w:rtl/>
            <w:lang w:val="en-GB" w:eastAsia="zh-TW"/>
          </w:rPr>
          <w:t xml:space="preserve">تنص </w:t>
        </w:r>
        <w:r w:rsidR="00F44F54" w:rsidRPr="00F44F54">
          <w:rPr>
            <w:rFonts w:cs="Traditional Arabic"/>
            <w:sz w:val="20"/>
            <w:szCs w:val="30"/>
            <w:rtl/>
          </w:rPr>
          <w:t xml:space="preserve">الفقرة ٨ من المادة ٨ </w:t>
        </w:r>
        <w:r w:rsidR="00D002D1">
          <w:rPr>
            <w:rFonts w:cs="Traditional Arabic" w:hint="cs"/>
            <w:sz w:val="20"/>
            <w:szCs w:val="30"/>
            <w:rtl/>
          </w:rPr>
          <w:t xml:space="preserve">من </w:t>
        </w:r>
        <w:r w:rsidR="00F44F54" w:rsidRPr="00F44F54">
          <w:rPr>
            <w:rFonts w:cs="Traditional Arabic"/>
            <w:sz w:val="20"/>
            <w:szCs w:val="30"/>
            <w:rtl/>
          </w:rPr>
          <w:t xml:space="preserve">اتفاقية ميناماتا بشأن الزئبق، </w:t>
        </w:r>
        <w:r w:rsidR="00D002D1">
          <w:rPr>
            <w:rFonts w:cs="Traditional Arabic" w:hint="cs"/>
            <w:sz w:val="20"/>
            <w:szCs w:val="30"/>
            <w:rtl/>
          </w:rPr>
          <w:t>المتعلقة ب</w:t>
        </w:r>
        <w:r w:rsidR="00F44F54" w:rsidRPr="00F44F54">
          <w:rPr>
            <w:rFonts w:cs="Traditional Arabic"/>
            <w:sz w:val="20"/>
            <w:szCs w:val="30"/>
            <w:rtl/>
          </w:rPr>
          <w:t>الانبعاثات</w:t>
        </w:r>
        <w:r w:rsidR="00D002D1">
          <w:rPr>
            <w:rFonts w:cs="Traditional Arabic" w:hint="cs"/>
            <w:sz w:val="20"/>
            <w:szCs w:val="30"/>
            <w:rtl/>
          </w:rPr>
          <w:t>،</w:t>
        </w:r>
        <w:r w:rsidR="00F44F54" w:rsidRPr="00F44F54">
          <w:rPr>
            <w:rFonts w:cs="Traditional Arabic"/>
            <w:sz w:val="20"/>
            <w:szCs w:val="30"/>
            <w:rtl/>
          </w:rPr>
          <w:t xml:space="preserve"> على أن </w:t>
        </w:r>
        <w:r w:rsidR="00D002D1">
          <w:rPr>
            <w:rFonts w:cs="Traditional Arabic" w:hint="cs"/>
            <w:sz w:val="20"/>
            <w:szCs w:val="30"/>
            <w:rtl/>
          </w:rPr>
          <w:t>يعتمد</w:t>
        </w:r>
        <w:r w:rsidR="00F44F54" w:rsidRPr="00F44F54">
          <w:rPr>
            <w:rFonts w:cs="Traditional Arabic"/>
            <w:sz w:val="20"/>
            <w:szCs w:val="30"/>
            <w:rtl/>
          </w:rPr>
          <w:t xml:space="preserve"> مؤتمر الأطراف، في </w:t>
        </w:r>
        <w:r w:rsidR="00D002D1">
          <w:rPr>
            <w:rFonts w:cs="Traditional Arabic" w:hint="cs"/>
            <w:sz w:val="20"/>
            <w:szCs w:val="30"/>
            <w:rtl/>
          </w:rPr>
          <w:t>اجتماعه</w:t>
        </w:r>
        <w:r w:rsidR="00F44F54" w:rsidRPr="00F44F54">
          <w:rPr>
            <w:rFonts w:cs="Traditional Arabic"/>
            <w:sz w:val="20"/>
            <w:szCs w:val="30"/>
            <w:rtl/>
          </w:rPr>
          <w:t xml:space="preserve"> الأول، توجيهات بشأن أفضل التقنيات المتاحة وأفضل الممارسات البيئية، آخذا في الاعتبار أي اختلافات بين المصادر الجديدة والقائمة والحاجة إلى </w:t>
        </w:r>
        <w:r w:rsidR="00D002D1">
          <w:rPr>
            <w:rFonts w:cs="Traditional Arabic" w:hint="cs"/>
            <w:sz w:val="20"/>
            <w:szCs w:val="30"/>
            <w:rtl/>
          </w:rPr>
          <w:t>ال</w:t>
        </w:r>
        <w:r w:rsidR="00F44F54" w:rsidRPr="00F44F54">
          <w:rPr>
            <w:rFonts w:cs="Traditional Arabic"/>
            <w:sz w:val="20"/>
            <w:szCs w:val="30"/>
            <w:rtl/>
          </w:rPr>
          <w:t xml:space="preserve">تقليل </w:t>
        </w:r>
        <w:r w:rsidR="00D002D1">
          <w:rPr>
            <w:rFonts w:cs="Traditional Arabic" w:hint="cs"/>
            <w:sz w:val="20"/>
            <w:szCs w:val="30"/>
            <w:rtl/>
          </w:rPr>
          <w:t xml:space="preserve">إلى أدنى حد ممكن من </w:t>
        </w:r>
        <w:r w:rsidR="00F44F54" w:rsidRPr="00F44F54">
          <w:rPr>
            <w:rFonts w:cs="Traditional Arabic"/>
            <w:sz w:val="20"/>
            <w:szCs w:val="30"/>
            <w:rtl/>
          </w:rPr>
          <w:t xml:space="preserve">الآثار </w:t>
        </w:r>
        <w:r w:rsidR="008B78CB">
          <w:rPr>
            <w:rFonts w:cs="Traditional Arabic" w:hint="cs"/>
            <w:sz w:val="20"/>
            <w:szCs w:val="30"/>
            <w:rtl/>
          </w:rPr>
          <w:t>الشاملة لعدة</w:t>
        </w:r>
        <w:r w:rsidR="00F44F54" w:rsidRPr="00F44F54">
          <w:rPr>
            <w:rFonts w:cs="Traditional Arabic"/>
            <w:sz w:val="20"/>
            <w:szCs w:val="30"/>
            <w:rtl/>
          </w:rPr>
          <w:t xml:space="preserve"> </w:t>
        </w:r>
        <w:r w:rsidR="006F7165">
          <w:rPr>
            <w:rFonts w:cs="Traditional Arabic" w:hint="cs"/>
            <w:sz w:val="20"/>
            <w:szCs w:val="30"/>
            <w:rtl/>
          </w:rPr>
          <w:t>أوساط</w:t>
        </w:r>
        <w:r w:rsidR="00F44F54" w:rsidRPr="00F44F54">
          <w:rPr>
            <w:rFonts w:cs="Traditional Arabic"/>
            <w:sz w:val="20"/>
            <w:szCs w:val="30"/>
            <w:rtl/>
          </w:rPr>
          <w:t xml:space="preserve">؛ </w:t>
        </w:r>
        <w:r w:rsidR="008B78CB">
          <w:rPr>
            <w:rFonts w:cs="Traditional Arabic" w:hint="cs"/>
            <w:sz w:val="20"/>
            <w:szCs w:val="30"/>
            <w:rtl/>
          </w:rPr>
          <w:t xml:space="preserve">وبشأن </w:t>
        </w:r>
        <w:r w:rsidR="008B78CB">
          <w:rPr>
            <w:rFonts w:cs="Traditional Arabic"/>
            <w:sz w:val="20"/>
            <w:szCs w:val="30"/>
            <w:rtl/>
          </w:rPr>
          <w:t xml:space="preserve">دعم الأطراف </w:t>
        </w:r>
        <w:r w:rsidR="008B78CB">
          <w:rPr>
            <w:rFonts w:cs="Traditional Arabic" w:hint="cs"/>
            <w:sz w:val="20"/>
            <w:szCs w:val="30"/>
            <w:rtl/>
          </w:rPr>
          <w:t xml:space="preserve">في </w:t>
        </w:r>
        <w:r w:rsidR="00F44F54" w:rsidRPr="00F44F54">
          <w:rPr>
            <w:rFonts w:cs="Traditional Arabic"/>
            <w:sz w:val="20"/>
            <w:szCs w:val="30"/>
            <w:rtl/>
          </w:rPr>
          <w:t xml:space="preserve">تنفيذ التدابير الواردة في الفقرة 5، وبخاصة تحديد الأهداف </w:t>
        </w:r>
        <w:r w:rsidR="008B78CB">
          <w:rPr>
            <w:rFonts w:cs="Traditional Arabic" w:hint="cs"/>
            <w:sz w:val="20"/>
            <w:szCs w:val="30"/>
            <w:rtl/>
          </w:rPr>
          <w:t>وتحديد</w:t>
        </w:r>
        <w:r w:rsidR="00F44F54" w:rsidRPr="00F44F54">
          <w:rPr>
            <w:rFonts w:cs="Traditional Arabic"/>
            <w:sz w:val="20"/>
            <w:szCs w:val="30"/>
            <w:rtl/>
          </w:rPr>
          <w:t xml:space="preserve"> القِيَم الحدّية للانبعاثات.</w:t>
        </w:r>
        <w:r w:rsidR="00386BEC">
          <w:t>‬</w:t>
        </w:r>
        <w:r w:rsidR="000A4605">
          <w:t>‬</w:t>
        </w:r>
        <w:r w:rsidR="002B36BF">
          <w:t>‬</w:t>
        </w:r>
        <w:r w:rsidR="007911CF">
          <w:t>‬</w:t>
        </w:r>
        <w:r w:rsidR="008318BD">
          <w:t>‬</w:t>
        </w:r>
        <w:r w:rsidR="00A20BAE">
          <w:t>‬</w:t>
        </w:r>
        <w:r w:rsidR="0004506D">
          <w:t>‬</w:t>
        </w:r>
        <w:r w:rsidR="00194C2F">
          <w:t>‬</w:t>
        </w:r>
        <w:r w:rsidR="00A260EF">
          <w:t>‬</w:t>
        </w:r>
        <w:r w:rsidR="00C034D6">
          <w:t>‬</w:t>
        </w:r>
        <w:r>
          <w:t>‬</w:t>
        </w:r>
      </w:dir>
    </w:p>
    <w:p w:rsidR="00F44F54" w:rsidRDefault="00F44F54" w:rsidP="0037741C">
      <w:pPr>
        <w:tabs>
          <w:tab w:val="left" w:pos="1841"/>
        </w:tabs>
        <w:spacing w:after="120" w:line="400" w:lineRule="exact"/>
        <w:ind w:left="1134"/>
        <w:jc w:val="both"/>
        <w:textDirection w:val="tbRlV"/>
        <w:rPr>
          <w:rFonts w:cs="Traditional Arabic"/>
          <w:sz w:val="20"/>
          <w:szCs w:val="30"/>
          <w:rtl/>
        </w:rPr>
      </w:pPr>
      <w:r>
        <w:rPr>
          <w:rFonts w:cs="Traditional Arabic" w:hint="cs"/>
          <w:sz w:val="20"/>
          <w:szCs w:val="30"/>
          <w:rtl/>
        </w:rPr>
        <w:t>2 -</w:t>
      </w:r>
      <w:r>
        <w:rPr>
          <w:rFonts w:cs="Traditional Arabic" w:hint="cs"/>
          <w:sz w:val="20"/>
          <w:szCs w:val="30"/>
          <w:rtl/>
        </w:rPr>
        <w:tab/>
      </w:r>
      <w:r w:rsidR="00D002D1">
        <w:rPr>
          <w:rFonts w:cs="Traditional Arabic" w:hint="cs"/>
          <w:sz w:val="20"/>
          <w:szCs w:val="30"/>
          <w:rtl/>
        </w:rPr>
        <w:t xml:space="preserve">ونظرت </w:t>
      </w:r>
      <w:r w:rsidRPr="00F44F54">
        <w:rPr>
          <w:rFonts w:cs="Traditional Arabic"/>
          <w:sz w:val="20"/>
          <w:szCs w:val="30"/>
          <w:rtl/>
        </w:rPr>
        <w:t>لجنة التفاوض الحكومية الدولية لإعداد صك عالمي ملزم قانونا بشأن الزئبق</w:t>
      </w:r>
      <w:r w:rsidR="00D002D1">
        <w:rPr>
          <w:rFonts w:cs="Traditional Arabic" w:hint="cs"/>
          <w:sz w:val="20"/>
          <w:szCs w:val="30"/>
          <w:rtl/>
        </w:rPr>
        <w:t xml:space="preserve">، </w:t>
      </w:r>
      <w:r w:rsidR="00D002D1" w:rsidRPr="00F44F54">
        <w:rPr>
          <w:rFonts w:cs="Traditional Arabic"/>
          <w:sz w:val="20"/>
          <w:szCs w:val="30"/>
          <w:rtl/>
        </w:rPr>
        <w:t xml:space="preserve">في </w:t>
      </w:r>
      <w:r w:rsidR="00D002D1">
        <w:rPr>
          <w:rFonts w:cs="Traditional Arabic"/>
          <w:sz w:val="20"/>
          <w:szCs w:val="30"/>
          <w:rtl/>
        </w:rPr>
        <w:t>دور</w:t>
      </w:r>
      <w:r w:rsidR="00D002D1">
        <w:rPr>
          <w:rFonts w:cs="Traditional Arabic" w:hint="cs"/>
          <w:sz w:val="20"/>
          <w:szCs w:val="30"/>
          <w:rtl/>
        </w:rPr>
        <w:t>تها</w:t>
      </w:r>
      <w:r w:rsidR="00D002D1" w:rsidRPr="00F44F54">
        <w:rPr>
          <w:rFonts w:cs="Traditional Arabic"/>
          <w:sz w:val="20"/>
          <w:szCs w:val="30"/>
          <w:rtl/>
        </w:rPr>
        <w:t xml:space="preserve"> السابعة</w:t>
      </w:r>
      <w:r w:rsidR="00D002D1">
        <w:rPr>
          <w:rFonts w:cs="Traditional Arabic" w:hint="cs"/>
          <w:sz w:val="20"/>
          <w:szCs w:val="30"/>
          <w:rtl/>
        </w:rPr>
        <w:t>،</w:t>
      </w:r>
      <w:r w:rsidR="000A4605">
        <w:rPr>
          <w:rFonts w:cs="Traditional Arabic" w:hint="cs"/>
          <w:sz w:val="20"/>
          <w:szCs w:val="30"/>
          <w:rtl/>
        </w:rPr>
        <w:t> </w:t>
      </w:r>
      <w:r w:rsidRPr="00F44F54">
        <w:rPr>
          <w:rFonts w:cs="Traditional Arabic"/>
          <w:sz w:val="20"/>
          <w:szCs w:val="30"/>
          <w:rtl/>
        </w:rPr>
        <w:t xml:space="preserve">في مشروع التوجيهات </w:t>
      </w:r>
      <w:r w:rsidR="00D002D1">
        <w:rPr>
          <w:rFonts w:cs="Traditional Arabic" w:hint="cs"/>
          <w:sz w:val="20"/>
          <w:szCs w:val="30"/>
          <w:rtl/>
        </w:rPr>
        <w:t>الذي</w:t>
      </w:r>
      <w:r w:rsidRPr="00F44F54">
        <w:rPr>
          <w:rFonts w:cs="Traditional Arabic"/>
          <w:sz w:val="20"/>
          <w:szCs w:val="30"/>
          <w:rtl/>
        </w:rPr>
        <w:t xml:space="preserve"> أعده</w:t>
      </w:r>
      <w:r w:rsidR="00D002D1">
        <w:rPr>
          <w:rFonts w:cs="Traditional Arabic"/>
          <w:sz w:val="20"/>
          <w:szCs w:val="30"/>
          <w:rtl/>
        </w:rPr>
        <w:t xml:space="preserve"> فريق الخبراء التقنيين </w:t>
      </w:r>
      <w:r w:rsidRPr="00F44F54">
        <w:rPr>
          <w:rFonts w:cs="Traditional Arabic"/>
          <w:sz w:val="20"/>
          <w:szCs w:val="30"/>
          <w:rtl/>
        </w:rPr>
        <w:t>وقد</w:t>
      </w:r>
      <w:r w:rsidR="00D002D1">
        <w:rPr>
          <w:rFonts w:cs="Traditional Arabic" w:hint="cs"/>
          <w:sz w:val="20"/>
          <w:szCs w:val="30"/>
          <w:rtl/>
        </w:rPr>
        <w:t>ِّ</w:t>
      </w:r>
      <w:r w:rsidRPr="00F44F54">
        <w:rPr>
          <w:rFonts w:cs="Traditional Arabic"/>
          <w:sz w:val="20"/>
          <w:szCs w:val="30"/>
          <w:rtl/>
        </w:rPr>
        <w:t xml:space="preserve">م إلى اللجنة </w:t>
      </w:r>
      <w:r w:rsidR="00D002D1">
        <w:rPr>
          <w:rFonts w:cs="Traditional Arabic" w:hint="cs"/>
          <w:sz w:val="20"/>
          <w:szCs w:val="30"/>
          <w:rtl/>
        </w:rPr>
        <w:t xml:space="preserve">في شكل </w:t>
      </w:r>
      <w:r w:rsidRPr="00F44F54">
        <w:rPr>
          <w:rFonts w:cs="Traditional Arabic"/>
          <w:sz w:val="20"/>
          <w:szCs w:val="30"/>
          <w:rtl/>
        </w:rPr>
        <w:t xml:space="preserve">تقرير </w:t>
      </w:r>
      <w:r w:rsidR="00D002D1">
        <w:rPr>
          <w:rFonts w:cs="Traditional Arabic" w:hint="cs"/>
          <w:sz w:val="20"/>
          <w:szCs w:val="30"/>
          <w:rtl/>
        </w:rPr>
        <w:t>ل</w:t>
      </w:r>
      <w:r w:rsidRPr="00F44F54">
        <w:rPr>
          <w:rFonts w:cs="Traditional Arabic"/>
          <w:sz w:val="20"/>
          <w:szCs w:val="30"/>
          <w:rtl/>
        </w:rPr>
        <w:t xml:space="preserve">فريق الخبراء التقنيين </w:t>
      </w:r>
      <w:r w:rsidR="00D002D1">
        <w:rPr>
          <w:rFonts w:cs="Traditional Arabic" w:hint="cs"/>
          <w:sz w:val="20"/>
          <w:szCs w:val="30"/>
          <w:rtl/>
        </w:rPr>
        <w:t>عن</w:t>
      </w:r>
      <w:r w:rsidRPr="00F44F54">
        <w:rPr>
          <w:rFonts w:cs="Traditional Arabic"/>
          <w:sz w:val="20"/>
          <w:szCs w:val="30"/>
          <w:rtl/>
        </w:rPr>
        <w:t xml:space="preserve"> وضع التوجيهات </w:t>
      </w:r>
      <w:r w:rsidR="00D002D1">
        <w:rPr>
          <w:rFonts w:cs="Traditional Arabic" w:hint="cs"/>
          <w:sz w:val="20"/>
          <w:szCs w:val="30"/>
          <w:rtl/>
        </w:rPr>
        <w:t>المطلوبة</w:t>
      </w:r>
      <w:r w:rsidR="00D002D1">
        <w:rPr>
          <w:rFonts w:cs="Traditional Arabic"/>
          <w:sz w:val="20"/>
          <w:szCs w:val="30"/>
          <w:rtl/>
        </w:rPr>
        <w:t xml:space="preserve"> بم</w:t>
      </w:r>
      <w:r w:rsidR="00D002D1">
        <w:rPr>
          <w:rFonts w:cs="Traditional Arabic" w:hint="cs"/>
          <w:sz w:val="20"/>
          <w:szCs w:val="30"/>
          <w:rtl/>
        </w:rPr>
        <w:t>قتضى</w:t>
      </w:r>
      <w:r w:rsidRPr="00F44F54">
        <w:rPr>
          <w:rFonts w:cs="Traditional Arabic"/>
          <w:sz w:val="20"/>
          <w:szCs w:val="30"/>
          <w:rtl/>
        </w:rPr>
        <w:t xml:space="preserve"> </w:t>
      </w:r>
      <w:r w:rsidR="00D002D1">
        <w:rPr>
          <w:rFonts w:cs="Traditional Arabic" w:hint="cs"/>
          <w:sz w:val="20"/>
          <w:szCs w:val="30"/>
          <w:rtl/>
        </w:rPr>
        <w:t>ال</w:t>
      </w:r>
      <w:r w:rsidRPr="00F44F54">
        <w:rPr>
          <w:rFonts w:cs="Traditional Arabic"/>
          <w:sz w:val="20"/>
          <w:szCs w:val="30"/>
          <w:rtl/>
        </w:rPr>
        <w:t>مادة ٨</w:t>
      </w:r>
      <w:r w:rsidR="00D002D1" w:rsidRPr="00D002D1">
        <w:rPr>
          <w:rFonts w:cs="Traditional Arabic"/>
          <w:sz w:val="20"/>
          <w:szCs w:val="30"/>
          <w:rtl/>
        </w:rPr>
        <w:t xml:space="preserve"> </w:t>
      </w:r>
      <w:r w:rsidR="00D002D1">
        <w:rPr>
          <w:rFonts w:cs="Traditional Arabic" w:hint="cs"/>
          <w:sz w:val="20"/>
          <w:szCs w:val="30"/>
          <w:rtl/>
        </w:rPr>
        <w:t xml:space="preserve">من </w:t>
      </w:r>
      <w:r w:rsidR="00D002D1" w:rsidRPr="00F44F54">
        <w:rPr>
          <w:rFonts w:cs="Traditional Arabic"/>
          <w:sz w:val="20"/>
          <w:szCs w:val="30"/>
          <w:rtl/>
        </w:rPr>
        <w:t>الاتفاقية</w:t>
      </w:r>
      <w:r w:rsidRPr="00F44F54">
        <w:rPr>
          <w:rFonts w:cs="Traditional Arabic"/>
          <w:sz w:val="20"/>
          <w:szCs w:val="30"/>
          <w:rtl/>
        </w:rPr>
        <w:t xml:space="preserve"> </w:t>
      </w:r>
      <w:r w:rsidR="00D002D1" w:rsidRPr="007B023C">
        <w:rPr>
          <w:rFonts w:asciiTheme="majorBidi" w:hAnsiTheme="majorBidi" w:cstheme="majorBidi"/>
          <w:sz w:val="20"/>
          <w:szCs w:val="20"/>
          <w:rtl/>
        </w:rPr>
        <w:t>(</w:t>
      </w:r>
      <w:r w:rsidR="00D002D1" w:rsidRPr="007B023C">
        <w:rPr>
          <w:sz w:val="20"/>
          <w:szCs w:val="20"/>
        </w:rPr>
        <w:t>UNEP(DTIE)/Hg/INC.7/6</w:t>
      </w:r>
      <w:r w:rsidR="00D002D1">
        <w:rPr>
          <w:rFonts w:cs="Traditional Arabic" w:hint="cs"/>
          <w:sz w:val="20"/>
          <w:szCs w:val="30"/>
          <w:rtl/>
        </w:rPr>
        <w:t>، و</w:t>
      </w:r>
      <w:r w:rsidR="00D002D1" w:rsidRPr="007B023C">
        <w:rPr>
          <w:sz w:val="20"/>
          <w:szCs w:val="20"/>
        </w:rPr>
        <w:t>UNEP(DTIE)/Hg/INC.7/6/Add.1</w:t>
      </w:r>
      <w:r w:rsidR="00D002D1">
        <w:rPr>
          <w:rFonts w:cs="Traditional Arabic" w:hint="cs"/>
          <w:sz w:val="20"/>
          <w:szCs w:val="30"/>
          <w:rtl/>
        </w:rPr>
        <w:t>، و</w:t>
      </w:r>
      <w:r w:rsidR="00D002D1" w:rsidRPr="007B023C">
        <w:rPr>
          <w:sz w:val="20"/>
          <w:szCs w:val="20"/>
        </w:rPr>
        <w:t>UNEP(DTIE)/Hg/INC.7/6/Add.2</w:t>
      </w:r>
      <w:r w:rsidR="00D002D1" w:rsidRPr="007B023C">
        <w:rPr>
          <w:rFonts w:asciiTheme="majorBidi" w:hAnsiTheme="majorBidi" w:cstheme="majorBidi"/>
          <w:sz w:val="20"/>
          <w:szCs w:val="20"/>
          <w:rtl/>
        </w:rPr>
        <w:t>)</w:t>
      </w:r>
      <w:r w:rsidR="00D002D1">
        <w:rPr>
          <w:rFonts w:cs="Traditional Arabic" w:hint="cs"/>
          <w:sz w:val="20"/>
          <w:szCs w:val="30"/>
          <w:rtl/>
        </w:rPr>
        <w:t>.</w:t>
      </w:r>
      <w:r w:rsidRPr="00F44F54">
        <w:rPr>
          <w:rFonts w:cs="Traditional Arabic"/>
          <w:sz w:val="20"/>
          <w:szCs w:val="30"/>
          <w:rtl/>
        </w:rPr>
        <w:t xml:space="preserve"> واتفق على أن </w:t>
      </w:r>
      <w:r w:rsidR="005F3E4E">
        <w:rPr>
          <w:rFonts w:cs="Traditional Arabic" w:hint="cs"/>
          <w:sz w:val="20"/>
          <w:szCs w:val="30"/>
          <w:rtl/>
        </w:rPr>
        <w:t xml:space="preserve">يقدم </w:t>
      </w:r>
      <w:r w:rsidR="005F3E4E" w:rsidRPr="00F44F54">
        <w:rPr>
          <w:rFonts w:cs="Traditional Arabic"/>
          <w:sz w:val="20"/>
          <w:szCs w:val="30"/>
          <w:rtl/>
        </w:rPr>
        <w:t xml:space="preserve">إلى مؤتمر الأطراف في دورته الأولى </w:t>
      </w:r>
      <w:r w:rsidRPr="00F44F54">
        <w:rPr>
          <w:rFonts w:cs="Traditional Arabic"/>
          <w:sz w:val="20"/>
          <w:szCs w:val="30"/>
          <w:rtl/>
        </w:rPr>
        <w:t xml:space="preserve">مشروع </w:t>
      </w:r>
      <w:r w:rsidR="005F3E4E">
        <w:rPr>
          <w:rFonts w:cs="Traditional Arabic" w:hint="cs"/>
          <w:sz w:val="20"/>
          <w:szCs w:val="30"/>
          <w:rtl/>
        </w:rPr>
        <w:t>التوجيهات</w:t>
      </w:r>
      <w:r w:rsidR="005F3E4E">
        <w:rPr>
          <w:rFonts w:cs="Traditional Arabic"/>
          <w:sz w:val="20"/>
          <w:szCs w:val="30"/>
          <w:rtl/>
        </w:rPr>
        <w:t xml:space="preserve"> الوارد</w:t>
      </w:r>
      <w:r w:rsidRPr="00F44F54">
        <w:rPr>
          <w:rFonts w:cs="Traditional Arabic"/>
          <w:sz w:val="20"/>
          <w:szCs w:val="30"/>
          <w:rtl/>
        </w:rPr>
        <w:t xml:space="preserve"> في الوثيقة </w:t>
      </w:r>
      <w:r w:rsidR="005F3E4E" w:rsidRPr="007B023C">
        <w:rPr>
          <w:sz w:val="20"/>
          <w:szCs w:val="20"/>
        </w:rPr>
        <w:t>UNEP(DTIE)/Hg/INC.7/6.Add.1</w:t>
      </w:r>
      <w:r w:rsidRPr="00F44F54">
        <w:rPr>
          <w:rFonts w:cs="Traditional Arabic"/>
          <w:sz w:val="20"/>
          <w:szCs w:val="30"/>
          <w:rtl/>
        </w:rPr>
        <w:t xml:space="preserve"> </w:t>
      </w:r>
      <w:r w:rsidR="005F3E4E">
        <w:rPr>
          <w:rFonts w:cs="Traditional Arabic" w:hint="cs"/>
          <w:sz w:val="20"/>
          <w:szCs w:val="30"/>
          <w:rtl/>
        </w:rPr>
        <w:t>الم</w:t>
      </w:r>
      <w:r w:rsidRPr="00F44F54">
        <w:rPr>
          <w:rFonts w:cs="Traditional Arabic"/>
          <w:sz w:val="20"/>
          <w:szCs w:val="30"/>
          <w:rtl/>
        </w:rPr>
        <w:t>عدل</w:t>
      </w:r>
      <w:r w:rsidR="0037741C">
        <w:rPr>
          <w:rFonts w:cs="Traditional Arabic" w:hint="cs"/>
          <w:sz w:val="20"/>
          <w:szCs w:val="30"/>
          <w:rtl/>
        </w:rPr>
        <w:t xml:space="preserve"> بصيغته الواردة</w:t>
      </w:r>
      <w:r w:rsidRPr="00F44F54">
        <w:rPr>
          <w:rFonts w:cs="Traditional Arabic"/>
          <w:sz w:val="20"/>
          <w:szCs w:val="30"/>
          <w:rtl/>
        </w:rPr>
        <w:t xml:space="preserve"> في المرفق الثالث </w:t>
      </w:r>
      <w:r w:rsidR="0037741C">
        <w:rPr>
          <w:rFonts w:cs="Traditional Arabic" w:hint="cs"/>
          <w:sz w:val="20"/>
          <w:szCs w:val="30"/>
          <w:rtl/>
        </w:rPr>
        <w:t>ب</w:t>
      </w:r>
      <w:r w:rsidRPr="00F44F54">
        <w:rPr>
          <w:rFonts w:cs="Traditional Arabic"/>
          <w:sz w:val="20"/>
          <w:szCs w:val="30"/>
          <w:rtl/>
        </w:rPr>
        <w:t>تقرير لجنة التفاوض الحكومية الدولية لإعداد صك عالمي ملزم قانونا</w:t>
      </w:r>
      <w:r w:rsidR="000A4605">
        <w:rPr>
          <w:rFonts w:cs="Traditional Arabic" w:hint="cs"/>
          <w:sz w:val="20"/>
          <w:szCs w:val="30"/>
          <w:rtl/>
        </w:rPr>
        <w:t>ً</w:t>
      </w:r>
      <w:r w:rsidRPr="00F44F54">
        <w:rPr>
          <w:rFonts w:cs="Traditional Arabic"/>
          <w:sz w:val="20"/>
          <w:szCs w:val="30"/>
          <w:rtl/>
        </w:rPr>
        <w:t xml:space="preserve"> بشأن الزئبق عن أعمال دورته</w:t>
      </w:r>
      <w:r w:rsidR="005F3E4E">
        <w:rPr>
          <w:rFonts w:cs="Traditional Arabic" w:hint="cs"/>
          <w:sz w:val="20"/>
          <w:szCs w:val="30"/>
          <w:rtl/>
        </w:rPr>
        <w:t>ا</w:t>
      </w:r>
      <w:r w:rsidRPr="00F44F54">
        <w:rPr>
          <w:rFonts w:cs="Traditional Arabic"/>
          <w:sz w:val="20"/>
          <w:szCs w:val="30"/>
          <w:rtl/>
        </w:rPr>
        <w:t xml:space="preserve"> السابعة </w:t>
      </w:r>
      <w:r w:rsidR="005F3E4E" w:rsidRPr="000A4605">
        <w:rPr>
          <w:rFonts w:asciiTheme="majorBidi" w:hAnsiTheme="majorBidi" w:cstheme="majorBidi"/>
          <w:sz w:val="20"/>
          <w:szCs w:val="20"/>
          <w:rtl/>
        </w:rPr>
        <w:t>(</w:t>
      </w:r>
      <w:r w:rsidR="005F3E4E" w:rsidRPr="000A4605">
        <w:rPr>
          <w:rFonts w:asciiTheme="majorBidi" w:hAnsiTheme="majorBidi" w:cstheme="majorBidi"/>
          <w:sz w:val="20"/>
          <w:szCs w:val="20"/>
        </w:rPr>
        <w:t>UNEP(DTIE)/Hg/INC.7/22/Rev.1</w:t>
      </w:r>
      <w:r w:rsidR="005F3E4E" w:rsidRPr="000A4605">
        <w:rPr>
          <w:rFonts w:asciiTheme="majorBidi" w:hAnsiTheme="majorBidi" w:cstheme="majorBidi"/>
          <w:sz w:val="20"/>
          <w:szCs w:val="20"/>
          <w:rtl/>
        </w:rPr>
        <w:t>)</w:t>
      </w:r>
      <w:r w:rsidRPr="00F44F54">
        <w:rPr>
          <w:rFonts w:cs="Traditional Arabic"/>
          <w:sz w:val="20"/>
          <w:szCs w:val="30"/>
          <w:rtl/>
        </w:rPr>
        <w:t xml:space="preserve"> ومشروع التوجيهات بشأن دعم الأطراف في تنفيذ التدابير المبينة في الفقرة ٥ من المادة ٨، ولا</w:t>
      </w:r>
      <w:r w:rsidR="007B023C">
        <w:rPr>
          <w:rFonts w:cs="Traditional Arabic" w:hint="cs"/>
          <w:sz w:val="20"/>
          <w:szCs w:val="30"/>
          <w:rtl/>
        </w:rPr>
        <w:t> </w:t>
      </w:r>
      <w:r w:rsidRPr="00F44F54">
        <w:rPr>
          <w:rFonts w:cs="Traditional Arabic"/>
          <w:sz w:val="20"/>
          <w:szCs w:val="30"/>
          <w:rtl/>
        </w:rPr>
        <w:t xml:space="preserve">سيما في تحديد الأهداف </w:t>
      </w:r>
      <w:r w:rsidR="008B78CB">
        <w:rPr>
          <w:rFonts w:cs="Traditional Arabic" w:hint="cs"/>
          <w:sz w:val="20"/>
          <w:szCs w:val="30"/>
          <w:rtl/>
        </w:rPr>
        <w:t>وتحديد</w:t>
      </w:r>
      <w:r w:rsidRPr="00F44F54">
        <w:rPr>
          <w:rFonts w:cs="Traditional Arabic"/>
          <w:sz w:val="20"/>
          <w:szCs w:val="30"/>
          <w:rtl/>
        </w:rPr>
        <w:t xml:space="preserve"> القيم الحدية </w:t>
      </w:r>
      <w:r w:rsidRPr="00F44F54">
        <w:rPr>
          <w:rFonts w:cs="Traditional Arabic"/>
          <w:sz w:val="20"/>
          <w:szCs w:val="30"/>
          <w:rtl/>
        </w:rPr>
        <w:lastRenderedPageBreak/>
        <w:t xml:space="preserve">للانبعاثات </w:t>
      </w:r>
      <w:r w:rsidR="005F3E4E" w:rsidRPr="000A4605">
        <w:rPr>
          <w:rFonts w:asciiTheme="majorBidi" w:hAnsiTheme="majorBidi" w:cstheme="majorBidi"/>
          <w:sz w:val="20"/>
          <w:szCs w:val="20"/>
          <w:rtl/>
        </w:rPr>
        <w:t>(</w:t>
      </w:r>
      <w:r w:rsidR="005F3E4E" w:rsidRPr="000A4605">
        <w:rPr>
          <w:rFonts w:asciiTheme="majorBidi" w:hAnsiTheme="majorBidi" w:cstheme="majorBidi"/>
          <w:sz w:val="20"/>
          <w:szCs w:val="20"/>
        </w:rPr>
        <w:t>UNEP(DTIE)/Hg/INC.7/6/Add.2</w:t>
      </w:r>
      <w:r w:rsidR="005F3E4E" w:rsidRPr="000A4605">
        <w:rPr>
          <w:rFonts w:asciiTheme="majorBidi" w:hAnsiTheme="majorBidi" w:cstheme="majorBidi"/>
          <w:sz w:val="20"/>
          <w:szCs w:val="20"/>
          <w:rtl/>
        </w:rPr>
        <w:t>)</w:t>
      </w:r>
      <w:r w:rsidRPr="00F44F54">
        <w:rPr>
          <w:rFonts w:cs="Traditional Arabic"/>
          <w:sz w:val="20"/>
          <w:szCs w:val="30"/>
          <w:rtl/>
        </w:rPr>
        <w:t xml:space="preserve">، </w:t>
      </w:r>
      <w:r w:rsidR="005F3E4E">
        <w:rPr>
          <w:rFonts w:cs="Traditional Arabic" w:hint="cs"/>
          <w:sz w:val="20"/>
          <w:szCs w:val="30"/>
          <w:rtl/>
        </w:rPr>
        <w:t>لاعتمادها</w:t>
      </w:r>
      <w:r w:rsidRPr="00F44F54">
        <w:rPr>
          <w:rFonts w:cs="Traditional Arabic"/>
          <w:sz w:val="20"/>
          <w:szCs w:val="30"/>
          <w:rtl/>
        </w:rPr>
        <w:t xml:space="preserve">. </w:t>
      </w:r>
      <w:r w:rsidR="00BC1E10">
        <w:rPr>
          <w:rFonts w:cs="Traditional Arabic" w:hint="cs"/>
          <w:sz w:val="20"/>
          <w:szCs w:val="30"/>
          <w:rtl/>
        </w:rPr>
        <w:t xml:space="preserve">ويرد </w:t>
      </w:r>
      <w:r w:rsidRPr="00F44F54">
        <w:rPr>
          <w:rFonts w:cs="Traditional Arabic"/>
          <w:sz w:val="20"/>
          <w:szCs w:val="30"/>
          <w:rtl/>
        </w:rPr>
        <w:t xml:space="preserve">مشروع مقرر </w:t>
      </w:r>
      <w:r w:rsidR="00F42116">
        <w:rPr>
          <w:rFonts w:cs="Traditional Arabic" w:hint="cs"/>
          <w:sz w:val="20"/>
          <w:szCs w:val="30"/>
          <w:rtl/>
        </w:rPr>
        <w:t>ل</w:t>
      </w:r>
      <w:r w:rsidRPr="00F44F54">
        <w:rPr>
          <w:rFonts w:cs="Traditional Arabic"/>
          <w:sz w:val="20"/>
          <w:szCs w:val="30"/>
          <w:rtl/>
        </w:rPr>
        <w:t xml:space="preserve">اعتماد التوجيهات في </w:t>
      </w:r>
      <w:r w:rsidR="00F42116">
        <w:rPr>
          <w:rFonts w:cs="Traditional Arabic" w:hint="cs"/>
          <w:sz w:val="20"/>
          <w:szCs w:val="30"/>
          <w:rtl/>
        </w:rPr>
        <w:t xml:space="preserve">شكل </w:t>
      </w:r>
      <w:r w:rsidRPr="00F44F54">
        <w:rPr>
          <w:rFonts w:cs="Traditional Arabic"/>
          <w:sz w:val="20"/>
          <w:szCs w:val="30"/>
          <w:rtl/>
        </w:rPr>
        <w:t>الم</w:t>
      </w:r>
      <w:r w:rsidR="00F42116">
        <w:rPr>
          <w:rFonts w:cs="Traditional Arabic"/>
          <w:sz w:val="20"/>
          <w:szCs w:val="30"/>
          <w:rtl/>
        </w:rPr>
        <w:t>رفق الأول لهذه المذكرة</w:t>
      </w:r>
      <w:r w:rsidR="00F42116">
        <w:rPr>
          <w:rFonts w:cs="Traditional Arabic" w:hint="cs"/>
          <w:sz w:val="20"/>
          <w:szCs w:val="30"/>
          <w:rtl/>
        </w:rPr>
        <w:t xml:space="preserve"> بينما ترد ال</w:t>
      </w:r>
      <w:r w:rsidRPr="00F44F54">
        <w:rPr>
          <w:rFonts w:cs="Traditional Arabic"/>
          <w:sz w:val="20"/>
          <w:szCs w:val="30"/>
          <w:rtl/>
        </w:rPr>
        <w:t>توجيهات بشأن أفضل التقنيات المتاحة وأفضل الممارسات البيئية في المرفق الثاني؛ و</w:t>
      </w:r>
      <w:r w:rsidR="00F42116">
        <w:rPr>
          <w:rFonts w:cs="Traditional Arabic" w:hint="cs"/>
          <w:sz w:val="20"/>
          <w:szCs w:val="30"/>
          <w:rtl/>
        </w:rPr>
        <w:t>ترد ال</w:t>
      </w:r>
      <w:r w:rsidRPr="00F44F54">
        <w:rPr>
          <w:rFonts w:cs="Traditional Arabic"/>
          <w:sz w:val="20"/>
          <w:szCs w:val="30"/>
          <w:rtl/>
        </w:rPr>
        <w:t>توجيهات بشأن تنفيذ التدابير المبينة في الفقرة ٥ من المادة ٨ في المرفق الثالث</w:t>
      </w:r>
      <w:r w:rsidR="00A260EF" w:rsidRPr="003033D5">
        <w:rPr>
          <w:rFonts w:cs="Traditional Arabic"/>
          <w:sz w:val="20"/>
          <w:szCs w:val="30"/>
          <w:vertAlign w:val="superscript"/>
          <w:rtl/>
        </w:rPr>
        <w:t>(</w:t>
      </w:r>
      <w:r w:rsidR="00A260EF" w:rsidRPr="00A260EF">
        <w:rPr>
          <w:rStyle w:val="FootnoteReference"/>
          <w:rFonts w:cs="Traditional Arabic"/>
          <w:sz w:val="20"/>
          <w:szCs w:val="30"/>
          <w:rtl/>
        </w:rPr>
        <w:footnoteReference w:id="2"/>
      </w:r>
      <w:r w:rsidR="00A260EF" w:rsidRPr="003033D5">
        <w:rPr>
          <w:rFonts w:cs="Traditional Arabic"/>
          <w:sz w:val="20"/>
          <w:szCs w:val="30"/>
          <w:vertAlign w:val="superscript"/>
          <w:rtl/>
        </w:rPr>
        <w:t>)</w:t>
      </w:r>
      <w:r w:rsidRPr="00F44F54">
        <w:rPr>
          <w:rFonts w:cs="Traditional Arabic"/>
          <w:sz w:val="20"/>
          <w:szCs w:val="30"/>
          <w:rtl/>
        </w:rPr>
        <w:t>.</w:t>
      </w:r>
    </w:p>
    <w:p w:rsidR="00F42116" w:rsidRPr="00F42116" w:rsidRDefault="00F42116" w:rsidP="00F42116">
      <w:pPr>
        <w:tabs>
          <w:tab w:val="left" w:pos="1841"/>
        </w:tabs>
        <w:spacing w:after="120" w:line="400" w:lineRule="exact"/>
        <w:ind w:left="1134"/>
        <w:jc w:val="both"/>
        <w:textDirection w:val="tbRlV"/>
        <w:rPr>
          <w:rFonts w:cs="Traditional Arabic"/>
          <w:b/>
          <w:bCs/>
          <w:sz w:val="20"/>
          <w:szCs w:val="30"/>
          <w:rtl/>
        </w:rPr>
      </w:pPr>
      <w:r w:rsidRPr="00F42116">
        <w:rPr>
          <w:rFonts w:cs="Traditional Arabic" w:hint="cs"/>
          <w:b/>
          <w:bCs/>
          <w:sz w:val="20"/>
          <w:szCs w:val="30"/>
          <w:rtl/>
        </w:rPr>
        <w:t>الإجراء المقترح اتخاذه من جانب مؤتمر الأطراف</w:t>
      </w:r>
    </w:p>
    <w:p w:rsidR="00F44F54" w:rsidRDefault="00A260EF" w:rsidP="0037741C">
      <w:pPr>
        <w:tabs>
          <w:tab w:val="left" w:pos="1841"/>
        </w:tabs>
        <w:spacing w:after="120" w:line="400" w:lineRule="exact"/>
        <w:ind w:left="1134"/>
        <w:jc w:val="both"/>
        <w:textDirection w:val="tbRlV"/>
        <w:rPr>
          <w:rFonts w:cs="Traditional Arabic"/>
          <w:sz w:val="20"/>
          <w:szCs w:val="30"/>
          <w:rtl/>
        </w:rPr>
      </w:pPr>
      <w:r>
        <w:rPr>
          <w:rFonts w:cs="Traditional Arabic" w:hint="cs"/>
          <w:sz w:val="20"/>
          <w:szCs w:val="30"/>
          <w:rtl/>
        </w:rPr>
        <w:t xml:space="preserve">1 </w:t>
      </w:r>
      <w:r w:rsidR="00F44F54">
        <w:rPr>
          <w:rFonts w:cs="Traditional Arabic" w:hint="cs"/>
          <w:sz w:val="20"/>
          <w:szCs w:val="30"/>
          <w:rtl/>
        </w:rPr>
        <w:t>-</w:t>
      </w:r>
      <w:r w:rsidR="00F44F54">
        <w:rPr>
          <w:rFonts w:cs="Traditional Arabic" w:hint="cs"/>
          <w:sz w:val="20"/>
          <w:szCs w:val="30"/>
          <w:rtl/>
        </w:rPr>
        <w:tab/>
      </w:r>
      <w:r w:rsidR="00F44F54" w:rsidRPr="00F44F54">
        <w:rPr>
          <w:rFonts w:cs="Traditional Arabic"/>
          <w:sz w:val="20"/>
          <w:szCs w:val="30"/>
          <w:rtl/>
        </w:rPr>
        <w:t>قد يرغب مؤتمر</w:t>
      </w:r>
      <w:r w:rsidR="0037741C">
        <w:rPr>
          <w:rFonts w:cs="Traditional Arabic" w:hint="cs"/>
          <w:sz w:val="20"/>
          <w:szCs w:val="30"/>
          <w:rtl/>
        </w:rPr>
        <w:t xml:space="preserve"> الأطراف</w:t>
      </w:r>
      <w:r w:rsidR="00F44F54" w:rsidRPr="00F44F54">
        <w:rPr>
          <w:rFonts w:cs="Traditional Arabic"/>
          <w:sz w:val="20"/>
          <w:szCs w:val="30"/>
          <w:rtl/>
        </w:rPr>
        <w:t xml:space="preserve"> في أن يعتمد رسمياً التوجيهات المتعلقة بالفقرة 8 من المادة 8 </w:t>
      </w:r>
      <w:r w:rsidR="00AD30BF">
        <w:rPr>
          <w:rFonts w:cs="Traditional Arabic" w:hint="cs"/>
          <w:sz w:val="20"/>
          <w:szCs w:val="30"/>
          <w:rtl/>
        </w:rPr>
        <w:t>بالصيغة الت</w:t>
      </w:r>
      <w:r w:rsidR="00F44F54" w:rsidRPr="00F44F54">
        <w:rPr>
          <w:rFonts w:cs="Traditional Arabic"/>
          <w:sz w:val="20"/>
          <w:szCs w:val="30"/>
          <w:rtl/>
        </w:rPr>
        <w:t>ي قدمته</w:t>
      </w:r>
      <w:r w:rsidR="00AD30BF">
        <w:rPr>
          <w:rFonts w:cs="Traditional Arabic" w:hint="cs"/>
          <w:sz w:val="20"/>
          <w:szCs w:val="30"/>
          <w:rtl/>
        </w:rPr>
        <w:t>ا</w:t>
      </w:r>
      <w:r w:rsidR="00F44F54" w:rsidRPr="00F44F54">
        <w:rPr>
          <w:rFonts w:cs="Traditional Arabic"/>
          <w:sz w:val="20"/>
          <w:szCs w:val="30"/>
          <w:rtl/>
        </w:rPr>
        <w:t xml:space="preserve"> لجنة التفاوض الحكومية الدولية.</w:t>
      </w:r>
    </w:p>
    <w:p w:rsidR="00F44F54" w:rsidRDefault="00F44F54" w:rsidP="000A4605">
      <w:pPr>
        <w:ind w:left="1132"/>
        <w:rPr>
          <w:rFonts w:cs="Traditional Arabic"/>
          <w:sz w:val="20"/>
          <w:szCs w:val="30"/>
        </w:rPr>
      </w:pPr>
      <w:r>
        <w:rPr>
          <w:rFonts w:cs="Traditional Arabic"/>
          <w:sz w:val="20"/>
          <w:szCs w:val="30"/>
          <w:rtl/>
        </w:rPr>
        <w:br w:type="page"/>
      </w:r>
    </w:p>
    <w:p w:rsidR="00F44F54" w:rsidRPr="000A4605" w:rsidRDefault="00F44F54" w:rsidP="000A4605">
      <w:pPr>
        <w:tabs>
          <w:tab w:val="left" w:pos="1841"/>
        </w:tabs>
        <w:spacing w:after="360" w:line="400" w:lineRule="exact"/>
        <w:jc w:val="both"/>
        <w:textDirection w:val="tbRlV"/>
        <w:rPr>
          <w:rFonts w:cs="Traditional Arabic"/>
          <w:b/>
          <w:bCs/>
          <w:sz w:val="34"/>
          <w:szCs w:val="34"/>
          <w:rtl/>
        </w:rPr>
      </w:pPr>
      <w:r w:rsidRPr="000A4605">
        <w:rPr>
          <w:rFonts w:cs="Traditional Arabic" w:hint="cs"/>
          <w:b/>
          <w:bCs/>
          <w:sz w:val="34"/>
          <w:szCs w:val="34"/>
          <w:rtl/>
        </w:rPr>
        <w:t>المرفق الأول</w:t>
      </w:r>
    </w:p>
    <w:p w:rsidR="00F44F54" w:rsidRPr="00283C0F" w:rsidRDefault="00A20BAE" w:rsidP="00194C2F">
      <w:pPr>
        <w:tabs>
          <w:tab w:val="left" w:pos="1841"/>
        </w:tabs>
        <w:spacing w:after="120" w:line="400" w:lineRule="exact"/>
        <w:ind w:left="1132"/>
        <w:jc w:val="both"/>
        <w:textDirection w:val="tbRlV"/>
        <w:rPr>
          <w:rFonts w:cs="Traditional Arabic"/>
          <w:b/>
          <w:bCs/>
          <w:sz w:val="20"/>
          <w:szCs w:val="30"/>
          <w:rtl/>
        </w:rPr>
      </w:pPr>
      <w:r>
        <w:rPr>
          <w:rFonts w:cs="Traditional Arabic" w:hint="cs"/>
          <w:b/>
          <w:bCs/>
          <w:sz w:val="20"/>
          <w:szCs w:val="30"/>
          <w:rtl/>
        </w:rPr>
        <w:t xml:space="preserve">مشروع المقرر </w:t>
      </w:r>
      <w:r w:rsidR="00F44F54" w:rsidRPr="00283C0F">
        <w:rPr>
          <w:rFonts w:cs="Traditional Arabic" w:hint="cs"/>
          <w:b/>
          <w:bCs/>
          <w:sz w:val="20"/>
          <w:szCs w:val="30"/>
          <w:rtl/>
        </w:rPr>
        <w:t xml:space="preserve">ا م </w:t>
      </w:r>
      <w:r w:rsidR="000A4605">
        <w:rPr>
          <w:rFonts w:cs="Traditional Arabic" w:hint="cs"/>
          <w:b/>
          <w:bCs/>
          <w:sz w:val="20"/>
          <w:szCs w:val="30"/>
          <w:rtl/>
        </w:rPr>
        <w:t>-</w:t>
      </w:r>
      <w:r w:rsidR="00F44F54" w:rsidRPr="00283C0F">
        <w:rPr>
          <w:rFonts w:cs="Traditional Arabic" w:hint="cs"/>
          <w:b/>
          <w:bCs/>
          <w:sz w:val="20"/>
          <w:szCs w:val="30"/>
          <w:rtl/>
        </w:rPr>
        <w:t xml:space="preserve"> 1/</w:t>
      </w:r>
      <w:r>
        <w:rPr>
          <w:rFonts w:cs="Traditional Arabic" w:hint="cs"/>
          <w:b/>
          <w:bCs/>
          <w:sz w:val="20"/>
          <w:szCs w:val="30"/>
          <w:rtl/>
        </w:rPr>
        <w:t>[</w:t>
      </w:r>
      <w:r w:rsidR="000A4605" w:rsidRPr="00283C0F">
        <w:rPr>
          <w:rFonts w:cs="Traditional Arabic"/>
          <w:b/>
          <w:bCs/>
          <w:szCs w:val="32"/>
        </w:rPr>
        <w:t>XX</w:t>
      </w:r>
      <w:r>
        <w:rPr>
          <w:rFonts w:cs="Traditional Arabic" w:hint="cs"/>
          <w:b/>
          <w:bCs/>
          <w:sz w:val="20"/>
          <w:szCs w:val="30"/>
          <w:rtl/>
        </w:rPr>
        <w:t>]</w:t>
      </w:r>
      <w:r w:rsidR="00F44F54" w:rsidRPr="00283C0F">
        <w:rPr>
          <w:rFonts w:cs="Traditional Arabic"/>
          <w:b/>
          <w:bCs/>
          <w:sz w:val="20"/>
          <w:szCs w:val="30"/>
          <w:rtl/>
        </w:rPr>
        <w:t xml:space="preserve">: توجيهات </w:t>
      </w:r>
      <w:r w:rsidR="00283C0F">
        <w:rPr>
          <w:rFonts w:cs="Traditional Arabic" w:hint="cs"/>
          <w:b/>
          <w:bCs/>
          <w:sz w:val="20"/>
          <w:szCs w:val="30"/>
          <w:rtl/>
        </w:rPr>
        <w:t>ت</w:t>
      </w:r>
      <w:r w:rsidR="00F44F54" w:rsidRPr="00283C0F">
        <w:rPr>
          <w:rFonts w:cs="Traditional Arabic"/>
          <w:b/>
          <w:bCs/>
          <w:sz w:val="20"/>
          <w:szCs w:val="30"/>
          <w:rtl/>
        </w:rPr>
        <w:t>تعلق بانبعاثات الزئبق</w:t>
      </w:r>
    </w:p>
    <w:p w:rsidR="00F44F54" w:rsidRPr="007B023C" w:rsidRDefault="00F44F54" w:rsidP="00194C2F">
      <w:pPr>
        <w:tabs>
          <w:tab w:val="left" w:pos="1841"/>
        </w:tabs>
        <w:spacing w:after="120" w:line="400" w:lineRule="exact"/>
        <w:ind w:left="1132"/>
        <w:jc w:val="both"/>
        <w:textDirection w:val="tbRlV"/>
        <w:rPr>
          <w:rFonts w:cs="Traditional Arabic"/>
          <w:sz w:val="20"/>
          <w:szCs w:val="30"/>
          <w:rtl/>
        </w:rPr>
      </w:pPr>
      <w:r w:rsidRPr="00283C0F">
        <w:rPr>
          <w:rFonts w:cs="Traditional Arabic" w:hint="cs"/>
          <w:i/>
          <w:iCs/>
          <w:sz w:val="20"/>
          <w:szCs w:val="30"/>
          <w:rtl/>
        </w:rPr>
        <w:tab/>
      </w:r>
      <w:r w:rsidRPr="00283C0F">
        <w:rPr>
          <w:rFonts w:cs="Traditional Arabic"/>
          <w:i/>
          <w:iCs/>
          <w:sz w:val="20"/>
          <w:szCs w:val="30"/>
          <w:rtl/>
        </w:rPr>
        <w:t>إن مؤتمر الأطراف،</w:t>
      </w:r>
    </w:p>
    <w:p w:rsidR="00F44F54" w:rsidRPr="00F44F54" w:rsidRDefault="00F44F54" w:rsidP="00194C2F">
      <w:pPr>
        <w:tabs>
          <w:tab w:val="left" w:pos="1841"/>
        </w:tabs>
        <w:spacing w:after="120" w:line="400" w:lineRule="exact"/>
        <w:ind w:left="1132"/>
        <w:jc w:val="both"/>
        <w:textDirection w:val="tbRlV"/>
        <w:rPr>
          <w:rFonts w:cs="Traditional Arabic"/>
          <w:sz w:val="20"/>
          <w:szCs w:val="30"/>
          <w:rtl/>
        </w:rPr>
      </w:pPr>
      <w:r>
        <w:rPr>
          <w:rFonts w:cs="Traditional Arabic" w:hint="cs"/>
          <w:sz w:val="20"/>
          <w:szCs w:val="30"/>
          <w:rtl/>
        </w:rPr>
        <w:tab/>
      </w:r>
      <w:r w:rsidRPr="00283C0F">
        <w:rPr>
          <w:rFonts w:cs="Traditional Arabic"/>
          <w:i/>
          <w:iCs/>
          <w:sz w:val="20"/>
          <w:szCs w:val="30"/>
          <w:rtl/>
        </w:rPr>
        <w:t xml:space="preserve">إذ </w:t>
      </w:r>
      <w:r w:rsidRPr="00283C0F">
        <w:rPr>
          <w:rFonts w:cs="Traditional Arabic" w:hint="cs"/>
          <w:i/>
          <w:iCs/>
          <w:sz w:val="20"/>
          <w:szCs w:val="30"/>
          <w:rtl/>
        </w:rPr>
        <w:t>ي</w:t>
      </w:r>
      <w:r w:rsidRPr="00283C0F">
        <w:rPr>
          <w:rFonts w:cs="Traditional Arabic"/>
          <w:i/>
          <w:iCs/>
          <w:sz w:val="20"/>
          <w:szCs w:val="30"/>
          <w:rtl/>
        </w:rPr>
        <w:t>سلم</w:t>
      </w:r>
      <w:r w:rsidRPr="00F44F54">
        <w:rPr>
          <w:rFonts w:cs="Traditional Arabic"/>
          <w:sz w:val="20"/>
          <w:szCs w:val="30"/>
          <w:rtl/>
        </w:rPr>
        <w:t xml:space="preserve"> بأهمية </w:t>
      </w:r>
      <w:r w:rsidR="008B78CB">
        <w:rPr>
          <w:rFonts w:cs="Traditional Arabic" w:hint="cs"/>
          <w:sz w:val="20"/>
          <w:szCs w:val="30"/>
          <w:rtl/>
        </w:rPr>
        <w:t>الرقابة على</w:t>
      </w:r>
      <w:r w:rsidRPr="00F44F54">
        <w:rPr>
          <w:rFonts w:cs="Traditional Arabic"/>
          <w:sz w:val="20"/>
          <w:szCs w:val="30"/>
          <w:rtl/>
        </w:rPr>
        <w:t xml:space="preserve"> انبعاثات الزئبق في تحقيق هدف الاتفاقية،</w:t>
      </w:r>
    </w:p>
    <w:p w:rsidR="00F44F54" w:rsidRDefault="00F44F54" w:rsidP="00194C2F">
      <w:pPr>
        <w:tabs>
          <w:tab w:val="left" w:pos="2408"/>
        </w:tabs>
        <w:spacing w:after="120" w:line="400" w:lineRule="exact"/>
        <w:ind w:left="1841"/>
        <w:jc w:val="both"/>
        <w:textDirection w:val="tbRlV"/>
        <w:rPr>
          <w:rFonts w:cs="Traditional Arabic"/>
          <w:sz w:val="20"/>
          <w:szCs w:val="30"/>
          <w:rtl/>
        </w:rPr>
      </w:pPr>
      <w:r>
        <w:rPr>
          <w:rFonts w:cs="Traditional Arabic" w:hint="cs"/>
          <w:sz w:val="20"/>
          <w:szCs w:val="30"/>
          <w:rtl/>
        </w:rPr>
        <w:tab/>
      </w:r>
      <w:r w:rsidRPr="00300C09">
        <w:rPr>
          <w:rFonts w:cs="Traditional Arabic"/>
          <w:i/>
          <w:iCs/>
          <w:sz w:val="20"/>
          <w:szCs w:val="30"/>
          <w:rtl/>
        </w:rPr>
        <w:t>يقرر</w:t>
      </w:r>
      <w:r w:rsidRPr="00F44F54">
        <w:rPr>
          <w:rFonts w:cs="Traditional Arabic"/>
          <w:sz w:val="20"/>
          <w:szCs w:val="30"/>
          <w:rtl/>
        </w:rPr>
        <w:t xml:space="preserve"> اعتماد </w:t>
      </w:r>
      <w:r w:rsidR="008B78CB">
        <w:rPr>
          <w:rFonts w:cs="Traditional Arabic" w:hint="cs"/>
          <w:sz w:val="20"/>
          <w:szCs w:val="30"/>
          <w:rtl/>
        </w:rPr>
        <w:t>التوجيهات</w:t>
      </w:r>
      <w:r w:rsidRPr="00F44F54">
        <w:rPr>
          <w:rFonts w:cs="Traditional Arabic"/>
          <w:sz w:val="20"/>
          <w:szCs w:val="30"/>
          <w:rtl/>
        </w:rPr>
        <w:t xml:space="preserve"> </w:t>
      </w:r>
      <w:r w:rsidR="008B78CB">
        <w:rPr>
          <w:rFonts w:cs="Traditional Arabic" w:hint="cs"/>
          <w:sz w:val="20"/>
          <w:szCs w:val="30"/>
          <w:rtl/>
        </w:rPr>
        <w:t>المتعلقة ب</w:t>
      </w:r>
      <w:r w:rsidR="008B78CB">
        <w:rPr>
          <w:rFonts w:cs="Traditional Arabic"/>
          <w:sz w:val="20"/>
          <w:szCs w:val="30"/>
          <w:rtl/>
        </w:rPr>
        <w:t>المادة ٨، وبخاصة فقر</w:t>
      </w:r>
      <w:r w:rsidR="008B78CB">
        <w:rPr>
          <w:rFonts w:cs="Traditional Arabic" w:hint="cs"/>
          <w:sz w:val="20"/>
          <w:szCs w:val="30"/>
          <w:rtl/>
        </w:rPr>
        <w:t>تيها</w:t>
      </w:r>
      <w:r w:rsidRPr="00F44F54">
        <w:rPr>
          <w:rFonts w:cs="Traditional Arabic"/>
          <w:sz w:val="20"/>
          <w:szCs w:val="30"/>
          <w:rtl/>
        </w:rPr>
        <w:t xml:space="preserve"> </w:t>
      </w:r>
      <w:r w:rsidR="008B78CB">
        <w:rPr>
          <w:rFonts w:cs="Traditional Arabic" w:hint="cs"/>
          <w:sz w:val="20"/>
          <w:szCs w:val="30"/>
          <w:rtl/>
        </w:rPr>
        <w:t xml:space="preserve">8 </w:t>
      </w:r>
      <w:r w:rsidRPr="00F44F54">
        <w:rPr>
          <w:rFonts w:cs="Traditional Arabic"/>
          <w:sz w:val="20"/>
          <w:szCs w:val="30"/>
          <w:rtl/>
        </w:rPr>
        <w:t>(أ) و</w:t>
      </w:r>
      <w:r w:rsidR="008B78CB">
        <w:rPr>
          <w:rFonts w:cs="Traditional Arabic" w:hint="cs"/>
          <w:sz w:val="20"/>
          <w:szCs w:val="30"/>
          <w:rtl/>
        </w:rPr>
        <w:t>8</w:t>
      </w:r>
      <w:r w:rsidR="008B78CB">
        <w:rPr>
          <w:rFonts w:cs="Traditional Arabic"/>
          <w:sz w:val="20"/>
          <w:szCs w:val="30"/>
          <w:rtl/>
        </w:rPr>
        <w:t xml:space="preserve"> (ب)</w:t>
      </w:r>
      <w:r w:rsidRPr="00F44F54">
        <w:rPr>
          <w:rFonts w:cs="Traditional Arabic"/>
          <w:sz w:val="20"/>
          <w:szCs w:val="30"/>
          <w:rtl/>
        </w:rPr>
        <w:t>، بشأن أفضل التقنيات المتاحة وأفضل الممارسات البيئية، آخذا</w:t>
      </w:r>
      <w:r w:rsidR="007911CF">
        <w:rPr>
          <w:rFonts w:cs="Traditional Arabic" w:hint="cs"/>
          <w:sz w:val="20"/>
          <w:szCs w:val="30"/>
          <w:rtl/>
          <w:lang w:val="en-GB"/>
        </w:rPr>
        <w:t>ً</w:t>
      </w:r>
      <w:r w:rsidRPr="00F44F54">
        <w:rPr>
          <w:rFonts w:cs="Traditional Arabic"/>
          <w:sz w:val="20"/>
          <w:szCs w:val="30"/>
          <w:rtl/>
        </w:rPr>
        <w:t xml:space="preserve"> في الاعتبار أي اختلافات بين المصادر الجديدة والقائمة والحاجة إلى </w:t>
      </w:r>
      <w:r w:rsidR="008B78CB">
        <w:rPr>
          <w:rFonts w:cs="Traditional Arabic" w:hint="cs"/>
          <w:sz w:val="20"/>
          <w:szCs w:val="30"/>
          <w:rtl/>
        </w:rPr>
        <w:t>ال</w:t>
      </w:r>
      <w:r w:rsidRPr="00F44F54">
        <w:rPr>
          <w:rFonts w:cs="Traditional Arabic"/>
          <w:sz w:val="20"/>
          <w:szCs w:val="30"/>
          <w:rtl/>
        </w:rPr>
        <w:t>تقليل</w:t>
      </w:r>
      <w:r w:rsidR="008B78CB">
        <w:rPr>
          <w:rFonts w:cs="Traditional Arabic" w:hint="cs"/>
          <w:sz w:val="20"/>
          <w:szCs w:val="30"/>
          <w:rtl/>
        </w:rPr>
        <w:t xml:space="preserve"> إلى أدنى حد ممكن من</w:t>
      </w:r>
      <w:r w:rsidRPr="00F44F54">
        <w:rPr>
          <w:rFonts w:cs="Traditional Arabic"/>
          <w:sz w:val="20"/>
          <w:szCs w:val="30"/>
          <w:rtl/>
        </w:rPr>
        <w:t xml:space="preserve"> الآثار الشاملة لعدة أوساط، و</w:t>
      </w:r>
      <w:r w:rsidR="008B78CB">
        <w:rPr>
          <w:rFonts w:cs="Traditional Arabic" w:hint="cs"/>
          <w:sz w:val="20"/>
          <w:szCs w:val="30"/>
          <w:rtl/>
        </w:rPr>
        <w:t xml:space="preserve">بشأن </w:t>
      </w:r>
      <w:r w:rsidRPr="00F44F54">
        <w:rPr>
          <w:rFonts w:cs="Traditional Arabic"/>
          <w:sz w:val="20"/>
          <w:szCs w:val="30"/>
          <w:rtl/>
        </w:rPr>
        <w:t xml:space="preserve">دعم الأطراف في تنفيذ التدابير </w:t>
      </w:r>
      <w:r w:rsidR="008B78CB">
        <w:rPr>
          <w:rFonts w:cs="Traditional Arabic" w:hint="cs"/>
          <w:sz w:val="20"/>
          <w:szCs w:val="30"/>
          <w:rtl/>
        </w:rPr>
        <w:t>الواردة</w:t>
      </w:r>
      <w:r w:rsidRPr="00F44F54">
        <w:rPr>
          <w:rFonts w:cs="Traditional Arabic"/>
          <w:sz w:val="20"/>
          <w:szCs w:val="30"/>
          <w:rtl/>
        </w:rPr>
        <w:t xml:space="preserve"> في الفقرة ٥، وبخاصة في تحديد الأهداف </w:t>
      </w:r>
      <w:r w:rsidR="008B78CB">
        <w:rPr>
          <w:rFonts w:cs="Traditional Arabic" w:hint="cs"/>
          <w:sz w:val="20"/>
          <w:szCs w:val="30"/>
          <w:rtl/>
        </w:rPr>
        <w:t>وتحديد</w:t>
      </w:r>
      <w:r w:rsidRPr="00F44F54">
        <w:rPr>
          <w:rFonts w:cs="Traditional Arabic"/>
          <w:sz w:val="20"/>
          <w:szCs w:val="30"/>
          <w:rtl/>
        </w:rPr>
        <w:t xml:space="preserve"> ال</w:t>
      </w:r>
      <w:r w:rsidR="008B78CB">
        <w:rPr>
          <w:rFonts w:cs="Traditional Arabic"/>
          <w:sz w:val="20"/>
          <w:szCs w:val="30"/>
          <w:rtl/>
        </w:rPr>
        <w:t xml:space="preserve">قيم الحدية للانبعاثات، </w:t>
      </w:r>
      <w:r w:rsidR="00AD30BF">
        <w:rPr>
          <w:rFonts w:cs="Traditional Arabic" w:hint="cs"/>
          <w:sz w:val="20"/>
          <w:szCs w:val="30"/>
          <w:rtl/>
        </w:rPr>
        <w:t xml:space="preserve">بالصيغة </w:t>
      </w:r>
      <w:r w:rsidR="008B78CB">
        <w:rPr>
          <w:rFonts w:cs="Traditional Arabic" w:hint="cs"/>
          <w:sz w:val="20"/>
          <w:szCs w:val="30"/>
          <w:rtl/>
        </w:rPr>
        <w:t>ال</w:t>
      </w:r>
      <w:r w:rsidR="00AD30BF">
        <w:rPr>
          <w:rFonts w:cs="Traditional Arabic" w:hint="cs"/>
          <w:sz w:val="20"/>
          <w:szCs w:val="30"/>
          <w:rtl/>
        </w:rPr>
        <w:t>ت</w:t>
      </w:r>
      <w:r w:rsidR="008B78CB">
        <w:rPr>
          <w:rFonts w:cs="Traditional Arabic" w:hint="cs"/>
          <w:sz w:val="20"/>
          <w:szCs w:val="30"/>
          <w:rtl/>
        </w:rPr>
        <w:t>ي قدمته</w:t>
      </w:r>
      <w:r w:rsidR="00AD30BF">
        <w:rPr>
          <w:rFonts w:cs="Traditional Arabic" w:hint="cs"/>
          <w:sz w:val="20"/>
          <w:szCs w:val="30"/>
          <w:rtl/>
        </w:rPr>
        <w:t>ا</w:t>
      </w:r>
      <w:r w:rsidRPr="00F44F54">
        <w:rPr>
          <w:rFonts w:cs="Traditional Arabic"/>
          <w:sz w:val="20"/>
          <w:szCs w:val="30"/>
          <w:rtl/>
        </w:rPr>
        <w:t xml:space="preserve"> لجنة التفاوض الحكومية الدولية.</w:t>
      </w:r>
    </w:p>
    <w:p w:rsidR="00076BC9" w:rsidRDefault="00076BC9">
      <w:pPr>
        <w:bidi w:val="0"/>
        <w:rPr>
          <w:rFonts w:cs="Traditional Arabic"/>
          <w:sz w:val="20"/>
          <w:szCs w:val="30"/>
        </w:rPr>
      </w:pPr>
      <w:r>
        <w:rPr>
          <w:rFonts w:cs="Traditional Arabic"/>
          <w:sz w:val="20"/>
          <w:szCs w:val="30"/>
          <w:rtl/>
        </w:rPr>
        <w:br w:type="page"/>
      </w:r>
    </w:p>
    <w:p w:rsidR="00076BC9" w:rsidRPr="007911CF" w:rsidRDefault="00076BC9" w:rsidP="00076BC9">
      <w:pPr>
        <w:tabs>
          <w:tab w:val="left" w:pos="1841"/>
        </w:tabs>
        <w:spacing w:after="120" w:line="400" w:lineRule="exact"/>
        <w:jc w:val="both"/>
        <w:textDirection w:val="tbRlV"/>
        <w:rPr>
          <w:rFonts w:cs="Traditional Arabic"/>
          <w:b/>
          <w:bCs/>
          <w:sz w:val="34"/>
          <w:szCs w:val="34"/>
          <w:rtl/>
        </w:rPr>
      </w:pPr>
      <w:r w:rsidRPr="007911CF">
        <w:rPr>
          <w:rFonts w:cs="Traditional Arabic" w:hint="cs"/>
          <w:b/>
          <w:bCs/>
          <w:sz w:val="34"/>
          <w:szCs w:val="34"/>
          <w:rtl/>
        </w:rPr>
        <w:t>المرفق الثاني</w:t>
      </w:r>
    </w:p>
    <w:p w:rsidR="005A1EF4" w:rsidRPr="007911CF" w:rsidRDefault="00A20BAE" w:rsidP="006F7165">
      <w:pPr>
        <w:spacing w:before="240" w:after="120" w:line="400" w:lineRule="exact"/>
        <w:ind w:left="1134"/>
        <w:jc w:val="both"/>
        <w:rPr>
          <w:rFonts w:cs="Traditional Arabic"/>
          <w:b/>
          <w:bCs/>
          <w:sz w:val="32"/>
          <w:szCs w:val="32"/>
          <w:rtl/>
        </w:rPr>
      </w:pPr>
      <w:r>
        <w:rPr>
          <w:rFonts w:cs="Traditional Arabic" w:hint="cs"/>
          <w:b/>
          <w:bCs/>
          <w:sz w:val="32"/>
          <w:szCs w:val="32"/>
          <w:rtl/>
        </w:rPr>
        <w:t xml:space="preserve">مشروع </w:t>
      </w:r>
      <w:r w:rsidR="005A1EF4" w:rsidRPr="007911CF">
        <w:rPr>
          <w:rFonts w:cs="Traditional Arabic" w:hint="cs"/>
          <w:b/>
          <w:bCs/>
          <w:sz w:val="32"/>
          <w:szCs w:val="32"/>
          <w:rtl/>
        </w:rPr>
        <w:t xml:space="preserve">توجيهات بشأن </w:t>
      </w:r>
      <w:r w:rsidR="005A1EF4" w:rsidRPr="007911CF">
        <w:rPr>
          <w:rFonts w:cs="Traditional Arabic"/>
          <w:b/>
          <w:bCs/>
          <w:sz w:val="32"/>
          <w:szCs w:val="32"/>
          <w:rtl/>
        </w:rPr>
        <w:t>أفضل التقنيات المتاحة وأفضل الممارسات البيئية</w:t>
      </w:r>
      <w:r w:rsidR="005A1EF4" w:rsidRPr="007911CF">
        <w:rPr>
          <w:rFonts w:cs="Traditional Arabic" w:hint="cs"/>
          <w:b/>
          <w:bCs/>
          <w:sz w:val="32"/>
          <w:szCs w:val="32"/>
          <w:rtl/>
        </w:rPr>
        <w:t xml:space="preserve"> مع </w:t>
      </w:r>
      <w:r w:rsidRPr="007911CF">
        <w:rPr>
          <w:rFonts w:cs="Traditional Arabic" w:hint="cs"/>
          <w:b/>
          <w:bCs/>
          <w:sz w:val="32"/>
          <w:szCs w:val="32"/>
          <w:rtl/>
        </w:rPr>
        <w:t>الأخذ</w:t>
      </w:r>
      <w:r w:rsidR="005A1EF4" w:rsidRPr="007911CF">
        <w:rPr>
          <w:rFonts w:cs="Traditional Arabic" w:hint="cs"/>
          <w:b/>
          <w:bCs/>
          <w:sz w:val="32"/>
          <w:szCs w:val="32"/>
          <w:rtl/>
        </w:rPr>
        <w:t xml:space="preserve"> في الاعتبار أي اختلافات بين المصادر الجديدة والقائمة والحاجة إلى التقليل إلى أدنى حد ممكن من الآثار الشاملة لعدة </w:t>
      </w:r>
      <w:r w:rsidR="006F7165" w:rsidRPr="007911CF">
        <w:rPr>
          <w:rFonts w:cs="Traditional Arabic" w:hint="cs"/>
          <w:b/>
          <w:bCs/>
          <w:sz w:val="32"/>
          <w:szCs w:val="32"/>
          <w:rtl/>
        </w:rPr>
        <w:t>أوساط</w:t>
      </w:r>
    </w:p>
    <w:p w:rsidR="00A20BAE" w:rsidRDefault="00A20BAE">
      <w:pPr>
        <w:bidi w:val="0"/>
        <w:rPr>
          <w:rFonts w:cs="Traditional Arabic"/>
          <w:b/>
          <w:bCs/>
          <w:sz w:val="24"/>
          <w:szCs w:val="34"/>
        </w:rPr>
      </w:pPr>
      <w:r>
        <w:rPr>
          <w:rFonts w:cs="Traditional Arabic"/>
          <w:b/>
          <w:bCs/>
          <w:sz w:val="24"/>
          <w:szCs w:val="34"/>
          <w:rtl/>
        </w:rPr>
        <w:br w:type="page"/>
      </w:r>
    </w:p>
    <w:p w:rsidR="00335E4B" w:rsidRDefault="00A20BAE" w:rsidP="007911CF">
      <w:pPr>
        <w:spacing w:after="240" w:line="360" w:lineRule="exact"/>
        <w:ind w:left="414" w:firstLine="720"/>
        <w:jc w:val="both"/>
        <w:rPr>
          <w:rFonts w:cs="Traditional Arabic"/>
          <w:b/>
          <w:bCs/>
          <w:sz w:val="24"/>
          <w:szCs w:val="34"/>
          <w:rtl/>
        </w:rPr>
      </w:pPr>
      <w:r>
        <w:rPr>
          <w:rFonts w:cs="Traditional Arabic" w:hint="cs"/>
          <w:b/>
          <w:bCs/>
          <w:sz w:val="24"/>
          <w:szCs w:val="34"/>
          <w:rtl/>
        </w:rPr>
        <w:t>الفصل</w:t>
      </w:r>
      <w:r w:rsidR="00335E4B" w:rsidRPr="00335E4B">
        <w:rPr>
          <w:rFonts w:cs="Traditional Arabic"/>
          <w:b/>
          <w:bCs/>
          <w:sz w:val="24"/>
          <w:szCs w:val="34"/>
          <w:rtl/>
        </w:rPr>
        <w:t xml:space="preserve"> الأول</w:t>
      </w:r>
    </w:p>
    <w:p w:rsidR="00AD30BF" w:rsidRPr="00335E4B" w:rsidRDefault="00AD30BF" w:rsidP="007911CF">
      <w:pPr>
        <w:spacing w:after="240" w:line="360" w:lineRule="exact"/>
        <w:ind w:left="414" w:firstLine="720"/>
        <w:jc w:val="both"/>
        <w:rPr>
          <w:rFonts w:cs="Traditional Arabic"/>
          <w:b/>
          <w:bCs/>
          <w:sz w:val="24"/>
          <w:szCs w:val="34"/>
          <w:rtl/>
        </w:rPr>
      </w:pPr>
      <w:r>
        <w:rPr>
          <w:rFonts w:cs="Traditional Arabic" w:hint="cs"/>
          <w:b/>
          <w:bCs/>
          <w:sz w:val="24"/>
          <w:szCs w:val="34"/>
          <w:rtl/>
        </w:rPr>
        <w:t>مقدمة</w:t>
      </w:r>
    </w:p>
    <w:p w:rsidR="00335E4B" w:rsidRPr="007911CF" w:rsidRDefault="00335E4B"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r w:rsidRPr="007911CF">
        <w:rPr>
          <w:rFonts w:ascii="Traditional Arabic" w:hAnsi="Traditional Arabic" w:cs="Traditional Arabic"/>
          <w:noProof/>
          <w:sz w:val="28"/>
          <w:lang w:bidi="ar-EG"/>
        </w:rPr>
        <w:fldChar w:fldCharType="begin"/>
      </w:r>
      <w:r w:rsidRPr="007911CF">
        <w:rPr>
          <w:rFonts w:ascii="Traditional Arabic" w:hAnsi="Traditional Arabic" w:cs="Traditional Arabic"/>
          <w:noProof/>
          <w:sz w:val="28"/>
          <w:lang w:bidi="ar-EG"/>
        </w:rPr>
        <w:instrText xml:space="preserve"> TOC \o "1-3" \h \z \u </w:instrText>
      </w:r>
      <w:r w:rsidRPr="007911CF">
        <w:rPr>
          <w:rFonts w:ascii="Traditional Arabic" w:hAnsi="Traditional Arabic" w:cs="Traditional Arabic"/>
          <w:noProof/>
          <w:sz w:val="28"/>
          <w:lang w:bidi="ar-EG"/>
        </w:rPr>
        <w:fldChar w:fldCharType="separate"/>
      </w:r>
      <w:hyperlink w:anchor="_Toc441673695" w:history="1">
        <w:r w:rsidRPr="007911CF">
          <w:rPr>
            <w:rFonts w:ascii="Traditional Arabic" w:hAnsi="Traditional Arabic" w:cs="Traditional Arabic"/>
            <w:noProof/>
            <w:sz w:val="28"/>
            <w:rtl/>
            <w:lang w:bidi="ar-EG"/>
          </w:rPr>
          <w:t>1 -</w:t>
        </w:r>
        <w:r w:rsidRPr="007911CF">
          <w:rPr>
            <w:rFonts w:ascii="Traditional Arabic" w:hAnsi="Traditional Arabic" w:cs="Traditional Arabic"/>
            <w:noProof/>
            <w:sz w:val="28"/>
            <w:rtl/>
          </w:rPr>
          <w:tab/>
        </w:r>
        <w:r w:rsidRPr="007911CF">
          <w:rPr>
            <w:rFonts w:ascii="Traditional Arabic" w:hAnsi="Traditional Arabic" w:cs="Traditional Arabic"/>
            <w:noProof/>
            <w:sz w:val="28"/>
            <w:rtl/>
            <w:lang w:bidi="ar-EG"/>
          </w:rPr>
          <w:t>مقدمة</w:t>
        </w:r>
        <w:r w:rsidRPr="007911CF">
          <w:rPr>
            <w:rFonts w:ascii="Traditional Arabic" w:hAnsi="Traditional Arabic" w:cs="Traditional Arabic"/>
            <w:noProof/>
            <w:webHidden/>
            <w:sz w:val="28"/>
            <w:rtl/>
            <w:lang w:bidi="ar-EG"/>
          </w:rPr>
          <w:tab/>
        </w:r>
        <w:r w:rsidRPr="007911CF">
          <w:rPr>
            <w:rFonts w:ascii="Traditional Arabic" w:hAnsi="Traditional Arabic" w:cs="Traditional Arabic"/>
            <w:noProof/>
            <w:sz w:val="28"/>
            <w:lang w:bidi="ar-EG"/>
          </w:rPr>
          <w:fldChar w:fldCharType="begin"/>
        </w:r>
        <w:r w:rsidRPr="007911CF">
          <w:rPr>
            <w:rFonts w:ascii="Traditional Arabic" w:hAnsi="Traditional Arabic" w:cs="Traditional Arabic"/>
            <w:noProof/>
            <w:webHidden/>
            <w:sz w:val="28"/>
            <w:rtl/>
            <w:lang w:bidi="ar-EG"/>
          </w:rPr>
          <w:instrText xml:space="preserve"> </w:instrText>
        </w:r>
        <w:r w:rsidRPr="007911CF">
          <w:rPr>
            <w:rFonts w:ascii="Traditional Arabic" w:hAnsi="Traditional Arabic" w:cs="Traditional Arabic"/>
            <w:noProof/>
            <w:webHidden/>
            <w:sz w:val="28"/>
            <w:lang w:bidi="ar-EG"/>
          </w:rPr>
          <w:instrText>PAGEREF</w:instrText>
        </w:r>
        <w:r w:rsidRPr="007911CF">
          <w:rPr>
            <w:rFonts w:ascii="Traditional Arabic" w:hAnsi="Traditional Arabic" w:cs="Traditional Arabic"/>
            <w:noProof/>
            <w:webHidden/>
            <w:sz w:val="28"/>
            <w:rtl/>
            <w:lang w:bidi="ar-EG"/>
          </w:rPr>
          <w:instrText xml:space="preserve"> _</w:instrText>
        </w:r>
        <w:r w:rsidRPr="007911CF">
          <w:rPr>
            <w:rFonts w:ascii="Traditional Arabic" w:hAnsi="Traditional Arabic" w:cs="Traditional Arabic"/>
            <w:noProof/>
            <w:webHidden/>
            <w:sz w:val="28"/>
            <w:lang w:bidi="ar-EG"/>
          </w:rPr>
          <w:instrText>Toc441673695 \h</w:instrText>
        </w:r>
        <w:r w:rsidRPr="007911CF">
          <w:rPr>
            <w:rFonts w:ascii="Traditional Arabic" w:hAnsi="Traditional Arabic" w:cs="Traditional Arabic"/>
            <w:noProof/>
            <w:webHidden/>
            <w:sz w:val="28"/>
            <w:rtl/>
            <w:lang w:bidi="ar-EG"/>
          </w:rPr>
          <w:instrText xml:space="preserve"> </w:instrText>
        </w:r>
        <w:r w:rsidRPr="007911CF">
          <w:rPr>
            <w:rFonts w:ascii="Traditional Arabic" w:hAnsi="Traditional Arabic" w:cs="Traditional Arabic"/>
            <w:noProof/>
            <w:sz w:val="28"/>
            <w:lang w:bidi="ar-EG"/>
          </w:rPr>
        </w:r>
        <w:r w:rsidRPr="007911CF">
          <w:rPr>
            <w:rFonts w:ascii="Traditional Arabic" w:hAnsi="Traditional Arabic" w:cs="Traditional Arabic"/>
            <w:noProof/>
            <w:sz w:val="28"/>
            <w:lang w:bidi="ar-EG"/>
          </w:rPr>
          <w:fldChar w:fldCharType="separate"/>
        </w:r>
        <w:r w:rsidR="00C034D6">
          <w:rPr>
            <w:rFonts w:ascii="Traditional Arabic" w:hAnsi="Traditional Arabic" w:cs="Traditional Arabic"/>
            <w:noProof/>
            <w:webHidden/>
            <w:sz w:val="28"/>
            <w:rtl/>
            <w:lang w:bidi="ar-EG"/>
          </w:rPr>
          <w:t>6</w:t>
        </w:r>
        <w:r w:rsidRPr="007911CF">
          <w:rPr>
            <w:rFonts w:ascii="Traditional Arabic" w:hAnsi="Traditional Arabic" w:cs="Traditional Arabic"/>
            <w:noProof/>
            <w:sz w:val="28"/>
            <w:lang w:bidi="ar-EG"/>
          </w:rPr>
          <w:fldChar w:fldCharType="end"/>
        </w:r>
      </w:hyperlink>
    </w:p>
    <w:p w:rsidR="00335E4B" w:rsidRPr="007911CF" w:rsidRDefault="00C034D6"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hyperlink w:anchor="_Toc441673696" w:history="1">
        <w:r w:rsidR="00335E4B" w:rsidRPr="007911CF">
          <w:rPr>
            <w:rFonts w:ascii="Traditional Arabic" w:hAnsi="Traditional Arabic" w:cs="Traditional Arabic"/>
            <w:noProof/>
            <w:sz w:val="28"/>
            <w:rtl/>
            <w:lang w:bidi="ar-EG"/>
          </w:rPr>
          <w:t>1-1</w:t>
        </w:r>
        <w:r w:rsidR="00335E4B" w:rsidRPr="007911CF">
          <w:rPr>
            <w:rFonts w:ascii="Traditional Arabic" w:hAnsi="Traditional Arabic" w:cs="Traditional Arabic"/>
            <w:noProof/>
            <w:sz w:val="28"/>
            <w:rtl/>
          </w:rPr>
          <w:tab/>
        </w:r>
        <w:r w:rsidR="00335E4B" w:rsidRPr="007911CF">
          <w:rPr>
            <w:rFonts w:ascii="Traditional Arabic" w:hAnsi="Traditional Arabic" w:cs="Traditional Arabic"/>
            <w:noProof/>
            <w:sz w:val="28"/>
            <w:rtl/>
            <w:lang w:bidi="ar-EG"/>
          </w:rPr>
          <w:t>غرض الوثيقة</w:t>
        </w:r>
        <w:r w:rsidR="00335E4B" w:rsidRPr="007911CF">
          <w:rPr>
            <w:rFonts w:ascii="Traditional Arabic" w:hAnsi="Traditional Arabic" w:cs="Traditional Arabic"/>
            <w:noProof/>
            <w:webHidden/>
            <w:sz w:val="28"/>
            <w:rtl/>
            <w:lang w:bidi="ar-EG"/>
          </w:rPr>
          <w:tab/>
        </w:r>
        <w:r w:rsidR="00335E4B" w:rsidRPr="007911CF">
          <w:rPr>
            <w:rFonts w:ascii="Traditional Arabic" w:hAnsi="Traditional Arabic" w:cs="Traditional Arabic"/>
            <w:noProof/>
            <w:sz w:val="28"/>
            <w:lang w:bidi="ar-EG"/>
          </w:rPr>
          <w:fldChar w:fldCharType="begin"/>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webHidden/>
            <w:sz w:val="28"/>
            <w:lang w:bidi="ar-EG"/>
          </w:rPr>
          <w:instrText>PAGEREF</w:instrText>
        </w:r>
        <w:r w:rsidR="00335E4B" w:rsidRPr="007911CF">
          <w:rPr>
            <w:rFonts w:ascii="Traditional Arabic" w:hAnsi="Traditional Arabic" w:cs="Traditional Arabic"/>
            <w:noProof/>
            <w:webHidden/>
            <w:sz w:val="28"/>
            <w:rtl/>
            <w:lang w:bidi="ar-EG"/>
          </w:rPr>
          <w:instrText xml:space="preserve"> _</w:instrText>
        </w:r>
        <w:r w:rsidR="00335E4B" w:rsidRPr="007911CF">
          <w:rPr>
            <w:rFonts w:ascii="Traditional Arabic" w:hAnsi="Traditional Arabic" w:cs="Traditional Arabic"/>
            <w:noProof/>
            <w:webHidden/>
            <w:sz w:val="28"/>
            <w:lang w:bidi="ar-EG"/>
          </w:rPr>
          <w:instrText>Toc441673696 \h</w:instrText>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sz w:val="28"/>
            <w:lang w:bidi="ar-EG"/>
          </w:rPr>
        </w:r>
        <w:r w:rsidR="00335E4B" w:rsidRPr="007911CF">
          <w:rPr>
            <w:rFonts w:ascii="Traditional Arabic" w:hAnsi="Traditional Arabic" w:cs="Traditional Arabic"/>
            <w:noProof/>
            <w:sz w:val="28"/>
            <w:lang w:bidi="ar-EG"/>
          </w:rPr>
          <w:fldChar w:fldCharType="separate"/>
        </w:r>
        <w:r>
          <w:rPr>
            <w:rFonts w:ascii="Traditional Arabic" w:hAnsi="Traditional Arabic" w:cs="Traditional Arabic"/>
            <w:noProof/>
            <w:webHidden/>
            <w:sz w:val="28"/>
            <w:rtl/>
            <w:lang w:bidi="ar-EG"/>
          </w:rPr>
          <w:t>6</w:t>
        </w:r>
        <w:r w:rsidR="00335E4B" w:rsidRPr="007911CF">
          <w:rPr>
            <w:rFonts w:ascii="Traditional Arabic" w:hAnsi="Traditional Arabic" w:cs="Traditional Arabic"/>
            <w:noProof/>
            <w:sz w:val="28"/>
            <w:lang w:bidi="ar-EG"/>
          </w:rPr>
          <w:fldChar w:fldCharType="end"/>
        </w:r>
      </w:hyperlink>
    </w:p>
    <w:p w:rsidR="00335E4B" w:rsidRPr="007911CF" w:rsidRDefault="00C034D6"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hyperlink w:anchor="_Toc441673697" w:history="1">
        <w:r w:rsidR="00335E4B" w:rsidRPr="007911CF">
          <w:rPr>
            <w:rFonts w:ascii="Traditional Arabic" w:hAnsi="Traditional Arabic" w:cs="Traditional Arabic"/>
            <w:noProof/>
            <w:sz w:val="28"/>
            <w:rtl/>
            <w:lang w:bidi="ar-EG"/>
          </w:rPr>
          <w:t>1-2</w:t>
        </w:r>
        <w:r w:rsidR="00335E4B" w:rsidRPr="007911CF">
          <w:rPr>
            <w:rFonts w:ascii="Traditional Arabic" w:hAnsi="Traditional Arabic" w:cs="Traditional Arabic"/>
            <w:noProof/>
            <w:sz w:val="28"/>
            <w:rtl/>
          </w:rPr>
          <w:tab/>
        </w:r>
        <w:r w:rsidR="00335E4B" w:rsidRPr="007911CF">
          <w:rPr>
            <w:rFonts w:ascii="Traditional Arabic" w:hAnsi="Traditional Arabic" w:cs="Traditional Arabic"/>
            <w:noProof/>
            <w:sz w:val="28"/>
            <w:rtl/>
            <w:lang w:bidi="ar-EG"/>
          </w:rPr>
          <w:t>هيكل التوجيهات</w:t>
        </w:r>
        <w:r w:rsidR="00335E4B" w:rsidRPr="007911CF">
          <w:rPr>
            <w:rFonts w:ascii="Traditional Arabic" w:hAnsi="Traditional Arabic" w:cs="Traditional Arabic"/>
            <w:noProof/>
            <w:webHidden/>
            <w:sz w:val="28"/>
            <w:rtl/>
            <w:lang w:bidi="ar-EG"/>
          </w:rPr>
          <w:tab/>
        </w:r>
        <w:r w:rsidR="00335E4B" w:rsidRPr="007911CF">
          <w:rPr>
            <w:rFonts w:ascii="Traditional Arabic" w:hAnsi="Traditional Arabic" w:cs="Traditional Arabic"/>
            <w:noProof/>
            <w:sz w:val="28"/>
            <w:lang w:bidi="ar-EG"/>
          </w:rPr>
          <w:fldChar w:fldCharType="begin"/>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webHidden/>
            <w:sz w:val="28"/>
            <w:lang w:bidi="ar-EG"/>
          </w:rPr>
          <w:instrText>PAGEREF</w:instrText>
        </w:r>
        <w:r w:rsidR="00335E4B" w:rsidRPr="007911CF">
          <w:rPr>
            <w:rFonts w:ascii="Traditional Arabic" w:hAnsi="Traditional Arabic" w:cs="Traditional Arabic"/>
            <w:noProof/>
            <w:webHidden/>
            <w:sz w:val="28"/>
            <w:rtl/>
            <w:lang w:bidi="ar-EG"/>
          </w:rPr>
          <w:instrText xml:space="preserve"> _</w:instrText>
        </w:r>
        <w:r w:rsidR="00335E4B" w:rsidRPr="007911CF">
          <w:rPr>
            <w:rFonts w:ascii="Traditional Arabic" w:hAnsi="Traditional Arabic" w:cs="Traditional Arabic"/>
            <w:noProof/>
            <w:webHidden/>
            <w:sz w:val="28"/>
            <w:lang w:bidi="ar-EG"/>
          </w:rPr>
          <w:instrText>Toc441673697 \h</w:instrText>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sz w:val="28"/>
            <w:lang w:bidi="ar-EG"/>
          </w:rPr>
        </w:r>
        <w:r w:rsidR="00335E4B" w:rsidRPr="007911CF">
          <w:rPr>
            <w:rFonts w:ascii="Traditional Arabic" w:hAnsi="Traditional Arabic" w:cs="Traditional Arabic"/>
            <w:noProof/>
            <w:sz w:val="28"/>
            <w:lang w:bidi="ar-EG"/>
          </w:rPr>
          <w:fldChar w:fldCharType="separate"/>
        </w:r>
        <w:r>
          <w:rPr>
            <w:rFonts w:ascii="Traditional Arabic" w:hAnsi="Traditional Arabic" w:cs="Traditional Arabic"/>
            <w:noProof/>
            <w:webHidden/>
            <w:sz w:val="28"/>
            <w:rtl/>
            <w:lang w:bidi="ar-EG"/>
          </w:rPr>
          <w:t>6</w:t>
        </w:r>
        <w:r w:rsidR="00335E4B" w:rsidRPr="007911CF">
          <w:rPr>
            <w:rFonts w:ascii="Traditional Arabic" w:hAnsi="Traditional Arabic" w:cs="Traditional Arabic"/>
            <w:noProof/>
            <w:sz w:val="28"/>
            <w:lang w:bidi="ar-EG"/>
          </w:rPr>
          <w:fldChar w:fldCharType="end"/>
        </w:r>
      </w:hyperlink>
    </w:p>
    <w:p w:rsidR="00335E4B" w:rsidRPr="007911CF" w:rsidRDefault="00C034D6"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hyperlink w:anchor="_Toc441673698" w:history="1">
        <w:r w:rsidR="00335E4B" w:rsidRPr="007911CF">
          <w:rPr>
            <w:rFonts w:ascii="Traditional Arabic" w:hAnsi="Traditional Arabic" w:cs="Traditional Arabic"/>
            <w:noProof/>
            <w:sz w:val="28"/>
            <w:rtl/>
            <w:lang w:bidi="ar-EG"/>
          </w:rPr>
          <w:t>1-3</w:t>
        </w:r>
        <w:r w:rsidR="00335E4B" w:rsidRPr="007911CF">
          <w:rPr>
            <w:rFonts w:ascii="Traditional Arabic" w:hAnsi="Traditional Arabic" w:cs="Traditional Arabic"/>
            <w:noProof/>
            <w:sz w:val="28"/>
            <w:rtl/>
          </w:rPr>
          <w:tab/>
        </w:r>
        <w:r w:rsidR="00335E4B" w:rsidRPr="007911CF">
          <w:rPr>
            <w:rFonts w:ascii="Traditional Arabic" w:hAnsi="Traditional Arabic" w:cs="Traditional Arabic"/>
            <w:noProof/>
            <w:sz w:val="28"/>
            <w:rtl/>
            <w:lang w:bidi="ar-EG"/>
          </w:rPr>
          <w:t>الأشكال الكيميائية للزئبق</w:t>
        </w:r>
        <w:r w:rsidR="00335E4B" w:rsidRPr="007911CF">
          <w:rPr>
            <w:rFonts w:ascii="Traditional Arabic" w:hAnsi="Traditional Arabic" w:cs="Traditional Arabic"/>
            <w:noProof/>
            <w:webHidden/>
            <w:sz w:val="28"/>
            <w:rtl/>
            <w:lang w:bidi="ar-EG"/>
          </w:rPr>
          <w:tab/>
        </w:r>
        <w:r w:rsidR="00335E4B" w:rsidRPr="007911CF">
          <w:rPr>
            <w:rFonts w:ascii="Traditional Arabic" w:hAnsi="Traditional Arabic" w:cs="Traditional Arabic"/>
            <w:noProof/>
            <w:sz w:val="28"/>
            <w:lang w:bidi="ar-EG"/>
          </w:rPr>
          <w:fldChar w:fldCharType="begin"/>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webHidden/>
            <w:sz w:val="28"/>
            <w:lang w:bidi="ar-EG"/>
          </w:rPr>
          <w:instrText>PAGEREF</w:instrText>
        </w:r>
        <w:r w:rsidR="00335E4B" w:rsidRPr="007911CF">
          <w:rPr>
            <w:rFonts w:ascii="Traditional Arabic" w:hAnsi="Traditional Arabic" w:cs="Traditional Arabic"/>
            <w:noProof/>
            <w:webHidden/>
            <w:sz w:val="28"/>
            <w:rtl/>
            <w:lang w:bidi="ar-EG"/>
          </w:rPr>
          <w:instrText xml:space="preserve"> _</w:instrText>
        </w:r>
        <w:r w:rsidR="00335E4B" w:rsidRPr="007911CF">
          <w:rPr>
            <w:rFonts w:ascii="Traditional Arabic" w:hAnsi="Traditional Arabic" w:cs="Traditional Arabic"/>
            <w:noProof/>
            <w:webHidden/>
            <w:sz w:val="28"/>
            <w:lang w:bidi="ar-EG"/>
          </w:rPr>
          <w:instrText>Toc441673698 \h</w:instrText>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sz w:val="28"/>
            <w:lang w:bidi="ar-EG"/>
          </w:rPr>
        </w:r>
        <w:r w:rsidR="00335E4B" w:rsidRPr="007911CF">
          <w:rPr>
            <w:rFonts w:ascii="Traditional Arabic" w:hAnsi="Traditional Arabic" w:cs="Traditional Arabic"/>
            <w:noProof/>
            <w:sz w:val="28"/>
            <w:lang w:bidi="ar-EG"/>
          </w:rPr>
          <w:fldChar w:fldCharType="separate"/>
        </w:r>
        <w:r>
          <w:rPr>
            <w:rFonts w:ascii="Traditional Arabic" w:hAnsi="Traditional Arabic" w:cs="Traditional Arabic"/>
            <w:noProof/>
            <w:webHidden/>
            <w:sz w:val="28"/>
            <w:rtl/>
            <w:lang w:bidi="ar-EG"/>
          </w:rPr>
          <w:t>6</w:t>
        </w:r>
        <w:r w:rsidR="00335E4B" w:rsidRPr="007911CF">
          <w:rPr>
            <w:rFonts w:ascii="Traditional Arabic" w:hAnsi="Traditional Arabic" w:cs="Traditional Arabic"/>
            <w:noProof/>
            <w:sz w:val="28"/>
            <w:lang w:bidi="ar-EG"/>
          </w:rPr>
          <w:fldChar w:fldCharType="end"/>
        </w:r>
      </w:hyperlink>
    </w:p>
    <w:p w:rsidR="00335E4B" w:rsidRPr="007911CF" w:rsidRDefault="00C034D6"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hyperlink w:anchor="_Toc441673699" w:history="1">
        <w:r w:rsidR="00335E4B" w:rsidRPr="007911CF">
          <w:rPr>
            <w:rFonts w:ascii="Traditional Arabic" w:hAnsi="Traditional Arabic" w:cs="Traditional Arabic"/>
            <w:noProof/>
            <w:sz w:val="28"/>
            <w:rtl/>
            <w:lang w:bidi="ar-EG"/>
          </w:rPr>
          <w:t>1-4</w:t>
        </w:r>
        <w:r w:rsidR="00335E4B" w:rsidRPr="007911CF">
          <w:rPr>
            <w:rFonts w:ascii="Traditional Arabic" w:hAnsi="Traditional Arabic" w:cs="Traditional Arabic"/>
            <w:noProof/>
            <w:sz w:val="28"/>
            <w:rtl/>
          </w:rPr>
          <w:tab/>
        </w:r>
        <w:r w:rsidR="00335E4B" w:rsidRPr="007911CF">
          <w:rPr>
            <w:rFonts w:ascii="Traditional Arabic" w:hAnsi="Traditional Arabic" w:cs="Traditional Arabic"/>
            <w:noProof/>
            <w:sz w:val="28"/>
            <w:rtl/>
            <w:lang w:bidi="ar-EG"/>
          </w:rPr>
          <w:t>لماذا نشعر بالقلق بسبب انبعاثات الزئبق؟</w:t>
        </w:r>
        <w:r w:rsidR="00335E4B" w:rsidRPr="007911CF">
          <w:rPr>
            <w:rFonts w:ascii="Traditional Arabic" w:hAnsi="Traditional Arabic" w:cs="Traditional Arabic"/>
            <w:noProof/>
            <w:webHidden/>
            <w:sz w:val="28"/>
            <w:rtl/>
            <w:lang w:bidi="ar-EG"/>
          </w:rPr>
          <w:tab/>
        </w:r>
        <w:r w:rsidR="00335E4B" w:rsidRPr="007911CF">
          <w:rPr>
            <w:rFonts w:ascii="Traditional Arabic" w:hAnsi="Traditional Arabic" w:cs="Traditional Arabic"/>
            <w:noProof/>
            <w:sz w:val="28"/>
            <w:lang w:bidi="ar-EG"/>
          </w:rPr>
          <w:fldChar w:fldCharType="begin"/>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webHidden/>
            <w:sz w:val="28"/>
            <w:lang w:bidi="ar-EG"/>
          </w:rPr>
          <w:instrText>PAGEREF</w:instrText>
        </w:r>
        <w:r w:rsidR="00335E4B" w:rsidRPr="007911CF">
          <w:rPr>
            <w:rFonts w:ascii="Traditional Arabic" w:hAnsi="Traditional Arabic" w:cs="Traditional Arabic"/>
            <w:noProof/>
            <w:webHidden/>
            <w:sz w:val="28"/>
            <w:rtl/>
            <w:lang w:bidi="ar-EG"/>
          </w:rPr>
          <w:instrText xml:space="preserve"> _</w:instrText>
        </w:r>
        <w:r w:rsidR="00335E4B" w:rsidRPr="007911CF">
          <w:rPr>
            <w:rFonts w:ascii="Traditional Arabic" w:hAnsi="Traditional Arabic" w:cs="Traditional Arabic"/>
            <w:noProof/>
            <w:webHidden/>
            <w:sz w:val="28"/>
            <w:lang w:bidi="ar-EG"/>
          </w:rPr>
          <w:instrText>Toc441673699 \h</w:instrText>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sz w:val="28"/>
            <w:lang w:bidi="ar-EG"/>
          </w:rPr>
        </w:r>
        <w:r w:rsidR="00335E4B" w:rsidRPr="007911CF">
          <w:rPr>
            <w:rFonts w:ascii="Traditional Arabic" w:hAnsi="Traditional Arabic" w:cs="Traditional Arabic"/>
            <w:noProof/>
            <w:sz w:val="28"/>
            <w:lang w:bidi="ar-EG"/>
          </w:rPr>
          <w:fldChar w:fldCharType="separate"/>
        </w:r>
        <w:r>
          <w:rPr>
            <w:rFonts w:ascii="Traditional Arabic" w:hAnsi="Traditional Arabic" w:cs="Traditional Arabic"/>
            <w:noProof/>
            <w:webHidden/>
            <w:sz w:val="28"/>
            <w:rtl/>
            <w:lang w:bidi="ar-EG"/>
          </w:rPr>
          <w:t>7</w:t>
        </w:r>
        <w:r w:rsidR="00335E4B" w:rsidRPr="007911CF">
          <w:rPr>
            <w:rFonts w:ascii="Traditional Arabic" w:hAnsi="Traditional Arabic" w:cs="Traditional Arabic"/>
            <w:noProof/>
            <w:sz w:val="28"/>
            <w:lang w:bidi="ar-EG"/>
          </w:rPr>
          <w:fldChar w:fldCharType="end"/>
        </w:r>
      </w:hyperlink>
    </w:p>
    <w:p w:rsidR="00335E4B" w:rsidRPr="007911CF" w:rsidRDefault="00C034D6"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hyperlink w:anchor="_Toc441673700" w:history="1">
        <w:r w:rsidR="00335E4B" w:rsidRPr="007911CF">
          <w:rPr>
            <w:rFonts w:ascii="Traditional Arabic" w:hAnsi="Traditional Arabic" w:cs="Traditional Arabic"/>
            <w:noProof/>
            <w:sz w:val="28"/>
            <w:rtl/>
            <w:lang w:bidi="ar-EG"/>
          </w:rPr>
          <w:t>1-5</w:t>
        </w:r>
        <w:r w:rsidR="00335E4B" w:rsidRPr="007911CF">
          <w:rPr>
            <w:rFonts w:ascii="Traditional Arabic" w:hAnsi="Traditional Arabic" w:cs="Traditional Arabic"/>
            <w:noProof/>
            <w:sz w:val="28"/>
            <w:rtl/>
          </w:rPr>
          <w:tab/>
        </w:r>
        <w:r w:rsidR="00335E4B" w:rsidRPr="007911CF">
          <w:rPr>
            <w:rFonts w:ascii="Traditional Arabic" w:hAnsi="Traditional Arabic" w:cs="Traditional Arabic"/>
            <w:noProof/>
            <w:sz w:val="28"/>
            <w:rtl/>
            <w:lang w:bidi="ar-EG"/>
          </w:rPr>
          <w:t>مصادر انبعاثات الزئبق التي يغطيها هذا التوجيه</w:t>
        </w:r>
        <w:r w:rsidR="00335E4B" w:rsidRPr="007911CF">
          <w:rPr>
            <w:rFonts w:ascii="Traditional Arabic" w:hAnsi="Traditional Arabic" w:cs="Traditional Arabic"/>
            <w:noProof/>
            <w:webHidden/>
            <w:sz w:val="28"/>
            <w:rtl/>
            <w:lang w:bidi="ar-EG"/>
          </w:rPr>
          <w:tab/>
        </w:r>
        <w:r w:rsidR="00335E4B" w:rsidRPr="007911CF">
          <w:rPr>
            <w:rFonts w:ascii="Traditional Arabic" w:hAnsi="Traditional Arabic" w:cs="Traditional Arabic"/>
            <w:noProof/>
            <w:sz w:val="28"/>
            <w:lang w:bidi="ar-EG"/>
          </w:rPr>
          <w:fldChar w:fldCharType="begin"/>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webHidden/>
            <w:sz w:val="28"/>
            <w:lang w:bidi="ar-EG"/>
          </w:rPr>
          <w:instrText>PAGEREF</w:instrText>
        </w:r>
        <w:r w:rsidR="00335E4B" w:rsidRPr="007911CF">
          <w:rPr>
            <w:rFonts w:ascii="Traditional Arabic" w:hAnsi="Traditional Arabic" w:cs="Traditional Arabic"/>
            <w:noProof/>
            <w:webHidden/>
            <w:sz w:val="28"/>
            <w:rtl/>
            <w:lang w:bidi="ar-EG"/>
          </w:rPr>
          <w:instrText xml:space="preserve"> _</w:instrText>
        </w:r>
        <w:r w:rsidR="00335E4B" w:rsidRPr="007911CF">
          <w:rPr>
            <w:rFonts w:ascii="Traditional Arabic" w:hAnsi="Traditional Arabic" w:cs="Traditional Arabic"/>
            <w:noProof/>
            <w:webHidden/>
            <w:sz w:val="28"/>
            <w:lang w:bidi="ar-EG"/>
          </w:rPr>
          <w:instrText>Toc441673700 \h</w:instrText>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sz w:val="28"/>
            <w:lang w:bidi="ar-EG"/>
          </w:rPr>
        </w:r>
        <w:r w:rsidR="00335E4B" w:rsidRPr="007911CF">
          <w:rPr>
            <w:rFonts w:ascii="Traditional Arabic" w:hAnsi="Traditional Arabic" w:cs="Traditional Arabic"/>
            <w:noProof/>
            <w:sz w:val="28"/>
            <w:lang w:bidi="ar-EG"/>
          </w:rPr>
          <w:fldChar w:fldCharType="separate"/>
        </w:r>
        <w:r>
          <w:rPr>
            <w:rFonts w:ascii="Traditional Arabic" w:hAnsi="Traditional Arabic" w:cs="Traditional Arabic"/>
            <w:noProof/>
            <w:webHidden/>
            <w:sz w:val="28"/>
            <w:rtl/>
            <w:lang w:bidi="ar-EG"/>
          </w:rPr>
          <w:t>8</w:t>
        </w:r>
        <w:r w:rsidR="00335E4B" w:rsidRPr="007911CF">
          <w:rPr>
            <w:rFonts w:ascii="Traditional Arabic" w:hAnsi="Traditional Arabic" w:cs="Traditional Arabic"/>
            <w:noProof/>
            <w:sz w:val="28"/>
            <w:lang w:bidi="ar-EG"/>
          </w:rPr>
          <w:fldChar w:fldCharType="end"/>
        </w:r>
      </w:hyperlink>
    </w:p>
    <w:p w:rsidR="00335E4B" w:rsidRPr="007911CF" w:rsidRDefault="00C034D6"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hyperlink w:anchor="_Toc441673701" w:history="1">
        <w:r w:rsidR="00335E4B" w:rsidRPr="007911CF">
          <w:rPr>
            <w:rFonts w:ascii="Traditional Arabic" w:hAnsi="Traditional Arabic" w:cs="Traditional Arabic"/>
            <w:noProof/>
            <w:sz w:val="28"/>
            <w:rtl/>
            <w:lang w:bidi="ar-EG"/>
          </w:rPr>
          <w:t>1-6</w:t>
        </w:r>
        <w:r w:rsidR="00335E4B" w:rsidRPr="007911CF">
          <w:rPr>
            <w:rFonts w:ascii="Traditional Arabic" w:hAnsi="Traditional Arabic" w:cs="Traditional Arabic"/>
            <w:noProof/>
            <w:sz w:val="28"/>
            <w:rtl/>
          </w:rPr>
          <w:tab/>
        </w:r>
        <w:r w:rsidR="00335E4B" w:rsidRPr="007911CF">
          <w:rPr>
            <w:rFonts w:ascii="Traditional Arabic" w:hAnsi="Traditional Arabic" w:cs="Traditional Arabic"/>
            <w:noProof/>
            <w:sz w:val="28"/>
            <w:rtl/>
            <w:lang w:bidi="ar-EG"/>
          </w:rPr>
          <w:t>الأحكام ذات الصلة في اتفاقية ميناماتا</w:t>
        </w:r>
        <w:r w:rsidR="00335E4B" w:rsidRPr="007911CF">
          <w:rPr>
            <w:rFonts w:ascii="Traditional Arabic" w:hAnsi="Traditional Arabic" w:cs="Traditional Arabic"/>
            <w:noProof/>
            <w:webHidden/>
            <w:sz w:val="28"/>
            <w:rtl/>
            <w:lang w:bidi="ar-EG"/>
          </w:rPr>
          <w:tab/>
        </w:r>
        <w:r w:rsidR="00335E4B" w:rsidRPr="007911CF">
          <w:rPr>
            <w:rFonts w:ascii="Traditional Arabic" w:hAnsi="Traditional Arabic" w:cs="Traditional Arabic"/>
            <w:noProof/>
            <w:sz w:val="28"/>
            <w:lang w:bidi="ar-EG"/>
          </w:rPr>
          <w:fldChar w:fldCharType="begin"/>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webHidden/>
            <w:sz w:val="28"/>
            <w:lang w:bidi="ar-EG"/>
          </w:rPr>
          <w:instrText>PAGEREF</w:instrText>
        </w:r>
        <w:r w:rsidR="00335E4B" w:rsidRPr="007911CF">
          <w:rPr>
            <w:rFonts w:ascii="Traditional Arabic" w:hAnsi="Traditional Arabic" w:cs="Traditional Arabic"/>
            <w:noProof/>
            <w:webHidden/>
            <w:sz w:val="28"/>
            <w:rtl/>
            <w:lang w:bidi="ar-EG"/>
          </w:rPr>
          <w:instrText xml:space="preserve"> _</w:instrText>
        </w:r>
        <w:r w:rsidR="00335E4B" w:rsidRPr="007911CF">
          <w:rPr>
            <w:rFonts w:ascii="Traditional Arabic" w:hAnsi="Traditional Arabic" w:cs="Traditional Arabic"/>
            <w:noProof/>
            <w:webHidden/>
            <w:sz w:val="28"/>
            <w:lang w:bidi="ar-EG"/>
          </w:rPr>
          <w:instrText>Toc441673701 \h</w:instrText>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sz w:val="28"/>
            <w:lang w:bidi="ar-EG"/>
          </w:rPr>
        </w:r>
        <w:r w:rsidR="00335E4B" w:rsidRPr="007911CF">
          <w:rPr>
            <w:rFonts w:ascii="Traditional Arabic" w:hAnsi="Traditional Arabic" w:cs="Traditional Arabic"/>
            <w:noProof/>
            <w:sz w:val="28"/>
            <w:lang w:bidi="ar-EG"/>
          </w:rPr>
          <w:fldChar w:fldCharType="separate"/>
        </w:r>
        <w:r>
          <w:rPr>
            <w:rFonts w:ascii="Traditional Arabic" w:hAnsi="Traditional Arabic" w:cs="Traditional Arabic"/>
            <w:noProof/>
            <w:webHidden/>
            <w:sz w:val="28"/>
            <w:rtl/>
            <w:lang w:bidi="ar-EG"/>
          </w:rPr>
          <w:t>8</w:t>
        </w:r>
        <w:r w:rsidR="00335E4B" w:rsidRPr="007911CF">
          <w:rPr>
            <w:rFonts w:ascii="Traditional Arabic" w:hAnsi="Traditional Arabic" w:cs="Traditional Arabic"/>
            <w:noProof/>
            <w:sz w:val="28"/>
            <w:lang w:bidi="ar-EG"/>
          </w:rPr>
          <w:fldChar w:fldCharType="end"/>
        </w:r>
      </w:hyperlink>
    </w:p>
    <w:p w:rsidR="00335E4B" w:rsidRPr="007911CF" w:rsidRDefault="00C034D6"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hyperlink w:anchor="_Toc441673702" w:history="1">
        <w:r w:rsidR="00335E4B" w:rsidRPr="007911CF">
          <w:rPr>
            <w:rFonts w:ascii="Traditional Arabic" w:hAnsi="Traditional Arabic" w:cs="Traditional Arabic"/>
            <w:noProof/>
            <w:sz w:val="28"/>
            <w:rtl/>
            <w:lang w:bidi="ar-EG"/>
          </w:rPr>
          <w:t>1-7</w:t>
        </w:r>
        <w:r w:rsidR="00335E4B" w:rsidRPr="007911CF">
          <w:rPr>
            <w:rFonts w:ascii="Traditional Arabic" w:hAnsi="Traditional Arabic" w:cs="Traditional Arabic"/>
            <w:noProof/>
            <w:sz w:val="28"/>
            <w:rtl/>
          </w:rPr>
          <w:tab/>
        </w:r>
        <w:r w:rsidR="00335E4B" w:rsidRPr="007911CF">
          <w:rPr>
            <w:rFonts w:ascii="Traditional Arabic" w:hAnsi="Traditional Arabic" w:cs="Traditional Arabic"/>
            <w:noProof/>
            <w:sz w:val="28"/>
            <w:rtl/>
            <w:lang w:bidi="ar-EG"/>
          </w:rPr>
          <w:t>اعتبارات في اختيار أفضل التقنيات المتاحة وتنفيذها</w:t>
        </w:r>
        <w:r w:rsidR="00335E4B" w:rsidRPr="007911CF">
          <w:rPr>
            <w:rFonts w:ascii="Traditional Arabic" w:hAnsi="Traditional Arabic" w:cs="Traditional Arabic"/>
            <w:noProof/>
            <w:webHidden/>
            <w:sz w:val="28"/>
            <w:rtl/>
            <w:lang w:bidi="ar-EG"/>
          </w:rPr>
          <w:tab/>
        </w:r>
        <w:r w:rsidR="00335E4B" w:rsidRPr="007911CF">
          <w:rPr>
            <w:rFonts w:ascii="Traditional Arabic" w:hAnsi="Traditional Arabic" w:cs="Traditional Arabic"/>
            <w:noProof/>
            <w:sz w:val="28"/>
            <w:lang w:bidi="ar-EG"/>
          </w:rPr>
          <w:fldChar w:fldCharType="begin"/>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webHidden/>
            <w:sz w:val="28"/>
            <w:lang w:bidi="ar-EG"/>
          </w:rPr>
          <w:instrText>PAGEREF</w:instrText>
        </w:r>
        <w:r w:rsidR="00335E4B" w:rsidRPr="007911CF">
          <w:rPr>
            <w:rFonts w:ascii="Traditional Arabic" w:hAnsi="Traditional Arabic" w:cs="Traditional Arabic"/>
            <w:noProof/>
            <w:webHidden/>
            <w:sz w:val="28"/>
            <w:rtl/>
            <w:lang w:bidi="ar-EG"/>
          </w:rPr>
          <w:instrText xml:space="preserve"> _</w:instrText>
        </w:r>
        <w:r w:rsidR="00335E4B" w:rsidRPr="007911CF">
          <w:rPr>
            <w:rFonts w:ascii="Traditional Arabic" w:hAnsi="Traditional Arabic" w:cs="Traditional Arabic"/>
            <w:noProof/>
            <w:webHidden/>
            <w:sz w:val="28"/>
            <w:lang w:bidi="ar-EG"/>
          </w:rPr>
          <w:instrText>Toc441673702 \h</w:instrText>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sz w:val="28"/>
            <w:lang w:bidi="ar-EG"/>
          </w:rPr>
        </w:r>
        <w:r w:rsidR="00335E4B" w:rsidRPr="007911CF">
          <w:rPr>
            <w:rFonts w:ascii="Traditional Arabic" w:hAnsi="Traditional Arabic" w:cs="Traditional Arabic"/>
            <w:noProof/>
            <w:sz w:val="28"/>
            <w:lang w:bidi="ar-EG"/>
          </w:rPr>
          <w:fldChar w:fldCharType="separate"/>
        </w:r>
        <w:r>
          <w:rPr>
            <w:rFonts w:ascii="Traditional Arabic" w:hAnsi="Traditional Arabic" w:cs="Traditional Arabic"/>
            <w:noProof/>
            <w:webHidden/>
            <w:sz w:val="28"/>
            <w:rtl/>
            <w:lang w:bidi="ar-EG"/>
          </w:rPr>
          <w:t>12</w:t>
        </w:r>
        <w:r w:rsidR="00335E4B" w:rsidRPr="007911CF">
          <w:rPr>
            <w:rFonts w:ascii="Traditional Arabic" w:hAnsi="Traditional Arabic" w:cs="Traditional Arabic"/>
            <w:noProof/>
            <w:sz w:val="28"/>
            <w:lang w:bidi="ar-EG"/>
          </w:rPr>
          <w:fldChar w:fldCharType="end"/>
        </w:r>
      </w:hyperlink>
    </w:p>
    <w:p w:rsidR="00335E4B" w:rsidRPr="007911CF" w:rsidRDefault="00C034D6"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hyperlink w:anchor="_Toc441673703" w:history="1">
        <w:r w:rsidR="00335E4B" w:rsidRPr="007911CF">
          <w:rPr>
            <w:rFonts w:ascii="Traditional Arabic" w:hAnsi="Traditional Arabic" w:cs="Traditional Arabic"/>
            <w:noProof/>
            <w:sz w:val="28"/>
            <w:rtl/>
            <w:lang w:bidi="ar-EG"/>
          </w:rPr>
          <w:t>1-8</w:t>
        </w:r>
        <w:r w:rsidR="00335E4B" w:rsidRPr="007911CF">
          <w:rPr>
            <w:rFonts w:ascii="Traditional Arabic" w:hAnsi="Traditional Arabic" w:cs="Traditional Arabic"/>
            <w:noProof/>
            <w:sz w:val="28"/>
            <w:rtl/>
          </w:rPr>
          <w:tab/>
        </w:r>
        <w:r w:rsidR="00335E4B" w:rsidRPr="007911CF">
          <w:rPr>
            <w:rFonts w:ascii="Traditional Arabic" w:hAnsi="Traditional Arabic" w:cs="Traditional Arabic"/>
            <w:noProof/>
            <w:sz w:val="28"/>
            <w:rtl/>
            <w:lang w:bidi="ar-EG"/>
          </w:rPr>
          <w:t>مستويات الأداء</w:t>
        </w:r>
        <w:r w:rsidR="00335E4B" w:rsidRPr="007911CF">
          <w:rPr>
            <w:rFonts w:ascii="Traditional Arabic" w:hAnsi="Traditional Arabic" w:cs="Traditional Arabic"/>
            <w:noProof/>
            <w:webHidden/>
            <w:sz w:val="28"/>
            <w:rtl/>
            <w:lang w:bidi="ar-EG"/>
          </w:rPr>
          <w:tab/>
        </w:r>
        <w:r w:rsidR="00335E4B" w:rsidRPr="007911CF">
          <w:rPr>
            <w:rFonts w:ascii="Traditional Arabic" w:hAnsi="Traditional Arabic" w:cs="Traditional Arabic"/>
            <w:noProof/>
            <w:sz w:val="28"/>
            <w:lang w:bidi="ar-EG"/>
          </w:rPr>
          <w:fldChar w:fldCharType="begin"/>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webHidden/>
            <w:sz w:val="28"/>
            <w:lang w:bidi="ar-EG"/>
          </w:rPr>
          <w:instrText>PAGEREF</w:instrText>
        </w:r>
        <w:r w:rsidR="00335E4B" w:rsidRPr="007911CF">
          <w:rPr>
            <w:rFonts w:ascii="Traditional Arabic" w:hAnsi="Traditional Arabic" w:cs="Traditional Arabic"/>
            <w:noProof/>
            <w:webHidden/>
            <w:sz w:val="28"/>
            <w:rtl/>
            <w:lang w:bidi="ar-EG"/>
          </w:rPr>
          <w:instrText xml:space="preserve"> _</w:instrText>
        </w:r>
        <w:r w:rsidR="00335E4B" w:rsidRPr="007911CF">
          <w:rPr>
            <w:rFonts w:ascii="Traditional Arabic" w:hAnsi="Traditional Arabic" w:cs="Traditional Arabic"/>
            <w:noProof/>
            <w:webHidden/>
            <w:sz w:val="28"/>
            <w:lang w:bidi="ar-EG"/>
          </w:rPr>
          <w:instrText>Toc441673703 \h</w:instrText>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sz w:val="28"/>
            <w:lang w:bidi="ar-EG"/>
          </w:rPr>
        </w:r>
        <w:r w:rsidR="00335E4B" w:rsidRPr="007911CF">
          <w:rPr>
            <w:rFonts w:ascii="Traditional Arabic" w:hAnsi="Traditional Arabic" w:cs="Traditional Arabic"/>
            <w:noProof/>
            <w:sz w:val="28"/>
            <w:lang w:bidi="ar-EG"/>
          </w:rPr>
          <w:fldChar w:fldCharType="separate"/>
        </w:r>
        <w:r>
          <w:rPr>
            <w:rFonts w:ascii="Traditional Arabic" w:hAnsi="Traditional Arabic" w:cs="Traditional Arabic"/>
            <w:noProof/>
            <w:webHidden/>
            <w:sz w:val="28"/>
            <w:rtl/>
            <w:lang w:bidi="ar-EG"/>
          </w:rPr>
          <w:t>12</w:t>
        </w:r>
        <w:r w:rsidR="00335E4B" w:rsidRPr="007911CF">
          <w:rPr>
            <w:rFonts w:ascii="Traditional Arabic" w:hAnsi="Traditional Arabic" w:cs="Traditional Arabic"/>
            <w:noProof/>
            <w:sz w:val="28"/>
            <w:lang w:bidi="ar-EG"/>
          </w:rPr>
          <w:fldChar w:fldCharType="end"/>
        </w:r>
      </w:hyperlink>
    </w:p>
    <w:p w:rsidR="00335E4B" w:rsidRPr="007911CF" w:rsidRDefault="00C034D6"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hyperlink w:anchor="_Toc441673704" w:history="1">
        <w:r w:rsidR="00335E4B" w:rsidRPr="007911CF">
          <w:rPr>
            <w:rFonts w:ascii="Traditional Arabic" w:hAnsi="Traditional Arabic" w:cs="Traditional Arabic"/>
            <w:noProof/>
            <w:sz w:val="28"/>
            <w:rtl/>
            <w:lang w:bidi="ar-EG"/>
          </w:rPr>
          <w:t>1-9</w:t>
        </w:r>
        <w:r w:rsidR="00335E4B" w:rsidRPr="007911CF">
          <w:rPr>
            <w:rFonts w:ascii="Traditional Arabic" w:hAnsi="Traditional Arabic" w:cs="Traditional Arabic"/>
            <w:noProof/>
            <w:sz w:val="28"/>
            <w:rtl/>
          </w:rPr>
          <w:tab/>
        </w:r>
        <w:r w:rsidR="00335E4B" w:rsidRPr="007911CF">
          <w:rPr>
            <w:rFonts w:ascii="Traditional Arabic" w:hAnsi="Traditional Arabic" w:cs="Traditional Arabic"/>
            <w:noProof/>
            <w:sz w:val="28"/>
            <w:rtl/>
            <w:lang w:bidi="ar-EG"/>
          </w:rPr>
          <w:t>أفضل الممارسات البيئية</w:t>
        </w:r>
        <w:r w:rsidR="00335E4B" w:rsidRPr="007911CF">
          <w:rPr>
            <w:rFonts w:ascii="Traditional Arabic" w:hAnsi="Traditional Arabic" w:cs="Traditional Arabic"/>
            <w:noProof/>
            <w:webHidden/>
            <w:sz w:val="28"/>
            <w:rtl/>
            <w:lang w:bidi="ar-EG"/>
          </w:rPr>
          <w:tab/>
        </w:r>
        <w:r w:rsidR="00335E4B" w:rsidRPr="007911CF">
          <w:rPr>
            <w:rFonts w:ascii="Traditional Arabic" w:hAnsi="Traditional Arabic" w:cs="Traditional Arabic"/>
            <w:noProof/>
            <w:sz w:val="28"/>
            <w:lang w:bidi="ar-EG"/>
          </w:rPr>
          <w:fldChar w:fldCharType="begin"/>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webHidden/>
            <w:sz w:val="28"/>
            <w:lang w:bidi="ar-EG"/>
          </w:rPr>
          <w:instrText>PAGEREF</w:instrText>
        </w:r>
        <w:r w:rsidR="00335E4B" w:rsidRPr="007911CF">
          <w:rPr>
            <w:rFonts w:ascii="Traditional Arabic" w:hAnsi="Traditional Arabic" w:cs="Traditional Arabic"/>
            <w:noProof/>
            <w:webHidden/>
            <w:sz w:val="28"/>
            <w:rtl/>
            <w:lang w:bidi="ar-EG"/>
          </w:rPr>
          <w:instrText xml:space="preserve"> _</w:instrText>
        </w:r>
        <w:r w:rsidR="00335E4B" w:rsidRPr="007911CF">
          <w:rPr>
            <w:rFonts w:ascii="Traditional Arabic" w:hAnsi="Traditional Arabic" w:cs="Traditional Arabic"/>
            <w:noProof/>
            <w:webHidden/>
            <w:sz w:val="28"/>
            <w:lang w:bidi="ar-EG"/>
          </w:rPr>
          <w:instrText>Toc441673704 \h</w:instrText>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sz w:val="28"/>
            <w:lang w:bidi="ar-EG"/>
          </w:rPr>
        </w:r>
        <w:r w:rsidR="00335E4B" w:rsidRPr="007911CF">
          <w:rPr>
            <w:rFonts w:ascii="Traditional Arabic" w:hAnsi="Traditional Arabic" w:cs="Traditional Arabic"/>
            <w:noProof/>
            <w:sz w:val="28"/>
            <w:lang w:bidi="ar-EG"/>
          </w:rPr>
          <w:fldChar w:fldCharType="separate"/>
        </w:r>
        <w:r>
          <w:rPr>
            <w:rFonts w:ascii="Traditional Arabic" w:hAnsi="Traditional Arabic" w:cs="Traditional Arabic"/>
            <w:noProof/>
            <w:webHidden/>
            <w:sz w:val="28"/>
            <w:rtl/>
            <w:lang w:bidi="ar-EG"/>
          </w:rPr>
          <w:t>13</w:t>
        </w:r>
        <w:r w:rsidR="00335E4B" w:rsidRPr="007911CF">
          <w:rPr>
            <w:rFonts w:ascii="Traditional Arabic" w:hAnsi="Traditional Arabic" w:cs="Traditional Arabic"/>
            <w:noProof/>
            <w:sz w:val="28"/>
            <w:lang w:bidi="ar-EG"/>
          </w:rPr>
          <w:fldChar w:fldCharType="end"/>
        </w:r>
      </w:hyperlink>
    </w:p>
    <w:p w:rsidR="00335E4B" w:rsidRPr="007911CF" w:rsidRDefault="00C034D6"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hyperlink w:anchor="_Toc441673705" w:history="1">
        <w:r w:rsidR="00335E4B" w:rsidRPr="007911CF">
          <w:rPr>
            <w:rFonts w:ascii="Traditional Arabic" w:hAnsi="Traditional Arabic" w:cs="Traditional Arabic"/>
            <w:noProof/>
            <w:sz w:val="28"/>
            <w:rtl/>
            <w:lang w:bidi="ar-EG"/>
          </w:rPr>
          <w:t>1-10</w:t>
        </w:r>
        <w:r w:rsidR="00335E4B" w:rsidRPr="007911CF">
          <w:rPr>
            <w:rFonts w:ascii="Traditional Arabic" w:hAnsi="Traditional Arabic" w:cs="Traditional Arabic"/>
            <w:noProof/>
            <w:sz w:val="28"/>
            <w:rtl/>
          </w:rPr>
          <w:tab/>
        </w:r>
        <w:r w:rsidR="00335E4B" w:rsidRPr="007911CF">
          <w:rPr>
            <w:rFonts w:ascii="Traditional Arabic" w:hAnsi="Traditional Arabic" w:cs="Traditional Arabic"/>
            <w:noProof/>
            <w:sz w:val="28"/>
            <w:rtl/>
            <w:lang w:bidi="ar-EG"/>
          </w:rPr>
          <w:t>التأثيرات بين الوسائط</w:t>
        </w:r>
        <w:r w:rsidR="00335E4B" w:rsidRPr="007911CF">
          <w:rPr>
            <w:rFonts w:ascii="Traditional Arabic" w:hAnsi="Traditional Arabic" w:cs="Traditional Arabic"/>
            <w:noProof/>
            <w:webHidden/>
            <w:sz w:val="28"/>
            <w:rtl/>
            <w:lang w:bidi="ar-EG"/>
          </w:rPr>
          <w:tab/>
        </w:r>
        <w:r w:rsidR="00335E4B" w:rsidRPr="007911CF">
          <w:rPr>
            <w:rFonts w:ascii="Traditional Arabic" w:hAnsi="Traditional Arabic" w:cs="Traditional Arabic"/>
            <w:noProof/>
            <w:sz w:val="28"/>
            <w:lang w:bidi="ar-EG"/>
          </w:rPr>
          <w:fldChar w:fldCharType="begin"/>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webHidden/>
            <w:sz w:val="28"/>
            <w:lang w:bidi="ar-EG"/>
          </w:rPr>
          <w:instrText>PAGEREF</w:instrText>
        </w:r>
        <w:r w:rsidR="00335E4B" w:rsidRPr="007911CF">
          <w:rPr>
            <w:rFonts w:ascii="Traditional Arabic" w:hAnsi="Traditional Arabic" w:cs="Traditional Arabic"/>
            <w:noProof/>
            <w:webHidden/>
            <w:sz w:val="28"/>
            <w:rtl/>
            <w:lang w:bidi="ar-EG"/>
          </w:rPr>
          <w:instrText xml:space="preserve"> _</w:instrText>
        </w:r>
        <w:r w:rsidR="00335E4B" w:rsidRPr="007911CF">
          <w:rPr>
            <w:rFonts w:ascii="Traditional Arabic" w:hAnsi="Traditional Arabic" w:cs="Traditional Arabic"/>
            <w:noProof/>
            <w:webHidden/>
            <w:sz w:val="28"/>
            <w:lang w:bidi="ar-EG"/>
          </w:rPr>
          <w:instrText>Toc441673705 \h</w:instrText>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sz w:val="28"/>
            <w:lang w:bidi="ar-EG"/>
          </w:rPr>
        </w:r>
        <w:r w:rsidR="00335E4B" w:rsidRPr="007911CF">
          <w:rPr>
            <w:rFonts w:ascii="Traditional Arabic" w:hAnsi="Traditional Arabic" w:cs="Traditional Arabic"/>
            <w:noProof/>
            <w:sz w:val="28"/>
            <w:lang w:bidi="ar-EG"/>
          </w:rPr>
          <w:fldChar w:fldCharType="separate"/>
        </w:r>
        <w:r>
          <w:rPr>
            <w:rFonts w:ascii="Traditional Arabic" w:hAnsi="Traditional Arabic" w:cs="Traditional Arabic"/>
            <w:noProof/>
            <w:webHidden/>
            <w:sz w:val="28"/>
            <w:rtl/>
            <w:lang w:bidi="ar-EG"/>
          </w:rPr>
          <w:t>13</w:t>
        </w:r>
        <w:r w:rsidR="00335E4B" w:rsidRPr="007911CF">
          <w:rPr>
            <w:rFonts w:ascii="Traditional Arabic" w:hAnsi="Traditional Arabic" w:cs="Traditional Arabic"/>
            <w:noProof/>
            <w:sz w:val="28"/>
            <w:lang w:bidi="ar-EG"/>
          </w:rPr>
          <w:fldChar w:fldCharType="end"/>
        </w:r>
      </w:hyperlink>
    </w:p>
    <w:p w:rsidR="00335E4B" w:rsidRPr="007911CF" w:rsidRDefault="00C034D6"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hyperlink w:anchor="_Toc441673706" w:history="1">
        <w:r w:rsidR="00335E4B" w:rsidRPr="007911CF">
          <w:rPr>
            <w:rFonts w:ascii="Traditional Arabic" w:hAnsi="Traditional Arabic" w:cs="Traditional Arabic"/>
            <w:noProof/>
            <w:sz w:val="28"/>
            <w:rtl/>
            <w:lang w:bidi="ar-EG"/>
          </w:rPr>
          <w:t>1-11</w:t>
        </w:r>
        <w:r w:rsidR="00335E4B" w:rsidRPr="007911CF">
          <w:rPr>
            <w:rFonts w:ascii="Traditional Arabic" w:hAnsi="Traditional Arabic" w:cs="Traditional Arabic"/>
            <w:noProof/>
            <w:sz w:val="28"/>
            <w:rtl/>
          </w:rPr>
          <w:tab/>
        </w:r>
        <w:r w:rsidR="00335E4B" w:rsidRPr="007911CF">
          <w:rPr>
            <w:rFonts w:ascii="Traditional Arabic" w:hAnsi="Traditional Arabic" w:cs="Traditional Arabic"/>
            <w:noProof/>
            <w:sz w:val="28"/>
            <w:rtl/>
            <w:lang w:bidi="ar-EG"/>
          </w:rPr>
          <w:t>تقنيات ضبط الملوثات المتعددة</w:t>
        </w:r>
        <w:r w:rsidR="00335E4B" w:rsidRPr="007911CF">
          <w:rPr>
            <w:rFonts w:ascii="Traditional Arabic" w:hAnsi="Traditional Arabic" w:cs="Traditional Arabic"/>
            <w:noProof/>
            <w:webHidden/>
            <w:sz w:val="28"/>
            <w:rtl/>
            <w:lang w:bidi="ar-EG"/>
          </w:rPr>
          <w:tab/>
        </w:r>
        <w:r w:rsidR="00335E4B" w:rsidRPr="007911CF">
          <w:rPr>
            <w:rFonts w:ascii="Traditional Arabic" w:hAnsi="Traditional Arabic" w:cs="Traditional Arabic"/>
            <w:noProof/>
            <w:sz w:val="28"/>
            <w:lang w:bidi="ar-EG"/>
          </w:rPr>
          <w:fldChar w:fldCharType="begin"/>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webHidden/>
            <w:sz w:val="28"/>
            <w:lang w:bidi="ar-EG"/>
          </w:rPr>
          <w:instrText>PAGEREF</w:instrText>
        </w:r>
        <w:r w:rsidR="00335E4B" w:rsidRPr="007911CF">
          <w:rPr>
            <w:rFonts w:ascii="Traditional Arabic" w:hAnsi="Traditional Arabic" w:cs="Traditional Arabic"/>
            <w:noProof/>
            <w:webHidden/>
            <w:sz w:val="28"/>
            <w:rtl/>
            <w:lang w:bidi="ar-EG"/>
          </w:rPr>
          <w:instrText xml:space="preserve"> _</w:instrText>
        </w:r>
        <w:r w:rsidR="00335E4B" w:rsidRPr="007911CF">
          <w:rPr>
            <w:rFonts w:ascii="Traditional Arabic" w:hAnsi="Traditional Arabic" w:cs="Traditional Arabic"/>
            <w:noProof/>
            <w:webHidden/>
            <w:sz w:val="28"/>
            <w:lang w:bidi="ar-EG"/>
          </w:rPr>
          <w:instrText>Toc441673706 \h</w:instrText>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sz w:val="28"/>
            <w:lang w:bidi="ar-EG"/>
          </w:rPr>
        </w:r>
        <w:r w:rsidR="00335E4B" w:rsidRPr="007911CF">
          <w:rPr>
            <w:rFonts w:ascii="Traditional Arabic" w:hAnsi="Traditional Arabic" w:cs="Traditional Arabic"/>
            <w:noProof/>
            <w:sz w:val="28"/>
            <w:lang w:bidi="ar-EG"/>
          </w:rPr>
          <w:fldChar w:fldCharType="separate"/>
        </w:r>
        <w:r>
          <w:rPr>
            <w:rFonts w:ascii="Traditional Arabic" w:hAnsi="Traditional Arabic" w:cs="Traditional Arabic"/>
            <w:noProof/>
            <w:webHidden/>
            <w:sz w:val="28"/>
            <w:rtl/>
            <w:lang w:bidi="ar-EG"/>
          </w:rPr>
          <w:t>13</w:t>
        </w:r>
        <w:r w:rsidR="00335E4B" w:rsidRPr="007911CF">
          <w:rPr>
            <w:rFonts w:ascii="Traditional Arabic" w:hAnsi="Traditional Arabic" w:cs="Traditional Arabic"/>
            <w:noProof/>
            <w:sz w:val="28"/>
            <w:lang w:bidi="ar-EG"/>
          </w:rPr>
          <w:fldChar w:fldCharType="end"/>
        </w:r>
      </w:hyperlink>
    </w:p>
    <w:p w:rsidR="00335E4B" w:rsidRPr="007911CF" w:rsidRDefault="00C034D6"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hyperlink w:anchor="_Toc441673707" w:history="1">
        <w:r w:rsidR="00335E4B" w:rsidRPr="007911CF">
          <w:rPr>
            <w:rFonts w:ascii="Traditional Arabic" w:hAnsi="Traditional Arabic" w:cs="Traditional Arabic"/>
            <w:noProof/>
            <w:sz w:val="28"/>
            <w:rtl/>
            <w:lang w:bidi="ar-EG"/>
          </w:rPr>
          <w:t>1-12</w:t>
        </w:r>
        <w:r w:rsidR="00335E4B" w:rsidRPr="007911CF">
          <w:rPr>
            <w:rFonts w:ascii="Traditional Arabic" w:hAnsi="Traditional Arabic" w:cs="Traditional Arabic"/>
            <w:noProof/>
            <w:sz w:val="28"/>
            <w:rtl/>
          </w:rPr>
          <w:tab/>
        </w:r>
        <w:r w:rsidR="00335E4B" w:rsidRPr="007911CF">
          <w:rPr>
            <w:rFonts w:ascii="Traditional Arabic" w:hAnsi="Traditional Arabic" w:cs="Traditional Arabic"/>
            <w:noProof/>
            <w:sz w:val="28"/>
            <w:rtl/>
            <w:lang w:bidi="ar-EG"/>
          </w:rPr>
          <w:t>الاتفاقات الدولية الأخرى</w:t>
        </w:r>
        <w:r w:rsidR="00335E4B" w:rsidRPr="007911CF">
          <w:rPr>
            <w:rFonts w:ascii="Traditional Arabic" w:hAnsi="Traditional Arabic" w:cs="Traditional Arabic"/>
            <w:noProof/>
            <w:webHidden/>
            <w:sz w:val="28"/>
            <w:rtl/>
            <w:lang w:bidi="ar-EG"/>
          </w:rPr>
          <w:tab/>
        </w:r>
        <w:r w:rsidR="00335E4B" w:rsidRPr="007911CF">
          <w:rPr>
            <w:rFonts w:ascii="Traditional Arabic" w:hAnsi="Traditional Arabic" w:cs="Traditional Arabic"/>
            <w:noProof/>
            <w:sz w:val="28"/>
            <w:lang w:bidi="ar-EG"/>
          </w:rPr>
          <w:fldChar w:fldCharType="begin"/>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webHidden/>
            <w:sz w:val="28"/>
            <w:lang w:bidi="ar-EG"/>
          </w:rPr>
          <w:instrText>PAGEREF</w:instrText>
        </w:r>
        <w:r w:rsidR="00335E4B" w:rsidRPr="007911CF">
          <w:rPr>
            <w:rFonts w:ascii="Traditional Arabic" w:hAnsi="Traditional Arabic" w:cs="Traditional Arabic"/>
            <w:noProof/>
            <w:webHidden/>
            <w:sz w:val="28"/>
            <w:rtl/>
            <w:lang w:bidi="ar-EG"/>
          </w:rPr>
          <w:instrText xml:space="preserve"> _</w:instrText>
        </w:r>
        <w:r w:rsidR="00335E4B" w:rsidRPr="007911CF">
          <w:rPr>
            <w:rFonts w:ascii="Traditional Arabic" w:hAnsi="Traditional Arabic" w:cs="Traditional Arabic"/>
            <w:noProof/>
            <w:webHidden/>
            <w:sz w:val="28"/>
            <w:lang w:bidi="ar-EG"/>
          </w:rPr>
          <w:instrText>Toc441673707 \h</w:instrText>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sz w:val="28"/>
            <w:lang w:bidi="ar-EG"/>
          </w:rPr>
        </w:r>
        <w:r w:rsidR="00335E4B" w:rsidRPr="007911CF">
          <w:rPr>
            <w:rFonts w:ascii="Traditional Arabic" w:hAnsi="Traditional Arabic" w:cs="Traditional Arabic"/>
            <w:noProof/>
            <w:sz w:val="28"/>
            <w:lang w:bidi="ar-EG"/>
          </w:rPr>
          <w:fldChar w:fldCharType="separate"/>
        </w:r>
        <w:r>
          <w:rPr>
            <w:rFonts w:ascii="Traditional Arabic" w:hAnsi="Traditional Arabic" w:cs="Traditional Arabic"/>
            <w:noProof/>
            <w:webHidden/>
            <w:sz w:val="28"/>
            <w:rtl/>
            <w:lang w:bidi="ar-EG"/>
          </w:rPr>
          <w:t>14</w:t>
        </w:r>
        <w:r w:rsidR="00335E4B" w:rsidRPr="007911CF">
          <w:rPr>
            <w:rFonts w:ascii="Traditional Arabic" w:hAnsi="Traditional Arabic" w:cs="Traditional Arabic"/>
            <w:noProof/>
            <w:sz w:val="28"/>
            <w:lang w:bidi="ar-EG"/>
          </w:rPr>
          <w:fldChar w:fldCharType="end"/>
        </w:r>
      </w:hyperlink>
    </w:p>
    <w:p w:rsidR="00335E4B" w:rsidRPr="007911CF" w:rsidRDefault="00C034D6"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hyperlink w:anchor="_Toc441673708" w:history="1">
        <w:r w:rsidR="00335E4B" w:rsidRPr="007911CF">
          <w:rPr>
            <w:rFonts w:ascii="Traditional Arabic" w:hAnsi="Traditional Arabic" w:cs="Traditional Arabic"/>
            <w:noProof/>
            <w:sz w:val="28"/>
            <w:rtl/>
            <w:lang w:bidi="ar-EG"/>
          </w:rPr>
          <w:t>1-12-1</w:t>
        </w:r>
        <w:r w:rsidR="00335E4B" w:rsidRPr="007911CF">
          <w:rPr>
            <w:rFonts w:ascii="Traditional Arabic" w:hAnsi="Traditional Arabic" w:cs="Traditional Arabic"/>
            <w:noProof/>
            <w:sz w:val="28"/>
            <w:rtl/>
          </w:rPr>
          <w:tab/>
        </w:r>
        <w:r w:rsidR="00335E4B" w:rsidRPr="007911CF">
          <w:rPr>
            <w:rFonts w:ascii="Traditional Arabic" w:hAnsi="Traditional Arabic" w:cs="Traditional Arabic"/>
            <w:noProof/>
            <w:sz w:val="28"/>
            <w:rtl/>
            <w:lang w:bidi="ar-EG"/>
          </w:rPr>
          <w:t>اتفاقية بازل بشأن التحكم في نقل النفايات الخطرة والتخلص منها عبر الحدود</w:t>
        </w:r>
        <w:r w:rsidR="00335E4B" w:rsidRPr="007911CF">
          <w:rPr>
            <w:rFonts w:ascii="Traditional Arabic" w:hAnsi="Traditional Arabic" w:cs="Traditional Arabic"/>
            <w:noProof/>
            <w:webHidden/>
            <w:sz w:val="28"/>
            <w:rtl/>
            <w:lang w:bidi="ar-EG"/>
          </w:rPr>
          <w:tab/>
        </w:r>
        <w:r w:rsidR="00335E4B" w:rsidRPr="007911CF">
          <w:rPr>
            <w:rFonts w:ascii="Traditional Arabic" w:hAnsi="Traditional Arabic" w:cs="Traditional Arabic"/>
            <w:noProof/>
            <w:sz w:val="28"/>
            <w:lang w:bidi="ar-EG"/>
          </w:rPr>
          <w:fldChar w:fldCharType="begin"/>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webHidden/>
            <w:sz w:val="28"/>
            <w:lang w:bidi="ar-EG"/>
          </w:rPr>
          <w:instrText>PAGEREF</w:instrText>
        </w:r>
        <w:r w:rsidR="00335E4B" w:rsidRPr="007911CF">
          <w:rPr>
            <w:rFonts w:ascii="Traditional Arabic" w:hAnsi="Traditional Arabic" w:cs="Traditional Arabic"/>
            <w:noProof/>
            <w:webHidden/>
            <w:sz w:val="28"/>
            <w:rtl/>
            <w:lang w:bidi="ar-EG"/>
          </w:rPr>
          <w:instrText xml:space="preserve"> _</w:instrText>
        </w:r>
        <w:r w:rsidR="00335E4B" w:rsidRPr="007911CF">
          <w:rPr>
            <w:rFonts w:ascii="Traditional Arabic" w:hAnsi="Traditional Arabic" w:cs="Traditional Arabic"/>
            <w:noProof/>
            <w:webHidden/>
            <w:sz w:val="28"/>
            <w:lang w:bidi="ar-EG"/>
          </w:rPr>
          <w:instrText>Toc441673708 \h</w:instrText>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sz w:val="28"/>
            <w:lang w:bidi="ar-EG"/>
          </w:rPr>
        </w:r>
        <w:r w:rsidR="00335E4B" w:rsidRPr="007911CF">
          <w:rPr>
            <w:rFonts w:ascii="Traditional Arabic" w:hAnsi="Traditional Arabic" w:cs="Traditional Arabic"/>
            <w:noProof/>
            <w:sz w:val="28"/>
            <w:lang w:bidi="ar-EG"/>
          </w:rPr>
          <w:fldChar w:fldCharType="separate"/>
        </w:r>
        <w:r>
          <w:rPr>
            <w:rFonts w:ascii="Traditional Arabic" w:hAnsi="Traditional Arabic" w:cs="Traditional Arabic"/>
            <w:noProof/>
            <w:webHidden/>
            <w:sz w:val="28"/>
            <w:rtl/>
            <w:lang w:bidi="ar-EG"/>
          </w:rPr>
          <w:t>14</w:t>
        </w:r>
        <w:r w:rsidR="00335E4B" w:rsidRPr="007911CF">
          <w:rPr>
            <w:rFonts w:ascii="Traditional Arabic" w:hAnsi="Traditional Arabic" w:cs="Traditional Arabic"/>
            <w:noProof/>
            <w:sz w:val="28"/>
            <w:lang w:bidi="ar-EG"/>
          </w:rPr>
          <w:fldChar w:fldCharType="end"/>
        </w:r>
      </w:hyperlink>
    </w:p>
    <w:p w:rsidR="00335E4B" w:rsidRPr="007911CF" w:rsidRDefault="00C034D6"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hyperlink w:anchor="_Toc441673709" w:history="1">
        <w:r w:rsidR="00335E4B" w:rsidRPr="007911CF">
          <w:rPr>
            <w:rFonts w:ascii="Traditional Arabic" w:hAnsi="Traditional Arabic" w:cs="Traditional Arabic"/>
            <w:noProof/>
            <w:sz w:val="28"/>
            <w:rtl/>
            <w:lang w:bidi="ar-EG"/>
          </w:rPr>
          <w:t>1-12-2</w:t>
        </w:r>
        <w:r w:rsidR="00335E4B" w:rsidRPr="007911CF">
          <w:rPr>
            <w:rFonts w:ascii="Traditional Arabic" w:hAnsi="Traditional Arabic" w:cs="Traditional Arabic"/>
            <w:noProof/>
            <w:sz w:val="28"/>
            <w:rtl/>
          </w:rPr>
          <w:tab/>
        </w:r>
        <w:r w:rsidR="00335E4B" w:rsidRPr="007911CF">
          <w:rPr>
            <w:rFonts w:ascii="Traditional Arabic" w:hAnsi="Traditional Arabic" w:cs="Traditional Arabic"/>
            <w:noProof/>
            <w:sz w:val="28"/>
            <w:rtl/>
            <w:lang w:bidi="ar-EG"/>
          </w:rPr>
          <w:t>اتفاقية التلوث الجوي البعيد المدى العابر للحدود</w:t>
        </w:r>
        <w:r w:rsidR="00335E4B" w:rsidRPr="007911CF">
          <w:rPr>
            <w:rFonts w:ascii="Traditional Arabic" w:hAnsi="Traditional Arabic" w:cs="Traditional Arabic"/>
            <w:noProof/>
            <w:webHidden/>
            <w:sz w:val="28"/>
            <w:rtl/>
            <w:lang w:bidi="ar-EG"/>
          </w:rPr>
          <w:tab/>
        </w:r>
        <w:r w:rsidR="00335E4B" w:rsidRPr="007911CF">
          <w:rPr>
            <w:rFonts w:ascii="Traditional Arabic" w:hAnsi="Traditional Arabic" w:cs="Traditional Arabic"/>
            <w:noProof/>
            <w:sz w:val="28"/>
            <w:lang w:bidi="ar-EG"/>
          </w:rPr>
          <w:fldChar w:fldCharType="begin"/>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webHidden/>
            <w:sz w:val="28"/>
            <w:lang w:bidi="ar-EG"/>
          </w:rPr>
          <w:instrText>PAGEREF</w:instrText>
        </w:r>
        <w:r w:rsidR="00335E4B" w:rsidRPr="007911CF">
          <w:rPr>
            <w:rFonts w:ascii="Traditional Arabic" w:hAnsi="Traditional Arabic" w:cs="Traditional Arabic"/>
            <w:noProof/>
            <w:webHidden/>
            <w:sz w:val="28"/>
            <w:rtl/>
            <w:lang w:bidi="ar-EG"/>
          </w:rPr>
          <w:instrText xml:space="preserve"> _</w:instrText>
        </w:r>
        <w:r w:rsidR="00335E4B" w:rsidRPr="007911CF">
          <w:rPr>
            <w:rFonts w:ascii="Traditional Arabic" w:hAnsi="Traditional Arabic" w:cs="Traditional Arabic"/>
            <w:noProof/>
            <w:webHidden/>
            <w:sz w:val="28"/>
            <w:lang w:bidi="ar-EG"/>
          </w:rPr>
          <w:instrText>Toc441673709 \h</w:instrText>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sz w:val="28"/>
            <w:lang w:bidi="ar-EG"/>
          </w:rPr>
        </w:r>
        <w:r w:rsidR="00335E4B" w:rsidRPr="007911CF">
          <w:rPr>
            <w:rFonts w:ascii="Traditional Arabic" w:hAnsi="Traditional Arabic" w:cs="Traditional Arabic"/>
            <w:noProof/>
            <w:sz w:val="28"/>
            <w:lang w:bidi="ar-EG"/>
          </w:rPr>
          <w:fldChar w:fldCharType="separate"/>
        </w:r>
        <w:r>
          <w:rPr>
            <w:rFonts w:ascii="Traditional Arabic" w:hAnsi="Traditional Arabic" w:cs="Traditional Arabic"/>
            <w:noProof/>
            <w:webHidden/>
            <w:sz w:val="28"/>
            <w:rtl/>
            <w:lang w:bidi="ar-EG"/>
          </w:rPr>
          <w:t>14</w:t>
        </w:r>
        <w:r w:rsidR="00335E4B" w:rsidRPr="007911CF">
          <w:rPr>
            <w:rFonts w:ascii="Traditional Arabic" w:hAnsi="Traditional Arabic" w:cs="Traditional Arabic"/>
            <w:noProof/>
            <w:sz w:val="28"/>
            <w:lang w:bidi="ar-EG"/>
          </w:rPr>
          <w:fldChar w:fldCharType="end"/>
        </w:r>
      </w:hyperlink>
    </w:p>
    <w:p w:rsidR="00335E4B" w:rsidRPr="007911CF" w:rsidRDefault="00C034D6" w:rsidP="00335E4B">
      <w:pPr>
        <w:tabs>
          <w:tab w:val="left" w:pos="707"/>
          <w:tab w:val="right" w:leader="dot" w:pos="9212"/>
        </w:tabs>
        <w:spacing w:after="120" w:line="340" w:lineRule="exact"/>
        <w:ind w:left="849" w:hanging="851"/>
        <w:rPr>
          <w:rFonts w:ascii="Traditional Arabic" w:hAnsi="Traditional Arabic" w:cs="Traditional Arabic"/>
          <w:noProof/>
          <w:sz w:val="28"/>
          <w:rtl/>
        </w:rPr>
      </w:pPr>
      <w:hyperlink w:anchor="_Toc441673710" w:history="1">
        <w:r w:rsidR="00335E4B" w:rsidRPr="007911CF">
          <w:rPr>
            <w:rFonts w:ascii="Traditional Arabic" w:hAnsi="Traditional Arabic" w:cs="Traditional Arabic"/>
            <w:noProof/>
            <w:sz w:val="28"/>
            <w:rtl/>
            <w:lang w:bidi="ar-EG"/>
          </w:rPr>
          <w:t>1-13</w:t>
        </w:r>
        <w:r w:rsidR="00335E4B" w:rsidRPr="007911CF">
          <w:rPr>
            <w:rFonts w:ascii="Traditional Arabic" w:hAnsi="Traditional Arabic" w:cs="Traditional Arabic"/>
            <w:noProof/>
            <w:sz w:val="28"/>
            <w:rtl/>
          </w:rPr>
          <w:tab/>
        </w:r>
        <w:r w:rsidR="00335E4B" w:rsidRPr="007911CF">
          <w:rPr>
            <w:rFonts w:ascii="Traditional Arabic" w:hAnsi="Traditional Arabic" w:cs="Traditional Arabic"/>
            <w:noProof/>
            <w:sz w:val="28"/>
            <w:rtl/>
            <w:lang w:bidi="ar-EG"/>
          </w:rPr>
          <w:t>شراكة الزئبق العالمية التابعة لبرنامج الأمم المتحدة للبيئة</w:t>
        </w:r>
        <w:r w:rsidR="00335E4B" w:rsidRPr="007911CF">
          <w:rPr>
            <w:rFonts w:ascii="Traditional Arabic" w:hAnsi="Traditional Arabic" w:cs="Traditional Arabic"/>
            <w:noProof/>
            <w:webHidden/>
            <w:sz w:val="28"/>
            <w:rtl/>
            <w:lang w:bidi="ar-EG"/>
          </w:rPr>
          <w:tab/>
        </w:r>
        <w:r w:rsidR="00335E4B" w:rsidRPr="007911CF">
          <w:rPr>
            <w:rFonts w:ascii="Traditional Arabic" w:hAnsi="Traditional Arabic" w:cs="Traditional Arabic"/>
            <w:noProof/>
            <w:sz w:val="28"/>
            <w:lang w:bidi="ar-EG"/>
          </w:rPr>
          <w:fldChar w:fldCharType="begin"/>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webHidden/>
            <w:sz w:val="28"/>
            <w:lang w:bidi="ar-EG"/>
          </w:rPr>
          <w:instrText>PAGEREF</w:instrText>
        </w:r>
        <w:r w:rsidR="00335E4B" w:rsidRPr="007911CF">
          <w:rPr>
            <w:rFonts w:ascii="Traditional Arabic" w:hAnsi="Traditional Arabic" w:cs="Traditional Arabic"/>
            <w:noProof/>
            <w:webHidden/>
            <w:sz w:val="28"/>
            <w:rtl/>
            <w:lang w:bidi="ar-EG"/>
          </w:rPr>
          <w:instrText xml:space="preserve"> _</w:instrText>
        </w:r>
        <w:r w:rsidR="00335E4B" w:rsidRPr="007911CF">
          <w:rPr>
            <w:rFonts w:ascii="Traditional Arabic" w:hAnsi="Traditional Arabic" w:cs="Traditional Arabic"/>
            <w:noProof/>
            <w:webHidden/>
            <w:sz w:val="28"/>
            <w:lang w:bidi="ar-EG"/>
          </w:rPr>
          <w:instrText>Toc441673710 \h</w:instrText>
        </w:r>
        <w:r w:rsidR="00335E4B" w:rsidRPr="007911CF">
          <w:rPr>
            <w:rFonts w:ascii="Traditional Arabic" w:hAnsi="Traditional Arabic" w:cs="Traditional Arabic"/>
            <w:noProof/>
            <w:webHidden/>
            <w:sz w:val="28"/>
            <w:rtl/>
            <w:lang w:bidi="ar-EG"/>
          </w:rPr>
          <w:instrText xml:space="preserve"> </w:instrText>
        </w:r>
        <w:r w:rsidR="00335E4B" w:rsidRPr="007911CF">
          <w:rPr>
            <w:rFonts w:ascii="Traditional Arabic" w:hAnsi="Traditional Arabic" w:cs="Traditional Arabic"/>
            <w:noProof/>
            <w:sz w:val="28"/>
            <w:lang w:bidi="ar-EG"/>
          </w:rPr>
        </w:r>
        <w:r w:rsidR="00335E4B" w:rsidRPr="007911CF">
          <w:rPr>
            <w:rFonts w:ascii="Traditional Arabic" w:hAnsi="Traditional Arabic" w:cs="Traditional Arabic"/>
            <w:noProof/>
            <w:sz w:val="28"/>
            <w:lang w:bidi="ar-EG"/>
          </w:rPr>
          <w:fldChar w:fldCharType="separate"/>
        </w:r>
        <w:r>
          <w:rPr>
            <w:rFonts w:ascii="Traditional Arabic" w:hAnsi="Traditional Arabic" w:cs="Traditional Arabic"/>
            <w:noProof/>
            <w:webHidden/>
            <w:sz w:val="28"/>
            <w:rtl/>
            <w:lang w:bidi="ar-EG"/>
          </w:rPr>
          <w:t>15</w:t>
        </w:r>
        <w:r w:rsidR="00335E4B" w:rsidRPr="007911CF">
          <w:rPr>
            <w:rFonts w:ascii="Traditional Arabic" w:hAnsi="Traditional Arabic" w:cs="Traditional Arabic"/>
            <w:noProof/>
            <w:sz w:val="28"/>
            <w:lang w:bidi="ar-EG"/>
          </w:rPr>
          <w:fldChar w:fldCharType="end"/>
        </w:r>
      </w:hyperlink>
    </w:p>
    <w:p w:rsidR="00335E4B" w:rsidRPr="00335E4B" w:rsidRDefault="00335E4B" w:rsidP="00194C2F">
      <w:pPr>
        <w:spacing w:after="120" w:line="400" w:lineRule="exact"/>
        <w:jc w:val="both"/>
        <w:rPr>
          <w:rFonts w:ascii="Traditional Arabic" w:hAnsi="Traditional Arabic" w:cs="Traditional Arabic"/>
          <w:b/>
          <w:bCs/>
          <w:sz w:val="32"/>
          <w:szCs w:val="32"/>
          <w:rtl/>
        </w:rPr>
      </w:pPr>
      <w:r w:rsidRPr="007911CF">
        <w:rPr>
          <w:rFonts w:ascii="Traditional Arabic" w:hAnsi="Traditional Arabic" w:cs="Traditional Arabic"/>
          <w:noProof/>
          <w:sz w:val="28"/>
        </w:rPr>
        <w:fldChar w:fldCharType="end"/>
      </w:r>
      <w:r w:rsidRPr="00335E4B">
        <w:rPr>
          <w:rFonts w:ascii="Traditional Arabic" w:hAnsi="Traditional Arabic" w:cs="Traditional Arabic"/>
          <w:b/>
          <w:bCs/>
          <w:sz w:val="32"/>
          <w:szCs w:val="32"/>
          <w:u w:val="single"/>
          <w:rtl/>
        </w:rPr>
        <w:br w:type="page"/>
      </w:r>
      <w:bookmarkStart w:id="1" w:name="_Toc441577676"/>
      <w:bookmarkStart w:id="2" w:name="_Toc441577855"/>
      <w:bookmarkStart w:id="3" w:name="_Toc441580689"/>
      <w:bookmarkStart w:id="4" w:name="_Toc441586156"/>
      <w:bookmarkStart w:id="5" w:name="_Toc441586606"/>
      <w:bookmarkStart w:id="6" w:name="_Toc441586785"/>
      <w:bookmarkStart w:id="7" w:name="_Toc441666634"/>
      <w:bookmarkStart w:id="8" w:name="_Toc441673695"/>
      <w:r w:rsidRPr="00335E4B">
        <w:rPr>
          <w:rFonts w:ascii="Traditional Arabic" w:hAnsi="Traditional Arabic" w:cs="Traditional Arabic"/>
          <w:b/>
          <w:bCs/>
          <w:sz w:val="32"/>
          <w:szCs w:val="32"/>
          <w:rtl/>
        </w:rPr>
        <w:t>1 -</w:t>
      </w:r>
      <w:r w:rsidRPr="00335E4B">
        <w:rPr>
          <w:rFonts w:ascii="Traditional Arabic" w:hAnsi="Traditional Arabic" w:cs="Traditional Arabic"/>
          <w:b/>
          <w:bCs/>
          <w:sz w:val="32"/>
          <w:szCs w:val="32"/>
          <w:rtl/>
        </w:rPr>
        <w:tab/>
        <w:t>مقدمة</w:t>
      </w:r>
      <w:bookmarkEnd w:id="1"/>
      <w:bookmarkEnd w:id="2"/>
      <w:bookmarkEnd w:id="3"/>
      <w:bookmarkEnd w:id="4"/>
      <w:bookmarkEnd w:id="5"/>
      <w:bookmarkEnd w:id="6"/>
      <w:bookmarkEnd w:id="7"/>
      <w:bookmarkEnd w:id="8"/>
    </w:p>
    <w:p w:rsidR="00335E4B" w:rsidRPr="00335E4B" w:rsidRDefault="00335E4B" w:rsidP="00525770">
      <w:pPr>
        <w:keepNext/>
        <w:spacing w:after="120" w:line="400" w:lineRule="exact"/>
        <w:jc w:val="both"/>
        <w:outlineLvl w:val="0"/>
        <w:rPr>
          <w:rFonts w:cs="Traditional Arabic"/>
          <w:b/>
          <w:bCs/>
          <w:sz w:val="30"/>
          <w:szCs w:val="30"/>
          <w:rtl/>
        </w:rPr>
      </w:pPr>
      <w:bookmarkStart w:id="9" w:name="_Toc440456817"/>
      <w:bookmarkStart w:id="10" w:name="_Toc440526882"/>
      <w:bookmarkStart w:id="11" w:name="_Toc440527734"/>
      <w:bookmarkStart w:id="12" w:name="_Toc440550437"/>
      <w:bookmarkStart w:id="13" w:name="_Toc441577677"/>
      <w:bookmarkStart w:id="14" w:name="_Toc441577856"/>
      <w:bookmarkStart w:id="15" w:name="_Toc441579082"/>
      <w:bookmarkStart w:id="16" w:name="_Toc441580690"/>
      <w:bookmarkStart w:id="17" w:name="_Toc441586157"/>
      <w:bookmarkStart w:id="18" w:name="_Toc441586607"/>
      <w:bookmarkStart w:id="19" w:name="_Toc441586786"/>
      <w:bookmarkStart w:id="20" w:name="_Toc441666635"/>
      <w:bookmarkStart w:id="21" w:name="_Toc441673696"/>
      <w:r w:rsidRPr="00335E4B">
        <w:rPr>
          <w:rFonts w:cs="Traditional Arabic"/>
          <w:b/>
          <w:bCs/>
          <w:sz w:val="30"/>
          <w:szCs w:val="30"/>
          <w:rtl/>
        </w:rPr>
        <w:t>1-</w:t>
      </w:r>
      <w:r w:rsidRPr="00335E4B">
        <w:rPr>
          <w:rFonts w:cs="Traditional Arabic" w:hint="cs"/>
          <w:b/>
          <w:bCs/>
          <w:sz w:val="30"/>
          <w:szCs w:val="30"/>
          <w:rtl/>
        </w:rPr>
        <w:t>1</w:t>
      </w:r>
      <w:r w:rsidRPr="00335E4B">
        <w:rPr>
          <w:rFonts w:cs="Traditional Arabic"/>
          <w:b/>
          <w:bCs/>
          <w:sz w:val="30"/>
          <w:szCs w:val="30"/>
          <w:rtl/>
        </w:rPr>
        <w:tab/>
        <w:t>غرض الوثيقة</w:t>
      </w:r>
      <w:bookmarkEnd w:id="9"/>
      <w:bookmarkEnd w:id="10"/>
      <w:bookmarkEnd w:id="11"/>
      <w:bookmarkEnd w:id="12"/>
      <w:bookmarkEnd w:id="13"/>
      <w:bookmarkEnd w:id="14"/>
      <w:bookmarkEnd w:id="15"/>
      <w:bookmarkEnd w:id="16"/>
      <w:bookmarkEnd w:id="17"/>
      <w:bookmarkEnd w:id="18"/>
      <w:bookmarkEnd w:id="19"/>
      <w:bookmarkEnd w:id="20"/>
      <w:bookmarkEnd w:id="21"/>
    </w:p>
    <w:p w:rsidR="00562305" w:rsidRPr="00562305" w:rsidRDefault="00335E4B" w:rsidP="00562305">
      <w:pPr>
        <w:spacing w:after="120" w:line="400" w:lineRule="exact"/>
        <w:jc w:val="both"/>
        <w:rPr>
          <w:rFonts w:cs="Traditional Arabic"/>
          <w:sz w:val="20"/>
          <w:szCs w:val="30"/>
          <w:rtl/>
        </w:rPr>
      </w:pPr>
      <w:r w:rsidRPr="00335E4B">
        <w:rPr>
          <w:rFonts w:cs="Traditional Arabic"/>
          <w:sz w:val="20"/>
          <w:szCs w:val="30"/>
          <w:rtl/>
        </w:rPr>
        <w:t>تقدِّم هذه الوثيقة التوجيه</w:t>
      </w:r>
      <w:r w:rsidRPr="00335E4B">
        <w:rPr>
          <w:rFonts w:cs="Traditional Arabic" w:hint="cs"/>
          <w:sz w:val="20"/>
          <w:szCs w:val="30"/>
          <w:rtl/>
        </w:rPr>
        <w:t>ات</w:t>
      </w:r>
      <w:r w:rsidRPr="00335E4B">
        <w:rPr>
          <w:rFonts w:cs="Traditional Arabic"/>
          <w:sz w:val="20"/>
          <w:szCs w:val="30"/>
          <w:rtl/>
        </w:rPr>
        <w:t xml:space="preserve"> المتعلق</w:t>
      </w:r>
      <w:r w:rsidRPr="00335E4B">
        <w:rPr>
          <w:rFonts w:cs="Traditional Arabic" w:hint="cs"/>
          <w:sz w:val="20"/>
          <w:szCs w:val="30"/>
          <w:rtl/>
        </w:rPr>
        <w:t>ة</w:t>
      </w:r>
      <w:r w:rsidRPr="00335E4B">
        <w:rPr>
          <w:rFonts w:cs="Traditional Arabic"/>
          <w:sz w:val="20"/>
          <w:szCs w:val="30"/>
          <w:rtl/>
        </w:rPr>
        <w:t xml:space="preserve"> بأفضل التقنيات المتاحة وأفضل الممارسات البيئية لمساعدة الأطراف على الوفاء بالتزاماتها بموجب المادة 8 من اتفاقية ميناماتا بشأن الزئبق (ويشار إليها أدناه باسم ”الاتفاقية“)، التي تتعلق بالضبط والتخفيض، حيثما أمكن، لانبعاثات الزئبق أو مركبات الزئبق في الغلاف الجوي من المصادر الثابتة التي تندرج في فئات المصادر الواردة في المرفق دال للاتفاقية. وتم إعداد هذا التوجيه واعتماده وفقاً لمتطلبات المادة 8</w:t>
      </w:r>
      <w:r w:rsidR="00562305">
        <w:rPr>
          <w:rFonts w:cs="Traditional Arabic" w:hint="cs"/>
          <w:sz w:val="20"/>
          <w:szCs w:val="30"/>
          <w:rtl/>
        </w:rPr>
        <w:t xml:space="preserve">: </w:t>
      </w:r>
      <w:r w:rsidR="00562305" w:rsidRPr="00562305">
        <w:rPr>
          <w:rFonts w:cs="Traditional Arabic"/>
          <w:sz w:val="20"/>
          <w:szCs w:val="30"/>
          <w:rtl/>
        </w:rPr>
        <w:t>وهي لا تنشئ متطلبات إلزامية ولا تحاول أن تضيف إلى التزامات الطرف بموجب المادة 8 أو تنقص منها. وتقتضي الفقرة 10 من المادة 8 أن تراعي الأطراف هذه التوجيهات، وتقتضي من مؤتمر الأطراف أن يبقيها قيد الاستعراض وأن يحدثها حسب الاقتضاء، بحيث تراعي الظروف التي لا تغطيها التوجيهات في الوقت الحاضر.</w:t>
      </w:r>
    </w:p>
    <w:p w:rsidR="00562305" w:rsidRPr="00335E4B" w:rsidRDefault="00562305" w:rsidP="00562305">
      <w:pPr>
        <w:spacing w:after="120" w:line="400" w:lineRule="exact"/>
        <w:jc w:val="both"/>
        <w:rPr>
          <w:rFonts w:cs="Traditional Arabic"/>
          <w:sz w:val="20"/>
          <w:szCs w:val="30"/>
          <w:rtl/>
        </w:rPr>
      </w:pPr>
      <w:r w:rsidRPr="00562305">
        <w:rPr>
          <w:rFonts w:cs="Traditional Arabic"/>
          <w:sz w:val="20"/>
          <w:szCs w:val="30"/>
          <w:rtl/>
        </w:rPr>
        <w:t xml:space="preserve">وعند تحديد أفضل التقنيات المتاحة، على كل طرف أن يأخذ في الحسبان ظروفه الوطنية وفقاً لتعريف أفضل التقنيات المتاحة الوارد في الفقرة 2 (ب) من المادة 2، الذي يراعي صراحة الاعتبارات الاقتصادية والتقنية لطرف ما أو لمرفق ما موجود على أراضي ذلك الطرف. ويُعترف بأن بعض تدابير </w:t>
      </w:r>
      <w:r>
        <w:rPr>
          <w:rFonts w:cs="Traditional Arabic" w:hint="cs"/>
          <w:sz w:val="20"/>
          <w:szCs w:val="30"/>
          <w:rtl/>
        </w:rPr>
        <w:t>الرقابة</w:t>
      </w:r>
      <w:r w:rsidRPr="00562305">
        <w:rPr>
          <w:rFonts w:cs="Traditional Arabic"/>
          <w:sz w:val="20"/>
          <w:szCs w:val="30"/>
          <w:rtl/>
        </w:rPr>
        <w:t xml:space="preserve"> الوارد وصفها في هذه التوجيهات قد لا تكون متاحة لجميع الأطراف لأسباب تقنية أ</w:t>
      </w:r>
      <w:r>
        <w:rPr>
          <w:rFonts w:cs="Traditional Arabic"/>
          <w:sz w:val="20"/>
          <w:szCs w:val="30"/>
          <w:rtl/>
        </w:rPr>
        <w:t>و اقتصادية. ويتاح الدعم المالي</w:t>
      </w:r>
      <w:r>
        <w:rPr>
          <w:rFonts w:cs="Traditional Arabic" w:hint="cs"/>
          <w:sz w:val="20"/>
          <w:szCs w:val="30"/>
          <w:rtl/>
        </w:rPr>
        <w:t xml:space="preserve"> و</w:t>
      </w:r>
      <w:r>
        <w:rPr>
          <w:rFonts w:cs="Traditional Arabic"/>
          <w:sz w:val="20"/>
          <w:szCs w:val="30"/>
          <w:rtl/>
        </w:rPr>
        <w:t>بناء القدرات</w:t>
      </w:r>
      <w:r w:rsidRPr="00562305">
        <w:rPr>
          <w:rFonts w:cs="Traditional Arabic"/>
          <w:sz w:val="20"/>
          <w:szCs w:val="30"/>
          <w:rtl/>
        </w:rPr>
        <w:t xml:space="preserve"> و</w:t>
      </w:r>
      <w:r>
        <w:rPr>
          <w:rFonts w:cs="Traditional Arabic"/>
          <w:sz w:val="20"/>
          <w:szCs w:val="30"/>
          <w:rtl/>
        </w:rPr>
        <w:t>نقل التكنولوجيا</w:t>
      </w:r>
      <w:r w:rsidRPr="00562305">
        <w:rPr>
          <w:rFonts w:cs="Traditional Arabic"/>
          <w:sz w:val="20"/>
          <w:szCs w:val="30"/>
          <w:rtl/>
        </w:rPr>
        <w:t xml:space="preserve"> </w:t>
      </w:r>
      <w:r>
        <w:rPr>
          <w:rFonts w:cs="Traditional Arabic" w:hint="cs"/>
          <w:sz w:val="20"/>
          <w:szCs w:val="30"/>
          <w:rtl/>
        </w:rPr>
        <w:t>و</w:t>
      </w:r>
      <w:r w:rsidRPr="00562305">
        <w:rPr>
          <w:rFonts w:cs="Traditional Arabic"/>
          <w:sz w:val="20"/>
          <w:szCs w:val="30"/>
          <w:rtl/>
        </w:rPr>
        <w:t>المساعدة التقنية على النحو المبين في المادتين 13 و14 من الاتفاقية.</w:t>
      </w:r>
    </w:p>
    <w:p w:rsidR="00335E4B" w:rsidRPr="00335E4B" w:rsidRDefault="00335E4B" w:rsidP="00525770">
      <w:pPr>
        <w:keepNext/>
        <w:spacing w:after="120" w:line="400" w:lineRule="exact"/>
        <w:jc w:val="both"/>
        <w:outlineLvl w:val="0"/>
        <w:rPr>
          <w:rFonts w:cs="Traditional Arabic"/>
          <w:b/>
          <w:bCs/>
          <w:sz w:val="30"/>
          <w:szCs w:val="30"/>
          <w:rtl/>
        </w:rPr>
      </w:pPr>
      <w:bookmarkStart w:id="22" w:name="_Toc440456818"/>
      <w:bookmarkStart w:id="23" w:name="_Toc440526883"/>
      <w:bookmarkStart w:id="24" w:name="_Toc440527735"/>
      <w:bookmarkStart w:id="25" w:name="_Toc440550438"/>
      <w:bookmarkStart w:id="26" w:name="_Toc441577678"/>
      <w:bookmarkStart w:id="27" w:name="_Toc441577857"/>
      <w:bookmarkStart w:id="28" w:name="_Toc441579083"/>
      <w:bookmarkStart w:id="29" w:name="_Toc441580691"/>
      <w:bookmarkStart w:id="30" w:name="_Toc441586158"/>
      <w:bookmarkStart w:id="31" w:name="_Toc441586608"/>
      <w:bookmarkStart w:id="32" w:name="_Toc441586787"/>
      <w:bookmarkStart w:id="33" w:name="_Toc441666636"/>
      <w:bookmarkStart w:id="34" w:name="_Toc441673697"/>
      <w:r w:rsidRPr="00335E4B">
        <w:rPr>
          <w:rFonts w:cs="Traditional Arabic"/>
          <w:b/>
          <w:bCs/>
          <w:sz w:val="30"/>
          <w:szCs w:val="30"/>
          <w:rtl/>
        </w:rPr>
        <w:t>1-</w:t>
      </w:r>
      <w:r w:rsidRPr="00335E4B">
        <w:rPr>
          <w:rFonts w:cs="Traditional Arabic" w:hint="cs"/>
          <w:b/>
          <w:bCs/>
          <w:sz w:val="30"/>
          <w:szCs w:val="30"/>
          <w:rtl/>
        </w:rPr>
        <w:t>2</w:t>
      </w:r>
      <w:r w:rsidRPr="00335E4B">
        <w:rPr>
          <w:rFonts w:cs="Traditional Arabic"/>
          <w:b/>
          <w:bCs/>
          <w:sz w:val="30"/>
          <w:szCs w:val="30"/>
          <w:rtl/>
        </w:rPr>
        <w:tab/>
        <w:t>هيكل التوجيه</w:t>
      </w:r>
      <w:bookmarkEnd w:id="22"/>
      <w:bookmarkEnd w:id="23"/>
      <w:bookmarkEnd w:id="24"/>
      <w:bookmarkEnd w:id="25"/>
      <w:r w:rsidRPr="00335E4B">
        <w:rPr>
          <w:rFonts w:cs="Traditional Arabic" w:hint="cs"/>
          <w:b/>
          <w:bCs/>
          <w:sz w:val="30"/>
          <w:szCs w:val="30"/>
          <w:rtl/>
        </w:rPr>
        <w:t>ات</w:t>
      </w:r>
      <w:bookmarkEnd w:id="26"/>
      <w:bookmarkEnd w:id="27"/>
      <w:bookmarkEnd w:id="28"/>
      <w:bookmarkEnd w:id="29"/>
      <w:bookmarkEnd w:id="30"/>
      <w:bookmarkEnd w:id="31"/>
      <w:bookmarkEnd w:id="32"/>
      <w:bookmarkEnd w:id="33"/>
      <w:bookmarkEnd w:id="34"/>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تم ترتيب هذ</w:t>
      </w:r>
      <w:r w:rsidRPr="00335E4B">
        <w:rPr>
          <w:rFonts w:cs="Traditional Arabic" w:hint="cs"/>
          <w:sz w:val="20"/>
          <w:szCs w:val="30"/>
          <w:rtl/>
        </w:rPr>
        <w:t>ه</w:t>
      </w:r>
      <w:r w:rsidRPr="00335E4B">
        <w:rPr>
          <w:rFonts w:cs="Traditional Arabic"/>
          <w:sz w:val="20"/>
          <w:szCs w:val="30"/>
          <w:rtl/>
        </w:rPr>
        <w:t xml:space="preserve"> التوجيه</w:t>
      </w:r>
      <w:r w:rsidRPr="00335E4B">
        <w:rPr>
          <w:rFonts w:cs="Traditional Arabic" w:hint="cs"/>
          <w:sz w:val="20"/>
          <w:szCs w:val="30"/>
          <w:rtl/>
        </w:rPr>
        <w:t>ات</w:t>
      </w:r>
      <w:r w:rsidRPr="00335E4B">
        <w:rPr>
          <w:rFonts w:cs="Traditional Arabic"/>
          <w:sz w:val="20"/>
          <w:szCs w:val="30"/>
          <w:rtl/>
        </w:rPr>
        <w:t xml:space="preserve"> في سبعة فصول. وهذا الفصل التمهيدي يشمل معلومات عامة عن تحديات الزئبق وأحكام الاتفاقية، وخاصة تلك الأحكام المتصلة بإطلاقات الزئبق في الهواء. و</w:t>
      </w:r>
      <w:r w:rsidRPr="00335E4B">
        <w:rPr>
          <w:rFonts w:cs="Traditional Arabic" w:hint="cs"/>
          <w:sz w:val="20"/>
          <w:szCs w:val="30"/>
          <w:rtl/>
        </w:rPr>
        <w:t>ي</w:t>
      </w:r>
      <w:r w:rsidRPr="00335E4B">
        <w:rPr>
          <w:rFonts w:cs="Traditional Arabic"/>
          <w:sz w:val="20"/>
          <w:szCs w:val="30"/>
          <w:rtl/>
        </w:rPr>
        <w:t>قدِّم أيضاً بعض المعلومات الشاملة، بما في ذلك الاعتبارات المنطبقة في اختيار وتنفيذ أفضل التقنيات المتاحة وأفضل الممارسات البيئية.</w:t>
      </w:r>
    </w:p>
    <w:p w:rsidR="00335E4B" w:rsidRPr="00335E4B" w:rsidRDefault="00335E4B" w:rsidP="00CC71D8">
      <w:pPr>
        <w:spacing w:after="120" w:line="400" w:lineRule="exact"/>
        <w:jc w:val="both"/>
        <w:rPr>
          <w:rFonts w:cs="Traditional Arabic"/>
          <w:sz w:val="20"/>
          <w:szCs w:val="30"/>
          <w:rtl/>
        </w:rPr>
      </w:pPr>
      <w:r w:rsidRPr="00335E4B">
        <w:rPr>
          <w:rFonts w:cs="Traditional Arabic"/>
          <w:sz w:val="20"/>
          <w:szCs w:val="30"/>
          <w:rtl/>
        </w:rPr>
        <w:t xml:space="preserve">ويقدِّم الفصل 2 معلومات عامة عن </w:t>
      </w:r>
      <w:r w:rsidRPr="00335E4B">
        <w:rPr>
          <w:rFonts w:cs="Traditional Arabic" w:hint="cs"/>
          <w:sz w:val="20"/>
          <w:szCs w:val="30"/>
          <w:rtl/>
        </w:rPr>
        <w:t>ال</w:t>
      </w:r>
      <w:r w:rsidRPr="00335E4B">
        <w:rPr>
          <w:rFonts w:cs="Traditional Arabic"/>
          <w:sz w:val="20"/>
          <w:szCs w:val="30"/>
          <w:rtl/>
        </w:rPr>
        <w:t xml:space="preserve">تقنيات الشائعة </w:t>
      </w:r>
      <w:r w:rsidRPr="00335E4B">
        <w:rPr>
          <w:rFonts w:cs="Traditional Arabic" w:hint="cs"/>
          <w:sz w:val="20"/>
          <w:szCs w:val="30"/>
          <w:rtl/>
        </w:rPr>
        <w:t>ل</w:t>
      </w:r>
      <w:r w:rsidRPr="00335E4B">
        <w:rPr>
          <w:rFonts w:cs="Traditional Arabic"/>
          <w:sz w:val="20"/>
          <w:szCs w:val="30"/>
          <w:rtl/>
        </w:rPr>
        <w:t>ضبط الإطلاقات المنطبقة عموماً على جميع فئات المصادر التي تغطيها المادة 8، ويقدِّم الفصل 3 معلومات عن العناصر المشتركة في ضبط إطلاقات الزئبق في الغلاف الجوي من هذه المصادر.</w:t>
      </w:r>
    </w:p>
    <w:p w:rsidR="00335E4B" w:rsidRDefault="00335E4B" w:rsidP="00335E4B">
      <w:pPr>
        <w:spacing w:after="120" w:line="400" w:lineRule="exact"/>
        <w:jc w:val="both"/>
        <w:rPr>
          <w:rFonts w:cs="Traditional Arabic"/>
          <w:sz w:val="20"/>
          <w:szCs w:val="30"/>
          <w:rtl/>
        </w:rPr>
      </w:pPr>
      <w:r w:rsidRPr="00335E4B">
        <w:rPr>
          <w:rFonts w:cs="Traditional Arabic"/>
          <w:sz w:val="20"/>
          <w:szCs w:val="30"/>
          <w:rtl/>
        </w:rPr>
        <w:t>وتتطرق الفصول 4 و5 و6 و7 إلى فئات المصادر المذكورة في المرفق دال. ويتم عرض كل فئة منها في فصل مستقل، رغم أن التوجيه المتعلق بمرافق الطاقة العاملة بحرق الفحم والمراجل الصناعية العاملة بحرق الفحم ترد في فصل واحد، نظراً لأوجه التشابه في العمليات ووسائل الضبط المنطبقة.</w:t>
      </w:r>
    </w:p>
    <w:p w:rsidR="006F7165" w:rsidRPr="00335E4B" w:rsidRDefault="006F7165" w:rsidP="00335E4B">
      <w:pPr>
        <w:spacing w:after="120" w:line="400" w:lineRule="exact"/>
        <w:jc w:val="both"/>
        <w:rPr>
          <w:rFonts w:cs="Traditional Arabic"/>
          <w:sz w:val="20"/>
          <w:szCs w:val="30"/>
          <w:rtl/>
        </w:rPr>
      </w:pPr>
      <w:r w:rsidRPr="006F7165">
        <w:rPr>
          <w:rFonts w:cs="Traditional Arabic"/>
          <w:sz w:val="20"/>
          <w:szCs w:val="30"/>
          <w:rtl/>
        </w:rPr>
        <w:t>ويحتوي التذييل ألف على معلومات عن بعض التكنولوجيات التي اعتبرت غير مكتملة بما فيه الكفاية لإدراجها في متن التوجيهات، ولكنها قد تكون موضعاً للاهتمام في المستقبل.</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وتتوفر أيضاً في وثيقة منفصلة معلومات إضافية في شكل دراسات حالات، رغم أن هذه الدراسات لا تشكِّل جزءاً من التوجيه</w:t>
      </w:r>
      <w:r w:rsidRPr="00335E4B">
        <w:rPr>
          <w:rFonts w:cs="Traditional Arabic" w:hint="cs"/>
          <w:sz w:val="20"/>
          <w:szCs w:val="30"/>
          <w:rtl/>
        </w:rPr>
        <w:t>ات</w:t>
      </w:r>
      <w:r w:rsidRPr="00335E4B">
        <w:rPr>
          <w:rFonts w:cs="Traditional Arabic"/>
          <w:sz w:val="20"/>
          <w:szCs w:val="30"/>
          <w:rtl/>
        </w:rPr>
        <w:t xml:space="preserve"> الرسمي</w:t>
      </w:r>
      <w:r w:rsidRPr="00335E4B">
        <w:rPr>
          <w:rFonts w:cs="Traditional Arabic" w:hint="cs"/>
          <w:sz w:val="20"/>
          <w:szCs w:val="30"/>
          <w:rtl/>
        </w:rPr>
        <w:t>ة</w:t>
      </w:r>
      <w:r w:rsidRPr="00335E4B">
        <w:rPr>
          <w:rFonts w:cs="Traditional Arabic"/>
          <w:sz w:val="20"/>
          <w:szCs w:val="30"/>
          <w:rtl/>
        </w:rPr>
        <w:t>.</w:t>
      </w:r>
    </w:p>
    <w:p w:rsidR="00335E4B" w:rsidRPr="00335E4B" w:rsidRDefault="00194C2F" w:rsidP="00335E4B">
      <w:pPr>
        <w:keepNext/>
        <w:spacing w:after="120" w:line="400" w:lineRule="exact"/>
        <w:jc w:val="both"/>
        <w:outlineLvl w:val="0"/>
        <w:rPr>
          <w:rFonts w:cs="Traditional Arabic"/>
          <w:b/>
          <w:bCs/>
          <w:sz w:val="30"/>
          <w:szCs w:val="30"/>
          <w:rtl/>
        </w:rPr>
      </w:pPr>
      <w:bookmarkStart w:id="35" w:name="_Toc440456819"/>
      <w:bookmarkStart w:id="36" w:name="_Toc440526884"/>
      <w:bookmarkStart w:id="37" w:name="_Toc440527736"/>
      <w:bookmarkStart w:id="38" w:name="_Toc440550439"/>
      <w:bookmarkStart w:id="39" w:name="_Toc441577679"/>
      <w:bookmarkStart w:id="40" w:name="_Toc441577858"/>
      <w:bookmarkStart w:id="41" w:name="_Toc441579084"/>
      <w:bookmarkStart w:id="42" w:name="_Toc441580692"/>
      <w:bookmarkStart w:id="43" w:name="_Toc441586159"/>
      <w:bookmarkStart w:id="44" w:name="_Toc441586609"/>
      <w:bookmarkStart w:id="45" w:name="_Toc441586788"/>
      <w:bookmarkStart w:id="46" w:name="_Toc441666637"/>
      <w:bookmarkStart w:id="47" w:name="_Toc441673698"/>
      <w:r>
        <w:rPr>
          <w:rFonts w:cs="Traditional Arabic" w:hint="cs"/>
          <w:b/>
          <w:bCs/>
          <w:sz w:val="30"/>
          <w:szCs w:val="30"/>
          <w:rtl/>
          <w:lang w:val="en-GB"/>
        </w:rPr>
        <w:t>1-3</w:t>
      </w:r>
      <w:r>
        <w:rPr>
          <w:rFonts w:cs="Traditional Arabic" w:hint="cs"/>
          <w:b/>
          <w:bCs/>
          <w:sz w:val="30"/>
          <w:szCs w:val="30"/>
          <w:rtl/>
          <w:lang w:val="en-GB"/>
        </w:rPr>
        <w:tab/>
      </w:r>
      <w:r w:rsidR="00335E4B" w:rsidRPr="00335E4B">
        <w:rPr>
          <w:rFonts w:cs="Traditional Arabic"/>
          <w:b/>
          <w:bCs/>
          <w:sz w:val="30"/>
          <w:szCs w:val="30"/>
          <w:rtl/>
        </w:rPr>
        <w:t>الأشكال الكيميائية للزئبق</w:t>
      </w:r>
      <w:bookmarkEnd w:id="35"/>
      <w:bookmarkEnd w:id="36"/>
      <w:bookmarkEnd w:id="37"/>
      <w:bookmarkEnd w:id="38"/>
      <w:bookmarkEnd w:id="39"/>
      <w:bookmarkEnd w:id="40"/>
      <w:bookmarkEnd w:id="41"/>
      <w:bookmarkEnd w:id="42"/>
      <w:bookmarkEnd w:id="43"/>
      <w:bookmarkEnd w:id="44"/>
      <w:bookmarkEnd w:id="45"/>
      <w:bookmarkEnd w:id="46"/>
      <w:bookmarkEnd w:id="47"/>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الزئبق هو عنصر من العناصر، ولكن يمكن أن نجده في أشكال كيميائية مختلفة. وتتناول الاتفاقية الزئبق النقي ومركبات الزئبق، ولكن ذلك يحدث فقط في حالة الانبعاثات والإطلاقات البشرية المنشأ للزئبق ومركباته.</w:t>
      </w:r>
      <w:r w:rsidRPr="00335E4B">
        <w:rPr>
          <w:rFonts w:cs="Traditional Arabic"/>
          <w:sz w:val="20"/>
          <w:szCs w:val="30"/>
          <w:vertAlign w:val="superscript"/>
          <w:rtl/>
        </w:rPr>
        <w:t>(</w:t>
      </w:r>
      <w:r w:rsidRPr="00335E4B">
        <w:rPr>
          <w:rFonts w:cs="Traditional Arabic"/>
          <w:sz w:val="20"/>
          <w:szCs w:val="30"/>
          <w:vertAlign w:val="superscript"/>
          <w:rtl/>
        </w:rPr>
        <w:footnoteReference w:id="3"/>
      </w:r>
      <w:r w:rsidRPr="00335E4B">
        <w:rPr>
          <w:rFonts w:cs="Traditional Arabic"/>
          <w:sz w:val="20"/>
          <w:szCs w:val="30"/>
          <w:vertAlign w:val="superscript"/>
          <w:rtl/>
        </w:rPr>
        <w:t>)</w:t>
      </w:r>
      <w:r w:rsidRPr="00335E4B">
        <w:rPr>
          <w:rFonts w:cs="Traditional Arabic"/>
          <w:sz w:val="20"/>
          <w:szCs w:val="30"/>
          <w:rtl/>
        </w:rPr>
        <w:t>. وعلى سبيل المثال، تشمل مركبات الزئبق غير العضوي الأكاسيد أو الكبريتيدات أو الكلوريدات. وفي هذ</w:t>
      </w:r>
      <w:r w:rsidRPr="00335E4B">
        <w:rPr>
          <w:rFonts w:cs="Traditional Arabic" w:hint="cs"/>
          <w:sz w:val="20"/>
          <w:szCs w:val="30"/>
          <w:rtl/>
        </w:rPr>
        <w:t>ه</w:t>
      </w:r>
      <w:r w:rsidRPr="00335E4B">
        <w:rPr>
          <w:rFonts w:cs="Traditional Arabic"/>
          <w:sz w:val="20"/>
          <w:szCs w:val="30"/>
          <w:rtl/>
        </w:rPr>
        <w:t xml:space="preserve"> التوجيه</w:t>
      </w:r>
      <w:r w:rsidRPr="00335E4B">
        <w:rPr>
          <w:rFonts w:cs="Traditional Arabic" w:hint="cs"/>
          <w:sz w:val="20"/>
          <w:szCs w:val="30"/>
          <w:rtl/>
        </w:rPr>
        <w:t>ات</w:t>
      </w:r>
      <w:r w:rsidRPr="00335E4B">
        <w:rPr>
          <w:rFonts w:cs="Traditional Arabic"/>
          <w:sz w:val="20"/>
          <w:szCs w:val="30"/>
          <w:rtl/>
        </w:rPr>
        <w:t xml:space="preserve">، يشير ”الزئبق“ إلى </w:t>
      </w:r>
      <w:r w:rsidRPr="00335E4B">
        <w:rPr>
          <w:rFonts w:cs="Traditional Arabic" w:hint="cs"/>
          <w:sz w:val="20"/>
          <w:szCs w:val="30"/>
          <w:rtl/>
        </w:rPr>
        <w:t>كل من</w:t>
      </w:r>
      <w:r w:rsidRPr="00335E4B">
        <w:rPr>
          <w:rFonts w:cs="Traditional Arabic"/>
          <w:sz w:val="20"/>
          <w:szCs w:val="30"/>
          <w:rtl/>
        </w:rPr>
        <w:t xml:space="preserve"> الزئبق النقي ومركبات الزئبق ما لم يتضح من السياق أن المقصود هو شكل محدَّد من الزئبق. ويتفق ذلك مع نطاق المادة 8 بشأن الانبعاثات، التي تتناول الضبط والتخفيض، حيثما أمكن، لانبعاثات الزئبق ومركبات الزئبق، ويشار إليها في كثير من الأحيان بعبارة ”الزئبق</w:t>
      </w:r>
      <w:r w:rsidRPr="00335E4B">
        <w:rPr>
          <w:rFonts w:cs="Traditional Arabic" w:hint="cs"/>
          <w:sz w:val="20"/>
          <w:szCs w:val="30"/>
          <w:rtl/>
        </w:rPr>
        <w:t xml:space="preserve"> الكلي</w:t>
      </w:r>
      <w:r w:rsidRPr="00335E4B">
        <w:rPr>
          <w:rFonts w:cs="Traditional Arabic"/>
          <w:sz w:val="20"/>
          <w:szCs w:val="30"/>
          <w:rtl/>
        </w:rPr>
        <w:t>“.</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ويتباين الشكل الكيميائي لانبعاثات الزئبق من الفئات الواردة في المرفق دال حسب نوع المصدر وحسب عوامل أخرى. والزئبق النقي الغازي هو أكثر الأشكال شيوعاً من الانبعاثات البشرية المنشأ في الغلاف الجوي (برنامج الأمم المتحدة للبيئة، 2013). وتأخذ الانبعاثات الباقية شكل الزئبق المؤكسد الغازي أو الزئبق الملتصق بجزيئات منبعثة. وفترات بقاء هذه الأشكال في الغلاف الجوي أكثر من فترات بقاء الزئبق النقي الغازي وتترسَّب على الأرض أو المسطحات المائية بسرعة أكبر بعد إطلاقها (برنامج الأمم المتحدة للبيئة، التقييم العالمي للزئبق، 2003). ويمكن أن يمر الزئبق النقي في الغلاف الجوي بعملية تحول ليصبح زئبقاً مؤكسداً يترسب بسهولة أكبر.</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ويمكن أيضاً أن نجد الزئبق في مركبات عضوية - مثل ميثيل أو إثيل الزئبق، وهما من أكثر الأشكال سمية. والمركبات العضوية من الزئبق لا تنبعث من مصادر تشملها المادة 8 من الاتفاقية، ولكن الزئبق النقي أو المؤكسد يمكن، بعد ترسيبهما، أن يتحولا في بعض الظروف إلى مركبات عضوية بسبب البكتيريا في البيئة.</w:t>
      </w:r>
    </w:p>
    <w:p w:rsidR="00335E4B" w:rsidRPr="00335E4B" w:rsidRDefault="00194C2F" w:rsidP="00335E4B">
      <w:pPr>
        <w:keepNext/>
        <w:spacing w:after="120" w:line="400" w:lineRule="exact"/>
        <w:jc w:val="both"/>
        <w:outlineLvl w:val="0"/>
        <w:rPr>
          <w:rFonts w:cs="Traditional Arabic"/>
          <w:b/>
          <w:bCs/>
          <w:sz w:val="30"/>
          <w:szCs w:val="30"/>
          <w:rtl/>
        </w:rPr>
      </w:pPr>
      <w:bookmarkStart w:id="48" w:name="_Toc440456820"/>
      <w:bookmarkStart w:id="49" w:name="_Toc440526885"/>
      <w:bookmarkStart w:id="50" w:name="_Toc440527737"/>
      <w:bookmarkStart w:id="51" w:name="_Toc440550440"/>
      <w:bookmarkStart w:id="52" w:name="_Toc441577680"/>
      <w:bookmarkStart w:id="53" w:name="_Toc441577859"/>
      <w:bookmarkStart w:id="54" w:name="_Toc441579085"/>
      <w:bookmarkStart w:id="55" w:name="_Toc441580693"/>
      <w:bookmarkStart w:id="56" w:name="_Toc441586160"/>
      <w:bookmarkStart w:id="57" w:name="_Toc441586610"/>
      <w:bookmarkStart w:id="58" w:name="_Toc441586789"/>
      <w:bookmarkStart w:id="59" w:name="_Toc441666638"/>
      <w:bookmarkStart w:id="60" w:name="_Toc441673699"/>
      <w:r>
        <w:rPr>
          <w:rFonts w:cs="Traditional Arabic" w:hint="cs"/>
          <w:b/>
          <w:bCs/>
          <w:sz w:val="30"/>
          <w:szCs w:val="30"/>
          <w:rtl/>
        </w:rPr>
        <w:t>1-4</w:t>
      </w:r>
      <w:r>
        <w:rPr>
          <w:rFonts w:cs="Traditional Arabic" w:hint="cs"/>
          <w:b/>
          <w:bCs/>
          <w:sz w:val="30"/>
          <w:szCs w:val="30"/>
          <w:rtl/>
        </w:rPr>
        <w:tab/>
      </w:r>
      <w:r w:rsidR="00335E4B" w:rsidRPr="00335E4B">
        <w:rPr>
          <w:rFonts w:cs="Traditional Arabic"/>
          <w:b/>
          <w:bCs/>
          <w:sz w:val="30"/>
          <w:szCs w:val="30"/>
          <w:rtl/>
        </w:rPr>
        <w:t>لماذا نشعر بالقلق بسبب انبعاثات الزئبق؟</w:t>
      </w:r>
      <w:bookmarkEnd w:id="48"/>
      <w:bookmarkEnd w:id="49"/>
      <w:bookmarkEnd w:id="50"/>
      <w:bookmarkEnd w:id="51"/>
      <w:bookmarkEnd w:id="52"/>
      <w:bookmarkEnd w:id="53"/>
      <w:bookmarkEnd w:id="54"/>
      <w:bookmarkEnd w:id="55"/>
      <w:bookmarkEnd w:id="56"/>
      <w:bookmarkEnd w:id="57"/>
      <w:bookmarkEnd w:id="58"/>
      <w:bookmarkEnd w:id="59"/>
      <w:bookmarkEnd w:id="60"/>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تم الإقرار بأن الزئبق مادة كيميائية تثير انشغالاً عالمياً بسبب انتقالها البعيد المدى في الجو، وقدرتها على التراكم بيئياً في النُظم الإيكولوجية وآثارها السلبية الكبيرة على صحة الإنسان والبيئة</w:t>
      </w:r>
      <w:r w:rsidRPr="00335E4B">
        <w:rPr>
          <w:rFonts w:cs="Traditional Arabic"/>
          <w:sz w:val="20"/>
          <w:szCs w:val="30"/>
          <w:vertAlign w:val="superscript"/>
          <w:rtl/>
        </w:rPr>
        <w:t>(</w:t>
      </w:r>
      <w:r w:rsidRPr="00335E4B">
        <w:rPr>
          <w:rFonts w:cs="Traditional Arabic"/>
          <w:sz w:val="20"/>
          <w:szCs w:val="30"/>
          <w:vertAlign w:val="superscript"/>
          <w:rtl/>
        </w:rPr>
        <w:footnoteReference w:id="4"/>
      </w:r>
      <w:r w:rsidRPr="00335E4B">
        <w:rPr>
          <w:rFonts w:cs="Traditional Arabic"/>
          <w:sz w:val="20"/>
          <w:szCs w:val="30"/>
          <w:vertAlign w:val="superscript"/>
          <w:rtl/>
        </w:rPr>
        <w:t>)</w:t>
      </w:r>
      <w:r w:rsidRPr="00335E4B">
        <w:rPr>
          <w:rFonts w:cs="Traditional Arabic"/>
          <w:sz w:val="20"/>
          <w:szCs w:val="30"/>
          <w:rtl/>
        </w:rPr>
        <w:t>.</w:t>
      </w:r>
    </w:p>
    <w:p w:rsidR="00335E4B" w:rsidRPr="00335E4B" w:rsidRDefault="00335E4B" w:rsidP="000A4605">
      <w:pPr>
        <w:spacing w:after="120" w:line="400" w:lineRule="exact"/>
        <w:jc w:val="both"/>
        <w:rPr>
          <w:rFonts w:cs="Traditional Arabic"/>
          <w:sz w:val="20"/>
          <w:szCs w:val="30"/>
          <w:rtl/>
        </w:rPr>
      </w:pPr>
      <w:r w:rsidRPr="00335E4B">
        <w:rPr>
          <w:rFonts w:cs="Traditional Arabic"/>
          <w:sz w:val="20"/>
          <w:szCs w:val="30"/>
          <w:rtl/>
        </w:rPr>
        <w:t>ويتسم الزئبق بالسُمية على الجهاز العصبي المركزي والطرفي في حالة التركيزات الكبيرة سواء كان في شكله الأوَّلي أو في أشكاله العضوية، ويمكن أن ينتج عن استنشاق بخار الزئبق آثار سيئة على الأجهزة العصبية والهضمية والمناعية، وعلى الرئتين والكليتين. وحتى لو كانت مركبات الزئبق العضوية بتركيزات أقل فإنها يمكن أن تؤثر على الأعضاء في مرحلة النمو، مثل الجهاز العصبي الجنيني. ويوجد الزئبق أيضاً على نطاق واسع في كثير من النُظم الإيكولوجية - وتم قياس مستويات مرتفعة من الزئبق في العديد من أنواع أسماك المياه العذبة والأسماك البحرية في كل أنحاء العالم. ويتراكم الزئبق إحيائياً ولذلك يوجد بتركيزات أكبر في الكائنات العضوية في قمة سلسلة الغذاء</w:t>
      </w:r>
      <w:r w:rsidRPr="00335E4B">
        <w:rPr>
          <w:rFonts w:cs="Traditional Arabic"/>
          <w:sz w:val="20"/>
          <w:szCs w:val="30"/>
          <w:vertAlign w:val="superscript"/>
          <w:rtl/>
        </w:rPr>
        <w:t>(</w:t>
      </w:r>
      <w:r w:rsidRPr="00335E4B">
        <w:rPr>
          <w:rFonts w:cs="Traditional Arabic"/>
          <w:sz w:val="20"/>
          <w:szCs w:val="30"/>
          <w:vertAlign w:val="superscript"/>
          <w:rtl/>
        </w:rPr>
        <w:footnoteReference w:id="5"/>
      </w:r>
      <w:r w:rsidRPr="00335E4B">
        <w:rPr>
          <w:rFonts w:cs="Traditional Arabic"/>
          <w:sz w:val="20"/>
          <w:szCs w:val="30"/>
          <w:vertAlign w:val="superscript"/>
          <w:rtl/>
        </w:rPr>
        <w:t>)</w:t>
      </w:r>
      <w:r w:rsidRPr="00335E4B">
        <w:rPr>
          <w:rFonts w:cs="Traditional Arabic"/>
          <w:sz w:val="20"/>
          <w:szCs w:val="30"/>
          <w:rtl/>
        </w:rPr>
        <w:t>. ويحدث معظم التعرض البشري من خلال تناول السمك.</w:t>
      </w:r>
    </w:p>
    <w:p w:rsidR="00335E4B" w:rsidRPr="00335E4B" w:rsidRDefault="00335E4B" w:rsidP="00335E4B">
      <w:pPr>
        <w:spacing w:after="120" w:line="400" w:lineRule="exact"/>
        <w:jc w:val="both"/>
        <w:rPr>
          <w:rFonts w:cs="Traditional Arabic"/>
          <w:sz w:val="24"/>
          <w:szCs w:val="34"/>
          <w:rtl/>
          <w:lang w:bidi="ar-EG"/>
        </w:rPr>
      </w:pPr>
      <w:r w:rsidRPr="00335E4B">
        <w:rPr>
          <w:rFonts w:cs="Traditional Arabic"/>
          <w:sz w:val="20"/>
          <w:szCs w:val="30"/>
          <w:rtl/>
        </w:rPr>
        <w:t xml:space="preserve">وتأتي أهم إطلاقات الزئبق </w:t>
      </w:r>
      <w:r w:rsidRPr="00335E4B">
        <w:rPr>
          <w:rFonts w:cs="Traditional Arabic" w:hint="cs"/>
          <w:sz w:val="20"/>
          <w:szCs w:val="30"/>
          <w:rtl/>
        </w:rPr>
        <w:t>البشرية المنشأ</w:t>
      </w:r>
      <w:r w:rsidRPr="00335E4B">
        <w:rPr>
          <w:rFonts w:cs="Traditional Arabic"/>
          <w:sz w:val="20"/>
          <w:szCs w:val="30"/>
          <w:rtl/>
        </w:rPr>
        <w:t xml:space="preserve"> على الصعيد العالمي من خلال الانبعاثات في الهواء، ولكن الزئبق يتسرب أيضاً من مختلف المصادر بصورة مباشرة إلى الماء والأراضي. وبعد أن يدخل الزئبق في البيئة فإنه يصبح ثابتاً وينتشر في أشكال مختلفة بين الهواء والماء والرواسب والتربة والكائنات الحيّة. وتضيف الانبعاثات والإطلاقات من أي مصدر محلي تقريباً إلى التجميع العالمي للزئبق الذي يتواصل حشده وترسيبه على الأرض وفي الماء، ثم إعادة حشده مرة أخرى. وتُمثل التيارات النهرية والمحيطية أيضاً وسائط للنقل الطويل المدى. وحتى البلدان التي تشهد الحد الأدنى من انبعاثات الزئبق والمناطق البعيدة عن النشاط الصناعي قد تتأثر تأثراً سلبياً أيضاً. وعلى سبيل المثال، لوحظت مستويات عالية من الزئبق في القطب الشمالي</w:t>
      </w:r>
      <w:r w:rsidRPr="00335E4B">
        <w:rPr>
          <w:rFonts w:cs="Traditional Arabic"/>
          <w:sz w:val="20"/>
          <w:szCs w:val="30"/>
          <w:vertAlign w:val="superscript"/>
          <w:rtl/>
        </w:rPr>
        <w:t>(</w:t>
      </w:r>
      <w:r w:rsidRPr="00335E4B">
        <w:rPr>
          <w:rFonts w:cs="Traditional Arabic"/>
          <w:sz w:val="20"/>
          <w:szCs w:val="30"/>
          <w:vertAlign w:val="superscript"/>
          <w:rtl/>
        </w:rPr>
        <w:footnoteReference w:id="6"/>
      </w:r>
      <w:r w:rsidRPr="00335E4B">
        <w:rPr>
          <w:rFonts w:cs="Traditional Arabic"/>
          <w:sz w:val="20"/>
          <w:szCs w:val="30"/>
          <w:vertAlign w:val="superscript"/>
          <w:rtl/>
        </w:rPr>
        <w:t>)</w:t>
      </w:r>
      <w:r w:rsidRPr="00335E4B">
        <w:rPr>
          <w:rFonts w:cs="Traditional Arabic"/>
          <w:sz w:val="20"/>
          <w:szCs w:val="30"/>
          <w:rtl/>
        </w:rPr>
        <w:t>،</w:t>
      </w:r>
      <w:r w:rsidRPr="00335E4B">
        <w:rPr>
          <w:rFonts w:cs="Traditional Arabic"/>
          <w:w w:val="103"/>
          <w:kern w:val="14"/>
          <w:sz w:val="20"/>
          <w:szCs w:val="26"/>
          <w:rtl/>
          <w:lang w:bidi="ar-EG"/>
        </w:rPr>
        <w:t xml:space="preserve"> </w:t>
      </w:r>
      <w:r w:rsidRPr="00335E4B">
        <w:rPr>
          <w:rFonts w:cs="Traditional Arabic"/>
          <w:w w:val="103"/>
          <w:kern w:val="14"/>
          <w:sz w:val="26"/>
          <w:szCs w:val="30"/>
          <w:rtl/>
          <w:lang w:bidi="ar-EG"/>
        </w:rPr>
        <w:t>بعيداً عن مصادر أي انبعاثات كبيرة.</w:t>
      </w:r>
    </w:p>
    <w:p w:rsidR="00335E4B" w:rsidRPr="00335E4B" w:rsidRDefault="00335E4B" w:rsidP="00335E4B">
      <w:pPr>
        <w:spacing w:after="120" w:line="400" w:lineRule="exact"/>
        <w:jc w:val="both"/>
        <w:rPr>
          <w:rFonts w:cs="Traditional Arabic"/>
          <w:sz w:val="30"/>
          <w:szCs w:val="30"/>
          <w:rtl/>
          <w:lang w:bidi="ar-EG"/>
        </w:rPr>
      </w:pPr>
      <w:r w:rsidRPr="00335E4B">
        <w:rPr>
          <w:rFonts w:cs="Traditional Arabic"/>
          <w:sz w:val="30"/>
          <w:szCs w:val="30"/>
          <w:rtl/>
        </w:rPr>
        <w:t>ويمكن أن نتوقع من تنفيذ تدابير ضبط أو تخفيض انبعاثات الزئبق تحقق فوائد واضحة من ناحية الصحة العامة والبيئة. وهذه الفوائد تنطوي على قيمة اقتصادية. وقد تم وضع تقديرات كمية في بعض البلدان والمناطق لحجم هذه الفوائد</w:t>
      </w:r>
      <w:r w:rsidRPr="00335E4B">
        <w:rPr>
          <w:rFonts w:cs="Traditional Arabic"/>
          <w:sz w:val="30"/>
          <w:szCs w:val="30"/>
          <w:vertAlign w:val="superscript"/>
          <w:rtl/>
        </w:rPr>
        <w:t>(</w:t>
      </w:r>
      <w:r w:rsidRPr="00335E4B">
        <w:rPr>
          <w:rFonts w:cs="Traditional Arabic"/>
          <w:sz w:val="30"/>
          <w:szCs w:val="30"/>
          <w:vertAlign w:val="superscript"/>
          <w:rtl/>
        </w:rPr>
        <w:footnoteReference w:id="7"/>
      </w:r>
      <w:r w:rsidRPr="00335E4B">
        <w:rPr>
          <w:rFonts w:cs="Traditional Arabic"/>
          <w:sz w:val="30"/>
          <w:szCs w:val="30"/>
          <w:vertAlign w:val="superscript"/>
          <w:rtl/>
        </w:rPr>
        <w:t>)</w:t>
      </w:r>
      <w:r w:rsidRPr="00335E4B">
        <w:rPr>
          <w:rFonts w:cs="Traditional Arabic"/>
          <w:sz w:val="30"/>
          <w:szCs w:val="30"/>
          <w:rtl/>
          <w:lang w:bidi="ar-EG"/>
        </w:rPr>
        <w:t>، ولكن يصعب جداً وضع تقدير عالمي لهذه الفوائد بقيمة نقدية. ولكن من المرجح أن تكون قيمة هذه الفوائد كبيرة.</w:t>
      </w:r>
    </w:p>
    <w:p w:rsidR="00335E4B" w:rsidRPr="00335E4B" w:rsidRDefault="00335E4B" w:rsidP="00335E4B">
      <w:pPr>
        <w:spacing w:after="120" w:line="400" w:lineRule="exact"/>
        <w:jc w:val="both"/>
        <w:rPr>
          <w:rFonts w:cs="Traditional Arabic"/>
          <w:sz w:val="30"/>
          <w:szCs w:val="30"/>
          <w:rtl/>
          <w:lang w:bidi="ar-EG"/>
        </w:rPr>
      </w:pPr>
      <w:r w:rsidRPr="00335E4B">
        <w:rPr>
          <w:rFonts w:cs="Traditional Arabic"/>
          <w:sz w:val="30"/>
          <w:szCs w:val="30"/>
          <w:rtl/>
          <w:lang w:bidi="ar-EG"/>
        </w:rPr>
        <w:t>ومع ذلك فإن تنفيذ تدابير ضبط انبعاثات الزئبق سوف تنطوي عادة على قدر من التكلفة. وقد تكون هذه التكلفة إما تكاليف رأسمالية لإنشاء تكنولوجيات الضبط أو تكاليف متزايدة لتشغيل المرافق وصيانتها أو كلا التكلفتين. وتتضمن الفصول المتعلقة بكل فئة من فئات المصادر أمثلة لهذه التكاليف بالنسبة لمنشآت محدَّدة، في حالة توفر المعلومات الموثوقة. ولكن التكاليف الفعلية تتوقف على الأرجح على الظروف المحدَّدة التي تحيط بكل مرفق؛ وهكذا فإن الأرقام المذكورة ينبغي أن تؤخذ باعتبارها مؤشراً عريضاً فقط لحجم التكاليف المرجح. وبالنسبة لأي حالة محدَّدة، سيتعيَّن الحصول على معلومات محدَّدة للمرفق المحدَّد المعني. ومن المعترف به أن هذه التكاليف سوف تقع عموماً على مشغِّل المرفق المحدَّد، في حين أن المزايا الموصوفة أعلاه تعود إلى المجتمع عموماً.</w:t>
      </w:r>
    </w:p>
    <w:p w:rsidR="00335E4B" w:rsidRPr="00335E4B" w:rsidRDefault="00194C2F" w:rsidP="00335E4B">
      <w:pPr>
        <w:keepNext/>
        <w:spacing w:after="120" w:line="400" w:lineRule="exact"/>
        <w:jc w:val="both"/>
        <w:outlineLvl w:val="0"/>
        <w:rPr>
          <w:rFonts w:cs="Traditional Arabic"/>
          <w:b/>
          <w:bCs/>
          <w:sz w:val="30"/>
          <w:szCs w:val="30"/>
          <w:rtl/>
        </w:rPr>
      </w:pPr>
      <w:bookmarkStart w:id="61" w:name="_Toc440456821"/>
      <w:bookmarkStart w:id="62" w:name="_Toc440526886"/>
      <w:bookmarkStart w:id="63" w:name="_Toc440527738"/>
      <w:bookmarkStart w:id="64" w:name="_Toc440550441"/>
      <w:bookmarkStart w:id="65" w:name="_Toc441577681"/>
      <w:bookmarkStart w:id="66" w:name="_Toc441577860"/>
      <w:bookmarkStart w:id="67" w:name="_Toc441579086"/>
      <w:bookmarkStart w:id="68" w:name="_Toc441580694"/>
      <w:bookmarkStart w:id="69" w:name="_Toc441586161"/>
      <w:bookmarkStart w:id="70" w:name="_Toc441586611"/>
      <w:bookmarkStart w:id="71" w:name="_Toc441586790"/>
      <w:bookmarkStart w:id="72" w:name="_Toc441666639"/>
      <w:bookmarkStart w:id="73" w:name="_Toc441673700"/>
      <w:r>
        <w:rPr>
          <w:rFonts w:cs="Traditional Arabic" w:hint="cs"/>
          <w:b/>
          <w:bCs/>
          <w:sz w:val="30"/>
          <w:szCs w:val="30"/>
          <w:rtl/>
        </w:rPr>
        <w:t>1-5</w:t>
      </w:r>
      <w:r>
        <w:rPr>
          <w:rFonts w:cs="Traditional Arabic" w:hint="cs"/>
          <w:b/>
          <w:bCs/>
          <w:sz w:val="30"/>
          <w:szCs w:val="30"/>
          <w:rtl/>
        </w:rPr>
        <w:tab/>
      </w:r>
      <w:r w:rsidR="00335E4B" w:rsidRPr="00335E4B">
        <w:rPr>
          <w:rFonts w:cs="Traditional Arabic"/>
          <w:b/>
          <w:bCs/>
          <w:sz w:val="30"/>
          <w:szCs w:val="30"/>
          <w:rtl/>
        </w:rPr>
        <w:t>مصادر انبعاثات الزئبق التي يغطيها هذا التوجيه</w:t>
      </w:r>
      <w:bookmarkEnd w:id="61"/>
      <w:bookmarkEnd w:id="62"/>
      <w:bookmarkEnd w:id="63"/>
      <w:bookmarkEnd w:id="64"/>
      <w:bookmarkEnd w:id="65"/>
      <w:bookmarkEnd w:id="66"/>
      <w:bookmarkEnd w:id="67"/>
      <w:bookmarkEnd w:id="68"/>
      <w:bookmarkEnd w:id="69"/>
      <w:bookmarkEnd w:id="70"/>
      <w:bookmarkEnd w:id="71"/>
      <w:bookmarkEnd w:id="72"/>
      <w:bookmarkEnd w:id="73"/>
    </w:p>
    <w:p w:rsidR="00335E4B" w:rsidRPr="00335E4B" w:rsidRDefault="00335E4B" w:rsidP="00335E4B">
      <w:pPr>
        <w:spacing w:after="120" w:line="400" w:lineRule="exact"/>
        <w:jc w:val="both"/>
        <w:rPr>
          <w:rFonts w:cs="Traditional Arabic"/>
          <w:sz w:val="30"/>
          <w:szCs w:val="30"/>
          <w:rtl/>
        </w:rPr>
      </w:pPr>
      <w:r w:rsidRPr="00335E4B">
        <w:rPr>
          <w:rFonts w:cs="Traditional Arabic"/>
          <w:sz w:val="30"/>
          <w:szCs w:val="30"/>
          <w:rtl/>
        </w:rPr>
        <w:t>تتعلق الاتفاقية بانبعاثات وإطلاقات الزئبق البشرية المنشأ وحدها (فالمصادر الموجودة طبيعياً، مثل البراكين، تندرج خارج نطاق الاتفاقية)، وتتناول المادة 8 خمس فئات محدَّدة للمصادر ويرد بيانها في المرفق دال للاتفاقية. وتتضمن القائمة الأوَّلية منشآت الطاقة العاملة بحرق الفحم والمراجل الصناعية العاملة بحرق الفحم وعمليات الصهر والتحميص المستخدمة في إنتاج المعادن غير الحديدية</w:t>
      </w:r>
      <w:r w:rsidRPr="00335E4B">
        <w:rPr>
          <w:rFonts w:cs="Traditional Arabic"/>
          <w:sz w:val="30"/>
          <w:szCs w:val="30"/>
          <w:vertAlign w:val="superscript"/>
          <w:rtl/>
        </w:rPr>
        <w:t>(</w:t>
      </w:r>
      <w:r w:rsidRPr="00335E4B">
        <w:rPr>
          <w:rFonts w:cs="Traditional Arabic"/>
          <w:sz w:val="30"/>
          <w:szCs w:val="30"/>
          <w:vertAlign w:val="superscript"/>
          <w:rtl/>
        </w:rPr>
        <w:footnoteReference w:id="8"/>
      </w:r>
      <w:r w:rsidRPr="00335E4B">
        <w:rPr>
          <w:rFonts w:cs="Traditional Arabic"/>
          <w:sz w:val="30"/>
          <w:szCs w:val="30"/>
          <w:vertAlign w:val="superscript"/>
          <w:rtl/>
        </w:rPr>
        <w:t>)</w:t>
      </w:r>
      <w:r w:rsidRPr="00335E4B">
        <w:rPr>
          <w:rFonts w:cs="Traditional Arabic"/>
          <w:sz w:val="30"/>
          <w:szCs w:val="30"/>
          <w:rtl/>
        </w:rPr>
        <w:t>، ومرافق ترميد النفايات ومرافق إنتاج آجر ا</w:t>
      </w:r>
      <w:r w:rsidRPr="00335E4B">
        <w:rPr>
          <w:rFonts w:cs="Traditional Arabic" w:hint="cs"/>
          <w:sz w:val="30"/>
          <w:szCs w:val="30"/>
          <w:rtl/>
        </w:rPr>
        <w:t>لا</w:t>
      </w:r>
      <w:r w:rsidRPr="00335E4B">
        <w:rPr>
          <w:rFonts w:cs="Traditional Arabic"/>
          <w:sz w:val="30"/>
          <w:szCs w:val="30"/>
          <w:rtl/>
        </w:rPr>
        <w:t>سمنت. وتصف الفصول 4 و5 و6 و7 هذه العمليات بالتفصيل. ويمكن أن ينبعث الزئبق من هذه المصادر إذا كان موجوداً في الوقود والمواد الخام المستخدمة في العمليات المصاحبة أو في النفايات المحروقة في منشآت الترميد.</w:t>
      </w:r>
    </w:p>
    <w:p w:rsidR="00335E4B" w:rsidRPr="00335E4B" w:rsidRDefault="00335E4B" w:rsidP="00335E4B">
      <w:pPr>
        <w:spacing w:after="120" w:line="400" w:lineRule="exact"/>
        <w:jc w:val="both"/>
        <w:rPr>
          <w:rFonts w:cs="Traditional Arabic"/>
          <w:sz w:val="30"/>
          <w:szCs w:val="30"/>
          <w:rtl/>
        </w:rPr>
      </w:pPr>
      <w:r w:rsidRPr="00335E4B">
        <w:rPr>
          <w:rFonts w:cs="Traditional Arabic"/>
          <w:sz w:val="30"/>
          <w:szCs w:val="30"/>
          <w:rtl/>
        </w:rPr>
        <w:t xml:space="preserve">وتنشأ الانبعاثات في الجو أيضاً من مصادر أخرى غير مذكورة في المرفق دال - مثل التعدين الحرفي والضيق النطاق للذهب، الذي قد يكون أكبر مصدر وحيد للانبعاثات، أو من العمليات الصناعية التي يستعمل فيها الزئبق في إطار العملية، كعامل حفاز على سبيل المثال. وتتناول مواد أخرى في الاتفاقية هذه المصادر، وهي مصادر لا </w:t>
      </w:r>
      <w:r w:rsidRPr="00335E4B">
        <w:rPr>
          <w:rFonts w:cs="Traditional Arabic" w:hint="cs"/>
          <w:sz w:val="30"/>
          <w:szCs w:val="30"/>
          <w:rtl/>
        </w:rPr>
        <w:t>ت</w:t>
      </w:r>
      <w:r w:rsidRPr="00335E4B">
        <w:rPr>
          <w:rFonts w:cs="Traditional Arabic"/>
          <w:sz w:val="30"/>
          <w:szCs w:val="30"/>
          <w:rtl/>
        </w:rPr>
        <w:t>غطيها هذ</w:t>
      </w:r>
      <w:r w:rsidRPr="00335E4B">
        <w:rPr>
          <w:rFonts w:cs="Traditional Arabic" w:hint="cs"/>
          <w:sz w:val="30"/>
          <w:szCs w:val="30"/>
          <w:rtl/>
        </w:rPr>
        <w:t>ه</w:t>
      </w:r>
      <w:r w:rsidRPr="00335E4B">
        <w:rPr>
          <w:rFonts w:cs="Traditional Arabic"/>
          <w:sz w:val="30"/>
          <w:szCs w:val="30"/>
          <w:rtl/>
        </w:rPr>
        <w:t xml:space="preserve"> التوجيه</w:t>
      </w:r>
      <w:r w:rsidRPr="00335E4B">
        <w:rPr>
          <w:rFonts w:cs="Traditional Arabic" w:hint="cs"/>
          <w:sz w:val="30"/>
          <w:szCs w:val="30"/>
          <w:rtl/>
        </w:rPr>
        <w:t>ات</w:t>
      </w:r>
      <w:r w:rsidRPr="00335E4B">
        <w:rPr>
          <w:rFonts w:cs="Traditional Arabic"/>
          <w:sz w:val="30"/>
          <w:szCs w:val="30"/>
          <w:rtl/>
        </w:rPr>
        <w:t>.</w:t>
      </w:r>
    </w:p>
    <w:p w:rsidR="00335E4B" w:rsidRPr="00335E4B" w:rsidRDefault="00335E4B" w:rsidP="00335E4B">
      <w:pPr>
        <w:spacing w:after="120" w:line="400" w:lineRule="exact"/>
        <w:jc w:val="both"/>
        <w:rPr>
          <w:rFonts w:cs="Traditional Arabic"/>
          <w:sz w:val="30"/>
          <w:szCs w:val="30"/>
          <w:rtl/>
        </w:rPr>
      </w:pPr>
      <w:r w:rsidRPr="00335E4B">
        <w:rPr>
          <w:rFonts w:cs="Traditional Arabic"/>
          <w:sz w:val="30"/>
          <w:szCs w:val="30"/>
          <w:rtl/>
        </w:rPr>
        <w:t>ويقدِّم التقييم العالمي للزئبق الصادر عن برنامج الأمم المتحدة للبيئة في عام 2013 تقديرات لانبعاثات الزئبق البشرية المنشأ في الغلاف الجوي. ولكن الفئات المستعملة في هذا التقييم لا تناظر تماماً الفئات المعروضة في المرفق دال.</w:t>
      </w:r>
    </w:p>
    <w:p w:rsidR="00335E4B" w:rsidRPr="00335E4B" w:rsidRDefault="00194C2F" w:rsidP="00335E4B">
      <w:pPr>
        <w:keepNext/>
        <w:spacing w:after="120" w:line="400" w:lineRule="exact"/>
        <w:jc w:val="both"/>
        <w:outlineLvl w:val="0"/>
        <w:rPr>
          <w:rFonts w:cs="Traditional Arabic"/>
          <w:b/>
          <w:bCs/>
          <w:sz w:val="30"/>
          <w:szCs w:val="30"/>
          <w:rtl/>
        </w:rPr>
      </w:pPr>
      <w:bookmarkStart w:id="74" w:name="_Toc440456822"/>
      <w:bookmarkStart w:id="75" w:name="_Toc440526887"/>
      <w:bookmarkStart w:id="76" w:name="_Toc440527739"/>
      <w:bookmarkStart w:id="77" w:name="_Toc440550442"/>
      <w:bookmarkStart w:id="78" w:name="_Toc441577682"/>
      <w:bookmarkStart w:id="79" w:name="_Toc441577861"/>
      <w:bookmarkStart w:id="80" w:name="_Toc441579087"/>
      <w:bookmarkStart w:id="81" w:name="_Toc441580695"/>
      <w:bookmarkStart w:id="82" w:name="_Toc441586162"/>
      <w:bookmarkStart w:id="83" w:name="_Toc441586612"/>
      <w:bookmarkStart w:id="84" w:name="_Toc441586791"/>
      <w:bookmarkStart w:id="85" w:name="_Toc441666640"/>
      <w:bookmarkStart w:id="86" w:name="_Toc441673701"/>
      <w:r>
        <w:rPr>
          <w:rFonts w:cs="Traditional Arabic" w:hint="cs"/>
          <w:b/>
          <w:bCs/>
          <w:sz w:val="30"/>
          <w:szCs w:val="30"/>
          <w:rtl/>
        </w:rPr>
        <w:t>1-6</w:t>
      </w:r>
      <w:r>
        <w:rPr>
          <w:rFonts w:cs="Traditional Arabic" w:hint="cs"/>
          <w:b/>
          <w:bCs/>
          <w:sz w:val="30"/>
          <w:szCs w:val="30"/>
          <w:rtl/>
        </w:rPr>
        <w:tab/>
      </w:r>
      <w:r w:rsidR="00335E4B" w:rsidRPr="00335E4B">
        <w:rPr>
          <w:rFonts w:cs="Traditional Arabic"/>
          <w:b/>
          <w:bCs/>
          <w:sz w:val="30"/>
          <w:szCs w:val="30"/>
          <w:rtl/>
        </w:rPr>
        <w:t>الأحكام ذات الصلة في اتفاقية ميناماتا</w:t>
      </w:r>
      <w:bookmarkEnd w:id="74"/>
      <w:bookmarkEnd w:id="75"/>
      <w:bookmarkEnd w:id="76"/>
      <w:bookmarkEnd w:id="77"/>
      <w:bookmarkEnd w:id="78"/>
      <w:bookmarkEnd w:id="79"/>
      <w:bookmarkEnd w:id="80"/>
      <w:bookmarkEnd w:id="81"/>
      <w:bookmarkEnd w:id="82"/>
      <w:bookmarkEnd w:id="83"/>
      <w:bookmarkEnd w:id="84"/>
      <w:bookmarkEnd w:id="85"/>
      <w:bookmarkEnd w:id="86"/>
    </w:p>
    <w:p w:rsidR="00335E4B" w:rsidRPr="00335E4B" w:rsidRDefault="00335E4B" w:rsidP="00335E4B">
      <w:pPr>
        <w:spacing w:after="120" w:line="400" w:lineRule="exact"/>
        <w:jc w:val="both"/>
        <w:rPr>
          <w:rFonts w:cs="Traditional Arabic"/>
          <w:sz w:val="30"/>
          <w:szCs w:val="30"/>
          <w:rtl/>
        </w:rPr>
      </w:pPr>
      <w:r w:rsidRPr="00335E4B">
        <w:rPr>
          <w:rFonts w:cs="Traditional Arabic"/>
          <w:sz w:val="30"/>
          <w:szCs w:val="30"/>
          <w:rtl/>
        </w:rPr>
        <w:t>تتناول الاتفاقية جميع جوانب دورة حياة الزئبق من مصدر بشري، ويتعيَّن دراسة أحكامها ككل.</w:t>
      </w:r>
    </w:p>
    <w:p w:rsidR="00335E4B" w:rsidRPr="00335E4B" w:rsidRDefault="00335E4B" w:rsidP="00335E4B">
      <w:pPr>
        <w:spacing w:after="120" w:line="400" w:lineRule="exact"/>
        <w:jc w:val="both"/>
        <w:rPr>
          <w:rFonts w:cs="Traditional Arabic"/>
          <w:sz w:val="30"/>
          <w:szCs w:val="30"/>
          <w:rtl/>
        </w:rPr>
      </w:pPr>
      <w:r w:rsidRPr="00335E4B">
        <w:rPr>
          <w:rFonts w:cs="Traditional Arabic"/>
          <w:sz w:val="30"/>
          <w:szCs w:val="30"/>
          <w:rtl/>
        </w:rPr>
        <w:t>فهناك أحكام بشأن مصادر إمداد الزئبق والاتجار فيه؛ والمنتجات المضاف إليها الزئبق وعمليات التصنيع التي تستخدم الزئبق؛ والتعدين الحرفي والصغير النطاق للذهب؛ والانبعاثات والإطلاقات؛ والتخزين المؤقت السليم بيئياً للزئبق؛ ونفايات الزئبق؛ والمواقع الملوثة. وهناك أيضاً أحكام بشأن الضبط وسجلات الجرد والإبلاغ من جانب الأطراف وتبادل المعلومات والمعلومات العامة والوعي والتثقيف والبحوث والتطوير والرصد والجوانب الصحية. وهناك أيضاً أحكام تتصل بالموارد المالية وبناء القدرات والمساعدة التقنية ونقل التكنولوجيا.</w:t>
      </w:r>
    </w:p>
    <w:p w:rsidR="007A6821" w:rsidRDefault="007A6821">
      <w:pPr>
        <w:bidi w:val="0"/>
        <w:rPr>
          <w:rFonts w:cs="Traditional Arabic"/>
          <w:sz w:val="30"/>
          <w:szCs w:val="30"/>
          <w:rtl/>
        </w:rPr>
      </w:pPr>
      <w:r>
        <w:rPr>
          <w:rFonts w:cs="Traditional Arabic"/>
          <w:sz w:val="30"/>
          <w:szCs w:val="30"/>
          <w:rtl/>
        </w:rPr>
        <w:br w:type="page"/>
      </w:r>
    </w:p>
    <w:p w:rsidR="00335E4B" w:rsidRPr="00335E4B" w:rsidRDefault="00335E4B" w:rsidP="00335E4B">
      <w:pPr>
        <w:spacing w:after="120" w:line="400" w:lineRule="exact"/>
        <w:jc w:val="both"/>
        <w:rPr>
          <w:rFonts w:cs="Traditional Arabic"/>
          <w:sz w:val="30"/>
          <w:szCs w:val="30"/>
          <w:rtl/>
        </w:rPr>
      </w:pPr>
      <w:r w:rsidRPr="00335E4B">
        <w:rPr>
          <w:rFonts w:cs="Traditional Arabic"/>
          <w:sz w:val="30"/>
          <w:szCs w:val="30"/>
          <w:rtl/>
        </w:rPr>
        <w:t>وتقدِّم المادة 2 التعاريف التالية للزئبق ومركبات الزئبق، وأفضل التقنيات المتاحة وأفضل الممارسات البيئية:</w:t>
      </w:r>
    </w:p>
    <w:p w:rsidR="00335E4B" w:rsidRPr="00335E4B" w:rsidRDefault="004973ED" w:rsidP="004973ED">
      <w:pPr>
        <w:tabs>
          <w:tab w:val="left" w:pos="1132"/>
          <w:tab w:val="left" w:pos="1841"/>
        </w:tabs>
        <w:spacing w:after="120" w:line="400" w:lineRule="exact"/>
        <w:ind w:left="565"/>
        <w:jc w:val="both"/>
        <w:rPr>
          <w:rFonts w:cs="Traditional Arabic"/>
          <w:sz w:val="30"/>
          <w:szCs w:val="30"/>
          <w:rtl/>
        </w:rPr>
      </w:pPr>
      <w:r>
        <w:rPr>
          <w:rFonts w:cs="Traditional Arabic" w:hint="cs"/>
          <w:sz w:val="30"/>
          <w:szCs w:val="30"/>
          <w:rtl/>
        </w:rPr>
        <w:tab/>
      </w:r>
      <w:r w:rsidR="00335E4B" w:rsidRPr="00335E4B">
        <w:rPr>
          <w:rFonts w:cs="Traditional Arabic"/>
          <w:sz w:val="30"/>
          <w:szCs w:val="30"/>
          <w:rtl/>
        </w:rPr>
        <w:t>”(ب)</w:t>
      </w:r>
      <w:r w:rsidR="00335E4B" w:rsidRPr="00335E4B">
        <w:rPr>
          <w:rFonts w:cs="Traditional Arabic"/>
          <w:sz w:val="30"/>
          <w:szCs w:val="30"/>
          <w:rtl/>
        </w:rPr>
        <w:tab/>
        <w:t>’أفضل التقنيات المتاحة‘ تعني التقنيات الأكثر فعالية في منع، وحيثما يكون ذلك غير عملي، في الحد من انبعاثات وإطلاقات الزئبق في الهواء والماء والأراضي وأثر تلك الإطلاقات والانبعاثات على البيئة ككل، مع مراعاة الاعتبارات الاقتصادية والتقنية لطرف ما أو لمرفق ما موجود على أراضي ذلك الطرف. وفي هذا السياق:</w:t>
      </w:r>
    </w:p>
    <w:p w:rsidR="00335E4B" w:rsidRPr="00335E4B" w:rsidRDefault="00335E4B" w:rsidP="004973ED">
      <w:pPr>
        <w:spacing w:after="120" w:line="400" w:lineRule="exact"/>
        <w:ind w:left="1274"/>
        <w:jc w:val="both"/>
        <w:rPr>
          <w:rFonts w:cs="Traditional Arabic"/>
          <w:sz w:val="30"/>
          <w:szCs w:val="30"/>
          <w:rtl/>
        </w:rPr>
      </w:pPr>
      <w:r w:rsidRPr="00335E4B">
        <w:rPr>
          <w:rFonts w:cs="Traditional Arabic"/>
          <w:sz w:val="30"/>
          <w:szCs w:val="30"/>
          <w:rtl/>
        </w:rPr>
        <w:t>”’أفضل‘ يعني الأكثر فعالية في تحقيق مستوى عام مرتفع من حماية البيئة ككل؛</w:t>
      </w:r>
    </w:p>
    <w:p w:rsidR="00335E4B" w:rsidRPr="00335E4B" w:rsidRDefault="00335E4B" w:rsidP="004973ED">
      <w:pPr>
        <w:spacing w:after="120" w:line="400" w:lineRule="exact"/>
        <w:ind w:left="1274"/>
        <w:jc w:val="both"/>
        <w:rPr>
          <w:rFonts w:cs="Traditional Arabic"/>
          <w:sz w:val="30"/>
          <w:szCs w:val="30"/>
          <w:rtl/>
        </w:rPr>
      </w:pPr>
      <w:r w:rsidRPr="00335E4B">
        <w:rPr>
          <w:rFonts w:cs="Traditional Arabic"/>
          <w:sz w:val="30"/>
          <w:szCs w:val="30"/>
          <w:rtl/>
        </w:rPr>
        <w:t>”’التقنيات المتاحة‘، فيما يتعلق بطرف معيَّن ومرفق معيَّن على أراضي ذلك الطرف، تعني التقنيات التي تستخدم على نطاق يمكِّن من التنفيذ في قطاع صناعي ذي صلة في ظل ظروف صالحة اقتصادياً وتقنياً، مع أخذ التكاليف والفوائد في الاعتبار، سواء استخدمت تلك التقنيات أو تم استحداثها، أو لم تستخدم أو تستحدث، على أراضي الطرف المعني، بشرط أن تكون متاحة لمشغِّل المرفق وفقاً لما يحدده ذلك الطرف؛</w:t>
      </w:r>
    </w:p>
    <w:p w:rsidR="00335E4B" w:rsidRPr="00335E4B" w:rsidRDefault="00335E4B" w:rsidP="004973ED">
      <w:pPr>
        <w:spacing w:after="120" w:line="400" w:lineRule="exact"/>
        <w:ind w:left="1274"/>
        <w:jc w:val="both"/>
        <w:rPr>
          <w:rFonts w:cs="Traditional Arabic"/>
          <w:sz w:val="30"/>
          <w:szCs w:val="30"/>
          <w:rtl/>
        </w:rPr>
      </w:pPr>
      <w:r w:rsidRPr="00335E4B">
        <w:rPr>
          <w:rFonts w:cs="Traditional Arabic"/>
          <w:sz w:val="30"/>
          <w:szCs w:val="30"/>
          <w:rtl/>
        </w:rPr>
        <w:t>”’التقنيات‘ تعني التكنولوجيات المستخدمة والممارسات التشغيلية والطرائق التي تُصمَّم بها المنشآت وتُبنى وتصان ويجري تشغيلها وإخراجها من الخدمة؛</w:t>
      </w:r>
    </w:p>
    <w:p w:rsidR="004973ED" w:rsidRDefault="004973ED" w:rsidP="004973ED">
      <w:pPr>
        <w:tabs>
          <w:tab w:val="left" w:pos="1274"/>
          <w:tab w:val="left" w:pos="1841"/>
        </w:tabs>
        <w:spacing w:after="120" w:line="400" w:lineRule="exact"/>
        <w:ind w:left="565"/>
        <w:jc w:val="both"/>
        <w:rPr>
          <w:rFonts w:cs="Traditional Arabic"/>
          <w:sz w:val="30"/>
          <w:szCs w:val="30"/>
          <w:rtl/>
        </w:rPr>
      </w:pPr>
      <w:r>
        <w:rPr>
          <w:rFonts w:cs="Traditional Arabic" w:hint="cs"/>
          <w:sz w:val="30"/>
          <w:szCs w:val="30"/>
          <w:rtl/>
        </w:rPr>
        <w:tab/>
      </w:r>
      <w:r w:rsidR="00335E4B" w:rsidRPr="00335E4B">
        <w:rPr>
          <w:rFonts w:cs="Traditional Arabic"/>
          <w:sz w:val="30"/>
          <w:szCs w:val="30"/>
          <w:rtl/>
        </w:rPr>
        <w:t>”(ج)</w:t>
      </w:r>
      <w:r w:rsidR="00335E4B" w:rsidRPr="00335E4B">
        <w:rPr>
          <w:rFonts w:cs="Traditional Arabic"/>
          <w:sz w:val="30"/>
          <w:szCs w:val="30"/>
          <w:rtl/>
        </w:rPr>
        <w:tab/>
        <w:t>’أفضل الممارسات البيئية‘ تعني تطبيق أنسب خليط من تدابير واستراتيجيات التحكم البيئي؛</w:t>
      </w:r>
    </w:p>
    <w:p w:rsidR="00335E4B" w:rsidRPr="00335E4B" w:rsidRDefault="004973ED" w:rsidP="004973ED">
      <w:pPr>
        <w:tabs>
          <w:tab w:val="left" w:pos="1274"/>
          <w:tab w:val="left" w:pos="1841"/>
        </w:tabs>
        <w:spacing w:after="120" w:line="400" w:lineRule="exact"/>
        <w:ind w:left="565"/>
        <w:jc w:val="both"/>
        <w:rPr>
          <w:rFonts w:cs="Traditional Arabic"/>
          <w:sz w:val="30"/>
          <w:szCs w:val="30"/>
          <w:rtl/>
        </w:rPr>
      </w:pPr>
      <w:r>
        <w:rPr>
          <w:rFonts w:cs="Traditional Arabic" w:hint="cs"/>
          <w:sz w:val="30"/>
          <w:szCs w:val="30"/>
          <w:rtl/>
        </w:rPr>
        <w:tab/>
      </w:r>
      <w:r w:rsidR="00335E4B" w:rsidRPr="00335E4B">
        <w:rPr>
          <w:rFonts w:cs="Traditional Arabic"/>
          <w:sz w:val="30"/>
          <w:szCs w:val="30"/>
          <w:rtl/>
        </w:rPr>
        <w:t>”(د)</w:t>
      </w:r>
      <w:r w:rsidR="00335E4B" w:rsidRPr="00335E4B">
        <w:rPr>
          <w:rFonts w:cs="Traditional Arabic"/>
          <w:sz w:val="30"/>
          <w:szCs w:val="30"/>
          <w:rtl/>
        </w:rPr>
        <w:tab/>
        <w:t>’الزئبق‘ يعني الزئبق النقي (</w:t>
      </w:r>
      <w:r w:rsidR="00335E4B" w:rsidRPr="00335E4B">
        <w:rPr>
          <w:rFonts w:cs="Traditional Arabic"/>
          <w:sz w:val="20"/>
          <w:szCs w:val="30"/>
        </w:rPr>
        <w:t>Hg(0), CAS No. 7439-97-6</w:t>
      </w:r>
      <w:r w:rsidR="00335E4B" w:rsidRPr="00335E4B">
        <w:rPr>
          <w:rFonts w:cs="Traditional Arabic"/>
          <w:sz w:val="30"/>
          <w:szCs w:val="30"/>
          <w:rtl/>
        </w:rPr>
        <w:t>)؛</w:t>
      </w:r>
    </w:p>
    <w:p w:rsidR="00335E4B" w:rsidRPr="00335E4B" w:rsidRDefault="004973ED" w:rsidP="004973ED">
      <w:pPr>
        <w:tabs>
          <w:tab w:val="left" w:pos="1274"/>
          <w:tab w:val="left" w:pos="1841"/>
        </w:tabs>
        <w:spacing w:after="120" w:line="400" w:lineRule="exact"/>
        <w:ind w:left="565"/>
        <w:jc w:val="both"/>
        <w:rPr>
          <w:rFonts w:cs="Traditional Arabic"/>
          <w:sz w:val="30"/>
          <w:szCs w:val="30"/>
          <w:rtl/>
          <w:lang w:bidi="ar-EG"/>
        </w:rPr>
      </w:pPr>
      <w:r>
        <w:rPr>
          <w:rFonts w:cs="Traditional Arabic" w:hint="cs"/>
          <w:sz w:val="30"/>
          <w:szCs w:val="30"/>
          <w:rtl/>
        </w:rPr>
        <w:tab/>
      </w:r>
      <w:r w:rsidR="00335E4B" w:rsidRPr="00335E4B">
        <w:rPr>
          <w:rFonts w:cs="Traditional Arabic"/>
          <w:sz w:val="30"/>
          <w:szCs w:val="30"/>
          <w:rtl/>
        </w:rPr>
        <w:t>”(هـ)</w:t>
      </w:r>
      <w:r w:rsidR="00335E4B" w:rsidRPr="00335E4B">
        <w:rPr>
          <w:rFonts w:cs="Traditional Arabic"/>
          <w:sz w:val="30"/>
          <w:szCs w:val="30"/>
          <w:rtl/>
        </w:rPr>
        <w:tab/>
        <w:t xml:space="preserve">’مركب الزئبق‘ يعني أي مادة تتكون من ذرات من الزئبق </w:t>
      </w:r>
      <w:r w:rsidR="00335E4B" w:rsidRPr="00335E4B">
        <w:rPr>
          <w:rFonts w:cs="Traditional Arabic"/>
          <w:sz w:val="30"/>
          <w:szCs w:val="30"/>
          <w:rtl/>
          <w:lang w:bidi="ar-EG"/>
        </w:rPr>
        <w:t>ومن ذرة أو أكثر من عناصر كيميائية أخرى لا</w:t>
      </w:r>
      <w:r w:rsidR="00335E4B" w:rsidRPr="00335E4B">
        <w:rPr>
          <w:rFonts w:cs="Traditional Arabic" w:hint="cs"/>
          <w:sz w:val="30"/>
          <w:szCs w:val="30"/>
          <w:rtl/>
          <w:lang w:bidi="ar-EG"/>
        </w:rPr>
        <w:t xml:space="preserve"> </w:t>
      </w:r>
      <w:r w:rsidR="00335E4B" w:rsidRPr="00335E4B">
        <w:rPr>
          <w:rFonts w:cs="Traditional Arabic"/>
          <w:sz w:val="30"/>
          <w:szCs w:val="30"/>
          <w:rtl/>
          <w:lang w:bidi="ar-EG"/>
        </w:rPr>
        <w:t>يمكن فصلها إلى مركبات مختلفة إلاّ من خلال تفاعلات كيميائية“.</w:t>
      </w:r>
    </w:p>
    <w:p w:rsidR="00335E4B" w:rsidRPr="00335E4B" w:rsidRDefault="00335E4B" w:rsidP="004973ED">
      <w:pPr>
        <w:spacing w:after="120" w:line="400" w:lineRule="exact"/>
        <w:jc w:val="both"/>
        <w:rPr>
          <w:rFonts w:cs="Traditional Arabic"/>
          <w:sz w:val="20"/>
          <w:szCs w:val="30"/>
          <w:rtl/>
        </w:rPr>
      </w:pPr>
      <w:r w:rsidRPr="00335E4B">
        <w:rPr>
          <w:rFonts w:cs="Traditional Arabic"/>
          <w:sz w:val="20"/>
          <w:szCs w:val="30"/>
          <w:rtl/>
        </w:rPr>
        <w:t>وفيما يلي نص الفقرات من 1 إلى 6 من المادة 8 من الاتفاقية والمرفق دال.</w:t>
      </w:r>
    </w:p>
    <w:p w:rsidR="00335E4B" w:rsidRPr="00335E4B" w:rsidRDefault="00335E4B" w:rsidP="00335E4B">
      <w:pPr>
        <w:spacing w:after="120" w:line="400" w:lineRule="exact"/>
        <w:jc w:val="center"/>
        <w:rPr>
          <w:rFonts w:cs="Traditional Arabic"/>
          <w:b/>
          <w:bCs/>
          <w:sz w:val="20"/>
          <w:szCs w:val="30"/>
          <w:rtl/>
        </w:rPr>
      </w:pPr>
      <w:bookmarkStart w:id="87" w:name="_Toc440451884"/>
      <w:r w:rsidRPr="00335E4B">
        <w:rPr>
          <w:rFonts w:cs="Traditional Arabic"/>
          <w:b/>
          <w:bCs/>
          <w:sz w:val="20"/>
          <w:szCs w:val="30"/>
          <w:rtl/>
        </w:rPr>
        <w:t>المادة 8</w:t>
      </w:r>
      <w:bookmarkEnd w:id="87"/>
    </w:p>
    <w:p w:rsidR="00335E4B" w:rsidRPr="00335E4B" w:rsidRDefault="00335E4B" w:rsidP="00335E4B">
      <w:pPr>
        <w:spacing w:after="120" w:line="400" w:lineRule="exact"/>
        <w:jc w:val="center"/>
        <w:rPr>
          <w:rFonts w:cs="Traditional Arabic"/>
          <w:b/>
          <w:bCs/>
          <w:sz w:val="20"/>
          <w:szCs w:val="30"/>
          <w:rtl/>
        </w:rPr>
      </w:pPr>
      <w:bookmarkStart w:id="88" w:name="_Toc440451885"/>
      <w:r w:rsidRPr="00335E4B">
        <w:rPr>
          <w:rFonts w:cs="Traditional Arabic"/>
          <w:b/>
          <w:bCs/>
          <w:sz w:val="20"/>
          <w:szCs w:val="30"/>
          <w:rtl/>
        </w:rPr>
        <w:t>الانبعاثات</w:t>
      </w:r>
      <w:bookmarkEnd w:id="88"/>
    </w:p>
    <w:p w:rsidR="00335E4B" w:rsidRPr="00335E4B" w:rsidRDefault="00335E4B" w:rsidP="00335E4B">
      <w:pPr>
        <w:tabs>
          <w:tab w:val="left" w:pos="1132"/>
        </w:tabs>
        <w:spacing w:after="120" w:line="400" w:lineRule="exact"/>
        <w:ind w:left="565"/>
        <w:jc w:val="both"/>
        <w:rPr>
          <w:rFonts w:cs="Traditional Arabic"/>
          <w:sz w:val="20"/>
          <w:szCs w:val="30"/>
          <w:rtl/>
          <w:lang w:bidi="ar-EG"/>
        </w:rPr>
      </w:pPr>
      <w:r w:rsidRPr="00335E4B">
        <w:rPr>
          <w:rFonts w:cs="Traditional Arabic"/>
          <w:sz w:val="20"/>
          <w:szCs w:val="30"/>
          <w:rtl/>
          <w:lang w:bidi="ar-EG"/>
        </w:rPr>
        <w:t>تُعنى هذه المادة بالضبط والتخفيض، حيثما أمكن، لانبعاثات الزئبق أو مركبات الزئبق المشار إليها غالباً بعبارة ”الزئبق الكلي“، في الغلاف الجوي، من خلال تدابير تهدف إلى ضبط الانبعاثات من المصادر الثابتة التي تندرج في فئات المصادر الواردة في المرفق دال.</w:t>
      </w:r>
    </w:p>
    <w:p w:rsidR="00335E4B" w:rsidRPr="00335E4B" w:rsidRDefault="00335E4B" w:rsidP="00335E4B">
      <w:pPr>
        <w:tabs>
          <w:tab w:val="left" w:pos="1132"/>
        </w:tabs>
        <w:spacing w:after="120" w:line="400" w:lineRule="exact"/>
        <w:ind w:left="565"/>
        <w:jc w:val="both"/>
        <w:rPr>
          <w:rFonts w:cs="Traditional Arabic"/>
          <w:sz w:val="20"/>
          <w:szCs w:val="30"/>
          <w:rtl/>
          <w:lang w:bidi="ar-EG"/>
        </w:rPr>
      </w:pPr>
      <w:r w:rsidRPr="00335E4B">
        <w:rPr>
          <w:rFonts w:cs="Traditional Arabic"/>
          <w:sz w:val="20"/>
          <w:szCs w:val="30"/>
          <w:rtl/>
          <w:lang w:bidi="ar-EG"/>
        </w:rPr>
        <w:t>لأغراض هذه المادة:</w:t>
      </w:r>
    </w:p>
    <w:p w:rsidR="00335E4B" w:rsidRPr="00335E4B" w:rsidRDefault="004973ED" w:rsidP="004973ED">
      <w:pPr>
        <w:tabs>
          <w:tab w:val="left" w:pos="1841"/>
          <w:tab w:val="left" w:pos="2408"/>
        </w:tabs>
        <w:spacing w:after="120" w:line="400" w:lineRule="exact"/>
        <w:ind w:left="1132"/>
        <w:jc w:val="both"/>
        <w:rPr>
          <w:rFonts w:cs="Traditional Arabic"/>
          <w:sz w:val="20"/>
          <w:szCs w:val="30"/>
          <w:rtl/>
          <w:lang w:bidi="ar-EG"/>
        </w:rPr>
      </w:pPr>
      <w:r>
        <w:rPr>
          <w:rFonts w:cs="Traditional Arabic" w:hint="cs"/>
          <w:sz w:val="20"/>
          <w:szCs w:val="30"/>
          <w:rtl/>
          <w:lang w:bidi="ar-EG"/>
        </w:rPr>
        <w:tab/>
      </w:r>
      <w:r w:rsidR="00335E4B" w:rsidRPr="00335E4B">
        <w:rPr>
          <w:rFonts w:cs="Traditional Arabic"/>
          <w:sz w:val="20"/>
          <w:szCs w:val="30"/>
          <w:rtl/>
          <w:lang w:bidi="ar-EG"/>
        </w:rPr>
        <w:t>(أ)</w:t>
      </w:r>
      <w:r w:rsidR="00335E4B" w:rsidRPr="00335E4B">
        <w:rPr>
          <w:rFonts w:cs="Traditional Arabic"/>
          <w:sz w:val="20"/>
          <w:szCs w:val="30"/>
          <w:rtl/>
          <w:lang w:bidi="ar-EG"/>
        </w:rPr>
        <w:tab/>
        <w:t>”الانبعاثات“ تعني انبعاثات الزئبق ومركبات الزئبق في الغلاف الجوي؛</w:t>
      </w:r>
    </w:p>
    <w:p w:rsidR="00335E4B" w:rsidRPr="00335E4B" w:rsidRDefault="004973ED" w:rsidP="004973ED">
      <w:pPr>
        <w:tabs>
          <w:tab w:val="left" w:pos="1841"/>
          <w:tab w:val="left" w:pos="2408"/>
        </w:tabs>
        <w:spacing w:after="120" w:line="400" w:lineRule="exact"/>
        <w:ind w:left="1132"/>
        <w:jc w:val="both"/>
        <w:rPr>
          <w:rFonts w:cs="Traditional Arabic"/>
          <w:sz w:val="20"/>
          <w:szCs w:val="30"/>
          <w:rtl/>
          <w:lang w:bidi="ar-EG"/>
        </w:rPr>
      </w:pPr>
      <w:r>
        <w:rPr>
          <w:rFonts w:cs="Traditional Arabic" w:hint="cs"/>
          <w:sz w:val="20"/>
          <w:szCs w:val="30"/>
          <w:rtl/>
          <w:lang w:bidi="ar-EG"/>
        </w:rPr>
        <w:tab/>
      </w:r>
      <w:r w:rsidR="00335E4B" w:rsidRPr="00335E4B">
        <w:rPr>
          <w:rFonts w:cs="Traditional Arabic"/>
          <w:sz w:val="20"/>
          <w:szCs w:val="30"/>
          <w:rtl/>
          <w:lang w:bidi="ar-EG"/>
        </w:rPr>
        <w:t>(ب)</w:t>
      </w:r>
      <w:r w:rsidR="00335E4B" w:rsidRPr="00335E4B">
        <w:rPr>
          <w:rFonts w:cs="Traditional Arabic"/>
          <w:sz w:val="20"/>
          <w:szCs w:val="30"/>
          <w:rtl/>
          <w:lang w:bidi="ar-EG"/>
        </w:rPr>
        <w:tab/>
        <w:t>”المصدر ذو الصلة“ يعني مصدراً يندرج في فئة من فئات المصادر الواردة في المرفق دال، ويجوز لأي طرف إذا ما اختار ذلك أن يضع معايير لتحديد المصادر المشمولة بفئة للمصادر مدرجة في المرفق دال طالما اشتملت المعايير المتعلقة بأي فئة على نسبة 75 في المائة على الأقل من الانبعاثات الصادرة من تلك الفئة؛</w:t>
      </w:r>
    </w:p>
    <w:p w:rsidR="00335E4B" w:rsidRPr="00335E4B" w:rsidRDefault="004973ED" w:rsidP="004973ED">
      <w:pPr>
        <w:tabs>
          <w:tab w:val="left" w:pos="1841"/>
          <w:tab w:val="left" w:pos="2408"/>
        </w:tabs>
        <w:spacing w:after="120" w:line="400" w:lineRule="exact"/>
        <w:ind w:left="1132"/>
        <w:jc w:val="both"/>
        <w:rPr>
          <w:rFonts w:cs="Traditional Arabic"/>
          <w:sz w:val="20"/>
          <w:szCs w:val="30"/>
          <w:rtl/>
          <w:lang w:bidi="ar-EG"/>
        </w:rPr>
      </w:pPr>
      <w:r>
        <w:rPr>
          <w:rFonts w:cs="Traditional Arabic" w:hint="cs"/>
          <w:sz w:val="20"/>
          <w:szCs w:val="30"/>
          <w:rtl/>
          <w:lang w:bidi="ar-EG"/>
        </w:rPr>
        <w:tab/>
      </w:r>
      <w:r w:rsidR="00335E4B" w:rsidRPr="00335E4B">
        <w:rPr>
          <w:rFonts w:cs="Traditional Arabic"/>
          <w:sz w:val="20"/>
          <w:szCs w:val="30"/>
          <w:rtl/>
          <w:lang w:bidi="ar-EG"/>
        </w:rPr>
        <w:t>(ج)</w:t>
      </w:r>
      <w:r w:rsidR="00335E4B" w:rsidRPr="00335E4B">
        <w:rPr>
          <w:rFonts w:cs="Traditional Arabic"/>
          <w:sz w:val="20"/>
          <w:szCs w:val="30"/>
          <w:rtl/>
          <w:lang w:bidi="ar-EG"/>
        </w:rPr>
        <w:tab/>
        <w:t xml:space="preserve">”المصدر الجديد“ يعني أي مصدر ذي صلة يندرج في فئة واردة في المرفق دال، بدأ بناؤه أو إجراء تعديلات كبيرة عليه قبل سنة واحدة على الأقل من تاريخ: </w:t>
      </w:r>
    </w:p>
    <w:p w:rsidR="00335E4B" w:rsidRPr="00335E4B" w:rsidRDefault="00335E4B" w:rsidP="004973ED">
      <w:pPr>
        <w:spacing w:after="120" w:line="400" w:lineRule="exact"/>
        <w:ind w:left="2975" w:hanging="567"/>
        <w:jc w:val="both"/>
        <w:rPr>
          <w:rFonts w:cs="Traditional Arabic"/>
          <w:sz w:val="20"/>
          <w:szCs w:val="30"/>
          <w:rtl/>
          <w:lang w:bidi="ar-EG"/>
        </w:rPr>
      </w:pPr>
      <w:r w:rsidRPr="00335E4B">
        <w:rPr>
          <w:rFonts w:cs="Traditional Arabic"/>
          <w:sz w:val="20"/>
          <w:szCs w:val="30"/>
          <w:rtl/>
          <w:lang w:bidi="ar-EG"/>
        </w:rPr>
        <w:t>’1‘</w:t>
      </w:r>
      <w:r w:rsidRPr="00335E4B">
        <w:rPr>
          <w:rFonts w:cs="Traditional Arabic"/>
          <w:sz w:val="20"/>
          <w:szCs w:val="30"/>
          <w:rtl/>
          <w:lang w:bidi="ar-EG"/>
        </w:rPr>
        <w:tab/>
        <w:t>دخول هذه الاتفاقية حيز النفاذ بالنسبة للطرف المعني؛ أو</w:t>
      </w:r>
    </w:p>
    <w:p w:rsidR="00335E4B" w:rsidRPr="00335E4B" w:rsidRDefault="00335E4B" w:rsidP="004973ED">
      <w:pPr>
        <w:spacing w:after="120" w:line="400" w:lineRule="exact"/>
        <w:ind w:left="2975" w:hanging="567"/>
        <w:jc w:val="both"/>
        <w:rPr>
          <w:rFonts w:cs="Traditional Arabic"/>
          <w:sz w:val="20"/>
          <w:szCs w:val="30"/>
          <w:rtl/>
          <w:lang w:bidi="ar-EG"/>
        </w:rPr>
      </w:pPr>
      <w:r w:rsidRPr="00335E4B">
        <w:rPr>
          <w:rFonts w:cs="Traditional Arabic"/>
          <w:sz w:val="20"/>
          <w:szCs w:val="30"/>
          <w:rtl/>
          <w:lang w:bidi="ar-EG"/>
        </w:rPr>
        <w:t>’2‘</w:t>
      </w:r>
      <w:r w:rsidRPr="00335E4B">
        <w:rPr>
          <w:rFonts w:cs="Traditional Arabic"/>
          <w:sz w:val="20"/>
          <w:szCs w:val="30"/>
          <w:rtl/>
          <w:lang w:bidi="ar-EG"/>
        </w:rPr>
        <w:tab/>
        <w:t>دخول تعديل على المرفق دال حيِّز النفاذ بالنسبة للطرف المعني ليصبح المصدر خاضعاً لأحكام هذه الاتفاقية بمقتضى ذلك التعديل لا غير؛</w:t>
      </w:r>
    </w:p>
    <w:p w:rsidR="00335E4B" w:rsidRPr="00335E4B" w:rsidRDefault="004973ED" w:rsidP="004973ED">
      <w:pPr>
        <w:tabs>
          <w:tab w:val="left" w:pos="1841"/>
          <w:tab w:val="left" w:pos="2408"/>
        </w:tabs>
        <w:spacing w:after="120" w:line="400" w:lineRule="exact"/>
        <w:ind w:left="1132"/>
        <w:jc w:val="both"/>
        <w:rPr>
          <w:rFonts w:cs="Traditional Arabic"/>
          <w:sz w:val="20"/>
          <w:szCs w:val="30"/>
          <w:rtl/>
          <w:lang w:bidi="ar-EG"/>
        </w:rPr>
      </w:pPr>
      <w:r>
        <w:rPr>
          <w:rFonts w:cs="Traditional Arabic" w:hint="cs"/>
          <w:sz w:val="20"/>
          <w:szCs w:val="30"/>
          <w:rtl/>
        </w:rPr>
        <w:tab/>
      </w:r>
      <w:r w:rsidR="00335E4B" w:rsidRPr="00335E4B">
        <w:rPr>
          <w:rFonts w:cs="Traditional Arabic" w:hint="cs"/>
          <w:sz w:val="20"/>
          <w:szCs w:val="30"/>
          <w:rtl/>
        </w:rPr>
        <w:t>(</w:t>
      </w:r>
      <w:r w:rsidR="00335E4B" w:rsidRPr="00335E4B">
        <w:rPr>
          <w:rFonts w:cs="Traditional Arabic"/>
          <w:sz w:val="20"/>
          <w:szCs w:val="30"/>
          <w:rtl/>
          <w:lang w:bidi="ar-EG"/>
        </w:rPr>
        <w:t>د)</w:t>
      </w:r>
      <w:r w:rsidR="00335E4B" w:rsidRPr="00335E4B">
        <w:rPr>
          <w:rFonts w:cs="Traditional Arabic"/>
          <w:sz w:val="20"/>
          <w:szCs w:val="30"/>
          <w:rtl/>
          <w:lang w:bidi="ar-EG"/>
        </w:rPr>
        <w:tab/>
      </w:r>
      <w:r w:rsidR="00335E4B" w:rsidRPr="00335E4B">
        <w:rPr>
          <w:rFonts w:cs="Traditional Arabic"/>
          <w:w w:val="99"/>
          <w:sz w:val="20"/>
          <w:szCs w:val="30"/>
          <w:rtl/>
          <w:lang w:bidi="ar-EG"/>
        </w:rPr>
        <w:t>”تعديل كبير“ يعني إجراء تعديل على مصدر ذي صلة تنتج عنه زيادة كبيرة في الانبعاثات، باستثناء أي تغيير في الانبعاثات الناجمة عن استرداد منتج فرعي. ويُترك للطرف أمر البت فيما إذا كان التعديل كبيراً أو لا؛</w:t>
      </w:r>
    </w:p>
    <w:p w:rsidR="00335E4B" w:rsidRPr="00335E4B" w:rsidRDefault="004973ED" w:rsidP="004973ED">
      <w:pPr>
        <w:tabs>
          <w:tab w:val="left" w:pos="1841"/>
          <w:tab w:val="left" w:pos="2408"/>
        </w:tabs>
        <w:spacing w:after="120" w:line="400" w:lineRule="exact"/>
        <w:ind w:left="1132"/>
        <w:jc w:val="both"/>
        <w:rPr>
          <w:rFonts w:cs="Traditional Arabic"/>
          <w:sz w:val="20"/>
          <w:szCs w:val="30"/>
          <w:rtl/>
          <w:lang w:bidi="ar-EG"/>
        </w:rPr>
      </w:pPr>
      <w:r>
        <w:rPr>
          <w:rFonts w:cs="Traditional Arabic" w:hint="cs"/>
          <w:sz w:val="20"/>
          <w:szCs w:val="30"/>
          <w:rtl/>
          <w:lang w:bidi="ar-EG"/>
        </w:rPr>
        <w:tab/>
      </w:r>
      <w:r w:rsidR="00335E4B" w:rsidRPr="00335E4B">
        <w:rPr>
          <w:rFonts w:cs="Traditional Arabic"/>
          <w:sz w:val="20"/>
          <w:szCs w:val="30"/>
          <w:rtl/>
          <w:lang w:bidi="ar-EG"/>
        </w:rPr>
        <w:t>(هـ)</w:t>
      </w:r>
      <w:r w:rsidR="00335E4B" w:rsidRPr="00335E4B">
        <w:rPr>
          <w:rFonts w:cs="Traditional Arabic"/>
          <w:sz w:val="20"/>
          <w:szCs w:val="30"/>
          <w:rtl/>
          <w:lang w:bidi="ar-EG"/>
        </w:rPr>
        <w:tab/>
        <w:t xml:space="preserve">”المصدر القائم“ يعني أي مصدر ذي صلة لا يُعتبر مصدراً جديداً؛ </w:t>
      </w:r>
    </w:p>
    <w:p w:rsidR="00335E4B" w:rsidRPr="00335E4B" w:rsidRDefault="004973ED" w:rsidP="004973ED">
      <w:pPr>
        <w:tabs>
          <w:tab w:val="left" w:pos="1841"/>
          <w:tab w:val="left" w:pos="2408"/>
        </w:tabs>
        <w:spacing w:after="120" w:line="400" w:lineRule="exact"/>
        <w:ind w:left="1132"/>
        <w:jc w:val="both"/>
        <w:rPr>
          <w:rFonts w:cs="Traditional Arabic"/>
          <w:sz w:val="20"/>
          <w:szCs w:val="30"/>
          <w:rtl/>
          <w:lang w:bidi="ar-EG"/>
        </w:rPr>
      </w:pPr>
      <w:r>
        <w:rPr>
          <w:rFonts w:cs="Traditional Arabic" w:hint="cs"/>
          <w:sz w:val="20"/>
          <w:szCs w:val="30"/>
          <w:rtl/>
          <w:lang w:bidi="ar-EG"/>
        </w:rPr>
        <w:tab/>
      </w:r>
      <w:r w:rsidR="00335E4B" w:rsidRPr="00335E4B">
        <w:rPr>
          <w:rFonts w:cs="Traditional Arabic"/>
          <w:sz w:val="20"/>
          <w:szCs w:val="30"/>
          <w:rtl/>
          <w:lang w:bidi="ar-EG"/>
        </w:rPr>
        <w:t>(و)</w:t>
      </w:r>
      <w:r w:rsidR="00335E4B" w:rsidRPr="00335E4B">
        <w:rPr>
          <w:rFonts w:cs="Traditional Arabic"/>
          <w:sz w:val="20"/>
          <w:szCs w:val="30"/>
          <w:rtl/>
          <w:lang w:bidi="ar-EG"/>
        </w:rPr>
        <w:tab/>
        <w:t>”القيمة الحدية للانبعاثات“ تعني وضع حد لتركيزات الزئبق أو لمركبات الزئبق أو كتلتها أو معدل انبعاثاتها الناجمة عن مصدر ثابت للانبعاثات، والمُعبَّر عنها غالباً بعبارة ”الزئبق الكلي“.</w:t>
      </w:r>
    </w:p>
    <w:p w:rsidR="00335E4B" w:rsidRPr="00335E4B" w:rsidRDefault="00335E4B" w:rsidP="004973ED">
      <w:pPr>
        <w:tabs>
          <w:tab w:val="left" w:pos="1132"/>
        </w:tabs>
        <w:spacing w:after="120" w:line="400" w:lineRule="exact"/>
        <w:ind w:left="1132"/>
        <w:jc w:val="both"/>
        <w:rPr>
          <w:rFonts w:cs="Traditional Arabic"/>
          <w:sz w:val="20"/>
          <w:szCs w:val="30"/>
          <w:rtl/>
          <w:lang w:bidi="ar-EG"/>
        </w:rPr>
      </w:pPr>
      <w:r w:rsidRPr="00335E4B">
        <w:rPr>
          <w:rFonts w:cs="Traditional Arabic"/>
          <w:sz w:val="20"/>
          <w:szCs w:val="30"/>
          <w:rtl/>
          <w:lang w:bidi="ar-EG"/>
        </w:rPr>
        <w:t>يتخذ أي طرف لديه مصادر ذات تدابير لضبط الانبعاثات ويجوز له أن يقوم بإعداد خطة وطنية تحدِّد التدابير التي ستتخذ لضبط الانبعاثات والغايات والأهداف والنتائج المتوخاة منها. وتُعرض أي خطة على مؤتمر الأطراف في غضون أربع سنوات من تاريخ دخول الاتفاقية حيز النفاذ بالنسبة لذلك الطرف. وإذا وضع طرف خطة تنفيذ عملاً بالمادة 20، يجوز للطرف أن يضمنها الخطة المعدَّة عملاً بهذه الفقرة.</w:t>
      </w:r>
    </w:p>
    <w:p w:rsidR="00335E4B" w:rsidRPr="00335E4B" w:rsidRDefault="00335E4B" w:rsidP="004973ED">
      <w:pPr>
        <w:tabs>
          <w:tab w:val="left" w:pos="1132"/>
        </w:tabs>
        <w:spacing w:after="120" w:line="400" w:lineRule="exact"/>
        <w:ind w:left="1132"/>
        <w:jc w:val="both"/>
        <w:rPr>
          <w:rFonts w:cs="Traditional Arabic"/>
          <w:sz w:val="20"/>
          <w:szCs w:val="30"/>
          <w:rtl/>
          <w:lang w:bidi="ar-EG"/>
        </w:rPr>
      </w:pPr>
      <w:r w:rsidRPr="00335E4B">
        <w:rPr>
          <w:rFonts w:cs="Traditional Arabic"/>
          <w:sz w:val="20"/>
          <w:szCs w:val="30"/>
          <w:rtl/>
          <w:lang w:bidi="ar-EG"/>
        </w:rPr>
        <w:t>فيما يتعلق بالمصادر الجديدة لكل طرف، يشترط الطرف استخدام أفضل التقنيات المتاحة وأفضل الممارسات البيئية لضبط الانبعاثات وتخفيضها، وحيثما أمكن، في أقرب وقت ممكن من الناحية العملية، بحيث لا يتجاوز خمسة أعوام من تاريخ دخول الاتفاقية حيز النفاذ بالنسبة لذلك الطرف. ويجوز للطرف أن يستخدم قيماً حدية للانبعاثات تتسق وتطبيق أفضل التقنيات المتاحة.</w:t>
      </w:r>
    </w:p>
    <w:p w:rsidR="00335E4B" w:rsidRPr="00335E4B" w:rsidRDefault="00335E4B" w:rsidP="004973ED">
      <w:pPr>
        <w:tabs>
          <w:tab w:val="left" w:pos="1132"/>
        </w:tabs>
        <w:spacing w:after="120" w:line="400" w:lineRule="exact"/>
        <w:ind w:left="1132"/>
        <w:jc w:val="both"/>
        <w:rPr>
          <w:rFonts w:cs="Traditional Arabic"/>
          <w:sz w:val="20"/>
          <w:szCs w:val="30"/>
          <w:rtl/>
          <w:lang w:bidi="ar-EG"/>
        </w:rPr>
      </w:pPr>
      <w:r w:rsidRPr="00335E4B">
        <w:rPr>
          <w:rFonts w:cs="Traditional Arabic"/>
          <w:sz w:val="20"/>
          <w:szCs w:val="30"/>
          <w:rtl/>
          <w:lang w:bidi="ar-EG"/>
        </w:rPr>
        <w:t>يُدرج كل طرف، فيما يتعلق بمصادره القائمة، في أي خطة وطنية تدبيراً أو أكثر من التدابير التالية وأن يُنفذ ما يلي، مراعياً في ذلك ظروفه الوطنية والجدوى الاقتصادية والتقنية للتدابير وملاءمة تكاليفها، وذلك في أقرب وقت ممكن من الناحية العملية، ولكن في موعد أقصاه عشرة أعوام بعد تاريخ دخول الاتفاقية حيز النفاذ بالنسبة له:</w:t>
      </w:r>
    </w:p>
    <w:p w:rsidR="004973ED" w:rsidRDefault="004973ED" w:rsidP="004973ED">
      <w:pPr>
        <w:tabs>
          <w:tab w:val="left" w:pos="1841"/>
          <w:tab w:val="left" w:pos="2408"/>
        </w:tabs>
        <w:spacing w:after="120" w:line="400" w:lineRule="exact"/>
        <w:ind w:left="1132"/>
        <w:jc w:val="both"/>
        <w:rPr>
          <w:rFonts w:cs="Traditional Arabic"/>
          <w:sz w:val="20"/>
          <w:szCs w:val="30"/>
          <w:rtl/>
          <w:lang w:bidi="ar-EG"/>
        </w:rPr>
      </w:pPr>
      <w:r>
        <w:rPr>
          <w:rFonts w:cs="Traditional Arabic" w:hint="cs"/>
          <w:sz w:val="20"/>
          <w:szCs w:val="30"/>
          <w:rtl/>
          <w:lang w:bidi="ar-EG"/>
        </w:rPr>
        <w:tab/>
      </w:r>
      <w:r w:rsidR="00335E4B" w:rsidRPr="00335E4B">
        <w:rPr>
          <w:rFonts w:cs="Traditional Arabic"/>
          <w:sz w:val="20"/>
          <w:szCs w:val="30"/>
          <w:rtl/>
          <w:lang w:bidi="ar-EG"/>
        </w:rPr>
        <w:t>(أ)</w:t>
      </w:r>
      <w:r w:rsidR="00335E4B" w:rsidRPr="00335E4B">
        <w:rPr>
          <w:rFonts w:cs="Traditional Arabic"/>
          <w:sz w:val="20"/>
          <w:szCs w:val="30"/>
          <w:rtl/>
          <w:lang w:bidi="ar-EG"/>
        </w:rPr>
        <w:tab/>
        <w:t>هدف كمّي لضبط، وحيثما أمكن، لخفض الانبعاثات من المصادر ذات الصلة؛</w:t>
      </w:r>
    </w:p>
    <w:p w:rsidR="004973ED" w:rsidRDefault="004973ED" w:rsidP="004973ED">
      <w:pPr>
        <w:tabs>
          <w:tab w:val="left" w:pos="1841"/>
          <w:tab w:val="left" w:pos="2408"/>
        </w:tabs>
        <w:spacing w:after="120" w:line="400" w:lineRule="exact"/>
        <w:ind w:left="1132"/>
        <w:jc w:val="both"/>
        <w:rPr>
          <w:rFonts w:cs="Traditional Arabic"/>
          <w:sz w:val="20"/>
          <w:szCs w:val="30"/>
          <w:rtl/>
          <w:lang w:bidi="ar-EG"/>
        </w:rPr>
      </w:pPr>
      <w:r>
        <w:rPr>
          <w:rFonts w:cs="Traditional Arabic" w:hint="cs"/>
          <w:sz w:val="20"/>
          <w:szCs w:val="30"/>
          <w:rtl/>
          <w:lang w:bidi="ar-EG"/>
        </w:rPr>
        <w:tab/>
      </w:r>
      <w:r w:rsidR="00335E4B" w:rsidRPr="00335E4B">
        <w:rPr>
          <w:rFonts w:cs="Traditional Arabic"/>
          <w:sz w:val="20"/>
          <w:szCs w:val="30"/>
          <w:rtl/>
          <w:lang w:bidi="ar-EG"/>
        </w:rPr>
        <w:t>(ب)</w:t>
      </w:r>
      <w:r w:rsidR="00335E4B" w:rsidRPr="00335E4B">
        <w:rPr>
          <w:rFonts w:cs="Traditional Arabic"/>
          <w:sz w:val="20"/>
          <w:szCs w:val="30"/>
          <w:rtl/>
          <w:lang w:bidi="ar-EG"/>
        </w:rPr>
        <w:tab/>
        <w:t>القيم الحدية للانبعاثات بغية ضبط، وحيثما أمكن، خفض الانبعاثات من المصادر ذات الصلة؛</w:t>
      </w:r>
    </w:p>
    <w:p w:rsidR="004973ED" w:rsidRDefault="004973ED" w:rsidP="004973ED">
      <w:pPr>
        <w:tabs>
          <w:tab w:val="left" w:pos="1841"/>
          <w:tab w:val="left" w:pos="2408"/>
        </w:tabs>
        <w:spacing w:after="120" w:line="400" w:lineRule="exact"/>
        <w:ind w:left="1132"/>
        <w:jc w:val="both"/>
        <w:rPr>
          <w:rFonts w:cs="Traditional Arabic"/>
          <w:sz w:val="20"/>
          <w:szCs w:val="30"/>
          <w:rtl/>
          <w:lang w:bidi="ar-EG"/>
        </w:rPr>
      </w:pPr>
      <w:r>
        <w:rPr>
          <w:rFonts w:cs="Traditional Arabic" w:hint="cs"/>
          <w:sz w:val="20"/>
          <w:szCs w:val="30"/>
          <w:rtl/>
          <w:lang w:bidi="ar-EG"/>
        </w:rPr>
        <w:tab/>
      </w:r>
      <w:r w:rsidR="00335E4B" w:rsidRPr="00335E4B">
        <w:rPr>
          <w:rFonts w:cs="Traditional Arabic"/>
          <w:sz w:val="20"/>
          <w:szCs w:val="30"/>
          <w:rtl/>
          <w:lang w:bidi="ar-EG"/>
        </w:rPr>
        <w:t>(ج)</w:t>
      </w:r>
      <w:r w:rsidR="00335E4B" w:rsidRPr="00335E4B">
        <w:rPr>
          <w:rFonts w:cs="Traditional Arabic"/>
          <w:sz w:val="20"/>
          <w:szCs w:val="30"/>
          <w:rtl/>
          <w:lang w:bidi="ar-EG"/>
        </w:rPr>
        <w:tab/>
        <w:t>استخدام أفضل التقنيات المتاحة وأفضل الممارسات البيئية لضبط الانبعاثات من المصادر ذات الصلة؛</w:t>
      </w:r>
    </w:p>
    <w:p w:rsidR="004973ED" w:rsidRDefault="004973ED" w:rsidP="004973ED">
      <w:pPr>
        <w:tabs>
          <w:tab w:val="left" w:pos="1841"/>
          <w:tab w:val="left" w:pos="2408"/>
        </w:tabs>
        <w:spacing w:after="120" w:line="400" w:lineRule="exact"/>
        <w:ind w:left="1132"/>
        <w:jc w:val="both"/>
        <w:rPr>
          <w:rFonts w:cs="Traditional Arabic"/>
          <w:sz w:val="20"/>
          <w:szCs w:val="30"/>
          <w:rtl/>
          <w:lang w:bidi="ar-EG"/>
        </w:rPr>
      </w:pPr>
      <w:r>
        <w:rPr>
          <w:rFonts w:cs="Traditional Arabic" w:hint="cs"/>
          <w:sz w:val="20"/>
          <w:szCs w:val="30"/>
          <w:rtl/>
          <w:lang w:bidi="ar-EG"/>
        </w:rPr>
        <w:tab/>
      </w:r>
      <w:r w:rsidR="00335E4B" w:rsidRPr="00335E4B">
        <w:rPr>
          <w:rFonts w:cs="Traditional Arabic"/>
          <w:sz w:val="20"/>
          <w:szCs w:val="30"/>
          <w:rtl/>
          <w:lang w:bidi="ar-EG"/>
        </w:rPr>
        <w:t>(د)</w:t>
      </w:r>
      <w:r w:rsidR="00335E4B" w:rsidRPr="00335E4B">
        <w:rPr>
          <w:rFonts w:cs="Traditional Arabic"/>
          <w:sz w:val="20"/>
          <w:szCs w:val="30"/>
          <w:rtl/>
          <w:lang w:bidi="ar-EG"/>
        </w:rPr>
        <w:tab/>
        <w:t>استراتيجية لضبط الملوثات المتعددة يمكن أن توفِّر منافع مشتركة لضبط انبعاثات الزئبق؛</w:t>
      </w:r>
    </w:p>
    <w:p w:rsidR="00335E4B" w:rsidRPr="00335E4B" w:rsidRDefault="004973ED" w:rsidP="004973ED">
      <w:pPr>
        <w:tabs>
          <w:tab w:val="left" w:pos="1841"/>
          <w:tab w:val="left" w:pos="2408"/>
        </w:tabs>
        <w:spacing w:after="120" w:line="400" w:lineRule="exact"/>
        <w:ind w:left="1132"/>
        <w:jc w:val="both"/>
        <w:rPr>
          <w:rFonts w:cs="Traditional Arabic"/>
          <w:sz w:val="20"/>
          <w:szCs w:val="30"/>
          <w:rtl/>
          <w:lang w:bidi="ar-EG"/>
        </w:rPr>
      </w:pPr>
      <w:r>
        <w:rPr>
          <w:rFonts w:cs="Traditional Arabic" w:hint="cs"/>
          <w:sz w:val="20"/>
          <w:szCs w:val="30"/>
          <w:rtl/>
          <w:lang w:bidi="ar-EG"/>
        </w:rPr>
        <w:tab/>
      </w:r>
      <w:r w:rsidR="00335E4B" w:rsidRPr="00335E4B">
        <w:rPr>
          <w:rFonts w:cs="Traditional Arabic"/>
          <w:sz w:val="20"/>
          <w:szCs w:val="30"/>
          <w:rtl/>
          <w:lang w:bidi="ar-EG"/>
        </w:rPr>
        <w:t>(هـ)</w:t>
      </w:r>
      <w:r w:rsidR="00335E4B" w:rsidRPr="00335E4B">
        <w:rPr>
          <w:rFonts w:cs="Traditional Arabic"/>
          <w:sz w:val="20"/>
          <w:szCs w:val="30"/>
          <w:rtl/>
          <w:lang w:bidi="ar-EG"/>
        </w:rPr>
        <w:tab/>
        <w:t>تدابير بديلة لخفض الانبعاثات من المصادر ذات الصلة.</w:t>
      </w:r>
    </w:p>
    <w:p w:rsidR="00335E4B" w:rsidRPr="00335E4B" w:rsidRDefault="00335E4B" w:rsidP="004973ED">
      <w:pPr>
        <w:tabs>
          <w:tab w:val="left" w:pos="1132"/>
        </w:tabs>
        <w:spacing w:after="120" w:line="400" w:lineRule="exact"/>
        <w:ind w:left="1132"/>
        <w:jc w:val="both"/>
        <w:rPr>
          <w:rFonts w:cs="Traditional Arabic"/>
          <w:sz w:val="20"/>
          <w:szCs w:val="30"/>
          <w:rtl/>
          <w:lang w:bidi="ar-EG"/>
        </w:rPr>
      </w:pPr>
      <w:r w:rsidRPr="00335E4B">
        <w:rPr>
          <w:rFonts w:cs="Traditional Arabic"/>
          <w:sz w:val="20"/>
          <w:szCs w:val="30"/>
          <w:rtl/>
          <w:lang w:bidi="ar-EG"/>
        </w:rPr>
        <w:t>يجوز للأطراف أن تُطبِّق نفس التدابير على جميع المصادر القائمة ذات الصلة، أو يجوز لها أن تعتمد تدابير مختلفة وفقاً لفئات المصادر المختلفة. ويكون الهدف من تلك التدابير المُطبَّقة من جانب الطرف إحراز تقدِّم معقول في خفض الانبعاثات مع مرور الوقت.</w:t>
      </w:r>
    </w:p>
    <w:p w:rsidR="004973ED" w:rsidRDefault="004973ED">
      <w:pPr>
        <w:bidi w:val="0"/>
        <w:rPr>
          <w:rFonts w:cs="Traditional Arabic"/>
          <w:b/>
          <w:bCs/>
          <w:sz w:val="20"/>
          <w:szCs w:val="30"/>
          <w:rtl/>
        </w:rPr>
      </w:pPr>
      <w:bookmarkStart w:id="89" w:name="_Toc440451886"/>
      <w:r>
        <w:rPr>
          <w:rFonts w:cs="Traditional Arabic"/>
          <w:b/>
          <w:bCs/>
          <w:sz w:val="20"/>
          <w:szCs w:val="30"/>
          <w:rtl/>
        </w:rPr>
        <w:br w:type="page"/>
      </w:r>
    </w:p>
    <w:p w:rsidR="00335E4B" w:rsidRPr="00335E4B" w:rsidRDefault="00335E4B" w:rsidP="00335E4B">
      <w:pPr>
        <w:spacing w:after="120" w:line="400" w:lineRule="exact"/>
        <w:jc w:val="center"/>
        <w:rPr>
          <w:rFonts w:cs="Traditional Arabic"/>
          <w:b/>
          <w:bCs/>
          <w:sz w:val="20"/>
          <w:szCs w:val="30"/>
          <w:rtl/>
        </w:rPr>
      </w:pPr>
      <w:r w:rsidRPr="00335E4B">
        <w:rPr>
          <w:rFonts w:cs="Traditional Arabic"/>
          <w:b/>
          <w:bCs/>
          <w:sz w:val="20"/>
          <w:szCs w:val="30"/>
          <w:rtl/>
        </w:rPr>
        <w:t>المرفق دال</w:t>
      </w:r>
      <w:bookmarkEnd w:id="89"/>
    </w:p>
    <w:p w:rsidR="00335E4B" w:rsidRPr="00335E4B" w:rsidRDefault="00335E4B" w:rsidP="00335E4B">
      <w:pPr>
        <w:spacing w:after="120" w:line="400" w:lineRule="exact"/>
        <w:jc w:val="center"/>
        <w:rPr>
          <w:rFonts w:cs="Traditional Arabic"/>
          <w:b/>
          <w:bCs/>
          <w:sz w:val="20"/>
          <w:szCs w:val="30"/>
          <w:rtl/>
        </w:rPr>
      </w:pPr>
      <w:bookmarkStart w:id="90" w:name="_Toc440451887"/>
      <w:r w:rsidRPr="00335E4B">
        <w:rPr>
          <w:rFonts w:cs="Traditional Arabic"/>
          <w:b/>
          <w:bCs/>
          <w:sz w:val="20"/>
          <w:szCs w:val="30"/>
          <w:rtl/>
        </w:rPr>
        <w:t>قائمة بالمصادر الثابتة لانبعاثات الزئبق ومركباته في الغلاف الجوي</w:t>
      </w:r>
      <w:bookmarkEnd w:id="90"/>
    </w:p>
    <w:p w:rsidR="00335E4B" w:rsidRPr="00335E4B" w:rsidRDefault="00335E4B" w:rsidP="00335E4B">
      <w:pPr>
        <w:spacing w:after="120" w:line="400" w:lineRule="exact"/>
        <w:ind w:left="849"/>
        <w:jc w:val="both"/>
        <w:rPr>
          <w:rFonts w:cs="Traditional Arabic"/>
          <w:b/>
          <w:bCs/>
          <w:sz w:val="20"/>
          <w:szCs w:val="30"/>
          <w:rtl/>
        </w:rPr>
      </w:pPr>
      <w:bookmarkStart w:id="91" w:name="_Toc440451888"/>
      <w:r w:rsidRPr="00335E4B">
        <w:rPr>
          <w:rFonts w:cs="Traditional Arabic"/>
          <w:b/>
          <w:bCs/>
          <w:sz w:val="20"/>
          <w:szCs w:val="30"/>
          <w:rtl/>
        </w:rPr>
        <w:t>فئة المصادر الثابتة:</w:t>
      </w:r>
      <w:bookmarkEnd w:id="91"/>
    </w:p>
    <w:p w:rsidR="00335E4B" w:rsidRPr="00335E4B" w:rsidRDefault="00335E4B" w:rsidP="00335E4B">
      <w:pPr>
        <w:spacing w:after="120" w:line="400" w:lineRule="exact"/>
        <w:ind w:left="1276"/>
        <w:jc w:val="both"/>
        <w:rPr>
          <w:rFonts w:cs="Traditional Arabic"/>
          <w:sz w:val="20"/>
          <w:szCs w:val="30"/>
          <w:rtl/>
          <w:lang w:bidi="ar-EG"/>
        </w:rPr>
      </w:pPr>
      <w:r w:rsidRPr="00335E4B">
        <w:rPr>
          <w:rFonts w:cs="Traditional Arabic"/>
          <w:sz w:val="20"/>
          <w:szCs w:val="30"/>
          <w:rtl/>
          <w:lang w:bidi="ar-EG"/>
        </w:rPr>
        <w:t>محطات توليد الطاقة التي تعمل بالفحم الحجري؛</w:t>
      </w:r>
    </w:p>
    <w:p w:rsidR="00335E4B" w:rsidRPr="00335E4B" w:rsidRDefault="00335E4B" w:rsidP="00335E4B">
      <w:pPr>
        <w:spacing w:after="120" w:line="400" w:lineRule="exact"/>
        <w:ind w:left="1276"/>
        <w:jc w:val="both"/>
        <w:rPr>
          <w:rFonts w:cs="Traditional Arabic"/>
          <w:sz w:val="20"/>
          <w:szCs w:val="30"/>
          <w:rtl/>
          <w:lang w:bidi="ar-EG"/>
        </w:rPr>
      </w:pPr>
      <w:r w:rsidRPr="00335E4B">
        <w:rPr>
          <w:rFonts w:cs="Traditional Arabic"/>
          <w:sz w:val="20"/>
          <w:szCs w:val="30"/>
          <w:rtl/>
          <w:lang w:bidi="ar-EG"/>
        </w:rPr>
        <w:t>المراجل الصناعية التي تعمل بالفحم الحجري؛</w:t>
      </w:r>
    </w:p>
    <w:p w:rsidR="00335E4B" w:rsidRPr="00335E4B" w:rsidRDefault="00335E4B" w:rsidP="00335E4B">
      <w:pPr>
        <w:spacing w:after="120" w:line="400" w:lineRule="exact"/>
        <w:ind w:left="1276"/>
        <w:jc w:val="both"/>
        <w:rPr>
          <w:rFonts w:cs="Traditional Arabic"/>
          <w:sz w:val="20"/>
          <w:szCs w:val="30"/>
          <w:rtl/>
          <w:lang w:bidi="ar-EG"/>
        </w:rPr>
      </w:pPr>
      <w:r w:rsidRPr="00335E4B">
        <w:rPr>
          <w:rFonts w:cs="Traditional Arabic"/>
          <w:sz w:val="20"/>
          <w:szCs w:val="30"/>
          <w:rtl/>
          <w:lang w:bidi="ar-EG"/>
        </w:rPr>
        <w:t>عمليات الصهر وا</w:t>
      </w:r>
      <w:r w:rsidRPr="00335E4B">
        <w:rPr>
          <w:rFonts w:cs="Traditional Arabic" w:hint="cs"/>
          <w:sz w:val="20"/>
          <w:szCs w:val="30"/>
          <w:rtl/>
          <w:lang w:bidi="ar-EG"/>
        </w:rPr>
        <w:t>لتحميص</w:t>
      </w:r>
      <w:r w:rsidRPr="00335E4B">
        <w:rPr>
          <w:rFonts w:cs="Traditional Arabic"/>
          <w:sz w:val="20"/>
          <w:szCs w:val="30"/>
          <w:rtl/>
          <w:lang w:bidi="ar-EG"/>
        </w:rPr>
        <w:t xml:space="preserve"> المستخدمة في إنتاج المعادن غير الحديدية؛</w:t>
      </w:r>
      <w:r w:rsidR="002609DC" w:rsidRPr="002609DC">
        <w:rPr>
          <w:rFonts w:cs="Traditional Arabic" w:hint="cs"/>
          <w:sz w:val="20"/>
          <w:szCs w:val="30"/>
          <w:vertAlign w:val="superscript"/>
          <w:rtl/>
          <w:lang w:bidi="ar-EG"/>
        </w:rPr>
        <w:t>/</w:t>
      </w:r>
      <w:r w:rsidRPr="002609DC">
        <w:rPr>
          <w:rFonts w:cs="Traditional Arabic"/>
          <w:sz w:val="20"/>
          <w:szCs w:val="30"/>
          <w:vertAlign w:val="superscript"/>
          <w:rtl/>
          <w:lang w:bidi="ar-EG"/>
        </w:rPr>
        <w:t>1</w:t>
      </w:r>
    </w:p>
    <w:p w:rsidR="00335E4B" w:rsidRPr="00335E4B" w:rsidRDefault="00335E4B" w:rsidP="00335E4B">
      <w:pPr>
        <w:spacing w:after="120" w:line="400" w:lineRule="exact"/>
        <w:ind w:left="1276"/>
        <w:jc w:val="both"/>
        <w:rPr>
          <w:rFonts w:cs="Traditional Arabic"/>
          <w:sz w:val="20"/>
          <w:szCs w:val="30"/>
          <w:rtl/>
          <w:lang w:bidi="ar-EG"/>
        </w:rPr>
      </w:pPr>
      <w:r w:rsidRPr="00335E4B">
        <w:rPr>
          <w:rFonts w:cs="Traditional Arabic"/>
          <w:sz w:val="20"/>
          <w:szCs w:val="30"/>
          <w:rtl/>
          <w:lang w:bidi="ar-EG"/>
        </w:rPr>
        <w:t>مرافق ترميد النفايات؛</w:t>
      </w:r>
    </w:p>
    <w:p w:rsidR="00335E4B" w:rsidRDefault="00335E4B" w:rsidP="00335E4B">
      <w:pPr>
        <w:spacing w:after="120" w:line="400" w:lineRule="exact"/>
        <w:ind w:left="1276"/>
        <w:jc w:val="both"/>
        <w:rPr>
          <w:rFonts w:cs="Traditional Arabic"/>
          <w:sz w:val="20"/>
          <w:szCs w:val="30"/>
          <w:rtl/>
        </w:rPr>
      </w:pPr>
      <w:r w:rsidRPr="00335E4B">
        <w:rPr>
          <w:rFonts w:cs="Traditional Arabic"/>
          <w:sz w:val="20"/>
          <w:szCs w:val="30"/>
          <w:rtl/>
          <w:lang w:bidi="ar-EG"/>
        </w:rPr>
        <w:t>مرافق إنتاج خبث ا</w:t>
      </w:r>
      <w:r w:rsidRPr="00335E4B">
        <w:rPr>
          <w:rFonts w:cs="Traditional Arabic" w:hint="cs"/>
          <w:sz w:val="20"/>
          <w:szCs w:val="30"/>
          <w:rtl/>
          <w:lang w:bidi="ar-EG"/>
        </w:rPr>
        <w:t>لا</w:t>
      </w:r>
      <w:r w:rsidRPr="00335E4B">
        <w:rPr>
          <w:rFonts w:cs="Traditional Arabic"/>
          <w:sz w:val="20"/>
          <w:szCs w:val="30"/>
          <w:rtl/>
          <w:lang w:bidi="ar-EG"/>
        </w:rPr>
        <w:t>سمنت</w:t>
      </w:r>
      <w:r w:rsidRPr="00335E4B">
        <w:rPr>
          <w:rFonts w:cs="Traditional Arabic"/>
          <w:sz w:val="20"/>
          <w:szCs w:val="30"/>
          <w:lang w:bidi="ar-EG"/>
        </w:rPr>
        <w:t xml:space="preserve"> </w:t>
      </w:r>
      <w:r w:rsidRPr="00335E4B">
        <w:rPr>
          <w:rFonts w:cs="Traditional Arabic" w:hint="cs"/>
          <w:sz w:val="20"/>
          <w:szCs w:val="30"/>
          <w:rtl/>
        </w:rPr>
        <w:t>(الكلنكر)</w:t>
      </w:r>
    </w:p>
    <w:p w:rsidR="00AE2304" w:rsidRDefault="00AE2304" w:rsidP="00335E4B">
      <w:pPr>
        <w:spacing w:after="120" w:line="400" w:lineRule="exact"/>
        <w:ind w:left="1276"/>
        <w:jc w:val="both"/>
        <w:rPr>
          <w:rFonts w:cs="Traditional Arabic"/>
          <w:sz w:val="20"/>
          <w:szCs w:val="30"/>
          <w:rtl/>
        </w:rPr>
      </w:pPr>
    </w:p>
    <w:p w:rsidR="00AE2304" w:rsidRPr="00335E4B" w:rsidRDefault="00AE2304" w:rsidP="00335E4B">
      <w:pPr>
        <w:spacing w:after="120" w:line="400" w:lineRule="exact"/>
        <w:ind w:left="1276"/>
        <w:jc w:val="both"/>
        <w:rPr>
          <w:rFonts w:cs="Traditional Arabic"/>
          <w:sz w:val="20"/>
          <w:szCs w:val="30"/>
          <w:rtl/>
        </w:rPr>
      </w:pP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_____________________</w:t>
      </w:r>
    </w:p>
    <w:p w:rsidR="00335E4B" w:rsidRPr="00194C2F" w:rsidRDefault="00335E4B" w:rsidP="00335E4B">
      <w:pPr>
        <w:spacing w:after="120" w:line="400" w:lineRule="exact"/>
        <w:ind w:left="1132"/>
        <w:jc w:val="both"/>
        <w:rPr>
          <w:rFonts w:cs="Traditional Arabic"/>
          <w:sz w:val="26"/>
          <w:szCs w:val="26"/>
          <w:rtl/>
          <w:lang w:bidi="ar-EG"/>
        </w:rPr>
      </w:pPr>
      <w:r w:rsidRPr="00194C2F">
        <w:rPr>
          <w:rFonts w:cs="Traditional Arabic"/>
          <w:sz w:val="26"/>
          <w:szCs w:val="26"/>
          <w:vertAlign w:val="superscript"/>
          <w:rtl/>
          <w:lang w:bidi="ar-EG"/>
        </w:rPr>
        <w:t>1/</w:t>
      </w:r>
      <w:r w:rsidR="00194C2F" w:rsidRPr="00194C2F">
        <w:rPr>
          <w:rFonts w:cs="Traditional Arabic" w:hint="cs"/>
          <w:sz w:val="26"/>
          <w:szCs w:val="26"/>
          <w:vertAlign w:val="superscript"/>
          <w:rtl/>
          <w:lang w:bidi="ar-EG"/>
        </w:rPr>
        <w:t xml:space="preserve"> </w:t>
      </w:r>
      <w:r w:rsidRPr="00194C2F">
        <w:rPr>
          <w:rFonts w:cs="Traditional Arabic"/>
          <w:sz w:val="26"/>
          <w:szCs w:val="26"/>
          <w:vertAlign w:val="superscript"/>
          <w:rtl/>
          <w:lang w:bidi="ar-EG"/>
        </w:rPr>
        <w:t xml:space="preserve"> </w:t>
      </w:r>
      <w:r w:rsidRPr="00194C2F">
        <w:rPr>
          <w:rFonts w:cs="Traditional Arabic"/>
          <w:sz w:val="26"/>
          <w:szCs w:val="26"/>
          <w:rtl/>
          <w:lang w:bidi="ar-EG"/>
        </w:rPr>
        <w:t>لأغراض هذا المرفق، تشير ”المعادن غير الحديدية“ إلى الرصاص والزنك والنحاس والذهب الصناعي.</w:t>
      </w:r>
    </w:p>
    <w:p w:rsidR="00335E4B" w:rsidRPr="00335E4B" w:rsidRDefault="00335E4B" w:rsidP="00525770">
      <w:pPr>
        <w:keepNext/>
        <w:spacing w:after="120" w:line="400" w:lineRule="exact"/>
        <w:jc w:val="both"/>
        <w:outlineLvl w:val="0"/>
        <w:rPr>
          <w:rFonts w:cs="Traditional Arabic"/>
          <w:b/>
          <w:bCs/>
          <w:sz w:val="30"/>
          <w:szCs w:val="30"/>
          <w:rtl/>
        </w:rPr>
      </w:pPr>
      <w:bookmarkStart w:id="92" w:name="_Toc440456823"/>
      <w:bookmarkStart w:id="93" w:name="_Toc440526888"/>
      <w:bookmarkStart w:id="94" w:name="_Toc440527740"/>
      <w:r w:rsidRPr="00335E4B">
        <w:rPr>
          <w:rFonts w:cs="Traditional Arabic"/>
          <w:b/>
          <w:bCs/>
          <w:sz w:val="32"/>
          <w:szCs w:val="32"/>
          <w:rtl/>
        </w:rPr>
        <w:br w:type="page"/>
      </w:r>
      <w:bookmarkStart w:id="95" w:name="_Toc440550443"/>
      <w:bookmarkStart w:id="96" w:name="_Toc441577683"/>
      <w:bookmarkStart w:id="97" w:name="_Toc441577862"/>
      <w:bookmarkStart w:id="98" w:name="_Toc441579088"/>
      <w:bookmarkStart w:id="99" w:name="_Toc441580696"/>
      <w:bookmarkStart w:id="100" w:name="_Toc441586163"/>
      <w:bookmarkStart w:id="101" w:name="_Toc441586613"/>
      <w:bookmarkStart w:id="102" w:name="_Toc441586792"/>
      <w:bookmarkStart w:id="103" w:name="_Toc441666641"/>
      <w:bookmarkStart w:id="104" w:name="_Toc441673702"/>
      <w:r w:rsidR="00194C2F">
        <w:rPr>
          <w:rFonts w:cs="Traditional Arabic" w:hint="cs"/>
          <w:b/>
          <w:bCs/>
          <w:sz w:val="32"/>
          <w:szCs w:val="32"/>
          <w:rtl/>
        </w:rPr>
        <w:t>1-7</w:t>
      </w:r>
      <w:r w:rsidR="00194C2F">
        <w:rPr>
          <w:rFonts w:cs="Traditional Arabic" w:hint="cs"/>
          <w:b/>
          <w:bCs/>
          <w:sz w:val="32"/>
          <w:szCs w:val="32"/>
          <w:rtl/>
        </w:rPr>
        <w:tab/>
      </w:r>
      <w:r w:rsidRPr="00335E4B">
        <w:rPr>
          <w:rFonts w:cs="Traditional Arabic"/>
          <w:b/>
          <w:bCs/>
          <w:sz w:val="30"/>
          <w:szCs w:val="30"/>
          <w:rtl/>
        </w:rPr>
        <w:t>اعتبارات في اختيار أفضل التقنيات المتاحة وتنفيذها</w:t>
      </w:r>
      <w:bookmarkEnd w:id="92"/>
      <w:bookmarkEnd w:id="93"/>
      <w:bookmarkEnd w:id="94"/>
      <w:bookmarkEnd w:id="95"/>
      <w:bookmarkEnd w:id="96"/>
      <w:bookmarkEnd w:id="97"/>
      <w:bookmarkEnd w:id="98"/>
      <w:bookmarkEnd w:id="99"/>
      <w:bookmarkEnd w:id="100"/>
      <w:bookmarkEnd w:id="101"/>
      <w:bookmarkEnd w:id="102"/>
      <w:bookmarkEnd w:id="103"/>
      <w:bookmarkEnd w:id="104"/>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يشكِّل تعريف ”أفضل التقنيات المتاحة“ الوارد في المادة 2 من الاتفاقية، والمعروض في القسم 1-6 أعلاه، أساساً لقيام أي طرف بتحديد أفضل التقنيات المتاحة لأي مرفق في داخل أراضيه.</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واستخدام أفضل التقنيات المتاحة من أجل الحد والتخفيض، حيثما أمكن، من الانبعاثات أمر مطلوب بالنسبة للمصادر الجديدة على النحو المحدَّد في الفقرة 2 (ج) من المادة 8 وهو واحد من عدة تدابير يمكن أن يلجأ إليها الطرف لاستعمالها بالنسبة للمصادر القائمة، على النحو المحدَّد في الفقرة 2 (هـ) من المادة 8. ويجوز لأي طرف أن يُطبِّق نفس التدابير على جميع المصادر القائمة ذات الصلة أو أن يعتمد تدابير مختلفة في صدد فئات مختلفة من المصادر. ويهدف هذا القسم إلى دعم الأطراف في اختيار وتنفيذ أفضل التقنيات المتاحة.</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ويمكن أن نتوقع أن تشمل عملية اختيار أفضل التقنيات المتاحة وتنفيذها الخطوات العامة التالية.</w:t>
      </w:r>
    </w:p>
    <w:p w:rsidR="00335E4B" w:rsidRPr="00335E4B" w:rsidRDefault="00335E4B" w:rsidP="00335E4B">
      <w:pPr>
        <w:numPr>
          <w:ilvl w:val="0"/>
          <w:numId w:val="11"/>
        </w:numPr>
        <w:tabs>
          <w:tab w:val="clear" w:pos="720"/>
          <w:tab w:val="left" w:pos="991"/>
        </w:tabs>
        <w:spacing w:after="120" w:line="400" w:lineRule="exact"/>
        <w:ind w:left="991" w:hanging="567"/>
        <w:jc w:val="both"/>
        <w:rPr>
          <w:rFonts w:cs="Traditional Arabic"/>
          <w:sz w:val="20"/>
          <w:szCs w:val="30"/>
          <w:lang w:bidi="ar-EG"/>
        </w:rPr>
      </w:pPr>
      <w:r w:rsidRPr="00335E4B">
        <w:rPr>
          <w:rFonts w:cs="Traditional Arabic"/>
          <w:sz w:val="20"/>
          <w:szCs w:val="30"/>
          <w:rtl/>
          <w:lang w:bidi="ar-EG"/>
        </w:rPr>
        <w:t>الخطوة 1: تحديد المعلومات عن المصدر أو فئة المصدر. وقد يشتمل ذلك، دون أن يقتصر، على معلومات بشأن العمليات أو المواد الداخلة أو المواد الأوَّلية أو الوقود، وعن مستويات النشاط الفعلي المتوقع، بما في ذلك كمية الناتج. ويمكن أن تشمل المعلومات الأخرى ذات الصلة العمر المتوقع للمرفق، والتي يرجح أن تتسم بأهمية خاصة في حالة النظر في مرفق قائم، وأي متطلبات أو خطط للحد من الملوثات الأخرى.</w:t>
      </w:r>
    </w:p>
    <w:p w:rsidR="00335E4B" w:rsidRPr="00335E4B" w:rsidRDefault="00335E4B" w:rsidP="00335E4B">
      <w:pPr>
        <w:numPr>
          <w:ilvl w:val="0"/>
          <w:numId w:val="11"/>
        </w:numPr>
        <w:tabs>
          <w:tab w:val="clear" w:pos="720"/>
          <w:tab w:val="left" w:pos="991"/>
        </w:tabs>
        <w:spacing w:after="120" w:line="400" w:lineRule="exact"/>
        <w:ind w:left="991" w:hanging="567"/>
        <w:jc w:val="both"/>
        <w:rPr>
          <w:rFonts w:cs="Traditional Arabic"/>
          <w:sz w:val="20"/>
          <w:szCs w:val="30"/>
          <w:lang w:bidi="ar-EG"/>
        </w:rPr>
      </w:pPr>
      <w:r w:rsidRPr="00335E4B">
        <w:rPr>
          <w:rFonts w:cs="Traditional Arabic"/>
          <w:sz w:val="20"/>
          <w:szCs w:val="30"/>
          <w:rtl/>
          <w:lang w:bidi="ar-EG"/>
        </w:rPr>
        <w:t>الخطوة 2: تعيين المدى الكامل لخيارات تقنيات الحد من الانبعاثات ومجموعات هذه الخيارات التي تتسم بأهمية للمصدر موضع النظر، بما في ذلك التقنيات الموصوفة في فصول هذا التوجيه بشأن التقنيات الشائعة وفئات المصادر المحدَّدة.</w:t>
      </w:r>
    </w:p>
    <w:p w:rsidR="00335E4B" w:rsidRPr="00335E4B" w:rsidRDefault="00335E4B" w:rsidP="00335E4B">
      <w:pPr>
        <w:numPr>
          <w:ilvl w:val="0"/>
          <w:numId w:val="11"/>
        </w:numPr>
        <w:tabs>
          <w:tab w:val="clear" w:pos="720"/>
          <w:tab w:val="left" w:pos="991"/>
        </w:tabs>
        <w:spacing w:after="120" w:line="400" w:lineRule="exact"/>
        <w:ind w:left="991" w:hanging="567"/>
        <w:jc w:val="both"/>
        <w:rPr>
          <w:rFonts w:cs="Traditional Arabic"/>
          <w:sz w:val="20"/>
          <w:szCs w:val="30"/>
          <w:lang w:bidi="ar-EG"/>
        </w:rPr>
      </w:pPr>
      <w:r w:rsidRPr="00335E4B">
        <w:rPr>
          <w:rFonts w:cs="Traditional Arabic"/>
          <w:sz w:val="20"/>
          <w:szCs w:val="30"/>
          <w:rtl/>
          <w:lang w:bidi="ar-EG"/>
        </w:rPr>
        <w:t>الخطوة 3: من بين هذه الخيارات، تعيين الخيارات المجدية تقنياً، مع إيلاء النظر إلى التقنيات المنطبقة على نوع المرفق داخل القطاع، وكذلك على أي تحديدات مادية قد تؤثر على اختيار بعض التقنيات.</w:t>
      </w:r>
    </w:p>
    <w:p w:rsidR="00335E4B" w:rsidRPr="00335E4B" w:rsidRDefault="00335E4B" w:rsidP="00335E4B">
      <w:pPr>
        <w:numPr>
          <w:ilvl w:val="0"/>
          <w:numId w:val="11"/>
        </w:numPr>
        <w:tabs>
          <w:tab w:val="clear" w:pos="720"/>
          <w:tab w:val="left" w:pos="991"/>
        </w:tabs>
        <w:spacing w:after="120" w:line="400" w:lineRule="exact"/>
        <w:ind w:left="991" w:hanging="567"/>
        <w:jc w:val="both"/>
        <w:rPr>
          <w:rFonts w:cs="Traditional Arabic"/>
          <w:sz w:val="20"/>
          <w:szCs w:val="30"/>
          <w:lang w:bidi="ar-EG"/>
        </w:rPr>
      </w:pPr>
      <w:r w:rsidRPr="00335E4B">
        <w:rPr>
          <w:rFonts w:cs="Traditional Arabic"/>
          <w:sz w:val="20"/>
          <w:szCs w:val="30"/>
          <w:rtl/>
          <w:lang w:bidi="ar-EG"/>
        </w:rPr>
        <w:t>الخطوة 4: من هذه الخيارات، يتم اختيار تقنيات الضبط التي تتسم بأكبر قدر من الفعالية للحد من انبعاثات الزئبق وتخفيضها إن أمكن، مع مراعاة مستويات الأداء المذكورة في هذ</w:t>
      </w:r>
      <w:r w:rsidRPr="00335E4B">
        <w:rPr>
          <w:rFonts w:cs="Traditional Arabic" w:hint="cs"/>
          <w:sz w:val="20"/>
          <w:szCs w:val="30"/>
          <w:rtl/>
          <w:lang w:bidi="ar-EG"/>
        </w:rPr>
        <w:t>ه</w:t>
      </w:r>
      <w:r w:rsidRPr="00335E4B">
        <w:rPr>
          <w:rFonts w:cs="Traditional Arabic"/>
          <w:sz w:val="20"/>
          <w:szCs w:val="30"/>
          <w:rtl/>
          <w:lang w:bidi="ar-EG"/>
        </w:rPr>
        <w:t xml:space="preserve"> التوجيه</w:t>
      </w:r>
      <w:r w:rsidRPr="00335E4B">
        <w:rPr>
          <w:rFonts w:cs="Traditional Arabic" w:hint="cs"/>
          <w:sz w:val="20"/>
          <w:szCs w:val="30"/>
          <w:rtl/>
          <w:lang w:bidi="ar-EG"/>
        </w:rPr>
        <w:t>ات</w:t>
      </w:r>
      <w:r w:rsidRPr="00335E4B">
        <w:rPr>
          <w:rFonts w:cs="Traditional Arabic"/>
          <w:sz w:val="20"/>
          <w:szCs w:val="30"/>
          <w:rtl/>
          <w:lang w:bidi="ar-EG"/>
        </w:rPr>
        <w:t>، وللتوصل إلى مستوى عام مرتفع من حماية صحة الإنسان والبيئة ككل.</w:t>
      </w:r>
    </w:p>
    <w:p w:rsidR="00335E4B" w:rsidRPr="00335E4B" w:rsidRDefault="00335E4B" w:rsidP="00335E4B">
      <w:pPr>
        <w:numPr>
          <w:ilvl w:val="0"/>
          <w:numId w:val="11"/>
        </w:numPr>
        <w:tabs>
          <w:tab w:val="clear" w:pos="720"/>
          <w:tab w:val="left" w:pos="991"/>
        </w:tabs>
        <w:spacing w:after="120" w:line="400" w:lineRule="exact"/>
        <w:ind w:left="991" w:hanging="567"/>
        <w:jc w:val="both"/>
        <w:rPr>
          <w:rFonts w:cs="Traditional Arabic"/>
          <w:sz w:val="20"/>
          <w:szCs w:val="30"/>
          <w:rtl/>
          <w:lang w:bidi="ar-EG"/>
        </w:rPr>
      </w:pPr>
      <w:r w:rsidRPr="00335E4B">
        <w:rPr>
          <w:rFonts w:cs="Traditional Arabic"/>
          <w:sz w:val="20"/>
          <w:szCs w:val="30"/>
          <w:rtl/>
          <w:lang w:bidi="ar-EG"/>
        </w:rPr>
        <w:t>الخطوة 5: تحديد تلك الخيارات التي يمكن تنفيذها في ظروف مجدية اقتصادياً وتقنياً، مع مراعاة التكاليف والفوائد وما إن كان يمكن لمشغِّل المرفق الوصول إليها حسبما يرى الطرف المعني. ويلاحظ أن الخيارات التي يقع عليها الاختيار قد تختلف في حالة المرافق الجديدة والمرافق القائمة. وينبغي أيضاً إيلاء الاعتبار إلى ضرورة الصيانة السليمة والمراقبة التشغيلية للتقنيات، وكذلك الحفاظ على الأداء المتحقق مع مرور الوقت.</w:t>
      </w:r>
    </w:p>
    <w:p w:rsidR="00335E4B" w:rsidRPr="00335E4B" w:rsidRDefault="00194C2F" w:rsidP="00335E4B">
      <w:pPr>
        <w:keepNext/>
        <w:spacing w:after="120" w:line="400" w:lineRule="exact"/>
        <w:jc w:val="both"/>
        <w:outlineLvl w:val="0"/>
        <w:rPr>
          <w:rFonts w:cs="Traditional Arabic"/>
          <w:b/>
          <w:bCs/>
          <w:sz w:val="32"/>
          <w:szCs w:val="32"/>
          <w:rtl/>
        </w:rPr>
      </w:pPr>
      <w:bookmarkStart w:id="105" w:name="_Toc440456824"/>
      <w:bookmarkStart w:id="106" w:name="_Toc440526889"/>
      <w:bookmarkStart w:id="107" w:name="_Toc440527741"/>
      <w:bookmarkStart w:id="108" w:name="_Toc440550444"/>
      <w:bookmarkStart w:id="109" w:name="_Toc441577684"/>
      <w:bookmarkStart w:id="110" w:name="_Toc441577863"/>
      <w:bookmarkStart w:id="111" w:name="_Toc441579089"/>
      <w:bookmarkStart w:id="112" w:name="_Toc441580697"/>
      <w:bookmarkStart w:id="113" w:name="_Toc441586164"/>
      <w:bookmarkStart w:id="114" w:name="_Toc441586614"/>
      <w:bookmarkStart w:id="115" w:name="_Toc441586793"/>
      <w:bookmarkStart w:id="116" w:name="_Toc441666642"/>
      <w:bookmarkStart w:id="117" w:name="_Toc441673703"/>
      <w:r>
        <w:rPr>
          <w:rFonts w:cs="Traditional Arabic" w:hint="cs"/>
          <w:b/>
          <w:bCs/>
          <w:sz w:val="32"/>
          <w:szCs w:val="32"/>
          <w:rtl/>
        </w:rPr>
        <w:t>1-8</w:t>
      </w:r>
      <w:r>
        <w:rPr>
          <w:rFonts w:cs="Traditional Arabic" w:hint="cs"/>
          <w:b/>
          <w:bCs/>
          <w:sz w:val="32"/>
          <w:szCs w:val="32"/>
          <w:rtl/>
        </w:rPr>
        <w:tab/>
      </w:r>
      <w:r w:rsidR="00335E4B" w:rsidRPr="00335E4B">
        <w:rPr>
          <w:rFonts w:cs="Traditional Arabic"/>
          <w:b/>
          <w:bCs/>
          <w:sz w:val="32"/>
          <w:szCs w:val="32"/>
          <w:rtl/>
        </w:rPr>
        <w:t>مستويات الأداء</w:t>
      </w:r>
      <w:bookmarkEnd w:id="105"/>
      <w:bookmarkEnd w:id="106"/>
      <w:bookmarkEnd w:id="107"/>
      <w:bookmarkEnd w:id="108"/>
      <w:bookmarkEnd w:id="109"/>
      <w:bookmarkEnd w:id="110"/>
      <w:bookmarkEnd w:id="111"/>
      <w:bookmarkEnd w:id="112"/>
      <w:bookmarkEnd w:id="113"/>
      <w:bookmarkEnd w:id="114"/>
      <w:bookmarkEnd w:id="115"/>
      <w:bookmarkEnd w:id="116"/>
      <w:bookmarkEnd w:id="117"/>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تشمل الفصول المنفردة عن كل فئة من فئات المصادر معلومات عن مستويات الأداء التي تحققت في المرافق التي تقوم بتشغيل تقنيات التحكم الموصوفة في هذه الفصول، في حالة توفر هذه المعلومات. وليس المقصود هو تفسير هذه المعلومات باعتبارها توصيات بشأن القيمة الحدية للانبعاثات. ويرد تعريف ”القيمة الحدية للانبعاثات“ في الفقرة 2 (و) من المادة 8 باعتبارها ”وضع حد لتركيزات الزئبق أو مركبات الزئبق أو كتلتها أو معدل انبعاثاتها الناجمة عن مصدر ثابت للانبعاثات والمعبَّر عنها غالباً بعبارة ’الزئبق الكلي‘“. وتنص الفقرة 4 من هذه المادة على أنه يجوز لأي طرف أن يستخدم قيماً حدية للانبعاثات تتسق وتطبيق أفضل التقنيات المتاحة من أجل ضبط الانبعاثات وتخفيضها، حيثما أمكن. وتُدرج الفقرة 5 من هذه المادة القيم الحدية للانبعاثات في قائمة التدابير التي يجوز للطرف أن يختار واحداً أو أكثر منها لتطبيقها على المصادر القائمة لديه. وإذا اختار أي طرف أن يستعمل القيم الحدية للانبعاثات فينبغي له أن ينظر في العوامل المشابهة لتلك الموصوفة في القسم السابق فيما يتعلق باختيار أفضل التقنيات المتاحة وتطبيقها.</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ويمكن الاطلاع على التوجيه بشأن الطريقة التي يمكن بها للأطراف أن تحدِّد الأهداف وأن تضع القيم الحدية للانبعاثات بالنسبة للمصادر القائمة بموجب الاتفاقية في وثيقة منفصلة عنوانها: ”توجيه بشأن توفير الدعم للأطراف في تنفيذ التدابير الواردة في الفقرة 5، وخاصة في تحديد الأهداف وفي وضع قيم الحدود القصوى للانبعاثات“ (كانت موضع الإعداد في أيلول/سبتمبر 2015).</w:t>
      </w:r>
    </w:p>
    <w:p w:rsidR="00335E4B" w:rsidRPr="00335E4B" w:rsidRDefault="00194C2F" w:rsidP="00335E4B">
      <w:pPr>
        <w:keepNext/>
        <w:tabs>
          <w:tab w:val="left" w:pos="849"/>
        </w:tabs>
        <w:spacing w:after="120" w:line="400" w:lineRule="exact"/>
        <w:jc w:val="both"/>
        <w:outlineLvl w:val="0"/>
        <w:rPr>
          <w:rFonts w:cs="Traditional Arabic"/>
          <w:b/>
          <w:bCs/>
          <w:sz w:val="32"/>
          <w:szCs w:val="32"/>
          <w:rtl/>
        </w:rPr>
      </w:pPr>
      <w:bookmarkStart w:id="118" w:name="_Toc440456825"/>
      <w:bookmarkStart w:id="119" w:name="_Toc440526890"/>
      <w:bookmarkStart w:id="120" w:name="_Toc440527742"/>
      <w:bookmarkStart w:id="121" w:name="_Toc440550445"/>
      <w:bookmarkStart w:id="122" w:name="_Toc441577685"/>
      <w:bookmarkStart w:id="123" w:name="_Toc441577864"/>
      <w:bookmarkStart w:id="124" w:name="_Toc441579090"/>
      <w:bookmarkStart w:id="125" w:name="_Toc441580698"/>
      <w:bookmarkStart w:id="126" w:name="_Toc441586165"/>
      <w:bookmarkStart w:id="127" w:name="_Toc441586615"/>
      <w:bookmarkStart w:id="128" w:name="_Toc441586794"/>
      <w:bookmarkStart w:id="129" w:name="_Toc441666643"/>
      <w:bookmarkStart w:id="130" w:name="_Toc441673704"/>
      <w:r>
        <w:rPr>
          <w:rFonts w:cs="Traditional Arabic" w:hint="cs"/>
          <w:b/>
          <w:bCs/>
          <w:sz w:val="32"/>
          <w:szCs w:val="32"/>
          <w:rtl/>
        </w:rPr>
        <w:t>1-9</w:t>
      </w:r>
      <w:r>
        <w:rPr>
          <w:rFonts w:cs="Traditional Arabic" w:hint="cs"/>
          <w:b/>
          <w:bCs/>
          <w:sz w:val="32"/>
          <w:szCs w:val="32"/>
          <w:rtl/>
        </w:rPr>
        <w:tab/>
      </w:r>
      <w:r w:rsidR="00335E4B" w:rsidRPr="00335E4B">
        <w:rPr>
          <w:rFonts w:cs="Traditional Arabic"/>
          <w:b/>
          <w:bCs/>
          <w:sz w:val="32"/>
          <w:szCs w:val="32"/>
          <w:rtl/>
        </w:rPr>
        <w:t>أفضل الممارسات البيئية</w:t>
      </w:r>
      <w:bookmarkEnd w:id="118"/>
      <w:bookmarkEnd w:id="119"/>
      <w:bookmarkEnd w:id="120"/>
      <w:bookmarkEnd w:id="121"/>
      <w:bookmarkEnd w:id="122"/>
      <w:bookmarkEnd w:id="123"/>
      <w:bookmarkEnd w:id="124"/>
      <w:bookmarkEnd w:id="125"/>
      <w:bookmarkEnd w:id="126"/>
      <w:bookmarkEnd w:id="127"/>
      <w:bookmarkEnd w:id="128"/>
      <w:bookmarkEnd w:id="129"/>
      <w:bookmarkEnd w:id="130"/>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 xml:space="preserve">تُعرِّف الاتفاقية ”أفضل الممارسات البيئية“ بأنها تعني ”تطبيق أنسب خليط من تدابير واستراتيجيات التحكم البيئي“ </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والصيانة الجيدة للمرافق ومعدات القياس تُعتبر أمراً هاماً في التشغيل الفعال لتقنيات الضبط والرصد. ولا غنى عن العاملين المدرَّبين تدريباً جيداً الذين يدركون ضرورة إيلاء الاهتمام إلى العمليات، وذلك من أجل كفالة الأداء الجيد. والتخطيط الدقيق والالتزام من جميع المستويات داخل المنظمة التي تقوم بتشغيل المرفق ستساعد أيضاً على الحفاظ على الأداء، وكذلك عمليات المراقبة الإدارية وغير ذلك من ممارسات إدارة المرفق.</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وترد المعلومات المتعلقة بأفضل الممارسات البيئية المتصلة بكل فئة من فئات المصادر في الفصل المتعلق بالفئة المعنية.</w:t>
      </w:r>
    </w:p>
    <w:p w:rsidR="00335E4B" w:rsidRPr="00335E4B" w:rsidRDefault="00194C2F" w:rsidP="007A6821">
      <w:pPr>
        <w:keepNext/>
        <w:tabs>
          <w:tab w:val="left" w:pos="849"/>
        </w:tabs>
        <w:spacing w:after="120" w:line="400" w:lineRule="exact"/>
        <w:jc w:val="both"/>
        <w:outlineLvl w:val="0"/>
        <w:rPr>
          <w:rFonts w:cs="Traditional Arabic"/>
          <w:b/>
          <w:bCs/>
          <w:sz w:val="32"/>
          <w:szCs w:val="32"/>
          <w:rtl/>
        </w:rPr>
      </w:pPr>
      <w:bookmarkStart w:id="131" w:name="_Toc440456826"/>
      <w:bookmarkStart w:id="132" w:name="_Toc440526891"/>
      <w:bookmarkStart w:id="133" w:name="_Toc440527743"/>
      <w:bookmarkStart w:id="134" w:name="_Toc440550446"/>
      <w:bookmarkStart w:id="135" w:name="_Toc441577686"/>
      <w:bookmarkStart w:id="136" w:name="_Toc441577865"/>
      <w:bookmarkStart w:id="137" w:name="_Toc441579091"/>
      <w:bookmarkStart w:id="138" w:name="_Toc441580699"/>
      <w:bookmarkStart w:id="139" w:name="_Toc441586166"/>
      <w:bookmarkStart w:id="140" w:name="_Toc441586616"/>
      <w:bookmarkStart w:id="141" w:name="_Toc441586795"/>
      <w:bookmarkStart w:id="142" w:name="_Toc441666644"/>
      <w:bookmarkStart w:id="143" w:name="_Toc441673705"/>
      <w:r>
        <w:rPr>
          <w:rFonts w:cs="Traditional Arabic" w:hint="cs"/>
          <w:b/>
          <w:bCs/>
          <w:sz w:val="32"/>
          <w:szCs w:val="32"/>
          <w:rtl/>
        </w:rPr>
        <w:t>1-10</w:t>
      </w:r>
      <w:r>
        <w:rPr>
          <w:rFonts w:cs="Traditional Arabic" w:hint="cs"/>
          <w:b/>
          <w:bCs/>
          <w:sz w:val="32"/>
          <w:szCs w:val="32"/>
          <w:rtl/>
        </w:rPr>
        <w:tab/>
      </w:r>
      <w:r w:rsidR="007A6821">
        <w:rPr>
          <w:rFonts w:cs="Traditional Arabic" w:hint="cs"/>
          <w:b/>
          <w:bCs/>
          <w:sz w:val="32"/>
          <w:szCs w:val="32"/>
          <w:rtl/>
        </w:rPr>
        <w:t>التأثيرات بين ال</w:t>
      </w:r>
      <w:bookmarkEnd w:id="131"/>
      <w:bookmarkEnd w:id="132"/>
      <w:bookmarkEnd w:id="133"/>
      <w:bookmarkEnd w:id="134"/>
      <w:bookmarkEnd w:id="135"/>
      <w:bookmarkEnd w:id="136"/>
      <w:bookmarkEnd w:id="137"/>
      <w:bookmarkEnd w:id="138"/>
      <w:bookmarkEnd w:id="139"/>
      <w:bookmarkEnd w:id="140"/>
      <w:bookmarkEnd w:id="141"/>
      <w:bookmarkEnd w:id="142"/>
      <w:bookmarkEnd w:id="143"/>
      <w:r w:rsidR="006F7165">
        <w:rPr>
          <w:rFonts w:cs="Traditional Arabic" w:hint="cs"/>
          <w:b/>
          <w:bCs/>
          <w:sz w:val="32"/>
          <w:szCs w:val="32"/>
          <w:rtl/>
        </w:rPr>
        <w:t>وسا</w:t>
      </w:r>
      <w:r w:rsidR="007A6821">
        <w:rPr>
          <w:rFonts w:cs="Traditional Arabic" w:hint="cs"/>
          <w:b/>
          <w:bCs/>
          <w:sz w:val="32"/>
          <w:szCs w:val="32"/>
          <w:rtl/>
        </w:rPr>
        <w:t>ئ</w:t>
      </w:r>
      <w:r w:rsidR="006F7165">
        <w:rPr>
          <w:rFonts w:cs="Traditional Arabic" w:hint="cs"/>
          <w:b/>
          <w:bCs/>
          <w:sz w:val="32"/>
          <w:szCs w:val="32"/>
          <w:rtl/>
        </w:rPr>
        <w:t>ط</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يمكن ضبط أو تخفيض انبعاثات الزئبق من فئات المصادر المذكورة في المرفق دال باستخدام التقنيات الموصوفة في هذ</w:t>
      </w:r>
      <w:r w:rsidRPr="00335E4B">
        <w:rPr>
          <w:rFonts w:cs="Traditional Arabic" w:hint="cs"/>
          <w:sz w:val="20"/>
          <w:szCs w:val="30"/>
          <w:rtl/>
          <w:lang w:bidi="ar-EG"/>
        </w:rPr>
        <w:t>ه</w:t>
      </w:r>
      <w:r w:rsidRPr="00335E4B">
        <w:rPr>
          <w:rFonts w:cs="Traditional Arabic"/>
          <w:sz w:val="20"/>
          <w:szCs w:val="30"/>
          <w:rtl/>
          <w:lang w:bidi="ar-EG"/>
        </w:rPr>
        <w:t xml:space="preserve"> التوجيه</w:t>
      </w:r>
      <w:r w:rsidRPr="00335E4B">
        <w:rPr>
          <w:rFonts w:cs="Traditional Arabic" w:hint="cs"/>
          <w:sz w:val="20"/>
          <w:szCs w:val="30"/>
          <w:rtl/>
          <w:lang w:bidi="ar-EG"/>
        </w:rPr>
        <w:t>ات</w:t>
      </w:r>
      <w:r w:rsidRPr="00335E4B">
        <w:rPr>
          <w:rFonts w:cs="Traditional Arabic"/>
          <w:sz w:val="20"/>
          <w:szCs w:val="30"/>
          <w:rtl/>
          <w:lang w:bidi="ar-EG"/>
        </w:rPr>
        <w:t xml:space="preserve">. وترد في الفصول المعنية المعلومات المتعلقة بالتأثيرات فيما بين الوسائط في صدد كل فئة من فئات المصادر. أما فيما يتعلق بالزئبق الذي يتم إزالته من غازات المداخن فيظهر في مكان آخر - وذلك مثلاً في المراحل الصلبة مثل الرماد المتطاير أو رماد القاع أو المراحل السائلة أو المراحل المختلطة بين الصلب والسائل مثل الحمأة. ونظراً لأن الزئبق يتركز بدرجة أكبر في هذه المواد عنه في المواد المدخلة، لذا ينبغي الاهتمام بتجنب إمكانية إطلاق الزئبق من خلال النض أو عمليات النقل بين الوسائط وغير ذلك من المكونات موضع القلق </w:t>
      </w:r>
      <w:r w:rsidRPr="00335E4B">
        <w:rPr>
          <w:rFonts w:cs="Traditional Arabic" w:hint="cs"/>
          <w:sz w:val="20"/>
          <w:szCs w:val="30"/>
          <w:rtl/>
          <w:lang w:bidi="ar-EG"/>
        </w:rPr>
        <w:t>والناتجة عن</w:t>
      </w:r>
      <w:r w:rsidRPr="00335E4B">
        <w:rPr>
          <w:rFonts w:cs="Traditional Arabic"/>
          <w:sz w:val="20"/>
          <w:szCs w:val="30"/>
          <w:rtl/>
          <w:lang w:bidi="ar-EG"/>
        </w:rPr>
        <w:t xml:space="preserve"> التخلص من هذه الترسيبات، أو </w:t>
      </w:r>
      <w:r w:rsidRPr="00335E4B">
        <w:rPr>
          <w:rFonts w:cs="Traditional Arabic" w:hint="cs"/>
          <w:sz w:val="20"/>
          <w:szCs w:val="30"/>
          <w:rtl/>
          <w:lang w:bidi="ar-EG"/>
        </w:rPr>
        <w:t>ع</w:t>
      </w:r>
      <w:r w:rsidRPr="00335E4B">
        <w:rPr>
          <w:rFonts w:cs="Traditional Arabic"/>
          <w:sz w:val="20"/>
          <w:szCs w:val="30"/>
          <w:rtl/>
          <w:lang w:bidi="ar-EG"/>
        </w:rPr>
        <w:t>ن استخدامها كعناصر مكوِّنة في عمليات أخرى. وينبغي أن يضع المنظمون هذه العوامل في الاعتبار عند تعريف أفضل التقنيات المتاحة/أفضل الممارسات البيئية. ويمكن أن تكون بعض المواد الأخرى ذات أهمية في شأن نفايات الزئبق، وخاصة المادة 11</w:t>
      </w:r>
      <w:r w:rsidRPr="00335E4B">
        <w:rPr>
          <w:rFonts w:cs="Traditional Arabic" w:hint="cs"/>
          <w:sz w:val="20"/>
          <w:szCs w:val="30"/>
          <w:rtl/>
          <w:lang w:bidi="ar-EG"/>
        </w:rPr>
        <w:t>.</w:t>
      </w:r>
    </w:p>
    <w:p w:rsidR="00335E4B" w:rsidRPr="00335E4B" w:rsidRDefault="00194C2F" w:rsidP="00335E4B">
      <w:pPr>
        <w:keepNext/>
        <w:tabs>
          <w:tab w:val="left" w:pos="849"/>
        </w:tabs>
        <w:spacing w:after="120" w:line="400" w:lineRule="exact"/>
        <w:jc w:val="both"/>
        <w:outlineLvl w:val="0"/>
        <w:rPr>
          <w:rFonts w:cs="Traditional Arabic"/>
          <w:b/>
          <w:bCs/>
          <w:sz w:val="32"/>
          <w:szCs w:val="32"/>
          <w:rtl/>
        </w:rPr>
      </w:pPr>
      <w:bookmarkStart w:id="144" w:name="_Toc440456827"/>
      <w:bookmarkStart w:id="145" w:name="_Toc440526892"/>
      <w:bookmarkStart w:id="146" w:name="_Toc440527744"/>
      <w:bookmarkStart w:id="147" w:name="_Toc440550447"/>
      <w:bookmarkStart w:id="148" w:name="_Toc441577687"/>
      <w:bookmarkStart w:id="149" w:name="_Toc441577866"/>
      <w:bookmarkStart w:id="150" w:name="_Toc441579092"/>
      <w:bookmarkStart w:id="151" w:name="_Toc441580700"/>
      <w:bookmarkStart w:id="152" w:name="_Toc441586167"/>
      <w:bookmarkStart w:id="153" w:name="_Toc441586617"/>
      <w:bookmarkStart w:id="154" w:name="_Toc441586796"/>
      <w:bookmarkStart w:id="155" w:name="_Toc441666645"/>
      <w:bookmarkStart w:id="156" w:name="_Toc441673706"/>
      <w:r>
        <w:rPr>
          <w:rFonts w:cs="Traditional Arabic" w:hint="cs"/>
          <w:b/>
          <w:bCs/>
          <w:sz w:val="32"/>
          <w:szCs w:val="32"/>
          <w:rtl/>
        </w:rPr>
        <w:t>1-11</w:t>
      </w:r>
      <w:r>
        <w:rPr>
          <w:rFonts w:cs="Traditional Arabic" w:hint="cs"/>
          <w:b/>
          <w:bCs/>
          <w:sz w:val="32"/>
          <w:szCs w:val="32"/>
          <w:rtl/>
        </w:rPr>
        <w:tab/>
      </w:r>
      <w:r w:rsidR="00335E4B" w:rsidRPr="00335E4B">
        <w:rPr>
          <w:rFonts w:cs="Traditional Arabic"/>
          <w:b/>
          <w:bCs/>
          <w:sz w:val="32"/>
          <w:szCs w:val="32"/>
          <w:rtl/>
        </w:rPr>
        <w:t>تقنيات ضبط الملوثات المتعددة</w:t>
      </w:r>
      <w:bookmarkEnd w:id="144"/>
      <w:bookmarkEnd w:id="145"/>
      <w:bookmarkEnd w:id="146"/>
      <w:bookmarkEnd w:id="147"/>
      <w:bookmarkEnd w:id="148"/>
      <w:bookmarkEnd w:id="149"/>
      <w:bookmarkEnd w:id="150"/>
      <w:bookmarkEnd w:id="151"/>
      <w:bookmarkEnd w:id="152"/>
      <w:bookmarkEnd w:id="153"/>
      <w:bookmarkEnd w:id="154"/>
      <w:bookmarkEnd w:id="155"/>
      <w:bookmarkEnd w:id="156"/>
    </w:p>
    <w:p w:rsidR="00335E4B" w:rsidRPr="00335E4B" w:rsidRDefault="00335E4B" w:rsidP="006F7165">
      <w:pPr>
        <w:spacing w:after="120" w:line="400" w:lineRule="exact"/>
        <w:jc w:val="both"/>
        <w:rPr>
          <w:rFonts w:cs="Traditional Arabic"/>
          <w:sz w:val="20"/>
          <w:szCs w:val="30"/>
          <w:rtl/>
          <w:lang w:bidi="ar-EG"/>
        </w:rPr>
      </w:pPr>
      <w:r w:rsidRPr="00335E4B">
        <w:rPr>
          <w:rFonts w:cs="Traditional Arabic"/>
          <w:sz w:val="20"/>
          <w:szCs w:val="30"/>
          <w:rtl/>
          <w:lang w:bidi="ar-EG"/>
        </w:rPr>
        <w:t xml:space="preserve">توجد تقنيات يمكن استخدامها لضبط انبعاثات مجموعة من الملوثات مثل الجسيمات الدقيقة والملوثات العضوية وثاني أكسيد النيتروجين وثاني أكسيد الكبريت والمعادن الثقيلة، بما فيها الزئبق. وينبغي النظر </w:t>
      </w:r>
      <w:r w:rsidRPr="00335E4B">
        <w:rPr>
          <w:rFonts w:cs="Traditional Arabic" w:hint="cs"/>
          <w:sz w:val="20"/>
          <w:szCs w:val="30"/>
          <w:rtl/>
          <w:lang w:bidi="ar-EG"/>
        </w:rPr>
        <w:t>في</w:t>
      </w:r>
      <w:r w:rsidRPr="00335E4B">
        <w:rPr>
          <w:rFonts w:cs="Traditional Arabic"/>
          <w:sz w:val="20"/>
          <w:szCs w:val="30"/>
          <w:rtl/>
          <w:lang w:bidi="ar-EG"/>
        </w:rPr>
        <w:t xml:space="preserve"> مزايا استخدام التقنيات التي يمكن بها ضبط عدة ملوثات في وقت واحد من أجل الحصول على فوائد مشتركة مع ضبط الزئبق. وفي تقييم هذه التقنيات ينبغي أيضاً النظر في عوامل مثل كفاءة ضبط الزئبق وضبط الملوثات الأخرى وأي عواقب معاكسة محتملة، مثل تقليل الكفاءة في إطار النظام الشامل للتأثيرات الشاملة لعدة </w:t>
      </w:r>
      <w:r w:rsidR="006F7165">
        <w:rPr>
          <w:rFonts w:cs="Traditional Arabic" w:hint="cs"/>
          <w:sz w:val="20"/>
          <w:szCs w:val="30"/>
          <w:rtl/>
          <w:lang w:bidi="ar-EG"/>
        </w:rPr>
        <w:t>أوساط</w:t>
      </w:r>
      <w:r w:rsidRPr="00335E4B">
        <w:rPr>
          <w:rFonts w:cs="Traditional Arabic"/>
          <w:sz w:val="20"/>
          <w:szCs w:val="30"/>
          <w:rtl/>
          <w:lang w:bidi="ar-EG"/>
        </w:rPr>
        <w:t>.</w:t>
      </w:r>
    </w:p>
    <w:p w:rsidR="00335E4B" w:rsidRPr="00335E4B" w:rsidRDefault="00335E4B" w:rsidP="00335E4B">
      <w:pPr>
        <w:spacing w:after="120" w:line="400" w:lineRule="exact"/>
        <w:jc w:val="both"/>
        <w:rPr>
          <w:rFonts w:cs="Traditional Arabic"/>
          <w:sz w:val="20"/>
          <w:szCs w:val="30"/>
          <w:lang w:bidi="ar-EG"/>
        </w:rPr>
      </w:pPr>
      <w:r w:rsidRPr="00335E4B">
        <w:rPr>
          <w:rFonts w:cs="Traditional Arabic"/>
          <w:sz w:val="20"/>
          <w:szCs w:val="30"/>
          <w:rtl/>
          <w:lang w:bidi="ar-EG"/>
        </w:rPr>
        <w:t>وتتضمن الفقرة 5 من المادة 8 استخدام استراتيجية لضبط الملوثات المتعددة يمكن أن توفِّر منافع مشتركة لضبط انبعاثات الزئبق باعتبارها خياراً لإدارة الانبعاثات من المصادر القائمة.</w:t>
      </w:r>
    </w:p>
    <w:p w:rsidR="00335E4B" w:rsidRPr="00A906F3" w:rsidRDefault="00335E4B" w:rsidP="00525770">
      <w:pPr>
        <w:keepNext/>
        <w:spacing w:after="120" w:line="400" w:lineRule="exact"/>
        <w:ind w:left="849" w:hanging="849"/>
        <w:jc w:val="both"/>
        <w:outlineLvl w:val="0"/>
        <w:rPr>
          <w:rFonts w:cs="Traditional Arabic"/>
          <w:b/>
          <w:bCs/>
          <w:sz w:val="30"/>
          <w:szCs w:val="30"/>
          <w:rtl/>
        </w:rPr>
      </w:pPr>
      <w:r w:rsidRPr="00A906F3">
        <w:rPr>
          <w:rFonts w:cs="Traditional Arabic"/>
          <w:b/>
          <w:bCs/>
          <w:sz w:val="20"/>
          <w:szCs w:val="30"/>
          <w:lang w:bidi="ar-EG"/>
        </w:rPr>
        <w:br w:type="page"/>
      </w:r>
      <w:bookmarkStart w:id="157" w:name="_Toc440456828"/>
      <w:bookmarkStart w:id="158" w:name="_Toc440526893"/>
      <w:bookmarkStart w:id="159" w:name="_Toc440527745"/>
      <w:bookmarkStart w:id="160" w:name="_Toc441577688"/>
      <w:bookmarkStart w:id="161" w:name="_Toc441577867"/>
      <w:bookmarkStart w:id="162" w:name="_Toc441579093"/>
      <w:bookmarkStart w:id="163" w:name="_Toc441580701"/>
      <w:bookmarkStart w:id="164" w:name="_Toc441586168"/>
      <w:bookmarkStart w:id="165" w:name="_Toc441586618"/>
      <w:bookmarkStart w:id="166" w:name="_Toc441586797"/>
      <w:bookmarkStart w:id="167" w:name="_Toc441666646"/>
      <w:bookmarkStart w:id="168" w:name="_Toc441673707"/>
      <w:r w:rsidR="00194C2F">
        <w:rPr>
          <w:rFonts w:cs="Traditional Arabic" w:hint="cs"/>
          <w:b/>
          <w:bCs/>
          <w:sz w:val="20"/>
          <w:szCs w:val="30"/>
          <w:rtl/>
          <w:lang w:bidi="ar-EG"/>
        </w:rPr>
        <w:t>1-12</w:t>
      </w:r>
      <w:r w:rsidR="00194C2F">
        <w:rPr>
          <w:rFonts w:cs="Traditional Arabic" w:hint="cs"/>
          <w:b/>
          <w:bCs/>
          <w:sz w:val="20"/>
          <w:szCs w:val="30"/>
          <w:rtl/>
          <w:lang w:bidi="ar-EG"/>
        </w:rPr>
        <w:tab/>
      </w:r>
      <w:r w:rsidRPr="00A906F3">
        <w:rPr>
          <w:rFonts w:cs="Traditional Arabic"/>
          <w:b/>
          <w:bCs/>
          <w:sz w:val="30"/>
          <w:szCs w:val="30"/>
          <w:rtl/>
        </w:rPr>
        <w:t>الاتفاقات الدولية الأخرى</w:t>
      </w:r>
      <w:bookmarkEnd w:id="157"/>
      <w:bookmarkEnd w:id="158"/>
      <w:bookmarkEnd w:id="159"/>
      <w:bookmarkEnd w:id="160"/>
      <w:bookmarkEnd w:id="161"/>
      <w:bookmarkEnd w:id="162"/>
      <w:bookmarkEnd w:id="163"/>
      <w:bookmarkEnd w:id="164"/>
      <w:bookmarkEnd w:id="165"/>
      <w:bookmarkEnd w:id="166"/>
      <w:bookmarkEnd w:id="167"/>
      <w:bookmarkEnd w:id="168"/>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قد تكون الأطراف في الاتفاقية أطرافاً أيضاً في اتفاقات بيئية أخرى عالمية أو إقليمية متعددة الأطراف ذات صلة وقد يتعيَّن وضع هذه الاتفاقات الأخرى في الاعتبار إلى جانب اتفاقية ميناماتا. وعلى سبيل المثال، تغطي أحكام اتفاقية استكهولم المتعلقة بالملوثات العضوية الثابتة كثيراً من نفس فئات المصادر الواردة في المرفق دال لاتفاقية ميناماتا، ولذلك سيتعيَّن على البلدان الأطراف في الاتفاقيتين أن تأخذ أيضاً في الاعتبار أي أحكام ذات صلة من تلك الاتفاقية</w:t>
      </w:r>
      <w:r w:rsidRPr="00335E4B">
        <w:rPr>
          <w:rFonts w:cs="Traditional Arabic"/>
          <w:sz w:val="20"/>
          <w:szCs w:val="30"/>
          <w:vertAlign w:val="superscript"/>
          <w:rtl/>
          <w:lang w:bidi="ar-EG"/>
        </w:rPr>
        <w:t>(</w:t>
      </w:r>
      <w:r w:rsidRPr="00335E4B">
        <w:rPr>
          <w:rFonts w:cs="Traditional Arabic"/>
          <w:sz w:val="20"/>
          <w:szCs w:val="30"/>
          <w:vertAlign w:val="superscript"/>
          <w:rtl/>
          <w:lang w:bidi="ar-EG"/>
        </w:rPr>
        <w:footnoteReference w:id="9"/>
      </w:r>
      <w:r w:rsidRPr="00335E4B">
        <w:rPr>
          <w:rFonts w:cs="Traditional Arabic"/>
          <w:sz w:val="20"/>
          <w:szCs w:val="30"/>
          <w:vertAlign w:val="superscript"/>
          <w:rtl/>
          <w:lang w:bidi="ar-EG"/>
        </w:rPr>
        <w:t>)</w:t>
      </w:r>
      <w:r w:rsidRPr="00335E4B">
        <w:rPr>
          <w:rFonts w:cs="Traditional Arabic"/>
          <w:sz w:val="20"/>
          <w:szCs w:val="30"/>
          <w:rtl/>
          <w:lang w:bidi="ar-EG"/>
        </w:rPr>
        <w:t>.</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وهناك اتفاقان يتصلان بهذا الموضوع وقد تكون بعض أطراف اتفاقية ميناماتا أطرافاً فيهما أيضاً وهما اتفاقية بازل المتعلقة بالتحكم في نقل النفايات الخطرة والتخلص منها عبر الحدود واتفاقية التلوث الجوي البعيد المدى عبر الحدود، التي اعتُمدت في إطار لجنة الأمم المتحدة الاقتصادية لأوروبا.</w:t>
      </w:r>
    </w:p>
    <w:p w:rsidR="00335E4B" w:rsidRPr="00335E4B" w:rsidRDefault="00194C2F" w:rsidP="00335E4B">
      <w:pPr>
        <w:keepNext/>
        <w:tabs>
          <w:tab w:val="left" w:pos="1132"/>
        </w:tabs>
        <w:spacing w:after="120" w:line="400" w:lineRule="exact"/>
        <w:jc w:val="both"/>
        <w:outlineLvl w:val="0"/>
        <w:rPr>
          <w:rFonts w:cs="Traditional Arabic"/>
          <w:b/>
          <w:bCs/>
          <w:sz w:val="32"/>
          <w:szCs w:val="32"/>
          <w:rtl/>
        </w:rPr>
      </w:pPr>
      <w:bookmarkStart w:id="169" w:name="_Toc440456829"/>
      <w:bookmarkStart w:id="170" w:name="_Toc440526894"/>
      <w:bookmarkStart w:id="171" w:name="_Toc440527746"/>
      <w:bookmarkStart w:id="172" w:name="_Toc440550448"/>
      <w:bookmarkStart w:id="173" w:name="_Toc441577689"/>
      <w:bookmarkStart w:id="174" w:name="_Toc441577868"/>
      <w:bookmarkStart w:id="175" w:name="_Toc441579094"/>
      <w:bookmarkStart w:id="176" w:name="_Toc441580702"/>
      <w:bookmarkStart w:id="177" w:name="_Toc441586169"/>
      <w:bookmarkStart w:id="178" w:name="_Toc441586619"/>
      <w:bookmarkStart w:id="179" w:name="_Toc441586798"/>
      <w:bookmarkStart w:id="180" w:name="_Toc441666647"/>
      <w:bookmarkStart w:id="181" w:name="_Toc441673708"/>
      <w:r>
        <w:rPr>
          <w:rFonts w:cs="Traditional Arabic" w:hint="cs"/>
          <w:b/>
          <w:bCs/>
          <w:sz w:val="32"/>
          <w:szCs w:val="32"/>
          <w:rtl/>
        </w:rPr>
        <w:t>1-12-1</w:t>
      </w:r>
      <w:r>
        <w:rPr>
          <w:rFonts w:cs="Traditional Arabic" w:hint="cs"/>
          <w:b/>
          <w:bCs/>
          <w:sz w:val="32"/>
          <w:szCs w:val="32"/>
          <w:rtl/>
        </w:rPr>
        <w:tab/>
      </w:r>
      <w:r w:rsidR="00335E4B" w:rsidRPr="00335E4B">
        <w:rPr>
          <w:rFonts w:cs="Traditional Arabic"/>
          <w:b/>
          <w:bCs/>
          <w:sz w:val="32"/>
          <w:szCs w:val="32"/>
          <w:rtl/>
        </w:rPr>
        <w:t>اتفاقية بازل بشأن التحكم في نقل النفايات الخطرة والتخلص منها عبر الحدود</w:t>
      </w:r>
      <w:bookmarkEnd w:id="169"/>
      <w:bookmarkEnd w:id="170"/>
      <w:bookmarkEnd w:id="171"/>
      <w:bookmarkEnd w:id="172"/>
      <w:bookmarkEnd w:id="173"/>
      <w:bookmarkEnd w:id="174"/>
      <w:bookmarkEnd w:id="175"/>
      <w:bookmarkEnd w:id="176"/>
      <w:bookmarkEnd w:id="177"/>
      <w:bookmarkEnd w:id="178"/>
      <w:bookmarkEnd w:id="179"/>
      <w:bookmarkEnd w:id="180"/>
      <w:bookmarkEnd w:id="181"/>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تهدف اتفاقية بازل إلى حماية صحة الإنسان والبيئة من الآثار الضارة الناجمة عن توليد وإدارة ونقل النفايات الخطرة وغيرها من النفايات والتخلص منها عبر الحدود.</w:t>
      </w:r>
    </w:p>
    <w:p w:rsidR="00335E4B" w:rsidRPr="00335E4B" w:rsidRDefault="00335E4B" w:rsidP="006F7165">
      <w:pPr>
        <w:spacing w:after="120" w:line="400" w:lineRule="exact"/>
        <w:jc w:val="both"/>
        <w:rPr>
          <w:rFonts w:cs="Traditional Arabic"/>
          <w:sz w:val="20"/>
          <w:szCs w:val="30"/>
          <w:rtl/>
        </w:rPr>
      </w:pPr>
      <w:r w:rsidRPr="00335E4B">
        <w:rPr>
          <w:rFonts w:cs="Traditional Arabic"/>
          <w:sz w:val="20"/>
          <w:szCs w:val="30"/>
          <w:rtl/>
        </w:rPr>
        <w:t xml:space="preserve">ويمكن أن يولِّد تنفيذ تدابير ضبط وتقليل انبعاثات الزئبق نفايات قد تتسم بالخطورة. ومعالجة هذه النفايات </w:t>
      </w:r>
      <w:r w:rsidRPr="00335E4B">
        <w:rPr>
          <w:rFonts w:cs="Traditional Arabic" w:hint="cs"/>
          <w:sz w:val="20"/>
          <w:szCs w:val="30"/>
          <w:rtl/>
        </w:rPr>
        <w:t>ت</w:t>
      </w:r>
      <w:r w:rsidRPr="00335E4B">
        <w:rPr>
          <w:rFonts w:cs="Traditional Arabic"/>
          <w:sz w:val="20"/>
          <w:szCs w:val="30"/>
          <w:rtl/>
        </w:rPr>
        <w:t>ندرج في نطاق الفقرة 3 من المادة 11 من اتفاقية ميناماتا التي تقتضي من الأطراف إدارة نفايات الزئبق بطريقة سليمة بيئياً، على أن تؤخذ في الاعتبار الالتزامات والمبادئ التوجيهية الموضوعة بموجب اتفاقية بازل، وتقتضي من أطراف اتفاقية بازل عدم نقل نفايات الزئبق عبر الحدود الدولية إلاّ لغرض التخلص السليم بيئياً منها طبقاً لتلك المادة ولاتفاقية بازل. وتتصل المبادئ التوجيهية التقنية</w:t>
      </w:r>
      <w:r w:rsidRPr="00335E4B">
        <w:rPr>
          <w:rFonts w:cs="Traditional Arabic" w:hint="cs"/>
          <w:sz w:val="20"/>
          <w:szCs w:val="30"/>
          <w:rtl/>
        </w:rPr>
        <w:t>،</w:t>
      </w:r>
      <w:r w:rsidRPr="00335E4B">
        <w:rPr>
          <w:rFonts w:cs="Traditional Arabic"/>
          <w:sz w:val="20"/>
          <w:szCs w:val="30"/>
          <w:rtl/>
        </w:rPr>
        <w:t xml:space="preserve"> التي وضعت بموجب اتفاقية بازل بشأن إدارة النفايات</w:t>
      </w:r>
      <w:r w:rsidRPr="00335E4B">
        <w:rPr>
          <w:rFonts w:cs="Traditional Arabic" w:hint="cs"/>
          <w:sz w:val="20"/>
          <w:szCs w:val="30"/>
          <w:rtl/>
        </w:rPr>
        <w:t>،</w:t>
      </w:r>
      <w:r w:rsidRPr="00335E4B">
        <w:rPr>
          <w:rFonts w:cs="Traditional Arabic"/>
          <w:sz w:val="20"/>
          <w:szCs w:val="30"/>
          <w:rtl/>
        </w:rPr>
        <w:t xml:space="preserve"> بإدارة الحمأة وغير ذلك من النفايات الناجمة عن التقاط الزئبق من المصادر ذات الصلة، ويمكن أن تكون ذات قيمة كبيرة في التقليل من الآثار الشاملة لعدة </w:t>
      </w:r>
      <w:r w:rsidR="006F7165" w:rsidRPr="006F7165">
        <w:rPr>
          <w:rFonts w:cs="Traditional Arabic"/>
          <w:sz w:val="20"/>
          <w:szCs w:val="30"/>
          <w:rtl/>
        </w:rPr>
        <w:t xml:space="preserve">أوساط </w:t>
      </w:r>
      <w:r w:rsidRPr="00335E4B">
        <w:rPr>
          <w:rFonts w:cs="Traditional Arabic"/>
          <w:sz w:val="20"/>
          <w:szCs w:val="30"/>
          <w:rtl/>
        </w:rPr>
        <w:t>التي قد تنجم عن سوء إدارة هذه النفايات</w:t>
      </w:r>
      <w:r w:rsidRPr="00335E4B">
        <w:rPr>
          <w:rFonts w:cs="Traditional Arabic"/>
          <w:sz w:val="20"/>
          <w:szCs w:val="30"/>
          <w:vertAlign w:val="superscript"/>
          <w:rtl/>
        </w:rPr>
        <w:t>(</w:t>
      </w:r>
      <w:r w:rsidRPr="00335E4B">
        <w:rPr>
          <w:rFonts w:cs="Traditional Arabic"/>
          <w:sz w:val="20"/>
          <w:szCs w:val="30"/>
          <w:vertAlign w:val="superscript"/>
          <w:rtl/>
        </w:rPr>
        <w:footnoteReference w:id="10"/>
      </w:r>
      <w:r w:rsidRPr="00335E4B">
        <w:rPr>
          <w:rFonts w:cs="Traditional Arabic"/>
          <w:sz w:val="20"/>
          <w:szCs w:val="30"/>
          <w:vertAlign w:val="superscript"/>
          <w:rtl/>
        </w:rPr>
        <w:t>)</w:t>
      </w:r>
      <w:r w:rsidRPr="00335E4B">
        <w:rPr>
          <w:rFonts w:cs="Traditional Arabic"/>
          <w:sz w:val="20"/>
          <w:szCs w:val="30"/>
          <w:rtl/>
        </w:rPr>
        <w:t>.</w:t>
      </w:r>
    </w:p>
    <w:p w:rsidR="00335E4B" w:rsidRPr="00335E4B" w:rsidRDefault="00194C2F" w:rsidP="00335E4B">
      <w:pPr>
        <w:keepNext/>
        <w:tabs>
          <w:tab w:val="left" w:pos="1132"/>
        </w:tabs>
        <w:spacing w:after="120" w:line="400" w:lineRule="exact"/>
        <w:jc w:val="both"/>
        <w:outlineLvl w:val="0"/>
        <w:rPr>
          <w:rFonts w:cs="Traditional Arabic"/>
          <w:b/>
          <w:bCs/>
          <w:sz w:val="32"/>
          <w:szCs w:val="32"/>
          <w:rtl/>
        </w:rPr>
      </w:pPr>
      <w:bookmarkStart w:id="182" w:name="_Toc440456830"/>
      <w:bookmarkStart w:id="183" w:name="_Toc440526895"/>
      <w:bookmarkStart w:id="184" w:name="_Toc440527747"/>
      <w:bookmarkStart w:id="185" w:name="_Toc440550449"/>
      <w:bookmarkStart w:id="186" w:name="_Toc441577690"/>
      <w:bookmarkStart w:id="187" w:name="_Toc441577869"/>
      <w:bookmarkStart w:id="188" w:name="_Toc441579095"/>
      <w:bookmarkStart w:id="189" w:name="_Toc441580703"/>
      <w:bookmarkStart w:id="190" w:name="_Toc441586170"/>
      <w:bookmarkStart w:id="191" w:name="_Toc441586620"/>
      <w:bookmarkStart w:id="192" w:name="_Toc441586799"/>
      <w:bookmarkStart w:id="193" w:name="_Toc441666648"/>
      <w:bookmarkStart w:id="194" w:name="_Toc441673709"/>
      <w:r>
        <w:rPr>
          <w:rFonts w:cs="Traditional Arabic" w:hint="cs"/>
          <w:b/>
          <w:bCs/>
          <w:sz w:val="32"/>
          <w:szCs w:val="32"/>
          <w:rtl/>
        </w:rPr>
        <w:t>1-12-2</w:t>
      </w:r>
      <w:r>
        <w:rPr>
          <w:rFonts w:cs="Traditional Arabic" w:hint="cs"/>
          <w:b/>
          <w:bCs/>
          <w:sz w:val="32"/>
          <w:szCs w:val="32"/>
          <w:rtl/>
        </w:rPr>
        <w:tab/>
      </w:r>
      <w:r w:rsidR="00335E4B" w:rsidRPr="00335E4B">
        <w:rPr>
          <w:rFonts w:cs="Traditional Arabic"/>
          <w:b/>
          <w:bCs/>
          <w:sz w:val="32"/>
          <w:szCs w:val="32"/>
          <w:rtl/>
        </w:rPr>
        <w:t>اتفاقية التلوث الجوي البعيد المدى العابر للحدود</w:t>
      </w:r>
      <w:bookmarkEnd w:id="182"/>
      <w:bookmarkEnd w:id="183"/>
      <w:bookmarkEnd w:id="184"/>
      <w:bookmarkEnd w:id="185"/>
      <w:bookmarkEnd w:id="186"/>
      <w:bookmarkEnd w:id="187"/>
      <w:bookmarkEnd w:id="188"/>
      <w:bookmarkEnd w:id="189"/>
      <w:bookmarkEnd w:id="190"/>
      <w:bookmarkEnd w:id="191"/>
      <w:bookmarkEnd w:id="192"/>
      <w:bookmarkEnd w:id="193"/>
      <w:bookmarkEnd w:id="194"/>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تهدف اتفاقية التلوث الجوي البعيد المدى العابر للحدود إلى الحد من تلوث الهواء وخفضه تدريجياً بقدر الإمكان ومنعه بما في ذلك التلوث بعيد المدى عبر الحدود الذي ينشأ عن مجموعة من الملوثات. وبموجب هذه الاتفاقية، تم اعتماد بروتوكول المعادن الثقيلة في عام 1998 في آرهاوس، الدانمرك، ودخل حيز النفاذ في عام 2003. ويستهدف هذا البروتوكول ثلاثة معادن: الكادميوم والرصاص والزئبق. وفئات المصادر الثابتة التي يغطيها البروتوكول تشمل المصادر ذات الصلة المذكورة في المرفق دال لاتفاقية ميناماتا.</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ويتمثل أحد الالتزامات الأساسية التي يضطلع بها الأطراف في بروتوكول المعادن الثقيلة في تخفيض انبعاثاتها من هذه المعادن الثلاثة إلى أدنى من مستوياتها في عام 1990 (أو أي سنة بديلة في الفترة بين عامي 1985 و1995). ويهدف البرتوكول إلى تقليل انبعاثات الكادميوم والرصاص والزئبق من المصادر الصناعية (صناعة الحديد والصلب وصناعة المعادن غير الحديدية وصناعة ا</w:t>
      </w:r>
      <w:r w:rsidRPr="00335E4B">
        <w:rPr>
          <w:rFonts w:cs="Traditional Arabic" w:hint="cs"/>
          <w:sz w:val="20"/>
          <w:szCs w:val="30"/>
          <w:rtl/>
        </w:rPr>
        <w:t>لا</w:t>
      </w:r>
      <w:r w:rsidRPr="00335E4B">
        <w:rPr>
          <w:rFonts w:cs="Traditional Arabic"/>
          <w:sz w:val="20"/>
          <w:szCs w:val="30"/>
          <w:rtl/>
        </w:rPr>
        <w:t xml:space="preserve">سمنت وصناعة الزجاج وصناعة الكلور والقلويات) وعمليات الاحتراق (توليد الطاقة والمراجل الصناعية) وترميد النفايات. ويفرض البروتوكول قيماً حدية صارمة لانبعاثات المصادر الثابتة ويشير بأفضل التقنيات المتاحة لهذه المصادر. وتم تعديل البروتوكول في عام 2012 لتطبيق أوجه مرونة من أجل تسهيل انضمام أطراف </w:t>
      </w:r>
      <w:r w:rsidRPr="00335E4B">
        <w:rPr>
          <w:rFonts w:cs="Traditional Arabic" w:hint="cs"/>
          <w:sz w:val="20"/>
          <w:szCs w:val="30"/>
          <w:rtl/>
        </w:rPr>
        <w:t>جديدة</w:t>
      </w:r>
      <w:r w:rsidRPr="00335E4B">
        <w:rPr>
          <w:rFonts w:cs="Traditional Arabic"/>
          <w:sz w:val="20"/>
          <w:szCs w:val="30"/>
          <w:rtl/>
        </w:rPr>
        <w:t>، وخاصة البلدان من أوروبا الشرقية والقوقاز ووسط آسيا. وفي عام 2012 تم أيضاً اعتماد وثيقة توجيه بشأن أفضل التقنيات المتاحة من أجل ضبط انبعاثات المعادن الثقيلة من فئات المصادر التي يغطيها البرتوكول.</w:t>
      </w:r>
    </w:p>
    <w:p w:rsidR="00335E4B" w:rsidRPr="00335E4B" w:rsidRDefault="00194C2F" w:rsidP="00335E4B">
      <w:pPr>
        <w:keepNext/>
        <w:tabs>
          <w:tab w:val="left" w:pos="849"/>
        </w:tabs>
        <w:spacing w:after="120" w:line="400" w:lineRule="exact"/>
        <w:jc w:val="both"/>
        <w:outlineLvl w:val="0"/>
        <w:rPr>
          <w:rFonts w:cs="Traditional Arabic"/>
          <w:b/>
          <w:bCs/>
          <w:sz w:val="32"/>
          <w:szCs w:val="32"/>
          <w:rtl/>
        </w:rPr>
      </w:pPr>
      <w:bookmarkStart w:id="195" w:name="_Toc440456831"/>
      <w:bookmarkStart w:id="196" w:name="_Toc440526896"/>
      <w:bookmarkStart w:id="197" w:name="_Toc440527748"/>
      <w:bookmarkStart w:id="198" w:name="_Toc440550450"/>
      <w:bookmarkStart w:id="199" w:name="_Toc441577691"/>
      <w:bookmarkStart w:id="200" w:name="_Toc441577870"/>
      <w:bookmarkStart w:id="201" w:name="_Toc441579096"/>
      <w:bookmarkStart w:id="202" w:name="_Toc441580704"/>
      <w:bookmarkStart w:id="203" w:name="_Toc441586171"/>
      <w:bookmarkStart w:id="204" w:name="_Toc441586621"/>
      <w:bookmarkStart w:id="205" w:name="_Toc441586800"/>
      <w:bookmarkStart w:id="206" w:name="_Toc441666649"/>
      <w:bookmarkStart w:id="207" w:name="_Toc441673710"/>
      <w:r>
        <w:rPr>
          <w:rFonts w:cs="Traditional Arabic" w:hint="cs"/>
          <w:b/>
          <w:bCs/>
          <w:sz w:val="32"/>
          <w:szCs w:val="32"/>
          <w:rtl/>
        </w:rPr>
        <w:t>1-13</w:t>
      </w:r>
      <w:r>
        <w:rPr>
          <w:rFonts w:cs="Traditional Arabic" w:hint="cs"/>
          <w:b/>
          <w:bCs/>
          <w:sz w:val="32"/>
          <w:szCs w:val="32"/>
          <w:rtl/>
        </w:rPr>
        <w:tab/>
      </w:r>
      <w:r w:rsidR="00335E4B" w:rsidRPr="00335E4B">
        <w:rPr>
          <w:rFonts w:cs="Traditional Arabic"/>
          <w:b/>
          <w:bCs/>
          <w:sz w:val="32"/>
          <w:szCs w:val="32"/>
          <w:rtl/>
        </w:rPr>
        <w:t>شراكة الزئبق العالمية التابعة لبرنامج الأمم المتحدة للبيئة</w:t>
      </w:r>
      <w:bookmarkEnd w:id="195"/>
      <w:bookmarkEnd w:id="196"/>
      <w:bookmarkEnd w:id="197"/>
      <w:bookmarkEnd w:id="198"/>
      <w:bookmarkEnd w:id="199"/>
      <w:bookmarkEnd w:id="200"/>
      <w:bookmarkEnd w:id="201"/>
      <w:bookmarkEnd w:id="202"/>
      <w:bookmarkEnd w:id="203"/>
      <w:bookmarkEnd w:id="204"/>
      <w:bookmarkEnd w:id="205"/>
      <w:bookmarkEnd w:id="206"/>
      <w:bookmarkEnd w:id="207"/>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دعا مجلس إدارة برنامج البيئة إلى إقامة شراكات بين الحكومات وأصحاب المصلحة الآخرين كوسيلة للحد من المخاطر التي تتعرض لها صحة البشر والبيئة نتيجة لإطلاقات الزئبق في البيئة</w:t>
      </w:r>
      <w:r w:rsidRPr="00335E4B">
        <w:rPr>
          <w:rFonts w:cs="Traditional Arabic"/>
          <w:sz w:val="20"/>
          <w:szCs w:val="30"/>
          <w:vertAlign w:val="superscript"/>
          <w:rtl/>
        </w:rPr>
        <w:t>(</w:t>
      </w:r>
      <w:r w:rsidRPr="00335E4B">
        <w:rPr>
          <w:rFonts w:cs="Traditional Arabic"/>
          <w:sz w:val="20"/>
          <w:szCs w:val="30"/>
          <w:vertAlign w:val="superscript"/>
          <w:rtl/>
        </w:rPr>
        <w:footnoteReference w:id="11"/>
      </w:r>
      <w:r w:rsidRPr="00335E4B">
        <w:rPr>
          <w:rFonts w:cs="Traditional Arabic"/>
          <w:sz w:val="20"/>
          <w:szCs w:val="30"/>
          <w:vertAlign w:val="superscript"/>
          <w:rtl/>
        </w:rPr>
        <w:t>)</w:t>
      </w:r>
      <w:r w:rsidRPr="00335E4B">
        <w:rPr>
          <w:rFonts w:cs="Traditional Arabic"/>
          <w:sz w:val="20"/>
          <w:szCs w:val="30"/>
          <w:rtl/>
        </w:rPr>
        <w:t>. والهدف الشامل لشراكة الزئبق العالمية التي نشأت عن ذلك هو حماية صحة البشر والبيئة العالمية من انبعاثات الزئبق ومركباته من خلال الحد من الانبعاثات العالمية من الزئبق الناجم عن استخدامات بشرية في الهواء والمياه والأراضي، والقضاء بصورة نهائية على هذه الانبعاثات حيثما يكون ذلك ممكناً.</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وتندرج في هذه الشراكة في الوقت الحاضر ثماني أولويات محدَّدة للعمل (أو مجالات شراكة)، منها أربع أولويات تتصل بصورة خاصة بهذ</w:t>
      </w:r>
      <w:r w:rsidRPr="00335E4B">
        <w:rPr>
          <w:rFonts w:cs="Traditional Arabic" w:hint="cs"/>
          <w:sz w:val="20"/>
          <w:szCs w:val="30"/>
          <w:rtl/>
        </w:rPr>
        <w:t>ه</w:t>
      </w:r>
      <w:r w:rsidRPr="00335E4B">
        <w:rPr>
          <w:rFonts w:cs="Traditional Arabic"/>
          <w:sz w:val="20"/>
          <w:szCs w:val="30"/>
          <w:rtl/>
        </w:rPr>
        <w:t xml:space="preserve"> التوجيه</w:t>
      </w:r>
      <w:r w:rsidRPr="00335E4B">
        <w:rPr>
          <w:rFonts w:cs="Traditional Arabic" w:hint="cs"/>
          <w:sz w:val="20"/>
          <w:szCs w:val="30"/>
          <w:rtl/>
        </w:rPr>
        <w:t>ات</w:t>
      </w:r>
      <w:r w:rsidRPr="00335E4B">
        <w:rPr>
          <w:rFonts w:cs="Traditional Arabic"/>
          <w:sz w:val="20"/>
          <w:szCs w:val="30"/>
          <w:rtl/>
        </w:rPr>
        <w:t>: أي ضبط الزئبق الناتج عن حرق الفحم؛ وإدارة نفايات الزئبق؛ وإمدادات وتخزين الزئبق؛ وتخفيض الزئبق الناشئ عن صناعة ا</w:t>
      </w:r>
      <w:r w:rsidRPr="00335E4B">
        <w:rPr>
          <w:rFonts w:cs="Traditional Arabic" w:hint="cs"/>
          <w:sz w:val="20"/>
          <w:szCs w:val="30"/>
          <w:rtl/>
        </w:rPr>
        <w:t>لا</w:t>
      </w:r>
      <w:r w:rsidRPr="00335E4B">
        <w:rPr>
          <w:rFonts w:cs="Traditional Arabic"/>
          <w:sz w:val="20"/>
          <w:szCs w:val="30"/>
          <w:rtl/>
        </w:rPr>
        <w:t>سمنت.</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وقد تم النظر في الخبرات المكتسبة داخل هذه المجالات في إطار الشراكة، إلى جانب التوجيه المتصل الذي وضع في إطار الشراكة، عند النظر في صياغة هذه المبادئ التوجيهية المتعلقة بأفضل التقنيات المتاحة/أفضل الممارسات البيئية.</w:t>
      </w:r>
    </w:p>
    <w:p w:rsidR="00335E4B" w:rsidRPr="00335E4B" w:rsidRDefault="00335E4B" w:rsidP="00A906F3">
      <w:pPr>
        <w:spacing w:line="400" w:lineRule="exact"/>
        <w:jc w:val="both"/>
        <w:rPr>
          <w:rFonts w:cs="Traditional Arabic"/>
          <w:sz w:val="20"/>
          <w:szCs w:val="30"/>
          <w:rtl/>
          <w:lang w:bidi="ar-EG"/>
        </w:rPr>
      </w:pPr>
      <w:r w:rsidRPr="00335E4B">
        <w:rPr>
          <w:rFonts w:cs="Traditional Arabic"/>
          <w:sz w:val="20"/>
          <w:szCs w:val="30"/>
          <w:rtl/>
        </w:rPr>
        <w:t>ويمكن الاطلاع على مزيد من المعلومات في:</w:t>
      </w:r>
    </w:p>
    <w:p w:rsidR="00335E4B" w:rsidRPr="002609DC" w:rsidRDefault="00335E4B" w:rsidP="00335E4B">
      <w:pPr>
        <w:spacing w:line="400" w:lineRule="exact"/>
        <w:jc w:val="both"/>
        <w:rPr>
          <w:rFonts w:cs="Traditional Arabic"/>
          <w:sz w:val="20"/>
          <w:szCs w:val="20"/>
          <w:rtl/>
          <w:lang w:bidi="ar-EG"/>
        </w:rPr>
      </w:pPr>
      <w:r w:rsidRPr="002609DC">
        <w:rPr>
          <w:rFonts w:cs="Traditional Arabic"/>
          <w:sz w:val="20"/>
          <w:szCs w:val="20"/>
          <w:rtl/>
        </w:rPr>
        <w:t xml:space="preserve"> </w:t>
      </w:r>
      <w:hyperlink r:id="rId11" w:history="1">
        <w:r w:rsidRPr="002609DC">
          <w:rPr>
            <w:rFonts w:cs="Traditional Arabic"/>
            <w:sz w:val="20"/>
            <w:szCs w:val="20"/>
            <w:lang w:val="en-GB"/>
          </w:rPr>
          <w:t>http://www.unep.org/chemicalsandwaste/Mercury/GlobalMercuryPartnership/tabid/1253/Default.aspx</w:t>
        </w:r>
      </w:hyperlink>
    </w:p>
    <w:p w:rsidR="00335E4B" w:rsidRPr="00335E4B" w:rsidRDefault="00335E4B" w:rsidP="00AE2304">
      <w:pPr>
        <w:spacing w:after="240" w:line="400" w:lineRule="exact"/>
        <w:ind w:firstLine="720"/>
        <w:rPr>
          <w:rFonts w:cs="Traditional Arabic"/>
          <w:b/>
          <w:bCs/>
          <w:sz w:val="34"/>
          <w:szCs w:val="34"/>
          <w:rtl/>
        </w:rPr>
      </w:pPr>
      <w:r w:rsidRPr="00335E4B">
        <w:rPr>
          <w:rFonts w:cs="Traditional Arabic"/>
          <w:sz w:val="20"/>
          <w:szCs w:val="30"/>
          <w:rtl/>
          <w:lang w:bidi="ar-EG"/>
        </w:rPr>
        <w:br w:type="page"/>
      </w:r>
      <w:bookmarkStart w:id="208" w:name="_Toc440451889"/>
      <w:bookmarkStart w:id="209" w:name="_Toc440452458"/>
      <w:r w:rsidR="00A20BAE">
        <w:rPr>
          <w:rFonts w:cs="Traditional Arabic" w:hint="cs"/>
          <w:b/>
          <w:bCs/>
          <w:sz w:val="34"/>
          <w:szCs w:val="34"/>
          <w:rtl/>
        </w:rPr>
        <w:t>الفصل</w:t>
      </w:r>
      <w:r w:rsidRPr="00335E4B">
        <w:rPr>
          <w:rFonts w:cs="Traditional Arabic"/>
          <w:b/>
          <w:bCs/>
          <w:sz w:val="34"/>
          <w:szCs w:val="34"/>
          <w:rtl/>
        </w:rPr>
        <w:t xml:space="preserve"> الثاني</w:t>
      </w:r>
    </w:p>
    <w:p w:rsidR="00335E4B" w:rsidRPr="00335E4B" w:rsidRDefault="00335E4B" w:rsidP="00A906F3">
      <w:pPr>
        <w:spacing w:after="240" w:line="400" w:lineRule="exact"/>
        <w:ind w:firstLine="720"/>
        <w:rPr>
          <w:rFonts w:cs="Traditional Arabic"/>
          <w:b/>
          <w:bCs/>
          <w:sz w:val="34"/>
          <w:szCs w:val="34"/>
          <w:rtl/>
        </w:rPr>
      </w:pPr>
      <w:r w:rsidRPr="00335E4B">
        <w:rPr>
          <w:rFonts w:cs="Traditional Arabic"/>
          <w:b/>
          <w:bCs/>
          <w:sz w:val="34"/>
          <w:szCs w:val="34"/>
          <w:rtl/>
        </w:rPr>
        <w:t>التقنيات الشائعة</w:t>
      </w:r>
      <w:bookmarkEnd w:id="208"/>
      <w:bookmarkEnd w:id="209"/>
    </w:p>
    <w:p w:rsidR="00335E4B" w:rsidRPr="00335E4B" w:rsidRDefault="009E210A" w:rsidP="009E210A">
      <w:pPr>
        <w:spacing w:after="120" w:line="400" w:lineRule="exact"/>
        <w:rPr>
          <w:rFonts w:cs="Traditional Arabic"/>
          <w:b/>
          <w:bCs/>
          <w:sz w:val="30"/>
          <w:szCs w:val="30"/>
          <w:rtl/>
        </w:rPr>
      </w:pPr>
      <w:bookmarkStart w:id="210" w:name="_Toc440451890"/>
      <w:bookmarkStart w:id="211" w:name="_Toc440452459"/>
      <w:r>
        <w:rPr>
          <w:rFonts w:cs="Traditional Arabic"/>
          <w:b/>
          <w:bCs/>
          <w:sz w:val="30"/>
          <w:szCs w:val="30"/>
          <w:rtl/>
        </w:rPr>
        <w:t>التقنيات الشائعة ل</w:t>
      </w:r>
      <w:r w:rsidR="00335E4B" w:rsidRPr="00335E4B">
        <w:rPr>
          <w:rFonts w:cs="Traditional Arabic"/>
          <w:b/>
          <w:bCs/>
          <w:sz w:val="30"/>
          <w:szCs w:val="30"/>
          <w:rtl/>
        </w:rPr>
        <w:t>خفض الانبعاثات</w:t>
      </w:r>
      <w:bookmarkEnd w:id="210"/>
      <w:bookmarkEnd w:id="211"/>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يقدم هذا الفصل معلومات عامة عن تقنيات الضبط المنطبقة على جميع فئات المصادر الثابتة المدرجة في المرفق دال. ويمكن الاطلاع على معلومات إضافية تتصل بأي قطاع بالتحديد في الفصل المتعلق بالقطاع المعني.</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ومن الضروري لدراسة جميع الخيارات المحتملة المتصلة بالقطاع موضع الاهتمام أن يتم النظر في كلا التقنيات الشائعة الموصوفة في هذا القسم والتقنيات المحددة الموصوفة لكل قطاع.</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ويتباين مدى قدرة أجهزة تنظيف الغبار على التقاط انبعاثات الزئبق المرتبط بالجسيمات. وعموماً تطبق معظم تقنيات تنظيف الغبار في جميع القطاعات. وتتوقف درجة ضبط الزئبق على الحالة الكيميائية وشكل الزئبق، أي ما إن كان الزئبق مؤكسداً أو أوّلياً. ويتم التقاط معظم الزئبق النقي في أجهزة تنظيف الغبار: ويمكن تعزيز كفاءة هذه الأجهزة لإزالة الزئبق من خلال أكسدة الزئبق الغازي. وأكثر التقنيات شيوعاً لتخفيف الغبار هي مرشحات الأكياس والمرسبات ا</w:t>
      </w:r>
      <w:r w:rsidRPr="00335E4B">
        <w:rPr>
          <w:rFonts w:cs="Traditional Arabic" w:hint="cs"/>
          <w:sz w:val="20"/>
          <w:szCs w:val="30"/>
          <w:rtl/>
          <w:lang w:bidi="ar-EG"/>
        </w:rPr>
        <w:t>لكهر</w:t>
      </w:r>
      <w:r w:rsidRPr="00335E4B">
        <w:rPr>
          <w:rFonts w:cs="Traditional Arabic"/>
          <w:sz w:val="20"/>
          <w:szCs w:val="30"/>
          <w:rtl/>
          <w:lang w:bidi="ar-EG"/>
        </w:rPr>
        <w:t xml:space="preserve">وستاتيكية </w:t>
      </w:r>
      <w:r w:rsidRPr="00335E4B">
        <w:rPr>
          <w:rFonts w:cs="Times New Roman"/>
          <w:sz w:val="20"/>
          <w:szCs w:val="20"/>
          <w:rtl/>
          <w:lang w:bidi="ar-EG"/>
        </w:rPr>
        <w:t>(</w:t>
      </w:r>
      <w:r w:rsidRPr="00335E4B">
        <w:rPr>
          <w:rFonts w:cs="Times New Roman"/>
          <w:sz w:val="20"/>
          <w:szCs w:val="20"/>
          <w:lang w:bidi="ar-EG"/>
        </w:rPr>
        <w:t>ESP</w:t>
      </w:r>
      <w:r w:rsidRPr="00335E4B">
        <w:rPr>
          <w:rFonts w:cs="Times New Roman"/>
          <w:sz w:val="20"/>
          <w:szCs w:val="20"/>
          <w:rtl/>
          <w:lang w:bidi="ar-EG"/>
        </w:rPr>
        <w:t>)</w:t>
      </w:r>
      <w:r w:rsidRPr="00335E4B">
        <w:rPr>
          <w:rFonts w:cs="Traditional Arabic"/>
          <w:sz w:val="20"/>
          <w:szCs w:val="30"/>
          <w:rtl/>
          <w:lang w:bidi="ar-EG"/>
        </w:rPr>
        <w:t>.</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ومن التقنيات الشائعة عبر القطاعات لإزالة الزئبق بالتحديد استعمال الكربون المنشط، سواء تم حقنه في تيار غاز المدخنة أو في طبقة الترشيح. ولتحسين كفاءة الإزالة في الكربون المنشط يمكن استعمال عوامل الأكسدة (بحقنها مثلاً في تيار غاز المدخنة أو تكثيفها على الكربون المنشط).</w:t>
      </w:r>
    </w:p>
    <w:p w:rsidR="00335E4B" w:rsidRPr="00335E4B" w:rsidRDefault="00335E4B" w:rsidP="00335E4B">
      <w:pPr>
        <w:tabs>
          <w:tab w:val="left" w:pos="2230"/>
          <w:tab w:val="center" w:pos="5468"/>
        </w:tabs>
        <w:spacing w:after="120" w:line="400" w:lineRule="exact"/>
        <w:jc w:val="lowKashida"/>
        <w:rPr>
          <w:rFonts w:cs="Traditional Arabic"/>
          <w:i/>
          <w:iCs/>
          <w:sz w:val="20"/>
          <w:szCs w:val="30"/>
          <w:rtl/>
          <w:lang w:bidi="ar-EG"/>
        </w:rPr>
      </w:pPr>
      <w:r w:rsidRPr="00335E4B">
        <w:rPr>
          <w:rFonts w:cs="Traditional Arabic"/>
          <w:i/>
          <w:iCs/>
          <w:sz w:val="20"/>
          <w:szCs w:val="30"/>
          <w:rtl/>
          <w:lang w:bidi="ar-EG"/>
        </w:rPr>
        <w:t>المرشحات القماشية</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 xml:space="preserve">تستخدم مرشحات الأكياس (المرشحات القماشية والمرشحات النسيجية) عملية الترشيح لفصل جسيمات الغبار عن الغازات. وهي تمثل واحدة من أكثر </w:t>
      </w:r>
      <w:r w:rsidRPr="00335E4B">
        <w:rPr>
          <w:rFonts w:cs="Traditional Arabic" w:hint="cs"/>
          <w:sz w:val="20"/>
          <w:szCs w:val="30"/>
          <w:rtl/>
          <w:lang w:bidi="ar-EG"/>
        </w:rPr>
        <w:t>الوسائل</w:t>
      </w:r>
      <w:r w:rsidRPr="00335E4B">
        <w:rPr>
          <w:rFonts w:cs="Traditional Arabic"/>
          <w:sz w:val="20"/>
          <w:szCs w:val="30"/>
          <w:rtl/>
          <w:lang w:bidi="ar-EG"/>
        </w:rPr>
        <w:t xml:space="preserve"> المتوفرة لجمع الغبار كفاءة وتحقيقاً لفعالية التكاليف، ويمكن أن تحقق كفاءة جمع </w:t>
      </w:r>
      <w:r w:rsidRPr="00335E4B">
        <w:rPr>
          <w:rFonts w:cs="Traditional Arabic" w:hint="cs"/>
          <w:sz w:val="20"/>
          <w:szCs w:val="30"/>
          <w:rtl/>
          <w:lang w:bidi="ar-EG"/>
        </w:rPr>
        <w:t>تفوق</w:t>
      </w:r>
      <w:r w:rsidRPr="00335E4B">
        <w:rPr>
          <w:rFonts w:cs="Traditional Arabic"/>
          <w:sz w:val="20"/>
          <w:szCs w:val="30"/>
          <w:rtl/>
          <w:lang w:bidi="ar-EG"/>
        </w:rPr>
        <w:t xml:space="preserve"> من 99</w:t>
      </w:r>
      <w:r w:rsidRPr="00335E4B">
        <w:rPr>
          <w:rFonts w:cs="Traditional Arabic" w:hint="cs"/>
          <w:sz w:val="20"/>
          <w:szCs w:val="30"/>
          <w:rtl/>
          <w:lang w:bidi="ar-EG"/>
        </w:rPr>
        <w:t>,</w:t>
      </w:r>
      <w:r w:rsidRPr="00335E4B">
        <w:rPr>
          <w:rFonts w:cs="Traditional Arabic"/>
          <w:sz w:val="20"/>
          <w:szCs w:val="30"/>
          <w:rtl/>
          <w:lang w:bidi="ar-EG"/>
        </w:rPr>
        <w:t xml:space="preserve">99 في المائة للجسيمات الدقيقة جداً. </w:t>
      </w:r>
      <w:r w:rsidRPr="00335E4B">
        <w:rPr>
          <w:rFonts w:cs="Traditional Arabic" w:hint="cs"/>
          <w:sz w:val="20"/>
          <w:szCs w:val="30"/>
          <w:rtl/>
          <w:lang w:bidi="ar-EG"/>
        </w:rPr>
        <w:t>و</w:t>
      </w:r>
      <w:r w:rsidRPr="00335E4B">
        <w:rPr>
          <w:rFonts w:cs="Traditional Arabic"/>
          <w:sz w:val="20"/>
          <w:szCs w:val="30"/>
          <w:rtl/>
          <w:lang w:bidi="ar-EG"/>
        </w:rPr>
        <w:t>تدخل الغازات جهاز الترشيح وتمر في الأكياس القماشية. ويمكن صنع الأكياس من مواد مختلفة (مثل القطن المنسوج أو الملبد أو المواد التركيبية أو الألياف الزجاجية) حسب خصائص غاز المدخنة.</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 xml:space="preserve">ولتحسين القدرة على ترشيح الغبار وزيادة العمر يتم في كثير من الأحيان تبطين مادة المرشح. وأكثر المواد شيوعاً هي الحجر الجيري الخامل كيميائياً (كربونات الكالسيوم). إذ أنه يزيد كفاءة جمع الغبار عن طريق تكوين ما يسمى كُسب المرشح. ويحسِّن كُسب المرشح </w:t>
      </w:r>
      <w:r w:rsidRPr="00335E4B">
        <w:rPr>
          <w:rFonts w:cs="Traditional Arabic" w:hint="cs"/>
          <w:sz w:val="20"/>
          <w:szCs w:val="30"/>
          <w:rtl/>
          <w:lang w:bidi="ar-EG"/>
        </w:rPr>
        <w:t>التقاط</w:t>
      </w:r>
      <w:r w:rsidRPr="00335E4B">
        <w:rPr>
          <w:rFonts w:cs="Traditional Arabic"/>
          <w:sz w:val="20"/>
          <w:szCs w:val="30"/>
          <w:rtl/>
          <w:lang w:bidi="ar-EG"/>
        </w:rPr>
        <w:t xml:space="preserve"> الجسيمات الدقيقة ويوِّفر الحماية لمادة المرشح نفسها من الرطوبة أو الجسيمات </w:t>
      </w:r>
      <w:r w:rsidRPr="00335E4B">
        <w:rPr>
          <w:rFonts w:cs="Traditional Arabic" w:hint="cs"/>
          <w:sz w:val="20"/>
          <w:szCs w:val="30"/>
          <w:rtl/>
          <w:lang w:bidi="ar-EG"/>
        </w:rPr>
        <w:t>الساحجة</w:t>
      </w:r>
      <w:r w:rsidRPr="00335E4B">
        <w:rPr>
          <w:rFonts w:cs="Traditional Arabic"/>
          <w:sz w:val="20"/>
          <w:szCs w:val="30"/>
          <w:rtl/>
          <w:lang w:bidi="ar-EG"/>
        </w:rPr>
        <w:t>. وبدون التبطين المسبق فإن مادة المرشح تسمح للجسيمات الدقيقة بأن تتسرب من خلال نظام المرشح الكيسي، وخاصة في بداية العملية، نظراً لأن الكيس لا يستطيع أن يقوم إلاّ بجزء فقط من عملية الترشيح ويترك الأجزاء الأكثر دقة لكُسب المرشح الذي يعزز عمل المرشح.</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 xml:space="preserve">ويمر الزئبق الغازي أساساً من خلال </w:t>
      </w:r>
      <w:r w:rsidRPr="00335E4B">
        <w:rPr>
          <w:rFonts w:cs="Traditional Arabic" w:hint="cs"/>
          <w:sz w:val="20"/>
          <w:szCs w:val="30"/>
          <w:rtl/>
          <w:lang w:bidi="ar-EG"/>
        </w:rPr>
        <w:t>مرشِّح</w:t>
      </w:r>
      <w:r w:rsidRPr="00335E4B">
        <w:rPr>
          <w:rFonts w:cs="Traditional Arabic"/>
          <w:sz w:val="20"/>
          <w:szCs w:val="30"/>
          <w:rtl/>
          <w:lang w:bidi="ar-EG"/>
        </w:rPr>
        <w:t xml:space="preserve"> كيسي. ولذلك ينبغي من أجل زيادة كفاءة العملية تحويل الزئبق الغازي إلى شكل مؤكسد بقدر المستطاع، بحيث يمكن أن يلتصق بالجسيمات. وكفاءة </w:t>
      </w:r>
      <w:r w:rsidRPr="00335E4B">
        <w:rPr>
          <w:rFonts w:cs="Traditional Arabic" w:hint="cs"/>
          <w:sz w:val="20"/>
          <w:szCs w:val="30"/>
          <w:rtl/>
          <w:lang w:bidi="ar-EG"/>
        </w:rPr>
        <w:t>المرشح</w:t>
      </w:r>
      <w:r w:rsidRPr="00335E4B">
        <w:rPr>
          <w:rFonts w:cs="Traditional Arabic"/>
          <w:sz w:val="20"/>
          <w:szCs w:val="30"/>
          <w:rtl/>
          <w:lang w:bidi="ar-EG"/>
        </w:rPr>
        <w:t xml:space="preserve"> الكيسي يمكن أن تزيد بتدابير مختلفة، مثل الاقتران بالحقن الجاف أو شبه الجاف (التجفيف بالرشح) وتوفير ترشيح إضافي وتركيب سطح تفاعلي على كسب المرشح.</w:t>
      </w:r>
    </w:p>
    <w:p w:rsidR="00335E4B" w:rsidRPr="00335E4B" w:rsidRDefault="00335E4B" w:rsidP="00335E4B">
      <w:pPr>
        <w:tabs>
          <w:tab w:val="left" w:pos="2230"/>
          <w:tab w:val="center" w:pos="5468"/>
        </w:tabs>
        <w:spacing w:after="120" w:line="400" w:lineRule="exact"/>
        <w:jc w:val="lowKashida"/>
        <w:rPr>
          <w:rFonts w:cs="Traditional Arabic"/>
          <w:i/>
          <w:iCs/>
          <w:sz w:val="20"/>
          <w:szCs w:val="30"/>
          <w:rtl/>
          <w:lang w:bidi="ar-EG"/>
        </w:rPr>
      </w:pPr>
      <w:r w:rsidRPr="00335E4B">
        <w:rPr>
          <w:rFonts w:cs="Traditional Arabic"/>
          <w:i/>
          <w:iCs/>
          <w:sz w:val="20"/>
          <w:szCs w:val="30"/>
          <w:rtl/>
          <w:lang w:bidi="ar-EG"/>
        </w:rPr>
        <w:t>المرسبات الكهروستاتيكية</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 xml:space="preserve">تستعمل المرسبات الكهروستاتيكية القوى الكهروستاتيكية لفصل ذرات الغبار عن غازات العادم. وتتدفق الغازات المحمَّلة بالغبار من خلال الممر الذي يتشكل بإلكترودات التصريف والتجميع. وتتلقى الجسيمات المحمولة جواً شحنة سالبة مع مرورها من خلال المجال </w:t>
      </w:r>
      <w:r w:rsidRPr="00335E4B">
        <w:rPr>
          <w:rFonts w:cs="Traditional Arabic" w:hint="cs"/>
          <w:sz w:val="20"/>
          <w:szCs w:val="30"/>
          <w:rtl/>
          <w:lang w:bidi="ar-EG"/>
        </w:rPr>
        <w:t>المؤيَّن</w:t>
      </w:r>
      <w:r w:rsidRPr="00335E4B">
        <w:rPr>
          <w:rFonts w:cs="Traditional Arabic"/>
          <w:sz w:val="20"/>
          <w:szCs w:val="30"/>
          <w:rtl/>
          <w:lang w:bidi="ar-EG"/>
        </w:rPr>
        <w:t xml:space="preserve"> بين الإلكترودات. وهذه الجزيئات المشحونة تنجذب إلى إلكترود أرضي أو مشحون إيجابياً وتلتصق به. ويتم إزالة المادة المتجمعة على الإلكترودات بهز أو ذبذبة إلكترودات التجميع، سواء بصورة مستمرة أو في فترات محددة سلفاً. ويمكن عادة تنظيف المرسبات بدون وقف تيار الهواء.</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والعوامل الرئيسية التي تؤثر على كفاءة الجمع في المرسبات الكهروستاتيكية هي المقاومة الكهربائية وتوزيع حجم الجزيئات. والعوامل الأخرى التي تؤثر على هذه الكفاءة هي درجات الحرارة ومعدل تدفق غاز المدخنة ومحتوى الرطوبة وعوامل التكييف في تيار الغاز أو زيادة سطح التجميع.</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ويعمل المرسب الرطب بتيارات هوائية مشبعة ببخار الماء (نسبة رطوبة نسبية تبلغ مائة في المائة). وهذه المرسبات الرطبة تستعمل بصورة شائعة لإزالة قطرات السوائل مثل رذاذ حامض الكبريت من تيارات الغاز في العمليات الصناعية. وتستعمل المرسبات الرطبة بصورة شائعة أيضاً عندما تحتوي الغازات على نسبة رطوبة مرتفعة أو تحتوي على جسيمات دقيقة قابلة للاشتعال أو جسيمات لزجة بطبيعتها.</w:t>
      </w:r>
    </w:p>
    <w:p w:rsidR="00335E4B" w:rsidRPr="00335E4B" w:rsidRDefault="00335E4B" w:rsidP="00335E4B">
      <w:pPr>
        <w:tabs>
          <w:tab w:val="left" w:pos="2230"/>
          <w:tab w:val="center" w:pos="5468"/>
        </w:tabs>
        <w:spacing w:after="120" w:line="400" w:lineRule="exact"/>
        <w:jc w:val="lowKashida"/>
        <w:rPr>
          <w:rFonts w:cs="Traditional Arabic"/>
          <w:i/>
          <w:iCs/>
          <w:sz w:val="20"/>
          <w:szCs w:val="30"/>
          <w:rtl/>
          <w:lang w:bidi="ar-EG"/>
        </w:rPr>
      </w:pPr>
      <w:r w:rsidRPr="00335E4B">
        <w:rPr>
          <w:rFonts w:cs="Traditional Arabic"/>
          <w:i/>
          <w:iCs/>
          <w:sz w:val="20"/>
          <w:szCs w:val="30"/>
          <w:rtl/>
          <w:lang w:bidi="ar-EG"/>
        </w:rPr>
        <w:t>أجهزة التنظيف الرطبة</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يوجد نوعان مختلفان من أجهزة التنظيف الرطبة المستعملة، أحدهما يستعمل أساساً لإزالة الغبار ويستعمل الآخر لإزالة المركبات الغازية الحمضية.</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وفي المنظفات الرطبة لإزالة الغبار يتلامس سائل التنظيف (وهو الماء عادة) مع تيار غازي يحتوي على جسيمات الغبار. وينتج عن الاتصال القوي لتيار الغاز والسائل كفاءة عالية في إزالة الغبار. وتؤدي عملية الترطيب إلى تجمع الجسيمات الدقيقة مما يسهِّل جمعها. ومن أمثلة أجهزة التنظيف المذكورة أجهزة فينتوري أو أجهزة ثيسين أو أجهزة راديال فلو. ويمكن أن تكون كفاءة إزالة الغبار التي تتسم بها هذه الوحدات أكثر من 98 في المائة، ولكن التركيز النهائي للغبار يكون مرتفعاً نسبياً (أكثر من 5 ملغ/للمتر المكعب العادي).</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والمنظفات الرطبة المخصصة أساساً لإزالة المركبات الغازية الحمضية (وهي غالباً منظفات من نوع أبراج الرش) تزيل الملوثات مثل ثنائي أكسيد الكبريت وكلوريد الهيدروجين والهافنيوم. ويستخدم سائل لامتصاص المركبات. وهي كثيراً ما تنظف الغاز الذي تم تنظيف الغبار منه بالفعل.</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والغازات ”</w:t>
      </w:r>
      <w:r w:rsidRPr="00335E4B">
        <w:rPr>
          <w:rFonts w:cs="Traditional Arabic" w:hint="cs"/>
          <w:sz w:val="20"/>
          <w:szCs w:val="30"/>
          <w:rtl/>
          <w:lang w:bidi="ar-EG"/>
        </w:rPr>
        <w:t>المنظَّفة</w:t>
      </w:r>
      <w:r w:rsidRPr="00335E4B">
        <w:rPr>
          <w:rFonts w:cs="Traditional Arabic"/>
          <w:sz w:val="20"/>
          <w:szCs w:val="30"/>
          <w:rtl/>
          <w:lang w:bidi="ar-EG"/>
        </w:rPr>
        <w:t xml:space="preserve">“ </w:t>
      </w:r>
      <w:r w:rsidRPr="00335E4B">
        <w:rPr>
          <w:rFonts w:cs="Traditional Arabic" w:hint="cs"/>
          <w:sz w:val="20"/>
          <w:szCs w:val="30"/>
          <w:rtl/>
          <w:lang w:bidi="ar-EG"/>
        </w:rPr>
        <w:t>بواسطة</w:t>
      </w:r>
      <w:r w:rsidRPr="00335E4B">
        <w:rPr>
          <w:rFonts w:cs="Traditional Arabic"/>
          <w:sz w:val="20"/>
          <w:szCs w:val="30"/>
          <w:rtl/>
          <w:lang w:bidi="ar-EG"/>
        </w:rPr>
        <w:t xml:space="preserve"> نوعي أجهزة التنظيف تمر عادة من خلال مزيل الرذاذ لإزالة قطرات المياه من تيار الغاز. </w:t>
      </w:r>
      <w:r w:rsidRPr="00335E4B">
        <w:rPr>
          <w:rFonts w:cs="Traditional Arabic" w:hint="cs"/>
          <w:sz w:val="20"/>
          <w:szCs w:val="30"/>
          <w:rtl/>
          <w:lang w:bidi="ar-EG"/>
        </w:rPr>
        <w:t xml:space="preserve">أما </w:t>
      </w:r>
      <w:r w:rsidRPr="00335E4B">
        <w:rPr>
          <w:rFonts w:cs="Traditional Arabic"/>
          <w:sz w:val="20"/>
          <w:szCs w:val="30"/>
          <w:rtl/>
          <w:lang w:bidi="ar-EG"/>
        </w:rPr>
        <w:t xml:space="preserve">الماء الناتج من نظام التنظيف </w:t>
      </w:r>
      <w:r w:rsidRPr="00335E4B">
        <w:rPr>
          <w:rFonts w:cs="Traditional Arabic" w:hint="cs"/>
          <w:sz w:val="20"/>
          <w:szCs w:val="30"/>
          <w:rtl/>
          <w:lang w:bidi="ar-EG"/>
        </w:rPr>
        <w:t>ف</w:t>
      </w:r>
      <w:r w:rsidRPr="00335E4B">
        <w:rPr>
          <w:rFonts w:cs="Traditional Arabic"/>
          <w:sz w:val="20"/>
          <w:szCs w:val="30"/>
          <w:rtl/>
          <w:lang w:bidi="ar-EG"/>
        </w:rPr>
        <w:t>يتم تنظيفه وتصريفه أو إعادة تدويره في جهاز الغاز.</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ويمكن تحسين امتصاص الزئبق النقي بإضافة مركبات الكبريت أو الكربون المنشط لسائل جهاز التنظيف (ميللر وآخرون، 2014).</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والتهاطل هو تدبير آخر يستخدم كثيراً لإزالة الزئبق المؤكسد من مياه التنظيف. ويمكن أن تعمل مركبات الكبريت كعامل للتلبد، عند إضافتها إلى مياه الغسل لتحويل الزئبق القابل للذوبان بكفاءة إلى مركب غير قابل للذوبان. وهناك احتمال آخر لربط الزئبق مباشرة بعد تحويله في مرحلة السيولة ويتمثل في إضافة الكربون المنشط إلى مياه التنظيف (بيتيغ، 2014).</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ويمكن أن تحدث إعادة انبعاث الزئبق في حالة وجود مركبات الاختزال مثل الكبريت في مياه التنظيف. وفي هذه الحالة، يمكن تحويل الزئبق مرة أخرى إلى زئبق أوّلي وإعادة إطلاقه (تيسر وآخرون، 2014). ويمكن تجنب ذلك من خلال كفالة وجود أيونات يمكن أن يتفاعل معها الزئبق ليكون مركبات مثل الفلوريد أو الكلوريد أو البروميد أو اليوديد.</w:t>
      </w:r>
    </w:p>
    <w:p w:rsidR="00335E4B" w:rsidRPr="00A906F3" w:rsidRDefault="00335E4B" w:rsidP="00335E4B">
      <w:pPr>
        <w:tabs>
          <w:tab w:val="left" w:pos="2230"/>
          <w:tab w:val="center" w:pos="5468"/>
        </w:tabs>
        <w:spacing w:after="120" w:line="400" w:lineRule="exact"/>
        <w:jc w:val="lowKashida"/>
        <w:rPr>
          <w:rFonts w:cs="Traditional Arabic"/>
          <w:sz w:val="20"/>
          <w:szCs w:val="30"/>
          <w:rtl/>
          <w:lang w:bidi="ar-EG"/>
        </w:rPr>
      </w:pPr>
      <w:r w:rsidRPr="00A906F3">
        <w:rPr>
          <w:rFonts w:cs="Traditional Arabic"/>
          <w:i/>
          <w:iCs/>
          <w:sz w:val="20"/>
          <w:szCs w:val="30"/>
          <w:rtl/>
          <w:lang w:bidi="ar-EG"/>
        </w:rPr>
        <w:br w:type="page"/>
        <w:t>ملخص أجهزة تنظيف الغبار</w:t>
      </w:r>
    </w:p>
    <w:p w:rsidR="00335E4B" w:rsidRPr="00335E4B" w:rsidRDefault="00335E4B" w:rsidP="00335E4B">
      <w:pPr>
        <w:spacing w:after="120" w:line="400" w:lineRule="exact"/>
        <w:jc w:val="lowKashida"/>
        <w:rPr>
          <w:rFonts w:cs="Traditional Arabic"/>
          <w:sz w:val="20"/>
          <w:szCs w:val="30"/>
          <w:rtl/>
          <w:lang w:bidi="ar-EG"/>
        </w:rPr>
      </w:pPr>
      <w:r w:rsidRPr="00335E4B">
        <w:rPr>
          <w:rFonts w:cs="Traditional Arabic"/>
          <w:sz w:val="20"/>
          <w:szCs w:val="30"/>
          <w:rtl/>
          <w:lang w:bidi="ar-EG"/>
        </w:rPr>
        <w:t>يقدم الجدول 1 معلومات عن أداء أجهزة تنظيف الغبار</w:t>
      </w:r>
    </w:p>
    <w:p w:rsidR="00A906F3" w:rsidRDefault="00335E4B" w:rsidP="00A906F3">
      <w:pPr>
        <w:spacing w:after="120" w:line="400" w:lineRule="exact"/>
        <w:jc w:val="lowKashida"/>
        <w:rPr>
          <w:rFonts w:cs="Traditional Arabic"/>
          <w:b/>
          <w:bCs/>
          <w:sz w:val="20"/>
          <w:szCs w:val="30"/>
          <w:rtl/>
          <w:lang w:bidi="ar-EG"/>
        </w:rPr>
      </w:pPr>
      <w:r w:rsidRPr="00335E4B">
        <w:rPr>
          <w:rFonts w:cs="Traditional Arabic"/>
          <w:b/>
          <w:bCs/>
          <w:sz w:val="20"/>
          <w:szCs w:val="30"/>
          <w:rtl/>
          <w:lang w:bidi="ar-EG"/>
        </w:rPr>
        <w:t>الجدول 1</w:t>
      </w:r>
    </w:p>
    <w:p w:rsidR="00335E4B" w:rsidRPr="00335E4B" w:rsidRDefault="00335E4B" w:rsidP="00A906F3">
      <w:pPr>
        <w:spacing w:after="120" w:line="400" w:lineRule="exact"/>
        <w:jc w:val="lowKashida"/>
        <w:rPr>
          <w:rFonts w:cs="Traditional Arabic"/>
          <w:b/>
          <w:bCs/>
          <w:sz w:val="20"/>
          <w:szCs w:val="30"/>
          <w:rtl/>
          <w:lang w:bidi="ar-EG"/>
        </w:rPr>
      </w:pPr>
      <w:r w:rsidRPr="00335E4B">
        <w:rPr>
          <w:rFonts w:cs="Traditional Arabic"/>
          <w:b/>
          <w:bCs/>
          <w:sz w:val="20"/>
          <w:szCs w:val="30"/>
          <w:rtl/>
          <w:lang w:bidi="ar-EG"/>
        </w:rPr>
        <w:t>أداء أجهزة تنظيف الغبار معبراً عنه بمتوسط تركيزات الغبار في الساعة</w:t>
      </w:r>
    </w:p>
    <w:tbl>
      <w:tblPr>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3726"/>
      </w:tblGrid>
      <w:tr w:rsidR="00335E4B" w:rsidRPr="00335E4B" w:rsidTr="00D002D1">
        <w:tc>
          <w:tcPr>
            <w:tcW w:w="4111" w:type="dxa"/>
          </w:tcPr>
          <w:p w:rsidR="00335E4B" w:rsidRPr="00335E4B" w:rsidRDefault="00335E4B" w:rsidP="00335E4B">
            <w:pPr>
              <w:keepNext/>
              <w:keepLines/>
              <w:snapToGrid w:val="0"/>
              <w:spacing w:line="360" w:lineRule="exact"/>
              <w:rPr>
                <w:rFonts w:cs="Traditional Arabic"/>
                <w:sz w:val="30"/>
                <w:szCs w:val="30"/>
                <w:lang w:bidi="ar-EG"/>
              </w:rPr>
            </w:pPr>
          </w:p>
        </w:tc>
        <w:tc>
          <w:tcPr>
            <w:tcW w:w="3726" w:type="dxa"/>
          </w:tcPr>
          <w:p w:rsidR="00335E4B" w:rsidRPr="00335E4B" w:rsidRDefault="00335E4B" w:rsidP="00335E4B">
            <w:pPr>
              <w:keepNext/>
              <w:keepLines/>
              <w:snapToGrid w:val="0"/>
              <w:spacing w:afterAutospacing="1" w:line="360" w:lineRule="exact"/>
              <w:jc w:val="center"/>
              <w:rPr>
                <w:rFonts w:cs="Traditional Arabic"/>
                <w:b/>
                <w:sz w:val="30"/>
                <w:szCs w:val="30"/>
                <w:lang w:bidi="ar-EG"/>
              </w:rPr>
            </w:pPr>
            <w:r w:rsidRPr="00335E4B">
              <w:rPr>
                <w:rFonts w:cs="Traditional Arabic"/>
                <w:b/>
                <w:sz w:val="30"/>
                <w:szCs w:val="30"/>
                <w:rtl/>
                <w:lang w:bidi="ar-EG"/>
              </w:rPr>
              <w:t>تركيزات الغبار بعد التنظيف (ملغ/م</w:t>
            </w:r>
            <w:r w:rsidRPr="00335E4B">
              <w:rPr>
                <w:rFonts w:cs="Traditional Arabic"/>
                <w:b/>
                <w:sz w:val="30"/>
                <w:szCs w:val="30"/>
                <w:vertAlign w:val="superscript"/>
                <w:rtl/>
                <w:lang w:bidi="ar-EG"/>
              </w:rPr>
              <w:t>3</w:t>
            </w:r>
            <w:r w:rsidRPr="00335E4B">
              <w:rPr>
                <w:rFonts w:cs="Traditional Arabic"/>
                <w:b/>
                <w:sz w:val="30"/>
                <w:szCs w:val="30"/>
                <w:rtl/>
                <w:lang w:bidi="ar-EG"/>
              </w:rPr>
              <w:t>)</w:t>
            </w:r>
          </w:p>
        </w:tc>
      </w:tr>
      <w:tr w:rsidR="00335E4B" w:rsidRPr="00335E4B" w:rsidTr="00D002D1">
        <w:tc>
          <w:tcPr>
            <w:tcW w:w="4111" w:type="dxa"/>
          </w:tcPr>
          <w:p w:rsidR="00335E4B" w:rsidRPr="00335E4B" w:rsidRDefault="00335E4B" w:rsidP="00335E4B">
            <w:pPr>
              <w:keepNext/>
              <w:keepLines/>
              <w:snapToGrid w:val="0"/>
              <w:spacing w:line="360" w:lineRule="exact"/>
              <w:jc w:val="lowKashida"/>
              <w:rPr>
                <w:rFonts w:cs="Traditional Arabic"/>
                <w:sz w:val="30"/>
                <w:szCs w:val="30"/>
                <w:rtl/>
                <w:lang w:bidi="ar-EG"/>
              </w:rPr>
            </w:pPr>
            <w:r w:rsidRPr="00335E4B">
              <w:rPr>
                <w:rFonts w:cs="Traditional Arabic"/>
                <w:sz w:val="30"/>
                <w:szCs w:val="30"/>
                <w:rtl/>
                <w:lang w:bidi="ar-EG"/>
              </w:rPr>
              <w:t>المرشحات النسيجية</w:t>
            </w:r>
          </w:p>
          <w:p w:rsidR="00335E4B" w:rsidRPr="00335E4B" w:rsidRDefault="00335E4B" w:rsidP="00335E4B">
            <w:pPr>
              <w:keepNext/>
              <w:keepLines/>
              <w:snapToGrid w:val="0"/>
              <w:spacing w:line="360" w:lineRule="exact"/>
              <w:jc w:val="lowKashida"/>
              <w:rPr>
                <w:rFonts w:cs="Traditional Arabic"/>
                <w:sz w:val="30"/>
                <w:szCs w:val="30"/>
                <w:rtl/>
              </w:rPr>
            </w:pPr>
            <w:r w:rsidRPr="00335E4B">
              <w:rPr>
                <w:rFonts w:cs="Traditional Arabic"/>
                <w:sz w:val="30"/>
                <w:szCs w:val="30"/>
                <w:rtl/>
                <w:lang w:bidi="ar-EG"/>
              </w:rPr>
              <w:t>المرشحات النسيجية، النوع الغشائي</w:t>
            </w:r>
          </w:p>
          <w:p w:rsidR="00335E4B" w:rsidRPr="00335E4B" w:rsidRDefault="00335E4B" w:rsidP="00335E4B">
            <w:pPr>
              <w:keepNext/>
              <w:keepLines/>
              <w:snapToGrid w:val="0"/>
              <w:spacing w:line="360" w:lineRule="exact"/>
              <w:jc w:val="lowKashida"/>
              <w:rPr>
                <w:rFonts w:cs="Traditional Arabic"/>
                <w:sz w:val="30"/>
                <w:szCs w:val="30"/>
                <w:rtl/>
                <w:lang w:bidi="ar-EG"/>
              </w:rPr>
            </w:pPr>
            <w:r w:rsidRPr="00335E4B">
              <w:rPr>
                <w:rFonts w:cs="Traditional Arabic"/>
                <w:sz w:val="30"/>
                <w:szCs w:val="30"/>
                <w:rtl/>
                <w:lang w:bidi="ar-EG"/>
              </w:rPr>
              <w:t>المرسبات الكهروستاتيكية الجافة</w:t>
            </w:r>
          </w:p>
          <w:p w:rsidR="00335E4B" w:rsidRPr="00335E4B" w:rsidRDefault="00335E4B" w:rsidP="00335E4B">
            <w:pPr>
              <w:keepNext/>
              <w:keepLines/>
              <w:snapToGrid w:val="0"/>
              <w:spacing w:line="360" w:lineRule="exact"/>
              <w:jc w:val="lowKashida"/>
              <w:rPr>
                <w:rFonts w:cs="Traditional Arabic"/>
                <w:sz w:val="30"/>
                <w:szCs w:val="30"/>
                <w:rtl/>
                <w:lang w:bidi="ar-EG"/>
              </w:rPr>
            </w:pPr>
            <w:r w:rsidRPr="00335E4B">
              <w:rPr>
                <w:rFonts w:cs="Traditional Arabic"/>
                <w:sz w:val="30"/>
                <w:szCs w:val="30"/>
                <w:rtl/>
                <w:lang w:bidi="ar-EG"/>
              </w:rPr>
              <w:t>المرسبات الكهروستاتيكية الرطبة</w:t>
            </w:r>
          </w:p>
          <w:p w:rsidR="00335E4B" w:rsidRPr="00335E4B" w:rsidRDefault="00335E4B" w:rsidP="00335E4B">
            <w:pPr>
              <w:keepNext/>
              <w:keepLines/>
              <w:snapToGrid w:val="0"/>
              <w:spacing w:line="360" w:lineRule="exact"/>
              <w:jc w:val="lowKashida"/>
              <w:rPr>
                <w:rFonts w:cs="Traditional Arabic"/>
                <w:sz w:val="30"/>
                <w:szCs w:val="30"/>
                <w:lang w:bidi="ar-EG"/>
              </w:rPr>
            </w:pPr>
            <w:r w:rsidRPr="00335E4B">
              <w:rPr>
                <w:rFonts w:cs="Traditional Arabic"/>
                <w:sz w:val="30"/>
                <w:szCs w:val="30"/>
                <w:rtl/>
                <w:lang w:bidi="ar-EG"/>
              </w:rPr>
              <w:t>أجهزة تنظيف الغبار عالية الكفاءة</w:t>
            </w:r>
          </w:p>
        </w:tc>
        <w:tc>
          <w:tcPr>
            <w:tcW w:w="3726" w:type="dxa"/>
          </w:tcPr>
          <w:p w:rsidR="00335E4B" w:rsidRPr="00335E4B" w:rsidRDefault="00335E4B" w:rsidP="002609DC">
            <w:pPr>
              <w:keepNext/>
              <w:keepLines/>
              <w:snapToGrid w:val="0"/>
              <w:spacing w:line="360" w:lineRule="exact"/>
              <w:ind w:left="675"/>
              <w:rPr>
                <w:rFonts w:cs="Traditional Arabic"/>
                <w:sz w:val="24"/>
                <w:szCs w:val="24"/>
                <w:rtl/>
              </w:rPr>
            </w:pPr>
            <w:r w:rsidRPr="00335E4B">
              <w:rPr>
                <w:rFonts w:cs="Traditional Arabic"/>
                <w:sz w:val="24"/>
                <w:szCs w:val="24"/>
                <w:rtl/>
              </w:rPr>
              <w:t xml:space="preserve">&lt; 1 </w:t>
            </w:r>
            <w:r w:rsidR="002609DC">
              <w:rPr>
                <w:rFonts w:cs="Traditional Arabic" w:hint="cs"/>
                <w:sz w:val="24"/>
                <w:szCs w:val="24"/>
                <w:rtl/>
              </w:rPr>
              <w:t>-</w:t>
            </w:r>
            <w:r w:rsidRPr="00335E4B">
              <w:rPr>
                <w:rFonts w:cs="Traditional Arabic"/>
                <w:sz w:val="24"/>
                <w:szCs w:val="24"/>
                <w:rtl/>
              </w:rPr>
              <w:t xml:space="preserve"> 5</w:t>
            </w:r>
          </w:p>
          <w:p w:rsidR="00335E4B" w:rsidRPr="00335E4B" w:rsidRDefault="00335E4B" w:rsidP="00335E4B">
            <w:pPr>
              <w:keepNext/>
              <w:keepLines/>
              <w:snapToGrid w:val="0"/>
              <w:spacing w:line="360" w:lineRule="exact"/>
              <w:ind w:left="675"/>
              <w:rPr>
                <w:rFonts w:cs="Traditional Arabic"/>
                <w:sz w:val="24"/>
                <w:szCs w:val="24"/>
                <w:rtl/>
              </w:rPr>
            </w:pPr>
            <w:r w:rsidRPr="00335E4B">
              <w:rPr>
                <w:rFonts w:cs="Traditional Arabic"/>
                <w:sz w:val="24"/>
                <w:szCs w:val="24"/>
                <w:rtl/>
              </w:rPr>
              <w:t>&lt; 1</w:t>
            </w:r>
          </w:p>
          <w:p w:rsidR="00335E4B" w:rsidRPr="00335E4B" w:rsidRDefault="00335E4B" w:rsidP="002609DC">
            <w:pPr>
              <w:keepNext/>
              <w:keepLines/>
              <w:snapToGrid w:val="0"/>
              <w:spacing w:line="360" w:lineRule="exact"/>
              <w:ind w:left="675"/>
              <w:rPr>
                <w:rFonts w:cs="Traditional Arabic"/>
                <w:sz w:val="24"/>
                <w:szCs w:val="24"/>
                <w:rtl/>
              </w:rPr>
            </w:pPr>
            <w:r w:rsidRPr="00335E4B">
              <w:rPr>
                <w:rFonts w:cs="Traditional Arabic"/>
                <w:sz w:val="24"/>
                <w:szCs w:val="24"/>
                <w:rtl/>
              </w:rPr>
              <w:t xml:space="preserve">&lt; 5 </w:t>
            </w:r>
            <w:r w:rsidR="002609DC">
              <w:rPr>
                <w:rFonts w:cs="Traditional Arabic" w:hint="cs"/>
                <w:sz w:val="24"/>
                <w:szCs w:val="24"/>
                <w:rtl/>
              </w:rPr>
              <w:t>-</w:t>
            </w:r>
            <w:r w:rsidRPr="00335E4B">
              <w:rPr>
                <w:rFonts w:cs="Traditional Arabic"/>
                <w:sz w:val="24"/>
                <w:szCs w:val="24"/>
                <w:rtl/>
              </w:rPr>
              <w:t xml:space="preserve"> 15</w:t>
            </w:r>
          </w:p>
          <w:p w:rsidR="00335E4B" w:rsidRPr="00335E4B" w:rsidRDefault="00335E4B" w:rsidP="002609DC">
            <w:pPr>
              <w:keepNext/>
              <w:keepLines/>
              <w:snapToGrid w:val="0"/>
              <w:spacing w:line="360" w:lineRule="exact"/>
              <w:ind w:left="675"/>
              <w:rPr>
                <w:rFonts w:cs="Traditional Arabic"/>
                <w:sz w:val="24"/>
                <w:szCs w:val="24"/>
                <w:rtl/>
              </w:rPr>
            </w:pPr>
            <w:r w:rsidRPr="00335E4B">
              <w:rPr>
                <w:rFonts w:cs="Traditional Arabic"/>
                <w:sz w:val="24"/>
                <w:szCs w:val="24"/>
                <w:rtl/>
              </w:rPr>
              <w:t xml:space="preserve">&lt; 1 </w:t>
            </w:r>
            <w:r w:rsidR="002609DC">
              <w:rPr>
                <w:rFonts w:cs="Traditional Arabic" w:hint="cs"/>
                <w:sz w:val="24"/>
                <w:szCs w:val="24"/>
                <w:rtl/>
              </w:rPr>
              <w:t>-</w:t>
            </w:r>
            <w:r w:rsidRPr="00335E4B">
              <w:rPr>
                <w:rFonts w:cs="Traditional Arabic"/>
                <w:sz w:val="24"/>
                <w:szCs w:val="24"/>
                <w:rtl/>
              </w:rPr>
              <w:t xml:space="preserve"> 5</w:t>
            </w:r>
          </w:p>
          <w:p w:rsidR="00335E4B" w:rsidRPr="00335E4B" w:rsidRDefault="00335E4B" w:rsidP="00335E4B">
            <w:pPr>
              <w:keepNext/>
              <w:keepLines/>
              <w:snapToGrid w:val="0"/>
              <w:spacing w:line="360" w:lineRule="exact"/>
              <w:ind w:left="675"/>
              <w:rPr>
                <w:rFonts w:cs="Traditional Arabic"/>
                <w:sz w:val="20"/>
                <w:szCs w:val="22"/>
              </w:rPr>
            </w:pPr>
            <w:r w:rsidRPr="00335E4B">
              <w:rPr>
                <w:rFonts w:cs="Traditional Arabic"/>
                <w:sz w:val="24"/>
                <w:szCs w:val="24"/>
                <w:rtl/>
              </w:rPr>
              <w:t>&lt; 20</w:t>
            </w:r>
          </w:p>
        </w:tc>
      </w:tr>
    </w:tbl>
    <w:p w:rsidR="00335E4B" w:rsidRPr="00A906F3" w:rsidRDefault="00335E4B" w:rsidP="00335E4B">
      <w:pPr>
        <w:tabs>
          <w:tab w:val="left" w:pos="2230"/>
          <w:tab w:val="center" w:pos="5468"/>
        </w:tabs>
        <w:spacing w:before="40" w:after="120" w:line="320" w:lineRule="exact"/>
        <w:jc w:val="lowKashida"/>
        <w:rPr>
          <w:rFonts w:cs="Traditional Arabic"/>
          <w:sz w:val="24"/>
          <w:szCs w:val="24"/>
          <w:rtl/>
          <w:lang w:bidi="ar-EG"/>
        </w:rPr>
      </w:pPr>
      <w:r w:rsidRPr="00A906F3">
        <w:rPr>
          <w:rFonts w:cs="Traditional Arabic"/>
          <w:i/>
          <w:iCs/>
          <w:sz w:val="26"/>
          <w:szCs w:val="26"/>
          <w:rtl/>
          <w:lang w:bidi="ar-EG"/>
        </w:rPr>
        <w:t>المصدر:</w:t>
      </w:r>
      <w:r w:rsidRPr="00A906F3">
        <w:rPr>
          <w:rFonts w:cs="Traditional Arabic"/>
          <w:sz w:val="26"/>
          <w:szCs w:val="26"/>
          <w:rtl/>
          <w:lang w:bidi="ar-EG"/>
        </w:rPr>
        <w:t xml:space="preserve"> أخذ من وثيقة التوجيه بشأن أفضل التقنيات المتاحة لضبط انبعاثات المعادن الثقيلة ومركباتها من فئات المصادر المذكورة في المرفق الثاني لبروتوكول المعادن الثقيلة</w:t>
      </w:r>
      <w:r w:rsidRPr="00A906F3">
        <w:rPr>
          <w:rFonts w:cs="Traditional Arabic"/>
          <w:sz w:val="24"/>
          <w:szCs w:val="24"/>
          <w:rtl/>
          <w:lang w:bidi="ar-EG"/>
        </w:rPr>
        <w:t xml:space="preserve"> (</w:t>
      </w:r>
      <w:r w:rsidRPr="00A906F3">
        <w:rPr>
          <w:rFonts w:cs="Traditional Arabic"/>
          <w:sz w:val="18"/>
          <w:szCs w:val="18"/>
          <w:lang w:bidi="ar-EG"/>
        </w:rPr>
        <w:t>ECE/EB.ALR//116</w:t>
      </w:r>
      <w:r w:rsidRPr="00A906F3">
        <w:rPr>
          <w:rFonts w:cs="Traditional Arabic"/>
          <w:sz w:val="24"/>
          <w:szCs w:val="24"/>
          <w:lang w:bidi="ar-EG"/>
        </w:rPr>
        <w:t xml:space="preserve">, </w:t>
      </w:r>
      <w:r w:rsidRPr="00A906F3">
        <w:rPr>
          <w:rFonts w:cs="Traditional Arabic"/>
          <w:sz w:val="18"/>
          <w:szCs w:val="18"/>
          <w:lang w:bidi="ar-EG"/>
        </w:rPr>
        <w:t>2013</w:t>
      </w:r>
      <w:r w:rsidRPr="00A906F3">
        <w:rPr>
          <w:rFonts w:cs="Traditional Arabic"/>
          <w:sz w:val="24"/>
          <w:szCs w:val="24"/>
          <w:rtl/>
          <w:lang w:bidi="ar-EG"/>
        </w:rPr>
        <w:t>)</w:t>
      </w:r>
      <w:r w:rsidRPr="00A906F3">
        <w:rPr>
          <w:rFonts w:cs="Traditional Arabic"/>
          <w:sz w:val="24"/>
          <w:szCs w:val="24"/>
          <w:vertAlign w:val="superscript"/>
          <w:rtl/>
          <w:lang w:bidi="ar-EG"/>
        </w:rPr>
        <w:t>(</w:t>
      </w:r>
      <w:r w:rsidRPr="00A906F3">
        <w:rPr>
          <w:rFonts w:cs="Traditional Arabic"/>
          <w:sz w:val="24"/>
          <w:szCs w:val="24"/>
          <w:vertAlign w:val="superscript"/>
          <w:rtl/>
          <w:lang w:bidi="ar-EG"/>
        </w:rPr>
        <w:footnoteReference w:id="12"/>
      </w:r>
      <w:r w:rsidRPr="00A906F3">
        <w:rPr>
          <w:rFonts w:cs="Traditional Arabic"/>
          <w:sz w:val="24"/>
          <w:szCs w:val="24"/>
          <w:vertAlign w:val="superscript"/>
          <w:rtl/>
          <w:lang w:bidi="ar-EG"/>
        </w:rPr>
        <w:t>)</w:t>
      </w:r>
    </w:p>
    <w:p w:rsidR="00335E4B" w:rsidRPr="00335E4B" w:rsidRDefault="00335E4B" w:rsidP="00335E4B">
      <w:pPr>
        <w:tabs>
          <w:tab w:val="left" w:pos="2230"/>
          <w:tab w:val="center" w:pos="5468"/>
        </w:tabs>
        <w:spacing w:before="120" w:after="120" w:line="400" w:lineRule="exact"/>
        <w:jc w:val="lowKashida"/>
        <w:rPr>
          <w:rFonts w:cs="Traditional Arabic"/>
          <w:i/>
          <w:iCs/>
          <w:sz w:val="20"/>
          <w:szCs w:val="30"/>
          <w:rtl/>
          <w:lang w:bidi="ar-EG"/>
        </w:rPr>
      </w:pPr>
      <w:r w:rsidRPr="00335E4B">
        <w:rPr>
          <w:rFonts w:cs="Traditional Arabic"/>
          <w:i/>
          <w:iCs/>
          <w:sz w:val="20"/>
          <w:szCs w:val="30"/>
          <w:rtl/>
          <w:lang w:bidi="ar-EG"/>
        </w:rPr>
        <w:t>عوامل الإذابة والأكسدة</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 xml:space="preserve">الكربون المنشط مذيب فعال لالتقاط الزئبق من غاز المداخن. ويمكن حقن الكربون المنشط في تيار غاز المداخن </w:t>
      </w:r>
      <w:r w:rsidRPr="00335E4B">
        <w:rPr>
          <w:rFonts w:cs="Traditional Arabic" w:hint="cs"/>
          <w:sz w:val="20"/>
          <w:szCs w:val="30"/>
          <w:rtl/>
          <w:lang w:bidi="ar-EG"/>
        </w:rPr>
        <w:t xml:space="preserve">قبل دخول </w:t>
      </w:r>
      <w:r w:rsidRPr="00335E4B">
        <w:rPr>
          <w:rFonts w:cs="Traditional Arabic"/>
          <w:sz w:val="20"/>
          <w:szCs w:val="30"/>
          <w:rtl/>
          <w:lang w:bidi="ar-EG"/>
        </w:rPr>
        <w:t xml:space="preserve">أجهزة تنظيف الغبار أو المرشحات الكيسية أو المرسبات الكهروستاتيكية أو يمكن توزيع غاز المداخن في كل أجزاء طبقة ترشيح </w:t>
      </w:r>
      <w:r w:rsidRPr="00335E4B">
        <w:rPr>
          <w:rFonts w:cs="Traditional Arabic" w:hint="cs"/>
          <w:sz w:val="20"/>
          <w:szCs w:val="30"/>
          <w:rtl/>
        </w:rPr>
        <w:t>كربونية</w:t>
      </w:r>
      <w:r w:rsidRPr="00335E4B">
        <w:rPr>
          <w:rFonts w:cs="Traditional Arabic"/>
          <w:sz w:val="20"/>
          <w:szCs w:val="30"/>
          <w:rtl/>
          <w:lang w:bidi="ar-EG"/>
        </w:rPr>
        <w:t xml:space="preserve">. وفعالية الكربون المنشط لضبط الزئبق تتوقف على درجة الحرارة. وبالتحديد فإن التقاط الزئبق أو قدرة إزالة </w:t>
      </w:r>
      <w:r w:rsidRPr="00335E4B">
        <w:rPr>
          <w:rFonts w:cs="Traditional Arabic" w:hint="cs"/>
          <w:sz w:val="20"/>
          <w:szCs w:val="30"/>
          <w:rtl/>
          <w:lang w:bidi="ar-EG"/>
        </w:rPr>
        <w:t>مادة ماصة</w:t>
      </w:r>
      <w:r w:rsidRPr="00335E4B">
        <w:rPr>
          <w:rFonts w:cs="Traditional Arabic"/>
          <w:sz w:val="20"/>
          <w:szCs w:val="30"/>
          <w:rtl/>
          <w:lang w:bidi="ar-EG"/>
        </w:rPr>
        <w:t xml:space="preserve"> بعينه</w:t>
      </w:r>
      <w:r w:rsidRPr="00335E4B">
        <w:rPr>
          <w:rFonts w:cs="Traditional Arabic" w:hint="cs"/>
          <w:sz w:val="20"/>
          <w:szCs w:val="30"/>
          <w:rtl/>
          <w:lang w:bidi="ar-EG"/>
        </w:rPr>
        <w:t>ا</w:t>
      </w:r>
      <w:r w:rsidRPr="00335E4B">
        <w:rPr>
          <w:rFonts w:cs="Traditional Arabic"/>
          <w:sz w:val="20"/>
          <w:szCs w:val="30"/>
          <w:rtl/>
          <w:lang w:bidi="ar-EG"/>
        </w:rPr>
        <w:t xml:space="preserve"> تتزايد نمطياً مع انخفاض درجة حرارة غاز المدخنة. وتتحدد درجة حرارة غاز المدخنة أساساً بتصميم المنشأة وعوامل التشغيل. وحسب خصائص المنشأة، مثل العناصر التي يتكون منها غاز المدخنة وتشغيل جهاز ضبط الغبار، تكون إزالة الزئبق فعالة نسبياً عند درجات حرارة تقل عن 175 درجة مئوية مع استخدام الكربون المنشط المعياري. وتوجد </w:t>
      </w:r>
      <w:r w:rsidRPr="00335E4B">
        <w:rPr>
          <w:rFonts w:cs="Traditional Arabic" w:hint="cs"/>
          <w:sz w:val="20"/>
          <w:szCs w:val="30"/>
          <w:rtl/>
          <w:lang w:bidi="ar-EG"/>
        </w:rPr>
        <w:t>مواد ماصة من ال</w:t>
      </w:r>
      <w:r w:rsidRPr="00335E4B">
        <w:rPr>
          <w:rFonts w:cs="Traditional Arabic"/>
          <w:sz w:val="20"/>
          <w:szCs w:val="30"/>
          <w:rtl/>
          <w:lang w:bidi="ar-EG"/>
        </w:rPr>
        <w:t xml:space="preserve">كربون </w:t>
      </w:r>
      <w:r w:rsidRPr="00335E4B">
        <w:rPr>
          <w:rFonts w:cs="Traditional Arabic" w:hint="cs"/>
          <w:sz w:val="20"/>
          <w:szCs w:val="30"/>
          <w:rtl/>
          <w:lang w:bidi="ar-EG"/>
        </w:rPr>
        <w:t>ال</w:t>
      </w:r>
      <w:r w:rsidRPr="00335E4B">
        <w:rPr>
          <w:rFonts w:cs="Traditional Arabic"/>
          <w:sz w:val="20"/>
          <w:szCs w:val="30"/>
          <w:rtl/>
          <w:lang w:bidi="ar-EG"/>
        </w:rPr>
        <w:t>منشط خاصة لدرجات الحرارة العالية من أجل التقاط الزئبق في درجات حرارة تزيد عن 175 درجة مئوية وتصل عموماً حتى 350 درجة مئوية.</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 xml:space="preserve">وجميع أنواع الكربون المنشط قابلة للاشتعال، وهي قابلة للاشتعال الذاتي وقابلة للانفجار في ظروف معيَّنة. وتتوقف مخاطر النيران والانفجار على خصائص الاحتراق والانفجار في المنتج المسحوق، وكذلك على العمليات المستعملة وأحوال المنشأة. فالكربون المنشط بنوعية جيدة </w:t>
      </w:r>
      <w:r w:rsidRPr="00335E4B">
        <w:rPr>
          <w:rFonts w:cs="Traditional Arabic" w:hint="cs"/>
          <w:sz w:val="20"/>
          <w:szCs w:val="30"/>
          <w:rtl/>
          <w:lang w:bidi="ar-EG"/>
        </w:rPr>
        <w:t>يخضع لقدر كبير من عمليات التجهيز</w:t>
      </w:r>
      <w:r w:rsidRPr="00335E4B">
        <w:rPr>
          <w:rFonts w:cs="Traditional Arabic"/>
          <w:sz w:val="20"/>
          <w:szCs w:val="30"/>
          <w:rtl/>
          <w:lang w:bidi="ar-EG"/>
        </w:rPr>
        <w:t xml:space="preserve"> وينطوي على درجة أقل من مخاطر النيران والانفجار </w:t>
      </w:r>
      <w:r w:rsidRPr="00335E4B">
        <w:rPr>
          <w:rFonts w:cs="Traditional Arabic" w:hint="cs"/>
          <w:sz w:val="20"/>
          <w:szCs w:val="30"/>
          <w:rtl/>
          <w:lang w:bidi="ar-EG"/>
        </w:rPr>
        <w:t>بالمقارنة مع</w:t>
      </w:r>
      <w:r w:rsidRPr="00335E4B">
        <w:rPr>
          <w:rFonts w:cs="Traditional Arabic"/>
          <w:sz w:val="20"/>
          <w:szCs w:val="30"/>
          <w:rtl/>
          <w:lang w:bidi="ar-EG"/>
        </w:rPr>
        <w:t xml:space="preserve"> الكربون من </w:t>
      </w:r>
      <w:r w:rsidRPr="00335E4B">
        <w:rPr>
          <w:rFonts w:cs="Traditional Arabic" w:hint="cs"/>
          <w:sz w:val="20"/>
          <w:szCs w:val="30"/>
          <w:rtl/>
          <w:lang w:bidi="ar-EG"/>
        </w:rPr>
        <w:t>ال</w:t>
      </w:r>
      <w:r w:rsidRPr="00335E4B">
        <w:rPr>
          <w:rFonts w:cs="Traditional Arabic"/>
          <w:sz w:val="20"/>
          <w:szCs w:val="30"/>
          <w:rtl/>
          <w:lang w:bidi="ar-EG"/>
        </w:rPr>
        <w:t xml:space="preserve">نوعية </w:t>
      </w:r>
      <w:r w:rsidRPr="00335E4B">
        <w:rPr>
          <w:rFonts w:cs="Traditional Arabic" w:hint="cs"/>
          <w:sz w:val="20"/>
          <w:szCs w:val="30"/>
          <w:rtl/>
          <w:lang w:bidi="ar-EG"/>
        </w:rPr>
        <w:t>ال</w:t>
      </w:r>
      <w:r w:rsidRPr="00335E4B">
        <w:rPr>
          <w:rFonts w:cs="Traditional Arabic"/>
          <w:sz w:val="20"/>
          <w:szCs w:val="30"/>
          <w:rtl/>
          <w:lang w:bidi="ar-EG"/>
        </w:rPr>
        <w:t xml:space="preserve">منخفضة. ولكن أنواع الكربون المنشط جزئياً يمكن أن تنطوي على مخاطرة عالية وقد تتطلب تعاملاً خاصاً. وينبغي اختيار </w:t>
      </w:r>
      <w:r w:rsidRPr="00335E4B">
        <w:rPr>
          <w:rFonts w:cs="Traditional Arabic" w:hint="cs"/>
          <w:sz w:val="20"/>
          <w:szCs w:val="30"/>
          <w:rtl/>
          <w:lang w:bidi="ar-EG"/>
        </w:rPr>
        <w:t>المادة الماصة</w:t>
      </w:r>
      <w:r w:rsidRPr="00335E4B">
        <w:rPr>
          <w:rFonts w:cs="Traditional Arabic"/>
          <w:sz w:val="20"/>
          <w:szCs w:val="30"/>
          <w:rtl/>
          <w:lang w:bidi="ar-EG"/>
        </w:rPr>
        <w:t xml:space="preserve"> بعناية واستخدامه</w:t>
      </w:r>
      <w:r w:rsidRPr="00335E4B">
        <w:rPr>
          <w:rFonts w:cs="Traditional Arabic" w:hint="cs"/>
          <w:sz w:val="20"/>
          <w:szCs w:val="30"/>
          <w:rtl/>
          <w:lang w:bidi="ar-EG"/>
        </w:rPr>
        <w:t>ا</w:t>
      </w:r>
      <w:r w:rsidRPr="00335E4B">
        <w:rPr>
          <w:rFonts w:cs="Traditional Arabic"/>
          <w:sz w:val="20"/>
          <w:szCs w:val="30"/>
          <w:rtl/>
          <w:lang w:bidi="ar-EG"/>
        </w:rPr>
        <w:t xml:space="preserve"> حسب التوجيه</w:t>
      </w:r>
      <w:r w:rsidRPr="00335E4B">
        <w:rPr>
          <w:rFonts w:cs="Traditional Arabic" w:hint="cs"/>
          <w:sz w:val="20"/>
          <w:szCs w:val="30"/>
          <w:rtl/>
          <w:lang w:bidi="ar-EG"/>
        </w:rPr>
        <w:t>ات</w:t>
      </w:r>
      <w:r w:rsidRPr="00335E4B">
        <w:rPr>
          <w:rFonts w:cs="Traditional Arabic"/>
          <w:sz w:val="20"/>
          <w:szCs w:val="30"/>
          <w:rtl/>
          <w:lang w:bidi="ar-EG"/>
        </w:rPr>
        <w:t xml:space="preserve"> المناسب</w:t>
      </w:r>
      <w:r w:rsidRPr="00335E4B">
        <w:rPr>
          <w:rFonts w:cs="Traditional Arabic" w:hint="cs"/>
          <w:sz w:val="20"/>
          <w:szCs w:val="30"/>
          <w:rtl/>
          <w:lang w:bidi="ar-EG"/>
        </w:rPr>
        <w:t>ة</w:t>
      </w:r>
      <w:r w:rsidRPr="00335E4B">
        <w:rPr>
          <w:rFonts w:cs="Traditional Arabic"/>
          <w:sz w:val="20"/>
          <w:szCs w:val="30"/>
          <w:rtl/>
          <w:lang w:bidi="ar-EG"/>
        </w:rPr>
        <w:t xml:space="preserve"> للتعامل، بما في ذلك </w:t>
      </w:r>
      <w:r w:rsidRPr="00335E4B">
        <w:rPr>
          <w:rFonts w:cs="Traditional Arabic" w:hint="cs"/>
          <w:sz w:val="20"/>
          <w:szCs w:val="30"/>
          <w:rtl/>
          <w:lang w:bidi="ar-EG"/>
        </w:rPr>
        <w:t xml:space="preserve">استخدام </w:t>
      </w:r>
      <w:r w:rsidRPr="00335E4B">
        <w:rPr>
          <w:rFonts w:cs="Traditional Arabic"/>
          <w:sz w:val="20"/>
          <w:szCs w:val="30"/>
          <w:rtl/>
          <w:lang w:bidi="ar-EG"/>
        </w:rPr>
        <w:t xml:space="preserve">معدات منع النيران والانفجار (مثل تجنب تيارات الهواء منخفضة السرعة عن طريق طبقات الترشيح وتجنب الترسيبات الكبيرة الحجم في العملية من خلال استمرار التصريف من القواديس ورصده من أجل تجنب مخاطر النيران، وجودة الصيانة الروتينية لتنظيف التناثر). وتخفيف الكربون بمواد خاملة يمكن أن </w:t>
      </w:r>
      <w:r w:rsidRPr="00335E4B">
        <w:rPr>
          <w:rFonts w:cs="Traditional Arabic" w:hint="cs"/>
          <w:sz w:val="20"/>
          <w:szCs w:val="30"/>
          <w:rtl/>
          <w:lang w:bidi="ar-EG"/>
        </w:rPr>
        <w:t>يكبح</w:t>
      </w:r>
      <w:r w:rsidRPr="00335E4B">
        <w:rPr>
          <w:rFonts w:cs="Traditional Arabic"/>
          <w:sz w:val="20"/>
          <w:szCs w:val="30"/>
          <w:rtl/>
          <w:lang w:bidi="ar-EG"/>
        </w:rPr>
        <w:t xml:space="preserve"> إمكانية الانفجار. وفي التطبيقات التي يضاف فيها الكربون المنشط إلى تدفقات الغاز التي تنطوي على كميات قليلة من غاز العمليات قد يكون من المفيد خلط الكربون ب</w:t>
      </w:r>
      <w:r w:rsidRPr="00335E4B">
        <w:rPr>
          <w:rFonts w:cs="Traditional Arabic" w:hint="cs"/>
          <w:sz w:val="20"/>
          <w:szCs w:val="30"/>
          <w:rtl/>
          <w:lang w:bidi="ar-EG"/>
        </w:rPr>
        <w:t>مواد ماصة</w:t>
      </w:r>
      <w:r w:rsidRPr="00335E4B">
        <w:rPr>
          <w:rFonts w:cs="Traditional Arabic"/>
          <w:sz w:val="20"/>
          <w:szCs w:val="30"/>
          <w:rtl/>
          <w:lang w:bidi="ar-EG"/>
        </w:rPr>
        <w:t xml:space="preserve"> غير قابلة للاشتعال (ليكاتا وآخرون، 2007؛ ديرين وآخرون، 2008).</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ويمكن تعزيز التقاط الزئبق بإضافة عوامل الأكسدة (مثل الهالوجينات) إلى غاز المدخنة أو استخدام الكربون المنشط المحقون بالهالوجين أو الكبريت. ويرد وصف هذه التقنيات بمزيد من التفصيل في الفصول الخاصة بالقطاعات. وهناك خطر محتمل من إمكانية ظهور الديوكسين والفيوران نتيجة ذلك، وخاصة في المنتجات الثانوية، مثل الرماد والحمأة. وينبغي أن يؤخذ ذلك في الاعتبار.</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 xml:space="preserve">وينبغي التعامل مع نفايات الكربون المنشط وفقاً للمادة 11 (نفايات الزئبق) ووفقاً لأي لوائح وطنية </w:t>
      </w:r>
      <w:r w:rsidRPr="00335E4B">
        <w:rPr>
          <w:rFonts w:cs="Traditional Arabic" w:hint="cs"/>
          <w:sz w:val="20"/>
          <w:szCs w:val="30"/>
          <w:rtl/>
          <w:lang w:bidi="ar-EG"/>
        </w:rPr>
        <w:t>معمول بها</w:t>
      </w:r>
      <w:r w:rsidRPr="00335E4B">
        <w:rPr>
          <w:rFonts w:cs="Traditional Arabic"/>
          <w:sz w:val="20"/>
          <w:szCs w:val="30"/>
          <w:rtl/>
          <w:lang w:bidi="ar-EG"/>
        </w:rPr>
        <w:t>.</w:t>
      </w:r>
    </w:p>
    <w:p w:rsidR="00335E4B" w:rsidRPr="00335E4B" w:rsidRDefault="00335E4B" w:rsidP="00335E4B">
      <w:pPr>
        <w:tabs>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ويوضح الجدول 2 الأداء الأدنى المتوقع لتقنيات الكربون المنشط من أجل إزالة الزئبق.</w:t>
      </w:r>
    </w:p>
    <w:p w:rsidR="00A906F3" w:rsidRDefault="00335E4B" w:rsidP="00A906F3">
      <w:pPr>
        <w:tabs>
          <w:tab w:val="left" w:pos="2230"/>
          <w:tab w:val="center" w:pos="5468"/>
        </w:tabs>
        <w:spacing w:after="120" w:line="400" w:lineRule="exact"/>
        <w:jc w:val="lowKashida"/>
        <w:rPr>
          <w:rFonts w:cs="Traditional Arabic"/>
          <w:b/>
          <w:bCs/>
          <w:sz w:val="20"/>
          <w:szCs w:val="30"/>
          <w:rtl/>
          <w:lang w:bidi="ar-EG"/>
        </w:rPr>
      </w:pPr>
      <w:r w:rsidRPr="00335E4B">
        <w:rPr>
          <w:rFonts w:cs="Traditional Arabic"/>
          <w:b/>
          <w:bCs/>
          <w:sz w:val="20"/>
          <w:szCs w:val="30"/>
          <w:rtl/>
          <w:lang w:bidi="ar-EG"/>
        </w:rPr>
        <w:t>الجدول 2</w:t>
      </w:r>
    </w:p>
    <w:p w:rsidR="00335E4B" w:rsidRPr="00335E4B" w:rsidRDefault="00335E4B" w:rsidP="00A906F3">
      <w:pPr>
        <w:tabs>
          <w:tab w:val="left" w:pos="2230"/>
          <w:tab w:val="center" w:pos="5468"/>
        </w:tabs>
        <w:spacing w:after="120" w:line="400" w:lineRule="exact"/>
        <w:jc w:val="lowKashida"/>
        <w:rPr>
          <w:rFonts w:cs="Traditional Arabic"/>
          <w:b/>
          <w:bCs/>
          <w:sz w:val="20"/>
          <w:szCs w:val="30"/>
          <w:rtl/>
          <w:lang w:bidi="ar-EG"/>
        </w:rPr>
      </w:pPr>
      <w:r w:rsidRPr="00335E4B">
        <w:rPr>
          <w:rFonts w:cs="Traditional Arabic"/>
          <w:b/>
          <w:bCs/>
          <w:sz w:val="20"/>
          <w:szCs w:val="30"/>
          <w:rtl/>
          <w:lang w:bidi="ar-EG"/>
        </w:rPr>
        <w:t>الأداء الأدنى المتوقع لتقنيات الكربون المنشط لإزالة الزئبق معبراً عنه بمتوسط تركيزات الزئبق في الساعة</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962"/>
      </w:tblGrid>
      <w:tr w:rsidR="00335E4B" w:rsidRPr="00335E4B" w:rsidTr="00D002D1">
        <w:tc>
          <w:tcPr>
            <w:tcW w:w="4536" w:type="dxa"/>
          </w:tcPr>
          <w:p w:rsidR="00335E4B" w:rsidRPr="00A906F3" w:rsidRDefault="00335E4B" w:rsidP="00335E4B">
            <w:pPr>
              <w:keepNext/>
              <w:keepLines/>
              <w:snapToGrid w:val="0"/>
              <w:spacing w:line="360" w:lineRule="exact"/>
              <w:rPr>
                <w:rFonts w:cs="Traditional Arabic"/>
                <w:sz w:val="28"/>
                <w:lang w:bidi="ar-EG"/>
              </w:rPr>
            </w:pPr>
          </w:p>
        </w:tc>
        <w:tc>
          <w:tcPr>
            <w:tcW w:w="4962" w:type="dxa"/>
          </w:tcPr>
          <w:p w:rsidR="00335E4B" w:rsidRPr="00A906F3" w:rsidRDefault="00335E4B" w:rsidP="00335E4B">
            <w:pPr>
              <w:keepNext/>
              <w:keepLines/>
              <w:snapToGrid w:val="0"/>
              <w:spacing w:line="360" w:lineRule="exact"/>
              <w:jc w:val="center"/>
              <w:rPr>
                <w:rFonts w:cs="Traditional Arabic"/>
                <w:sz w:val="28"/>
                <w:lang w:bidi="ar-EG"/>
              </w:rPr>
            </w:pPr>
            <w:r w:rsidRPr="00A906F3">
              <w:rPr>
                <w:rFonts w:cs="Traditional Arabic"/>
                <w:sz w:val="28"/>
                <w:rtl/>
                <w:lang w:bidi="ar-EG"/>
              </w:rPr>
              <w:t>محتوى الزئبق بعد التنظيف (ملغ/م</w:t>
            </w:r>
            <w:r w:rsidRPr="00F233C1">
              <w:rPr>
                <w:rFonts w:cs="Traditional Arabic"/>
                <w:sz w:val="28"/>
                <w:vertAlign w:val="superscript"/>
                <w:rtl/>
                <w:lang w:bidi="ar-EG"/>
              </w:rPr>
              <w:t>3</w:t>
            </w:r>
            <w:r w:rsidRPr="00A906F3">
              <w:rPr>
                <w:rFonts w:cs="Traditional Arabic"/>
                <w:sz w:val="28"/>
                <w:rtl/>
                <w:lang w:bidi="ar-EG"/>
              </w:rPr>
              <w:t>)</w:t>
            </w:r>
          </w:p>
        </w:tc>
      </w:tr>
      <w:tr w:rsidR="00335E4B" w:rsidRPr="00335E4B" w:rsidTr="00D002D1">
        <w:tc>
          <w:tcPr>
            <w:tcW w:w="4536" w:type="dxa"/>
          </w:tcPr>
          <w:p w:rsidR="00335E4B" w:rsidRPr="00A906F3" w:rsidRDefault="00335E4B" w:rsidP="00335E4B">
            <w:pPr>
              <w:keepNext/>
              <w:keepLines/>
              <w:snapToGrid w:val="0"/>
              <w:spacing w:line="360" w:lineRule="exact"/>
              <w:rPr>
                <w:rFonts w:cs="Traditional Arabic"/>
                <w:sz w:val="28"/>
                <w:rtl/>
                <w:lang w:bidi="ar-EG"/>
              </w:rPr>
            </w:pPr>
            <w:r w:rsidRPr="00A906F3">
              <w:rPr>
                <w:rFonts w:cs="Traditional Arabic"/>
                <w:sz w:val="28"/>
                <w:rtl/>
                <w:lang w:bidi="ar-EG"/>
              </w:rPr>
              <w:t>مرشح كربوني</w:t>
            </w:r>
          </w:p>
          <w:p w:rsidR="00335E4B" w:rsidRPr="00A906F3" w:rsidRDefault="00335E4B" w:rsidP="00335E4B">
            <w:pPr>
              <w:keepNext/>
              <w:keepLines/>
              <w:snapToGrid w:val="0"/>
              <w:spacing w:line="360" w:lineRule="exact"/>
              <w:rPr>
                <w:rFonts w:cs="Traditional Arabic"/>
                <w:sz w:val="28"/>
                <w:rtl/>
                <w:lang w:bidi="ar-EG"/>
              </w:rPr>
            </w:pPr>
            <w:r w:rsidRPr="00A906F3">
              <w:rPr>
                <w:rFonts w:cs="Traditional Arabic"/>
                <w:sz w:val="28"/>
                <w:rtl/>
                <w:lang w:bidi="ar-EG"/>
              </w:rPr>
              <w:t xml:space="preserve">مرشح كربوني </w:t>
            </w:r>
            <w:r w:rsidRPr="00A906F3">
              <w:rPr>
                <w:rFonts w:cs="Traditional Arabic" w:hint="cs"/>
                <w:sz w:val="28"/>
                <w:rtl/>
                <w:lang w:bidi="ar-EG"/>
              </w:rPr>
              <w:t>محقون</w:t>
            </w:r>
            <w:r w:rsidRPr="00A906F3">
              <w:rPr>
                <w:rFonts w:cs="Traditional Arabic"/>
                <w:sz w:val="28"/>
                <w:rtl/>
                <w:lang w:bidi="ar-EG"/>
              </w:rPr>
              <w:t xml:space="preserve"> بالكبريت</w:t>
            </w:r>
          </w:p>
          <w:p w:rsidR="00335E4B" w:rsidRPr="00A906F3" w:rsidRDefault="00335E4B" w:rsidP="00335E4B">
            <w:pPr>
              <w:keepNext/>
              <w:keepLines/>
              <w:snapToGrid w:val="0"/>
              <w:spacing w:line="360" w:lineRule="exact"/>
              <w:rPr>
                <w:rFonts w:cs="Traditional Arabic"/>
                <w:sz w:val="28"/>
                <w:rtl/>
                <w:lang w:bidi="ar-EG"/>
              </w:rPr>
            </w:pPr>
            <w:r w:rsidRPr="00A906F3">
              <w:rPr>
                <w:rFonts w:cs="Traditional Arabic"/>
                <w:sz w:val="28"/>
                <w:rtl/>
                <w:lang w:bidi="ar-EG"/>
              </w:rPr>
              <w:t xml:space="preserve">حقن </w:t>
            </w:r>
            <w:r w:rsidRPr="00A906F3">
              <w:rPr>
                <w:rFonts w:cs="Traditional Arabic" w:hint="cs"/>
                <w:sz w:val="28"/>
                <w:rtl/>
                <w:lang w:bidi="ar-EG"/>
              </w:rPr>
              <w:t>ال</w:t>
            </w:r>
            <w:r w:rsidRPr="00A906F3">
              <w:rPr>
                <w:rFonts w:cs="Traditional Arabic"/>
                <w:sz w:val="28"/>
                <w:rtl/>
                <w:lang w:bidi="ar-EG"/>
              </w:rPr>
              <w:t>كربون + فصل الغبار</w:t>
            </w:r>
          </w:p>
          <w:p w:rsidR="00335E4B" w:rsidRPr="00A906F3" w:rsidRDefault="00335E4B" w:rsidP="00335E4B">
            <w:pPr>
              <w:keepNext/>
              <w:keepLines/>
              <w:snapToGrid w:val="0"/>
              <w:spacing w:line="360" w:lineRule="exact"/>
              <w:rPr>
                <w:rFonts w:cs="Traditional Arabic"/>
                <w:sz w:val="28"/>
                <w:lang w:bidi="ar-EG"/>
              </w:rPr>
            </w:pPr>
            <w:r w:rsidRPr="00A906F3">
              <w:rPr>
                <w:rFonts w:cs="Traditional Arabic"/>
                <w:sz w:val="28"/>
                <w:rtl/>
                <w:lang w:bidi="ar-EG"/>
              </w:rPr>
              <w:t>حقن الكربون المنشط المبروم + فصل الغبار</w:t>
            </w:r>
          </w:p>
        </w:tc>
        <w:tc>
          <w:tcPr>
            <w:tcW w:w="4962" w:type="dxa"/>
          </w:tcPr>
          <w:p w:rsidR="00335E4B" w:rsidRPr="00A906F3" w:rsidRDefault="00335E4B" w:rsidP="00335E4B">
            <w:pPr>
              <w:keepNext/>
              <w:keepLines/>
              <w:snapToGrid w:val="0"/>
              <w:spacing w:line="360" w:lineRule="exact"/>
              <w:jc w:val="center"/>
              <w:rPr>
                <w:rFonts w:cs="Traditional Arabic"/>
                <w:sz w:val="28"/>
                <w:rtl/>
                <w:lang w:bidi="ar-EG"/>
              </w:rPr>
            </w:pPr>
            <w:r w:rsidRPr="00A906F3">
              <w:rPr>
                <w:rFonts w:cs="Traditional Arabic"/>
                <w:sz w:val="28"/>
                <w:rtl/>
                <w:lang w:bidi="ar-EG"/>
              </w:rPr>
              <w:t>&lt; 0</w:t>
            </w:r>
            <w:r w:rsidRPr="00A906F3">
              <w:rPr>
                <w:rFonts w:cs="Traditional Arabic" w:hint="cs"/>
                <w:sz w:val="28"/>
                <w:rtl/>
                <w:lang w:bidi="ar-EG"/>
              </w:rPr>
              <w:t>,</w:t>
            </w:r>
            <w:r w:rsidRPr="00A906F3">
              <w:rPr>
                <w:rFonts w:cs="Traditional Arabic"/>
                <w:sz w:val="28"/>
                <w:rtl/>
                <w:lang w:bidi="ar-EG"/>
              </w:rPr>
              <w:t>01</w:t>
            </w:r>
          </w:p>
          <w:p w:rsidR="00335E4B" w:rsidRPr="00A906F3" w:rsidRDefault="00335E4B" w:rsidP="00335E4B">
            <w:pPr>
              <w:keepNext/>
              <w:keepLines/>
              <w:snapToGrid w:val="0"/>
              <w:spacing w:line="360" w:lineRule="exact"/>
              <w:jc w:val="center"/>
              <w:rPr>
                <w:rFonts w:cs="Traditional Arabic"/>
                <w:sz w:val="28"/>
                <w:rtl/>
                <w:lang w:bidi="ar-EG"/>
              </w:rPr>
            </w:pPr>
            <w:r w:rsidRPr="00A906F3">
              <w:rPr>
                <w:rFonts w:cs="Traditional Arabic"/>
                <w:sz w:val="28"/>
                <w:rtl/>
                <w:lang w:bidi="ar-EG"/>
              </w:rPr>
              <w:t>&lt; 0</w:t>
            </w:r>
            <w:r w:rsidRPr="00A906F3">
              <w:rPr>
                <w:rFonts w:cs="Traditional Arabic" w:hint="cs"/>
                <w:sz w:val="28"/>
                <w:rtl/>
                <w:lang w:bidi="ar-EG"/>
              </w:rPr>
              <w:t>,</w:t>
            </w:r>
            <w:r w:rsidRPr="00A906F3">
              <w:rPr>
                <w:rFonts w:cs="Traditional Arabic"/>
                <w:sz w:val="28"/>
                <w:rtl/>
                <w:lang w:bidi="ar-EG"/>
              </w:rPr>
              <w:t>01</w:t>
            </w:r>
          </w:p>
          <w:p w:rsidR="00335E4B" w:rsidRPr="00A906F3" w:rsidRDefault="00335E4B" w:rsidP="00335E4B">
            <w:pPr>
              <w:keepNext/>
              <w:keepLines/>
              <w:snapToGrid w:val="0"/>
              <w:spacing w:line="360" w:lineRule="exact"/>
              <w:jc w:val="center"/>
              <w:rPr>
                <w:rFonts w:cs="Traditional Arabic"/>
                <w:sz w:val="28"/>
                <w:rtl/>
                <w:lang w:bidi="ar-EG"/>
              </w:rPr>
            </w:pPr>
            <w:r w:rsidRPr="00A906F3">
              <w:rPr>
                <w:rFonts w:cs="Traditional Arabic"/>
                <w:sz w:val="28"/>
                <w:rtl/>
                <w:lang w:bidi="ar-EG"/>
              </w:rPr>
              <w:t>&lt; 0</w:t>
            </w:r>
            <w:r w:rsidRPr="00A906F3">
              <w:rPr>
                <w:rFonts w:cs="Traditional Arabic" w:hint="cs"/>
                <w:sz w:val="28"/>
                <w:rtl/>
                <w:lang w:bidi="ar-EG"/>
              </w:rPr>
              <w:t>,</w:t>
            </w:r>
            <w:r w:rsidRPr="00A906F3">
              <w:rPr>
                <w:rFonts w:cs="Traditional Arabic"/>
                <w:sz w:val="28"/>
                <w:rtl/>
                <w:lang w:bidi="ar-EG"/>
              </w:rPr>
              <w:t>05</w:t>
            </w:r>
          </w:p>
          <w:p w:rsidR="00335E4B" w:rsidRPr="00A906F3" w:rsidRDefault="00335E4B" w:rsidP="00335E4B">
            <w:pPr>
              <w:keepNext/>
              <w:keepLines/>
              <w:snapToGrid w:val="0"/>
              <w:spacing w:line="360" w:lineRule="exact"/>
              <w:jc w:val="center"/>
              <w:rPr>
                <w:rFonts w:cs="Traditional Arabic"/>
                <w:sz w:val="28"/>
                <w:lang w:bidi="ar-EG"/>
              </w:rPr>
            </w:pPr>
            <w:r w:rsidRPr="00A906F3">
              <w:rPr>
                <w:rFonts w:cs="Traditional Arabic"/>
                <w:sz w:val="28"/>
                <w:rtl/>
                <w:lang w:bidi="ar-EG"/>
              </w:rPr>
              <w:t>0</w:t>
            </w:r>
            <w:r w:rsidRPr="00A906F3">
              <w:rPr>
                <w:rFonts w:cs="Traditional Arabic" w:hint="cs"/>
                <w:sz w:val="28"/>
                <w:rtl/>
                <w:lang w:bidi="ar-EG"/>
              </w:rPr>
              <w:t>,</w:t>
            </w:r>
            <w:r w:rsidRPr="00A906F3">
              <w:rPr>
                <w:rFonts w:cs="Traditional Arabic"/>
                <w:sz w:val="28"/>
                <w:rtl/>
                <w:lang w:bidi="ar-EG"/>
              </w:rPr>
              <w:t>001</w:t>
            </w:r>
          </w:p>
        </w:tc>
      </w:tr>
    </w:tbl>
    <w:p w:rsidR="00335E4B" w:rsidRPr="00A906F3" w:rsidRDefault="00335E4B" w:rsidP="002609DC">
      <w:pPr>
        <w:tabs>
          <w:tab w:val="left" w:pos="2230"/>
          <w:tab w:val="center" w:pos="5468"/>
        </w:tabs>
        <w:spacing w:before="40" w:after="120" w:line="320" w:lineRule="exact"/>
        <w:jc w:val="both"/>
        <w:rPr>
          <w:rFonts w:cs="Traditional Arabic"/>
          <w:i/>
          <w:iCs/>
          <w:sz w:val="24"/>
          <w:szCs w:val="24"/>
          <w:rtl/>
          <w:lang w:bidi="ar-EG"/>
        </w:rPr>
      </w:pPr>
      <w:r w:rsidRPr="00A906F3">
        <w:rPr>
          <w:rFonts w:cs="Traditional Arabic"/>
          <w:i/>
          <w:iCs/>
          <w:sz w:val="26"/>
          <w:szCs w:val="26"/>
          <w:rtl/>
          <w:lang w:bidi="ar-EG"/>
        </w:rPr>
        <w:t>المصدر: أخذ من وثيقة التوجيه بشأن أفضل التقنيات المتاحة لضبط انبعاثات المعادن الثقيلة ومركباتها من فئات المصادر المذكورة في المرفق الثاني لبروتوكول المعادن الثقيلة</w:t>
      </w:r>
      <w:r w:rsidRPr="00A906F3">
        <w:rPr>
          <w:rFonts w:cs="Traditional Arabic"/>
          <w:i/>
          <w:iCs/>
          <w:sz w:val="24"/>
          <w:szCs w:val="24"/>
          <w:rtl/>
          <w:lang w:bidi="ar-EG"/>
        </w:rPr>
        <w:t xml:space="preserve"> (</w:t>
      </w:r>
      <w:r w:rsidRPr="00A906F3">
        <w:rPr>
          <w:rFonts w:cs="Traditional Arabic"/>
          <w:i/>
          <w:iCs/>
          <w:sz w:val="18"/>
          <w:szCs w:val="18"/>
          <w:lang w:bidi="ar-EG"/>
        </w:rPr>
        <w:t>ECE/EB.AIR/116</w:t>
      </w:r>
      <w:r w:rsidRPr="00A906F3">
        <w:rPr>
          <w:rFonts w:cs="Traditional Arabic"/>
          <w:i/>
          <w:iCs/>
          <w:sz w:val="24"/>
          <w:szCs w:val="24"/>
        </w:rPr>
        <w:t>,</w:t>
      </w:r>
      <w:r w:rsidRPr="00A906F3">
        <w:rPr>
          <w:rFonts w:cs="Traditional Arabic"/>
          <w:i/>
          <w:iCs/>
          <w:sz w:val="24"/>
          <w:szCs w:val="24"/>
          <w:lang w:bidi="ar-EG"/>
        </w:rPr>
        <w:t xml:space="preserve"> </w:t>
      </w:r>
      <w:r w:rsidRPr="00A906F3">
        <w:rPr>
          <w:rFonts w:cs="Traditional Arabic"/>
          <w:i/>
          <w:iCs/>
          <w:sz w:val="18"/>
          <w:szCs w:val="18"/>
          <w:lang w:bidi="ar-EG"/>
        </w:rPr>
        <w:t>2013</w:t>
      </w:r>
      <w:r w:rsidRPr="00A906F3">
        <w:rPr>
          <w:rFonts w:cs="Traditional Arabic"/>
          <w:i/>
          <w:iCs/>
          <w:sz w:val="24"/>
          <w:szCs w:val="24"/>
          <w:rtl/>
          <w:lang w:bidi="ar-EG"/>
        </w:rPr>
        <w:t>)</w:t>
      </w:r>
    </w:p>
    <w:p w:rsidR="00335E4B" w:rsidRPr="00335E4B" w:rsidRDefault="00335E4B" w:rsidP="002609DC">
      <w:pPr>
        <w:tabs>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وتتوقف درجة ضبط الزئبق في الجدول 2 إلى حد كبير على الحالة الكيميائية </w:t>
      </w:r>
      <w:r w:rsidRPr="00335E4B">
        <w:rPr>
          <w:rFonts w:cs="Traditional Arabic" w:hint="cs"/>
          <w:sz w:val="20"/>
          <w:szCs w:val="30"/>
          <w:rtl/>
        </w:rPr>
        <w:t>ل</w:t>
      </w:r>
      <w:r w:rsidRPr="00335E4B">
        <w:rPr>
          <w:rFonts w:cs="Traditional Arabic"/>
          <w:sz w:val="20"/>
          <w:szCs w:val="30"/>
          <w:rtl/>
          <w:lang w:bidi="ar-EG"/>
        </w:rPr>
        <w:t>لزئبق وشكل</w:t>
      </w:r>
      <w:r w:rsidRPr="00335E4B">
        <w:rPr>
          <w:rFonts w:cs="Traditional Arabic" w:hint="cs"/>
          <w:sz w:val="20"/>
          <w:szCs w:val="30"/>
          <w:rtl/>
          <w:lang w:bidi="ar-EG"/>
        </w:rPr>
        <w:t>ه</w:t>
      </w:r>
      <w:r w:rsidRPr="00335E4B">
        <w:rPr>
          <w:rFonts w:cs="Traditional Arabic"/>
          <w:sz w:val="20"/>
          <w:szCs w:val="30"/>
          <w:rtl/>
          <w:lang w:bidi="ar-EG"/>
        </w:rPr>
        <w:t xml:space="preserve"> (على سبيل المثال، ما إن كان الزئبق مؤكسداً أو مرتبطاً بجسيمات)، وعلى التركيز الأوّلي. </w:t>
      </w:r>
      <w:r w:rsidRPr="00335E4B">
        <w:rPr>
          <w:rFonts w:cs="Traditional Arabic" w:hint="cs"/>
          <w:sz w:val="20"/>
          <w:szCs w:val="30"/>
          <w:rtl/>
          <w:lang w:bidi="ar-EG"/>
        </w:rPr>
        <w:t>و</w:t>
      </w:r>
      <w:r w:rsidRPr="00335E4B">
        <w:rPr>
          <w:rFonts w:cs="Traditional Arabic"/>
          <w:sz w:val="20"/>
          <w:szCs w:val="30"/>
          <w:rtl/>
          <w:lang w:bidi="ar-EG"/>
        </w:rPr>
        <w:t xml:space="preserve">يتوقف تطبيق هذه التدابير على العمليات المحددة </w:t>
      </w:r>
      <w:r w:rsidRPr="00335E4B">
        <w:rPr>
          <w:rFonts w:cs="Traditional Arabic" w:hint="cs"/>
          <w:sz w:val="20"/>
          <w:szCs w:val="30"/>
          <w:rtl/>
          <w:lang w:bidi="ar-EG"/>
        </w:rPr>
        <w:t>ويكون</w:t>
      </w:r>
      <w:r w:rsidRPr="00335E4B">
        <w:rPr>
          <w:rFonts w:cs="Traditional Arabic"/>
          <w:sz w:val="20"/>
          <w:szCs w:val="30"/>
          <w:rtl/>
          <w:lang w:bidi="ar-EG"/>
        </w:rPr>
        <w:t xml:space="preserve"> </w:t>
      </w:r>
      <w:r w:rsidRPr="00335E4B">
        <w:rPr>
          <w:rFonts w:cs="Traditional Arabic" w:hint="cs"/>
          <w:sz w:val="20"/>
          <w:szCs w:val="30"/>
          <w:rtl/>
          <w:lang w:bidi="ar-EG"/>
        </w:rPr>
        <w:t>أكثر أهمية</w:t>
      </w:r>
      <w:r w:rsidRPr="00335E4B">
        <w:rPr>
          <w:rFonts w:cs="Traditional Arabic"/>
          <w:sz w:val="20"/>
          <w:szCs w:val="30"/>
          <w:rtl/>
          <w:lang w:bidi="ar-EG"/>
        </w:rPr>
        <w:t xml:space="preserve"> عندما تكون تركيزات الزئبق في غاز المدخنة مرتفعة. وتتضمن وثائق القطاعات أمثلة لمستويات أداء </w:t>
      </w:r>
      <w:r w:rsidRPr="00335E4B">
        <w:rPr>
          <w:rFonts w:cs="Traditional Arabic" w:hint="cs"/>
          <w:sz w:val="20"/>
          <w:szCs w:val="30"/>
          <w:rtl/>
          <w:lang w:bidi="ar-EG"/>
        </w:rPr>
        <w:t xml:space="preserve">فرادى </w:t>
      </w:r>
      <w:r w:rsidRPr="00335E4B">
        <w:rPr>
          <w:rFonts w:cs="Traditional Arabic"/>
          <w:sz w:val="20"/>
          <w:szCs w:val="30"/>
          <w:rtl/>
          <w:lang w:bidi="ar-EG"/>
        </w:rPr>
        <w:t>التقنيات أو مجموعات التقنيات.</w:t>
      </w:r>
    </w:p>
    <w:p w:rsidR="00335E4B" w:rsidRPr="00335E4B" w:rsidRDefault="00335E4B" w:rsidP="00AE2304">
      <w:pPr>
        <w:spacing w:after="240" w:line="400" w:lineRule="exact"/>
        <w:ind w:firstLine="720"/>
        <w:jc w:val="lowKashida"/>
        <w:rPr>
          <w:rFonts w:cs="Traditional Arabic"/>
          <w:b/>
          <w:bCs/>
          <w:sz w:val="34"/>
          <w:szCs w:val="34"/>
          <w:rtl/>
          <w:lang w:bidi="ar-EG"/>
        </w:rPr>
      </w:pPr>
      <w:r w:rsidRPr="00335E4B">
        <w:rPr>
          <w:rFonts w:cs="Traditional Arabic"/>
          <w:b/>
          <w:bCs/>
          <w:sz w:val="34"/>
          <w:szCs w:val="34"/>
          <w:rtl/>
          <w:lang w:bidi="ar-EG"/>
        </w:rPr>
        <w:br w:type="page"/>
      </w:r>
      <w:r w:rsidR="00A20BAE">
        <w:rPr>
          <w:rFonts w:cs="Traditional Arabic"/>
          <w:b/>
          <w:bCs/>
          <w:sz w:val="34"/>
          <w:szCs w:val="34"/>
          <w:rtl/>
          <w:lang w:bidi="ar-EG"/>
        </w:rPr>
        <w:t>الفصل</w:t>
      </w:r>
      <w:r w:rsidR="00A20BAE" w:rsidRPr="00A20BAE">
        <w:rPr>
          <w:rFonts w:cs="Traditional Arabic"/>
          <w:b/>
          <w:bCs/>
          <w:sz w:val="34"/>
          <w:szCs w:val="34"/>
          <w:rtl/>
          <w:lang w:bidi="ar-EG"/>
        </w:rPr>
        <w:t xml:space="preserve"> </w:t>
      </w:r>
      <w:r w:rsidRPr="00335E4B">
        <w:rPr>
          <w:rFonts w:cs="Traditional Arabic"/>
          <w:b/>
          <w:bCs/>
          <w:sz w:val="34"/>
          <w:szCs w:val="34"/>
          <w:rtl/>
          <w:lang w:bidi="ar-EG"/>
        </w:rPr>
        <w:t>الثالث</w:t>
      </w:r>
    </w:p>
    <w:p w:rsidR="00335E4B" w:rsidRPr="00335E4B" w:rsidRDefault="00335E4B" w:rsidP="00A906F3">
      <w:pPr>
        <w:spacing w:after="240" w:line="400" w:lineRule="exact"/>
        <w:ind w:firstLine="720"/>
        <w:jc w:val="lowKashida"/>
        <w:rPr>
          <w:rFonts w:cs="Traditional Arabic"/>
          <w:b/>
          <w:bCs/>
          <w:sz w:val="34"/>
          <w:szCs w:val="34"/>
          <w:rtl/>
          <w:lang w:bidi="ar-EG"/>
        </w:rPr>
      </w:pPr>
      <w:r w:rsidRPr="00335E4B">
        <w:rPr>
          <w:rFonts w:cs="Traditional Arabic"/>
          <w:b/>
          <w:bCs/>
          <w:sz w:val="34"/>
          <w:szCs w:val="34"/>
          <w:rtl/>
          <w:lang w:bidi="ar-EG"/>
        </w:rPr>
        <w:t>الرصد</w:t>
      </w:r>
    </w:p>
    <w:p w:rsidR="00335E4B" w:rsidRPr="00335E4B" w:rsidRDefault="00335E4B" w:rsidP="00335E4B">
      <w:pPr>
        <w:tabs>
          <w:tab w:val="left" w:pos="2230"/>
          <w:tab w:val="center" w:pos="5468"/>
        </w:tabs>
        <w:spacing w:after="120" w:line="400" w:lineRule="exact"/>
        <w:jc w:val="lowKashida"/>
        <w:rPr>
          <w:rFonts w:cs="Traditional Arabic"/>
          <w:b/>
          <w:bCs/>
          <w:sz w:val="30"/>
          <w:szCs w:val="30"/>
          <w:rtl/>
          <w:lang w:bidi="ar-EG"/>
        </w:rPr>
      </w:pPr>
      <w:r w:rsidRPr="00335E4B">
        <w:rPr>
          <w:rFonts w:cs="Traditional Arabic"/>
          <w:b/>
          <w:bCs/>
          <w:sz w:val="32"/>
          <w:szCs w:val="32"/>
          <w:rtl/>
          <w:lang w:bidi="ar-EG"/>
        </w:rPr>
        <w:t>رصد انبعاثات الزئبق</w:t>
      </w:r>
    </w:p>
    <w:p w:rsidR="00335E4B" w:rsidRPr="00335E4B" w:rsidRDefault="00335E4B" w:rsidP="00525770">
      <w:pPr>
        <w:keepNext/>
        <w:spacing w:after="120" w:line="400" w:lineRule="exact"/>
        <w:jc w:val="both"/>
        <w:outlineLvl w:val="0"/>
        <w:rPr>
          <w:rFonts w:cs="Traditional Arabic"/>
          <w:b/>
          <w:bCs/>
          <w:sz w:val="32"/>
          <w:szCs w:val="32"/>
          <w:rtl/>
        </w:rPr>
      </w:pPr>
      <w:bookmarkStart w:id="212" w:name="_Toc441577692"/>
      <w:bookmarkStart w:id="213" w:name="_Toc441577871"/>
      <w:bookmarkStart w:id="214" w:name="_Toc441579097"/>
      <w:bookmarkStart w:id="215" w:name="_Toc441580705"/>
      <w:bookmarkStart w:id="216" w:name="_Toc441585836"/>
      <w:bookmarkStart w:id="217" w:name="_Toc441586172"/>
      <w:bookmarkStart w:id="218" w:name="_Toc441586622"/>
      <w:bookmarkStart w:id="219" w:name="_Toc441586801"/>
      <w:bookmarkStart w:id="220" w:name="_Toc441666650"/>
      <w:bookmarkStart w:id="221" w:name="_Toc441673711"/>
      <w:r w:rsidRPr="00335E4B">
        <w:rPr>
          <w:rFonts w:cs="Traditional Arabic" w:hint="cs"/>
          <w:b/>
          <w:bCs/>
          <w:sz w:val="32"/>
          <w:szCs w:val="32"/>
          <w:rtl/>
        </w:rPr>
        <w:t>1</w:t>
      </w:r>
      <w:r w:rsidRPr="00335E4B">
        <w:rPr>
          <w:rFonts w:cs="Traditional Arabic"/>
          <w:b/>
          <w:bCs/>
          <w:sz w:val="32"/>
          <w:szCs w:val="32"/>
          <w:rtl/>
        </w:rPr>
        <w:t xml:space="preserve"> -</w:t>
      </w:r>
      <w:r w:rsidRPr="00335E4B">
        <w:rPr>
          <w:rFonts w:cs="Traditional Arabic"/>
          <w:b/>
          <w:bCs/>
          <w:sz w:val="32"/>
          <w:szCs w:val="32"/>
          <w:rtl/>
        </w:rPr>
        <w:tab/>
        <w:t>مقدمة</w:t>
      </w:r>
      <w:bookmarkEnd w:id="212"/>
      <w:bookmarkEnd w:id="213"/>
      <w:bookmarkEnd w:id="214"/>
      <w:bookmarkEnd w:id="215"/>
      <w:bookmarkEnd w:id="216"/>
      <w:bookmarkEnd w:id="217"/>
      <w:bookmarkEnd w:id="218"/>
      <w:bookmarkEnd w:id="219"/>
      <w:bookmarkEnd w:id="220"/>
      <w:bookmarkEnd w:id="221"/>
    </w:p>
    <w:p w:rsidR="00335E4B" w:rsidRDefault="00097172" w:rsidP="00335E4B">
      <w:pPr>
        <w:spacing w:after="120" w:line="400" w:lineRule="exact"/>
        <w:jc w:val="lowKashida"/>
        <w:rPr>
          <w:rFonts w:cs="Traditional Arabic"/>
          <w:sz w:val="20"/>
          <w:szCs w:val="30"/>
          <w:rtl/>
          <w:lang w:bidi="ar-EG"/>
        </w:rPr>
      </w:pPr>
      <w:r>
        <w:rPr>
          <w:rFonts w:cs="Traditional Arabic" w:hint="cs"/>
          <w:sz w:val="20"/>
          <w:szCs w:val="30"/>
          <w:rtl/>
        </w:rPr>
        <w:t xml:space="preserve">رصد </w:t>
      </w:r>
      <w:r>
        <w:rPr>
          <w:rFonts w:cs="Traditional Arabic"/>
          <w:sz w:val="20"/>
          <w:szCs w:val="30"/>
          <w:rtl/>
          <w:lang w:bidi="ar-EG"/>
        </w:rPr>
        <w:t>انبعاثات الزئبق ه</w:t>
      </w:r>
      <w:r>
        <w:rPr>
          <w:rFonts w:cs="Traditional Arabic" w:hint="cs"/>
          <w:sz w:val="20"/>
          <w:szCs w:val="30"/>
          <w:rtl/>
          <w:lang w:bidi="ar-EG"/>
        </w:rPr>
        <w:t>و</w:t>
      </w:r>
      <w:r w:rsidR="00335E4B" w:rsidRPr="00335E4B">
        <w:rPr>
          <w:rFonts w:cs="Traditional Arabic"/>
          <w:sz w:val="20"/>
          <w:szCs w:val="30"/>
          <w:rtl/>
          <w:lang w:bidi="ar-EG"/>
        </w:rPr>
        <w:t xml:space="preserve"> عنصر مكون رئيسي لتمكين أي طرف من تقييم أداء التدابير التي يطبقها. ولذلك يصف هذا الفصل التقنيات العامة التي قد ينظر الطرف في تطبيقها لرصد الانبعاثات. وبالإضافة إلى ذلك، يجري تناول تقنيات رصد الانبعاثات الخاصة بفئات المصادر الثابتة المذكورة في المرفق دال في الفصول ذات الصلة من هذ</w:t>
      </w:r>
      <w:r w:rsidR="00335E4B" w:rsidRPr="00335E4B">
        <w:rPr>
          <w:rFonts w:cs="Traditional Arabic" w:hint="cs"/>
          <w:sz w:val="20"/>
          <w:szCs w:val="30"/>
          <w:rtl/>
          <w:lang w:bidi="ar-EG"/>
        </w:rPr>
        <w:t>ه</w:t>
      </w:r>
      <w:r w:rsidR="00335E4B" w:rsidRPr="00335E4B">
        <w:rPr>
          <w:rFonts w:cs="Traditional Arabic"/>
          <w:sz w:val="20"/>
          <w:szCs w:val="30"/>
          <w:rtl/>
          <w:lang w:bidi="ar-EG"/>
        </w:rPr>
        <w:t xml:space="preserve"> التوجيه</w:t>
      </w:r>
      <w:r w:rsidR="00335E4B" w:rsidRPr="00335E4B">
        <w:rPr>
          <w:rFonts w:cs="Traditional Arabic" w:hint="cs"/>
          <w:sz w:val="20"/>
          <w:szCs w:val="30"/>
          <w:rtl/>
          <w:lang w:bidi="ar-EG"/>
        </w:rPr>
        <w:t>ات</w:t>
      </w:r>
      <w:r w:rsidR="00335E4B" w:rsidRPr="00335E4B">
        <w:rPr>
          <w:rFonts w:cs="Traditional Arabic"/>
          <w:sz w:val="20"/>
          <w:szCs w:val="30"/>
          <w:rtl/>
          <w:lang w:bidi="ar-EG"/>
        </w:rPr>
        <w:t>. ولا تشمل المادة 8 التزامات محددة بشأن رصد الانبعاثات. ولكن الفقرة 6 من هذه المادة تقضي بأن تحقق التدابير التي يطبقها أي طرف تقدماً معقولاً في خفض الانبعاثات مع مرور الوقت. وبالإضافة إلى ذلك، تقضي الفقرة 11 بأن يبلغ كل طرف (عملاً بالمادة 21) عن فعالية التدابير التي اتخذها في سبيل ضبط، وحيثما أمكن، خفض انبعاثات الزئبق ومركبات الزئبق من المصادر الثابتة المندرجة في فئات المصادر المذكورة في المرفق دال.</w:t>
      </w:r>
    </w:p>
    <w:p w:rsidR="006234BD" w:rsidRPr="00335E4B" w:rsidRDefault="00775FAE" w:rsidP="00525770">
      <w:pPr>
        <w:spacing w:after="120" w:line="400" w:lineRule="exact"/>
        <w:jc w:val="lowKashida"/>
        <w:rPr>
          <w:rFonts w:cs="Traditional Arabic"/>
          <w:sz w:val="20"/>
          <w:szCs w:val="30"/>
          <w:rtl/>
        </w:rPr>
      </w:pPr>
      <w:r w:rsidRPr="00775FAE">
        <w:rPr>
          <w:rFonts w:cs="Traditional Arabic"/>
          <w:sz w:val="20"/>
          <w:szCs w:val="30"/>
          <w:rtl/>
          <w:lang w:bidi="ar-EG"/>
        </w:rPr>
        <w:t xml:space="preserve">واستفادت عملية إعداد التوجيهات من الخبرات ذات الصلة على المستويين الوطني والإقليمي. ويشار بإحالة مرجعية إلى بعض هذه الخبرات </w:t>
      </w:r>
      <w:r>
        <w:rPr>
          <w:rFonts w:cs="Traditional Arabic" w:hint="cs"/>
          <w:sz w:val="20"/>
          <w:szCs w:val="30"/>
          <w:rtl/>
          <w:lang w:bidi="ar-EG"/>
        </w:rPr>
        <w:t>لأغراض ا</w:t>
      </w:r>
      <w:r w:rsidRPr="00775FAE">
        <w:rPr>
          <w:rFonts w:cs="Traditional Arabic"/>
          <w:sz w:val="20"/>
          <w:szCs w:val="30"/>
          <w:rtl/>
          <w:lang w:bidi="ar-EG"/>
        </w:rPr>
        <w:t xml:space="preserve">لاطلاع. ولا تمس الإحالة المرجعية إلى هذه المعلومات بأي حال من الأحوال باستقلالية مؤتمر الأطراف أو استقلالية طرف ما وفقاً للمادة 8. وتستند أي </w:t>
      </w:r>
      <w:r w:rsidR="00525770">
        <w:rPr>
          <w:rFonts w:cs="Traditional Arabic" w:hint="cs"/>
          <w:sz w:val="20"/>
          <w:szCs w:val="30"/>
          <w:rtl/>
          <w:lang w:bidi="ar-EG"/>
        </w:rPr>
        <w:t>مناقشات بشأن</w:t>
      </w:r>
      <w:r w:rsidRPr="00775FAE">
        <w:rPr>
          <w:rFonts w:cs="Traditional Arabic"/>
          <w:sz w:val="20"/>
          <w:szCs w:val="30"/>
          <w:rtl/>
          <w:lang w:bidi="ar-EG"/>
        </w:rPr>
        <w:t xml:space="preserve"> التكاليف إلى المعلومات التي كانت متاحة وقت إعداد وثيقة التوجيهات. وتجدر الإشارة إلى أنه من المتوقع أن تتغير التكاليف مع مرور الوقت.</w:t>
      </w:r>
    </w:p>
    <w:p w:rsidR="00335E4B" w:rsidRPr="00335E4B" w:rsidRDefault="00335E4B" w:rsidP="0004506D">
      <w:pPr>
        <w:keepNext/>
        <w:spacing w:after="120" w:line="400" w:lineRule="exact"/>
        <w:jc w:val="both"/>
        <w:outlineLvl w:val="0"/>
        <w:rPr>
          <w:rFonts w:cs="Traditional Arabic"/>
          <w:b/>
          <w:bCs/>
          <w:sz w:val="32"/>
          <w:szCs w:val="32"/>
          <w:rtl/>
        </w:rPr>
      </w:pPr>
      <w:bookmarkStart w:id="222" w:name="_Toc441577693"/>
      <w:bookmarkStart w:id="223" w:name="_Toc441577872"/>
      <w:bookmarkStart w:id="224" w:name="_Toc441579098"/>
      <w:bookmarkStart w:id="225" w:name="_Toc441580706"/>
      <w:bookmarkStart w:id="226" w:name="_Toc441585837"/>
      <w:bookmarkStart w:id="227" w:name="_Toc441586173"/>
      <w:bookmarkStart w:id="228" w:name="_Toc441586623"/>
      <w:bookmarkStart w:id="229" w:name="_Toc441586802"/>
      <w:bookmarkStart w:id="230" w:name="_Toc441666651"/>
      <w:bookmarkStart w:id="231" w:name="_Toc441673712"/>
      <w:r w:rsidRPr="00335E4B">
        <w:rPr>
          <w:rFonts w:cs="Traditional Arabic"/>
          <w:b/>
          <w:bCs/>
          <w:sz w:val="32"/>
          <w:szCs w:val="32"/>
          <w:rtl/>
        </w:rPr>
        <w:t>2 -</w:t>
      </w:r>
      <w:r w:rsidRPr="00335E4B">
        <w:rPr>
          <w:rFonts w:cs="Traditional Arabic"/>
          <w:b/>
          <w:bCs/>
          <w:sz w:val="32"/>
          <w:szCs w:val="32"/>
          <w:rtl/>
        </w:rPr>
        <w:tab/>
        <w:t>نظرة عامة</w:t>
      </w:r>
      <w:bookmarkEnd w:id="222"/>
      <w:bookmarkEnd w:id="223"/>
      <w:bookmarkEnd w:id="224"/>
      <w:bookmarkEnd w:id="225"/>
      <w:bookmarkEnd w:id="226"/>
      <w:bookmarkEnd w:id="227"/>
      <w:bookmarkEnd w:id="228"/>
      <w:bookmarkEnd w:id="229"/>
      <w:bookmarkEnd w:id="230"/>
      <w:bookmarkEnd w:id="231"/>
    </w:p>
    <w:p w:rsidR="00335E4B" w:rsidRPr="00335E4B" w:rsidRDefault="00335E4B" w:rsidP="00335E4B">
      <w:pPr>
        <w:tabs>
          <w:tab w:val="left" w:pos="663"/>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 xml:space="preserve">يمثل رصد انبعاثات الزئبق جانباً جوهرياً في التنفيذ الشامل لأفضل التقنيات المتاحة وأفضل الممارسات البيئية من أجل ضبط انبعاثات الزئبق في البيئة ومن أجل الحفاظ على مستوى مرتفع من كفاءة تشغيل تقنيات التخفيف المستعملة. وينبغي أن يجري رصد انبعاثات الزئبق وفقاً لأفضل الممارسات العامة مع استعمال أساليب معتمدة أو مقبولة. </w:t>
      </w:r>
      <w:r w:rsidRPr="00335E4B">
        <w:rPr>
          <w:rFonts w:cs="Traditional Arabic" w:hint="cs"/>
          <w:sz w:val="20"/>
          <w:szCs w:val="30"/>
          <w:rtl/>
          <w:lang w:bidi="ar-EG"/>
        </w:rPr>
        <w:t>وتلزم</w:t>
      </w:r>
      <w:r w:rsidRPr="00335E4B">
        <w:rPr>
          <w:rFonts w:cs="Traditional Arabic"/>
          <w:sz w:val="20"/>
          <w:szCs w:val="30"/>
          <w:rtl/>
          <w:lang w:bidi="ar-EG"/>
        </w:rPr>
        <w:t xml:space="preserve"> بيانات تمثيلية وموثوقة وسريعة عن رصد انبعاثات الزئبق من أجل تقييم وكفالة فعالية تقنيات ضبط انبعاثات الزئبق المستعملة في أي مرفق.</w:t>
      </w:r>
    </w:p>
    <w:p w:rsidR="00335E4B" w:rsidRPr="00335E4B" w:rsidRDefault="00335E4B" w:rsidP="00335E4B">
      <w:pPr>
        <w:tabs>
          <w:tab w:val="left" w:pos="663"/>
          <w:tab w:val="left" w:pos="2230"/>
          <w:tab w:val="center" w:pos="5468"/>
        </w:tabs>
        <w:spacing w:after="120" w:line="400" w:lineRule="exact"/>
        <w:jc w:val="lowKashida"/>
        <w:rPr>
          <w:rFonts w:cs="Traditional Arabic"/>
          <w:sz w:val="20"/>
          <w:szCs w:val="30"/>
          <w:rtl/>
        </w:rPr>
      </w:pPr>
      <w:r w:rsidRPr="00335E4B">
        <w:rPr>
          <w:rFonts w:cs="Traditional Arabic"/>
          <w:sz w:val="20"/>
          <w:szCs w:val="30"/>
          <w:rtl/>
          <w:lang w:bidi="ar-EG"/>
        </w:rPr>
        <w:t xml:space="preserve">وينبغي أن تضطلع جميع مصادر انبعاثات الزئبق ذات الصلة برصد الانبعاثات. وفي حين أن هذه المقدمة تتضمن </w:t>
      </w:r>
      <w:r w:rsidRPr="00335E4B">
        <w:rPr>
          <w:rFonts w:cs="Traditional Arabic" w:hint="cs"/>
          <w:sz w:val="20"/>
          <w:szCs w:val="30"/>
          <w:rtl/>
          <w:lang w:bidi="ar-EG"/>
        </w:rPr>
        <w:t xml:space="preserve">قائمة </w:t>
      </w:r>
      <w:r w:rsidRPr="00335E4B">
        <w:rPr>
          <w:rFonts w:cs="Traditional Arabic"/>
          <w:sz w:val="20"/>
          <w:szCs w:val="30"/>
          <w:rtl/>
          <w:lang w:bidi="ar-EG"/>
        </w:rPr>
        <w:t xml:space="preserve">التقنيات فإن كل مصدر معني يمكن أن يتخذ التقنيات والممارسات المنطبقة </w:t>
      </w:r>
      <w:r w:rsidRPr="00335E4B">
        <w:rPr>
          <w:rFonts w:cs="Traditional Arabic" w:hint="cs"/>
          <w:sz w:val="20"/>
          <w:szCs w:val="30"/>
          <w:rtl/>
          <w:lang w:bidi="ar-EG"/>
        </w:rPr>
        <w:t>بوجه خاص</w:t>
      </w:r>
      <w:r w:rsidRPr="00335E4B">
        <w:rPr>
          <w:rFonts w:cs="Traditional Arabic"/>
          <w:sz w:val="20"/>
          <w:szCs w:val="30"/>
          <w:rtl/>
          <w:lang w:bidi="ar-EG"/>
        </w:rPr>
        <w:t xml:space="preserve"> من أجل الرصد</w:t>
      </w:r>
      <w:r w:rsidRPr="00335E4B">
        <w:rPr>
          <w:rFonts w:cs="Traditional Arabic" w:hint="cs"/>
          <w:sz w:val="20"/>
          <w:szCs w:val="30"/>
          <w:rtl/>
          <w:lang w:bidi="ar-EG"/>
        </w:rPr>
        <w:t>، والتي ي</w:t>
      </w:r>
      <w:r w:rsidRPr="00335E4B">
        <w:rPr>
          <w:rFonts w:cs="Traditional Arabic"/>
          <w:sz w:val="20"/>
          <w:szCs w:val="30"/>
          <w:rtl/>
          <w:lang w:bidi="ar-EG"/>
        </w:rPr>
        <w:t xml:space="preserve">شار إليها في </w:t>
      </w:r>
      <w:r w:rsidRPr="00335E4B">
        <w:rPr>
          <w:rFonts w:cs="Traditional Arabic" w:hint="cs"/>
          <w:sz w:val="20"/>
          <w:szCs w:val="30"/>
          <w:rtl/>
          <w:lang w:bidi="ar-EG"/>
        </w:rPr>
        <w:t>فرادى</w:t>
      </w:r>
      <w:r w:rsidRPr="00335E4B">
        <w:rPr>
          <w:rFonts w:cs="Traditional Arabic"/>
          <w:sz w:val="20"/>
          <w:szCs w:val="30"/>
          <w:rtl/>
          <w:lang w:bidi="ar-EG"/>
        </w:rPr>
        <w:t xml:space="preserve"> الفصول التي </w:t>
      </w:r>
      <w:r w:rsidRPr="00335E4B">
        <w:rPr>
          <w:rFonts w:cs="Traditional Arabic" w:hint="cs"/>
          <w:sz w:val="20"/>
          <w:szCs w:val="30"/>
          <w:rtl/>
          <w:lang w:bidi="ar-EG"/>
        </w:rPr>
        <w:t>تتألف منها</w:t>
      </w:r>
      <w:r w:rsidRPr="00335E4B">
        <w:rPr>
          <w:rFonts w:cs="Traditional Arabic"/>
          <w:sz w:val="20"/>
          <w:szCs w:val="30"/>
          <w:rtl/>
          <w:lang w:bidi="ar-EG"/>
        </w:rPr>
        <w:t xml:space="preserve"> هذ</w:t>
      </w:r>
      <w:r w:rsidRPr="00335E4B">
        <w:rPr>
          <w:rFonts w:cs="Traditional Arabic" w:hint="cs"/>
          <w:sz w:val="20"/>
          <w:szCs w:val="30"/>
          <w:rtl/>
          <w:lang w:bidi="ar-EG"/>
        </w:rPr>
        <w:t>ه</w:t>
      </w:r>
      <w:r w:rsidRPr="00335E4B">
        <w:rPr>
          <w:rFonts w:cs="Traditional Arabic"/>
          <w:sz w:val="20"/>
          <w:szCs w:val="30"/>
          <w:rtl/>
          <w:lang w:bidi="ar-EG"/>
        </w:rPr>
        <w:t xml:space="preserve"> التوجيه</w:t>
      </w:r>
      <w:r w:rsidRPr="00335E4B">
        <w:rPr>
          <w:rFonts w:cs="Traditional Arabic" w:hint="cs"/>
          <w:sz w:val="20"/>
          <w:szCs w:val="30"/>
          <w:rtl/>
          <w:lang w:bidi="ar-EG"/>
        </w:rPr>
        <w:t>ات</w:t>
      </w:r>
      <w:r w:rsidRPr="00335E4B">
        <w:rPr>
          <w:rFonts w:cs="Traditional Arabic"/>
          <w:sz w:val="20"/>
          <w:szCs w:val="30"/>
          <w:rtl/>
          <w:lang w:bidi="ar-EG"/>
        </w:rPr>
        <w:t>.</w:t>
      </w:r>
    </w:p>
    <w:p w:rsidR="00335E4B" w:rsidRPr="00335E4B" w:rsidRDefault="00335E4B" w:rsidP="0004506D">
      <w:pPr>
        <w:keepNext/>
        <w:spacing w:after="120" w:line="400" w:lineRule="exact"/>
        <w:jc w:val="both"/>
        <w:outlineLvl w:val="0"/>
        <w:rPr>
          <w:rFonts w:cs="Traditional Arabic"/>
          <w:b/>
          <w:bCs/>
          <w:sz w:val="30"/>
          <w:szCs w:val="30"/>
          <w:rtl/>
        </w:rPr>
      </w:pPr>
      <w:bookmarkStart w:id="232" w:name="_Toc441577694"/>
      <w:bookmarkStart w:id="233" w:name="_Toc441577873"/>
      <w:bookmarkStart w:id="234" w:name="_Toc441579099"/>
      <w:bookmarkStart w:id="235" w:name="_Toc441580707"/>
      <w:bookmarkStart w:id="236" w:name="_Toc441585838"/>
      <w:bookmarkStart w:id="237" w:name="_Toc441586174"/>
      <w:bookmarkStart w:id="238" w:name="_Toc441586624"/>
      <w:bookmarkStart w:id="239" w:name="_Toc441586803"/>
      <w:bookmarkStart w:id="240" w:name="_Toc441666652"/>
      <w:bookmarkStart w:id="241" w:name="_Toc441673713"/>
      <w:r w:rsidRPr="00335E4B">
        <w:rPr>
          <w:rFonts w:cs="Traditional Arabic" w:hint="cs"/>
          <w:b/>
          <w:bCs/>
          <w:sz w:val="30"/>
          <w:szCs w:val="30"/>
          <w:rtl/>
        </w:rPr>
        <w:t>2</w:t>
      </w:r>
      <w:r w:rsidRPr="00335E4B">
        <w:rPr>
          <w:rFonts w:cs="Traditional Arabic"/>
          <w:b/>
          <w:bCs/>
          <w:sz w:val="30"/>
          <w:szCs w:val="30"/>
          <w:rtl/>
        </w:rPr>
        <w:t>-1</w:t>
      </w:r>
      <w:r w:rsidRPr="00335E4B">
        <w:rPr>
          <w:rFonts w:cs="Traditional Arabic"/>
          <w:b/>
          <w:bCs/>
          <w:sz w:val="30"/>
          <w:szCs w:val="30"/>
          <w:rtl/>
        </w:rPr>
        <w:tab/>
        <w:t>الخطوات العامة في إجراء رصد انبعاثات الزئبق</w:t>
      </w:r>
      <w:bookmarkEnd w:id="232"/>
      <w:bookmarkEnd w:id="233"/>
      <w:bookmarkEnd w:id="234"/>
      <w:bookmarkEnd w:id="235"/>
      <w:bookmarkEnd w:id="236"/>
      <w:bookmarkEnd w:id="237"/>
      <w:bookmarkEnd w:id="238"/>
      <w:bookmarkEnd w:id="239"/>
      <w:bookmarkEnd w:id="240"/>
      <w:bookmarkEnd w:id="241"/>
    </w:p>
    <w:p w:rsidR="00335E4B" w:rsidRPr="00335E4B" w:rsidRDefault="00335E4B" w:rsidP="00335E4B">
      <w:pPr>
        <w:tabs>
          <w:tab w:val="left" w:pos="663"/>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 xml:space="preserve">الخطوة الأولى في إجراء رصد انبعاثات الزئبق هي إنشاء خط أساس للأداء، سواء من خلال أخذ قياسات مباشرة لتركيزات الزئبق في تيارات الغاز أو استخدام القياسات غير المباشرة لتقدير انبعاثات المرفق. وبعد ذلك، يؤخذ مزيد من القياسات في فترات زمنية محددة (يومياً أو أسبوعياً أو شهرياً على سبيل المثال) لتوصيف تركيز الزئبق في الغاز أو انبعاثات الزئبق في ذلك الوقت. وعندئذٍ يتم الرصد بتجميع وتحليل بيانات قياس الانبعاثات لملاحظة الاتجاهات في الانبعاثات وأداء التشغيل. وإذا أشارت القياسات إلى وجود أشياء تبعث على القلق، مثل زيادة تركيزات الزئبق مع مرور الوقت أو فترات ذروة لانبعاثات الزئبق </w:t>
      </w:r>
      <w:r w:rsidRPr="00335E4B">
        <w:rPr>
          <w:rFonts w:cs="Traditional Arabic" w:hint="cs"/>
          <w:sz w:val="20"/>
          <w:szCs w:val="30"/>
          <w:rtl/>
          <w:lang w:bidi="ar-EG"/>
        </w:rPr>
        <w:t xml:space="preserve">تصاحب </w:t>
      </w:r>
      <w:r w:rsidRPr="00335E4B">
        <w:rPr>
          <w:rFonts w:cs="Traditional Arabic"/>
          <w:sz w:val="20"/>
          <w:szCs w:val="30"/>
          <w:rtl/>
          <w:lang w:bidi="ar-EG"/>
        </w:rPr>
        <w:t>بعض عمليات المنشأة فعندئذٍ ينبغي اتخاذ إجراء سريع من جانب المرفق لتصحيح الحالة.</w:t>
      </w:r>
    </w:p>
    <w:p w:rsidR="00335E4B" w:rsidRPr="00335E4B" w:rsidRDefault="00335E4B" w:rsidP="0004506D">
      <w:pPr>
        <w:keepNext/>
        <w:spacing w:after="120" w:line="400" w:lineRule="exact"/>
        <w:jc w:val="both"/>
        <w:outlineLvl w:val="0"/>
        <w:rPr>
          <w:rFonts w:cs="Traditional Arabic"/>
          <w:b/>
          <w:bCs/>
          <w:sz w:val="30"/>
          <w:szCs w:val="30"/>
          <w:rtl/>
        </w:rPr>
      </w:pPr>
      <w:bookmarkStart w:id="242" w:name="_Toc441577695"/>
      <w:bookmarkStart w:id="243" w:name="_Toc441577874"/>
      <w:bookmarkStart w:id="244" w:name="_Toc441579100"/>
      <w:bookmarkStart w:id="245" w:name="_Toc441580708"/>
      <w:bookmarkStart w:id="246" w:name="_Toc441585839"/>
      <w:bookmarkStart w:id="247" w:name="_Toc441586175"/>
      <w:bookmarkStart w:id="248" w:name="_Toc441586625"/>
      <w:bookmarkStart w:id="249" w:name="_Toc441586804"/>
      <w:bookmarkStart w:id="250" w:name="_Toc441666653"/>
      <w:bookmarkStart w:id="251" w:name="_Toc441673714"/>
      <w:r w:rsidRPr="00335E4B">
        <w:rPr>
          <w:rFonts w:cs="Traditional Arabic" w:hint="cs"/>
          <w:b/>
          <w:bCs/>
          <w:sz w:val="30"/>
          <w:szCs w:val="30"/>
          <w:rtl/>
        </w:rPr>
        <w:t>2</w:t>
      </w:r>
      <w:r w:rsidRPr="00335E4B">
        <w:rPr>
          <w:rFonts w:cs="Traditional Arabic"/>
          <w:b/>
          <w:bCs/>
          <w:sz w:val="30"/>
          <w:szCs w:val="30"/>
          <w:rtl/>
        </w:rPr>
        <w:t>-2</w:t>
      </w:r>
      <w:r w:rsidRPr="00335E4B">
        <w:rPr>
          <w:rFonts w:cs="Traditional Arabic"/>
          <w:b/>
          <w:bCs/>
          <w:sz w:val="30"/>
          <w:szCs w:val="30"/>
          <w:rtl/>
        </w:rPr>
        <w:tab/>
        <w:t>اعتبارات في اختيار نهج القياس أو الرصد</w:t>
      </w:r>
      <w:bookmarkEnd w:id="242"/>
      <w:bookmarkEnd w:id="243"/>
      <w:bookmarkEnd w:id="244"/>
      <w:bookmarkEnd w:id="245"/>
      <w:bookmarkEnd w:id="246"/>
      <w:bookmarkEnd w:id="247"/>
      <w:bookmarkEnd w:id="248"/>
      <w:bookmarkEnd w:id="249"/>
      <w:bookmarkEnd w:id="250"/>
      <w:bookmarkEnd w:id="251"/>
    </w:p>
    <w:p w:rsidR="00335E4B" w:rsidRPr="00335E4B" w:rsidRDefault="00335E4B" w:rsidP="00335E4B">
      <w:pPr>
        <w:tabs>
          <w:tab w:val="left" w:pos="663"/>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 xml:space="preserve">ينبغي أن يبدأ اختيار نهج القياس أو الرصد ببحث النتائج المرجوة. ويمكن القيام بقياسات دورية قصيرة الأجل، في فترات زمنية قصيرة مثل ساعة واحدة أو يوم واحد، من أجل توفير </w:t>
      </w:r>
      <w:r w:rsidRPr="00335E4B">
        <w:rPr>
          <w:rFonts w:cs="Traditional Arabic" w:hint="cs"/>
          <w:sz w:val="20"/>
          <w:szCs w:val="30"/>
          <w:rtl/>
          <w:lang w:bidi="ar-EG"/>
        </w:rPr>
        <w:t xml:space="preserve">مردود سريع من المعلومات </w:t>
      </w:r>
      <w:r w:rsidRPr="00335E4B">
        <w:rPr>
          <w:rFonts w:cs="Traditional Arabic"/>
          <w:sz w:val="20"/>
          <w:szCs w:val="30"/>
          <w:rtl/>
          <w:lang w:bidi="ar-EG"/>
        </w:rPr>
        <w:t>لتحسين العملية إلى الحد الأمثل. والقياسات الطويلة الأجل، مثل القياسات التي تجري على مدى عدة أشهر أو على مدى سنة، مع استعمال معدات تقام بصورة دائمة على أساس شبه مستمر، قد تكون مرغوبة من أجل التبليغ عن جرد الانبعاثات. والرصد المستمر للانبعاثات الذي يجري تنفيذه في الوقت الحاضر في بعض البلدان يمكن استخدامه لضبط العملية إذا كانت انبعاثات الزئبق تتباين تبايناً كبيراً، وذلك على سبيل المثال بسبب التغير السريع في مستوى الزئبق في مواد التغذية</w:t>
      </w:r>
      <w:r w:rsidRPr="00335E4B">
        <w:rPr>
          <w:rFonts w:cs="Traditional Arabic" w:hint="cs"/>
          <w:sz w:val="20"/>
          <w:szCs w:val="30"/>
          <w:rtl/>
          <w:lang w:bidi="ar-EG"/>
        </w:rPr>
        <w:t xml:space="preserve"> الأولية</w:t>
      </w:r>
      <w:r w:rsidRPr="00335E4B">
        <w:rPr>
          <w:rFonts w:cs="Traditional Arabic"/>
          <w:sz w:val="20"/>
          <w:szCs w:val="30"/>
          <w:rtl/>
          <w:lang w:bidi="ar-EG"/>
        </w:rPr>
        <w:t>.</w:t>
      </w:r>
    </w:p>
    <w:p w:rsidR="00335E4B" w:rsidRPr="00335E4B" w:rsidRDefault="00335E4B" w:rsidP="00335E4B">
      <w:pPr>
        <w:tabs>
          <w:tab w:val="left" w:pos="663"/>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 xml:space="preserve">وبالإضافة إلى ذلك، </w:t>
      </w:r>
      <w:r w:rsidRPr="00335E4B">
        <w:rPr>
          <w:rFonts w:cs="Traditional Arabic" w:hint="cs"/>
          <w:sz w:val="20"/>
          <w:szCs w:val="30"/>
          <w:rtl/>
          <w:lang w:bidi="ar-EG"/>
        </w:rPr>
        <w:t>يلزم</w:t>
      </w:r>
      <w:r w:rsidRPr="00335E4B">
        <w:rPr>
          <w:rFonts w:cs="Traditional Arabic"/>
          <w:sz w:val="20"/>
          <w:szCs w:val="30"/>
          <w:rtl/>
          <w:lang w:bidi="ar-EG"/>
        </w:rPr>
        <w:t xml:space="preserve"> وضع الخصائص المحددة للموقع في الاعتبار عند اختيار أكثر أساليب الرصد ملاءمة وتخطيط حملة أخذ العينات. وحسب العمليات المستخدمة يمكن أن يوجد الزئبق في شكل زئبق ملتصق بالجسيمات أو زئبق أوّلي غازي (</w:t>
      </w:r>
      <w:r w:rsidRPr="00335E4B">
        <w:rPr>
          <w:rFonts w:cs="Traditional Arabic"/>
          <w:sz w:val="20"/>
          <w:szCs w:val="30"/>
          <w:lang w:bidi="ar-EG"/>
        </w:rPr>
        <w:t>Hg</w:t>
      </w:r>
      <w:r w:rsidRPr="00335E4B">
        <w:rPr>
          <w:rFonts w:cs="Traditional Arabic"/>
          <w:sz w:val="20"/>
          <w:szCs w:val="30"/>
          <w:vertAlign w:val="superscript"/>
          <w:lang w:bidi="ar-EG"/>
        </w:rPr>
        <w:t>0</w:t>
      </w:r>
      <w:r w:rsidRPr="00335E4B">
        <w:rPr>
          <w:rFonts w:cs="Traditional Arabic"/>
          <w:sz w:val="20"/>
          <w:szCs w:val="30"/>
          <w:rtl/>
          <w:lang w:bidi="ar-EG"/>
        </w:rPr>
        <w:t xml:space="preserve">) أو في شكله الغازي المؤين، </w:t>
      </w:r>
      <w:r w:rsidRPr="00335E4B">
        <w:rPr>
          <w:rFonts w:cs="Traditional Arabic"/>
          <w:sz w:val="20"/>
          <w:szCs w:val="30"/>
          <w:lang w:bidi="ar-EG"/>
        </w:rPr>
        <w:t>Hg</w:t>
      </w:r>
      <w:r w:rsidRPr="00335E4B">
        <w:rPr>
          <w:rFonts w:cs="Traditional Arabic" w:hint="cs"/>
          <w:sz w:val="20"/>
          <w:szCs w:val="30"/>
          <w:rtl/>
          <w:lang w:bidi="ar-EG"/>
        </w:rPr>
        <w:t xml:space="preserve"> </w:t>
      </w:r>
      <w:r w:rsidRPr="00335E4B">
        <w:rPr>
          <w:rFonts w:cs="Traditional Arabic"/>
          <w:sz w:val="20"/>
          <w:szCs w:val="30"/>
          <w:rtl/>
          <w:lang w:bidi="ar-EG"/>
        </w:rPr>
        <w:t>’1‘</w:t>
      </w:r>
      <w:r w:rsidRPr="00335E4B">
        <w:rPr>
          <w:rFonts w:cs="Traditional Arabic" w:hint="cs"/>
          <w:sz w:val="20"/>
          <w:szCs w:val="30"/>
          <w:rtl/>
          <w:lang w:bidi="ar-EG"/>
        </w:rPr>
        <w:t xml:space="preserve"> </w:t>
      </w:r>
      <w:r w:rsidRPr="00335E4B">
        <w:rPr>
          <w:rFonts w:cs="Traditional Arabic"/>
          <w:sz w:val="20"/>
          <w:szCs w:val="30"/>
          <w:rtl/>
          <w:lang w:bidi="ar-EG"/>
        </w:rPr>
        <w:t xml:space="preserve">أو </w:t>
      </w:r>
      <w:r w:rsidRPr="00335E4B">
        <w:rPr>
          <w:rFonts w:cs="Traditional Arabic"/>
          <w:sz w:val="20"/>
          <w:szCs w:val="30"/>
          <w:lang w:bidi="ar-EG"/>
        </w:rPr>
        <w:t>Hg</w:t>
      </w:r>
      <w:r w:rsidRPr="00335E4B">
        <w:rPr>
          <w:rFonts w:cs="Traditional Arabic" w:hint="cs"/>
          <w:sz w:val="20"/>
          <w:szCs w:val="30"/>
          <w:rtl/>
          <w:lang w:bidi="ar-EG"/>
        </w:rPr>
        <w:t xml:space="preserve"> </w:t>
      </w:r>
      <w:r w:rsidRPr="00335E4B">
        <w:rPr>
          <w:rFonts w:cs="Traditional Arabic"/>
          <w:sz w:val="20"/>
          <w:szCs w:val="30"/>
          <w:rtl/>
          <w:lang w:bidi="ar-EG"/>
        </w:rPr>
        <w:t>’2‘</w:t>
      </w:r>
      <w:r w:rsidRPr="00335E4B">
        <w:rPr>
          <w:rFonts w:cs="Traditional Arabic" w:hint="cs"/>
          <w:sz w:val="20"/>
          <w:szCs w:val="30"/>
          <w:rtl/>
          <w:lang w:bidi="ar-EG"/>
        </w:rPr>
        <w:t xml:space="preserve"> </w:t>
      </w:r>
      <w:r w:rsidRPr="00335E4B">
        <w:rPr>
          <w:rFonts w:cs="Traditional Arabic"/>
          <w:sz w:val="20"/>
          <w:szCs w:val="30"/>
          <w:rtl/>
          <w:lang w:bidi="ar-EG"/>
        </w:rPr>
        <w:t>أو بخليط من هذه الأشكال. وقد تكون الفواصل متباينة إلى حد كبير بين المرافق التي تقوم بعمليات متشابهة. وفي بعض العمليات قد يكون من المفيد قياس هذه الأنواع المختلفة من الزئبق بصورة فردية، وذلك مثلاً بتوفير مُدخلات تساعد في اتخاذ قرارات بشأن تكنولوجيات الضبط الفعالة أو إجراء تقييمات للمخاطرة.</w:t>
      </w:r>
    </w:p>
    <w:p w:rsidR="00335E4B" w:rsidRPr="00335E4B" w:rsidRDefault="00335E4B" w:rsidP="00335E4B">
      <w:pPr>
        <w:tabs>
          <w:tab w:val="left" w:pos="663"/>
          <w:tab w:val="left" w:pos="2230"/>
          <w:tab w:val="center" w:pos="5468"/>
        </w:tabs>
        <w:spacing w:after="120" w:line="400" w:lineRule="exact"/>
        <w:jc w:val="lowKashida"/>
        <w:rPr>
          <w:rFonts w:cs="Traditional Arabic"/>
          <w:w w:val="103"/>
          <w:kern w:val="14"/>
          <w:sz w:val="30"/>
          <w:szCs w:val="30"/>
          <w:rtl/>
          <w:lang w:bidi="ar-EG"/>
        </w:rPr>
      </w:pPr>
      <w:r w:rsidRPr="00335E4B">
        <w:rPr>
          <w:rFonts w:cs="Traditional Arabic"/>
          <w:sz w:val="20"/>
          <w:szCs w:val="30"/>
          <w:rtl/>
          <w:lang w:bidi="ar-EG"/>
        </w:rPr>
        <w:t xml:space="preserve">وينبغي أن تكون نقطة جمع العينات في مكان يسهل الوصول إليه وأن تفي باشتراطات الصحة والسلامة المهنيتين وأن تفي بالاشتراطات التنظيمية وأن تسمح باستعادة العينات التمثيلية. </w:t>
      </w:r>
      <w:r w:rsidRPr="00335E4B">
        <w:rPr>
          <w:rFonts w:cs="Traditional Arabic" w:hint="cs"/>
          <w:sz w:val="20"/>
          <w:szCs w:val="30"/>
          <w:rtl/>
          <w:lang w:bidi="ar-EG"/>
        </w:rPr>
        <w:t>ومن الأمثل</w:t>
      </w:r>
      <w:r w:rsidRPr="00335E4B">
        <w:rPr>
          <w:rFonts w:cs="Traditional Arabic"/>
          <w:sz w:val="20"/>
          <w:szCs w:val="30"/>
          <w:rtl/>
          <w:lang w:bidi="ar-EG"/>
        </w:rPr>
        <w:t xml:space="preserve"> أن تستخدم نفس نقاط جمع العينات في الحملات التالية لجمع العينات من أجل كفالة إمكانية المقارنة بين النتائج. ولمنع تخفيف العينات وتجنب الوصول إلى نتائج منخفضة زائفة ينبغي ألا يتسرب الهواء المحيط إلى نقاط العينة. ويفضل أن توضع ملامح تدفق سرعة الغاز في الاعتبار عند تعيين موقع العينة من أجل تجنب المناطق التي تتسم باضطراب التدفق، مما يؤثر على الصفة التمثيلية للعيِّنة. وتتوافر معلومات تفصيلية عن تصميم وإنشاء نقاط القياس في التوجيه الأوروبي </w:t>
      </w:r>
      <w:r w:rsidRPr="00335E4B">
        <w:rPr>
          <w:rFonts w:cs="Traditional Arabic"/>
          <w:sz w:val="20"/>
          <w:szCs w:val="30"/>
          <w:lang w:bidi="ar-EG"/>
        </w:rPr>
        <w:t>EN 15259: 2007</w:t>
      </w:r>
      <w:r w:rsidRPr="00335E4B">
        <w:rPr>
          <w:rFonts w:cs="Traditional Arabic"/>
          <w:sz w:val="20"/>
          <w:szCs w:val="30"/>
          <w:rtl/>
          <w:lang w:bidi="ar-EG"/>
        </w:rPr>
        <w:t xml:space="preserve"> </w:t>
      </w:r>
      <w:r w:rsidRPr="00335E4B">
        <w:rPr>
          <w:rFonts w:cs="Traditional Arabic"/>
          <w:sz w:val="20"/>
          <w:szCs w:val="30"/>
          <w:vertAlign w:val="superscript"/>
          <w:rtl/>
          <w:lang w:bidi="ar-EG"/>
        </w:rPr>
        <w:t>(</w:t>
      </w:r>
      <w:r w:rsidRPr="00335E4B">
        <w:rPr>
          <w:rFonts w:cs="Traditional Arabic"/>
          <w:sz w:val="20"/>
          <w:szCs w:val="30"/>
          <w:vertAlign w:val="superscript"/>
          <w:rtl/>
          <w:lang w:bidi="ar-EG"/>
        </w:rPr>
        <w:footnoteReference w:id="13"/>
      </w:r>
      <w:r w:rsidRPr="00335E4B">
        <w:rPr>
          <w:rFonts w:cs="Traditional Arabic"/>
          <w:sz w:val="20"/>
          <w:szCs w:val="30"/>
          <w:vertAlign w:val="superscript"/>
          <w:rtl/>
          <w:lang w:bidi="ar-EG"/>
        </w:rPr>
        <w:t>)</w:t>
      </w:r>
      <w:r w:rsidRPr="00335E4B">
        <w:rPr>
          <w:rFonts w:cs="Traditional Arabic"/>
          <w:w w:val="103"/>
          <w:kern w:val="14"/>
          <w:sz w:val="30"/>
          <w:szCs w:val="30"/>
          <w:rtl/>
          <w:lang w:bidi="ar-EG"/>
        </w:rPr>
        <w:t>: نوعية الهواء - قياس انبعاثات المصادر الثابتة - اشتراطات أقسام ومواقع القياس وهدف وخطة وتقرير القياس“.</w:t>
      </w:r>
      <w:r w:rsidR="00003660">
        <w:rPr>
          <w:rFonts w:cs="Traditional Arabic" w:hint="cs"/>
          <w:w w:val="103"/>
          <w:kern w:val="14"/>
          <w:sz w:val="30"/>
          <w:szCs w:val="30"/>
          <w:rtl/>
          <w:lang w:bidi="ar-EG"/>
        </w:rPr>
        <w:t xml:space="preserve"> </w:t>
      </w:r>
      <w:r w:rsidRPr="00335E4B">
        <w:rPr>
          <w:rFonts w:cs="Traditional Arabic"/>
          <w:w w:val="103"/>
          <w:kern w:val="14"/>
          <w:sz w:val="30"/>
          <w:szCs w:val="30"/>
          <w:rtl/>
          <w:lang w:bidi="ar-EG"/>
        </w:rPr>
        <w:t>وينطبق هذا التوجيه على القياسات المستمرة وكذلك القياسات غير المستقرة.</w:t>
      </w:r>
    </w:p>
    <w:p w:rsidR="00335E4B" w:rsidRPr="00335E4B" w:rsidRDefault="00335E4B" w:rsidP="00335E4B">
      <w:pPr>
        <w:tabs>
          <w:tab w:val="left" w:pos="663"/>
          <w:tab w:val="left" w:pos="2230"/>
          <w:tab w:val="center" w:pos="5468"/>
        </w:tabs>
        <w:spacing w:after="120" w:line="400" w:lineRule="exact"/>
        <w:jc w:val="lowKashida"/>
        <w:rPr>
          <w:rFonts w:cs="Traditional Arabic"/>
          <w:w w:val="103"/>
          <w:kern w:val="14"/>
          <w:sz w:val="30"/>
          <w:szCs w:val="30"/>
          <w:rtl/>
          <w:lang w:bidi="ar-EG"/>
        </w:rPr>
      </w:pPr>
      <w:r w:rsidRPr="00335E4B">
        <w:rPr>
          <w:rFonts w:cs="Traditional Arabic"/>
          <w:w w:val="103"/>
          <w:kern w:val="14"/>
          <w:sz w:val="30"/>
          <w:szCs w:val="30"/>
          <w:rtl/>
          <w:lang w:bidi="ar-EG"/>
        </w:rPr>
        <w:t>وللحصول على بيانات تمثيلية، ينبغي تحديد توقيت العينة ومدتها وتكرارها من خلال دراسة عدة بارامترات، تشمل أسلوب القياس والرصد المستعمل، وموقع القياس، وظروف تشغيل المرفق، والتباينات العملية و</w:t>
      </w:r>
      <w:r w:rsidRPr="00335E4B">
        <w:rPr>
          <w:rFonts w:cs="Traditional Arabic" w:hint="cs"/>
          <w:w w:val="103"/>
          <w:kern w:val="14"/>
          <w:sz w:val="30"/>
          <w:szCs w:val="30"/>
          <w:rtl/>
          <w:lang w:bidi="ar-EG"/>
        </w:rPr>
        <w:t>ال</w:t>
      </w:r>
      <w:r w:rsidRPr="00335E4B">
        <w:rPr>
          <w:rFonts w:cs="Traditional Arabic"/>
          <w:w w:val="103"/>
          <w:kern w:val="14"/>
          <w:sz w:val="30"/>
          <w:szCs w:val="30"/>
          <w:rtl/>
          <w:lang w:bidi="ar-EG"/>
        </w:rPr>
        <w:t xml:space="preserve">اشتراطات الخاصة بالموقع، </w:t>
      </w:r>
      <w:r w:rsidRPr="00335E4B">
        <w:rPr>
          <w:rFonts w:cs="Traditional Arabic" w:hint="cs"/>
          <w:w w:val="103"/>
          <w:kern w:val="14"/>
          <w:sz w:val="30"/>
          <w:szCs w:val="30"/>
          <w:rtl/>
          <w:lang w:bidi="ar-EG"/>
        </w:rPr>
        <w:t>ل</w:t>
      </w:r>
      <w:r w:rsidRPr="00335E4B">
        <w:rPr>
          <w:rFonts w:cs="Traditional Arabic"/>
          <w:w w:val="103"/>
          <w:kern w:val="14"/>
          <w:sz w:val="30"/>
          <w:szCs w:val="30"/>
          <w:rtl/>
          <w:lang w:bidi="ar-EG"/>
        </w:rPr>
        <w:t>توضيح</w:t>
      </w:r>
      <w:r w:rsidRPr="00335E4B">
        <w:rPr>
          <w:rFonts w:cs="Traditional Arabic" w:hint="cs"/>
          <w:w w:val="103"/>
          <w:kern w:val="14"/>
          <w:sz w:val="30"/>
          <w:szCs w:val="30"/>
          <w:rtl/>
          <w:lang w:bidi="ar-EG"/>
        </w:rPr>
        <w:t xml:space="preserve"> مدى </w:t>
      </w:r>
      <w:r w:rsidRPr="00335E4B">
        <w:rPr>
          <w:rFonts w:cs="Traditional Arabic"/>
          <w:w w:val="103"/>
          <w:kern w:val="14"/>
          <w:sz w:val="30"/>
          <w:szCs w:val="30"/>
          <w:rtl/>
          <w:lang w:bidi="ar-EG"/>
        </w:rPr>
        <w:t>الامتثال بموجب العملية التنظيمية المنطبقة. وينبغي أن تؤخذ العينات في ظروف تمثل العمليات العادية للمرفق. وإذا كانت الانبعاثات متباينة إلى حد كبير أو إذا كانت الانبعاثات تؤخذ من عملية متقطعة فينبغي استعمال عينة ذات مدة أطول أو جمع مزيد من العينات (مثل العينات المأخوذة عبر المجموعة المتقطعة بأكملها) من أجل الحصول على متوسط قياس يمكن الوثوق به. وبالإضافة إلى ذلك قد يستلزم انخفاض تركيزات الزئبق في تيار العينة فترات أطول من أجل توفير كتلة عينة إجمالية تزيد عن حد الكشف المستخدم في الأسلوب المطبق. وبالإضافة إلى ذلك، توفر العينات المركبة الدورية - أكثر من نصف ساعة أو 12 ساعة أو 24 ساعة على سبيل المثال - نتائج تمثيلية بدرجة أكبر مقارنة بالعينات المأخوذة بصورة عشوائية.</w:t>
      </w:r>
    </w:p>
    <w:p w:rsidR="00335E4B" w:rsidRPr="00335E4B" w:rsidRDefault="00335E4B" w:rsidP="00335E4B">
      <w:pPr>
        <w:tabs>
          <w:tab w:val="left" w:pos="663"/>
          <w:tab w:val="left" w:pos="2230"/>
          <w:tab w:val="center" w:pos="5468"/>
        </w:tabs>
        <w:spacing w:after="120" w:line="400" w:lineRule="exact"/>
        <w:jc w:val="lowKashida"/>
        <w:rPr>
          <w:rFonts w:cs="Traditional Arabic"/>
          <w:w w:val="103"/>
          <w:kern w:val="14"/>
          <w:sz w:val="30"/>
          <w:szCs w:val="30"/>
          <w:rtl/>
          <w:lang w:bidi="ar-EG"/>
        </w:rPr>
      </w:pPr>
      <w:r w:rsidRPr="00335E4B">
        <w:rPr>
          <w:rFonts w:cs="Traditional Arabic"/>
          <w:w w:val="103"/>
          <w:kern w:val="14"/>
          <w:sz w:val="30"/>
          <w:szCs w:val="30"/>
          <w:rtl/>
          <w:lang w:bidi="ar-EG"/>
        </w:rPr>
        <w:t>ويمكن أن تتباين انبعاثات الزئبق بصورة هامة داخل المرفق الواحد مع مرور الوقت أو بين المرافق التي تقوم بعمليات مشابهة، بسبب تباين محتوى الزئبق في المواد الداخلة في العملية. ويمكن أن تتغير تركيزات الزئبق بصورة سريعة في الوقود أو المواد الخام أو المدخلات الأخرى مثل النفايات. وأثناء إجراء قياس الانبعاثات ينبغي أيضاً توثيق محتوى الزئبق في مدخلات العملية للمساعدة على ضمان الجودة. ويجب أثناء جمع العينات الحرص بقدر الإمكان على كفالة تشغيل العملية في ظروف تمثيلية وأن تكون تركيزات الزئبق في تيارات المدخلات ممثلة</w:t>
      </w:r>
      <w:r w:rsidRPr="00335E4B">
        <w:rPr>
          <w:rFonts w:cs="Traditional Arabic" w:hint="cs"/>
          <w:w w:val="103"/>
          <w:kern w:val="14"/>
          <w:sz w:val="30"/>
          <w:szCs w:val="30"/>
          <w:rtl/>
          <w:lang w:bidi="ar-EG"/>
        </w:rPr>
        <w:t xml:space="preserve"> لمواد</w:t>
      </w:r>
      <w:r w:rsidRPr="00335E4B">
        <w:rPr>
          <w:rFonts w:cs="Traditional Arabic"/>
          <w:w w:val="103"/>
          <w:kern w:val="14"/>
          <w:sz w:val="30"/>
          <w:szCs w:val="30"/>
          <w:rtl/>
          <w:lang w:bidi="ar-EG"/>
        </w:rPr>
        <w:t xml:space="preserve"> </w:t>
      </w:r>
      <w:r w:rsidRPr="00335E4B">
        <w:rPr>
          <w:rFonts w:cs="Traditional Arabic" w:hint="cs"/>
          <w:w w:val="103"/>
          <w:kern w:val="14"/>
          <w:sz w:val="30"/>
          <w:szCs w:val="30"/>
          <w:rtl/>
          <w:lang w:bidi="ar-EG"/>
        </w:rPr>
        <w:t>ا</w:t>
      </w:r>
      <w:r w:rsidRPr="00335E4B">
        <w:rPr>
          <w:rFonts w:cs="Traditional Arabic"/>
          <w:w w:val="103"/>
          <w:kern w:val="14"/>
          <w:sz w:val="30"/>
          <w:szCs w:val="30"/>
          <w:rtl/>
          <w:lang w:bidi="ar-EG"/>
        </w:rPr>
        <w:t>لتغذية العادية، و</w:t>
      </w:r>
      <w:r w:rsidRPr="00335E4B">
        <w:rPr>
          <w:rFonts w:cs="Traditional Arabic" w:hint="cs"/>
          <w:w w:val="103"/>
          <w:kern w:val="14"/>
          <w:sz w:val="30"/>
          <w:szCs w:val="30"/>
          <w:rtl/>
          <w:lang w:bidi="ar-EG"/>
        </w:rPr>
        <w:t xml:space="preserve">على </w:t>
      </w:r>
      <w:r w:rsidRPr="00335E4B">
        <w:rPr>
          <w:rFonts w:cs="Traditional Arabic"/>
          <w:w w:val="103"/>
          <w:kern w:val="14"/>
          <w:sz w:val="30"/>
          <w:szCs w:val="30"/>
          <w:rtl/>
          <w:lang w:bidi="ar-EG"/>
        </w:rPr>
        <w:t>الإقلال إلى أدنى حد من الانبعاثات الهاربة. وإذا لم تكن ظروف التشغيل نمطية فإن الاستقراء الخارجي لبيانات العينة قد يتيح نتائج بهامش أكبر من الخطأ.</w:t>
      </w:r>
    </w:p>
    <w:p w:rsidR="00335E4B" w:rsidRPr="00335E4B" w:rsidRDefault="00335E4B" w:rsidP="00335E4B">
      <w:pPr>
        <w:tabs>
          <w:tab w:val="left" w:pos="663"/>
          <w:tab w:val="left" w:pos="2230"/>
          <w:tab w:val="center" w:pos="5468"/>
        </w:tabs>
        <w:spacing w:after="120" w:line="400" w:lineRule="exact"/>
        <w:jc w:val="lowKashida"/>
        <w:rPr>
          <w:rFonts w:cs="Traditional Arabic"/>
          <w:sz w:val="30"/>
          <w:szCs w:val="30"/>
          <w:rtl/>
          <w:lang w:bidi="ar-EG"/>
        </w:rPr>
      </w:pPr>
      <w:r w:rsidRPr="00335E4B">
        <w:rPr>
          <w:rFonts w:cs="Traditional Arabic"/>
          <w:w w:val="103"/>
          <w:kern w:val="14"/>
          <w:sz w:val="30"/>
          <w:szCs w:val="30"/>
          <w:rtl/>
          <w:lang w:bidi="ar-EG"/>
        </w:rPr>
        <w:t>وينبغي توثيق ظروف التشغيل طوال حملة جمع العينات. وينبغي القيام بتسجيل دقيق للباراميترات المحددة، مثل معدل تدفق الغاز الحجمي ودرجة حرارة الغاز ومحتوى بخار الماء في الغاز والضغط الاستاتيكي لأنبوب الغاز والضغط الجوي</w:t>
      </w:r>
      <w:r w:rsidRPr="00335E4B">
        <w:rPr>
          <w:rFonts w:cs="Traditional Arabic"/>
          <w:w w:val="103"/>
          <w:kern w:val="14"/>
          <w:sz w:val="30"/>
          <w:szCs w:val="30"/>
          <w:vertAlign w:val="superscript"/>
          <w:rtl/>
          <w:lang w:bidi="ar-EG"/>
        </w:rPr>
        <w:t>(</w:t>
      </w:r>
      <w:r w:rsidRPr="00335E4B">
        <w:rPr>
          <w:rFonts w:cs="Traditional Arabic"/>
          <w:w w:val="103"/>
          <w:kern w:val="14"/>
          <w:sz w:val="30"/>
          <w:szCs w:val="30"/>
          <w:vertAlign w:val="superscript"/>
          <w:rtl/>
          <w:lang w:bidi="ar-EG"/>
        </w:rPr>
        <w:footnoteReference w:id="14"/>
      </w:r>
      <w:r w:rsidRPr="00335E4B">
        <w:rPr>
          <w:rFonts w:cs="Traditional Arabic"/>
          <w:w w:val="103"/>
          <w:kern w:val="14"/>
          <w:sz w:val="30"/>
          <w:szCs w:val="30"/>
          <w:vertAlign w:val="superscript"/>
          <w:rtl/>
          <w:lang w:bidi="ar-EG"/>
        </w:rPr>
        <w:t>)</w:t>
      </w:r>
      <w:r w:rsidRPr="00335E4B">
        <w:rPr>
          <w:rFonts w:cs="Traditional Arabic"/>
          <w:w w:val="103"/>
          <w:kern w:val="14"/>
          <w:sz w:val="30"/>
          <w:szCs w:val="30"/>
          <w:rtl/>
          <w:lang w:bidi="ar-EG"/>
        </w:rPr>
        <w:t xml:space="preserve">، </w:t>
      </w:r>
      <w:r w:rsidRPr="00335E4B">
        <w:rPr>
          <w:rFonts w:cs="Traditional Arabic"/>
          <w:sz w:val="30"/>
          <w:szCs w:val="30"/>
          <w:rtl/>
          <w:lang w:bidi="ar-EG"/>
        </w:rPr>
        <w:t>وذلك من أجل تحويل تركيزات الزئبق التي يتم قياسها إلى ظروف مرجعية معيارية (صفر درجة مئوية، 1 ضغط جوي، محتوى الأكسجين المقاس أو المرجعي وعلى قاعدة غاز جافة). ويمكن تحديد كمية الزئبق التي يجري إطلاقها بضرب تركيز الزئبق في غاز العادم وقسمته على معدل تدفق الغاز الحجمي الذي يمر من المدخنة، على النحو التالي:</w:t>
      </w:r>
    </w:p>
    <w:p w:rsidR="00335E4B" w:rsidRPr="00335E4B" w:rsidRDefault="00335E4B" w:rsidP="00335E4B">
      <w:pPr>
        <w:tabs>
          <w:tab w:val="left" w:pos="663"/>
          <w:tab w:val="left" w:pos="2230"/>
          <w:tab w:val="center" w:pos="5468"/>
        </w:tabs>
        <w:spacing w:after="120" w:line="400" w:lineRule="exact"/>
        <w:jc w:val="lowKashida"/>
        <w:rPr>
          <w:rFonts w:cs="Traditional Arabic"/>
          <w:sz w:val="30"/>
          <w:szCs w:val="30"/>
          <w:rtl/>
          <w:lang w:bidi="ar-EG"/>
        </w:rPr>
      </w:pPr>
      <w:r w:rsidRPr="00335E4B">
        <w:rPr>
          <w:rFonts w:cs="Traditional Arabic"/>
          <w:sz w:val="30"/>
          <w:szCs w:val="30"/>
          <w:rtl/>
          <w:lang w:bidi="ar-EG"/>
        </w:rPr>
        <w:t>على سبيل المثال:</w:t>
      </w:r>
    </w:p>
    <w:p w:rsidR="00335E4B" w:rsidRPr="00335E4B" w:rsidRDefault="00335E4B" w:rsidP="00E97AB7">
      <w:pPr>
        <w:tabs>
          <w:tab w:val="left" w:pos="663"/>
          <w:tab w:val="left" w:pos="2230"/>
          <w:tab w:val="center" w:pos="5468"/>
        </w:tabs>
        <w:spacing w:line="360" w:lineRule="exact"/>
        <w:ind w:left="1327"/>
        <w:jc w:val="lowKashida"/>
        <w:rPr>
          <w:rFonts w:cs="Traditional Arabic"/>
          <w:sz w:val="30"/>
          <w:szCs w:val="30"/>
          <w:rtl/>
          <w:lang w:bidi="ar-EG"/>
        </w:rPr>
      </w:pPr>
      <w:r w:rsidRPr="00335E4B">
        <w:rPr>
          <w:rFonts w:cs="Traditional Arabic"/>
          <w:sz w:val="20"/>
          <w:szCs w:val="20"/>
        </w:rPr>
        <w:t>E</w:t>
      </w:r>
      <w:r w:rsidRPr="00335E4B">
        <w:rPr>
          <w:rFonts w:cs="Traditional Arabic"/>
          <w:sz w:val="20"/>
          <w:szCs w:val="20"/>
          <w:vertAlign w:val="subscript"/>
        </w:rPr>
        <w:t>Hg</w:t>
      </w:r>
      <w:r w:rsidRPr="00335E4B">
        <w:rPr>
          <w:rFonts w:cs="Traditional Arabic"/>
          <w:sz w:val="20"/>
          <w:szCs w:val="20"/>
        </w:rPr>
        <w:t xml:space="preserve"> = C</w:t>
      </w:r>
      <w:r w:rsidRPr="00335E4B">
        <w:rPr>
          <w:rFonts w:cs="Traditional Arabic"/>
          <w:sz w:val="20"/>
          <w:szCs w:val="20"/>
          <w:vertAlign w:val="subscript"/>
        </w:rPr>
        <w:t>Hg</w:t>
      </w:r>
      <w:r w:rsidRPr="00335E4B">
        <w:rPr>
          <w:rFonts w:cs="Traditional Arabic"/>
          <w:sz w:val="20"/>
          <w:szCs w:val="20"/>
        </w:rPr>
        <w:t xml:space="preserve"> × F × T</w:t>
      </w:r>
    </w:p>
    <w:p w:rsidR="00335E4B" w:rsidRPr="00335E4B" w:rsidRDefault="00335E4B" w:rsidP="00E97AB7">
      <w:pPr>
        <w:tabs>
          <w:tab w:val="left" w:pos="663"/>
          <w:tab w:val="left" w:pos="2230"/>
          <w:tab w:val="center" w:pos="5468"/>
        </w:tabs>
        <w:spacing w:line="360" w:lineRule="exact"/>
        <w:ind w:left="1327"/>
        <w:jc w:val="lowKashida"/>
        <w:rPr>
          <w:rFonts w:cs="Traditional Arabic"/>
          <w:sz w:val="30"/>
          <w:szCs w:val="30"/>
          <w:rtl/>
          <w:lang w:bidi="ar-EG"/>
        </w:rPr>
      </w:pPr>
      <w:r w:rsidRPr="00335E4B">
        <w:rPr>
          <w:rFonts w:cs="Traditional Arabic"/>
          <w:sz w:val="30"/>
          <w:szCs w:val="30"/>
          <w:rtl/>
          <w:lang w:bidi="ar-EG"/>
        </w:rPr>
        <w:t>حيث:</w:t>
      </w:r>
    </w:p>
    <w:p w:rsidR="00335E4B" w:rsidRPr="00335E4B" w:rsidRDefault="00335E4B" w:rsidP="00E97AB7">
      <w:pPr>
        <w:tabs>
          <w:tab w:val="left" w:pos="663"/>
          <w:tab w:val="left" w:pos="2230"/>
          <w:tab w:val="center" w:pos="5468"/>
        </w:tabs>
        <w:spacing w:line="360" w:lineRule="exact"/>
        <w:ind w:left="1327"/>
        <w:jc w:val="lowKashida"/>
        <w:rPr>
          <w:rFonts w:cs="Traditional Arabic"/>
          <w:sz w:val="20"/>
          <w:szCs w:val="30"/>
          <w:rtl/>
          <w:lang w:bidi="ar-EG"/>
        </w:rPr>
      </w:pPr>
      <w:r w:rsidRPr="00335E4B">
        <w:rPr>
          <w:rFonts w:cs="Traditional Arabic"/>
          <w:sz w:val="20"/>
          <w:szCs w:val="30"/>
          <w:lang w:bidi="ar-EG"/>
        </w:rPr>
        <w:t>EHg</w:t>
      </w:r>
      <w:r w:rsidRPr="00335E4B">
        <w:rPr>
          <w:rFonts w:cs="Traditional Arabic"/>
          <w:sz w:val="20"/>
          <w:szCs w:val="30"/>
          <w:rtl/>
          <w:lang w:bidi="ar-EG"/>
        </w:rPr>
        <w:t>= الانبعاثات الثانوية للزئبق (كغ/سنة)</w:t>
      </w:r>
    </w:p>
    <w:p w:rsidR="00335E4B" w:rsidRPr="00335E4B" w:rsidRDefault="00335E4B" w:rsidP="00E97AB7">
      <w:pPr>
        <w:tabs>
          <w:tab w:val="left" w:pos="663"/>
          <w:tab w:val="left" w:pos="2230"/>
          <w:tab w:val="center" w:pos="5468"/>
        </w:tabs>
        <w:spacing w:line="360" w:lineRule="exact"/>
        <w:ind w:left="1327"/>
        <w:jc w:val="lowKashida"/>
        <w:rPr>
          <w:rFonts w:cs="Traditional Arabic"/>
          <w:sz w:val="20"/>
          <w:szCs w:val="30"/>
          <w:rtl/>
          <w:lang w:bidi="ar-EG"/>
        </w:rPr>
      </w:pPr>
      <w:r w:rsidRPr="00335E4B">
        <w:rPr>
          <w:rFonts w:cs="Traditional Arabic"/>
          <w:sz w:val="20"/>
          <w:szCs w:val="30"/>
          <w:lang w:bidi="ar-EG"/>
        </w:rPr>
        <w:t>CHg</w:t>
      </w:r>
      <w:r w:rsidRPr="00335E4B">
        <w:rPr>
          <w:rFonts w:cs="Traditional Arabic"/>
          <w:sz w:val="20"/>
          <w:szCs w:val="30"/>
          <w:rtl/>
          <w:lang w:bidi="ar-EG"/>
        </w:rPr>
        <w:t>= تركيز الزئبق في تيار الغاز (كغ/م</w:t>
      </w:r>
      <w:r w:rsidRPr="00F233C1">
        <w:rPr>
          <w:rFonts w:cs="Traditional Arabic"/>
          <w:sz w:val="20"/>
          <w:szCs w:val="30"/>
          <w:vertAlign w:val="superscript"/>
          <w:rtl/>
          <w:lang w:bidi="ar-EG"/>
        </w:rPr>
        <w:t>3</w:t>
      </w:r>
      <w:r w:rsidRPr="00335E4B">
        <w:rPr>
          <w:rFonts w:cs="Traditional Arabic"/>
          <w:sz w:val="20"/>
          <w:szCs w:val="30"/>
          <w:rtl/>
          <w:lang w:bidi="ar-EG"/>
        </w:rPr>
        <w:t>)</w:t>
      </w:r>
    </w:p>
    <w:p w:rsidR="00335E4B" w:rsidRPr="00335E4B" w:rsidRDefault="00335E4B" w:rsidP="00E97AB7">
      <w:pPr>
        <w:tabs>
          <w:tab w:val="left" w:pos="663"/>
          <w:tab w:val="left" w:pos="2230"/>
          <w:tab w:val="center" w:pos="5468"/>
        </w:tabs>
        <w:spacing w:line="360" w:lineRule="exact"/>
        <w:ind w:left="1327"/>
        <w:jc w:val="lowKashida"/>
        <w:rPr>
          <w:rFonts w:cs="Traditional Arabic"/>
          <w:sz w:val="20"/>
          <w:szCs w:val="30"/>
          <w:rtl/>
          <w:lang w:bidi="ar-EG"/>
        </w:rPr>
      </w:pPr>
      <w:r w:rsidRPr="00335E4B">
        <w:rPr>
          <w:rFonts w:cs="Traditional Arabic"/>
          <w:sz w:val="20"/>
          <w:szCs w:val="30"/>
          <w:lang w:bidi="ar-EG"/>
        </w:rPr>
        <w:t>F</w:t>
      </w:r>
      <w:r w:rsidRPr="00335E4B">
        <w:rPr>
          <w:rFonts w:cs="Traditional Arabic"/>
          <w:sz w:val="20"/>
          <w:szCs w:val="30"/>
          <w:rtl/>
          <w:lang w:bidi="ar-EG"/>
        </w:rPr>
        <w:t>= معدل التدفق الحجمي لتيار الغاز (م</w:t>
      </w:r>
      <w:r w:rsidRPr="00F233C1">
        <w:rPr>
          <w:rFonts w:cs="Traditional Arabic"/>
          <w:sz w:val="20"/>
          <w:szCs w:val="30"/>
          <w:vertAlign w:val="superscript"/>
          <w:rtl/>
          <w:lang w:bidi="ar-EG"/>
        </w:rPr>
        <w:t>3</w:t>
      </w:r>
      <w:r w:rsidRPr="00335E4B">
        <w:rPr>
          <w:rFonts w:cs="Traditional Arabic"/>
          <w:sz w:val="20"/>
          <w:szCs w:val="30"/>
          <w:rtl/>
          <w:lang w:bidi="ar-EG"/>
        </w:rPr>
        <w:t>/ساعة)</w:t>
      </w:r>
    </w:p>
    <w:p w:rsidR="00335E4B" w:rsidRPr="00335E4B" w:rsidRDefault="00335E4B" w:rsidP="00335E4B">
      <w:pPr>
        <w:tabs>
          <w:tab w:val="left" w:pos="663"/>
          <w:tab w:val="left" w:pos="2230"/>
          <w:tab w:val="center" w:pos="5468"/>
        </w:tabs>
        <w:spacing w:after="120" w:line="400" w:lineRule="exact"/>
        <w:ind w:left="1324"/>
        <w:jc w:val="lowKashida"/>
        <w:rPr>
          <w:rFonts w:cs="Traditional Arabic"/>
          <w:sz w:val="20"/>
          <w:szCs w:val="30"/>
          <w:rtl/>
          <w:lang w:bidi="ar-EG"/>
        </w:rPr>
      </w:pPr>
      <w:r w:rsidRPr="00335E4B">
        <w:rPr>
          <w:rFonts w:cs="Traditional Arabic"/>
          <w:sz w:val="20"/>
          <w:szCs w:val="30"/>
          <w:lang w:bidi="ar-EG"/>
        </w:rPr>
        <w:t>T</w:t>
      </w:r>
      <w:r w:rsidRPr="00335E4B">
        <w:rPr>
          <w:rFonts w:cs="Traditional Arabic"/>
          <w:sz w:val="20"/>
          <w:szCs w:val="30"/>
          <w:rtl/>
          <w:lang w:bidi="ar-EG"/>
        </w:rPr>
        <w:t>= وقت التشغيل سنوياً (ساعة/سنة)</w:t>
      </w:r>
    </w:p>
    <w:p w:rsidR="00335E4B" w:rsidRPr="00335E4B" w:rsidRDefault="00335E4B" w:rsidP="00335E4B">
      <w:pPr>
        <w:tabs>
          <w:tab w:val="left" w:pos="663"/>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وتعتمد الأساليب الأكثر مباشرة في رصد الانبعاثات على أخذ العينات عند مصدر ثابت، مثل أنبوب المدخنة. ولا يجري عادة قياس الانبعاثات المنتثرة، بما فيها الانبعاثات الهاربة، في العادة، والمنهجيات الموجودة فعلاً لقياس الانبعاثات المنتثرة تؤدي نمطياً إلى نتائج تنطوي على درجة كبيرة من عدم التأكد. وهكذا، ينبغي أن يلاحظ أن نتائج رصد الانبعاثات من المصادر الثابتة قد لا تقدم بيانات كاملة عن مجموع انبعاثات الزئبق من المرفق.</w:t>
      </w:r>
    </w:p>
    <w:p w:rsidR="00335E4B" w:rsidRPr="00335E4B" w:rsidRDefault="00335E4B" w:rsidP="00335E4B">
      <w:pPr>
        <w:tabs>
          <w:tab w:val="left" w:pos="663"/>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وينبغي أن يستند اختيار أسلوب الرصد إلى عدة عوامل، مثل خصائص الموقع ومحددات العملية وتأكد القياس واعتبارات التكلفة والمتطلبات التنظيمية ومتطلبات الصيانة. ولمقارنة انبعاثات الزئبق من المرفق مع مرور الوقت، ينبغي استعمال أساليب متسقة لأخذ العينات في السنوات اللاحقة.</w:t>
      </w:r>
    </w:p>
    <w:p w:rsidR="00335E4B" w:rsidRPr="00335E4B" w:rsidRDefault="00335E4B" w:rsidP="00A20BAE">
      <w:pPr>
        <w:keepNext/>
        <w:spacing w:after="120" w:line="400" w:lineRule="exact"/>
        <w:jc w:val="both"/>
        <w:outlineLvl w:val="0"/>
        <w:rPr>
          <w:rFonts w:cs="Traditional Arabic"/>
          <w:b/>
          <w:bCs/>
          <w:sz w:val="30"/>
          <w:szCs w:val="30"/>
          <w:rtl/>
        </w:rPr>
      </w:pPr>
      <w:bookmarkStart w:id="252" w:name="_Toc441577696"/>
      <w:bookmarkStart w:id="253" w:name="_Toc441577875"/>
      <w:bookmarkStart w:id="254" w:name="_Toc441579101"/>
      <w:bookmarkStart w:id="255" w:name="_Toc441580709"/>
      <w:bookmarkStart w:id="256" w:name="_Toc441585840"/>
      <w:bookmarkStart w:id="257" w:name="_Toc441586176"/>
      <w:bookmarkStart w:id="258" w:name="_Toc441586626"/>
      <w:bookmarkStart w:id="259" w:name="_Toc441586805"/>
      <w:bookmarkStart w:id="260" w:name="_Toc441666654"/>
      <w:bookmarkStart w:id="261" w:name="_Toc441673715"/>
      <w:r w:rsidRPr="00335E4B">
        <w:rPr>
          <w:rFonts w:cs="Traditional Arabic" w:hint="cs"/>
          <w:b/>
          <w:bCs/>
          <w:sz w:val="30"/>
          <w:szCs w:val="30"/>
          <w:rtl/>
        </w:rPr>
        <w:t>2</w:t>
      </w:r>
      <w:r w:rsidRPr="00335E4B">
        <w:rPr>
          <w:rFonts w:cs="Traditional Arabic"/>
          <w:b/>
          <w:bCs/>
          <w:sz w:val="30"/>
          <w:szCs w:val="30"/>
          <w:rtl/>
        </w:rPr>
        <w:t>-3</w:t>
      </w:r>
      <w:r w:rsidRPr="00335E4B">
        <w:rPr>
          <w:rFonts w:cs="Traditional Arabic"/>
          <w:b/>
          <w:bCs/>
          <w:sz w:val="30"/>
          <w:szCs w:val="30"/>
          <w:rtl/>
        </w:rPr>
        <w:tab/>
        <w:t>أساليب القياس المباشر</w:t>
      </w:r>
      <w:bookmarkEnd w:id="252"/>
      <w:bookmarkEnd w:id="253"/>
      <w:bookmarkEnd w:id="254"/>
      <w:bookmarkEnd w:id="255"/>
      <w:bookmarkEnd w:id="256"/>
      <w:bookmarkEnd w:id="257"/>
      <w:bookmarkEnd w:id="258"/>
      <w:bookmarkEnd w:id="259"/>
      <w:bookmarkEnd w:id="260"/>
      <w:bookmarkEnd w:id="261"/>
    </w:p>
    <w:p w:rsidR="00335E4B" w:rsidRPr="00335E4B" w:rsidRDefault="00335E4B" w:rsidP="00335E4B">
      <w:pPr>
        <w:tabs>
          <w:tab w:val="left" w:pos="663"/>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تعتبر أساليب القياس المباشر عموماً أكثر التقنيات موثوقية لرصد انبعاثات الزئبق. وعند إجراء هذه الأساليب بطريقة صحيحة فإنها يمكن أن توفر بيانات تمثيلية موثوقة تؤدي إلى قياس أكثر دقة لانبعاثات الزئبق الفعلية من المرفق.</w:t>
      </w:r>
    </w:p>
    <w:p w:rsidR="00335E4B" w:rsidRPr="00335E4B" w:rsidRDefault="00335E4B" w:rsidP="00A43DF5">
      <w:pPr>
        <w:keepNext/>
        <w:tabs>
          <w:tab w:val="left" w:pos="1132"/>
        </w:tabs>
        <w:spacing w:after="120" w:line="400" w:lineRule="exact"/>
        <w:jc w:val="both"/>
        <w:outlineLvl w:val="0"/>
        <w:rPr>
          <w:rFonts w:cs="Traditional Arabic"/>
          <w:b/>
          <w:bCs/>
          <w:sz w:val="30"/>
          <w:szCs w:val="30"/>
          <w:rtl/>
        </w:rPr>
      </w:pPr>
      <w:bookmarkStart w:id="262" w:name="_Toc441577697"/>
      <w:bookmarkStart w:id="263" w:name="_Toc441577876"/>
      <w:bookmarkStart w:id="264" w:name="_Toc441579102"/>
      <w:bookmarkStart w:id="265" w:name="_Toc441580710"/>
      <w:bookmarkStart w:id="266" w:name="_Toc441585841"/>
      <w:bookmarkStart w:id="267" w:name="_Toc441586177"/>
      <w:bookmarkStart w:id="268" w:name="_Toc441586627"/>
      <w:bookmarkStart w:id="269" w:name="_Toc441586806"/>
      <w:bookmarkStart w:id="270" w:name="_Toc441666655"/>
      <w:bookmarkStart w:id="271" w:name="_Toc441673716"/>
      <w:r w:rsidRPr="00335E4B">
        <w:rPr>
          <w:rFonts w:cs="Traditional Arabic" w:hint="cs"/>
          <w:b/>
          <w:bCs/>
          <w:sz w:val="30"/>
          <w:szCs w:val="30"/>
          <w:rtl/>
        </w:rPr>
        <w:t>2</w:t>
      </w:r>
      <w:r w:rsidRPr="00335E4B">
        <w:rPr>
          <w:rFonts w:cs="Traditional Arabic"/>
          <w:b/>
          <w:bCs/>
          <w:sz w:val="30"/>
          <w:szCs w:val="30"/>
          <w:rtl/>
        </w:rPr>
        <w:t>-3-1</w:t>
      </w:r>
      <w:r w:rsidRPr="00335E4B">
        <w:rPr>
          <w:rFonts w:cs="Traditional Arabic"/>
          <w:b/>
          <w:bCs/>
          <w:sz w:val="30"/>
          <w:szCs w:val="30"/>
          <w:rtl/>
        </w:rPr>
        <w:tab/>
        <w:t>القياسات قصيرة الأجل</w:t>
      </w:r>
      <w:bookmarkEnd w:id="262"/>
      <w:bookmarkEnd w:id="263"/>
      <w:bookmarkEnd w:id="264"/>
      <w:bookmarkEnd w:id="265"/>
      <w:bookmarkEnd w:id="266"/>
      <w:bookmarkEnd w:id="267"/>
      <w:bookmarkEnd w:id="268"/>
      <w:bookmarkEnd w:id="269"/>
      <w:bookmarkEnd w:id="270"/>
      <w:bookmarkEnd w:id="271"/>
    </w:p>
    <w:p w:rsidR="00335E4B" w:rsidRPr="00335E4B" w:rsidRDefault="00335E4B" w:rsidP="00A43DF5">
      <w:pPr>
        <w:tabs>
          <w:tab w:val="left" w:pos="1132"/>
        </w:tabs>
        <w:spacing w:before="120" w:after="120" w:line="400" w:lineRule="exact"/>
        <w:rPr>
          <w:rFonts w:cs="Traditional Arabic"/>
          <w:b/>
          <w:bCs/>
          <w:sz w:val="20"/>
          <w:szCs w:val="30"/>
          <w:rtl/>
        </w:rPr>
      </w:pPr>
      <w:r w:rsidRPr="00335E4B">
        <w:rPr>
          <w:rFonts w:cs="Traditional Arabic" w:hint="cs"/>
          <w:b/>
          <w:bCs/>
          <w:sz w:val="20"/>
          <w:szCs w:val="30"/>
          <w:rtl/>
        </w:rPr>
        <w:t>2</w:t>
      </w:r>
      <w:r w:rsidRPr="00335E4B">
        <w:rPr>
          <w:rFonts w:cs="Traditional Arabic"/>
          <w:b/>
          <w:bCs/>
          <w:sz w:val="20"/>
          <w:szCs w:val="30"/>
          <w:rtl/>
        </w:rPr>
        <w:t>-3-1-1</w:t>
      </w:r>
      <w:r w:rsidRPr="00335E4B">
        <w:rPr>
          <w:rFonts w:cs="Traditional Arabic"/>
          <w:b/>
          <w:bCs/>
          <w:sz w:val="20"/>
          <w:szCs w:val="30"/>
          <w:rtl/>
        </w:rPr>
        <w:tab/>
        <w:t>أخذ العينات بجهاز الارتطام</w:t>
      </w:r>
    </w:p>
    <w:p w:rsidR="00335E4B" w:rsidRPr="00335E4B" w:rsidRDefault="00335E4B" w:rsidP="00335E4B">
      <w:pPr>
        <w:tabs>
          <w:tab w:val="left" w:pos="663"/>
          <w:tab w:val="left" w:pos="1117"/>
          <w:tab w:val="left" w:pos="2230"/>
          <w:tab w:val="center" w:pos="5468"/>
        </w:tabs>
        <w:spacing w:after="120" w:line="400" w:lineRule="exact"/>
        <w:jc w:val="lowKashida"/>
        <w:rPr>
          <w:rFonts w:cs="Traditional Arabic"/>
          <w:sz w:val="20"/>
          <w:szCs w:val="30"/>
          <w:rtl/>
        </w:rPr>
      </w:pPr>
      <w:r w:rsidRPr="00335E4B">
        <w:rPr>
          <w:rFonts w:cs="Traditional Arabic"/>
          <w:sz w:val="20"/>
          <w:szCs w:val="30"/>
          <w:rtl/>
          <w:lang w:bidi="ar-EG"/>
        </w:rPr>
        <w:t xml:space="preserve">تؤخذ عينات انبعاثات الزئبق بجهاز الارتطام من مصدر ثابت بالقيام يدوياً بجمع عينة من غاز العادم من فتحة خروج مثل </w:t>
      </w:r>
      <w:r w:rsidRPr="00335E4B">
        <w:rPr>
          <w:rFonts w:cs="Traditional Arabic" w:hint="cs"/>
          <w:sz w:val="20"/>
          <w:szCs w:val="30"/>
          <w:rtl/>
        </w:rPr>
        <w:t>أ</w:t>
      </w:r>
      <w:r w:rsidRPr="00335E4B">
        <w:rPr>
          <w:rFonts w:cs="Traditional Arabic"/>
          <w:sz w:val="20"/>
          <w:szCs w:val="30"/>
          <w:rtl/>
          <w:lang w:bidi="ar-EG"/>
        </w:rPr>
        <w:t>نبوب المدخنة أو المجرى بنظام المعاينة المتساوية الحركة، حيث يكون تيار غاز العينة الذي يتم استخراجه بنفس سرعة التيار الرئيسي. وتأخذ المعاينة المتساوية الحركة في الاعتبار التغيرات في معدل تدفق الغاز وتحميل بعض الجسيمات في الغاز. ولكن هذا الأسلوب ليس مناسباً في حالة الغازات التي تحمل الجسيمات بصورة كثيفة.</w:t>
      </w:r>
    </w:p>
    <w:p w:rsidR="00335E4B" w:rsidRPr="00335E4B" w:rsidRDefault="00335E4B" w:rsidP="00335E4B">
      <w:pPr>
        <w:tabs>
          <w:tab w:val="left" w:pos="663"/>
          <w:tab w:val="left" w:pos="1117"/>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ويتطلب هذا الأسلوب استعمال قطار معاينة معقد لاستعادة الزئبق من تيار الغاز في شكل محلول يتم إرساله بعدئذٍ إلى التحليل في المختبر. وفي حين أن هذا الأسلوب يسمح بدقة جيدة في قياس تركيز الزئبق فإنه يتطلب حضوراً مستمراً أثناء فترة جمع العينة. ومن مزايا هذا الأسلوب أن الاستعادة تكون ممكنة في حالتي وجود الزئبق في شكل غازي وفي وجود الزئبق أو ملتصقاً بجسيمات دقيقة. وبسبب تعقد هذا الإجراء يتجه إجراء اختبار المصدر إلى أن يكون في فترات دورية فقط (مرة أو مرتين في السنة على سبيل المثال). وعموماً، تعين المرافق خبراء استشاريين متخصصين في اختبار المصدر من أجل أخذ العينات وإجراء التحليل.</w:t>
      </w:r>
    </w:p>
    <w:p w:rsidR="00335E4B" w:rsidRPr="00335E4B" w:rsidRDefault="00335E4B" w:rsidP="00335E4B">
      <w:pPr>
        <w:tabs>
          <w:tab w:val="left" w:pos="663"/>
          <w:tab w:val="left" w:pos="1117"/>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 xml:space="preserve">ويتم إدخال مسبار وصنبور عينة في مجرى الغاز الخارج لاستخراج عينة تمثيلية في فترة زمنية محددة. ونظراً لأن أخذ العينات </w:t>
      </w:r>
      <w:r w:rsidRPr="00335E4B">
        <w:rPr>
          <w:rFonts w:cs="Traditional Arabic" w:hint="cs"/>
          <w:sz w:val="20"/>
          <w:szCs w:val="30"/>
          <w:rtl/>
          <w:lang w:bidi="ar-EG"/>
        </w:rPr>
        <w:t>بجهاز الارتطام</w:t>
      </w:r>
      <w:r w:rsidRPr="00335E4B">
        <w:rPr>
          <w:rFonts w:cs="Traditional Arabic"/>
          <w:sz w:val="20"/>
          <w:szCs w:val="30"/>
          <w:rtl/>
          <w:lang w:bidi="ar-EG"/>
        </w:rPr>
        <w:t xml:space="preserve"> لا يجري </w:t>
      </w:r>
      <w:r w:rsidRPr="00335E4B">
        <w:rPr>
          <w:rFonts w:cs="Traditional Arabic" w:hint="cs"/>
          <w:sz w:val="20"/>
          <w:szCs w:val="30"/>
          <w:rtl/>
          <w:lang w:bidi="ar-EG"/>
        </w:rPr>
        <w:t>عادة</w:t>
      </w:r>
      <w:r w:rsidRPr="00335E4B">
        <w:rPr>
          <w:rFonts w:cs="Traditional Arabic"/>
          <w:sz w:val="20"/>
          <w:szCs w:val="30"/>
          <w:rtl/>
          <w:lang w:bidi="ar-EG"/>
        </w:rPr>
        <w:t xml:space="preserve"> إلا </w:t>
      </w:r>
      <w:r w:rsidRPr="00335E4B">
        <w:rPr>
          <w:rFonts w:cs="Traditional Arabic" w:hint="cs"/>
          <w:sz w:val="20"/>
          <w:szCs w:val="30"/>
          <w:rtl/>
          <w:lang w:bidi="ar-EG"/>
        </w:rPr>
        <w:t>بضعة</w:t>
      </w:r>
      <w:r w:rsidRPr="00335E4B">
        <w:rPr>
          <w:rFonts w:cs="Traditional Arabic"/>
          <w:sz w:val="20"/>
          <w:szCs w:val="30"/>
          <w:rtl/>
          <w:lang w:bidi="ar-EG"/>
        </w:rPr>
        <w:t xml:space="preserve"> مرات في السنة كحد أقصى فإن العينات ينبغي أن تؤخذ عند تشغيل العملية في حالة مستقرة للسماح للاستقراء الخارجي للبيانات خلال سنة تشغيل. وينبغي توثيق ظروف التشغيل قبل حملة أخذ العينات و</w:t>
      </w:r>
      <w:r w:rsidRPr="00335E4B">
        <w:rPr>
          <w:rFonts w:cs="Traditional Arabic" w:hint="cs"/>
          <w:sz w:val="20"/>
          <w:szCs w:val="30"/>
          <w:rtl/>
          <w:lang w:bidi="ar-EG"/>
        </w:rPr>
        <w:t>ا</w:t>
      </w:r>
      <w:r w:rsidRPr="00335E4B">
        <w:rPr>
          <w:rFonts w:cs="Traditional Arabic"/>
          <w:sz w:val="20"/>
          <w:szCs w:val="30"/>
          <w:rtl/>
          <w:lang w:bidi="ar-EG"/>
        </w:rPr>
        <w:t xml:space="preserve">ثناءها وبعدها. وفي الولايات المتحدة، تتمثل الممارسة العامة في أخذ ثلاث عينات بجهاز التراطم، تمتد كل منها لعدة ساعات في ظروف تشغيل نمطية، وحساب متوسط النتائج للتوصل إلى قيمة التركيز النهائية. والدقة في تجهيز جهاز الارتطام والتعامل مع المحاليل بعد ذلك تتسم بأهمية حاسمة لنجاح أساليب الارتطام. وتتصل أخطاء القياس في كثير من الأحيان بضياع الزئبق من المحاليل. ولذلك فمن الجوهري تجنب أي ضياع للعينة نظراً لأن ذلك سيسبب نتائج اختبار </w:t>
      </w:r>
      <w:r w:rsidRPr="00335E4B">
        <w:rPr>
          <w:rFonts w:cs="Traditional Arabic" w:hint="cs"/>
          <w:sz w:val="20"/>
          <w:szCs w:val="30"/>
          <w:rtl/>
          <w:lang w:bidi="ar-EG"/>
        </w:rPr>
        <w:t xml:space="preserve">منخفضة </w:t>
      </w:r>
      <w:r w:rsidRPr="00335E4B">
        <w:rPr>
          <w:rFonts w:cs="Traditional Arabic"/>
          <w:sz w:val="20"/>
          <w:szCs w:val="30"/>
          <w:rtl/>
          <w:lang w:bidi="ar-EG"/>
        </w:rPr>
        <w:t>بصورة مضللة.</w:t>
      </w:r>
    </w:p>
    <w:p w:rsidR="00335E4B" w:rsidRPr="00335E4B" w:rsidRDefault="00335E4B" w:rsidP="00335E4B">
      <w:pPr>
        <w:tabs>
          <w:tab w:val="left" w:pos="663"/>
          <w:tab w:val="left" w:pos="1117"/>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ونظراً لأن هذا الأسلوب ليس من أساليب الرصد المستمر للانبعاثات فإن النتائج التي يتم الحصول عليها لا تقدم بيانات بشأن انبعاثات الزئبق أثناء الأنشطة غير المنتظمة، مثل التأرجحات الواسعة في الإنتاج وبدء العمليات أو إغلاق المنشأة أو اضطراب العمل فيها. وينبغي أن يلاحظ أن انبعاثات الزئبق المتولدة أثناء هذه الأحداث يمكن أن تكون أعلى أو أقل بدرجة كبيرة عن ظروف التشغيل العادية.</w:t>
      </w:r>
    </w:p>
    <w:p w:rsidR="00335E4B" w:rsidRPr="00335E4B" w:rsidRDefault="00335E4B" w:rsidP="00335E4B">
      <w:pPr>
        <w:spacing w:after="120" w:line="380" w:lineRule="exact"/>
        <w:jc w:val="lowKashida"/>
        <w:rPr>
          <w:rFonts w:cs="Traditional Arabic"/>
          <w:sz w:val="20"/>
          <w:szCs w:val="30"/>
          <w:rtl/>
          <w:lang w:bidi="ar-EG"/>
        </w:rPr>
      </w:pPr>
      <w:r w:rsidRPr="00335E4B">
        <w:rPr>
          <w:rFonts w:cs="Traditional Arabic"/>
          <w:sz w:val="20"/>
          <w:szCs w:val="30"/>
          <w:rtl/>
          <w:lang w:bidi="ar-EG"/>
        </w:rPr>
        <w:t>ولكن يمكن حتى في ظروف الأحوال المستقرة العادية أن يحدث تباين كبير في أحجام الزئبق المنبعثة عندما يتذبذب محتوى الزئبق في الوقود أو مواد التغذية الأوّلية في فترات قصيرة من الوقت. وبالتحديد، قد يحدث في مرافق ترميد النفايات وا</w:t>
      </w:r>
      <w:r w:rsidRPr="00335E4B">
        <w:rPr>
          <w:rFonts w:cs="Traditional Arabic" w:hint="cs"/>
          <w:sz w:val="20"/>
          <w:szCs w:val="30"/>
          <w:rtl/>
          <w:lang w:bidi="ar-EG"/>
        </w:rPr>
        <w:t>لا</w:t>
      </w:r>
      <w:r w:rsidRPr="00335E4B">
        <w:rPr>
          <w:rFonts w:cs="Traditional Arabic"/>
          <w:sz w:val="20"/>
          <w:szCs w:val="30"/>
          <w:rtl/>
          <w:lang w:bidi="ar-EG"/>
        </w:rPr>
        <w:t xml:space="preserve">سمنت التي تستخدم وقود الفضلات أن </w:t>
      </w:r>
      <w:r w:rsidRPr="00335E4B">
        <w:rPr>
          <w:rFonts w:cs="Traditional Arabic" w:hint="cs"/>
          <w:sz w:val="20"/>
          <w:szCs w:val="30"/>
          <w:rtl/>
          <w:lang w:bidi="ar-EG"/>
        </w:rPr>
        <w:t>يصعب</w:t>
      </w:r>
      <w:r w:rsidRPr="00335E4B">
        <w:rPr>
          <w:rFonts w:cs="Traditional Arabic"/>
          <w:sz w:val="20"/>
          <w:szCs w:val="30"/>
          <w:rtl/>
          <w:lang w:bidi="ar-EG"/>
        </w:rPr>
        <w:t xml:space="preserve"> التنبؤ بمحتوى الزئبق الذي يدخل النظام أو المرفق.</w:t>
      </w:r>
      <w:r w:rsidRPr="00335E4B">
        <w:rPr>
          <w:rFonts w:cs="Traditional Arabic" w:hint="cs"/>
          <w:sz w:val="20"/>
          <w:szCs w:val="30"/>
          <w:rtl/>
          <w:lang w:bidi="ar-EG"/>
        </w:rPr>
        <w:t xml:space="preserve"> </w:t>
      </w:r>
      <w:r w:rsidRPr="00335E4B">
        <w:rPr>
          <w:rFonts w:cs="Traditional Arabic"/>
          <w:sz w:val="20"/>
          <w:szCs w:val="30"/>
          <w:rtl/>
          <w:lang w:bidi="ar-EG"/>
        </w:rPr>
        <w:t>وبالمثل، قد يتغير الزئبق في تغذيات الأفران بسرعة حسب المرك</w:t>
      </w:r>
      <w:r w:rsidRPr="00335E4B">
        <w:rPr>
          <w:rFonts w:cs="Traditional Arabic" w:hint="cs"/>
          <w:sz w:val="20"/>
          <w:szCs w:val="30"/>
          <w:rtl/>
          <w:lang w:bidi="ar-EG"/>
        </w:rPr>
        <w:t>َّ</w:t>
      </w:r>
      <w:r w:rsidRPr="00335E4B">
        <w:rPr>
          <w:rFonts w:cs="Traditional Arabic"/>
          <w:sz w:val="20"/>
          <w:szCs w:val="30"/>
          <w:rtl/>
          <w:lang w:bidi="ar-EG"/>
        </w:rPr>
        <w:t>زات التي يجري تجهيزها، في حالة قطاع المعادن غير الحديدية. وفي هذه الحالات، فإن النتائج المتجمعة من أخذ العينات بجهاز الارتطام قد لا توفر بيانات تمثيلية في حالة استقراءها خارجياً في فترة طويلة من الوقت (مثل المتوسطات الثانوية). وهكذا، فإن زيادة عدد مرات أخذ العينات (على سبيل المثال زيادتها إلى ثلاثة قياسات في السنة طوال سنوات كثيرة) يمكن أن يوفر فهماً أفضل لانبعاثات المصدر الفعلية مع مرور الوقت.</w:t>
      </w:r>
    </w:p>
    <w:p w:rsidR="00335E4B" w:rsidRPr="00335E4B" w:rsidRDefault="00335E4B" w:rsidP="00335E4B">
      <w:pPr>
        <w:tabs>
          <w:tab w:val="left" w:pos="663"/>
          <w:tab w:val="left" w:pos="1117"/>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وللحصول على القيمة القصوى وأغراض الاستثمار ينبغي إجراء اختبار انبعاثات الزئبق في المصدر أثناء حملات أكثر اتساعاً لجمع العينات للملوثات الهوائية مثل الجسيمات الدقيقة وأكاسيد النتروجين وثنائي أكسيد الكبريت والمركبات العضوية المتطايرة. وقد تؤدي إضافة اختبار الزئبق عند إجراء هذه الحملات الأكثر اتساعاً لأخذ عينات الملوثات الهوائية إلى زيادة تكاليف تشغيل المرفق. وتتوقف التكاليف الفعلية على عوامل مختلفة مثل أسلوب</w:t>
      </w:r>
      <w:r w:rsidRPr="00335E4B">
        <w:rPr>
          <w:rFonts w:cs="Traditional Arabic" w:hint="cs"/>
          <w:sz w:val="20"/>
          <w:szCs w:val="30"/>
          <w:rtl/>
          <w:lang w:bidi="ar-EG"/>
        </w:rPr>
        <w:t xml:space="preserve"> أخذ</w:t>
      </w:r>
      <w:r w:rsidRPr="00335E4B">
        <w:rPr>
          <w:rFonts w:cs="Traditional Arabic"/>
          <w:sz w:val="20"/>
          <w:szCs w:val="30"/>
          <w:rtl/>
          <w:lang w:bidi="ar-EG"/>
        </w:rPr>
        <w:t xml:space="preserve"> العينات وعدد مرات المعاينة وخدمات الدعم وأساليب التحليل وتجهيز الموقع.</w:t>
      </w:r>
    </w:p>
    <w:p w:rsidR="00335E4B" w:rsidRPr="00335E4B" w:rsidRDefault="00335E4B" w:rsidP="00335E4B">
      <w:pPr>
        <w:tabs>
          <w:tab w:val="left" w:pos="663"/>
          <w:tab w:val="left" w:pos="1117"/>
          <w:tab w:val="left" w:pos="2230"/>
          <w:tab w:val="center" w:pos="5468"/>
        </w:tabs>
        <w:spacing w:after="120" w:line="400" w:lineRule="exact"/>
        <w:jc w:val="lowKashida"/>
        <w:rPr>
          <w:rFonts w:cs="Traditional Arabic"/>
          <w:b/>
          <w:bCs/>
          <w:sz w:val="20"/>
          <w:szCs w:val="30"/>
          <w:rtl/>
          <w:lang w:bidi="ar-EG"/>
        </w:rPr>
      </w:pPr>
      <w:r w:rsidRPr="00335E4B">
        <w:rPr>
          <w:rFonts w:cs="Traditional Arabic"/>
          <w:b/>
          <w:bCs/>
          <w:sz w:val="20"/>
          <w:szCs w:val="30"/>
          <w:rtl/>
          <w:lang w:bidi="ar-EG"/>
        </w:rPr>
        <w:t>الأساليب المرجعية الموجودة:</w:t>
      </w:r>
    </w:p>
    <w:p w:rsidR="00335E4B" w:rsidRPr="00335E4B" w:rsidRDefault="00335E4B" w:rsidP="00335E4B">
      <w:pPr>
        <w:numPr>
          <w:ilvl w:val="0"/>
          <w:numId w:val="12"/>
        </w:numPr>
        <w:tabs>
          <w:tab w:val="num" w:pos="424"/>
          <w:tab w:val="center" w:pos="5468"/>
        </w:tabs>
        <w:spacing w:after="120" w:line="400" w:lineRule="exact"/>
        <w:ind w:left="424" w:hanging="426"/>
        <w:jc w:val="lowKashida"/>
        <w:rPr>
          <w:rFonts w:cs="Traditional Arabic"/>
          <w:sz w:val="20"/>
          <w:szCs w:val="30"/>
          <w:lang w:bidi="ar-EG"/>
        </w:rPr>
      </w:pPr>
      <w:r w:rsidRPr="00335E4B">
        <w:rPr>
          <w:rFonts w:cs="Traditional Arabic"/>
          <w:i/>
          <w:iCs/>
          <w:sz w:val="20"/>
          <w:szCs w:val="30"/>
          <w:rtl/>
          <w:lang w:bidi="ar-EG"/>
        </w:rPr>
        <w:t xml:space="preserve">الأسلوب </w:t>
      </w:r>
      <w:r w:rsidRPr="00335E4B">
        <w:rPr>
          <w:rFonts w:cs="Traditional Arabic"/>
          <w:i/>
          <w:iCs/>
          <w:sz w:val="20"/>
          <w:szCs w:val="30"/>
          <w:lang w:bidi="ar-EG"/>
        </w:rPr>
        <w:t>EN13211:2001/AC: 2005</w:t>
      </w:r>
      <w:r w:rsidRPr="00335E4B">
        <w:rPr>
          <w:rFonts w:cs="Traditional Arabic"/>
          <w:i/>
          <w:iCs/>
          <w:sz w:val="20"/>
          <w:szCs w:val="30"/>
          <w:rtl/>
          <w:lang w:bidi="ar-EG"/>
        </w:rPr>
        <w:t>- نوعية الهواء -انبعاثات المصادر الثابتة - الأسلوب اليدوي لإجمالي تركز مجموع الزئبق</w:t>
      </w:r>
      <w:r w:rsidRPr="00335E4B">
        <w:rPr>
          <w:rFonts w:cs="Traditional Arabic"/>
          <w:sz w:val="20"/>
          <w:szCs w:val="30"/>
          <w:vertAlign w:val="superscript"/>
          <w:rtl/>
          <w:lang w:bidi="ar-EG"/>
        </w:rPr>
        <w:t>(</w:t>
      </w:r>
      <w:r w:rsidRPr="00335E4B">
        <w:rPr>
          <w:rFonts w:cs="Traditional Arabic"/>
          <w:sz w:val="20"/>
          <w:szCs w:val="30"/>
          <w:vertAlign w:val="superscript"/>
          <w:rtl/>
          <w:lang w:bidi="ar-EG"/>
        </w:rPr>
        <w:footnoteReference w:id="15"/>
      </w:r>
      <w:r w:rsidRPr="00335E4B">
        <w:rPr>
          <w:rFonts w:cs="Traditional Arabic"/>
          <w:sz w:val="20"/>
          <w:szCs w:val="30"/>
          <w:vertAlign w:val="superscript"/>
          <w:rtl/>
          <w:lang w:bidi="ar-EG"/>
        </w:rPr>
        <w:t>)</w:t>
      </w:r>
    </w:p>
    <w:p w:rsidR="00335E4B" w:rsidRPr="00335E4B" w:rsidRDefault="00335E4B" w:rsidP="00335E4B">
      <w:pPr>
        <w:tabs>
          <w:tab w:val="left" w:pos="663"/>
          <w:tab w:val="left" w:pos="1117"/>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هذا هو الأسلوب المرجعي المستعمل في أوروبا لقياس مجموع الزئبق. وينطبق هذا الأسلوب على مدى تركيزات مجموع الزئبق من 0</w:t>
      </w:r>
      <w:r w:rsidRPr="00335E4B">
        <w:rPr>
          <w:rFonts w:cs="Traditional Arabic" w:hint="cs"/>
          <w:sz w:val="20"/>
          <w:szCs w:val="30"/>
          <w:rtl/>
          <w:lang w:bidi="ar-EG"/>
        </w:rPr>
        <w:t>,</w:t>
      </w:r>
      <w:r w:rsidRPr="00335E4B">
        <w:rPr>
          <w:rFonts w:cs="Traditional Arabic"/>
          <w:sz w:val="20"/>
          <w:szCs w:val="30"/>
          <w:rtl/>
          <w:lang w:bidi="ar-EG"/>
        </w:rPr>
        <w:t>001 إلى 0</w:t>
      </w:r>
      <w:r w:rsidRPr="00335E4B">
        <w:rPr>
          <w:rFonts w:cs="Traditional Arabic" w:hint="cs"/>
          <w:sz w:val="20"/>
          <w:szCs w:val="30"/>
          <w:rtl/>
          <w:lang w:bidi="ar-EG"/>
        </w:rPr>
        <w:t>,</w:t>
      </w:r>
      <w:r w:rsidRPr="00335E4B">
        <w:rPr>
          <w:rFonts w:cs="Traditional Arabic"/>
          <w:sz w:val="20"/>
          <w:szCs w:val="30"/>
          <w:rtl/>
          <w:lang w:bidi="ar-EG"/>
        </w:rPr>
        <w:t>5 مللي غرام/م</w:t>
      </w:r>
      <w:r w:rsidRPr="00F233C1">
        <w:rPr>
          <w:rFonts w:cs="Traditional Arabic"/>
          <w:sz w:val="20"/>
          <w:szCs w:val="30"/>
          <w:vertAlign w:val="superscript"/>
          <w:rtl/>
          <w:lang w:bidi="ar-EG"/>
        </w:rPr>
        <w:t>3</w:t>
      </w:r>
      <w:r w:rsidRPr="00335E4B">
        <w:rPr>
          <w:rFonts w:cs="Traditional Arabic"/>
          <w:sz w:val="20"/>
          <w:szCs w:val="30"/>
          <w:rtl/>
          <w:lang w:bidi="ar-EG"/>
        </w:rPr>
        <w:t xml:space="preserve"> في غازات العادم. </w:t>
      </w:r>
      <w:r w:rsidRPr="00335E4B">
        <w:rPr>
          <w:rFonts w:cs="Traditional Arabic" w:hint="cs"/>
          <w:sz w:val="20"/>
          <w:szCs w:val="30"/>
          <w:rtl/>
          <w:lang w:bidi="ar-EG"/>
        </w:rPr>
        <w:t>والعملية</w:t>
      </w:r>
      <w:r w:rsidRPr="00335E4B">
        <w:rPr>
          <w:rFonts w:cs="Traditional Arabic"/>
          <w:sz w:val="20"/>
          <w:szCs w:val="30"/>
          <w:rtl/>
          <w:lang w:bidi="ar-EG"/>
        </w:rPr>
        <w:t xml:space="preserve"> أسلوب يدوي لتحديد تركيز الزئبق</w:t>
      </w:r>
      <w:r w:rsidRPr="00335E4B">
        <w:rPr>
          <w:rFonts w:cs="Traditional Arabic" w:hint="cs"/>
          <w:sz w:val="20"/>
          <w:szCs w:val="30"/>
          <w:rtl/>
          <w:lang w:bidi="ar-EG"/>
        </w:rPr>
        <w:t xml:space="preserve"> الكلي</w:t>
      </w:r>
      <w:r w:rsidRPr="00335E4B">
        <w:rPr>
          <w:rFonts w:cs="Traditional Arabic"/>
          <w:sz w:val="20"/>
          <w:szCs w:val="30"/>
          <w:rtl/>
          <w:lang w:bidi="ar-EG"/>
        </w:rPr>
        <w:t xml:space="preserve"> باستعمال محلول مائي حمضي من برمنغنات البوتاسيوم أو ثاني كرومات البوتاسيوم </w:t>
      </w:r>
      <w:r w:rsidRPr="00335E4B">
        <w:rPr>
          <w:rFonts w:cs="Traditional Arabic" w:hint="cs"/>
          <w:sz w:val="20"/>
          <w:szCs w:val="30"/>
          <w:rtl/>
          <w:lang w:bidi="ar-EG"/>
        </w:rPr>
        <w:t xml:space="preserve">من أجل </w:t>
      </w:r>
      <w:r w:rsidRPr="00335E4B">
        <w:rPr>
          <w:rFonts w:cs="Traditional Arabic"/>
          <w:sz w:val="20"/>
          <w:szCs w:val="30"/>
          <w:rtl/>
          <w:lang w:bidi="ar-EG"/>
        </w:rPr>
        <w:t>أخذ عينة الزئبق في طور البخار مع استخدام مرشح ورقي لجمع الزئبق الملتصق بالجسيمات. وينبغي أن يكون زمن أخذ العينة بين 30 دقيقة وساعتين.</w:t>
      </w:r>
    </w:p>
    <w:p w:rsidR="00335E4B" w:rsidRPr="00335E4B" w:rsidRDefault="00335E4B" w:rsidP="00335E4B">
      <w:pPr>
        <w:numPr>
          <w:ilvl w:val="0"/>
          <w:numId w:val="12"/>
        </w:numPr>
        <w:tabs>
          <w:tab w:val="num" w:pos="424"/>
          <w:tab w:val="center" w:pos="5468"/>
        </w:tabs>
        <w:spacing w:after="120" w:line="400" w:lineRule="exact"/>
        <w:ind w:left="424" w:hanging="426"/>
        <w:jc w:val="lowKashida"/>
        <w:rPr>
          <w:rFonts w:cs="Traditional Arabic"/>
          <w:sz w:val="20"/>
          <w:szCs w:val="30"/>
          <w:lang w:bidi="ar-EG"/>
        </w:rPr>
      </w:pPr>
      <w:r w:rsidRPr="00335E4B">
        <w:rPr>
          <w:rFonts w:cs="Traditional Arabic"/>
          <w:i/>
          <w:iCs/>
          <w:sz w:val="20"/>
          <w:szCs w:val="30"/>
          <w:rtl/>
          <w:lang w:bidi="ar-EG"/>
        </w:rPr>
        <w:t xml:space="preserve">وكالة حماية البيئة في الولايات المتحدة الأسلوب 29- </w:t>
      </w:r>
      <w:r w:rsidRPr="00335E4B">
        <w:rPr>
          <w:rFonts w:cs="Times New Roman"/>
          <w:i/>
          <w:iCs/>
          <w:sz w:val="20"/>
          <w:szCs w:val="20"/>
          <w:rtl/>
          <w:lang w:bidi="ar-EG"/>
        </w:rPr>
        <w:t>(</w:t>
      </w:r>
      <w:r w:rsidRPr="00335E4B">
        <w:rPr>
          <w:rFonts w:cs="Times New Roman"/>
          <w:i/>
          <w:iCs/>
          <w:sz w:val="20"/>
          <w:szCs w:val="20"/>
          <w:lang w:bidi="ar-EG"/>
        </w:rPr>
        <w:t>USEPA Method 29</w:t>
      </w:r>
      <w:r w:rsidRPr="00335E4B">
        <w:rPr>
          <w:rFonts w:cs="Times New Roman"/>
          <w:i/>
          <w:iCs/>
          <w:sz w:val="20"/>
          <w:szCs w:val="20"/>
          <w:rtl/>
          <w:lang w:bidi="ar-EG"/>
        </w:rPr>
        <w:t>)</w:t>
      </w:r>
      <w:r w:rsidRPr="00335E4B">
        <w:rPr>
          <w:rFonts w:cs="Traditional Arabic"/>
          <w:i/>
          <w:iCs/>
          <w:sz w:val="20"/>
          <w:szCs w:val="30"/>
          <w:rtl/>
          <w:lang w:bidi="ar-EG"/>
        </w:rPr>
        <w:t xml:space="preserve"> - انبعاثات المعادن من المصادر الثابتة</w:t>
      </w:r>
      <w:r w:rsidRPr="00335E4B">
        <w:rPr>
          <w:rFonts w:cs="Traditional Arabic"/>
          <w:sz w:val="20"/>
          <w:szCs w:val="30"/>
          <w:vertAlign w:val="superscript"/>
          <w:rtl/>
          <w:lang w:bidi="ar-EG"/>
        </w:rPr>
        <w:t>(</w:t>
      </w:r>
      <w:r w:rsidRPr="00335E4B">
        <w:rPr>
          <w:rFonts w:cs="Traditional Arabic"/>
          <w:sz w:val="20"/>
          <w:szCs w:val="30"/>
          <w:vertAlign w:val="superscript"/>
          <w:rtl/>
        </w:rPr>
        <w:footnoteReference w:id="16"/>
      </w:r>
      <w:r w:rsidRPr="00335E4B">
        <w:rPr>
          <w:rFonts w:cs="Traditional Arabic"/>
          <w:sz w:val="20"/>
          <w:szCs w:val="30"/>
          <w:vertAlign w:val="superscript"/>
          <w:rtl/>
          <w:lang w:bidi="ar-EG"/>
        </w:rPr>
        <w:t>)</w:t>
      </w:r>
    </w:p>
    <w:p w:rsidR="00335E4B" w:rsidRDefault="00335E4B" w:rsidP="00335E4B">
      <w:pPr>
        <w:spacing w:after="120" w:line="380" w:lineRule="exact"/>
        <w:jc w:val="lowKashida"/>
        <w:rPr>
          <w:rFonts w:cs="Traditional Arabic"/>
          <w:sz w:val="20"/>
          <w:szCs w:val="30"/>
          <w:rtl/>
          <w:lang w:bidi="ar-EG"/>
        </w:rPr>
      </w:pPr>
      <w:r w:rsidRPr="00335E4B">
        <w:rPr>
          <w:rFonts w:cs="Traditional Arabic"/>
          <w:sz w:val="20"/>
          <w:szCs w:val="30"/>
          <w:rtl/>
          <w:lang w:bidi="ar-EG"/>
        </w:rPr>
        <w:t xml:space="preserve">في هذا الأسلوب يتم جمع انبعاثات الجزيئات بطريقة متساوية الحركة في المسبار وعلى مرشح ساخن، ثم يتم جمع الانبعاثات الغازية في محلول حمضي مائي من بيروكسيد الهيدروجين (بعد تحليله لاكتشاف جميع المعادن بما فيها الزئبق) ومحلول حمضي مائي من برمنغنات البوتاسيوم (بعد تحليله للزئبق فقط). ويتم هضم العينات التي تمت استعادتها وتحليل أجزاء ملائمة لاكتشاف الزئبق بواسطة مطيافية الاِمتزاز الذري بالبخار البارد (ويشار إليها أيضاً باسم </w:t>
      </w:r>
      <w:r w:rsidRPr="00335E4B">
        <w:rPr>
          <w:rFonts w:cs="Traditional Arabic"/>
          <w:sz w:val="20"/>
          <w:szCs w:val="30"/>
          <w:lang w:bidi="ar-EG"/>
        </w:rPr>
        <w:t>CVAAS</w:t>
      </w:r>
      <w:r w:rsidRPr="00335E4B">
        <w:rPr>
          <w:rFonts w:cs="Traditional Arabic"/>
          <w:sz w:val="20"/>
          <w:szCs w:val="30"/>
          <w:rtl/>
          <w:lang w:bidi="ar-EG"/>
        </w:rPr>
        <w:t>) و</w:t>
      </w:r>
      <w:r w:rsidRPr="00335E4B">
        <w:rPr>
          <w:rFonts w:cs="Traditional Arabic" w:hint="cs"/>
          <w:sz w:val="20"/>
          <w:szCs w:val="30"/>
          <w:rtl/>
          <w:lang w:bidi="ar-EG"/>
        </w:rPr>
        <w:t xml:space="preserve">لاكتشاف </w:t>
      </w:r>
      <w:r w:rsidRPr="00335E4B">
        <w:rPr>
          <w:rFonts w:cs="Traditional Arabic"/>
          <w:sz w:val="20"/>
          <w:szCs w:val="30"/>
          <w:rtl/>
          <w:lang w:bidi="ar-EG"/>
        </w:rPr>
        <w:t xml:space="preserve">مختلف المعادن الأخرى باستخدام المطيافية الكتلية البلازمية المقرونة بالحث (ويشار إليها أيضاً باسم </w:t>
      </w:r>
      <w:r w:rsidRPr="00335E4B">
        <w:rPr>
          <w:rFonts w:cs="Traditional Arabic"/>
          <w:sz w:val="20"/>
          <w:szCs w:val="30"/>
          <w:lang w:bidi="ar-EG"/>
        </w:rPr>
        <w:t>ICP-MS</w:t>
      </w:r>
      <w:r w:rsidRPr="00335E4B">
        <w:rPr>
          <w:rFonts w:cs="Traditional Arabic"/>
          <w:sz w:val="20"/>
          <w:szCs w:val="30"/>
          <w:rtl/>
          <w:lang w:bidi="ar-EG"/>
        </w:rPr>
        <w:t>). وهذا الأسلوب يناسب قياس تركيزات الزئبق التي تتراوح بين قرابة 0</w:t>
      </w:r>
      <w:r w:rsidRPr="00335E4B">
        <w:rPr>
          <w:rFonts w:cs="Traditional Arabic" w:hint="cs"/>
          <w:sz w:val="20"/>
          <w:szCs w:val="30"/>
          <w:rtl/>
          <w:lang w:bidi="ar-EG"/>
        </w:rPr>
        <w:t>,</w:t>
      </w:r>
      <w:r w:rsidRPr="00335E4B">
        <w:rPr>
          <w:rFonts w:cs="Traditional Arabic"/>
          <w:sz w:val="20"/>
          <w:szCs w:val="30"/>
          <w:rtl/>
          <w:lang w:bidi="ar-EG"/>
        </w:rPr>
        <w:t>2 إلى 100 ميكروغرام/م</w:t>
      </w:r>
      <w:r w:rsidRPr="00335E4B">
        <w:rPr>
          <w:rFonts w:cs="Traditional Arabic"/>
          <w:sz w:val="20"/>
          <w:szCs w:val="30"/>
          <w:vertAlign w:val="superscript"/>
          <w:rtl/>
          <w:lang w:bidi="ar-EG"/>
        </w:rPr>
        <w:t>3</w:t>
      </w:r>
      <w:r w:rsidRPr="00335E4B">
        <w:rPr>
          <w:rFonts w:cs="Traditional Arabic"/>
          <w:sz w:val="20"/>
          <w:szCs w:val="30"/>
          <w:rtl/>
          <w:lang w:bidi="ar-EG"/>
        </w:rPr>
        <w:t>. ونظراً لأن هذا الأسلوب يجمع الزئبق المؤكسد في محلول بيروكسيد الهيدروجين فإنه يلائم تحديد مختلف أنواع الزئبق.</w:t>
      </w:r>
    </w:p>
    <w:p w:rsidR="00335E4B" w:rsidRPr="00335E4B" w:rsidRDefault="00335E4B" w:rsidP="00F02867">
      <w:pPr>
        <w:numPr>
          <w:ilvl w:val="0"/>
          <w:numId w:val="12"/>
        </w:numPr>
        <w:tabs>
          <w:tab w:val="num" w:pos="424"/>
          <w:tab w:val="center" w:pos="5468"/>
        </w:tabs>
        <w:spacing w:after="120" w:line="400" w:lineRule="exact"/>
        <w:ind w:left="425" w:hanging="425"/>
        <w:jc w:val="lowKashida"/>
        <w:rPr>
          <w:rFonts w:cs="Traditional Arabic"/>
          <w:sz w:val="20"/>
          <w:szCs w:val="30"/>
          <w:lang w:bidi="ar-EG"/>
        </w:rPr>
      </w:pPr>
      <w:r w:rsidRPr="00335E4B">
        <w:rPr>
          <w:rFonts w:cs="Traditional Arabic"/>
          <w:i/>
          <w:iCs/>
          <w:sz w:val="20"/>
          <w:szCs w:val="30"/>
          <w:rtl/>
          <w:lang w:bidi="ar-EG"/>
        </w:rPr>
        <w:t>وكالة حماية البيئة في الولايات المتحدة،</w:t>
      </w:r>
      <w:r w:rsidRPr="00335E4B">
        <w:rPr>
          <w:rFonts w:cs="Times New Roman"/>
          <w:i/>
          <w:iCs/>
          <w:sz w:val="20"/>
          <w:szCs w:val="20"/>
          <w:rtl/>
          <w:lang w:bidi="ar-EG"/>
        </w:rPr>
        <w:t>(</w:t>
      </w:r>
      <w:r w:rsidRPr="00335E4B">
        <w:rPr>
          <w:rFonts w:cs="Times New Roman"/>
          <w:i/>
          <w:iCs/>
          <w:sz w:val="20"/>
          <w:szCs w:val="20"/>
          <w:lang w:bidi="ar-EG"/>
        </w:rPr>
        <w:t>US EPA SW-846 Method 0060</w:t>
      </w:r>
      <w:r w:rsidRPr="00335E4B">
        <w:rPr>
          <w:rFonts w:cs="Times New Roman"/>
          <w:i/>
          <w:iCs/>
          <w:sz w:val="20"/>
          <w:szCs w:val="20"/>
          <w:rtl/>
          <w:lang w:bidi="ar-EG"/>
        </w:rPr>
        <w:t>)</w:t>
      </w:r>
      <w:r w:rsidRPr="00335E4B">
        <w:rPr>
          <w:rFonts w:cs="Traditional Arabic"/>
          <w:i/>
          <w:iCs/>
          <w:sz w:val="20"/>
          <w:szCs w:val="30"/>
          <w:rtl/>
          <w:lang w:bidi="ar-EG"/>
        </w:rPr>
        <w:t xml:space="preserve"> - تحديد المعادن في انبعاثات المداخن</w:t>
      </w:r>
      <w:r w:rsidRPr="00335E4B">
        <w:rPr>
          <w:rFonts w:cs="Traditional Arabic"/>
          <w:sz w:val="20"/>
          <w:szCs w:val="30"/>
          <w:vertAlign w:val="superscript"/>
          <w:rtl/>
          <w:lang w:bidi="ar-EG"/>
        </w:rPr>
        <w:t>(</w:t>
      </w:r>
      <w:r w:rsidRPr="00335E4B">
        <w:rPr>
          <w:rFonts w:cs="Traditional Arabic"/>
          <w:sz w:val="20"/>
          <w:szCs w:val="30"/>
          <w:vertAlign w:val="superscript"/>
          <w:rtl/>
        </w:rPr>
        <w:footnoteReference w:id="17"/>
      </w:r>
      <w:r w:rsidRPr="00335E4B">
        <w:rPr>
          <w:rFonts w:cs="Traditional Arabic"/>
          <w:sz w:val="20"/>
          <w:szCs w:val="30"/>
          <w:vertAlign w:val="superscript"/>
          <w:rtl/>
          <w:lang w:bidi="ar-EG"/>
        </w:rPr>
        <w:t>)</w:t>
      </w:r>
    </w:p>
    <w:p w:rsidR="00335E4B" w:rsidRPr="00335E4B" w:rsidRDefault="00335E4B" w:rsidP="00F02867">
      <w:pPr>
        <w:tabs>
          <w:tab w:val="left" w:pos="663"/>
          <w:tab w:val="left" w:pos="1117"/>
          <w:tab w:val="left" w:pos="2230"/>
          <w:tab w:val="center" w:pos="5468"/>
        </w:tabs>
        <w:spacing w:after="120" w:line="380" w:lineRule="exact"/>
        <w:jc w:val="lowKashida"/>
        <w:rPr>
          <w:rFonts w:cs="Traditional Arabic"/>
          <w:sz w:val="20"/>
          <w:szCs w:val="30"/>
          <w:rtl/>
          <w:lang w:bidi="ar-EG"/>
        </w:rPr>
      </w:pPr>
      <w:r w:rsidRPr="00335E4B">
        <w:rPr>
          <w:rFonts w:cs="Traditional Arabic"/>
          <w:sz w:val="20"/>
          <w:szCs w:val="30"/>
          <w:rtl/>
          <w:lang w:bidi="ar-EG"/>
        </w:rPr>
        <w:t>يستعمل هذا الأسلوب لتحديد ترك</w:t>
      </w:r>
      <w:r w:rsidRPr="00335E4B">
        <w:rPr>
          <w:rFonts w:cs="Traditional Arabic" w:hint="cs"/>
          <w:sz w:val="20"/>
          <w:szCs w:val="30"/>
          <w:rtl/>
          <w:lang w:bidi="ar-EG"/>
        </w:rPr>
        <w:t>ي</w:t>
      </w:r>
      <w:r w:rsidRPr="00335E4B">
        <w:rPr>
          <w:rFonts w:cs="Traditional Arabic"/>
          <w:sz w:val="20"/>
          <w:szCs w:val="30"/>
          <w:rtl/>
          <w:lang w:bidi="ar-EG"/>
        </w:rPr>
        <w:t xml:space="preserve">ز المعادن في انبعاثات المداخن من وحدات ترميد النفايات الخطرة وعمليات الاحتراق المشابهة. وفي هذا الأسلوب، يتم سحب عينة من تيار غاز المدخنة بطريقة متساوية الحركة من خلال مسبار نظام ترشيح. ويتم جمع انبعاثات الجسيمات في المسبار </w:t>
      </w:r>
      <w:r w:rsidRPr="00335E4B">
        <w:rPr>
          <w:rFonts w:cs="Traditional Arabic" w:hint="cs"/>
          <w:sz w:val="20"/>
          <w:szCs w:val="30"/>
          <w:rtl/>
          <w:lang w:bidi="ar-EG"/>
        </w:rPr>
        <w:t>و</w:t>
      </w:r>
      <w:r w:rsidRPr="00335E4B">
        <w:rPr>
          <w:rFonts w:cs="Traditional Arabic"/>
          <w:sz w:val="20"/>
          <w:szCs w:val="30"/>
          <w:rtl/>
          <w:lang w:bidi="ar-EG"/>
        </w:rPr>
        <w:t>على مرشح ساخن وجمع الانبعاثات الغازية في سلسلة من أجهزة الارتطام المبر</w:t>
      </w:r>
      <w:r w:rsidRPr="00335E4B">
        <w:rPr>
          <w:rFonts w:cs="Traditional Arabic" w:hint="cs"/>
          <w:sz w:val="20"/>
          <w:szCs w:val="30"/>
          <w:rtl/>
          <w:lang w:bidi="ar-EG"/>
        </w:rPr>
        <w:t>َّ</w:t>
      </w:r>
      <w:r w:rsidRPr="00335E4B">
        <w:rPr>
          <w:rFonts w:cs="Traditional Arabic"/>
          <w:sz w:val="20"/>
          <w:szCs w:val="30"/>
          <w:rtl/>
          <w:lang w:bidi="ar-EG"/>
        </w:rPr>
        <w:t xml:space="preserve">دة. </w:t>
      </w:r>
      <w:r w:rsidRPr="00335E4B">
        <w:rPr>
          <w:rFonts w:cs="Traditional Arabic" w:hint="cs"/>
          <w:sz w:val="20"/>
          <w:szCs w:val="30"/>
          <w:rtl/>
          <w:lang w:bidi="ar-EG"/>
        </w:rPr>
        <w:t>ويكون</w:t>
      </w:r>
      <w:r w:rsidRPr="00335E4B">
        <w:rPr>
          <w:rFonts w:cs="Traditional Arabic"/>
          <w:sz w:val="20"/>
          <w:szCs w:val="30"/>
          <w:rtl/>
          <w:lang w:bidi="ar-EG"/>
        </w:rPr>
        <w:t xml:space="preserve"> جهازان من أجهزة الارتطام فارغ</w:t>
      </w:r>
      <w:r w:rsidRPr="00335E4B">
        <w:rPr>
          <w:rFonts w:cs="Traditional Arabic" w:hint="cs"/>
          <w:sz w:val="20"/>
          <w:szCs w:val="30"/>
          <w:rtl/>
          <w:lang w:bidi="ar-EG"/>
        </w:rPr>
        <w:t>ي</w:t>
      </w:r>
      <w:r w:rsidRPr="00335E4B">
        <w:rPr>
          <w:rFonts w:cs="Traditional Arabic"/>
          <w:sz w:val="20"/>
          <w:szCs w:val="30"/>
          <w:rtl/>
          <w:lang w:bidi="ar-EG"/>
        </w:rPr>
        <w:t xml:space="preserve">ن، </w:t>
      </w:r>
      <w:r w:rsidRPr="00335E4B">
        <w:rPr>
          <w:rFonts w:cs="Traditional Arabic" w:hint="cs"/>
          <w:sz w:val="20"/>
          <w:szCs w:val="30"/>
          <w:rtl/>
          <w:lang w:bidi="ar-EG"/>
        </w:rPr>
        <w:t>بينما يحتوي</w:t>
      </w:r>
      <w:r w:rsidRPr="00335E4B">
        <w:rPr>
          <w:rFonts w:cs="Traditional Arabic"/>
          <w:sz w:val="20"/>
          <w:szCs w:val="30"/>
          <w:rtl/>
          <w:lang w:bidi="ar-EG"/>
        </w:rPr>
        <w:t xml:space="preserve"> جهازان آخر</w:t>
      </w:r>
      <w:r w:rsidRPr="00335E4B">
        <w:rPr>
          <w:rFonts w:cs="Traditional Arabic" w:hint="cs"/>
          <w:sz w:val="20"/>
          <w:szCs w:val="30"/>
          <w:rtl/>
          <w:lang w:bidi="ar-EG"/>
        </w:rPr>
        <w:t>ا</w:t>
      </w:r>
      <w:r w:rsidRPr="00335E4B">
        <w:rPr>
          <w:rFonts w:cs="Traditional Arabic"/>
          <w:sz w:val="20"/>
          <w:szCs w:val="30"/>
          <w:rtl/>
          <w:lang w:bidi="ar-EG"/>
        </w:rPr>
        <w:t xml:space="preserve">ن </w:t>
      </w:r>
      <w:r w:rsidRPr="00335E4B">
        <w:rPr>
          <w:rFonts w:cs="Traditional Arabic" w:hint="cs"/>
          <w:sz w:val="20"/>
          <w:szCs w:val="30"/>
          <w:rtl/>
          <w:lang w:bidi="ar-EG"/>
        </w:rPr>
        <w:t xml:space="preserve">منها على </w:t>
      </w:r>
      <w:r w:rsidRPr="00335E4B">
        <w:rPr>
          <w:rFonts w:cs="Traditional Arabic"/>
          <w:sz w:val="20"/>
          <w:szCs w:val="30"/>
          <w:rtl/>
          <w:lang w:bidi="ar-EG"/>
        </w:rPr>
        <w:t xml:space="preserve">محلول مائي من حامض النيتريك المخفف مقترناً بيروكسيد الهيدروجين المخفف، </w:t>
      </w:r>
      <w:r w:rsidRPr="00335E4B">
        <w:rPr>
          <w:rFonts w:cs="Traditional Arabic" w:hint="cs"/>
          <w:sz w:val="20"/>
          <w:szCs w:val="30"/>
          <w:rtl/>
          <w:lang w:bidi="ar-EG"/>
        </w:rPr>
        <w:t>ويحتوي</w:t>
      </w:r>
      <w:r w:rsidRPr="00335E4B">
        <w:rPr>
          <w:rFonts w:cs="Traditional Arabic"/>
          <w:sz w:val="20"/>
          <w:szCs w:val="30"/>
          <w:rtl/>
          <w:lang w:bidi="ar-EG"/>
        </w:rPr>
        <w:t xml:space="preserve"> جهازا ارتطام آخران </w:t>
      </w:r>
      <w:r w:rsidRPr="00335E4B">
        <w:rPr>
          <w:rFonts w:cs="Traditional Arabic" w:hint="cs"/>
          <w:sz w:val="20"/>
          <w:szCs w:val="30"/>
          <w:rtl/>
          <w:lang w:bidi="ar-EG"/>
        </w:rPr>
        <w:t>على</w:t>
      </w:r>
      <w:r w:rsidRPr="00335E4B">
        <w:rPr>
          <w:rFonts w:cs="Traditional Arabic"/>
          <w:sz w:val="20"/>
          <w:szCs w:val="30"/>
          <w:rtl/>
          <w:lang w:bidi="ar-EG"/>
        </w:rPr>
        <w:t xml:space="preserve"> محلول من برمنغنات البوتاسيوم الحمضي، </w:t>
      </w:r>
      <w:r w:rsidRPr="00335E4B">
        <w:rPr>
          <w:rFonts w:cs="Traditional Arabic" w:hint="cs"/>
          <w:sz w:val="20"/>
          <w:szCs w:val="30"/>
          <w:rtl/>
          <w:lang w:bidi="ar-EG"/>
        </w:rPr>
        <w:t xml:space="preserve">في حين </w:t>
      </w:r>
      <w:r w:rsidRPr="00335E4B">
        <w:rPr>
          <w:rFonts w:cs="Traditional Arabic"/>
          <w:sz w:val="20"/>
          <w:szCs w:val="30"/>
          <w:rtl/>
          <w:lang w:bidi="ar-EG"/>
        </w:rPr>
        <w:t>يحتوي جهاز الارتطام الأخير على مجفف.</w:t>
      </w:r>
    </w:p>
    <w:p w:rsidR="00335E4B" w:rsidRPr="00335E4B" w:rsidRDefault="00335E4B" w:rsidP="00F02867">
      <w:pPr>
        <w:tabs>
          <w:tab w:val="left" w:pos="663"/>
          <w:tab w:val="left" w:pos="1117"/>
          <w:tab w:val="left" w:pos="2230"/>
          <w:tab w:val="center" w:pos="5468"/>
        </w:tabs>
        <w:spacing w:after="120" w:line="380" w:lineRule="exact"/>
        <w:jc w:val="lowKashida"/>
        <w:rPr>
          <w:rFonts w:cs="Traditional Arabic"/>
          <w:sz w:val="20"/>
          <w:szCs w:val="30"/>
          <w:rtl/>
          <w:lang w:bidi="ar-EG"/>
        </w:rPr>
      </w:pPr>
      <w:r w:rsidRPr="00335E4B">
        <w:rPr>
          <w:rFonts w:cs="Traditional Arabic"/>
          <w:sz w:val="20"/>
          <w:szCs w:val="30"/>
          <w:rtl/>
          <w:lang w:bidi="ar-EG"/>
        </w:rPr>
        <w:t xml:space="preserve">ويتم هضم العينات المسترجعة وتحليل أجزاء ملائمة لاكتشاف الزئبق بواسطة مطيافية </w:t>
      </w:r>
      <w:r w:rsidRPr="00335E4B">
        <w:rPr>
          <w:rFonts w:cs="Traditional Arabic"/>
          <w:sz w:val="20"/>
          <w:szCs w:val="30"/>
          <w:lang w:bidi="ar-EG"/>
        </w:rPr>
        <w:t>CVAAS</w:t>
      </w:r>
      <w:r w:rsidRPr="00335E4B">
        <w:rPr>
          <w:rFonts w:cs="Traditional Arabic"/>
          <w:sz w:val="20"/>
          <w:szCs w:val="30"/>
          <w:rtl/>
          <w:lang w:bidi="ar-EG"/>
        </w:rPr>
        <w:t xml:space="preserve">. ويمكن تحليل الأجزاء الباقية لاكتشاف المعادن الأخرى بمطيافية الانبعاثات الذرية البلازمية المقرونة بالحث </w:t>
      </w:r>
      <w:r w:rsidRPr="00335E4B">
        <w:rPr>
          <w:rFonts w:cs="Times New Roman"/>
          <w:sz w:val="20"/>
          <w:szCs w:val="20"/>
          <w:rtl/>
          <w:lang w:bidi="ar-EG"/>
        </w:rPr>
        <w:t>(</w:t>
      </w:r>
      <w:r w:rsidRPr="00335E4B">
        <w:rPr>
          <w:rFonts w:cs="Times New Roman"/>
          <w:sz w:val="20"/>
          <w:szCs w:val="20"/>
          <w:lang w:bidi="ar-EG"/>
        </w:rPr>
        <w:t>ICP-AES</w:t>
      </w:r>
      <w:r w:rsidRPr="00335E4B">
        <w:rPr>
          <w:rFonts w:cs="Times New Roman"/>
          <w:sz w:val="20"/>
          <w:szCs w:val="20"/>
          <w:rtl/>
          <w:lang w:bidi="ar-EG"/>
        </w:rPr>
        <w:t>)</w:t>
      </w:r>
      <w:r w:rsidRPr="00335E4B">
        <w:rPr>
          <w:rFonts w:cs="Traditional Arabic"/>
          <w:sz w:val="20"/>
          <w:szCs w:val="30"/>
          <w:rtl/>
          <w:lang w:bidi="ar-EG"/>
        </w:rPr>
        <w:t xml:space="preserve"> أو مطيافية الامتزاز الذري اللهبي </w:t>
      </w:r>
      <w:r w:rsidRPr="00335E4B">
        <w:rPr>
          <w:rFonts w:cs="Times New Roman"/>
          <w:sz w:val="20"/>
          <w:szCs w:val="20"/>
          <w:rtl/>
          <w:lang w:bidi="ar-EG"/>
        </w:rPr>
        <w:t>(</w:t>
      </w:r>
      <w:r w:rsidRPr="00335E4B">
        <w:rPr>
          <w:rFonts w:cs="Times New Roman"/>
          <w:sz w:val="20"/>
          <w:szCs w:val="20"/>
          <w:lang w:bidi="ar-EG"/>
        </w:rPr>
        <w:t>FLAA</w:t>
      </w:r>
      <w:r w:rsidRPr="00335E4B">
        <w:rPr>
          <w:rFonts w:cs="Times New Roman"/>
          <w:sz w:val="20"/>
          <w:szCs w:val="20"/>
          <w:rtl/>
          <w:lang w:bidi="ar-EG"/>
        </w:rPr>
        <w:t>)</w:t>
      </w:r>
      <w:r w:rsidRPr="00335E4B">
        <w:rPr>
          <w:rFonts w:cs="Traditional Arabic"/>
          <w:sz w:val="20"/>
          <w:szCs w:val="30"/>
          <w:rtl/>
          <w:lang w:bidi="ar-EG"/>
        </w:rPr>
        <w:t xml:space="preserve"> أو</w:t>
      </w:r>
      <w:r w:rsidRPr="00335E4B">
        <w:rPr>
          <w:rFonts w:cs="Traditional Arabic" w:hint="cs"/>
          <w:sz w:val="20"/>
          <w:szCs w:val="30"/>
          <w:rtl/>
          <w:lang w:bidi="ar-EG"/>
        </w:rPr>
        <w:t xml:space="preserve"> المطيافية الكتلية</w:t>
      </w:r>
      <w:r w:rsidRPr="00335E4B">
        <w:rPr>
          <w:rFonts w:cs="Traditional Arabic"/>
          <w:sz w:val="20"/>
          <w:szCs w:val="30"/>
          <w:rtl/>
          <w:lang w:bidi="ar-EG"/>
        </w:rPr>
        <w:t xml:space="preserve"> </w:t>
      </w:r>
      <w:r w:rsidRPr="00335E4B">
        <w:rPr>
          <w:rFonts w:cs="Traditional Arabic"/>
          <w:sz w:val="20"/>
          <w:szCs w:val="30"/>
          <w:lang w:bidi="ar-EG"/>
        </w:rPr>
        <w:t>ICP - MS</w:t>
      </w:r>
      <w:r w:rsidRPr="00335E4B">
        <w:rPr>
          <w:rFonts w:cs="Traditional Arabic"/>
          <w:sz w:val="20"/>
          <w:szCs w:val="30"/>
          <w:rtl/>
          <w:lang w:bidi="ar-EG"/>
        </w:rPr>
        <w:t>.</w:t>
      </w:r>
    </w:p>
    <w:p w:rsidR="00335E4B" w:rsidRPr="00335E4B" w:rsidRDefault="00335E4B" w:rsidP="00F02867">
      <w:pPr>
        <w:numPr>
          <w:ilvl w:val="0"/>
          <w:numId w:val="12"/>
        </w:numPr>
        <w:tabs>
          <w:tab w:val="num" w:pos="565"/>
          <w:tab w:val="center" w:pos="5468"/>
        </w:tabs>
        <w:spacing w:after="120" w:line="380" w:lineRule="exact"/>
        <w:ind w:left="565" w:hanging="567"/>
        <w:jc w:val="lowKashida"/>
        <w:rPr>
          <w:rFonts w:cs="Traditional Arabic"/>
          <w:sz w:val="20"/>
          <w:szCs w:val="30"/>
          <w:rtl/>
          <w:lang w:bidi="ar-EG"/>
        </w:rPr>
      </w:pPr>
      <w:r w:rsidRPr="00335E4B">
        <w:rPr>
          <w:rFonts w:cs="Traditional Arabic"/>
          <w:i/>
          <w:iCs/>
          <w:sz w:val="20"/>
          <w:szCs w:val="30"/>
          <w:rtl/>
          <w:lang w:bidi="ar-EG"/>
        </w:rPr>
        <w:t xml:space="preserve">الجمعية الأمريكية للاختبارات والمواد الأسلوب </w:t>
      </w:r>
      <w:r w:rsidRPr="00335E4B">
        <w:rPr>
          <w:rFonts w:cs="Traditional Arabic"/>
          <w:i/>
          <w:iCs/>
          <w:sz w:val="20"/>
          <w:szCs w:val="30"/>
          <w:lang w:bidi="ar-EG"/>
        </w:rPr>
        <w:t>ASTM D6784-02</w:t>
      </w:r>
      <w:r w:rsidRPr="00335E4B">
        <w:rPr>
          <w:rFonts w:cs="Traditional Arabic"/>
          <w:i/>
          <w:iCs/>
          <w:sz w:val="20"/>
          <w:szCs w:val="30"/>
          <w:rtl/>
          <w:lang w:bidi="ar-EG"/>
        </w:rPr>
        <w:t xml:space="preserve"> - (اعتمد مرة أخرى في 2008) </w:t>
      </w:r>
      <w:r w:rsidR="00003660">
        <w:rPr>
          <w:rFonts w:cs="Traditional Arabic" w:hint="cs"/>
          <w:i/>
          <w:iCs/>
          <w:sz w:val="20"/>
          <w:szCs w:val="30"/>
          <w:rtl/>
          <w:lang w:bidi="ar-EG"/>
        </w:rPr>
        <w:t>-</w:t>
      </w:r>
      <w:r w:rsidRPr="00335E4B">
        <w:rPr>
          <w:rFonts w:cs="Traditional Arabic"/>
          <w:i/>
          <w:iCs/>
          <w:sz w:val="20"/>
          <w:szCs w:val="30"/>
          <w:rtl/>
          <w:lang w:bidi="ar-EG"/>
        </w:rPr>
        <w:t xml:space="preserve"> أسلوب الاختبار الموحد بشأن الزئبق النقي والمؤكسد والجسيمي ومجموع الزئبق في غاز المداخن المولَّدة من مصادر ثابتة تعمل بحرق الفحم (طريقة أونتريو هيدرو)</w:t>
      </w:r>
      <w:r w:rsidRPr="00335E4B">
        <w:rPr>
          <w:rFonts w:cs="Traditional Arabic"/>
          <w:sz w:val="20"/>
          <w:szCs w:val="30"/>
          <w:vertAlign w:val="superscript"/>
          <w:rtl/>
          <w:lang w:bidi="ar-EG"/>
        </w:rPr>
        <w:t>(</w:t>
      </w:r>
      <w:r w:rsidRPr="00335E4B">
        <w:rPr>
          <w:rFonts w:cs="Traditional Arabic"/>
          <w:sz w:val="20"/>
          <w:szCs w:val="30"/>
          <w:vertAlign w:val="superscript"/>
          <w:rtl/>
          <w:lang w:bidi="ar-EG"/>
        </w:rPr>
        <w:footnoteReference w:id="18"/>
      </w:r>
      <w:r w:rsidRPr="00335E4B">
        <w:rPr>
          <w:rFonts w:cs="Traditional Arabic"/>
          <w:sz w:val="20"/>
          <w:szCs w:val="30"/>
          <w:vertAlign w:val="superscript"/>
          <w:rtl/>
          <w:lang w:bidi="ar-EG"/>
        </w:rPr>
        <w:t>)</w:t>
      </w:r>
    </w:p>
    <w:p w:rsidR="00335E4B" w:rsidRPr="00335E4B" w:rsidRDefault="00335E4B" w:rsidP="00F02867">
      <w:pPr>
        <w:tabs>
          <w:tab w:val="left" w:pos="663"/>
          <w:tab w:val="left" w:pos="1117"/>
          <w:tab w:val="left" w:pos="2230"/>
          <w:tab w:val="center" w:pos="5468"/>
        </w:tabs>
        <w:spacing w:after="120" w:line="360" w:lineRule="exact"/>
        <w:jc w:val="lowKashida"/>
        <w:rPr>
          <w:rFonts w:cs="Traditional Arabic"/>
          <w:sz w:val="20"/>
          <w:szCs w:val="30"/>
          <w:rtl/>
          <w:lang w:bidi="ar-EG"/>
        </w:rPr>
      </w:pPr>
      <w:r w:rsidRPr="00335E4B">
        <w:rPr>
          <w:rFonts w:cs="Traditional Arabic"/>
          <w:sz w:val="20"/>
          <w:szCs w:val="30"/>
          <w:rtl/>
          <w:lang w:bidi="ar-EG"/>
        </w:rPr>
        <w:t>في هذا الأسلوب يتم سحب عينة من تيار غاز المدخنة بطريقة متساوية الحركة من خلال مسبار ونظام ترشيح مع الحفاظ على درجة حرارة تبلغ 120 درجة مئوية أو درجة حرارة غاز المدخنة (أيهما أكبر)، وبعد ذلك يتم استخدام سلسلة من أجهزة الارتطام في حمام ثلج. ويتم جمع الزئبق المرتبط بالجسيمات في النصف الأمامي من قاطرة أخذ العينة. ويتم جمع الزئبق المؤكسد في أجهزة ارتطام تحتوي على محلول كلوريد البوتاسيوم المائي المبرد.</w:t>
      </w:r>
    </w:p>
    <w:p w:rsidR="00335E4B" w:rsidRPr="00335E4B" w:rsidRDefault="00335E4B" w:rsidP="00F02867">
      <w:pPr>
        <w:tabs>
          <w:tab w:val="left" w:pos="663"/>
          <w:tab w:val="left" w:pos="1117"/>
          <w:tab w:val="left" w:pos="2230"/>
          <w:tab w:val="center" w:pos="5468"/>
        </w:tabs>
        <w:spacing w:after="120" w:line="360" w:lineRule="exact"/>
        <w:jc w:val="lowKashida"/>
        <w:rPr>
          <w:rFonts w:cs="Traditional Arabic"/>
          <w:sz w:val="20"/>
          <w:szCs w:val="30"/>
          <w:rtl/>
          <w:lang w:bidi="ar-EG"/>
        </w:rPr>
      </w:pPr>
      <w:r w:rsidRPr="00335E4B">
        <w:rPr>
          <w:rFonts w:cs="Traditional Arabic"/>
          <w:sz w:val="20"/>
          <w:szCs w:val="30"/>
          <w:rtl/>
          <w:lang w:bidi="ar-EG"/>
        </w:rPr>
        <w:t xml:space="preserve">ويتم جمع الزئبق النقي في أجهزة ارتطام تالية (يحتوي </w:t>
      </w:r>
      <w:r w:rsidRPr="00335E4B">
        <w:rPr>
          <w:rFonts w:cs="Traditional Arabic" w:hint="cs"/>
          <w:sz w:val="20"/>
          <w:szCs w:val="30"/>
          <w:rtl/>
          <w:lang w:bidi="ar-EG"/>
        </w:rPr>
        <w:t>واحد من أجهزة ال</w:t>
      </w:r>
      <w:r w:rsidRPr="00335E4B">
        <w:rPr>
          <w:rFonts w:cs="Traditional Arabic"/>
          <w:sz w:val="20"/>
          <w:szCs w:val="30"/>
          <w:rtl/>
          <w:lang w:bidi="ar-EG"/>
        </w:rPr>
        <w:t xml:space="preserve">ارتطام على محلول حمضي مائي مبرد من بيروكسيد الهيدروجين وتحتوي ثلاثة أجهزة على محاليل مائية مبردة من برمنغنات البوتاسيوم). ويتم استعادة العينات وهضمها ثم تحليلها لاكتشاف الزئبق باستخدام مطيافية </w:t>
      </w:r>
      <w:r w:rsidRPr="00335E4B">
        <w:rPr>
          <w:rFonts w:cs="Traditional Arabic"/>
          <w:sz w:val="20"/>
          <w:szCs w:val="30"/>
          <w:lang w:bidi="ar-EG"/>
        </w:rPr>
        <w:t>CVAAS</w:t>
      </w:r>
      <w:r w:rsidRPr="00335E4B">
        <w:rPr>
          <w:rFonts w:cs="Traditional Arabic"/>
          <w:sz w:val="20"/>
          <w:szCs w:val="30"/>
          <w:rtl/>
          <w:lang w:bidi="ar-EG"/>
        </w:rPr>
        <w:t xml:space="preserve"> أو مطيافية الفلورة الذرية بالبخار البارد </w:t>
      </w:r>
      <w:r w:rsidRPr="00003660">
        <w:rPr>
          <w:rFonts w:asciiTheme="majorBidi" w:hAnsiTheme="majorBidi" w:cstheme="majorBidi"/>
          <w:sz w:val="20"/>
          <w:szCs w:val="20"/>
          <w:rtl/>
          <w:lang w:bidi="ar-EG"/>
        </w:rPr>
        <w:t>(</w:t>
      </w:r>
      <w:r w:rsidRPr="00003660">
        <w:rPr>
          <w:rFonts w:asciiTheme="majorBidi" w:hAnsiTheme="majorBidi" w:cstheme="majorBidi"/>
          <w:sz w:val="20"/>
          <w:szCs w:val="20"/>
          <w:lang w:bidi="ar-EG"/>
        </w:rPr>
        <w:t>CVAFS</w:t>
      </w:r>
      <w:r w:rsidRPr="00003660">
        <w:rPr>
          <w:rFonts w:asciiTheme="majorBidi" w:hAnsiTheme="majorBidi" w:cstheme="majorBidi"/>
          <w:sz w:val="20"/>
          <w:szCs w:val="20"/>
          <w:rtl/>
          <w:lang w:bidi="ar-EG"/>
        </w:rPr>
        <w:t>)</w:t>
      </w:r>
      <w:r w:rsidRPr="00335E4B">
        <w:rPr>
          <w:rFonts w:cs="Traditional Arabic"/>
          <w:sz w:val="20"/>
          <w:szCs w:val="30"/>
          <w:rtl/>
          <w:lang w:bidi="ar-EG"/>
        </w:rPr>
        <w:t>. وينطبق نطاق هذا الأسلوب على تحديد انبعاثات الزئبق النقي والمؤكسد والعالق بالجسيمات والزئبق</w:t>
      </w:r>
      <w:r w:rsidRPr="00335E4B">
        <w:rPr>
          <w:rFonts w:cs="Traditional Arabic" w:hint="cs"/>
          <w:sz w:val="20"/>
          <w:szCs w:val="30"/>
          <w:rtl/>
          <w:lang w:bidi="ar-EG"/>
        </w:rPr>
        <w:t xml:space="preserve"> الكلي</w:t>
      </w:r>
      <w:r w:rsidRPr="00335E4B">
        <w:rPr>
          <w:rFonts w:cs="Traditional Arabic"/>
          <w:sz w:val="20"/>
          <w:szCs w:val="30"/>
          <w:rtl/>
          <w:lang w:bidi="ar-EG"/>
        </w:rPr>
        <w:t xml:space="preserve"> من مصادر ثابتة تعمل بالفحم بتركيزات تتراوح من قرابة 0</w:t>
      </w:r>
      <w:r w:rsidRPr="00335E4B">
        <w:rPr>
          <w:rFonts w:cs="Traditional Arabic" w:hint="cs"/>
          <w:sz w:val="20"/>
          <w:szCs w:val="30"/>
          <w:rtl/>
          <w:lang w:bidi="ar-EG"/>
        </w:rPr>
        <w:t>,</w:t>
      </w:r>
      <w:r w:rsidRPr="00335E4B">
        <w:rPr>
          <w:rFonts w:cs="Traditional Arabic"/>
          <w:sz w:val="20"/>
          <w:szCs w:val="30"/>
          <w:rtl/>
          <w:lang w:bidi="ar-EG"/>
        </w:rPr>
        <w:t>2 إلى 100 ميكروغرام/م</w:t>
      </w:r>
      <w:r w:rsidRPr="00F02867">
        <w:rPr>
          <w:rFonts w:cs="Traditional Arabic"/>
          <w:sz w:val="20"/>
          <w:szCs w:val="30"/>
          <w:vertAlign w:val="superscript"/>
          <w:rtl/>
          <w:lang w:bidi="ar-EG"/>
        </w:rPr>
        <w:t>3</w:t>
      </w:r>
      <w:r w:rsidRPr="00335E4B">
        <w:rPr>
          <w:rFonts w:cs="Traditional Arabic"/>
          <w:sz w:val="20"/>
          <w:szCs w:val="30"/>
          <w:rtl/>
          <w:lang w:bidi="ar-EG"/>
        </w:rPr>
        <w:t>.</w:t>
      </w:r>
    </w:p>
    <w:p w:rsidR="00335E4B" w:rsidRPr="00F02867" w:rsidRDefault="00335E4B" w:rsidP="00335E4B">
      <w:pPr>
        <w:numPr>
          <w:ilvl w:val="0"/>
          <w:numId w:val="12"/>
        </w:numPr>
        <w:tabs>
          <w:tab w:val="num" w:pos="424"/>
          <w:tab w:val="center" w:pos="5468"/>
        </w:tabs>
        <w:spacing w:after="120" w:line="400" w:lineRule="exact"/>
        <w:ind w:left="424" w:hanging="426"/>
        <w:jc w:val="lowKashida"/>
        <w:rPr>
          <w:rFonts w:cs="Traditional Arabic"/>
          <w:sz w:val="20"/>
          <w:szCs w:val="30"/>
          <w:rtl/>
          <w:lang w:bidi="ar-EG"/>
        </w:rPr>
      </w:pPr>
      <w:r w:rsidRPr="00335E4B">
        <w:rPr>
          <w:rFonts w:cs="Traditional Arabic"/>
          <w:i/>
          <w:iCs/>
          <w:sz w:val="20"/>
          <w:szCs w:val="30"/>
          <w:rtl/>
          <w:lang w:bidi="ar-EG"/>
        </w:rPr>
        <w:t xml:space="preserve">المعايير الصناعية اليابانية - الأسلوب </w:t>
      </w:r>
      <w:r w:rsidRPr="00335E4B">
        <w:rPr>
          <w:rFonts w:cs="Traditional Arabic"/>
          <w:i/>
          <w:iCs/>
          <w:sz w:val="20"/>
          <w:szCs w:val="30"/>
          <w:lang w:bidi="ar-EG"/>
        </w:rPr>
        <w:t>k0222</w:t>
      </w:r>
      <w:r w:rsidRPr="00335E4B">
        <w:rPr>
          <w:rFonts w:cs="Traditional Arabic"/>
          <w:i/>
          <w:iCs/>
          <w:sz w:val="20"/>
          <w:szCs w:val="30"/>
          <w:rtl/>
          <w:lang w:bidi="ar-EG"/>
        </w:rPr>
        <w:t xml:space="preserve"> (المادة 4 (1) - أساليب تحديد الزئبق في غاز المداخن (أسلوب الامتزاز الرطب والامتزاز الذري بالبخار البارد)</w:t>
      </w:r>
      <w:r w:rsidRPr="00335E4B">
        <w:rPr>
          <w:rFonts w:cs="Traditional Arabic"/>
          <w:sz w:val="20"/>
          <w:szCs w:val="30"/>
          <w:vertAlign w:val="superscript"/>
          <w:rtl/>
          <w:lang w:bidi="ar-EG"/>
        </w:rPr>
        <w:t>(</w:t>
      </w:r>
      <w:r w:rsidRPr="00335E4B">
        <w:rPr>
          <w:rFonts w:cs="Traditional Arabic"/>
          <w:sz w:val="20"/>
          <w:szCs w:val="30"/>
          <w:vertAlign w:val="superscript"/>
          <w:rtl/>
        </w:rPr>
        <w:footnoteReference w:id="19"/>
      </w:r>
      <w:r w:rsidRPr="00335E4B">
        <w:rPr>
          <w:rFonts w:cs="Traditional Arabic"/>
          <w:sz w:val="20"/>
          <w:szCs w:val="30"/>
          <w:vertAlign w:val="superscript"/>
          <w:rtl/>
          <w:lang w:bidi="ar-EG"/>
        </w:rPr>
        <w:t>)</w:t>
      </w:r>
    </w:p>
    <w:p w:rsidR="00335E4B" w:rsidRPr="00335E4B" w:rsidRDefault="00335E4B" w:rsidP="00A43DF5">
      <w:pPr>
        <w:tabs>
          <w:tab w:val="left" w:pos="663"/>
          <w:tab w:val="left" w:pos="1117"/>
          <w:tab w:val="left" w:pos="2230"/>
          <w:tab w:val="center" w:pos="5468"/>
        </w:tabs>
        <w:spacing w:line="360" w:lineRule="exact"/>
        <w:jc w:val="both"/>
        <w:rPr>
          <w:rFonts w:cs="Traditional Arabic"/>
          <w:sz w:val="30"/>
          <w:szCs w:val="30"/>
          <w:rtl/>
          <w:lang w:bidi="ar-EG"/>
        </w:rPr>
      </w:pPr>
      <w:r w:rsidRPr="00335E4B">
        <w:rPr>
          <w:rFonts w:cs="Traditional Arabic"/>
          <w:sz w:val="20"/>
          <w:szCs w:val="30"/>
          <w:rtl/>
          <w:lang w:bidi="ar-EG"/>
        </w:rPr>
        <w:t xml:space="preserve">يستخدم هذا الأسلوب المرجعي من اليابان لقياس مجموع الزئبق في طور البخار في غاز العينة. وفي هذا الأسلوب، يتم جمع زئبق طور البخار في محلول حمضي مائي من برمنغنات البوتاسيوم (أخذ عينات غير محدودة بطريقة متساوية الحركة). ويتم جمع الغبار الذي يحتوي على الزئبق الملتصق بالجسيمات في غاز المدخنة على مرشح وفقاً للأسلوب المرجعي </w:t>
      </w:r>
      <w:r w:rsidRPr="00335E4B">
        <w:rPr>
          <w:rFonts w:cs="Traditional Arabic"/>
          <w:sz w:val="20"/>
          <w:szCs w:val="30"/>
          <w:lang w:bidi="ar-EG"/>
        </w:rPr>
        <w:t>JIS Z 8808</w:t>
      </w:r>
      <w:r w:rsidRPr="00335E4B">
        <w:rPr>
          <w:rFonts w:cs="Traditional Arabic"/>
          <w:sz w:val="20"/>
          <w:szCs w:val="30"/>
          <w:rtl/>
          <w:lang w:bidi="ar-EG"/>
        </w:rPr>
        <w:t>: 2013</w:t>
      </w:r>
      <w:r w:rsidRPr="00335E4B">
        <w:rPr>
          <w:rFonts w:cs="Traditional Arabic"/>
          <w:sz w:val="20"/>
          <w:szCs w:val="30"/>
          <w:vertAlign w:val="superscript"/>
          <w:rtl/>
          <w:lang w:bidi="ar-EG"/>
        </w:rPr>
        <w:t>(</w:t>
      </w:r>
      <w:r w:rsidRPr="00335E4B">
        <w:rPr>
          <w:rFonts w:cs="Traditional Arabic"/>
          <w:sz w:val="20"/>
          <w:szCs w:val="30"/>
          <w:vertAlign w:val="superscript"/>
          <w:rtl/>
          <w:lang w:bidi="ar-EG"/>
        </w:rPr>
        <w:footnoteReference w:id="20"/>
      </w:r>
      <w:r w:rsidRPr="00335E4B">
        <w:rPr>
          <w:rFonts w:cs="Traditional Arabic"/>
          <w:sz w:val="20"/>
          <w:szCs w:val="30"/>
          <w:vertAlign w:val="superscript"/>
          <w:rtl/>
          <w:lang w:bidi="ar-EG"/>
        </w:rPr>
        <w:t xml:space="preserve">) </w:t>
      </w:r>
      <w:r w:rsidRPr="00335E4B">
        <w:rPr>
          <w:rFonts w:cs="Traditional Arabic"/>
          <w:w w:val="103"/>
          <w:kern w:val="14"/>
          <w:sz w:val="30"/>
          <w:szCs w:val="30"/>
          <w:rtl/>
          <w:lang w:bidi="ar-EG"/>
        </w:rPr>
        <w:t>”أساليب قياس تركيز الغبار في غاز المدخنة“. ويتم هضم العينات المستعادة وتحليل أجزاء ملائمة لاكتشاف الزئبق بمطيافية الامتزاز الذري بالبخار البارد.</w:t>
      </w:r>
    </w:p>
    <w:p w:rsidR="00335E4B" w:rsidRPr="00335E4B" w:rsidRDefault="00335E4B" w:rsidP="00335E4B">
      <w:pPr>
        <w:spacing w:before="120" w:after="120" w:line="400" w:lineRule="exact"/>
        <w:rPr>
          <w:rFonts w:cs="Traditional Arabic"/>
          <w:b/>
          <w:bCs/>
          <w:sz w:val="20"/>
          <w:szCs w:val="30"/>
          <w:rtl/>
        </w:rPr>
      </w:pPr>
      <w:r w:rsidRPr="00335E4B">
        <w:rPr>
          <w:rFonts w:cs="Traditional Arabic" w:hint="cs"/>
          <w:b/>
          <w:bCs/>
          <w:sz w:val="20"/>
          <w:szCs w:val="30"/>
          <w:rtl/>
        </w:rPr>
        <w:t>2</w:t>
      </w:r>
      <w:r w:rsidRPr="00335E4B">
        <w:rPr>
          <w:rFonts w:cs="Traditional Arabic"/>
          <w:b/>
          <w:bCs/>
          <w:sz w:val="20"/>
          <w:szCs w:val="30"/>
          <w:rtl/>
        </w:rPr>
        <w:t>-3-1-2</w:t>
      </w:r>
      <w:r w:rsidRPr="00335E4B">
        <w:rPr>
          <w:rFonts w:cs="Traditional Arabic"/>
          <w:b/>
          <w:bCs/>
          <w:sz w:val="20"/>
          <w:szCs w:val="30"/>
          <w:rtl/>
        </w:rPr>
        <w:tab/>
        <w:t>أخذ العينات بالمصائد الماصّة</w:t>
      </w:r>
    </w:p>
    <w:p w:rsidR="00335E4B" w:rsidRPr="00335E4B" w:rsidRDefault="00335E4B" w:rsidP="00335E4B">
      <w:pPr>
        <w:tabs>
          <w:tab w:val="left" w:pos="663"/>
          <w:tab w:val="left" w:pos="1117"/>
          <w:tab w:val="left" w:pos="2230"/>
          <w:tab w:val="center" w:pos="5468"/>
        </w:tabs>
        <w:spacing w:after="120" w:line="380" w:lineRule="exact"/>
        <w:jc w:val="lowKashida"/>
        <w:rPr>
          <w:rFonts w:cs="Traditional Arabic"/>
          <w:sz w:val="30"/>
          <w:szCs w:val="30"/>
          <w:rtl/>
          <w:lang w:bidi="ar-EG"/>
        </w:rPr>
      </w:pPr>
      <w:r w:rsidRPr="00335E4B">
        <w:rPr>
          <w:rFonts w:cs="Traditional Arabic"/>
          <w:sz w:val="30"/>
          <w:szCs w:val="30"/>
          <w:rtl/>
          <w:lang w:bidi="ar-EG"/>
        </w:rPr>
        <w:t>توفر المصائد الماصّة قياساً لمتوسط ترك</w:t>
      </w:r>
      <w:r w:rsidRPr="00335E4B">
        <w:rPr>
          <w:rFonts w:cs="Traditional Arabic" w:hint="cs"/>
          <w:sz w:val="30"/>
          <w:szCs w:val="30"/>
          <w:rtl/>
          <w:lang w:bidi="ar-EG"/>
        </w:rPr>
        <w:t>ي</w:t>
      </w:r>
      <w:r w:rsidRPr="00335E4B">
        <w:rPr>
          <w:rFonts w:cs="Traditional Arabic"/>
          <w:sz w:val="30"/>
          <w:szCs w:val="30"/>
          <w:rtl/>
          <w:lang w:bidi="ar-EG"/>
        </w:rPr>
        <w:t xml:space="preserve">ز الزئبق على مدى فترة أخذ العينات بطريقة تشبه أساليب أجهزة الارتطام. وبالإضافة إلى ذلك، توفر المصائد الماصّة </w:t>
      </w:r>
      <w:r w:rsidRPr="00335E4B">
        <w:rPr>
          <w:rFonts w:cs="Traditional Arabic" w:hint="cs"/>
          <w:sz w:val="30"/>
          <w:szCs w:val="30"/>
          <w:rtl/>
          <w:lang w:bidi="ar-EG"/>
        </w:rPr>
        <w:t>استقراراً أكبر لل</w:t>
      </w:r>
      <w:r w:rsidRPr="00335E4B">
        <w:rPr>
          <w:rFonts w:cs="Traditional Arabic"/>
          <w:sz w:val="30"/>
          <w:szCs w:val="30"/>
          <w:rtl/>
          <w:lang w:bidi="ar-EG"/>
        </w:rPr>
        <w:t xml:space="preserve">احتفاظ </w:t>
      </w:r>
      <w:r w:rsidRPr="00335E4B">
        <w:rPr>
          <w:rFonts w:cs="Traditional Arabic" w:hint="cs"/>
          <w:sz w:val="30"/>
          <w:szCs w:val="30"/>
          <w:rtl/>
          <w:lang w:bidi="ar-EG"/>
        </w:rPr>
        <w:t>با</w:t>
      </w:r>
      <w:r w:rsidRPr="00335E4B">
        <w:rPr>
          <w:rFonts w:cs="Traditional Arabic"/>
          <w:sz w:val="30"/>
          <w:szCs w:val="30"/>
          <w:rtl/>
          <w:lang w:bidi="ar-EG"/>
        </w:rPr>
        <w:t xml:space="preserve">لزئبق وبروتوكولاً أكثر بساطة لأخذ العينات، مما يسمح بأخذ العينات دون حضور أحد على مدى فترات </w:t>
      </w:r>
      <w:r w:rsidRPr="00335E4B">
        <w:rPr>
          <w:rFonts w:cs="Traditional Arabic" w:hint="cs"/>
          <w:sz w:val="30"/>
          <w:szCs w:val="30"/>
          <w:rtl/>
          <w:lang w:bidi="ar-EG"/>
        </w:rPr>
        <w:t>طويلة</w:t>
      </w:r>
      <w:r w:rsidRPr="00335E4B">
        <w:rPr>
          <w:rFonts w:cs="Traditional Arabic"/>
          <w:sz w:val="30"/>
          <w:szCs w:val="30"/>
          <w:rtl/>
          <w:lang w:bidi="ar-EG"/>
        </w:rPr>
        <w:t xml:space="preserve"> من </w:t>
      </w:r>
      <w:r w:rsidRPr="00335E4B">
        <w:rPr>
          <w:rFonts w:cs="Traditional Arabic" w:hint="cs"/>
          <w:sz w:val="30"/>
          <w:szCs w:val="30"/>
          <w:rtl/>
          <w:lang w:bidi="ar-EG"/>
        </w:rPr>
        <w:t>الزمن</w:t>
      </w:r>
      <w:r w:rsidRPr="00335E4B">
        <w:rPr>
          <w:rFonts w:cs="Traditional Arabic"/>
          <w:sz w:val="30"/>
          <w:szCs w:val="30"/>
          <w:rtl/>
          <w:lang w:bidi="ar-EG"/>
        </w:rPr>
        <w:t>.</w:t>
      </w:r>
    </w:p>
    <w:p w:rsidR="00335E4B" w:rsidRPr="00335E4B" w:rsidRDefault="00335E4B" w:rsidP="00335E4B">
      <w:pPr>
        <w:tabs>
          <w:tab w:val="left" w:pos="663"/>
          <w:tab w:val="left" w:pos="1117"/>
          <w:tab w:val="left" w:pos="2230"/>
          <w:tab w:val="center" w:pos="5468"/>
        </w:tabs>
        <w:spacing w:after="120" w:line="380" w:lineRule="exact"/>
        <w:jc w:val="lowKashida"/>
        <w:rPr>
          <w:rFonts w:cs="Traditional Arabic"/>
          <w:sz w:val="30"/>
          <w:szCs w:val="30"/>
          <w:rtl/>
          <w:lang w:bidi="ar-EG"/>
        </w:rPr>
      </w:pPr>
      <w:r w:rsidRPr="00335E4B">
        <w:rPr>
          <w:rFonts w:cs="Traditional Arabic"/>
          <w:sz w:val="30"/>
          <w:szCs w:val="30"/>
          <w:rtl/>
          <w:lang w:bidi="ar-EG"/>
        </w:rPr>
        <w:t xml:space="preserve">وتستعمل المصائد الماصّة لقياس انبعاثات الزئبق من مصادر ثابتة ذات تركيزات منخفضة من الجسيمات. وعموماً، تؤخذ العينات في أي موقع </w:t>
      </w:r>
      <w:r w:rsidRPr="00335E4B">
        <w:rPr>
          <w:rFonts w:cs="Traditional Arabic" w:hint="cs"/>
          <w:sz w:val="30"/>
          <w:szCs w:val="30"/>
          <w:rtl/>
          <w:lang w:bidi="ar-EG"/>
        </w:rPr>
        <w:t>يلي جهاز التحكم</w:t>
      </w:r>
      <w:r w:rsidRPr="00335E4B">
        <w:rPr>
          <w:rFonts w:cs="Traditional Arabic"/>
          <w:sz w:val="30"/>
          <w:szCs w:val="30"/>
          <w:rtl/>
          <w:lang w:bidi="ar-EG"/>
        </w:rPr>
        <w:t xml:space="preserve"> </w:t>
      </w:r>
      <w:r w:rsidRPr="00335E4B">
        <w:rPr>
          <w:rFonts w:cs="Traditional Arabic" w:hint="cs"/>
          <w:sz w:val="30"/>
          <w:szCs w:val="30"/>
          <w:rtl/>
          <w:lang w:bidi="ar-EG"/>
        </w:rPr>
        <w:t>ب</w:t>
      </w:r>
      <w:r w:rsidRPr="00335E4B">
        <w:rPr>
          <w:rFonts w:cs="Traditional Arabic"/>
          <w:sz w:val="30"/>
          <w:szCs w:val="30"/>
          <w:rtl/>
          <w:lang w:bidi="ar-EG"/>
        </w:rPr>
        <w:t>الجسيمات.</w:t>
      </w:r>
    </w:p>
    <w:p w:rsidR="00335E4B" w:rsidRPr="00335E4B" w:rsidRDefault="00335E4B" w:rsidP="00335E4B">
      <w:pPr>
        <w:tabs>
          <w:tab w:val="left" w:pos="663"/>
          <w:tab w:val="left" w:pos="1117"/>
          <w:tab w:val="left" w:pos="2230"/>
          <w:tab w:val="center" w:pos="5468"/>
        </w:tabs>
        <w:spacing w:after="120" w:line="380" w:lineRule="exact"/>
        <w:jc w:val="lowKashida"/>
        <w:rPr>
          <w:rFonts w:cs="Traditional Arabic"/>
          <w:sz w:val="30"/>
          <w:szCs w:val="30"/>
          <w:rtl/>
          <w:lang w:bidi="ar-EG"/>
        </w:rPr>
      </w:pPr>
      <w:r w:rsidRPr="00335E4B">
        <w:rPr>
          <w:rFonts w:cs="Traditional Arabic"/>
          <w:sz w:val="30"/>
          <w:szCs w:val="30"/>
          <w:rtl/>
          <w:lang w:bidi="ar-EG"/>
        </w:rPr>
        <w:t xml:space="preserve">ونمطياً، يتم استخراج عينات مزدوجة باستعمال مسابر </w:t>
      </w:r>
      <w:r w:rsidRPr="00335E4B">
        <w:rPr>
          <w:rFonts w:cs="Traditional Arabic" w:hint="cs"/>
          <w:sz w:val="30"/>
          <w:szCs w:val="30"/>
          <w:rtl/>
          <w:lang w:bidi="ar-EG"/>
        </w:rPr>
        <w:t>تُدخل إلى</w:t>
      </w:r>
      <w:r w:rsidRPr="00335E4B">
        <w:rPr>
          <w:rFonts w:cs="Traditional Arabic"/>
          <w:sz w:val="30"/>
          <w:szCs w:val="30"/>
          <w:rtl/>
          <w:lang w:bidi="ar-EG"/>
        </w:rPr>
        <w:t xml:space="preserve"> تيار الغاز. وهذه المسابر تحتوي على مصائد ماصّة، تعمل على تركيز الزئبق من الغاز. وتتكون المادة الماصّة أساساً من كربون مُهلجن. وتهدف المصائد الماصة العادية إلى قياس الزئبق الغازي، ولكن بسبب تشغيل أسلوب أخذ العينات، يمكن سحب الجسيمات التي تحتوي على زئبق في المصائد الماصّة. ويتم تحليل هذه الجسيمات ويضاف المقدار الذي تم قياسه إلى مقادير القاعدة الكربونية للحصول على قيمة الزئبق</w:t>
      </w:r>
      <w:r w:rsidRPr="00335E4B">
        <w:rPr>
          <w:rFonts w:cs="Traditional Arabic" w:hint="cs"/>
          <w:sz w:val="30"/>
          <w:szCs w:val="30"/>
          <w:rtl/>
          <w:lang w:bidi="ar-EG"/>
        </w:rPr>
        <w:t xml:space="preserve"> الكلي</w:t>
      </w:r>
      <w:r w:rsidRPr="00335E4B">
        <w:rPr>
          <w:rFonts w:cs="Traditional Arabic"/>
          <w:sz w:val="30"/>
          <w:szCs w:val="30"/>
          <w:rtl/>
          <w:lang w:bidi="ar-EG"/>
        </w:rPr>
        <w:t xml:space="preserve">. ومع ذلك فإن أسلوب المصيدة الماصة لا يجمع الجسيمات بطريقة متساوية ولهذا </w:t>
      </w:r>
      <w:r w:rsidRPr="00335E4B">
        <w:rPr>
          <w:rFonts w:cs="Traditional Arabic" w:hint="cs"/>
          <w:sz w:val="30"/>
          <w:szCs w:val="30"/>
          <w:rtl/>
          <w:lang w:bidi="ar-EG"/>
        </w:rPr>
        <w:t>فهو</w:t>
      </w:r>
      <w:r w:rsidRPr="00335E4B">
        <w:rPr>
          <w:rFonts w:cs="Traditional Arabic"/>
          <w:sz w:val="30"/>
          <w:szCs w:val="30"/>
          <w:rtl/>
          <w:lang w:bidi="ar-EG"/>
        </w:rPr>
        <w:t xml:space="preserve"> ليس أسلوباً دقيقاً لقياس الزئبق الملتصق بالجسيمات. ورغم ذلك، ونظراً لأنه من المنتظر أن تقوم المرافق المعنية بتشغيل أجهزة فعالة لضبط الجسيمات فلابد وأن يوجد حد أدنى من الزئبق الذي تحمله الجسيمات في مجرى الغاز.</w:t>
      </w:r>
    </w:p>
    <w:p w:rsidR="00335E4B" w:rsidRPr="00335E4B" w:rsidRDefault="00335E4B" w:rsidP="00335E4B">
      <w:pPr>
        <w:tabs>
          <w:tab w:val="left" w:pos="663"/>
          <w:tab w:val="left" w:pos="1117"/>
          <w:tab w:val="left" w:pos="2230"/>
          <w:tab w:val="center" w:pos="5468"/>
        </w:tabs>
        <w:spacing w:after="120" w:line="380" w:lineRule="exact"/>
        <w:jc w:val="lowKashida"/>
        <w:rPr>
          <w:rFonts w:cs="Traditional Arabic"/>
          <w:sz w:val="30"/>
          <w:szCs w:val="30"/>
          <w:rtl/>
          <w:lang w:bidi="ar-EG"/>
        </w:rPr>
      </w:pPr>
      <w:r w:rsidRPr="00335E4B">
        <w:rPr>
          <w:rFonts w:cs="Traditional Arabic"/>
          <w:sz w:val="30"/>
          <w:szCs w:val="30"/>
          <w:rtl/>
          <w:lang w:bidi="ar-EG"/>
        </w:rPr>
        <w:t>وفي نهاية فترة أخذ العينة يتم تغيير المصائد الماصة يدوياً ويجري تحليل المصائد الماصّة المستعملة لمعرفة محتوى الزئبق.</w:t>
      </w:r>
      <w:r w:rsidRPr="00335E4B">
        <w:rPr>
          <w:rFonts w:cs="Traditional Arabic" w:hint="cs"/>
          <w:sz w:val="30"/>
          <w:szCs w:val="30"/>
          <w:rtl/>
          <w:lang w:bidi="ar-EG"/>
        </w:rPr>
        <w:t xml:space="preserve"> </w:t>
      </w:r>
      <w:r w:rsidRPr="00335E4B">
        <w:rPr>
          <w:rFonts w:cs="Traditional Arabic"/>
          <w:sz w:val="30"/>
          <w:szCs w:val="30"/>
          <w:rtl/>
          <w:lang w:bidi="ar-EG"/>
        </w:rPr>
        <w:t xml:space="preserve">وإذا كانت نتائج </w:t>
      </w:r>
      <w:r w:rsidRPr="00335E4B">
        <w:rPr>
          <w:rFonts w:cs="Traditional Arabic" w:hint="cs"/>
          <w:sz w:val="30"/>
          <w:szCs w:val="30"/>
          <w:rtl/>
          <w:lang w:bidi="ar-EG"/>
        </w:rPr>
        <w:t>تحليلي</w:t>
      </w:r>
      <w:r w:rsidRPr="00335E4B">
        <w:rPr>
          <w:rFonts w:cs="Traditional Arabic"/>
          <w:sz w:val="30"/>
          <w:szCs w:val="30"/>
          <w:rtl/>
          <w:lang w:bidi="ar-EG"/>
        </w:rPr>
        <w:t xml:space="preserve"> الأنبوب الماصّ </w:t>
      </w:r>
      <w:r w:rsidRPr="00335E4B">
        <w:rPr>
          <w:rFonts w:cs="Traditional Arabic" w:hint="cs"/>
          <w:sz w:val="30"/>
          <w:szCs w:val="30"/>
          <w:rtl/>
          <w:lang w:bidi="ar-EG"/>
        </w:rPr>
        <w:t xml:space="preserve">متوافقتين ضمن </w:t>
      </w:r>
      <w:r w:rsidRPr="00335E4B">
        <w:rPr>
          <w:rFonts w:cs="Traditional Arabic"/>
          <w:sz w:val="30"/>
          <w:szCs w:val="30"/>
          <w:rtl/>
          <w:lang w:bidi="ar-EG"/>
        </w:rPr>
        <w:t xml:space="preserve">مدى محدد فعندئذٍ يتم حساب متوسط النتيجتين للحصول على القيمة النهائية. وتشمل الأساليب التحليلية لمحتوى الزئبق الأساليب الكيميائية الرطبة التقليدية أو أنظمة الانتزاز الحراري الصغيرة، التي يمكن أن توفر نتائج فورية. ومن المزايا الواضحة لهذا الأسلوب أنه يمكن بسرعة تدريب القائمين بتشغيله على إجراء أخذ العينات. وتتمثل ميزة أخرى في أن النتائج التي يتم الحصول عليها من تحليل الانتزاز الحراري </w:t>
      </w:r>
      <w:r w:rsidRPr="00335E4B">
        <w:rPr>
          <w:rFonts w:cs="Traditional Arabic" w:hint="cs"/>
          <w:sz w:val="30"/>
          <w:szCs w:val="30"/>
          <w:rtl/>
          <w:lang w:bidi="ar-EG"/>
        </w:rPr>
        <w:t>يمكن أن</w:t>
      </w:r>
      <w:r w:rsidRPr="00335E4B">
        <w:rPr>
          <w:rFonts w:cs="Traditional Arabic"/>
          <w:sz w:val="30"/>
          <w:szCs w:val="30"/>
          <w:rtl/>
          <w:lang w:bidi="ar-EG"/>
        </w:rPr>
        <w:t xml:space="preserve"> </w:t>
      </w:r>
      <w:r w:rsidRPr="00335E4B">
        <w:rPr>
          <w:rFonts w:cs="Traditional Arabic" w:hint="cs"/>
          <w:sz w:val="30"/>
          <w:szCs w:val="30"/>
          <w:rtl/>
          <w:lang w:bidi="ar-EG"/>
        </w:rPr>
        <w:t>تُعرف</w:t>
      </w:r>
      <w:r w:rsidRPr="00335E4B">
        <w:rPr>
          <w:rFonts w:cs="Traditional Arabic"/>
          <w:sz w:val="30"/>
          <w:szCs w:val="30"/>
          <w:rtl/>
          <w:lang w:bidi="ar-EG"/>
        </w:rPr>
        <w:t xml:space="preserve"> </w:t>
      </w:r>
      <w:r w:rsidRPr="00335E4B">
        <w:rPr>
          <w:rFonts w:cs="Traditional Arabic" w:hint="cs"/>
          <w:sz w:val="30"/>
          <w:szCs w:val="30"/>
          <w:rtl/>
          <w:lang w:bidi="ar-EG"/>
        </w:rPr>
        <w:t>عندما</w:t>
      </w:r>
      <w:r w:rsidRPr="00335E4B">
        <w:rPr>
          <w:rFonts w:cs="Traditional Arabic"/>
          <w:sz w:val="30"/>
          <w:szCs w:val="30"/>
          <w:rtl/>
          <w:lang w:bidi="ar-EG"/>
        </w:rPr>
        <w:t xml:space="preserve"> يكون القائم بالاختبار لا يزال في الميدان. ويفيد ذلك في الاختبارات الهندسية ذات الظروف المتباينة أو </w:t>
      </w:r>
      <w:r w:rsidRPr="00335E4B">
        <w:rPr>
          <w:rFonts w:cs="Traditional Arabic" w:hint="cs"/>
          <w:sz w:val="30"/>
          <w:szCs w:val="30"/>
          <w:rtl/>
          <w:lang w:bidi="ar-EG"/>
        </w:rPr>
        <w:t>في التدقيقات المتعلقة ب</w:t>
      </w:r>
      <w:r w:rsidRPr="00335E4B">
        <w:rPr>
          <w:rFonts w:cs="Traditional Arabic"/>
          <w:sz w:val="30"/>
          <w:szCs w:val="30"/>
          <w:rtl/>
          <w:lang w:bidi="ar-EG"/>
        </w:rPr>
        <w:t>اختبارات الدقة النسبية لرصد الزئبق.</w:t>
      </w:r>
    </w:p>
    <w:p w:rsidR="00335E4B" w:rsidRPr="00335E4B" w:rsidRDefault="00335E4B" w:rsidP="00335E4B">
      <w:pPr>
        <w:tabs>
          <w:tab w:val="left" w:pos="663"/>
          <w:tab w:val="left" w:pos="1117"/>
          <w:tab w:val="left" w:pos="2230"/>
          <w:tab w:val="center" w:pos="5468"/>
        </w:tabs>
        <w:spacing w:after="120" w:line="380" w:lineRule="exact"/>
        <w:jc w:val="lowKashida"/>
        <w:rPr>
          <w:rFonts w:cs="Traditional Arabic"/>
          <w:sz w:val="30"/>
          <w:szCs w:val="30"/>
          <w:rtl/>
          <w:lang w:bidi="ar-EG"/>
        </w:rPr>
      </w:pPr>
      <w:r w:rsidRPr="00335E4B">
        <w:rPr>
          <w:rFonts w:cs="Traditional Arabic"/>
          <w:sz w:val="30"/>
          <w:szCs w:val="30"/>
          <w:rtl/>
          <w:lang w:bidi="ar-EG"/>
        </w:rPr>
        <w:t xml:space="preserve">وتوفِّر المصائد الماصّة درجة جيدة من الحساسية والدقة للزئبق عبر مجموعة واسعة من التركيزات. ولكن يلزم معرفة التركيزات المتوقَّعة بحديها الأدنى والأقصى في غاز المدخنة لكي يمكن اختيار المصيدة الماصّة الصحيحة وزمن اختيار العينة الصحيح. وعلى سبيل المثال، إذا كان التركيز كبيراً للغاية أو كان وقت أخذ العينة طويلاً للغاية فقد يكون ذلك أكثر من قدرة امتصاص الزئبق في المصيدة الماصّة. ويؤدي ذلك في حالة حدوثه إلى </w:t>
      </w:r>
      <w:r w:rsidRPr="00335E4B">
        <w:rPr>
          <w:rFonts w:cs="Traditional Arabic" w:hint="cs"/>
          <w:sz w:val="30"/>
          <w:szCs w:val="30"/>
          <w:rtl/>
          <w:lang w:bidi="ar-EG"/>
        </w:rPr>
        <w:t>إبلاغ</w:t>
      </w:r>
      <w:r w:rsidRPr="00335E4B">
        <w:rPr>
          <w:rFonts w:cs="Traditional Arabic"/>
          <w:sz w:val="30"/>
          <w:szCs w:val="30"/>
          <w:rtl/>
          <w:lang w:bidi="ar-EG"/>
        </w:rPr>
        <w:t xml:space="preserve"> قيم أقل عن تركيز الزئبق الفعلي. ومن ناحية أخرى، عندما يكون وقت أخذ العينة من غاز المدخنة قصيراً مع انخفاض شديد في تركيزات الزئبق، فإن ذلك يمكن أن يؤدي إلى التقاط قدر ضئيل للغاية في المصائد، وهو ما يمكن أن يؤثر سلباً على دقة تحليل المصيدة.</w:t>
      </w:r>
    </w:p>
    <w:p w:rsidR="00335E4B" w:rsidRPr="00A20BAE" w:rsidRDefault="00335E4B" w:rsidP="00335E4B">
      <w:pPr>
        <w:spacing w:after="120" w:line="400" w:lineRule="exact"/>
        <w:jc w:val="lowKashida"/>
        <w:rPr>
          <w:rFonts w:cs="Traditional Arabic"/>
          <w:sz w:val="32"/>
          <w:szCs w:val="32"/>
          <w:rtl/>
          <w:lang w:bidi="ar-EG"/>
        </w:rPr>
      </w:pPr>
      <w:r w:rsidRPr="00A20BAE">
        <w:rPr>
          <w:rFonts w:cs="Traditional Arabic"/>
          <w:sz w:val="32"/>
          <w:szCs w:val="32"/>
          <w:rtl/>
          <w:lang w:bidi="ar-EG"/>
        </w:rPr>
        <w:t>الأساليب المرجعية الموجودة:</w:t>
      </w:r>
    </w:p>
    <w:p w:rsidR="00335E4B" w:rsidRPr="00335E4B" w:rsidRDefault="00335E4B" w:rsidP="00335E4B">
      <w:pPr>
        <w:numPr>
          <w:ilvl w:val="0"/>
          <w:numId w:val="12"/>
        </w:numPr>
        <w:tabs>
          <w:tab w:val="num" w:pos="565"/>
        </w:tabs>
        <w:spacing w:after="120" w:line="400" w:lineRule="exact"/>
        <w:ind w:left="565" w:hanging="567"/>
        <w:jc w:val="lowKashida"/>
        <w:rPr>
          <w:rFonts w:cs="Traditional Arabic"/>
          <w:sz w:val="20"/>
          <w:szCs w:val="30"/>
          <w:rtl/>
          <w:lang w:bidi="ar-EG"/>
        </w:rPr>
      </w:pPr>
      <w:r w:rsidRPr="00335E4B">
        <w:rPr>
          <w:rFonts w:cs="Traditional Arabic"/>
          <w:i/>
          <w:iCs/>
          <w:sz w:val="30"/>
          <w:szCs w:val="30"/>
          <w:rtl/>
          <w:lang w:bidi="ar-EG"/>
        </w:rPr>
        <w:t xml:space="preserve">وكالة حماية البيئة في الولايات المتحدة، الأسلوب </w:t>
      </w:r>
      <w:r w:rsidRPr="00335E4B">
        <w:rPr>
          <w:rFonts w:cs="Traditional Arabic"/>
          <w:i/>
          <w:iCs/>
          <w:sz w:val="20"/>
          <w:szCs w:val="20"/>
          <w:lang w:bidi="ar-EG"/>
        </w:rPr>
        <w:t>30B</w:t>
      </w:r>
      <w:r w:rsidRPr="00335E4B">
        <w:rPr>
          <w:rFonts w:cs="Traditional Arabic"/>
          <w:i/>
          <w:iCs/>
          <w:sz w:val="20"/>
          <w:szCs w:val="20"/>
          <w:rtl/>
          <w:lang w:bidi="ar-EG"/>
        </w:rPr>
        <w:t xml:space="preserve"> </w:t>
      </w:r>
      <w:r w:rsidRPr="00335E4B">
        <w:rPr>
          <w:rFonts w:cs="Traditional Arabic"/>
          <w:i/>
          <w:iCs/>
          <w:sz w:val="20"/>
          <w:szCs w:val="30"/>
          <w:rtl/>
          <w:lang w:bidi="ar-EG"/>
        </w:rPr>
        <w:t>-</w:t>
      </w:r>
      <w:r w:rsidRPr="00335E4B">
        <w:rPr>
          <w:rFonts w:cs="Traditional Arabic"/>
          <w:sz w:val="20"/>
          <w:szCs w:val="30"/>
          <w:rtl/>
          <w:lang w:bidi="ar-EG"/>
        </w:rPr>
        <w:t xml:space="preserve"> </w:t>
      </w:r>
      <w:r w:rsidRPr="00335E4B">
        <w:rPr>
          <w:rFonts w:cs="Traditional Arabic"/>
          <w:i/>
          <w:iCs/>
          <w:sz w:val="20"/>
          <w:szCs w:val="30"/>
          <w:rtl/>
          <w:lang w:bidi="ar-EG"/>
        </w:rPr>
        <w:t>تحديد انبعاثات مجموع الزئبق في طور البخار من مصادر الاحتراق العاملة بالفحم باستخدام المصائد الماصة</w:t>
      </w:r>
      <w:r w:rsidRPr="00335E4B">
        <w:rPr>
          <w:rFonts w:cs="Traditional Arabic"/>
          <w:sz w:val="20"/>
          <w:szCs w:val="30"/>
          <w:vertAlign w:val="superscript"/>
          <w:rtl/>
          <w:lang w:bidi="ar-EG"/>
        </w:rPr>
        <w:t>(</w:t>
      </w:r>
      <w:r w:rsidRPr="00335E4B">
        <w:rPr>
          <w:rFonts w:cs="Traditional Arabic"/>
          <w:sz w:val="20"/>
          <w:szCs w:val="30"/>
          <w:vertAlign w:val="superscript"/>
          <w:rtl/>
          <w:lang w:bidi="ar-EG"/>
        </w:rPr>
        <w:footnoteReference w:id="21"/>
      </w:r>
      <w:r w:rsidRPr="00335E4B">
        <w:rPr>
          <w:rFonts w:cs="Traditional Arabic"/>
          <w:sz w:val="20"/>
          <w:szCs w:val="30"/>
          <w:vertAlign w:val="superscript"/>
          <w:rtl/>
          <w:lang w:bidi="ar-EG"/>
        </w:rPr>
        <w:t>)</w:t>
      </w:r>
    </w:p>
    <w:p w:rsidR="00335E4B" w:rsidRPr="00335E4B" w:rsidRDefault="00335E4B" w:rsidP="00335E4B">
      <w:pPr>
        <w:tabs>
          <w:tab w:val="left" w:pos="663"/>
          <w:tab w:val="left" w:pos="1117"/>
          <w:tab w:val="left" w:pos="2230"/>
          <w:tab w:val="center" w:pos="5468"/>
        </w:tabs>
        <w:spacing w:after="120" w:line="400" w:lineRule="exact"/>
        <w:jc w:val="lowKashida"/>
        <w:rPr>
          <w:rFonts w:cs="Traditional Arabic"/>
          <w:sz w:val="20"/>
          <w:szCs w:val="30"/>
          <w:rtl/>
          <w:lang w:bidi="ar-EG"/>
        </w:rPr>
      </w:pPr>
      <w:r w:rsidRPr="00335E4B">
        <w:rPr>
          <w:rFonts w:cs="Traditional Arabic"/>
          <w:sz w:val="30"/>
          <w:szCs w:val="30"/>
          <w:rtl/>
          <w:lang w:bidi="ar-EG"/>
        </w:rPr>
        <w:t xml:space="preserve">هذا الأسلوب هو </w:t>
      </w:r>
      <w:r w:rsidRPr="00335E4B">
        <w:rPr>
          <w:rFonts w:cs="Traditional Arabic" w:hint="cs"/>
          <w:sz w:val="30"/>
          <w:szCs w:val="30"/>
          <w:rtl/>
          <w:lang w:bidi="ar-EG"/>
        </w:rPr>
        <w:t>عملية</w:t>
      </w:r>
      <w:r w:rsidRPr="00335E4B">
        <w:rPr>
          <w:rFonts w:cs="Traditional Arabic"/>
          <w:sz w:val="30"/>
          <w:szCs w:val="30"/>
          <w:rtl/>
          <w:lang w:bidi="ar-EG"/>
        </w:rPr>
        <w:t xml:space="preserve"> لقياس مجموع انبعاثات الزئبق في طور البخار من مصادر احتراق تعمل بالفعل باستخدام عينات المصائد الماصة والتقنيات التحليلية الاستخلاصية أو الحرارية. </w:t>
      </w:r>
      <w:r w:rsidRPr="00335E4B">
        <w:rPr>
          <w:rFonts w:cs="Traditional Arabic" w:hint="cs"/>
          <w:sz w:val="30"/>
          <w:szCs w:val="30"/>
          <w:rtl/>
          <w:lang w:bidi="ar-EG"/>
        </w:rPr>
        <w:t>وهذا الأسلوب مصمم حصراً لل</w:t>
      </w:r>
      <w:r w:rsidRPr="00335E4B">
        <w:rPr>
          <w:rFonts w:cs="Traditional Arabic"/>
          <w:sz w:val="30"/>
          <w:szCs w:val="30"/>
          <w:rtl/>
          <w:lang w:bidi="ar-EG"/>
        </w:rPr>
        <w:t xml:space="preserve">استعمال في ظروف الانخفاض النسبي للجسيمات (مثل أخذ العينات بعد جميع أجهزة </w:t>
      </w:r>
      <w:r w:rsidRPr="00335E4B">
        <w:rPr>
          <w:rFonts w:cs="Traditional Arabic"/>
          <w:sz w:val="20"/>
          <w:szCs w:val="30"/>
          <w:rtl/>
          <w:lang w:bidi="ar-EG"/>
        </w:rPr>
        <w:t xml:space="preserve">ضبط التلوث). والأسلوب </w:t>
      </w:r>
      <w:r w:rsidRPr="00335E4B">
        <w:rPr>
          <w:rFonts w:cs="Traditional Arabic"/>
          <w:sz w:val="20"/>
          <w:szCs w:val="30"/>
          <w:lang w:bidi="ar-EG"/>
        </w:rPr>
        <w:t>30 B</w:t>
      </w:r>
      <w:r w:rsidRPr="00335E4B">
        <w:rPr>
          <w:rFonts w:cs="Traditional Arabic"/>
          <w:sz w:val="20"/>
          <w:szCs w:val="30"/>
          <w:rtl/>
          <w:lang w:bidi="ar-EG"/>
        </w:rPr>
        <w:t xml:space="preserve"> هو أسلوب مرجعي </w:t>
      </w:r>
      <w:r w:rsidRPr="00335E4B">
        <w:rPr>
          <w:rFonts w:cs="Traditional Arabic" w:hint="cs"/>
          <w:sz w:val="20"/>
          <w:szCs w:val="30"/>
          <w:rtl/>
          <w:lang w:bidi="ar-EG"/>
        </w:rPr>
        <w:t>يستخدم في تدقيقات مراجعة</w:t>
      </w:r>
      <w:r w:rsidRPr="00335E4B">
        <w:rPr>
          <w:rFonts w:cs="Traditional Arabic"/>
          <w:sz w:val="20"/>
          <w:szCs w:val="30"/>
          <w:rtl/>
          <w:lang w:bidi="ar-EG"/>
        </w:rPr>
        <w:t xml:space="preserve"> اختبار</w:t>
      </w:r>
      <w:r w:rsidRPr="00335E4B">
        <w:rPr>
          <w:rFonts w:cs="Traditional Arabic" w:hint="cs"/>
          <w:sz w:val="20"/>
          <w:szCs w:val="30"/>
          <w:rtl/>
          <w:lang w:bidi="ar-EG"/>
        </w:rPr>
        <w:t>ات</w:t>
      </w:r>
      <w:r w:rsidRPr="00335E4B">
        <w:rPr>
          <w:rFonts w:cs="Traditional Arabic"/>
          <w:sz w:val="20"/>
          <w:szCs w:val="30"/>
          <w:rtl/>
          <w:lang w:bidi="ar-EG"/>
        </w:rPr>
        <w:t xml:space="preserve"> الدقة النسبية </w:t>
      </w:r>
      <w:r w:rsidRPr="00EE438F">
        <w:rPr>
          <w:rFonts w:asciiTheme="majorBidi" w:hAnsiTheme="majorBidi" w:cstheme="majorBidi"/>
          <w:sz w:val="20"/>
          <w:szCs w:val="20"/>
          <w:rtl/>
          <w:lang w:bidi="ar-EG"/>
        </w:rPr>
        <w:t>(</w:t>
      </w:r>
      <w:r w:rsidRPr="00EE438F">
        <w:rPr>
          <w:rFonts w:asciiTheme="majorBidi" w:hAnsiTheme="majorBidi" w:cstheme="majorBidi"/>
          <w:sz w:val="20"/>
          <w:szCs w:val="20"/>
          <w:lang w:bidi="ar-EG"/>
        </w:rPr>
        <w:t>RATAs</w:t>
      </w:r>
      <w:r w:rsidRPr="00EE438F">
        <w:rPr>
          <w:rFonts w:asciiTheme="majorBidi" w:hAnsiTheme="majorBidi" w:cstheme="majorBidi"/>
          <w:sz w:val="20"/>
          <w:szCs w:val="20"/>
          <w:rtl/>
          <w:lang w:bidi="ar-EG"/>
        </w:rPr>
        <w:t>)</w:t>
      </w:r>
      <w:r w:rsidRPr="00335E4B">
        <w:rPr>
          <w:rFonts w:cs="Traditional Arabic"/>
          <w:sz w:val="20"/>
          <w:szCs w:val="30"/>
          <w:rtl/>
          <w:lang w:bidi="ar-EG"/>
        </w:rPr>
        <w:t xml:space="preserve"> لنظم الرصد المستمر لانبعاثات </w:t>
      </w:r>
      <w:r w:rsidRPr="00335E4B">
        <w:rPr>
          <w:rFonts w:cs="Times New Roman"/>
          <w:sz w:val="20"/>
          <w:szCs w:val="20"/>
          <w:rtl/>
          <w:lang w:bidi="ar-EG"/>
        </w:rPr>
        <w:t>(</w:t>
      </w:r>
      <w:r w:rsidRPr="00335E4B">
        <w:rPr>
          <w:rFonts w:cs="Times New Roman"/>
          <w:sz w:val="20"/>
          <w:szCs w:val="20"/>
          <w:lang w:bidi="ar-EG"/>
        </w:rPr>
        <w:t>CEMS</w:t>
      </w:r>
      <w:r w:rsidRPr="00335E4B">
        <w:rPr>
          <w:rFonts w:cs="Times New Roman"/>
          <w:sz w:val="20"/>
          <w:szCs w:val="20"/>
          <w:rtl/>
          <w:lang w:bidi="ar-EG"/>
        </w:rPr>
        <w:t>)</w:t>
      </w:r>
      <w:r w:rsidRPr="00335E4B">
        <w:rPr>
          <w:rFonts w:cs="Traditional Arabic"/>
          <w:sz w:val="20"/>
          <w:szCs w:val="30"/>
          <w:rtl/>
          <w:lang w:bidi="ar-EG"/>
        </w:rPr>
        <w:t xml:space="preserve"> </w:t>
      </w:r>
      <w:r w:rsidRPr="00335E4B">
        <w:rPr>
          <w:rFonts w:cs="Traditional Arabic" w:hint="cs"/>
          <w:sz w:val="20"/>
          <w:szCs w:val="30"/>
          <w:rtl/>
          <w:lang w:bidi="ar-EG"/>
        </w:rPr>
        <w:t>ا</w:t>
      </w:r>
      <w:r w:rsidRPr="00335E4B">
        <w:rPr>
          <w:rFonts w:cs="Traditional Arabic"/>
          <w:sz w:val="20"/>
          <w:szCs w:val="30"/>
          <w:rtl/>
          <w:lang w:bidi="ar-EG"/>
        </w:rPr>
        <w:t xml:space="preserve">لزئبق في </w:t>
      </w:r>
      <w:r w:rsidRPr="00335E4B">
        <w:rPr>
          <w:rFonts w:cs="Traditional Arabic" w:hint="cs"/>
          <w:sz w:val="20"/>
          <w:szCs w:val="30"/>
          <w:rtl/>
          <w:lang w:bidi="ar-EG"/>
        </w:rPr>
        <w:t>حالة</w:t>
      </w:r>
      <w:r w:rsidRPr="00335E4B">
        <w:rPr>
          <w:rFonts w:cs="Traditional Arabic"/>
          <w:sz w:val="20"/>
          <w:szCs w:val="30"/>
          <w:rtl/>
          <w:lang w:bidi="ar-EG"/>
        </w:rPr>
        <w:t xml:space="preserve"> البخار ونظم </w:t>
      </w:r>
      <w:r w:rsidRPr="00335E4B">
        <w:rPr>
          <w:rFonts w:cs="Traditional Arabic" w:hint="cs"/>
          <w:sz w:val="20"/>
          <w:szCs w:val="30"/>
          <w:rtl/>
          <w:lang w:bidi="ar-EG"/>
        </w:rPr>
        <w:t>ال</w:t>
      </w:r>
      <w:r w:rsidRPr="00335E4B">
        <w:rPr>
          <w:rFonts w:cs="Traditional Arabic"/>
          <w:sz w:val="20"/>
          <w:szCs w:val="30"/>
          <w:rtl/>
          <w:lang w:bidi="ar-EG"/>
        </w:rPr>
        <w:t xml:space="preserve">رصد </w:t>
      </w:r>
      <w:r w:rsidRPr="00335E4B">
        <w:rPr>
          <w:rFonts w:cs="Traditional Arabic" w:hint="cs"/>
          <w:sz w:val="20"/>
          <w:szCs w:val="30"/>
          <w:rtl/>
          <w:lang w:bidi="ar-EG"/>
        </w:rPr>
        <w:t>ب</w:t>
      </w:r>
      <w:r w:rsidRPr="00335E4B">
        <w:rPr>
          <w:rFonts w:cs="Traditional Arabic"/>
          <w:sz w:val="20"/>
          <w:szCs w:val="30"/>
          <w:rtl/>
          <w:lang w:bidi="ar-EG"/>
        </w:rPr>
        <w:t xml:space="preserve">المصائد الماصّة </w:t>
      </w:r>
      <w:r w:rsidRPr="00335E4B">
        <w:rPr>
          <w:rFonts w:cs="Traditional Arabic" w:hint="cs"/>
          <w:sz w:val="20"/>
          <w:szCs w:val="30"/>
          <w:rtl/>
          <w:lang w:bidi="ar-EG"/>
        </w:rPr>
        <w:t>المركَّبة</w:t>
      </w:r>
      <w:r w:rsidRPr="00335E4B">
        <w:rPr>
          <w:rFonts w:cs="Traditional Arabic"/>
          <w:sz w:val="20"/>
          <w:szCs w:val="30"/>
          <w:rtl/>
          <w:lang w:bidi="ar-EG"/>
        </w:rPr>
        <w:t xml:space="preserve"> في المراجل التي تعمل بحرق الفحم وهو ملائم أيضاً لاختبار انبعاثات الزئبق في هذه المراجل. وفي الحالات التي قد توجد فيها كميات كبيرة من الزئبق العالق بالجسيمات ينبغي استخدام أسلوب متساوي الحركة لأخذ عينات الزئبق.</w:t>
      </w:r>
    </w:p>
    <w:p w:rsidR="00335E4B" w:rsidRPr="00335E4B" w:rsidRDefault="00335E4B" w:rsidP="00335E4B">
      <w:pPr>
        <w:numPr>
          <w:ilvl w:val="0"/>
          <w:numId w:val="13"/>
        </w:numPr>
        <w:spacing w:after="120" w:line="400" w:lineRule="exact"/>
        <w:ind w:left="565" w:hanging="567"/>
        <w:jc w:val="lowKashida"/>
        <w:rPr>
          <w:rFonts w:cs="Traditional Arabic"/>
          <w:i/>
          <w:iCs/>
          <w:sz w:val="20"/>
          <w:szCs w:val="30"/>
          <w:rtl/>
          <w:lang w:bidi="ar-EG"/>
        </w:rPr>
      </w:pPr>
      <w:r w:rsidRPr="00335E4B">
        <w:rPr>
          <w:rFonts w:cs="Traditional Arabic"/>
          <w:i/>
          <w:iCs/>
          <w:sz w:val="20"/>
          <w:szCs w:val="30"/>
          <w:rtl/>
          <w:lang w:bidi="ar-EG"/>
        </w:rPr>
        <w:t xml:space="preserve">المعايير الصناعية اليابانية </w:t>
      </w:r>
      <w:r w:rsidRPr="00335E4B">
        <w:rPr>
          <w:rFonts w:cs="Traditional Arabic"/>
          <w:i/>
          <w:iCs/>
          <w:sz w:val="20"/>
          <w:szCs w:val="30"/>
          <w:lang w:bidi="ar-EG"/>
        </w:rPr>
        <w:t>JIS K0222</w:t>
      </w:r>
      <w:r w:rsidRPr="00335E4B">
        <w:rPr>
          <w:rFonts w:cs="Traditional Arabic"/>
          <w:i/>
          <w:iCs/>
          <w:sz w:val="20"/>
          <w:szCs w:val="30"/>
          <w:rtl/>
          <w:lang w:bidi="ar-EG"/>
        </w:rPr>
        <w:t xml:space="preserve"> (المادة 4 (2) - أساليب تحديد الزئبق في غاز المداخن (ملغمة الذهب وأسلوب الامتزاز الذري بالبخاري البارد)</w:t>
      </w:r>
      <w:r w:rsidRPr="00335E4B">
        <w:rPr>
          <w:rFonts w:cs="Traditional Arabic"/>
          <w:i/>
          <w:iCs/>
          <w:sz w:val="20"/>
          <w:szCs w:val="30"/>
          <w:vertAlign w:val="superscript"/>
          <w:rtl/>
          <w:lang w:bidi="ar-EG"/>
        </w:rPr>
        <w:t>(</w:t>
      </w:r>
      <w:r w:rsidRPr="00335E4B">
        <w:rPr>
          <w:rFonts w:cs="Traditional Arabic"/>
          <w:i/>
          <w:iCs/>
          <w:sz w:val="20"/>
          <w:szCs w:val="30"/>
          <w:vertAlign w:val="superscript"/>
          <w:rtl/>
          <w:lang w:bidi="ar-EG"/>
        </w:rPr>
        <w:footnoteReference w:id="22"/>
      </w:r>
      <w:r w:rsidRPr="00335E4B">
        <w:rPr>
          <w:rFonts w:cs="Traditional Arabic"/>
          <w:i/>
          <w:iCs/>
          <w:sz w:val="20"/>
          <w:szCs w:val="30"/>
          <w:vertAlign w:val="superscript"/>
          <w:rtl/>
          <w:lang w:bidi="ar-EG"/>
        </w:rPr>
        <w:t>)</w:t>
      </w:r>
    </w:p>
    <w:p w:rsidR="00335E4B" w:rsidRPr="00335E4B" w:rsidRDefault="00335E4B" w:rsidP="00335E4B">
      <w:pPr>
        <w:tabs>
          <w:tab w:val="left" w:pos="663"/>
          <w:tab w:val="left" w:pos="1117"/>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 xml:space="preserve">يستعمل هذا الأسلوب المرجعي من اليابان مادة ماصة تحتوي على الذهب ويقيس تركيز الزئبق النقي في طور البخار </w:t>
      </w:r>
      <w:r w:rsidRPr="00EE438F">
        <w:rPr>
          <w:rFonts w:asciiTheme="majorBidi" w:hAnsiTheme="majorBidi" w:cstheme="majorBidi"/>
          <w:sz w:val="20"/>
          <w:szCs w:val="20"/>
          <w:rtl/>
          <w:lang w:bidi="ar-EG"/>
        </w:rPr>
        <w:t>(</w:t>
      </w:r>
      <w:r w:rsidRPr="00EE438F">
        <w:rPr>
          <w:rFonts w:asciiTheme="majorBidi" w:hAnsiTheme="majorBidi" w:cstheme="majorBidi"/>
          <w:sz w:val="20"/>
          <w:szCs w:val="20"/>
          <w:lang w:bidi="ar-EG"/>
        </w:rPr>
        <w:t>Hg</w:t>
      </w:r>
      <w:r w:rsidRPr="00EE438F">
        <w:rPr>
          <w:rFonts w:asciiTheme="majorBidi" w:hAnsiTheme="majorBidi" w:cstheme="majorBidi"/>
          <w:sz w:val="20"/>
          <w:szCs w:val="20"/>
          <w:vertAlign w:val="superscript"/>
          <w:lang w:bidi="ar-EG"/>
        </w:rPr>
        <w:t>0</w:t>
      </w:r>
      <w:r w:rsidRPr="00EE438F">
        <w:rPr>
          <w:rFonts w:asciiTheme="majorBidi" w:hAnsiTheme="majorBidi" w:cstheme="majorBidi"/>
          <w:sz w:val="20"/>
          <w:szCs w:val="20"/>
          <w:rtl/>
          <w:lang w:bidi="ar-EG"/>
        </w:rPr>
        <w:t>)</w:t>
      </w:r>
      <w:r w:rsidRPr="00335E4B">
        <w:rPr>
          <w:rFonts w:cs="Traditional Arabic"/>
          <w:sz w:val="20"/>
          <w:szCs w:val="30"/>
          <w:rtl/>
          <w:lang w:bidi="ar-EG"/>
        </w:rPr>
        <w:t xml:space="preserve"> في غاز المداخن. وبعد غسل عينة الغاز بالماء وإزالة الزئبق المؤكسد في طور البخار </w:t>
      </w:r>
      <w:r w:rsidRPr="00EE438F">
        <w:rPr>
          <w:rFonts w:asciiTheme="majorBidi" w:hAnsiTheme="majorBidi" w:cstheme="majorBidi"/>
          <w:sz w:val="20"/>
          <w:szCs w:val="20"/>
          <w:rtl/>
          <w:lang w:bidi="ar-EG"/>
        </w:rPr>
        <w:t>(</w:t>
      </w:r>
      <w:r w:rsidRPr="00EE438F">
        <w:rPr>
          <w:rFonts w:asciiTheme="majorBidi" w:hAnsiTheme="majorBidi" w:cstheme="majorBidi"/>
          <w:sz w:val="20"/>
          <w:szCs w:val="20"/>
          <w:lang w:bidi="ar-EG"/>
        </w:rPr>
        <w:t>Hg</w:t>
      </w:r>
      <w:r w:rsidRPr="00EE438F">
        <w:rPr>
          <w:rFonts w:asciiTheme="majorBidi" w:hAnsiTheme="majorBidi" w:cstheme="majorBidi"/>
          <w:sz w:val="20"/>
          <w:szCs w:val="20"/>
          <w:vertAlign w:val="superscript"/>
          <w:lang w:bidi="ar-EG"/>
        </w:rPr>
        <w:t>2+</w:t>
      </w:r>
      <w:r w:rsidRPr="00EE438F">
        <w:rPr>
          <w:rFonts w:asciiTheme="majorBidi" w:hAnsiTheme="majorBidi" w:cstheme="majorBidi"/>
          <w:sz w:val="20"/>
          <w:szCs w:val="20"/>
          <w:rtl/>
          <w:lang w:bidi="ar-EG"/>
        </w:rPr>
        <w:t>)</w:t>
      </w:r>
      <w:r w:rsidRPr="00335E4B">
        <w:rPr>
          <w:rFonts w:cs="Traditional Arabic"/>
          <w:sz w:val="20"/>
          <w:szCs w:val="30"/>
          <w:rtl/>
          <w:lang w:bidi="ar-EG"/>
        </w:rPr>
        <w:t xml:space="preserve"> من العينة الغازية، يتم حبس </w:t>
      </w:r>
      <w:r w:rsidRPr="00335E4B">
        <w:rPr>
          <w:rFonts w:cs="Traditional Arabic" w:hint="cs"/>
          <w:sz w:val="20"/>
          <w:szCs w:val="30"/>
          <w:rtl/>
          <w:lang w:bidi="ar-EG"/>
        </w:rPr>
        <w:t>ال</w:t>
      </w:r>
      <w:r w:rsidRPr="00335E4B">
        <w:rPr>
          <w:rFonts w:cs="Traditional Arabic"/>
          <w:sz w:val="20"/>
          <w:szCs w:val="30"/>
          <w:rtl/>
          <w:lang w:bidi="ar-EG"/>
        </w:rPr>
        <w:t xml:space="preserve">زئبق </w:t>
      </w:r>
      <w:r w:rsidRPr="00335E4B">
        <w:rPr>
          <w:rFonts w:cs="Traditional Arabic" w:hint="cs"/>
          <w:sz w:val="20"/>
          <w:szCs w:val="30"/>
          <w:rtl/>
          <w:lang w:bidi="ar-EG"/>
        </w:rPr>
        <w:t xml:space="preserve">الموجود </w:t>
      </w:r>
      <w:r w:rsidRPr="00335E4B">
        <w:rPr>
          <w:rFonts w:cs="Traditional Arabic"/>
          <w:sz w:val="20"/>
          <w:szCs w:val="30"/>
          <w:rtl/>
          <w:lang w:bidi="ar-EG"/>
        </w:rPr>
        <w:t>في طور البخار في غاز العينة بواسطة المادة الماصّة كملغمة ذهب. ويتم تسخين المادة الماصّة ويقاس بخار الزئبق بمطيافية الامتزاز الذري بالبخار البارد.</w:t>
      </w:r>
    </w:p>
    <w:p w:rsidR="00335E4B" w:rsidRPr="00335E4B" w:rsidRDefault="00335E4B" w:rsidP="00335E4B">
      <w:pPr>
        <w:spacing w:before="120" w:after="120" w:line="400" w:lineRule="exact"/>
        <w:rPr>
          <w:rFonts w:cs="Traditional Arabic"/>
          <w:b/>
          <w:bCs/>
          <w:sz w:val="20"/>
          <w:szCs w:val="30"/>
          <w:rtl/>
        </w:rPr>
      </w:pPr>
      <w:r w:rsidRPr="00335E4B">
        <w:rPr>
          <w:rFonts w:cs="Traditional Arabic" w:hint="cs"/>
          <w:b/>
          <w:bCs/>
          <w:sz w:val="20"/>
          <w:szCs w:val="30"/>
          <w:rtl/>
        </w:rPr>
        <w:t>2</w:t>
      </w:r>
      <w:r w:rsidRPr="00335E4B">
        <w:rPr>
          <w:rFonts w:cs="Traditional Arabic"/>
          <w:b/>
          <w:bCs/>
          <w:sz w:val="20"/>
          <w:szCs w:val="30"/>
          <w:rtl/>
        </w:rPr>
        <w:t>-3-1-3</w:t>
      </w:r>
      <w:r w:rsidRPr="00335E4B">
        <w:rPr>
          <w:rFonts w:cs="Traditional Arabic"/>
          <w:b/>
          <w:bCs/>
          <w:sz w:val="20"/>
          <w:szCs w:val="30"/>
          <w:rtl/>
        </w:rPr>
        <w:tab/>
        <w:t>الاختبار الآلي</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يمكن استعمال الاختبار الآلي من أجل القياسات القصيرة الأجل لتركيزات الزئبق في طور البخار الموجود في الغاز. وفي هذا الأسلوب، يتم استخلاص عينة غازية بصورة مستمرة ونقلها إلى جهاز تحليل متنقل يقوم بقياس الزئبق النقي والزئبق المؤكسد </w:t>
      </w:r>
      <w:r w:rsidRPr="00EE438F">
        <w:rPr>
          <w:rFonts w:asciiTheme="majorBidi" w:hAnsiTheme="majorBidi" w:cstheme="majorBidi"/>
          <w:sz w:val="20"/>
          <w:szCs w:val="20"/>
          <w:rtl/>
          <w:lang w:bidi="ar-EG"/>
        </w:rPr>
        <w:t>(</w:t>
      </w:r>
      <w:r w:rsidRPr="00EE438F">
        <w:rPr>
          <w:rFonts w:asciiTheme="majorBidi" w:hAnsiTheme="majorBidi" w:cstheme="majorBidi"/>
          <w:sz w:val="20"/>
          <w:szCs w:val="20"/>
          <w:lang w:bidi="ar-EG"/>
        </w:rPr>
        <w:t>Hg</w:t>
      </w:r>
      <w:r w:rsidRPr="00EE438F">
        <w:rPr>
          <w:rFonts w:asciiTheme="majorBidi" w:hAnsiTheme="majorBidi" w:cstheme="majorBidi"/>
          <w:sz w:val="20"/>
          <w:szCs w:val="20"/>
          <w:vertAlign w:val="superscript"/>
          <w:lang w:bidi="ar-EG"/>
        </w:rPr>
        <w:t>0</w:t>
      </w:r>
      <w:r w:rsidRPr="00335E4B">
        <w:rPr>
          <w:rFonts w:cs="Traditional Arabic"/>
          <w:sz w:val="20"/>
          <w:szCs w:val="30"/>
          <w:rtl/>
          <w:lang w:bidi="ar-EG"/>
        </w:rPr>
        <w:t xml:space="preserve"> و</w:t>
      </w:r>
      <w:r w:rsidRPr="00335E4B">
        <w:rPr>
          <w:rFonts w:cs="Traditional Arabic"/>
          <w:sz w:val="20"/>
          <w:szCs w:val="30"/>
          <w:lang w:bidi="ar-EG"/>
        </w:rPr>
        <w:t>Hg</w:t>
      </w:r>
      <w:r w:rsidRPr="00335E4B">
        <w:rPr>
          <w:rFonts w:cs="Traditional Arabic"/>
          <w:sz w:val="20"/>
          <w:szCs w:val="30"/>
          <w:vertAlign w:val="superscript"/>
          <w:lang w:bidi="ar-EG"/>
        </w:rPr>
        <w:t>2+</w:t>
      </w:r>
      <w:r w:rsidRPr="00EE438F">
        <w:rPr>
          <w:rFonts w:asciiTheme="majorBidi" w:hAnsiTheme="majorBidi" w:cstheme="majorBidi"/>
          <w:sz w:val="20"/>
          <w:szCs w:val="20"/>
          <w:rtl/>
          <w:lang w:bidi="ar-EG"/>
        </w:rPr>
        <w:t>)</w:t>
      </w:r>
      <w:r w:rsidRPr="00335E4B">
        <w:rPr>
          <w:rFonts w:cs="Traditional Arabic"/>
          <w:sz w:val="20"/>
          <w:szCs w:val="30"/>
          <w:rtl/>
          <w:lang w:bidi="ar-EG"/>
        </w:rPr>
        <w:t>، سواء بصورة منفصلة أو في نفس الوقت. ويستعمل جهاز التحليل المتنقل تقنية قياس تشبه التقنية المستعملة في الرصد المستمر للانبعاثات (انظر الفرع 2-4 أدناه).</w:t>
      </w:r>
    </w:p>
    <w:p w:rsidR="00335E4B" w:rsidRPr="00335E4B" w:rsidRDefault="00335E4B" w:rsidP="00335E4B">
      <w:pPr>
        <w:numPr>
          <w:ilvl w:val="0"/>
          <w:numId w:val="13"/>
        </w:numPr>
        <w:spacing w:after="120" w:line="400" w:lineRule="exact"/>
        <w:ind w:left="565" w:hanging="567"/>
        <w:jc w:val="both"/>
        <w:rPr>
          <w:rFonts w:cs="Traditional Arabic"/>
          <w:sz w:val="20"/>
          <w:szCs w:val="30"/>
          <w:rtl/>
          <w:lang w:bidi="ar-EG"/>
        </w:rPr>
      </w:pPr>
      <w:r w:rsidRPr="00335E4B">
        <w:rPr>
          <w:rFonts w:cs="Traditional Arabic"/>
          <w:i/>
          <w:iCs/>
          <w:sz w:val="20"/>
          <w:szCs w:val="30"/>
          <w:rtl/>
          <w:lang w:bidi="ar-EG"/>
        </w:rPr>
        <w:t xml:space="preserve">وكالة حماية البيئة في الولايات المتحدة - الأسلوب </w:t>
      </w:r>
      <w:r w:rsidRPr="00335E4B">
        <w:rPr>
          <w:rFonts w:cs="Traditional Arabic"/>
          <w:i/>
          <w:iCs/>
          <w:sz w:val="20"/>
          <w:szCs w:val="30"/>
          <w:lang w:bidi="ar-EG"/>
        </w:rPr>
        <w:t>30A</w:t>
      </w:r>
      <w:r w:rsidRPr="00335E4B">
        <w:rPr>
          <w:rFonts w:cs="Traditional Arabic"/>
          <w:i/>
          <w:iCs/>
          <w:sz w:val="20"/>
          <w:szCs w:val="30"/>
          <w:rtl/>
          <w:lang w:bidi="ar-EG"/>
        </w:rPr>
        <w:t>- تحديد انبعاث الزئبق</w:t>
      </w:r>
      <w:r w:rsidRPr="00335E4B">
        <w:rPr>
          <w:rFonts w:cs="Traditional Arabic" w:hint="cs"/>
          <w:i/>
          <w:iCs/>
          <w:sz w:val="20"/>
          <w:szCs w:val="30"/>
          <w:rtl/>
          <w:lang w:bidi="ar-EG"/>
        </w:rPr>
        <w:t xml:space="preserve"> الكلي</w:t>
      </w:r>
      <w:r w:rsidRPr="00335E4B">
        <w:rPr>
          <w:rFonts w:cs="Traditional Arabic"/>
          <w:i/>
          <w:iCs/>
          <w:sz w:val="20"/>
          <w:szCs w:val="30"/>
          <w:rtl/>
          <w:lang w:bidi="ar-EG"/>
        </w:rPr>
        <w:t xml:space="preserve"> في طور البخار من مصادر ثابتة (إجراء التحليل الآلي)</w:t>
      </w:r>
      <w:r w:rsidRPr="00F02867">
        <w:rPr>
          <w:rFonts w:cs="Traditional Arabic"/>
          <w:sz w:val="20"/>
          <w:szCs w:val="30"/>
          <w:vertAlign w:val="superscript"/>
          <w:rtl/>
          <w:lang w:bidi="ar-EG"/>
        </w:rPr>
        <w:t>(</w:t>
      </w:r>
      <w:r w:rsidRPr="00F02867">
        <w:rPr>
          <w:rFonts w:cs="Traditional Arabic"/>
          <w:sz w:val="20"/>
          <w:szCs w:val="30"/>
          <w:vertAlign w:val="superscript"/>
          <w:rtl/>
          <w:lang w:bidi="ar-EG"/>
        </w:rPr>
        <w:footnoteReference w:id="23"/>
      </w:r>
      <w:r w:rsidRPr="00F02867">
        <w:rPr>
          <w:rFonts w:cs="Traditional Arabic"/>
          <w:sz w:val="20"/>
          <w:szCs w:val="30"/>
          <w:vertAlign w:val="superscript"/>
          <w:rtl/>
          <w:lang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الأسلوب </w:t>
      </w:r>
      <w:r w:rsidRPr="00335E4B">
        <w:rPr>
          <w:rFonts w:cs="Traditional Arabic"/>
          <w:sz w:val="20"/>
          <w:szCs w:val="30"/>
          <w:lang w:bidi="ar-EG"/>
        </w:rPr>
        <w:t>30 A</w:t>
      </w:r>
      <w:r w:rsidRPr="00335E4B">
        <w:rPr>
          <w:rFonts w:cs="Traditional Arabic"/>
          <w:sz w:val="20"/>
          <w:szCs w:val="30"/>
          <w:rtl/>
          <w:lang w:bidi="ar-EG"/>
        </w:rPr>
        <w:t xml:space="preserve"> هو </w:t>
      </w:r>
      <w:r w:rsidRPr="00335E4B">
        <w:rPr>
          <w:rFonts w:cs="Traditional Arabic" w:hint="cs"/>
          <w:sz w:val="20"/>
          <w:szCs w:val="30"/>
          <w:rtl/>
          <w:lang w:bidi="ar-EG"/>
        </w:rPr>
        <w:t>عملية</w:t>
      </w:r>
      <w:r w:rsidRPr="00335E4B">
        <w:rPr>
          <w:rFonts w:cs="Traditional Arabic"/>
          <w:sz w:val="20"/>
          <w:szCs w:val="30"/>
          <w:rtl/>
          <w:lang w:bidi="ar-EG"/>
        </w:rPr>
        <w:t xml:space="preserve"> لقياس انبعاثات الزئبق</w:t>
      </w:r>
      <w:r w:rsidRPr="00335E4B">
        <w:rPr>
          <w:rFonts w:cs="Traditional Arabic" w:hint="cs"/>
          <w:sz w:val="20"/>
          <w:szCs w:val="30"/>
          <w:rtl/>
          <w:lang w:bidi="ar-EG"/>
        </w:rPr>
        <w:t xml:space="preserve"> الكلي</w:t>
      </w:r>
      <w:r w:rsidRPr="00335E4B">
        <w:rPr>
          <w:rFonts w:cs="Traditional Arabic"/>
          <w:sz w:val="20"/>
          <w:szCs w:val="30"/>
          <w:rtl/>
          <w:lang w:bidi="ar-EG"/>
        </w:rPr>
        <w:t xml:space="preserve"> </w:t>
      </w:r>
      <w:r w:rsidRPr="00335E4B">
        <w:rPr>
          <w:rFonts w:cs="Traditional Arabic" w:hint="cs"/>
          <w:sz w:val="20"/>
          <w:szCs w:val="30"/>
          <w:rtl/>
          <w:lang w:bidi="ar-EG"/>
        </w:rPr>
        <w:t xml:space="preserve">الموجود على شكل </w:t>
      </w:r>
      <w:r w:rsidRPr="00335E4B">
        <w:rPr>
          <w:rFonts w:cs="Traditional Arabic"/>
          <w:sz w:val="20"/>
          <w:szCs w:val="30"/>
          <w:rtl/>
          <w:lang w:bidi="ar-EG"/>
        </w:rPr>
        <w:t>بخار</w:t>
      </w:r>
      <w:r w:rsidRPr="00335E4B">
        <w:rPr>
          <w:rFonts w:cs="Traditional Arabic" w:hint="cs"/>
          <w:sz w:val="20"/>
          <w:szCs w:val="30"/>
          <w:rtl/>
          <w:lang w:bidi="ar-EG"/>
        </w:rPr>
        <w:t xml:space="preserve">، وذلك </w:t>
      </w:r>
      <w:r w:rsidRPr="00335E4B">
        <w:rPr>
          <w:rFonts w:cs="Traditional Arabic"/>
          <w:sz w:val="20"/>
          <w:szCs w:val="30"/>
          <w:rtl/>
          <w:lang w:bidi="ar-EG"/>
        </w:rPr>
        <w:t xml:space="preserve">من مصادر ثابتة </w:t>
      </w:r>
      <w:r w:rsidRPr="00335E4B">
        <w:rPr>
          <w:rFonts w:cs="Traditional Arabic" w:hint="cs"/>
          <w:sz w:val="20"/>
          <w:szCs w:val="30"/>
          <w:rtl/>
          <w:lang w:bidi="ar-EG"/>
        </w:rPr>
        <w:t>و</w:t>
      </w:r>
      <w:r w:rsidRPr="00335E4B">
        <w:rPr>
          <w:rFonts w:cs="Traditional Arabic"/>
          <w:sz w:val="20"/>
          <w:szCs w:val="30"/>
          <w:rtl/>
          <w:lang w:bidi="ar-EG"/>
        </w:rPr>
        <w:t>باستعمال جهاز تحليل</w:t>
      </w:r>
      <w:r w:rsidRPr="00335E4B">
        <w:rPr>
          <w:rFonts w:cs="Traditional Arabic" w:hint="cs"/>
          <w:sz w:val="20"/>
          <w:szCs w:val="30"/>
          <w:rtl/>
          <w:lang w:bidi="ar-EG"/>
        </w:rPr>
        <w:t>ي يستخدم المعدات الآلية</w:t>
      </w:r>
      <w:r w:rsidRPr="00335E4B">
        <w:rPr>
          <w:rFonts w:cs="Traditional Arabic"/>
          <w:sz w:val="20"/>
          <w:szCs w:val="30"/>
          <w:rtl/>
          <w:lang w:bidi="ar-EG"/>
        </w:rPr>
        <w:t xml:space="preserve">. وهذا الأسلوب مناسب بصورة خاصة </w:t>
      </w:r>
      <w:r w:rsidRPr="00335E4B">
        <w:rPr>
          <w:rFonts w:cs="Traditional Arabic" w:hint="cs"/>
          <w:sz w:val="20"/>
          <w:szCs w:val="30"/>
          <w:rtl/>
          <w:lang w:bidi="ar-EG"/>
        </w:rPr>
        <w:t>لإجراء</w:t>
      </w:r>
      <w:r w:rsidRPr="00335E4B">
        <w:rPr>
          <w:rFonts w:cs="Traditional Arabic"/>
          <w:sz w:val="20"/>
          <w:szCs w:val="30"/>
          <w:rtl/>
          <w:lang w:bidi="ar-EG"/>
        </w:rPr>
        <w:t xml:space="preserve"> اختبار</w:t>
      </w:r>
      <w:r w:rsidRPr="00335E4B">
        <w:rPr>
          <w:rFonts w:cs="Traditional Arabic" w:hint="cs"/>
          <w:sz w:val="20"/>
          <w:szCs w:val="30"/>
          <w:rtl/>
          <w:lang w:bidi="ar-EG"/>
        </w:rPr>
        <w:t>ات</w:t>
      </w:r>
      <w:r w:rsidRPr="00335E4B">
        <w:rPr>
          <w:rFonts w:cs="Traditional Arabic"/>
          <w:sz w:val="20"/>
          <w:szCs w:val="30"/>
          <w:rtl/>
          <w:lang w:bidi="ar-EG"/>
        </w:rPr>
        <w:t xml:space="preserve"> الانبعاثات </w:t>
      </w:r>
      <w:r w:rsidRPr="00335E4B">
        <w:rPr>
          <w:rFonts w:cs="Traditional Arabic" w:hint="cs"/>
          <w:sz w:val="20"/>
          <w:szCs w:val="30"/>
          <w:rtl/>
          <w:lang w:bidi="ar-EG"/>
        </w:rPr>
        <w:t>وتنفيذ</w:t>
      </w:r>
      <w:r w:rsidRPr="00335E4B">
        <w:rPr>
          <w:rFonts w:cs="Traditional Arabic"/>
          <w:sz w:val="20"/>
          <w:szCs w:val="30"/>
          <w:rtl/>
          <w:lang w:bidi="ar-EG"/>
        </w:rPr>
        <w:t xml:space="preserve"> تدقيقات</w:t>
      </w:r>
      <w:r w:rsidRPr="00335E4B">
        <w:rPr>
          <w:rFonts w:cs="Traditional Arabic" w:hint="cs"/>
          <w:sz w:val="20"/>
          <w:szCs w:val="30"/>
          <w:rtl/>
          <w:lang w:bidi="ar-EG"/>
        </w:rPr>
        <w:t xml:space="preserve"> مراجعة</w:t>
      </w:r>
      <w:r w:rsidRPr="00335E4B">
        <w:rPr>
          <w:rFonts w:cs="Traditional Arabic"/>
          <w:sz w:val="20"/>
          <w:szCs w:val="30"/>
          <w:rtl/>
          <w:lang w:bidi="ar-EG"/>
        </w:rPr>
        <w:t xml:space="preserve"> اختبار الدقة النسبية لنظم الرصد المستمر للانبعاثات ونظم </w:t>
      </w:r>
      <w:r w:rsidRPr="00335E4B">
        <w:rPr>
          <w:rFonts w:cs="Traditional Arabic" w:hint="cs"/>
          <w:sz w:val="20"/>
          <w:szCs w:val="30"/>
          <w:rtl/>
          <w:lang w:bidi="ar-EG"/>
        </w:rPr>
        <w:t>ال</w:t>
      </w:r>
      <w:r w:rsidRPr="00335E4B">
        <w:rPr>
          <w:rFonts w:cs="Traditional Arabic"/>
          <w:sz w:val="20"/>
          <w:szCs w:val="30"/>
          <w:rtl/>
          <w:lang w:bidi="ar-EG"/>
        </w:rPr>
        <w:t xml:space="preserve">رصد </w:t>
      </w:r>
      <w:r w:rsidRPr="00335E4B">
        <w:rPr>
          <w:rFonts w:cs="Traditional Arabic" w:hint="cs"/>
          <w:sz w:val="20"/>
          <w:szCs w:val="30"/>
          <w:rtl/>
          <w:lang w:bidi="ar-EG"/>
        </w:rPr>
        <w:t>ب</w:t>
      </w:r>
      <w:r w:rsidRPr="00335E4B">
        <w:rPr>
          <w:rFonts w:cs="Traditional Arabic"/>
          <w:sz w:val="20"/>
          <w:szCs w:val="30"/>
          <w:rtl/>
          <w:lang w:bidi="ar-EG"/>
        </w:rPr>
        <w:t xml:space="preserve">المصيدة </w:t>
      </w:r>
      <w:r w:rsidRPr="00335E4B">
        <w:rPr>
          <w:rFonts w:cs="Traditional Arabic" w:hint="cs"/>
          <w:sz w:val="20"/>
          <w:szCs w:val="30"/>
          <w:rtl/>
          <w:lang w:bidi="ar-EG"/>
        </w:rPr>
        <w:t>الماصة</w:t>
      </w:r>
      <w:r w:rsidRPr="00335E4B">
        <w:rPr>
          <w:rFonts w:cs="Traditional Arabic"/>
          <w:sz w:val="20"/>
          <w:szCs w:val="30"/>
          <w:rtl/>
          <w:lang w:bidi="ar-EG"/>
        </w:rPr>
        <w:t xml:space="preserve"> في مصادر الاحتراق العاملة بالفحم. ويشمل هذا الأسلوب على اشتراطات ضمان الجودة ومراقبة الجودة.</w:t>
      </w:r>
    </w:p>
    <w:p w:rsidR="00335E4B" w:rsidRPr="00335E4B" w:rsidRDefault="00335E4B" w:rsidP="001F4286">
      <w:pPr>
        <w:keepNext/>
        <w:spacing w:after="120" w:line="400" w:lineRule="exact"/>
        <w:ind w:left="1132" w:hanging="1132"/>
        <w:jc w:val="both"/>
        <w:outlineLvl w:val="0"/>
        <w:rPr>
          <w:rFonts w:cs="Traditional Arabic"/>
          <w:b/>
          <w:bCs/>
          <w:sz w:val="30"/>
          <w:szCs w:val="30"/>
          <w:rtl/>
        </w:rPr>
      </w:pPr>
      <w:bookmarkStart w:id="272" w:name="_Toc441577698"/>
      <w:bookmarkStart w:id="273" w:name="_Toc441577877"/>
      <w:bookmarkStart w:id="274" w:name="_Toc441579103"/>
      <w:bookmarkStart w:id="275" w:name="_Toc441580711"/>
      <w:bookmarkStart w:id="276" w:name="_Toc441585842"/>
      <w:bookmarkStart w:id="277" w:name="_Toc441586178"/>
      <w:bookmarkStart w:id="278" w:name="_Toc441586628"/>
      <w:bookmarkStart w:id="279" w:name="_Toc441586807"/>
      <w:bookmarkStart w:id="280" w:name="_Toc441666656"/>
      <w:bookmarkStart w:id="281" w:name="_Toc441673717"/>
      <w:r w:rsidRPr="00335E4B">
        <w:rPr>
          <w:rFonts w:cs="Traditional Arabic" w:hint="cs"/>
          <w:b/>
          <w:bCs/>
          <w:sz w:val="30"/>
          <w:szCs w:val="30"/>
          <w:rtl/>
        </w:rPr>
        <w:t>2</w:t>
      </w:r>
      <w:r w:rsidRPr="00335E4B">
        <w:rPr>
          <w:rFonts w:cs="Traditional Arabic"/>
          <w:b/>
          <w:bCs/>
          <w:sz w:val="30"/>
          <w:szCs w:val="30"/>
          <w:rtl/>
        </w:rPr>
        <w:t>-3-2</w:t>
      </w:r>
      <w:r w:rsidRPr="00335E4B">
        <w:rPr>
          <w:rFonts w:cs="Traditional Arabic"/>
          <w:b/>
          <w:bCs/>
          <w:sz w:val="30"/>
          <w:szCs w:val="30"/>
          <w:rtl/>
        </w:rPr>
        <w:tab/>
        <w:t>القياسات الطويلة الأجل</w:t>
      </w:r>
      <w:bookmarkEnd w:id="272"/>
      <w:bookmarkEnd w:id="273"/>
      <w:bookmarkEnd w:id="274"/>
      <w:bookmarkEnd w:id="275"/>
      <w:bookmarkEnd w:id="276"/>
      <w:bookmarkEnd w:id="277"/>
      <w:bookmarkEnd w:id="278"/>
      <w:bookmarkEnd w:id="279"/>
      <w:bookmarkEnd w:id="280"/>
      <w:bookmarkEnd w:id="281"/>
    </w:p>
    <w:p w:rsidR="00335E4B" w:rsidRPr="00335E4B" w:rsidRDefault="00335E4B" w:rsidP="001F4286">
      <w:pPr>
        <w:spacing w:before="120" w:after="120" w:line="400" w:lineRule="exact"/>
        <w:ind w:left="1132" w:hanging="1132"/>
        <w:rPr>
          <w:rFonts w:cs="Traditional Arabic"/>
          <w:b/>
          <w:bCs/>
          <w:sz w:val="20"/>
          <w:szCs w:val="30"/>
          <w:rtl/>
        </w:rPr>
      </w:pPr>
      <w:r w:rsidRPr="00335E4B">
        <w:rPr>
          <w:rFonts w:cs="Traditional Arabic" w:hint="cs"/>
          <w:b/>
          <w:bCs/>
          <w:sz w:val="20"/>
          <w:szCs w:val="30"/>
          <w:rtl/>
        </w:rPr>
        <w:t>2</w:t>
      </w:r>
      <w:r w:rsidRPr="00335E4B">
        <w:rPr>
          <w:rFonts w:cs="Traditional Arabic"/>
          <w:b/>
          <w:bCs/>
          <w:sz w:val="20"/>
          <w:szCs w:val="30"/>
          <w:rtl/>
        </w:rPr>
        <w:t>-3-2-1</w:t>
      </w:r>
      <w:r w:rsidRPr="00335E4B">
        <w:rPr>
          <w:rFonts w:cs="Traditional Arabic"/>
          <w:b/>
          <w:bCs/>
          <w:sz w:val="20"/>
          <w:szCs w:val="30"/>
          <w:rtl/>
        </w:rPr>
        <w:tab/>
        <w:t>نظم رصد المصائد الماصّة</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تستعمل نظم رصد المصائد الماصّة لرصد انبعاثات الزئبق من مصادر تتسم بانخفاض تركيزات الجسيمات. ويتم إنشاء هذه النظم بصورة دائمة في نقطة ملائمة لجمع العينات، مع استخدام المصائد الماصّة لتوفير عينات متسَّقة وتمثيلية. وبعكس استعمال المصائد الماصّة لأغراض القياسات القصيرة الأجل في فترة قصيرة من الوقت، يتم تشغيل نظم </w:t>
      </w:r>
      <w:r w:rsidRPr="00335E4B">
        <w:rPr>
          <w:rFonts w:cs="Traditional Arabic" w:hint="cs"/>
          <w:sz w:val="20"/>
          <w:szCs w:val="30"/>
          <w:rtl/>
          <w:lang w:bidi="ar-EG"/>
        </w:rPr>
        <w:t>ال</w:t>
      </w:r>
      <w:r w:rsidRPr="00335E4B">
        <w:rPr>
          <w:rFonts w:cs="Traditional Arabic"/>
          <w:sz w:val="20"/>
          <w:szCs w:val="30"/>
          <w:rtl/>
          <w:lang w:bidi="ar-EG"/>
        </w:rPr>
        <w:t xml:space="preserve">رصد </w:t>
      </w:r>
      <w:r w:rsidRPr="00335E4B">
        <w:rPr>
          <w:rFonts w:cs="Traditional Arabic" w:hint="cs"/>
          <w:sz w:val="20"/>
          <w:szCs w:val="30"/>
          <w:rtl/>
          <w:lang w:bidi="ar-EG"/>
        </w:rPr>
        <w:t>ب</w:t>
      </w:r>
      <w:r w:rsidRPr="00335E4B">
        <w:rPr>
          <w:rFonts w:cs="Traditional Arabic"/>
          <w:sz w:val="20"/>
          <w:szCs w:val="30"/>
          <w:rtl/>
          <w:lang w:bidi="ar-EG"/>
        </w:rPr>
        <w:t>المصائد الماصة على أساس دائم في فترات زمنية محددة، قد تتراوح بين 24 و168 ساعة</w:t>
      </w:r>
      <w:r w:rsidRPr="00335E4B">
        <w:rPr>
          <w:rFonts w:cs="Traditional Arabic"/>
          <w:sz w:val="20"/>
          <w:szCs w:val="30"/>
          <w:vertAlign w:val="superscript"/>
          <w:rtl/>
          <w:lang w:bidi="ar-EG"/>
        </w:rPr>
        <w:t>(</w:t>
      </w:r>
      <w:r w:rsidRPr="00335E4B">
        <w:rPr>
          <w:rFonts w:cs="Traditional Arabic"/>
          <w:sz w:val="20"/>
          <w:szCs w:val="30"/>
          <w:vertAlign w:val="superscript"/>
          <w:rtl/>
          <w:lang w:bidi="ar-EG"/>
        </w:rPr>
        <w:footnoteReference w:id="24"/>
      </w:r>
      <w:r w:rsidRPr="00335E4B">
        <w:rPr>
          <w:rFonts w:cs="Traditional Arabic"/>
          <w:sz w:val="20"/>
          <w:szCs w:val="30"/>
          <w:vertAlign w:val="superscript"/>
          <w:rtl/>
          <w:lang w:bidi="ar-EG"/>
        </w:rPr>
        <w:t>)</w:t>
      </w:r>
      <w:r w:rsidRPr="00335E4B">
        <w:rPr>
          <w:rFonts w:cs="Traditional Arabic"/>
          <w:sz w:val="20"/>
          <w:szCs w:val="30"/>
          <w:rtl/>
          <w:lang w:bidi="ar-EG"/>
        </w:rPr>
        <w:t>، أو حتى 14 يوماً للحصول على عينات بتركيز زئبقي منخفض. وكما يحدث في الأساليب الاستخلاصية الأخرى ينبغي اختيار موقع نقطة العينة بعناية من أجل توفير بيانات تمثيلية ومفيدة.</w:t>
      </w:r>
    </w:p>
    <w:p w:rsidR="00335E4B" w:rsidRPr="00335E4B" w:rsidRDefault="00335E4B" w:rsidP="00EE438F">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وتقدَّر تكلفة إنشاء نظام رصد بالمصائد الماصّة بحوالي 000</w:t>
      </w:r>
      <w:r w:rsidR="00EE438F">
        <w:rPr>
          <w:rFonts w:cs="Traditional Arabic" w:hint="cs"/>
          <w:sz w:val="20"/>
          <w:szCs w:val="30"/>
          <w:rtl/>
          <w:lang w:bidi="ar-EG"/>
        </w:rPr>
        <w:t> </w:t>
      </w:r>
      <w:r w:rsidRPr="00335E4B">
        <w:rPr>
          <w:rFonts w:cs="Traditional Arabic"/>
          <w:sz w:val="20"/>
          <w:szCs w:val="30"/>
          <w:rtl/>
          <w:lang w:bidi="ar-EG"/>
        </w:rPr>
        <w:t xml:space="preserve">150 دولار. وباستخدام بيانات الولايات المتحدة من عام 2010 تتراوح تكاليف التشغيل السنوية لنظام رصد </w:t>
      </w:r>
      <w:r w:rsidRPr="00335E4B">
        <w:rPr>
          <w:rFonts w:cs="Traditional Arabic" w:hint="cs"/>
          <w:sz w:val="20"/>
          <w:szCs w:val="30"/>
          <w:rtl/>
          <w:lang w:bidi="ar-EG"/>
        </w:rPr>
        <w:t>ب</w:t>
      </w:r>
      <w:r w:rsidRPr="00335E4B">
        <w:rPr>
          <w:rFonts w:cs="Traditional Arabic"/>
          <w:sz w:val="20"/>
          <w:szCs w:val="30"/>
          <w:rtl/>
          <w:lang w:bidi="ar-EG"/>
        </w:rPr>
        <w:t>المصائد الماصة لمنشآت الطاقة العاملة بالفحم بين 000</w:t>
      </w:r>
      <w:r w:rsidR="00EE438F">
        <w:rPr>
          <w:rFonts w:cs="Traditional Arabic" w:hint="cs"/>
          <w:sz w:val="20"/>
          <w:szCs w:val="30"/>
          <w:rtl/>
          <w:lang w:bidi="ar-EG"/>
        </w:rPr>
        <w:t> </w:t>
      </w:r>
      <w:r w:rsidRPr="00335E4B">
        <w:rPr>
          <w:rFonts w:cs="Traditional Arabic"/>
          <w:sz w:val="20"/>
          <w:szCs w:val="30"/>
          <w:rtl/>
          <w:lang w:bidi="ar-EG"/>
        </w:rPr>
        <w:t>26 دولار و000</w:t>
      </w:r>
      <w:r w:rsidR="00EE438F">
        <w:rPr>
          <w:rFonts w:cs="Traditional Arabic" w:hint="cs"/>
          <w:sz w:val="20"/>
          <w:szCs w:val="30"/>
          <w:rtl/>
          <w:lang w:bidi="ar-EG"/>
        </w:rPr>
        <w:t> </w:t>
      </w:r>
      <w:r w:rsidRPr="00335E4B">
        <w:rPr>
          <w:rFonts w:cs="Traditional Arabic"/>
          <w:sz w:val="20"/>
          <w:szCs w:val="30"/>
          <w:rtl/>
          <w:lang w:bidi="ar-EG"/>
        </w:rPr>
        <w:t>36 دولار وتتراوح تكاليف العمالة السنوية للتشغيل بين 000</w:t>
      </w:r>
      <w:r w:rsidR="00EE438F">
        <w:rPr>
          <w:rFonts w:cs="Traditional Arabic" w:hint="cs"/>
          <w:sz w:val="20"/>
          <w:szCs w:val="30"/>
          <w:rtl/>
          <w:lang w:bidi="ar-EG"/>
        </w:rPr>
        <w:t> </w:t>
      </w:r>
      <w:r w:rsidRPr="00335E4B">
        <w:rPr>
          <w:rFonts w:cs="Traditional Arabic"/>
          <w:sz w:val="20"/>
          <w:szCs w:val="30"/>
          <w:rtl/>
          <w:lang w:bidi="ar-EG"/>
        </w:rPr>
        <w:t>21 دولار و000</w:t>
      </w:r>
      <w:r w:rsidR="00EE438F">
        <w:rPr>
          <w:rFonts w:cs="Traditional Arabic" w:hint="cs"/>
          <w:sz w:val="20"/>
          <w:szCs w:val="30"/>
          <w:rtl/>
          <w:lang w:bidi="ar-EG"/>
        </w:rPr>
        <w:t> </w:t>
      </w:r>
      <w:r w:rsidRPr="00335E4B">
        <w:rPr>
          <w:rFonts w:cs="Traditional Arabic"/>
          <w:sz w:val="20"/>
          <w:szCs w:val="30"/>
          <w:rtl/>
          <w:lang w:bidi="ar-EG"/>
        </w:rPr>
        <w:t>36 دولار</w:t>
      </w:r>
      <w:r w:rsidRPr="00335E4B">
        <w:rPr>
          <w:rFonts w:cs="Traditional Arabic"/>
          <w:sz w:val="20"/>
          <w:szCs w:val="30"/>
          <w:vertAlign w:val="superscript"/>
          <w:rtl/>
          <w:lang w:bidi="ar-EG"/>
        </w:rPr>
        <w:t>(</w:t>
      </w:r>
      <w:r w:rsidRPr="00335E4B">
        <w:rPr>
          <w:rFonts w:cs="Traditional Arabic"/>
          <w:sz w:val="20"/>
          <w:szCs w:val="30"/>
          <w:vertAlign w:val="superscript"/>
          <w:rtl/>
          <w:lang w:bidi="ar-EG"/>
        </w:rPr>
        <w:footnoteReference w:id="25"/>
      </w:r>
      <w:r w:rsidRPr="00335E4B">
        <w:rPr>
          <w:rFonts w:cs="Traditional Arabic"/>
          <w:sz w:val="20"/>
          <w:szCs w:val="30"/>
          <w:vertAlign w:val="superscript"/>
          <w:rtl/>
          <w:lang w:bidi="ar-EG"/>
        </w:rPr>
        <w:t>)</w:t>
      </w:r>
      <w:r w:rsidRPr="00335E4B">
        <w:rPr>
          <w:rFonts w:cs="Traditional Arabic"/>
          <w:sz w:val="20"/>
          <w:szCs w:val="30"/>
          <w:rtl/>
          <w:lang w:bidi="ar-EG"/>
        </w:rPr>
        <w:t>.</w:t>
      </w:r>
    </w:p>
    <w:p w:rsidR="00335E4B" w:rsidRPr="00F45938" w:rsidRDefault="00335E4B" w:rsidP="00335E4B">
      <w:pPr>
        <w:tabs>
          <w:tab w:val="left" w:pos="663"/>
          <w:tab w:val="left" w:pos="1117"/>
          <w:tab w:val="left" w:pos="2230"/>
          <w:tab w:val="center" w:pos="5468"/>
        </w:tabs>
        <w:spacing w:after="120" w:line="400" w:lineRule="exact"/>
        <w:jc w:val="lowKashida"/>
        <w:rPr>
          <w:rFonts w:cs="Traditional Arabic"/>
          <w:sz w:val="20"/>
          <w:szCs w:val="30"/>
          <w:rtl/>
          <w:lang w:bidi="ar-EG"/>
        </w:rPr>
      </w:pPr>
      <w:r w:rsidRPr="00F45938">
        <w:rPr>
          <w:rFonts w:cs="Traditional Arabic"/>
          <w:sz w:val="20"/>
          <w:szCs w:val="30"/>
          <w:rtl/>
          <w:lang w:bidi="ar-EG"/>
        </w:rPr>
        <w:t>الأساليب المرجعية الموجودة</w:t>
      </w:r>
    </w:p>
    <w:p w:rsidR="00335E4B" w:rsidRPr="00EE438F" w:rsidRDefault="00335E4B" w:rsidP="00EE438F">
      <w:pPr>
        <w:numPr>
          <w:ilvl w:val="0"/>
          <w:numId w:val="13"/>
        </w:numPr>
        <w:spacing w:after="120" w:line="400" w:lineRule="exact"/>
        <w:ind w:left="565" w:hanging="567"/>
        <w:jc w:val="lowKashida"/>
        <w:rPr>
          <w:rFonts w:cs="Traditional Arabic"/>
          <w:sz w:val="20"/>
          <w:szCs w:val="30"/>
          <w:rtl/>
          <w:lang w:bidi="ar-EG"/>
        </w:rPr>
      </w:pPr>
      <w:r w:rsidRPr="00335E4B">
        <w:rPr>
          <w:rFonts w:cs="Traditional Arabic"/>
          <w:i/>
          <w:iCs/>
          <w:sz w:val="20"/>
          <w:szCs w:val="30"/>
          <w:rtl/>
          <w:lang w:bidi="ar-EG"/>
        </w:rPr>
        <w:t xml:space="preserve">وكالة حماية البيئة في الولايات المتحدة </w:t>
      </w:r>
      <w:r w:rsidRPr="00335E4B">
        <w:rPr>
          <w:rFonts w:cs="Traditional Arabic"/>
          <w:i/>
          <w:sz w:val="20"/>
          <w:szCs w:val="22"/>
        </w:rPr>
        <w:t>PS-12b</w:t>
      </w:r>
      <w:r w:rsidRPr="00335E4B">
        <w:rPr>
          <w:rFonts w:cs="Traditional Arabic"/>
          <w:i/>
          <w:iCs/>
          <w:sz w:val="20"/>
          <w:szCs w:val="30"/>
          <w:rtl/>
          <w:lang w:bidi="ar-EG"/>
        </w:rPr>
        <w:t xml:space="preserve"> (مواصفة الأداء </w:t>
      </w:r>
      <w:r w:rsidRPr="00335E4B">
        <w:rPr>
          <w:rFonts w:cs="Traditional Arabic"/>
          <w:i/>
          <w:sz w:val="20"/>
          <w:szCs w:val="22"/>
        </w:rPr>
        <w:t>12b</w:t>
      </w:r>
      <w:r w:rsidRPr="00335E4B">
        <w:rPr>
          <w:rFonts w:cs="Traditional Arabic"/>
          <w:i/>
          <w:iCs/>
          <w:sz w:val="20"/>
          <w:szCs w:val="30"/>
          <w:rtl/>
          <w:lang w:bidi="ar-EG"/>
        </w:rPr>
        <w:t>)- المواصفات وإجراءات الاختبار لرصد انبعاثات مجموع الزئبق في طور البخار من المصادر الثابتة باستعمال نظام رصد مصائد ماصة</w:t>
      </w:r>
      <w:r w:rsidRPr="00335E4B">
        <w:rPr>
          <w:rFonts w:cs="Traditional Arabic"/>
          <w:i/>
          <w:iCs/>
          <w:sz w:val="20"/>
          <w:szCs w:val="30"/>
          <w:vertAlign w:val="superscript"/>
          <w:rtl/>
          <w:lang w:bidi="ar-EG"/>
        </w:rPr>
        <w:t>(</w:t>
      </w:r>
      <w:r w:rsidRPr="00335E4B">
        <w:rPr>
          <w:rFonts w:cs="Traditional Arabic"/>
          <w:i/>
          <w:iCs/>
          <w:sz w:val="20"/>
          <w:szCs w:val="30"/>
          <w:vertAlign w:val="superscript"/>
          <w:rtl/>
          <w:lang w:bidi="ar-EG"/>
        </w:rPr>
        <w:footnoteReference w:id="26"/>
      </w:r>
      <w:r w:rsidRPr="00335E4B">
        <w:rPr>
          <w:rFonts w:cs="Traditional Arabic"/>
          <w:i/>
          <w:iCs/>
          <w:sz w:val="20"/>
          <w:szCs w:val="30"/>
          <w:vertAlign w:val="superscript"/>
          <w:rtl/>
          <w:lang w:bidi="ar-EG"/>
        </w:rPr>
        <w:t>)</w:t>
      </w:r>
    </w:p>
    <w:p w:rsidR="00335E4B" w:rsidRPr="00335E4B" w:rsidRDefault="00335E4B" w:rsidP="00335E4B">
      <w:pPr>
        <w:spacing w:after="120" w:line="400" w:lineRule="exact"/>
        <w:jc w:val="lowKashida"/>
        <w:rPr>
          <w:rFonts w:cs="Traditional Arabic"/>
          <w:sz w:val="20"/>
          <w:szCs w:val="30"/>
          <w:rtl/>
          <w:lang w:bidi="ar-EG"/>
        </w:rPr>
      </w:pPr>
      <w:r w:rsidRPr="00335E4B">
        <w:rPr>
          <w:rFonts w:cs="Traditional Arabic"/>
          <w:sz w:val="20"/>
          <w:szCs w:val="30"/>
          <w:rtl/>
          <w:lang w:bidi="ar-EG"/>
        </w:rPr>
        <w:t xml:space="preserve">تستعمل مواصفة الأداء هذه لوضع </w:t>
      </w:r>
      <w:r w:rsidRPr="00335E4B">
        <w:rPr>
          <w:rFonts w:cs="Traditional Arabic" w:hint="cs"/>
          <w:sz w:val="20"/>
          <w:szCs w:val="30"/>
          <w:rtl/>
          <w:lang w:bidi="ar-EG"/>
        </w:rPr>
        <w:t>مستويات مرجعية للأداء</w:t>
      </w:r>
      <w:r w:rsidRPr="00335E4B">
        <w:rPr>
          <w:rFonts w:cs="Traditional Arabic"/>
          <w:sz w:val="20"/>
          <w:szCs w:val="30"/>
          <w:rtl/>
          <w:lang w:bidi="ar-EG"/>
        </w:rPr>
        <w:t xml:space="preserve"> و</w:t>
      </w:r>
      <w:r w:rsidRPr="00335E4B">
        <w:rPr>
          <w:rFonts w:cs="Traditional Arabic" w:hint="cs"/>
          <w:sz w:val="20"/>
          <w:szCs w:val="30"/>
          <w:rtl/>
          <w:lang w:bidi="ar-EG"/>
        </w:rPr>
        <w:t>ل</w:t>
      </w:r>
      <w:r w:rsidRPr="00335E4B">
        <w:rPr>
          <w:rFonts w:cs="Traditional Arabic"/>
          <w:sz w:val="20"/>
          <w:szCs w:val="30"/>
          <w:rtl/>
          <w:lang w:bidi="ar-EG"/>
        </w:rPr>
        <w:t xml:space="preserve">تقييم </w:t>
      </w:r>
      <w:r w:rsidRPr="00335E4B">
        <w:rPr>
          <w:rFonts w:cs="Traditional Arabic" w:hint="cs"/>
          <w:sz w:val="20"/>
          <w:szCs w:val="30"/>
          <w:rtl/>
          <w:lang w:bidi="ar-EG"/>
        </w:rPr>
        <w:t xml:space="preserve">مدى قبول </w:t>
      </w:r>
      <w:r w:rsidRPr="00335E4B">
        <w:rPr>
          <w:rFonts w:cs="Traditional Arabic"/>
          <w:sz w:val="20"/>
          <w:szCs w:val="30"/>
          <w:rtl/>
          <w:lang w:bidi="ar-EG"/>
        </w:rPr>
        <w:t>نُظم الرصد بالمصائد الماصة المستعملة لرصد انبعاثات الزئبق</w:t>
      </w:r>
      <w:r w:rsidRPr="00335E4B">
        <w:rPr>
          <w:rFonts w:cs="Traditional Arabic" w:hint="cs"/>
          <w:sz w:val="20"/>
          <w:szCs w:val="30"/>
          <w:rtl/>
          <w:lang w:bidi="ar-EG"/>
        </w:rPr>
        <w:t xml:space="preserve"> الكلي الموجود</w:t>
      </w:r>
      <w:r w:rsidRPr="00335E4B">
        <w:rPr>
          <w:rFonts w:cs="Traditional Arabic"/>
          <w:sz w:val="20"/>
          <w:szCs w:val="30"/>
          <w:rtl/>
          <w:lang w:bidi="ar-EG"/>
        </w:rPr>
        <w:t xml:space="preserve"> في طور البخار في تيارات غاز المداخن </w:t>
      </w:r>
      <w:r w:rsidRPr="00335E4B">
        <w:rPr>
          <w:rFonts w:cs="Traditional Arabic" w:hint="cs"/>
          <w:sz w:val="20"/>
          <w:szCs w:val="30"/>
          <w:rtl/>
          <w:lang w:bidi="ar-EG"/>
        </w:rPr>
        <w:t>من ال</w:t>
      </w:r>
      <w:r w:rsidRPr="00335E4B">
        <w:rPr>
          <w:rFonts w:cs="Traditional Arabic"/>
          <w:sz w:val="20"/>
          <w:szCs w:val="30"/>
          <w:rtl/>
          <w:lang w:bidi="ar-EG"/>
        </w:rPr>
        <w:t>مص</w:t>
      </w:r>
      <w:r w:rsidRPr="00335E4B">
        <w:rPr>
          <w:rFonts w:cs="Traditional Arabic" w:hint="cs"/>
          <w:sz w:val="20"/>
          <w:szCs w:val="30"/>
          <w:rtl/>
          <w:lang w:bidi="ar-EG"/>
        </w:rPr>
        <w:t>ا</w:t>
      </w:r>
      <w:r w:rsidRPr="00335E4B">
        <w:rPr>
          <w:rFonts w:cs="Traditional Arabic"/>
          <w:sz w:val="20"/>
          <w:szCs w:val="30"/>
          <w:rtl/>
          <w:lang w:bidi="ar-EG"/>
        </w:rPr>
        <w:t xml:space="preserve">در </w:t>
      </w:r>
      <w:r w:rsidRPr="00335E4B">
        <w:rPr>
          <w:rFonts w:cs="Traditional Arabic" w:hint="cs"/>
          <w:sz w:val="20"/>
          <w:szCs w:val="30"/>
          <w:rtl/>
          <w:lang w:bidi="ar-EG"/>
        </w:rPr>
        <w:t>ال</w:t>
      </w:r>
      <w:r w:rsidRPr="00335E4B">
        <w:rPr>
          <w:rFonts w:cs="Traditional Arabic"/>
          <w:sz w:val="20"/>
          <w:szCs w:val="30"/>
          <w:rtl/>
          <w:lang w:bidi="ar-EG"/>
        </w:rPr>
        <w:t>ثابت</w:t>
      </w:r>
      <w:r w:rsidRPr="00335E4B">
        <w:rPr>
          <w:rFonts w:cs="Traditional Arabic" w:hint="cs"/>
          <w:sz w:val="20"/>
          <w:szCs w:val="30"/>
          <w:rtl/>
          <w:lang w:bidi="ar-EG"/>
        </w:rPr>
        <w:t>ة</w:t>
      </w:r>
      <w:r w:rsidRPr="00335E4B">
        <w:rPr>
          <w:rFonts w:cs="Traditional Arabic"/>
          <w:sz w:val="20"/>
          <w:szCs w:val="30"/>
          <w:rtl/>
          <w:lang w:bidi="ar-EG"/>
        </w:rPr>
        <w:t xml:space="preserve">. وهذا الأسلوب مناسب لقياسات الزئبق الطويلة الأجل التي </w:t>
      </w:r>
      <w:r w:rsidRPr="00335E4B">
        <w:rPr>
          <w:rFonts w:cs="Traditional Arabic" w:hint="cs"/>
          <w:sz w:val="20"/>
          <w:szCs w:val="30"/>
          <w:rtl/>
          <w:lang w:bidi="ar-EG"/>
        </w:rPr>
        <w:t>ي</w:t>
      </w:r>
      <w:r w:rsidRPr="00335E4B">
        <w:rPr>
          <w:rFonts w:cs="Traditional Arabic"/>
          <w:sz w:val="20"/>
          <w:szCs w:val="30"/>
          <w:rtl/>
          <w:lang w:bidi="ar-EG"/>
        </w:rPr>
        <w:t>صل زمن جمع العينة فيها إلى 14 يوماً من أجل رصد المستويات المنخفضة من انبعاثات الزئبق.</w:t>
      </w:r>
    </w:p>
    <w:p w:rsidR="00335E4B" w:rsidRPr="00335E4B" w:rsidRDefault="00335E4B" w:rsidP="00335E4B">
      <w:pPr>
        <w:keepNext/>
        <w:spacing w:after="120" w:line="400" w:lineRule="exact"/>
        <w:ind w:left="991" w:hanging="991"/>
        <w:jc w:val="both"/>
        <w:outlineLvl w:val="0"/>
        <w:rPr>
          <w:rFonts w:cs="Traditional Arabic"/>
          <w:b/>
          <w:bCs/>
          <w:sz w:val="30"/>
          <w:szCs w:val="30"/>
          <w:rtl/>
        </w:rPr>
      </w:pPr>
      <w:bookmarkStart w:id="282" w:name="_Toc440451891"/>
      <w:bookmarkStart w:id="283" w:name="_Toc440452460"/>
      <w:bookmarkStart w:id="284" w:name="_Toc441577699"/>
      <w:bookmarkStart w:id="285" w:name="_Toc441577878"/>
      <w:bookmarkStart w:id="286" w:name="_Toc441579104"/>
      <w:bookmarkStart w:id="287" w:name="_Toc441580712"/>
      <w:bookmarkStart w:id="288" w:name="_Toc441585843"/>
      <w:bookmarkStart w:id="289" w:name="_Toc441586179"/>
      <w:bookmarkStart w:id="290" w:name="_Toc441586629"/>
      <w:bookmarkStart w:id="291" w:name="_Toc441586808"/>
      <w:bookmarkStart w:id="292" w:name="_Toc441666657"/>
      <w:bookmarkStart w:id="293" w:name="_Toc441673718"/>
      <w:r w:rsidRPr="00335E4B">
        <w:rPr>
          <w:rFonts w:cs="Traditional Arabic" w:hint="cs"/>
          <w:b/>
          <w:bCs/>
          <w:sz w:val="30"/>
          <w:szCs w:val="30"/>
          <w:rtl/>
        </w:rPr>
        <w:t>2</w:t>
      </w:r>
      <w:r w:rsidRPr="00335E4B">
        <w:rPr>
          <w:rFonts w:cs="Traditional Arabic"/>
          <w:b/>
          <w:bCs/>
          <w:sz w:val="30"/>
          <w:szCs w:val="30"/>
          <w:rtl/>
        </w:rPr>
        <w:t>-4</w:t>
      </w:r>
      <w:r w:rsidRPr="00335E4B">
        <w:rPr>
          <w:rFonts w:cs="Traditional Arabic"/>
          <w:b/>
          <w:bCs/>
          <w:sz w:val="30"/>
          <w:szCs w:val="30"/>
          <w:rtl/>
        </w:rPr>
        <w:tab/>
        <w:t>القياسات المستمرة</w:t>
      </w:r>
      <w:bookmarkEnd w:id="282"/>
      <w:bookmarkEnd w:id="283"/>
      <w:bookmarkEnd w:id="284"/>
      <w:bookmarkEnd w:id="285"/>
      <w:bookmarkEnd w:id="286"/>
      <w:bookmarkEnd w:id="287"/>
      <w:bookmarkEnd w:id="288"/>
      <w:bookmarkEnd w:id="289"/>
      <w:bookmarkEnd w:id="290"/>
      <w:bookmarkEnd w:id="291"/>
      <w:bookmarkEnd w:id="292"/>
      <w:bookmarkEnd w:id="293"/>
    </w:p>
    <w:p w:rsidR="00335E4B" w:rsidRPr="00335E4B" w:rsidRDefault="00335E4B" w:rsidP="00335E4B">
      <w:pPr>
        <w:keepNext/>
        <w:spacing w:after="120" w:line="400" w:lineRule="exact"/>
        <w:ind w:left="991" w:hanging="991"/>
        <w:jc w:val="both"/>
        <w:outlineLvl w:val="0"/>
        <w:rPr>
          <w:rFonts w:cs="Traditional Arabic"/>
          <w:b/>
          <w:bCs/>
          <w:sz w:val="30"/>
          <w:szCs w:val="30"/>
          <w:rtl/>
        </w:rPr>
      </w:pPr>
      <w:bookmarkStart w:id="294" w:name="_Toc440451892"/>
      <w:bookmarkStart w:id="295" w:name="_Toc440452461"/>
      <w:bookmarkStart w:id="296" w:name="_Toc441577700"/>
      <w:bookmarkStart w:id="297" w:name="_Toc441577879"/>
      <w:bookmarkStart w:id="298" w:name="_Toc441579105"/>
      <w:bookmarkStart w:id="299" w:name="_Toc441580713"/>
      <w:bookmarkStart w:id="300" w:name="_Toc441585844"/>
      <w:bookmarkStart w:id="301" w:name="_Toc441586180"/>
      <w:bookmarkStart w:id="302" w:name="_Toc441586630"/>
      <w:bookmarkStart w:id="303" w:name="_Toc441586809"/>
      <w:bookmarkStart w:id="304" w:name="_Toc441666658"/>
      <w:bookmarkStart w:id="305" w:name="_Toc441673719"/>
      <w:r w:rsidRPr="00335E4B">
        <w:rPr>
          <w:rFonts w:cs="Traditional Arabic" w:hint="cs"/>
          <w:b/>
          <w:bCs/>
          <w:sz w:val="30"/>
          <w:szCs w:val="30"/>
          <w:rtl/>
        </w:rPr>
        <w:t>2</w:t>
      </w:r>
      <w:r w:rsidRPr="00335E4B">
        <w:rPr>
          <w:rFonts w:cs="Traditional Arabic"/>
          <w:b/>
          <w:bCs/>
          <w:sz w:val="30"/>
          <w:szCs w:val="30"/>
          <w:rtl/>
        </w:rPr>
        <w:t>-4-1</w:t>
      </w:r>
      <w:r w:rsidRPr="00335E4B">
        <w:rPr>
          <w:rFonts w:cs="Traditional Arabic"/>
          <w:b/>
          <w:bCs/>
          <w:sz w:val="30"/>
          <w:szCs w:val="30"/>
          <w:rtl/>
        </w:rPr>
        <w:tab/>
        <w:t>نُظم الرصد المستمر للانبعاثات</w:t>
      </w:r>
      <w:bookmarkEnd w:id="294"/>
      <w:bookmarkEnd w:id="295"/>
      <w:bookmarkEnd w:id="296"/>
      <w:bookmarkEnd w:id="297"/>
      <w:bookmarkEnd w:id="298"/>
      <w:bookmarkEnd w:id="299"/>
      <w:bookmarkEnd w:id="300"/>
      <w:bookmarkEnd w:id="301"/>
      <w:bookmarkEnd w:id="302"/>
      <w:bookmarkEnd w:id="303"/>
      <w:bookmarkEnd w:id="304"/>
      <w:bookmarkEnd w:id="305"/>
    </w:p>
    <w:p w:rsidR="00335E4B" w:rsidRPr="00335E4B" w:rsidRDefault="00335E4B" w:rsidP="00EE438F">
      <w:pPr>
        <w:tabs>
          <w:tab w:val="left" w:pos="663"/>
          <w:tab w:val="left" w:pos="1117"/>
          <w:tab w:val="left" w:pos="2230"/>
          <w:tab w:val="center" w:pos="5468"/>
        </w:tabs>
        <w:spacing w:after="120" w:line="400" w:lineRule="exact"/>
        <w:jc w:val="lowKashida"/>
        <w:rPr>
          <w:rFonts w:cs="Traditional Arabic"/>
          <w:sz w:val="20"/>
          <w:szCs w:val="30"/>
          <w:rtl/>
        </w:rPr>
      </w:pPr>
      <w:r w:rsidRPr="00335E4B">
        <w:rPr>
          <w:rFonts w:cs="Traditional Arabic"/>
          <w:sz w:val="20"/>
          <w:szCs w:val="30"/>
          <w:rtl/>
        </w:rPr>
        <w:t>تستعمل نُظم الرصد المستمر للانبعاثات من أجل رصد الانبعاثات الغازية من المصادر الثابتة على مدى فترات طويلة. ولا</w:t>
      </w:r>
      <w:r w:rsidR="00EE438F">
        <w:rPr>
          <w:rFonts w:cs="Traditional Arabic" w:hint="cs"/>
          <w:sz w:val="20"/>
          <w:szCs w:val="30"/>
          <w:rtl/>
        </w:rPr>
        <w:t> </w:t>
      </w:r>
      <w:r w:rsidRPr="00335E4B">
        <w:rPr>
          <w:rFonts w:cs="Traditional Arabic"/>
          <w:sz w:val="20"/>
          <w:szCs w:val="30"/>
          <w:rtl/>
        </w:rPr>
        <w:t>يقيس هذا الأسلوب الرصدي الزئبق العالق بالجسيمات. وفي إطار هذا الأسلوب الآلي يتم أخذ عينات تمثيلية بصورة مستمرة أو في فترات زمنية محدَّدة باستعمال مسبار يوضع في تيار الغاز. ولذلك فإن هذه النُظم مفيدة للرصد غير المنقطع لانبعاثات الزئبق، التي يمكن أن تتباين في فترات زمنية قصيرة بسبب تغيُّر تركيزات الزئبق في المواد الخام أو الوقود أو ال</w:t>
      </w:r>
      <w:r w:rsidRPr="00335E4B">
        <w:rPr>
          <w:rFonts w:cs="Traditional Arabic" w:hint="cs"/>
          <w:sz w:val="20"/>
          <w:szCs w:val="30"/>
          <w:rtl/>
        </w:rPr>
        <w:t>مواد الكاشفة</w:t>
      </w:r>
      <w:r w:rsidRPr="00335E4B">
        <w:rPr>
          <w:rFonts w:cs="Traditional Arabic"/>
          <w:sz w:val="20"/>
          <w:szCs w:val="30"/>
          <w:rtl/>
        </w:rPr>
        <w:t xml:space="preserve">. وعلى سبيل المثال، يمكن أن تكون نُظم الرصد المستمر مفيدة أثناء الترميد المشترك للنفايات كوقود بسبب التغيُّر السريع لمحتوى الزئبق في النفايات. وقد أدّت اشتراطات الرصد والتبليغ حسب اللوائح إلى تزايد استعمال هذا الأسلوب في الولايات المتحدة والاتحاد الأوروبي بين بعض المصادر على مدى السنوات العشر الأخيرة. </w:t>
      </w:r>
      <w:r w:rsidRPr="00335E4B">
        <w:rPr>
          <w:rFonts w:cs="Traditional Arabic" w:hint="cs"/>
          <w:sz w:val="20"/>
          <w:szCs w:val="30"/>
          <w:rtl/>
        </w:rPr>
        <w:t>وعلى الرغم من</w:t>
      </w:r>
      <w:r w:rsidRPr="00335E4B">
        <w:rPr>
          <w:rFonts w:cs="Traditional Arabic"/>
          <w:sz w:val="20"/>
          <w:szCs w:val="30"/>
          <w:rtl/>
        </w:rPr>
        <w:t xml:space="preserve"> أن تكلفة الإنشاء والتشغيل قد تكون مرتفعة مقارنة بالأساليب الأخرى فإن نُظم الرصد المستمر توفِّر أكبر قدر من البيانات التي يتم توليدها في الوقت الفعلي عبر مختلف أنواع عمليات التشغيل وتقلب سير العملي</w:t>
      </w:r>
      <w:r w:rsidRPr="00335E4B">
        <w:rPr>
          <w:rFonts w:cs="Traditional Arabic" w:hint="cs"/>
          <w:sz w:val="20"/>
          <w:szCs w:val="30"/>
          <w:rtl/>
        </w:rPr>
        <w:t>ات</w:t>
      </w:r>
      <w:r w:rsidRPr="00335E4B">
        <w:rPr>
          <w:rFonts w:cs="Traditional Arabic"/>
          <w:sz w:val="20"/>
          <w:szCs w:val="30"/>
          <w:rtl/>
        </w:rPr>
        <w:t>.</w:t>
      </w:r>
    </w:p>
    <w:p w:rsidR="00335E4B" w:rsidRPr="00335E4B" w:rsidRDefault="00335E4B" w:rsidP="009F44ED">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وينبغي اختيار موقع نقطة العيِّنة بدقة من أجل الحصول على بيانات تمثيلية ومفيدة. وفي أي مرفق معقَّد يضم العديد من المخارج التي يحتمل أن ينبعث منها الزئبق قد تكون تكلفة إنشاء نُظم رصد مستمر في كل مخرج مرتفعة. وباستخدام بيانات الولايات المتحدة من عام 2010، تُقدَّر التكلفة العامة لإنشاء نظام جديد للرصد المستمر لانبعاثات الزئبق في منشأة طاقة تعمل بالفحم بحوالي 000</w:t>
      </w:r>
      <w:r w:rsidR="00EE438F">
        <w:rPr>
          <w:rFonts w:cs="Traditional Arabic" w:hint="cs"/>
          <w:sz w:val="20"/>
          <w:szCs w:val="30"/>
          <w:rtl/>
        </w:rPr>
        <w:t> </w:t>
      </w:r>
      <w:r w:rsidRPr="00335E4B">
        <w:rPr>
          <w:rFonts w:cs="Traditional Arabic"/>
          <w:sz w:val="20"/>
          <w:szCs w:val="30"/>
          <w:rtl/>
        </w:rPr>
        <w:t>500 دولار، منها 000</w:t>
      </w:r>
      <w:r w:rsidR="00EE438F">
        <w:rPr>
          <w:rFonts w:cs="Traditional Arabic" w:hint="cs"/>
          <w:sz w:val="20"/>
          <w:szCs w:val="30"/>
          <w:rtl/>
        </w:rPr>
        <w:t> </w:t>
      </w:r>
      <w:r w:rsidRPr="00335E4B">
        <w:rPr>
          <w:rFonts w:cs="Traditional Arabic"/>
          <w:sz w:val="20"/>
          <w:szCs w:val="30"/>
          <w:rtl/>
        </w:rPr>
        <w:t>200 دولار لأغراض النظام، بما في ذلك بدء التشغيل، والتدريب ونُظم المعايرة، وما بين 000</w:t>
      </w:r>
      <w:r w:rsidR="00EE438F">
        <w:rPr>
          <w:rFonts w:cs="Traditional Arabic" w:hint="cs"/>
          <w:sz w:val="20"/>
          <w:szCs w:val="30"/>
          <w:rtl/>
        </w:rPr>
        <w:t> </w:t>
      </w:r>
      <w:r w:rsidRPr="00335E4B">
        <w:rPr>
          <w:rFonts w:cs="Traditional Arabic"/>
          <w:sz w:val="20"/>
          <w:szCs w:val="30"/>
          <w:rtl/>
        </w:rPr>
        <w:t>200 و000</w:t>
      </w:r>
      <w:r w:rsidR="00EE438F">
        <w:rPr>
          <w:rFonts w:cs="Traditional Arabic" w:hint="cs"/>
          <w:sz w:val="20"/>
          <w:szCs w:val="30"/>
          <w:rtl/>
        </w:rPr>
        <w:t> </w:t>
      </w:r>
      <w:r w:rsidRPr="00335E4B">
        <w:rPr>
          <w:rFonts w:cs="Traditional Arabic"/>
          <w:sz w:val="20"/>
          <w:szCs w:val="30"/>
          <w:rtl/>
        </w:rPr>
        <w:t>300 دولار لإعداد الموقع</w:t>
      </w:r>
      <w:r w:rsidRPr="00335E4B">
        <w:rPr>
          <w:rFonts w:cs="Traditional Arabic"/>
          <w:sz w:val="20"/>
          <w:szCs w:val="30"/>
          <w:vertAlign w:val="superscript"/>
          <w:rtl/>
        </w:rPr>
        <w:t>(</w:t>
      </w:r>
      <w:r w:rsidRPr="00335E4B">
        <w:rPr>
          <w:rFonts w:cs="Traditional Arabic"/>
          <w:sz w:val="20"/>
          <w:szCs w:val="30"/>
          <w:vertAlign w:val="superscript"/>
          <w:rtl/>
        </w:rPr>
        <w:footnoteReference w:id="27"/>
      </w:r>
      <w:r w:rsidRPr="00335E4B">
        <w:rPr>
          <w:rFonts w:cs="Traditional Arabic"/>
          <w:sz w:val="20"/>
          <w:szCs w:val="30"/>
          <w:vertAlign w:val="superscript"/>
          <w:rtl/>
        </w:rPr>
        <w:t>)</w:t>
      </w:r>
      <w:r w:rsidRPr="00335E4B">
        <w:rPr>
          <w:rFonts w:cs="Traditional Arabic"/>
          <w:sz w:val="20"/>
          <w:szCs w:val="30"/>
          <w:rtl/>
        </w:rPr>
        <w:t>.وتنخفض التكاليف إلى حد كبير في النُظم الأحدث، حيث لا يتطلب الأمر أعمال معايرة يومية. وتشير المعلومات الأخيرة من أحد مقدمي معدات قياس الزئبق في الاتحاد الأوروبي إلى تكلفة تبلغ حوالي 000</w:t>
      </w:r>
      <w:r w:rsidR="009F44ED">
        <w:rPr>
          <w:rFonts w:cs="Traditional Arabic" w:hint="cs"/>
          <w:sz w:val="20"/>
          <w:szCs w:val="30"/>
          <w:rtl/>
        </w:rPr>
        <w:t> </w:t>
      </w:r>
      <w:r w:rsidRPr="00335E4B">
        <w:rPr>
          <w:rFonts w:cs="Traditional Arabic"/>
          <w:sz w:val="20"/>
          <w:szCs w:val="30"/>
          <w:rtl/>
        </w:rPr>
        <w:t>150 يورو (000</w:t>
      </w:r>
      <w:r w:rsidR="009F44ED">
        <w:rPr>
          <w:rFonts w:cs="Traditional Arabic" w:hint="cs"/>
          <w:sz w:val="20"/>
          <w:szCs w:val="30"/>
          <w:rtl/>
        </w:rPr>
        <w:t> </w:t>
      </w:r>
      <w:r w:rsidRPr="00335E4B">
        <w:rPr>
          <w:rFonts w:cs="Traditional Arabic"/>
          <w:sz w:val="20"/>
          <w:szCs w:val="30"/>
          <w:rtl/>
        </w:rPr>
        <w:t xml:space="preserve">170 دولار) تشمل النظام نفسه والبنية التحتية اللازمة والإنشاء، وتوفير الخدمات، والمعايرة، </w:t>
      </w:r>
      <w:r w:rsidRPr="00335E4B">
        <w:rPr>
          <w:rFonts w:cs="Traditional Arabic" w:hint="cs"/>
          <w:sz w:val="20"/>
          <w:szCs w:val="30"/>
          <w:rtl/>
        </w:rPr>
        <w:t>والتحقق من</w:t>
      </w:r>
      <w:r w:rsidRPr="00335E4B">
        <w:rPr>
          <w:rFonts w:cs="Traditional Arabic"/>
          <w:sz w:val="20"/>
          <w:szCs w:val="30"/>
          <w:rtl/>
        </w:rPr>
        <w:t xml:space="preserve"> الصحة</w:t>
      </w:r>
      <w:r w:rsidRPr="00335E4B">
        <w:rPr>
          <w:rFonts w:cs="Traditional Arabic"/>
          <w:sz w:val="20"/>
          <w:szCs w:val="30"/>
          <w:vertAlign w:val="superscript"/>
          <w:rtl/>
        </w:rPr>
        <w:t>(</w:t>
      </w:r>
      <w:r w:rsidRPr="00335E4B">
        <w:rPr>
          <w:rFonts w:cs="Traditional Arabic"/>
          <w:sz w:val="20"/>
          <w:szCs w:val="30"/>
          <w:vertAlign w:val="superscript"/>
          <w:rtl/>
        </w:rPr>
        <w:footnoteReference w:id="28"/>
      </w:r>
      <w:r w:rsidRPr="00335E4B">
        <w:rPr>
          <w:rFonts w:cs="Traditional Arabic"/>
          <w:sz w:val="20"/>
          <w:szCs w:val="30"/>
          <w:vertAlign w:val="superscript"/>
          <w:rtl/>
        </w:rPr>
        <w:t>)</w:t>
      </w:r>
      <w:r w:rsidRPr="00335E4B">
        <w:rPr>
          <w:rFonts w:cs="Traditional Arabic"/>
          <w:sz w:val="20"/>
          <w:szCs w:val="30"/>
          <w:rtl/>
        </w:rPr>
        <w:t>.</w:t>
      </w:r>
    </w:p>
    <w:p w:rsidR="00335E4B" w:rsidRPr="00335E4B" w:rsidRDefault="00335E4B" w:rsidP="00335E4B">
      <w:pPr>
        <w:tabs>
          <w:tab w:val="left" w:pos="663"/>
          <w:tab w:val="left" w:pos="1117"/>
          <w:tab w:val="left" w:pos="2230"/>
          <w:tab w:val="center" w:pos="5468"/>
        </w:tabs>
        <w:spacing w:after="120" w:line="400" w:lineRule="exact"/>
        <w:jc w:val="lowKashida"/>
        <w:rPr>
          <w:rFonts w:cs="Traditional Arabic"/>
          <w:sz w:val="20"/>
          <w:szCs w:val="30"/>
          <w:rtl/>
        </w:rPr>
      </w:pPr>
      <w:r w:rsidRPr="00335E4B">
        <w:rPr>
          <w:rFonts w:cs="Traditional Arabic"/>
          <w:sz w:val="20"/>
          <w:szCs w:val="30"/>
          <w:rtl/>
        </w:rPr>
        <w:t xml:space="preserve">وفي المرافق </w:t>
      </w:r>
      <w:r w:rsidRPr="00335E4B">
        <w:rPr>
          <w:rFonts w:cs="Traditional Arabic" w:hint="cs"/>
          <w:sz w:val="20"/>
          <w:szCs w:val="30"/>
          <w:rtl/>
        </w:rPr>
        <w:t>ذات</w:t>
      </w:r>
      <w:r w:rsidRPr="00335E4B">
        <w:rPr>
          <w:rFonts w:cs="Traditional Arabic"/>
          <w:sz w:val="20"/>
          <w:szCs w:val="30"/>
          <w:rtl/>
        </w:rPr>
        <w:t xml:space="preserve"> </w:t>
      </w:r>
      <w:r w:rsidRPr="00335E4B">
        <w:rPr>
          <w:rFonts w:cs="Traditional Arabic" w:hint="cs"/>
          <w:sz w:val="20"/>
          <w:szCs w:val="30"/>
          <w:rtl/>
        </w:rPr>
        <w:t>المداخن</w:t>
      </w:r>
      <w:r w:rsidRPr="00335E4B">
        <w:rPr>
          <w:rFonts w:cs="Traditional Arabic"/>
          <w:sz w:val="20"/>
          <w:szCs w:val="30"/>
          <w:rtl/>
        </w:rPr>
        <w:t xml:space="preserve"> </w:t>
      </w:r>
      <w:r w:rsidRPr="00335E4B">
        <w:rPr>
          <w:rFonts w:cs="Traditional Arabic" w:hint="cs"/>
          <w:sz w:val="20"/>
          <w:szCs w:val="30"/>
          <w:rtl/>
        </w:rPr>
        <w:t>ال</w:t>
      </w:r>
      <w:r w:rsidRPr="00335E4B">
        <w:rPr>
          <w:rFonts w:cs="Traditional Arabic"/>
          <w:sz w:val="20"/>
          <w:szCs w:val="30"/>
          <w:rtl/>
        </w:rPr>
        <w:t xml:space="preserve">متعددة والتي تكون فيها نُظم الرصد المستمر للانبعاثات مجدية اقتصادياً وتقنياً، وتنتج أيضاً معلومات مفيدة، ينبغي أن </w:t>
      </w:r>
      <w:r w:rsidRPr="00335E4B">
        <w:rPr>
          <w:rFonts w:cs="Traditional Arabic" w:hint="cs"/>
          <w:sz w:val="20"/>
          <w:szCs w:val="30"/>
          <w:rtl/>
        </w:rPr>
        <w:t>توضع</w:t>
      </w:r>
      <w:r w:rsidRPr="00335E4B">
        <w:rPr>
          <w:rFonts w:cs="Traditional Arabic"/>
          <w:sz w:val="20"/>
          <w:szCs w:val="30"/>
          <w:rtl/>
        </w:rPr>
        <w:t xml:space="preserve"> نُظم الرصد المستمر في المخارج التي </w:t>
      </w:r>
      <w:r w:rsidRPr="00335E4B">
        <w:rPr>
          <w:rFonts w:cs="Traditional Arabic" w:hint="cs"/>
          <w:sz w:val="20"/>
          <w:szCs w:val="30"/>
          <w:rtl/>
        </w:rPr>
        <w:t>تخرج</w:t>
      </w:r>
      <w:r w:rsidRPr="00335E4B">
        <w:rPr>
          <w:rFonts w:cs="Traditional Arabic"/>
          <w:sz w:val="20"/>
          <w:szCs w:val="30"/>
          <w:rtl/>
        </w:rPr>
        <w:t xml:space="preserve"> منها معظم انبعاثات الزئبق أو الكمية الأكبر من انبعاثاته في المرفق. </w:t>
      </w:r>
      <w:r w:rsidRPr="00335E4B">
        <w:rPr>
          <w:rFonts w:cs="Traditional Arabic" w:hint="cs"/>
          <w:sz w:val="20"/>
          <w:szCs w:val="30"/>
          <w:rtl/>
        </w:rPr>
        <w:t>وعلى الرغم من</w:t>
      </w:r>
      <w:r w:rsidRPr="00335E4B">
        <w:rPr>
          <w:rFonts w:cs="Traditional Arabic"/>
          <w:sz w:val="20"/>
          <w:szCs w:val="30"/>
          <w:rtl/>
        </w:rPr>
        <w:t xml:space="preserve"> أن نُظم الرصد المستمر لن توفِّر في هذه الحالات معلومات من جميع مخارج الغاز فإن البيانات المتجمعة قد توفِّر إشارة مفيدة في الوقت الحقيقي لاتجاهات أداء العملية وكفاءة ضبط الزئبق.</w:t>
      </w:r>
    </w:p>
    <w:p w:rsidR="00335E4B" w:rsidRPr="00335E4B" w:rsidRDefault="00335E4B" w:rsidP="00335E4B">
      <w:pPr>
        <w:tabs>
          <w:tab w:val="left" w:pos="663"/>
          <w:tab w:val="left" w:pos="1117"/>
          <w:tab w:val="left" w:pos="2230"/>
          <w:tab w:val="center" w:pos="5468"/>
        </w:tabs>
        <w:spacing w:after="120" w:line="380" w:lineRule="exact"/>
        <w:jc w:val="lowKashida"/>
        <w:rPr>
          <w:rFonts w:cs="Traditional Arabic"/>
          <w:sz w:val="20"/>
          <w:szCs w:val="30"/>
          <w:rtl/>
        </w:rPr>
      </w:pPr>
      <w:r w:rsidRPr="00335E4B">
        <w:rPr>
          <w:rFonts w:cs="Traditional Arabic"/>
          <w:sz w:val="20"/>
          <w:szCs w:val="30"/>
          <w:rtl/>
        </w:rPr>
        <w:t xml:space="preserve">وبالنسبة لنُظم الرصد المستمر لانبعاثات الزئبق، يتم ترشيح العينة المستخلصة لإزالة الجسيمات الدقيقة وبعد ذلك يتم توجيه عينة البخار الناجمة عن ذلك إلى جهاز لتحليل الزئبق. وعموماً، ينبغي أن تظل أجهزة تحليل نُظم الرصد المستمر للانبعاثات خاضعة للتحكم المستمر في درجة الحرارة من أجل تجنب الأخطاء الأدائية وانحراف النتائج. وينبغي أن يلاحظ أن هذه الأجهزة التحليلية لا تكتشف الزئبق إلاّ في طور البخار </w:t>
      </w:r>
      <w:r w:rsidRPr="00335E4B">
        <w:rPr>
          <w:rFonts w:cs="Times New Roman"/>
          <w:sz w:val="20"/>
          <w:szCs w:val="20"/>
          <w:rtl/>
        </w:rPr>
        <w:t>(</w:t>
      </w:r>
      <w:r w:rsidRPr="00335E4B">
        <w:rPr>
          <w:rFonts w:cs="Times New Roman"/>
          <w:sz w:val="20"/>
          <w:szCs w:val="20"/>
        </w:rPr>
        <w:t>Hg</w:t>
      </w:r>
      <w:r w:rsidRPr="00335E4B">
        <w:rPr>
          <w:rFonts w:cs="Times New Roman"/>
          <w:sz w:val="20"/>
          <w:szCs w:val="20"/>
          <w:vertAlign w:val="superscript"/>
        </w:rPr>
        <w:t>0</w:t>
      </w:r>
      <w:r w:rsidRPr="00335E4B">
        <w:rPr>
          <w:rFonts w:cs="Times New Roman"/>
          <w:sz w:val="20"/>
          <w:szCs w:val="20"/>
          <w:rtl/>
        </w:rPr>
        <w:t>)</w:t>
      </w:r>
      <w:r w:rsidRPr="00335E4B">
        <w:rPr>
          <w:rFonts w:cs="Traditional Arabic"/>
          <w:sz w:val="20"/>
          <w:szCs w:val="30"/>
          <w:rtl/>
        </w:rPr>
        <w:t xml:space="preserve"> و</w:t>
      </w:r>
      <w:r w:rsidRPr="00335E4B">
        <w:rPr>
          <w:rFonts w:cs="Times New Roman"/>
          <w:sz w:val="20"/>
          <w:szCs w:val="20"/>
          <w:rtl/>
        </w:rPr>
        <w:t>(</w:t>
      </w:r>
      <w:r w:rsidRPr="00335E4B">
        <w:rPr>
          <w:rFonts w:cs="Times New Roman"/>
          <w:sz w:val="20"/>
          <w:szCs w:val="20"/>
        </w:rPr>
        <w:t>Hg</w:t>
      </w:r>
      <w:r w:rsidRPr="00335E4B">
        <w:rPr>
          <w:rFonts w:cs="Times New Roman"/>
          <w:sz w:val="20"/>
          <w:szCs w:val="20"/>
          <w:vertAlign w:val="superscript"/>
        </w:rPr>
        <w:t>2+</w:t>
      </w:r>
      <w:r w:rsidRPr="00335E4B">
        <w:rPr>
          <w:rFonts w:cs="Times New Roman"/>
          <w:sz w:val="20"/>
          <w:szCs w:val="20"/>
          <w:rtl/>
        </w:rPr>
        <w:t>)</w:t>
      </w:r>
      <w:r w:rsidRPr="00335E4B">
        <w:rPr>
          <w:rFonts w:cs="Traditional Arabic"/>
          <w:sz w:val="20"/>
          <w:szCs w:val="30"/>
          <w:rtl/>
        </w:rPr>
        <w:t xml:space="preserve">، وأي زئبق عالق بالجسيمات في العينة سيتم حبسه في المرشح. ولكن نظراً لأن المرافق المعنية ينبغي أن تعمل بأجهزة فعّالة لضبط الجسيمات الدقيقة فلن تكون هناك تركيزات كبيرة من الجسيمات في الانبعاثات </w:t>
      </w:r>
      <w:bookmarkStart w:id="306" w:name="TmpSave"/>
      <w:bookmarkEnd w:id="306"/>
      <w:r w:rsidRPr="00335E4B">
        <w:rPr>
          <w:rFonts w:cs="Traditional Arabic"/>
          <w:sz w:val="20"/>
          <w:szCs w:val="30"/>
          <w:rtl/>
        </w:rPr>
        <w:t>النهائية للمداخن وبالتالي لن يكون هناك الكثير من الزئبق العالق بالجسيمات في تيار الغاز النهائي. ويمكن استعمال نُظم الرصد المستمر لأخذ عينات غاز المداخن الجاف أو غاز المداخن المشبَّع بالماء، كما يحدث بعد استعمال جهاز غسيل رطب. ولكن نُظم الرصد المستمر المستعملة لرصد الغاز المشبَّع بالماء تتطلب مسبار ترشيح ثابت خاص لتجنب الانسدادات بسبب تكثف الماء. وينبغي أن يلاحظ أن بعض نُظم الرصد المستمر يمكن أيضاً أن تعاني من التداخل من مواد أخرى في تيار الغاز.</w:t>
      </w:r>
    </w:p>
    <w:p w:rsidR="00335E4B" w:rsidRPr="00335E4B" w:rsidRDefault="00335E4B" w:rsidP="00335E4B">
      <w:pPr>
        <w:tabs>
          <w:tab w:val="left" w:pos="663"/>
          <w:tab w:val="left" w:pos="1117"/>
          <w:tab w:val="left" w:pos="2230"/>
          <w:tab w:val="center" w:pos="5468"/>
        </w:tabs>
        <w:spacing w:after="120" w:line="380" w:lineRule="exact"/>
        <w:jc w:val="lowKashida"/>
        <w:rPr>
          <w:rFonts w:cs="Traditional Arabic"/>
          <w:sz w:val="20"/>
          <w:szCs w:val="30"/>
          <w:rtl/>
        </w:rPr>
      </w:pPr>
      <w:r w:rsidRPr="00335E4B">
        <w:rPr>
          <w:rFonts w:cs="Traditional Arabic"/>
          <w:sz w:val="20"/>
          <w:szCs w:val="30"/>
          <w:rtl/>
        </w:rPr>
        <w:t>وتقوم أنظمة الرصد المستمر لانبعاثات الزئبق بقياس غاز الزئبق النقي (</w:t>
      </w:r>
      <w:r w:rsidRPr="00335E4B">
        <w:rPr>
          <w:rFonts w:cs="Traditional Arabic"/>
          <w:sz w:val="20"/>
          <w:szCs w:val="22"/>
        </w:rPr>
        <w:t>Hg</w:t>
      </w:r>
      <w:r w:rsidRPr="00335E4B">
        <w:rPr>
          <w:rFonts w:cs="Traditional Arabic"/>
          <w:sz w:val="20"/>
          <w:szCs w:val="22"/>
          <w:vertAlign w:val="superscript"/>
        </w:rPr>
        <w:t>0</w:t>
      </w:r>
      <w:r w:rsidRPr="00335E4B">
        <w:rPr>
          <w:rFonts w:cs="Traditional Arabic"/>
          <w:sz w:val="20"/>
          <w:szCs w:val="30"/>
          <w:rtl/>
        </w:rPr>
        <w:t xml:space="preserve">) باستعمال الامتزاز الذري بالبخار البارد </w:t>
      </w:r>
      <w:r w:rsidRPr="00335E4B">
        <w:rPr>
          <w:rFonts w:cs="Times New Roman"/>
          <w:sz w:val="20"/>
          <w:szCs w:val="20"/>
          <w:rtl/>
        </w:rPr>
        <w:t>(</w:t>
      </w:r>
      <w:r w:rsidRPr="00335E4B">
        <w:rPr>
          <w:rFonts w:cs="Times New Roman"/>
          <w:sz w:val="20"/>
          <w:szCs w:val="20"/>
        </w:rPr>
        <w:t>CVAA</w:t>
      </w:r>
      <w:r w:rsidRPr="00335E4B">
        <w:rPr>
          <w:rFonts w:cs="Times New Roman"/>
          <w:sz w:val="20"/>
          <w:szCs w:val="20"/>
          <w:rtl/>
        </w:rPr>
        <w:t>)</w:t>
      </w:r>
      <w:r w:rsidRPr="00335E4B">
        <w:rPr>
          <w:rFonts w:cs="Traditional Arabic"/>
          <w:sz w:val="20"/>
          <w:szCs w:val="30"/>
          <w:rtl/>
        </w:rPr>
        <w:t xml:space="preserve"> أو الفلورة الذرية بالبخار البارد </w:t>
      </w:r>
      <w:r w:rsidRPr="00335E4B">
        <w:rPr>
          <w:rFonts w:cs="Times New Roman"/>
          <w:sz w:val="20"/>
          <w:szCs w:val="20"/>
          <w:rtl/>
        </w:rPr>
        <w:t>(</w:t>
      </w:r>
      <w:r w:rsidRPr="00335E4B">
        <w:rPr>
          <w:rFonts w:cs="Times New Roman"/>
          <w:sz w:val="20"/>
          <w:szCs w:val="20"/>
        </w:rPr>
        <w:t>CVAF</w:t>
      </w:r>
      <w:r w:rsidRPr="00335E4B">
        <w:rPr>
          <w:rFonts w:cs="Times New Roman"/>
          <w:sz w:val="20"/>
          <w:szCs w:val="20"/>
          <w:rtl/>
        </w:rPr>
        <w:t>)</w:t>
      </w:r>
      <w:r w:rsidRPr="00335E4B">
        <w:rPr>
          <w:rFonts w:cs="Traditional Arabic"/>
          <w:sz w:val="20"/>
          <w:szCs w:val="30"/>
          <w:rtl/>
        </w:rPr>
        <w:t>. وبناءً على ذلك، يجب اختزال الزئبق المؤكسد الغازي (</w:t>
      </w:r>
      <w:r w:rsidRPr="00335E4B">
        <w:rPr>
          <w:rFonts w:cs="Traditional Arabic"/>
          <w:sz w:val="20"/>
          <w:szCs w:val="22"/>
        </w:rPr>
        <w:t>Hg</w:t>
      </w:r>
      <w:r w:rsidRPr="00335E4B">
        <w:rPr>
          <w:rFonts w:cs="Traditional Arabic"/>
          <w:sz w:val="20"/>
          <w:szCs w:val="22"/>
          <w:vertAlign w:val="superscript"/>
        </w:rPr>
        <w:t>2+</w:t>
      </w:r>
      <w:r w:rsidRPr="00335E4B">
        <w:rPr>
          <w:rFonts w:cs="Traditional Arabic"/>
          <w:sz w:val="20"/>
          <w:szCs w:val="30"/>
          <w:rtl/>
        </w:rPr>
        <w:t xml:space="preserve">) في غاز العينة ليصبح </w:t>
      </w:r>
      <w:r w:rsidRPr="00335E4B">
        <w:rPr>
          <w:rFonts w:cs="Traditional Arabic"/>
          <w:sz w:val="20"/>
          <w:szCs w:val="22"/>
        </w:rPr>
        <w:t>Hg</w:t>
      </w:r>
      <w:r w:rsidRPr="00335E4B">
        <w:rPr>
          <w:rFonts w:cs="Traditional Arabic"/>
          <w:sz w:val="20"/>
          <w:szCs w:val="22"/>
          <w:vertAlign w:val="superscript"/>
        </w:rPr>
        <w:t>0</w:t>
      </w:r>
      <w:r w:rsidRPr="00335E4B">
        <w:rPr>
          <w:rFonts w:cs="Traditional Arabic"/>
          <w:sz w:val="20"/>
          <w:szCs w:val="30"/>
          <w:rtl/>
        </w:rPr>
        <w:t xml:space="preserve"> قبل أن يمكن قياسه. ويشار إلى هذه العملية باسم تحويل غاز العينة. ويحدث الاختزال عند </w:t>
      </w:r>
      <w:r w:rsidRPr="00335E4B">
        <w:rPr>
          <w:rFonts w:cs="Traditional Arabic" w:hint="cs"/>
          <w:sz w:val="20"/>
          <w:szCs w:val="30"/>
          <w:rtl/>
        </w:rPr>
        <w:t>تمرير</w:t>
      </w:r>
      <w:r w:rsidRPr="00335E4B">
        <w:rPr>
          <w:rFonts w:cs="Traditional Arabic"/>
          <w:sz w:val="20"/>
          <w:szCs w:val="30"/>
          <w:rtl/>
        </w:rPr>
        <w:t xml:space="preserve"> غاز العينة سواء </w:t>
      </w:r>
      <w:r w:rsidRPr="00335E4B">
        <w:rPr>
          <w:rFonts w:cs="Traditional Arabic" w:hint="cs"/>
          <w:sz w:val="20"/>
          <w:szCs w:val="30"/>
          <w:rtl/>
        </w:rPr>
        <w:t>عبر</w:t>
      </w:r>
      <w:r w:rsidRPr="00335E4B">
        <w:rPr>
          <w:rFonts w:cs="Traditional Arabic"/>
          <w:sz w:val="20"/>
          <w:szCs w:val="30"/>
          <w:rtl/>
        </w:rPr>
        <w:t xml:space="preserve"> خلية اختزال حراري</w:t>
      </w:r>
      <w:r w:rsidRPr="00335E4B">
        <w:rPr>
          <w:rFonts w:cs="Traditional Arabic" w:hint="cs"/>
          <w:sz w:val="20"/>
          <w:szCs w:val="30"/>
          <w:rtl/>
        </w:rPr>
        <w:t xml:space="preserve"> في درجة حرارة عالية</w:t>
      </w:r>
      <w:r w:rsidRPr="00335E4B">
        <w:rPr>
          <w:rFonts w:cs="Traditional Arabic"/>
          <w:sz w:val="20"/>
          <w:szCs w:val="30"/>
          <w:rtl/>
        </w:rPr>
        <w:t xml:space="preserve"> أو </w:t>
      </w:r>
      <w:r w:rsidRPr="00335E4B">
        <w:rPr>
          <w:rFonts w:cs="Traditional Arabic" w:hint="cs"/>
          <w:sz w:val="20"/>
          <w:szCs w:val="30"/>
          <w:rtl/>
        </w:rPr>
        <w:t>عبر</w:t>
      </w:r>
      <w:r w:rsidRPr="00335E4B">
        <w:rPr>
          <w:rFonts w:cs="Traditional Arabic"/>
          <w:sz w:val="20"/>
          <w:szCs w:val="30"/>
          <w:rtl/>
        </w:rPr>
        <w:t xml:space="preserve"> جهاز ارتطام يحتوي على مادة كيميائية مختز</w:t>
      </w:r>
      <w:r w:rsidRPr="00335E4B">
        <w:rPr>
          <w:rFonts w:cs="Traditional Arabic" w:hint="cs"/>
          <w:sz w:val="20"/>
          <w:szCs w:val="30"/>
          <w:rtl/>
        </w:rPr>
        <w:t>ِ</w:t>
      </w:r>
      <w:r w:rsidRPr="00335E4B">
        <w:rPr>
          <w:rFonts w:cs="Traditional Arabic"/>
          <w:sz w:val="20"/>
          <w:szCs w:val="30"/>
          <w:rtl/>
        </w:rPr>
        <w:t>لة مثل الكلوريد.</w:t>
      </w:r>
    </w:p>
    <w:p w:rsidR="00335E4B" w:rsidRPr="00335E4B" w:rsidRDefault="00335E4B" w:rsidP="00335E4B">
      <w:pPr>
        <w:tabs>
          <w:tab w:val="left" w:pos="663"/>
          <w:tab w:val="left" w:pos="1117"/>
          <w:tab w:val="left" w:pos="2230"/>
          <w:tab w:val="center" w:pos="5468"/>
        </w:tabs>
        <w:spacing w:after="120" w:line="380" w:lineRule="exact"/>
        <w:jc w:val="lowKashida"/>
        <w:rPr>
          <w:rFonts w:cs="Traditional Arabic"/>
          <w:sz w:val="20"/>
          <w:szCs w:val="30"/>
          <w:rtl/>
        </w:rPr>
      </w:pPr>
      <w:r w:rsidRPr="00335E4B">
        <w:rPr>
          <w:rFonts w:cs="Traditional Arabic"/>
          <w:sz w:val="20"/>
          <w:szCs w:val="30"/>
          <w:rtl/>
        </w:rPr>
        <w:t xml:space="preserve">ويمكن استخدام نُظم الرصد المستمر للانبعاثات لتوفير </w:t>
      </w:r>
      <w:r w:rsidRPr="00335E4B">
        <w:rPr>
          <w:rFonts w:cs="Traditional Arabic" w:hint="cs"/>
          <w:sz w:val="20"/>
          <w:szCs w:val="30"/>
          <w:rtl/>
        </w:rPr>
        <w:t>ال</w:t>
      </w:r>
      <w:r w:rsidRPr="00335E4B">
        <w:rPr>
          <w:rFonts w:cs="Traditional Arabic"/>
          <w:sz w:val="20"/>
          <w:szCs w:val="30"/>
          <w:rtl/>
        </w:rPr>
        <w:t>بيانات</w:t>
      </w:r>
      <w:r w:rsidRPr="00335E4B">
        <w:rPr>
          <w:rFonts w:cs="Traditional Arabic" w:hint="cs"/>
          <w:sz w:val="20"/>
          <w:szCs w:val="30"/>
          <w:rtl/>
        </w:rPr>
        <w:t xml:space="preserve"> عن</w:t>
      </w:r>
      <w:r w:rsidRPr="00335E4B">
        <w:rPr>
          <w:rFonts w:cs="Traditional Arabic"/>
          <w:sz w:val="20"/>
          <w:szCs w:val="30"/>
          <w:rtl/>
        </w:rPr>
        <w:t xml:space="preserve"> انبعاثات الزئبق بصورة مستمرة، أو على مدى فترات زمنية محددة، أي كل نصف ساعة أو كل ساعة على سبيل المثال. والجدير بالملاحظة أن البيانات المأخوذة من نُظم الرصد المستمر يمكن إرسالها على أساس مستمر إلى نظام مراقبة العملية من خلال </w:t>
      </w:r>
      <w:r w:rsidRPr="00335E4B">
        <w:rPr>
          <w:rFonts w:cs="Traditional Arabic" w:hint="cs"/>
          <w:sz w:val="20"/>
          <w:szCs w:val="30"/>
          <w:rtl/>
        </w:rPr>
        <w:t>حلقة</w:t>
      </w:r>
      <w:r w:rsidRPr="00335E4B">
        <w:rPr>
          <w:rFonts w:cs="Traditional Arabic"/>
          <w:sz w:val="20"/>
          <w:szCs w:val="30"/>
          <w:rtl/>
        </w:rPr>
        <w:t xml:space="preserve"> </w:t>
      </w:r>
      <w:r w:rsidRPr="00335E4B">
        <w:rPr>
          <w:rFonts w:cs="Traditional Arabic" w:hint="cs"/>
          <w:sz w:val="20"/>
          <w:szCs w:val="30"/>
          <w:rtl/>
        </w:rPr>
        <w:t>تأثيرات</w:t>
      </w:r>
      <w:r w:rsidRPr="00335E4B">
        <w:rPr>
          <w:rFonts w:cs="Traditional Arabic"/>
          <w:sz w:val="20"/>
          <w:szCs w:val="30"/>
          <w:rtl/>
        </w:rPr>
        <w:t xml:space="preserve"> </w:t>
      </w:r>
      <w:r w:rsidRPr="00335E4B">
        <w:rPr>
          <w:rFonts w:cs="Traditional Arabic" w:hint="cs"/>
          <w:sz w:val="20"/>
          <w:szCs w:val="30"/>
          <w:rtl/>
        </w:rPr>
        <w:t>مرتدة</w:t>
      </w:r>
      <w:r w:rsidRPr="00335E4B">
        <w:rPr>
          <w:rFonts w:cs="Traditional Arabic"/>
          <w:sz w:val="20"/>
          <w:szCs w:val="30"/>
          <w:rtl/>
        </w:rPr>
        <w:t xml:space="preserve"> لتوضيح اتجاهات تشغيل</w:t>
      </w:r>
      <w:r w:rsidRPr="00335E4B">
        <w:rPr>
          <w:rFonts w:cs="Traditional Arabic" w:hint="cs"/>
          <w:sz w:val="20"/>
          <w:szCs w:val="30"/>
          <w:rtl/>
        </w:rPr>
        <w:t xml:space="preserve"> ضبط العملية</w:t>
      </w:r>
      <w:r w:rsidRPr="00335E4B">
        <w:rPr>
          <w:rFonts w:cs="Traditional Arabic"/>
          <w:sz w:val="20"/>
          <w:szCs w:val="30"/>
          <w:rtl/>
        </w:rPr>
        <w:t xml:space="preserve"> في الوقت الفعلي </w:t>
      </w:r>
      <w:r w:rsidRPr="00335E4B">
        <w:rPr>
          <w:rFonts w:cs="Traditional Arabic" w:hint="cs"/>
          <w:sz w:val="20"/>
          <w:szCs w:val="30"/>
          <w:rtl/>
        </w:rPr>
        <w:t>ول</w:t>
      </w:r>
      <w:r w:rsidRPr="00335E4B">
        <w:rPr>
          <w:rFonts w:cs="Traditional Arabic"/>
          <w:sz w:val="20"/>
          <w:szCs w:val="30"/>
          <w:rtl/>
        </w:rPr>
        <w:t>لمساعدة في الحفاظ على ذروة كفاءة التشغيل.</w:t>
      </w:r>
    </w:p>
    <w:p w:rsidR="00335E4B" w:rsidRPr="00335E4B" w:rsidRDefault="00335E4B" w:rsidP="00335E4B">
      <w:pPr>
        <w:tabs>
          <w:tab w:val="left" w:pos="663"/>
          <w:tab w:val="left" w:pos="1117"/>
          <w:tab w:val="left" w:pos="2230"/>
          <w:tab w:val="center" w:pos="5468"/>
        </w:tabs>
        <w:spacing w:after="120" w:line="380" w:lineRule="exact"/>
        <w:jc w:val="lowKashida"/>
        <w:rPr>
          <w:rFonts w:cs="Traditional Arabic"/>
          <w:sz w:val="20"/>
          <w:szCs w:val="30"/>
          <w:rtl/>
        </w:rPr>
      </w:pPr>
      <w:r w:rsidRPr="00335E4B">
        <w:rPr>
          <w:rFonts w:cs="Traditional Arabic"/>
          <w:sz w:val="20"/>
          <w:szCs w:val="30"/>
          <w:rtl/>
        </w:rPr>
        <w:t>ويجب معايرة نُظم الرصد المستمر معايرة صحيحة لكفالة دقة البيانات. ويتحقق ذلك بمقارنة القراءات مع العينات التي تؤخذ في نفس الوقت من نفس نقطة جمع العينات</w:t>
      </w:r>
      <w:r w:rsidRPr="00335E4B">
        <w:rPr>
          <w:rFonts w:cs="Traditional Arabic" w:hint="cs"/>
          <w:sz w:val="20"/>
          <w:szCs w:val="30"/>
          <w:rtl/>
        </w:rPr>
        <w:t>،</w:t>
      </w:r>
      <w:r w:rsidRPr="00335E4B">
        <w:rPr>
          <w:rFonts w:cs="Traditional Arabic"/>
          <w:sz w:val="20"/>
          <w:szCs w:val="30"/>
          <w:rtl/>
        </w:rPr>
        <w:t xml:space="preserve"> </w:t>
      </w:r>
      <w:r w:rsidRPr="00335E4B">
        <w:rPr>
          <w:rFonts w:cs="Traditional Arabic" w:hint="cs"/>
          <w:sz w:val="20"/>
          <w:szCs w:val="30"/>
          <w:rtl/>
        </w:rPr>
        <w:t>و</w:t>
      </w:r>
      <w:r w:rsidRPr="00335E4B">
        <w:rPr>
          <w:rFonts w:cs="Traditional Arabic"/>
          <w:sz w:val="20"/>
          <w:szCs w:val="30"/>
          <w:rtl/>
        </w:rPr>
        <w:t>التي يتم تحليلها بعد ذلك بأساليب اختبار المصدر اليدوية ذات الصلة. وقد تتوفر بعض معايير غاز المعايرة وفي هذه الحالة يمكن استخدامها لمعايرة الأداء بصورة مباشرة. وينبغي</w:t>
      </w:r>
      <w:r w:rsidRPr="00335E4B">
        <w:rPr>
          <w:rFonts w:cs="Traditional Arabic" w:hint="cs"/>
          <w:sz w:val="20"/>
          <w:szCs w:val="30"/>
          <w:rtl/>
        </w:rPr>
        <w:t xml:space="preserve"> </w:t>
      </w:r>
      <w:r w:rsidRPr="00335E4B">
        <w:rPr>
          <w:rFonts w:cs="Traditional Arabic"/>
          <w:sz w:val="20"/>
          <w:szCs w:val="30"/>
          <w:rtl/>
        </w:rPr>
        <w:t>القيام بإجراءات الصيانة ومراقبة الجودة بصورة منتظمة حسب المواصفات التي تضعها السلطة المعنية أو جهة التصنيع، وذلك من أجل تقليل انحراف البيانات إلى أدنى حد.</w:t>
      </w:r>
    </w:p>
    <w:p w:rsidR="00335E4B" w:rsidRPr="00F45938" w:rsidRDefault="00335E4B" w:rsidP="00335E4B">
      <w:pPr>
        <w:tabs>
          <w:tab w:val="left" w:pos="663"/>
          <w:tab w:val="left" w:pos="1117"/>
          <w:tab w:val="left" w:pos="2230"/>
          <w:tab w:val="center" w:pos="5468"/>
        </w:tabs>
        <w:spacing w:after="120" w:line="380" w:lineRule="exact"/>
        <w:jc w:val="lowKashida"/>
        <w:rPr>
          <w:rFonts w:cs="Traditional Arabic"/>
          <w:sz w:val="20"/>
          <w:szCs w:val="30"/>
          <w:rtl/>
        </w:rPr>
      </w:pPr>
      <w:r w:rsidRPr="00F45938">
        <w:rPr>
          <w:rFonts w:cs="Traditional Arabic"/>
          <w:sz w:val="20"/>
          <w:szCs w:val="30"/>
          <w:rtl/>
        </w:rPr>
        <w:t>الأساليب المرجعية الموجودة:</w:t>
      </w:r>
    </w:p>
    <w:p w:rsidR="00335E4B" w:rsidRPr="00290AD9" w:rsidRDefault="00335E4B" w:rsidP="00335E4B">
      <w:pPr>
        <w:numPr>
          <w:ilvl w:val="0"/>
          <w:numId w:val="13"/>
        </w:numPr>
        <w:spacing w:after="120" w:line="380" w:lineRule="exact"/>
        <w:ind w:left="565" w:hanging="567"/>
        <w:jc w:val="lowKashida"/>
        <w:rPr>
          <w:rFonts w:cs="Traditional Arabic"/>
          <w:sz w:val="20"/>
          <w:szCs w:val="30"/>
          <w:rtl/>
          <w:lang w:bidi="ar-EG"/>
        </w:rPr>
      </w:pPr>
      <w:r w:rsidRPr="00335E4B">
        <w:rPr>
          <w:rFonts w:cs="Traditional Arabic"/>
          <w:i/>
          <w:iCs/>
          <w:sz w:val="20"/>
          <w:szCs w:val="30"/>
          <w:rtl/>
          <w:lang w:bidi="ar-EG"/>
        </w:rPr>
        <w:t xml:space="preserve">وكالة حماية البيئة في الولايات المتحدة - </w:t>
      </w:r>
      <w:r w:rsidRPr="00335E4B">
        <w:rPr>
          <w:rFonts w:cs="Traditional Arabic"/>
          <w:i/>
          <w:sz w:val="20"/>
          <w:szCs w:val="22"/>
        </w:rPr>
        <w:t>PS-12a</w:t>
      </w:r>
      <w:r w:rsidRPr="00335E4B">
        <w:rPr>
          <w:rFonts w:cs="Traditional Arabic"/>
          <w:i/>
          <w:iCs/>
          <w:sz w:val="20"/>
          <w:szCs w:val="30"/>
          <w:rtl/>
          <w:lang w:bidi="ar-EG"/>
        </w:rPr>
        <w:t xml:space="preserve"> (مواصفة الأداء </w:t>
      </w:r>
      <w:r w:rsidRPr="00335E4B">
        <w:rPr>
          <w:rFonts w:cs="Traditional Arabic"/>
          <w:i/>
          <w:sz w:val="20"/>
          <w:szCs w:val="22"/>
        </w:rPr>
        <w:t>(12a</w:t>
      </w:r>
      <w:r w:rsidRPr="00335E4B">
        <w:rPr>
          <w:rFonts w:cs="Traditional Arabic"/>
          <w:i/>
          <w:sz w:val="20"/>
          <w:szCs w:val="22"/>
          <w:rtl/>
          <w:lang w:bidi="ar-EG"/>
        </w:rPr>
        <w:t xml:space="preserve"> </w:t>
      </w:r>
      <w:r w:rsidRPr="00335E4B">
        <w:rPr>
          <w:rFonts w:cs="Traditional Arabic"/>
          <w:i/>
          <w:iCs/>
          <w:sz w:val="20"/>
          <w:szCs w:val="30"/>
          <w:rtl/>
          <w:lang w:bidi="ar-EG"/>
        </w:rPr>
        <w:t>- المواصفات وإجراءات الاختبارات لنُظم الرصد المستمر لمجموع انبعاثات الزئبق في طور البخار في المصادر الثابتة</w:t>
      </w:r>
      <w:r w:rsidRPr="00290AD9">
        <w:rPr>
          <w:rFonts w:cs="Traditional Arabic"/>
          <w:sz w:val="20"/>
          <w:szCs w:val="30"/>
          <w:vertAlign w:val="superscript"/>
          <w:rtl/>
          <w:lang w:bidi="ar-EG"/>
        </w:rPr>
        <w:t>(</w:t>
      </w:r>
      <w:r w:rsidRPr="00290AD9">
        <w:rPr>
          <w:rFonts w:cs="Traditional Arabic"/>
          <w:sz w:val="20"/>
          <w:szCs w:val="30"/>
          <w:vertAlign w:val="superscript"/>
          <w:rtl/>
          <w:lang w:bidi="ar-EG"/>
        </w:rPr>
        <w:footnoteReference w:id="29"/>
      </w:r>
      <w:r w:rsidRPr="00290AD9">
        <w:rPr>
          <w:rFonts w:cs="Traditional Arabic"/>
          <w:sz w:val="20"/>
          <w:szCs w:val="30"/>
          <w:vertAlign w:val="superscript"/>
          <w:rtl/>
          <w:lang w:bidi="ar-EG"/>
        </w:rPr>
        <w:t>)</w:t>
      </w:r>
      <w:r w:rsidRPr="00290AD9">
        <w:rPr>
          <w:rFonts w:cs="Traditional Arabic"/>
          <w:sz w:val="20"/>
          <w:szCs w:val="30"/>
          <w:rtl/>
          <w:lang w:bidi="ar-EG"/>
        </w:rPr>
        <w:t>.</w:t>
      </w:r>
    </w:p>
    <w:p w:rsidR="00335E4B" w:rsidRPr="00335E4B" w:rsidRDefault="00335E4B" w:rsidP="00335E4B">
      <w:pPr>
        <w:tabs>
          <w:tab w:val="left" w:pos="663"/>
          <w:tab w:val="left" w:pos="1117"/>
          <w:tab w:val="left" w:pos="2230"/>
          <w:tab w:val="center" w:pos="5468"/>
        </w:tabs>
        <w:spacing w:after="120" w:line="380" w:lineRule="exact"/>
        <w:jc w:val="lowKashida"/>
        <w:rPr>
          <w:rFonts w:cs="Traditional Arabic"/>
          <w:sz w:val="20"/>
          <w:szCs w:val="30"/>
          <w:rtl/>
          <w:lang w:bidi="ar-EG"/>
        </w:rPr>
      </w:pPr>
      <w:r w:rsidRPr="00335E4B">
        <w:rPr>
          <w:rFonts w:cs="Traditional Arabic"/>
          <w:sz w:val="20"/>
          <w:szCs w:val="30"/>
          <w:rtl/>
          <w:lang w:bidi="ar-EG"/>
        </w:rPr>
        <w:t xml:space="preserve">تستعمل </w:t>
      </w:r>
      <w:r w:rsidRPr="00335E4B">
        <w:rPr>
          <w:rFonts w:cs="Traditional Arabic" w:hint="cs"/>
          <w:sz w:val="20"/>
          <w:szCs w:val="30"/>
          <w:rtl/>
          <w:lang w:bidi="ar-EG"/>
        </w:rPr>
        <w:t xml:space="preserve">مواصفة الأداء </w:t>
      </w:r>
      <w:r w:rsidRPr="00335E4B">
        <w:rPr>
          <w:rFonts w:cs="Traditional Arabic"/>
          <w:sz w:val="20"/>
          <w:szCs w:val="30"/>
          <w:rtl/>
          <w:lang w:bidi="ar-EG"/>
        </w:rPr>
        <w:t xml:space="preserve">هذه لتقييم مقبولية نُظم الرصد المستمر </w:t>
      </w:r>
      <w:r w:rsidRPr="00335E4B">
        <w:rPr>
          <w:rFonts w:cs="Traditional Arabic" w:hint="cs"/>
          <w:sz w:val="20"/>
          <w:szCs w:val="30"/>
          <w:rtl/>
          <w:lang w:bidi="ar-EG"/>
        </w:rPr>
        <w:t>ل</w:t>
      </w:r>
      <w:r w:rsidRPr="00335E4B">
        <w:rPr>
          <w:rFonts w:cs="Traditional Arabic"/>
          <w:sz w:val="20"/>
          <w:szCs w:val="30"/>
          <w:rtl/>
          <w:lang w:bidi="ar-EG"/>
        </w:rPr>
        <w:t>لزئبق</w:t>
      </w:r>
      <w:r w:rsidRPr="00335E4B">
        <w:rPr>
          <w:rFonts w:cs="Traditional Arabic" w:hint="cs"/>
          <w:sz w:val="20"/>
          <w:szCs w:val="30"/>
          <w:rtl/>
          <w:lang w:bidi="ar-EG"/>
        </w:rPr>
        <w:t xml:space="preserve"> الكلي الموجود</w:t>
      </w:r>
      <w:r w:rsidRPr="00335E4B">
        <w:rPr>
          <w:rFonts w:cs="Traditional Arabic"/>
          <w:sz w:val="20"/>
          <w:szCs w:val="30"/>
          <w:rtl/>
          <w:lang w:bidi="ar-EG"/>
        </w:rPr>
        <w:t xml:space="preserve"> في طور البخار</w:t>
      </w:r>
      <w:r w:rsidRPr="00335E4B">
        <w:rPr>
          <w:rFonts w:cs="Traditional Arabic" w:hint="cs"/>
          <w:sz w:val="20"/>
          <w:szCs w:val="30"/>
          <w:rtl/>
          <w:lang w:bidi="ar-EG"/>
        </w:rPr>
        <w:t>، و</w:t>
      </w:r>
      <w:r w:rsidRPr="00335E4B">
        <w:rPr>
          <w:rFonts w:cs="Traditional Arabic"/>
          <w:sz w:val="20"/>
          <w:szCs w:val="30"/>
          <w:rtl/>
          <w:lang w:bidi="ar-EG"/>
        </w:rPr>
        <w:t xml:space="preserve">التي تقام في المصادر الثابتة </w:t>
      </w:r>
      <w:r w:rsidRPr="00335E4B">
        <w:rPr>
          <w:rFonts w:cs="Traditional Arabic" w:hint="cs"/>
          <w:sz w:val="20"/>
          <w:szCs w:val="30"/>
          <w:rtl/>
          <w:lang w:bidi="ar-EG"/>
        </w:rPr>
        <w:t>في وقت</w:t>
      </w:r>
      <w:r w:rsidRPr="00335E4B">
        <w:rPr>
          <w:rFonts w:cs="Traditional Arabic"/>
          <w:sz w:val="20"/>
          <w:szCs w:val="30"/>
          <w:rtl/>
          <w:lang w:bidi="ar-EG"/>
        </w:rPr>
        <w:t xml:space="preserve"> الإنشاء أو بعد</w:t>
      </w:r>
      <w:r w:rsidRPr="00335E4B">
        <w:rPr>
          <w:rFonts w:cs="Traditional Arabic" w:hint="cs"/>
          <w:sz w:val="20"/>
          <w:szCs w:val="30"/>
          <w:rtl/>
          <w:lang w:bidi="ar-EG"/>
        </w:rPr>
        <w:t xml:space="preserve">ه بقليل، </w:t>
      </w:r>
      <w:r w:rsidRPr="00335E4B">
        <w:rPr>
          <w:rFonts w:cs="Traditional Arabic"/>
          <w:sz w:val="20"/>
          <w:szCs w:val="30"/>
          <w:rtl/>
          <w:lang w:bidi="ar-EG"/>
        </w:rPr>
        <w:t xml:space="preserve">وكلما </w:t>
      </w:r>
      <w:r w:rsidRPr="00335E4B">
        <w:rPr>
          <w:rFonts w:cs="Traditional Arabic" w:hint="cs"/>
          <w:sz w:val="20"/>
          <w:szCs w:val="30"/>
          <w:rtl/>
          <w:lang w:bidi="ar-EG"/>
        </w:rPr>
        <w:t>تحدد ذلك</w:t>
      </w:r>
      <w:r w:rsidRPr="00335E4B">
        <w:rPr>
          <w:rFonts w:cs="Traditional Arabic"/>
          <w:sz w:val="20"/>
          <w:szCs w:val="30"/>
          <w:rtl/>
          <w:lang w:bidi="ar-EG"/>
        </w:rPr>
        <w:t xml:space="preserve"> وفق المقتضيات التنظيمية. وتقيس نُظم الرصد المستمر مجموع تركيز الزئبق بالميكروغرام في </w:t>
      </w:r>
      <w:r w:rsidRPr="00335E4B">
        <w:rPr>
          <w:rFonts w:cs="Traditional Arabic" w:hint="cs"/>
          <w:sz w:val="20"/>
          <w:szCs w:val="30"/>
          <w:rtl/>
          <w:lang w:bidi="ar-EG"/>
        </w:rPr>
        <w:t>ال</w:t>
      </w:r>
      <w:r w:rsidRPr="00335E4B">
        <w:rPr>
          <w:rFonts w:cs="Traditional Arabic"/>
          <w:sz w:val="20"/>
          <w:szCs w:val="30"/>
          <w:rtl/>
          <w:lang w:bidi="ar-EG"/>
        </w:rPr>
        <w:t xml:space="preserve">متر </w:t>
      </w:r>
      <w:r w:rsidRPr="00335E4B">
        <w:rPr>
          <w:rFonts w:cs="Traditional Arabic" w:hint="cs"/>
          <w:sz w:val="20"/>
          <w:szCs w:val="30"/>
          <w:rtl/>
          <w:lang w:bidi="ar-EG"/>
        </w:rPr>
        <w:t>ال</w:t>
      </w:r>
      <w:r w:rsidRPr="00335E4B">
        <w:rPr>
          <w:rFonts w:cs="Traditional Arabic"/>
          <w:sz w:val="20"/>
          <w:szCs w:val="30"/>
          <w:rtl/>
          <w:lang w:bidi="ar-EG"/>
        </w:rPr>
        <w:t xml:space="preserve">مكعب </w:t>
      </w:r>
      <w:r w:rsidRPr="00335E4B">
        <w:rPr>
          <w:rFonts w:cs="Traditional Arabic" w:hint="cs"/>
          <w:sz w:val="20"/>
          <w:szCs w:val="30"/>
          <w:rtl/>
          <w:lang w:bidi="ar-EG"/>
        </w:rPr>
        <w:t>ل</w:t>
      </w:r>
      <w:r w:rsidRPr="00335E4B">
        <w:rPr>
          <w:rFonts w:cs="Traditional Arabic"/>
          <w:sz w:val="20"/>
          <w:szCs w:val="30"/>
          <w:rtl/>
          <w:lang w:bidi="ar-EG"/>
        </w:rPr>
        <w:t xml:space="preserve">لزئبق في طور البخار، بغض النظر عن </w:t>
      </w:r>
      <w:r w:rsidRPr="00335E4B">
        <w:rPr>
          <w:rFonts w:cs="Traditional Arabic" w:hint="cs"/>
          <w:sz w:val="20"/>
          <w:szCs w:val="30"/>
          <w:rtl/>
          <w:lang w:bidi="ar-EG"/>
        </w:rPr>
        <w:t>المواصفات</w:t>
      </w:r>
      <w:r w:rsidRPr="00335E4B">
        <w:rPr>
          <w:rFonts w:cs="Traditional Arabic"/>
          <w:sz w:val="20"/>
          <w:szCs w:val="30"/>
          <w:rtl/>
          <w:lang w:bidi="ar-EG"/>
        </w:rPr>
        <w:t>، وتسجل النتائج في الظروف المعتادة على أساس رطب أو جاف. وهذا الأسلوب لا يقيس الزئبق الملتصق بالجسيمات.</w:t>
      </w:r>
    </w:p>
    <w:p w:rsidR="00335E4B" w:rsidRPr="009F44ED" w:rsidRDefault="00335E4B" w:rsidP="009F44ED">
      <w:pPr>
        <w:numPr>
          <w:ilvl w:val="0"/>
          <w:numId w:val="13"/>
        </w:numPr>
        <w:spacing w:after="120" w:line="380" w:lineRule="exact"/>
        <w:ind w:left="565" w:hanging="567"/>
        <w:jc w:val="lowKashida"/>
        <w:rPr>
          <w:rFonts w:cs="Traditional Arabic"/>
          <w:sz w:val="20"/>
          <w:szCs w:val="30"/>
          <w:rtl/>
          <w:lang w:bidi="ar-EG"/>
        </w:rPr>
      </w:pPr>
      <w:r w:rsidRPr="00335E4B">
        <w:rPr>
          <w:rFonts w:cs="Traditional Arabic"/>
          <w:i/>
          <w:sz w:val="20"/>
          <w:szCs w:val="20"/>
        </w:rPr>
        <w:t>EN 14884:2005</w:t>
      </w:r>
      <w:r w:rsidRPr="00335E4B">
        <w:rPr>
          <w:rFonts w:cs="Traditional Arabic"/>
          <w:i/>
          <w:iCs/>
          <w:sz w:val="20"/>
          <w:szCs w:val="30"/>
          <w:rtl/>
          <w:lang w:bidi="ar-EG"/>
        </w:rPr>
        <w:t xml:space="preserve"> - نوعية الهواء - انبعاثات المصادر الثابتة - تحديد الزئبق</w:t>
      </w:r>
      <w:r w:rsidRPr="00335E4B">
        <w:rPr>
          <w:rFonts w:cs="Traditional Arabic" w:hint="cs"/>
          <w:i/>
          <w:iCs/>
          <w:sz w:val="20"/>
          <w:szCs w:val="30"/>
          <w:rtl/>
          <w:lang w:bidi="ar-EG"/>
        </w:rPr>
        <w:t xml:space="preserve"> الكلي</w:t>
      </w:r>
      <w:r w:rsidRPr="00335E4B">
        <w:rPr>
          <w:rFonts w:cs="Traditional Arabic"/>
          <w:i/>
          <w:iCs/>
          <w:sz w:val="20"/>
          <w:szCs w:val="30"/>
          <w:rtl/>
          <w:lang w:bidi="ar-EG"/>
        </w:rPr>
        <w:t>: نُظم القياس الأوتوماتية</w:t>
      </w:r>
      <w:r w:rsidRPr="00335E4B">
        <w:rPr>
          <w:rFonts w:cs="Traditional Arabic"/>
          <w:i/>
          <w:iCs/>
          <w:sz w:val="20"/>
          <w:szCs w:val="30"/>
          <w:vertAlign w:val="superscript"/>
          <w:rtl/>
          <w:lang w:bidi="ar-EG"/>
        </w:rPr>
        <w:t>(</w:t>
      </w:r>
      <w:r w:rsidRPr="00335E4B">
        <w:rPr>
          <w:rFonts w:cs="Traditional Arabic"/>
          <w:i/>
          <w:iCs/>
          <w:sz w:val="20"/>
          <w:szCs w:val="30"/>
          <w:vertAlign w:val="superscript"/>
          <w:rtl/>
          <w:lang w:bidi="ar-EG"/>
        </w:rPr>
        <w:footnoteReference w:id="30"/>
      </w:r>
      <w:r w:rsidRPr="00335E4B">
        <w:rPr>
          <w:rFonts w:cs="Traditional Arabic"/>
          <w:i/>
          <w:iCs/>
          <w:sz w:val="20"/>
          <w:szCs w:val="30"/>
          <w:vertAlign w:val="superscript"/>
          <w:rtl/>
          <w:lang w:bidi="ar-EG"/>
        </w:rPr>
        <w:t>)</w:t>
      </w:r>
    </w:p>
    <w:p w:rsidR="00335E4B" w:rsidRPr="00335E4B" w:rsidRDefault="00335E4B" w:rsidP="00335E4B">
      <w:pPr>
        <w:tabs>
          <w:tab w:val="left" w:pos="663"/>
          <w:tab w:val="left" w:pos="1117"/>
          <w:tab w:val="left" w:pos="2230"/>
          <w:tab w:val="center" w:pos="5468"/>
        </w:tabs>
        <w:spacing w:after="120" w:line="380" w:lineRule="exact"/>
        <w:jc w:val="lowKashida"/>
        <w:rPr>
          <w:rFonts w:cs="Traditional Arabic"/>
          <w:sz w:val="20"/>
          <w:szCs w:val="30"/>
          <w:rtl/>
          <w:lang w:bidi="ar-EG"/>
        </w:rPr>
      </w:pPr>
      <w:r w:rsidRPr="00335E4B">
        <w:rPr>
          <w:rFonts w:cs="Traditional Arabic"/>
          <w:sz w:val="20"/>
          <w:szCs w:val="30"/>
          <w:rtl/>
          <w:lang w:bidi="ar-EG"/>
        </w:rPr>
        <w:t>يصف هذا المعيار الأوروبي إجراءات ضمان النوعية المتصلة بنُظم القياس المستمر للانبعاثات لتحديد الزئبق</w:t>
      </w:r>
      <w:r w:rsidRPr="00335E4B">
        <w:rPr>
          <w:rFonts w:cs="Traditional Arabic" w:hint="cs"/>
          <w:sz w:val="20"/>
          <w:szCs w:val="30"/>
          <w:rtl/>
          <w:lang w:bidi="ar-EG"/>
        </w:rPr>
        <w:t xml:space="preserve"> الكلي</w:t>
      </w:r>
      <w:r w:rsidRPr="00335E4B">
        <w:rPr>
          <w:rFonts w:cs="Traditional Arabic"/>
          <w:sz w:val="20"/>
          <w:szCs w:val="30"/>
          <w:rtl/>
          <w:lang w:bidi="ar-EG"/>
        </w:rPr>
        <w:t xml:space="preserve"> في غاز المداخن من أجل </w:t>
      </w:r>
      <w:r w:rsidRPr="00335E4B">
        <w:rPr>
          <w:rFonts w:cs="Traditional Arabic" w:hint="cs"/>
          <w:sz w:val="20"/>
          <w:szCs w:val="30"/>
          <w:rtl/>
          <w:lang w:bidi="ar-EG"/>
        </w:rPr>
        <w:t>تلبية</w:t>
      </w:r>
      <w:r w:rsidRPr="00335E4B">
        <w:rPr>
          <w:rFonts w:cs="Traditional Arabic"/>
          <w:sz w:val="20"/>
          <w:szCs w:val="30"/>
          <w:rtl/>
          <w:lang w:bidi="ar-EG"/>
        </w:rPr>
        <w:t xml:space="preserve"> بالاشتراطات المتعلقة بعدم اليقين التي تنص عليها اللوائح أو التشريعات الوطنية أو غير ذلك من الاشتراطات بشأن القيم التي يتم قياسها. ويتمشى هذا المعيار مع المعيار العام بشأن ضمان نوعية نُظم القياس المستمر للانبعاثات </w:t>
      </w:r>
      <w:r w:rsidRPr="009F44ED">
        <w:rPr>
          <w:rFonts w:asciiTheme="majorBidi" w:hAnsiTheme="majorBidi" w:cstheme="majorBidi"/>
          <w:sz w:val="20"/>
          <w:szCs w:val="20"/>
          <w:rtl/>
          <w:lang w:bidi="ar-EG"/>
        </w:rPr>
        <w:t>(</w:t>
      </w:r>
      <w:r w:rsidRPr="00335E4B">
        <w:rPr>
          <w:rFonts w:cs="Traditional Arabic"/>
          <w:sz w:val="20"/>
          <w:szCs w:val="22"/>
        </w:rPr>
        <w:t>EN14181:2014</w:t>
      </w:r>
      <w:r w:rsidRPr="00335E4B">
        <w:rPr>
          <w:rFonts w:cs="Traditional Arabic"/>
          <w:sz w:val="20"/>
          <w:szCs w:val="30"/>
          <w:rtl/>
          <w:lang w:bidi="ar-EG"/>
        </w:rPr>
        <w:t xml:space="preserve"> - انبعاثات المصادر الثابتة - ضمان نوعية نُظم القياس الأوتوماتية</w:t>
      </w:r>
      <w:r w:rsidRPr="00335E4B">
        <w:rPr>
          <w:rFonts w:cs="Traditional Arabic"/>
          <w:sz w:val="20"/>
          <w:szCs w:val="30"/>
          <w:vertAlign w:val="superscript"/>
          <w:rtl/>
          <w:lang w:bidi="ar-EG"/>
        </w:rPr>
        <w:t>(</w:t>
      </w:r>
      <w:r w:rsidRPr="00335E4B">
        <w:rPr>
          <w:rFonts w:cs="Traditional Arabic"/>
          <w:sz w:val="20"/>
          <w:szCs w:val="30"/>
          <w:vertAlign w:val="superscript"/>
          <w:rtl/>
          <w:lang w:bidi="ar-EG"/>
        </w:rPr>
        <w:footnoteReference w:id="31"/>
      </w:r>
      <w:r w:rsidRPr="00335E4B">
        <w:rPr>
          <w:rFonts w:cs="Traditional Arabic"/>
          <w:sz w:val="20"/>
          <w:szCs w:val="30"/>
          <w:vertAlign w:val="superscript"/>
          <w:rtl/>
          <w:lang w:bidi="ar-EG"/>
        </w:rPr>
        <w:t>)</w:t>
      </w:r>
      <w:r w:rsidRPr="00335E4B">
        <w:rPr>
          <w:rFonts w:cs="Traditional Arabic"/>
          <w:sz w:val="20"/>
          <w:szCs w:val="30"/>
          <w:rtl/>
          <w:lang w:bidi="ar-EG"/>
        </w:rPr>
        <w:t xml:space="preserve">). </w:t>
      </w:r>
    </w:p>
    <w:p w:rsidR="00335E4B" w:rsidRPr="00335E4B" w:rsidRDefault="00335E4B" w:rsidP="00290AD9">
      <w:pPr>
        <w:tabs>
          <w:tab w:val="left" w:pos="663"/>
          <w:tab w:val="left" w:pos="1117"/>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 xml:space="preserve">والمعيار </w:t>
      </w:r>
      <w:r w:rsidRPr="00335E4B">
        <w:rPr>
          <w:rFonts w:cs="Traditional Arabic"/>
          <w:sz w:val="20"/>
          <w:szCs w:val="22"/>
        </w:rPr>
        <w:t>EN 14181:2014</w:t>
      </w:r>
      <w:r w:rsidRPr="00335E4B">
        <w:rPr>
          <w:rFonts w:cs="Traditional Arabic"/>
          <w:sz w:val="20"/>
          <w:szCs w:val="30"/>
          <w:rtl/>
          <w:lang w:bidi="ar-EG"/>
        </w:rPr>
        <w:t xml:space="preserve"> مُصمَّم لكي يستعمل بعد </w:t>
      </w:r>
      <w:r w:rsidRPr="00335E4B">
        <w:rPr>
          <w:rFonts w:cs="Traditional Arabic" w:hint="cs"/>
          <w:sz w:val="20"/>
          <w:szCs w:val="30"/>
          <w:rtl/>
          <w:lang w:bidi="ar-EG"/>
        </w:rPr>
        <w:t>اجتياز</w:t>
      </w:r>
      <w:r w:rsidRPr="00335E4B">
        <w:rPr>
          <w:rFonts w:cs="Traditional Arabic"/>
          <w:sz w:val="20"/>
          <w:szCs w:val="30"/>
          <w:rtl/>
          <w:lang w:bidi="ar-EG"/>
        </w:rPr>
        <w:t xml:space="preserve"> نُظم القياس المستمر للانبعاثات </w:t>
      </w:r>
      <w:r w:rsidRPr="00335E4B">
        <w:rPr>
          <w:rFonts w:cs="Traditional Arabic" w:hint="cs"/>
          <w:sz w:val="20"/>
          <w:szCs w:val="30"/>
          <w:rtl/>
          <w:lang w:bidi="ar-EG"/>
        </w:rPr>
        <w:t>ل</w:t>
      </w:r>
      <w:r w:rsidRPr="00335E4B">
        <w:rPr>
          <w:rFonts w:cs="Traditional Arabic"/>
          <w:sz w:val="20"/>
          <w:szCs w:val="30"/>
          <w:rtl/>
          <w:lang w:bidi="ar-EG"/>
        </w:rPr>
        <w:t>اختبار الملاءمة (</w:t>
      </w:r>
      <w:r w:rsidRPr="00335E4B" w:rsidDel="00907616">
        <w:rPr>
          <w:rFonts w:cs="Traditional Arabic"/>
          <w:sz w:val="20"/>
          <w:szCs w:val="22"/>
        </w:rPr>
        <w:t>QAL1</w:t>
      </w:r>
      <w:r w:rsidRPr="00335E4B">
        <w:rPr>
          <w:rFonts w:cs="Traditional Arabic"/>
          <w:sz w:val="20"/>
          <w:szCs w:val="30"/>
          <w:rtl/>
          <w:lang w:bidi="ar-EG"/>
        </w:rPr>
        <w:t xml:space="preserve">، على النحو المحدَّد في </w:t>
      </w:r>
      <w:r w:rsidRPr="00335E4B" w:rsidDel="00907616">
        <w:rPr>
          <w:rFonts w:cs="Traditional Arabic"/>
          <w:iCs/>
          <w:sz w:val="20"/>
          <w:szCs w:val="22"/>
        </w:rPr>
        <w:t>EN 15267</w:t>
      </w:r>
      <w:r w:rsidRPr="00335E4B">
        <w:rPr>
          <w:rFonts w:cs="Traditional Arabic"/>
          <w:sz w:val="20"/>
          <w:szCs w:val="30"/>
          <w:vertAlign w:val="superscript"/>
          <w:rtl/>
          <w:lang w:bidi="ar-EG"/>
        </w:rPr>
        <w:t>(</w:t>
      </w:r>
      <w:r w:rsidRPr="00335E4B">
        <w:rPr>
          <w:rFonts w:cs="Traditional Arabic"/>
          <w:sz w:val="20"/>
          <w:szCs w:val="30"/>
          <w:vertAlign w:val="superscript"/>
          <w:rtl/>
          <w:lang w:bidi="ar-EG"/>
        </w:rPr>
        <w:footnoteReference w:id="32"/>
      </w:r>
      <w:r w:rsidRPr="00335E4B">
        <w:rPr>
          <w:rFonts w:cs="Traditional Arabic"/>
          <w:sz w:val="20"/>
          <w:szCs w:val="30"/>
          <w:vertAlign w:val="superscript"/>
          <w:rtl/>
          <w:lang w:bidi="ar-EG"/>
        </w:rPr>
        <w:t>)</w:t>
      </w:r>
      <w:r w:rsidRPr="00335E4B">
        <w:rPr>
          <w:rFonts w:cs="Traditional Arabic"/>
          <w:sz w:val="20"/>
          <w:szCs w:val="30"/>
          <w:rtl/>
          <w:lang w:bidi="ar-EG"/>
        </w:rPr>
        <w:t xml:space="preserve">) لإثبات ملاءمة النظام للغرض المقصود قبل إنشائه في الموقع. ويصف المعيار </w:t>
      </w:r>
      <w:r w:rsidRPr="00335E4B">
        <w:rPr>
          <w:rFonts w:cs="Traditional Arabic"/>
          <w:sz w:val="20"/>
          <w:szCs w:val="22"/>
        </w:rPr>
        <w:t>EN14181:2014</w:t>
      </w:r>
      <w:r w:rsidRPr="00335E4B">
        <w:rPr>
          <w:rFonts w:cs="Traditional Arabic"/>
          <w:sz w:val="20"/>
          <w:szCs w:val="30"/>
          <w:rtl/>
          <w:lang w:bidi="ar-EG"/>
        </w:rPr>
        <w:t xml:space="preserve"> إجراءات ضمان النوعية المطلوبة لكفالة قدرة نظام القياس المستمر للانبعاثات على الوفاء بمقتضيات عدم اليقين بشأن القيم التي يتم قياسها، على النحو المحدَّد في تشريعات الاتحاد الأوروبي أو التشريع الوطني.</w:t>
      </w:r>
    </w:p>
    <w:p w:rsidR="00335E4B" w:rsidRPr="00290AD9" w:rsidRDefault="00335E4B" w:rsidP="00290AD9">
      <w:pPr>
        <w:numPr>
          <w:ilvl w:val="0"/>
          <w:numId w:val="13"/>
        </w:numPr>
        <w:spacing w:after="120" w:line="400" w:lineRule="exact"/>
        <w:ind w:left="565" w:hanging="567"/>
        <w:jc w:val="lowKashida"/>
        <w:rPr>
          <w:rFonts w:cs="Traditional Arabic"/>
          <w:sz w:val="20"/>
          <w:szCs w:val="30"/>
          <w:rtl/>
          <w:lang w:bidi="ar-EG"/>
        </w:rPr>
      </w:pPr>
      <w:r w:rsidRPr="00335E4B">
        <w:rPr>
          <w:rFonts w:cs="Traditional Arabic"/>
          <w:i/>
          <w:iCs/>
          <w:sz w:val="20"/>
          <w:szCs w:val="30"/>
          <w:rtl/>
          <w:lang w:bidi="ar-EG"/>
        </w:rPr>
        <w:t xml:space="preserve">الأسلوب </w:t>
      </w:r>
      <w:r w:rsidRPr="00335E4B">
        <w:rPr>
          <w:rFonts w:cs="Traditional Arabic"/>
          <w:i/>
          <w:sz w:val="20"/>
          <w:szCs w:val="20"/>
        </w:rPr>
        <w:t>EN 13211:2001/AC: 2005</w:t>
      </w:r>
      <w:r w:rsidRPr="00335E4B">
        <w:rPr>
          <w:rFonts w:cs="Traditional Arabic"/>
          <w:i/>
          <w:iCs/>
          <w:sz w:val="20"/>
          <w:szCs w:val="30"/>
          <w:rtl/>
          <w:lang w:bidi="ar-EG"/>
        </w:rPr>
        <w:t xml:space="preserve"> - نوعية الهواء - انبعاثات المصادر الثابتة - الأسلوب اليدوي لتحديد تركيز الزئبق</w:t>
      </w:r>
      <w:r w:rsidRPr="00335E4B">
        <w:rPr>
          <w:rFonts w:cs="Traditional Arabic" w:hint="cs"/>
          <w:i/>
          <w:iCs/>
          <w:sz w:val="20"/>
          <w:szCs w:val="30"/>
          <w:rtl/>
          <w:lang w:bidi="ar-EG"/>
        </w:rPr>
        <w:t xml:space="preserve"> الكلي</w:t>
      </w:r>
      <w:r w:rsidRPr="00290AD9">
        <w:rPr>
          <w:rFonts w:cs="Traditional Arabic"/>
          <w:sz w:val="20"/>
          <w:szCs w:val="30"/>
          <w:vertAlign w:val="superscript"/>
          <w:rtl/>
          <w:lang w:bidi="ar-EG"/>
        </w:rPr>
        <w:t>(</w:t>
      </w:r>
      <w:r w:rsidRPr="00290AD9">
        <w:rPr>
          <w:rFonts w:cs="Traditional Arabic"/>
          <w:sz w:val="20"/>
          <w:szCs w:val="30"/>
          <w:vertAlign w:val="superscript"/>
          <w:rtl/>
          <w:lang w:bidi="ar-EG"/>
        </w:rPr>
        <w:footnoteReference w:id="33"/>
      </w:r>
      <w:r w:rsidRPr="00290AD9">
        <w:rPr>
          <w:rFonts w:cs="Traditional Arabic"/>
          <w:sz w:val="20"/>
          <w:szCs w:val="30"/>
          <w:vertAlign w:val="superscript"/>
          <w:rtl/>
          <w:lang w:bidi="ar-EG"/>
        </w:rPr>
        <w:t>)</w:t>
      </w:r>
    </w:p>
    <w:p w:rsidR="00335E4B" w:rsidRPr="00335E4B" w:rsidRDefault="00335E4B" w:rsidP="00335E4B">
      <w:pPr>
        <w:tabs>
          <w:tab w:val="left" w:pos="663"/>
          <w:tab w:val="left" w:pos="1117"/>
          <w:tab w:val="left" w:pos="2230"/>
          <w:tab w:val="center" w:pos="5468"/>
        </w:tabs>
        <w:spacing w:after="120" w:line="400" w:lineRule="exact"/>
        <w:jc w:val="lowKashida"/>
        <w:rPr>
          <w:rFonts w:cs="Traditional Arabic"/>
          <w:sz w:val="20"/>
          <w:szCs w:val="30"/>
          <w:rtl/>
          <w:lang w:bidi="ar-EG"/>
        </w:rPr>
      </w:pPr>
      <w:r w:rsidRPr="00335E4B">
        <w:rPr>
          <w:rFonts w:cs="Traditional Arabic"/>
          <w:sz w:val="20"/>
          <w:szCs w:val="30"/>
          <w:rtl/>
          <w:lang w:bidi="ar-EG"/>
        </w:rPr>
        <w:t xml:space="preserve">يحدِّد هذا المعيار الأوروبي أسلوباً مرجعياً يدوياً لتحديد تركيز كتلة الزئبق في غازات العادم من الأنابيب والمداخن. وهذا هو الأسلوب المرجعي للقياسات المقارنة لمعايرة نُظم القياس المستمر لانبعاثات الزئبق. وقد سبق إدراج هذا الأسلوب في الفرع 1-1-2-1-1 بشأن </w:t>
      </w:r>
      <w:r w:rsidRPr="00335E4B">
        <w:rPr>
          <w:rFonts w:cs="Traditional Arabic" w:hint="cs"/>
          <w:sz w:val="20"/>
          <w:szCs w:val="30"/>
          <w:rtl/>
          <w:lang w:bidi="ar-EG"/>
        </w:rPr>
        <w:t>أخذ العينات ب</w:t>
      </w:r>
      <w:r w:rsidRPr="00335E4B">
        <w:rPr>
          <w:rFonts w:cs="Traditional Arabic"/>
          <w:sz w:val="20"/>
          <w:szCs w:val="30"/>
          <w:rtl/>
          <w:lang w:bidi="ar-EG"/>
        </w:rPr>
        <w:t xml:space="preserve">جهاز الارتطام. </w:t>
      </w:r>
    </w:p>
    <w:p w:rsidR="00335E4B" w:rsidRPr="00290AD9" w:rsidRDefault="00335E4B" w:rsidP="00290AD9">
      <w:pPr>
        <w:numPr>
          <w:ilvl w:val="0"/>
          <w:numId w:val="13"/>
        </w:numPr>
        <w:spacing w:after="120" w:line="400" w:lineRule="exact"/>
        <w:ind w:left="565" w:hanging="567"/>
        <w:jc w:val="lowKashida"/>
        <w:rPr>
          <w:rFonts w:cs="Traditional Arabic"/>
          <w:sz w:val="20"/>
          <w:szCs w:val="30"/>
          <w:rtl/>
          <w:lang w:bidi="ar-EG"/>
        </w:rPr>
      </w:pPr>
      <w:r w:rsidRPr="00335E4B">
        <w:rPr>
          <w:rFonts w:eastAsia="MS Mincho" w:cs="Traditional Arabic"/>
          <w:i/>
          <w:sz w:val="20"/>
          <w:szCs w:val="22"/>
          <w:lang w:eastAsia="ja-JP"/>
        </w:rPr>
        <w:t>JIS K0222</w:t>
      </w:r>
      <w:r w:rsidRPr="00335E4B">
        <w:rPr>
          <w:rFonts w:cs="Traditional Arabic"/>
          <w:i/>
          <w:sz w:val="20"/>
          <w:szCs w:val="22"/>
          <w:rtl/>
          <w:lang w:eastAsia="ja-JP" w:bidi="ar-EG"/>
        </w:rPr>
        <w:t xml:space="preserve"> </w:t>
      </w:r>
      <w:r w:rsidRPr="00335E4B">
        <w:rPr>
          <w:rFonts w:cs="Traditional Arabic"/>
          <w:i/>
          <w:iCs/>
          <w:sz w:val="20"/>
          <w:szCs w:val="30"/>
          <w:rtl/>
          <w:lang w:bidi="ar-EG"/>
        </w:rPr>
        <w:t>(المادة 4(3) - أساليب تحديد الزئبق في غاز المداخن (أسلوب الرصد المستمر)</w:t>
      </w:r>
      <w:r w:rsidRPr="00290AD9">
        <w:rPr>
          <w:rFonts w:cs="Traditional Arabic"/>
          <w:sz w:val="20"/>
          <w:szCs w:val="30"/>
          <w:vertAlign w:val="superscript"/>
          <w:rtl/>
          <w:lang w:bidi="ar-EG"/>
        </w:rPr>
        <w:t>(</w:t>
      </w:r>
      <w:r w:rsidRPr="00290AD9">
        <w:rPr>
          <w:rFonts w:cs="Traditional Arabic"/>
          <w:sz w:val="20"/>
          <w:szCs w:val="30"/>
          <w:vertAlign w:val="superscript"/>
          <w:rtl/>
          <w:lang w:bidi="ar-EG"/>
        </w:rPr>
        <w:footnoteReference w:id="34"/>
      </w:r>
      <w:r w:rsidRPr="00290AD9">
        <w:rPr>
          <w:rFonts w:cs="Traditional Arabic"/>
          <w:sz w:val="20"/>
          <w:szCs w:val="30"/>
          <w:vertAlign w:val="superscript"/>
          <w:rtl/>
          <w:lang w:bidi="ar-EG"/>
        </w:rPr>
        <w:t>)</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يقيس هذا الأسلوب المرجعي من اليابان مجموع الزئبق في طور البخار من مصادر ثابتة على أساس مستمر باستعمال مطيافية الامتصاص الذري بالبخار البار</w:t>
      </w:r>
      <w:r w:rsidRPr="00335E4B">
        <w:rPr>
          <w:rFonts w:cs="Traditional Arabic" w:hint="cs"/>
          <w:sz w:val="20"/>
          <w:szCs w:val="30"/>
          <w:rtl/>
          <w:lang w:bidi="ar-EG"/>
        </w:rPr>
        <w:t>د</w:t>
      </w:r>
      <w:r w:rsidRPr="00335E4B">
        <w:rPr>
          <w:rFonts w:cs="Traditional Arabic"/>
          <w:sz w:val="20"/>
          <w:szCs w:val="30"/>
          <w:rtl/>
          <w:lang w:bidi="ar-EG"/>
        </w:rPr>
        <w:t>. وفي هذا الأسلوب، يتم اختزال الزئبق المؤكسد في طور البخار (</w:t>
      </w:r>
      <w:r w:rsidRPr="00335E4B">
        <w:rPr>
          <w:rFonts w:cs="Traditional Arabic"/>
          <w:sz w:val="20"/>
          <w:szCs w:val="22"/>
        </w:rPr>
        <w:t>Hg</w:t>
      </w:r>
      <w:r w:rsidRPr="00335E4B">
        <w:rPr>
          <w:rFonts w:cs="Traditional Arabic"/>
          <w:sz w:val="20"/>
          <w:szCs w:val="22"/>
          <w:vertAlign w:val="superscript"/>
        </w:rPr>
        <w:t>2+</w:t>
      </w:r>
      <w:r w:rsidRPr="00335E4B">
        <w:rPr>
          <w:rFonts w:cs="Traditional Arabic"/>
          <w:sz w:val="20"/>
          <w:szCs w:val="30"/>
          <w:rtl/>
          <w:lang w:bidi="ar-EG"/>
        </w:rPr>
        <w:t>) في غاز العينة إلى زئبق أوَّلي (</w:t>
      </w:r>
      <w:r w:rsidRPr="00335E4B">
        <w:rPr>
          <w:rFonts w:cs="Traditional Arabic"/>
          <w:sz w:val="20"/>
          <w:szCs w:val="22"/>
        </w:rPr>
        <w:t>Hg</w:t>
      </w:r>
      <w:r w:rsidRPr="00335E4B">
        <w:rPr>
          <w:rFonts w:cs="Traditional Arabic"/>
          <w:sz w:val="20"/>
          <w:szCs w:val="22"/>
          <w:vertAlign w:val="superscript"/>
        </w:rPr>
        <w:t>0</w:t>
      </w:r>
      <w:r w:rsidRPr="00335E4B">
        <w:rPr>
          <w:rFonts w:cs="Traditional Arabic"/>
          <w:sz w:val="20"/>
          <w:szCs w:val="30"/>
          <w:rtl/>
          <w:lang w:bidi="ar-EG"/>
        </w:rPr>
        <w:t xml:space="preserve">) من خلال </w:t>
      </w:r>
      <w:r w:rsidRPr="00335E4B">
        <w:rPr>
          <w:rFonts w:cs="Traditional Arabic" w:hint="cs"/>
          <w:sz w:val="20"/>
          <w:szCs w:val="30"/>
          <w:rtl/>
          <w:lang w:bidi="ar-EG"/>
        </w:rPr>
        <w:t>تمرير</w:t>
      </w:r>
      <w:r w:rsidRPr="00335E4B">
        <w:rPr>
          <w:rFonts w:cs="Traditional Arabic"/>
          <w:sz w:val="20"/>
          <w:szCs w:val="30"/>
          <w:rtl/>
          <w:lang w:bidi="ar-EG"/>
        </w:rPr>
        <w:t xml:space="preserve"> غاز العينة </w:t>
      </w:r>
      <w:r w:rsidRPr="00335E4B">
        <w:rPr>
          <w:rFonts w:cs="Traditional Arabic" w:hint="cs"/>
          <w:sz w:val="20"/>
          <w:szCs w:val="30"/>
          <w:rtl/>
          <w:lang w:bidi="ar-EG"/>
        </w:rPr>
        <w:t>عبر</w:t>
      </w:r>
      <w:r w:rsidRPr="00335E4B">
        <w:rPr>
          <w:rFonts w:cs="Traditional Arabic"/>
          <w:sz w:val="20"/>
          <w:szCs w:val="30"/>
          <w:rtl/>
          <w:lang w:bidi="ar-EG"/>
        </w:rPr>
        <w:t xml:space="preserve"> كلوريد الصفيح.</w:t>
      </w:r>
    </w:p>
    <w:p w:rsidR="00335E4B" w:rsidRPr="00335E4B" w:rsidRDefault="00335E4B" w:rsidP="00335E4B">
      <w:pPr>
        <w:keepNext/>
        <w:spacing w:before="120" w:after="120" w:line="400" w:lineRule="exact"/>
        <w:ind w:left="992" w:hanging="992"/>
        <w:jc w:val="both"/>
        <w:outlineLvl w:val="0"/>
        <w:rPr>
          <w:rFonts w:cs="Traditional Arabic"/>
          <w:b/>
          <w:bCs/>
          <w:sz w:val="30"/>
          <w:szCs w:val="30"/>
          <w:rtl/>
        </w:rPr>
      </w:pPr>
      <w:bookmarkStart w:id="307" w:name="_Toc440451893"/>
      <w:bookmarkStart w:id="308" w:name="_Toc440452462"/>
      <w:bookmarkStart w:id="309" w:name="_Toc441577701"/>
      <w:bookmarkStart w:id="310" w:name="_Toc441577880"/>
      <w:bookmarkStart w:id="311" w:name="_Toc441579106"/>
      <w:bookmarkStart w:id="312" w:name="_Toc441580714"/>
      <w:bookmarkStart w:id="313" w:name="_Toc441585845"/>
      <w:bookmarkStart w:id="314" w:name="_Toc441586181"/>
      <w:bookmarkStart w:id="315" w:name="_Toc441586631"/>
      <w:bookmarkStart w:id="316" w:name="_Toc441586810"/>
      <w:bookmarkStart w:id="317" w:name="_Toc441666659"/>
      <w:bookmarkStart w:id="318" w:name="_Toc441673720"/>
      <w:r w:rsidRPr="00335E4B">
        <w:rPr>
          <w:rFonts w:cs="Traditional Arabic" w:hint="cs"/>
          <w:b/>
          <w:bCs/>
          <w:sz w:val="30"/>
          <w:szCs w:val="30"/>
          <w:rtl/>
        </w:rPr>
        <w:t>2</w:t>
      </w:r>
      <w:r w:rsidRPr="00335E4B">
        <w:rPr>
          <w:rFonts w:cs="Traditional Arabic"/>
          <w:b/>
          <w:bCs/>
          <w:sz w:val="30"/>
          <w:szCs w:val="30"/>
          <w:rtl/>
        </w:rPr>
        <w:t>-5</w:t>
      </w:r>
      <w:r w:rsidRPr="00335E4B">
        <w:rPr>
          <w:rFonts w:cs="Traditional Arabic"/>
          <w:b/>
          <w:bCs/>
          <w:sz w:val="30"/>
          <w:szCs w:val="30"/>
          <w:rtl/>
        </w:rPr>
        <w:tab/>
        <w:t>أساليب القياس غير المباشر</w:t>
      </w:r>
      <w:bookmarkEnd w:id="307"/>
      <w:bookmarkEnd w:id="308"/>
      <w:bookmarkEnd w:id="309"/>
      <w:bookmarkEnd w:id="310"/>
      <w:bookmarkEnd w:id="311"/>
      <w:bookmarkEnd w:id="312"/>
      <w:bookmarkEnd w:id="313"/>
      <w:bookmarkEnd w:id="314"/>
      <w:bookmarkEnd w:id="315"/>
      <w:bookmarkEnd w:id="316"/>
      <w:bookmarkEnd w:id="317"/>
      <w:bookmarkEnd w:id="318"/>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أساليب القياس غير المباشر الموصوفة أدناه تساعد في تقدير انبعاثات الزئبق من عملية أو من مرفق. وعموماً، لا تعتبر معظم أساليب القياس غير المباشر عادة تقنيات موثوقة ودقيقة مثل تقنيات القياس المباشر لرصد انبعاثات الزئبق. وبعكس أساليب القياس المباشر لا تتيح أساليب القياس غير المباشر معلومات عن تركيزات الزئبق في غازات المداخل أو معدلات الانبعاث</w:t>
      </w:r>
      <w:r w:rsidRPr="00335E4B">
        <w:rPr>
          <w:rFonts w:cs="Traditional Arabic" w:hint="cs"/>
          <w:sz w:val="20"/>
          <w:szCs w:val="30"/>
          <w:rtl/>
          <w:lang w:bidi="ar-EG"/>
        </w:rPr>
        <w:t xml:space="preserve"> الكلية</w:t>
      </w:r>
      <w:r w:rsidRPr="00335E4B">
        <w:rPr>
          <w:rFonts w:cs="Traditional Arabic"/>
          <w:sz w:val="20"/>
          <w:szCs w:val="30"/>
          <w:rtl/>
          <w:lang w:bidi="ar-EG"/>
        </w:rPr>
        <w:t xml:space="preserve">. وعند </w:t>
      </w:r>
      <w:r w:rsidRPr="00335E4B">
        <w:rPr>
          <w:rFonts w:cs="Traditional Arabic" w:hint="cs"/>
          <w:sz w:val="20"/>
          <w:szCs w:val="30"/>
          <w:rtl/>
          <w:lang w:bidi="ar-EG"/>
        </w:rPr>
        <w:t xml:space="preserve">تنفيذ </w:t>
      </w:r>
      <w:r w:rsidRPr="00335E4B">
        <w:rPr>
          <w:rFonts w:cs="Traditional Arabic"/>
          <w:sz w:val="20"/>
          <w:szCs w:val="30"/>
          <w:rtl/>
          <w:lang w:bidi="ar-EG"/>
        </w:rPr>
        <w:t xml:space="preserve">أساليب القياس المباشر التي سبق ذكرها وفقاً لإجراءات الاختبار الصحيحة فإن هذه الأساليب توفِّر بيانات أكثر تمثيلية لانبعاثات الزئبق عن معظم أساليب القياس غير المباشر. ومع ذلك، فإن الأساليب الهندسية التي لا تستعمل في القياس تفيد كأدوات للتحري والفحص من أجل رصد أداء العملية عموماً وتقدير كفاءة </w:t>
      </w:r>
      <w:r w:rsidRPr="00335E4B">
        <w:rPr>
          <w:rFonts w:cs="Traditional Arabic" w:hint="cs"/>
          <w:sz w:val="20"/>
          <w:szCs w:val="30"/>
          <w:rtl/>
          <w:lang w:bidi="ar-EG"/>
        </w:rPr>
        <w:t>تخفيض</w:t>
      </w:r>
      <w:r w:rsidRPr="00335E4B">
        <w:rPr>
          <w:rFonts w:cs="Traditional Arabic"/>
          <w:sz w:val="20"/>
          <w:szCs w:val="30"/>
          <w:rtl/>
          <w:lang w:bidi="ar-EG"/>
        </w:rPr>
        <w:t xml:space="preserve"> الزئبق. ولأغراض التبليغ، يمكن استخدام أساليب القياس غير المباشر المذكورة لتوفير تقدير عام للانبعاثات على مستوى المرفق إذا كانت أساليب القياس المباشر غير متوافرة أو غير منطبقة.</w:t>
      </w:r>
    </w:p>
    <w:p w:rsidR="00335E4B" w:rsidRPr="00335E4B" w:rsidRDefault="00335E4B" w:rsidP="00335E4B">
      <w:pPr>
        <w:keepNext/>
        <w:spacing w:before="120" w:after="120" w:line="400" w:lineRule="exact"/>
        <w:ind w:left="992" w:hanging="992"/>
        <w:jc w:val="both"/>
        <w:outlineLvl w:val="0"/>
        <w:rPr>
          <w:rFonts w:cs="Traditional Arabic"/>
          <w:b/>
          <w:bCs/>
          <w:sz w:val="30"/>
          <w:szCs w:val="30"/>
          <w:rtl/>
        </w:rPr>
      </w:pPr>
      <w:bookmarkStart w:id="319" w:name="_Toc440451894"/>
      <w:bookmarkStart w:id="320" w:name="_Toc440452463"/>
      <w:bookmarkStart w:id="321" w:name="_Toc441577702"/>
      <w:bookmarkStart w:id="322" w:name="_Toc441577881"/>
      <w:bookmarkStart w:id="323" w:name="_Toc441579107"/>
      <w:bookmarkStart w:id="324" w:name="_Toc441580715"/>
      <w:bookmarkStart w:id="325" w:name="_Toc441585846"/>
      <w:bookmarkStart w:id="326" w:name="_Toc441586182"/>
      <w:bookmarkStart w:id="327" w:name="_Toc441586632"/>
      <w:bookmarkStart w:id="328" w:name="_Toc441586811"/>
      <w:bookmarkStart w:id="329" w:name="_Toc441666660"/>
      <w:bookmarkStart w:id="330" w:name="_Toc441673721"/>
      <w:r w:rsidRPr="00335E4B">
        <w:rPr>
          <w:rFonts w:cs="Traditional Arabic" w:hint="cs"/>
          <w:b/>
          <w:bCs/>
          <w:sz w:val="30"/>
          <w:szCs w:val="30"/>
          <w:rtl/>
        </w:rPr>
        <w:t>2</w:t>
      </w:r>
      <w:r w:rsidRPr="00335E4B">
        <w:rPr>
          <w:rFonts w:cs="Traditional Arabic"/>
          <w:b/>
          <w:bCs/>
          <w:sz w:val="30"/>
          <w:szCs w:val="30"/>
          <w:rtl/>
        </w:rPr>
        <w:t>-5-1</w:t>
      </w:r>
      <w:r w:rsidRPr="00335E4B">
        <w:rPr>
          <w:rFonts w:cs="Traditional Arabic"/>
          <w:b/>
          <w:bCs/>
          <w:sz w:val="30"/>
          <w:szCs w:val="30"/>
          <w:rtl/>
        </w:rPr>
        <w:tab/>
        <w:t>توازن الكتلة</w:t>
      </w:r>
      <w:bookmarkEnd w:id="319"/>
      <w:bookmarkEnd w:id="320"/>
      <w:bookmarkEnd w:id="321"/>
      <w:bookmarkEnd w:id="322"/>
      <w:bookmarkEnd w:id="323"/>
      <w:bookmarkEnd w:id="324"/>
      <w:bookmarkEnd w:id="325"/>
      <w:bookmarkEnd w:id="326"/>
      <w:bookmarkEnd w:id="327"/>
      <w:bookmarkEnd w:id="328"/>
      <w:bookmarkEnd w:id="329"/>
      <w:bookmarkEnd w:id="330"/>
    </w:p>
    <w:p w:rsidR="00335E4B" w:rsidRPr="00335E4B" w:rsidRDefault="00335E4B" w:rsidP="001F4286">
      <w:pPr>
        <w:tabs>
          <w:tab w:val="left" w:pos="663"/>
          <w:tab w:val="left" w:pos="1117"/>
          <w:tab w:val="left" w:pos="2230"/>
          <w:tab w:val="center" w:pos="5468"/>
        </w:tabs>
        <w:spacing w:after="120" w:line="380" w:lineRule="exact"/>
        <w:jc w:val="lowKashida"/>
        <w:rPr>
          <w:rFonts w:cs="Traditional Arabic"/>
          <w:sz w:val="20"/>
          <w:szCs w:val="30"/>
          <w:rtl/>
          <w:lang w:bidi="ar-EG"/>
        </w:rPr>
      </w:pPr>
      <w:r w:rsidRPr="00335E4B">
        <w:rPr>
          <w:rFonts w:cs="Traditional Arabic"/>
          <w:sz w:val="20"/>
          <w:szCs w:val="30"/>
          <w:rtl/>
          <w:lang w:bidi="ar-EG"/>
        </w:rPr>
        <w:t>يجر</w:t>
      </w:r>
      <w:r w:rsidRPr="00335E4B">
        <w:rPr>
          <w:rFonts w:cs="Traditional Arabic" w:hint="cs"/>
          <w:sz w:val="20"/>
          <w:szCs w:val="30"/>
          <w:rtl/>
          <w:lang w:bidi="ar-EG"/>
        </w:rPr>
        <w:t>ى</w:t>
      </w:r>
      <w:r w:rsidRPr="00335E4B">
        <w:rPr>
          <w:rFonts w:cs="Traditional Arabic"/>
          <w:sz w:val="20"/>
          <w:szCs w:val="30"/>
          <w:rtl/>
          <w:lang w:bidi="ar-EG"/>
        </w:rPr>
        <w:t xml:space="preserve"> توازن الكتلة من خلال تطبيق قانون حفظ الكتلة على أي نظام (مثل أي مرفق أو عملية أو مُعدَّة). وفي مثل هذا النظام </w:t>
      </w:r>
      <w:r w:rsidRPr="00335E4B">
        <w:rPr>
          <w:rFonts w:cs="Traditional Arabic" w:hint="cs"/>
          <w:sz w:val="20"/>
          <w:szCs w:val="30"/>
          <w:rtl/>
          <w:lang w:bidi="ar-EG"/>
        </w:rPr>
        <w:t>ف</w:t>
      </w:r>
      <w:r w:rsidRPr="00335E4B">
        <w:rPr>
          <w:rFonts w:cs="Traditional Arabic"/>
          <w:sz w:val="20"/>
          <w:szCs w:val="30"/>
          <w:rtl/>
          <w:lang w:bidi="ar-EG"/>
        </w:rPr>
        <w:t xml:space="preserve">أي زئبق يدخل في </w:t>
      </w:r>
      <w:r w:rsidRPr="00335E4B">
        <w:rPr>
          <w:rFonts w:cs="Traditional Arabic" w:hint="cs"/>
          <w:sz w:val="20"/>
          <w:szCs w:val="30"/>
          <w:rtl/>
          <w:lang w:bidi="ar-EG"/>
        </w:rPr>
        <w:t>مواد</w:t>
      </w:r>
      <w:r w:rsidRPr="00335E4B">
        <w:rPr>
          <w:rFonts w:cs="Traditional Arabic"/>
          <w:sz w:val="20"/>
          <w:szCs w:val="30"/>
          <w:rtl/>
          <w:lang w:bidi="ar-EG"/>
        </w:rPr>
        <w:t xml:space="preserve"> التغذية </w:t>
      </w:r>
      <w:r w:rsidRPr="00335E4B">
        <w:rPr>
          <w:rFonts w:cs="Traditional Arabic" w:hint="cs"/>
          <w:sz w:val="20"/>
          <w:szCs w:val="30"/>
          <w:rtl/>
          <w:lang w:bidi="ar-EG"/>
        </w:rPr>
        <w:t xml:space="preserve">الأولية </w:t>
      </w:r>
      <w:r w:rsidRPr="00335E4B">
        <w:rPr>
          <w:rFonts w:cs="Traditional Arabic"/>
          <w:sz w:val="20"/>
          <w:szCs w:val="30"/>
          <w:rtl/>
          <w:lang w:bidi="ar-EG"/>
        </w:rPr>
        <w:t xml:space="preserve">أو الإضافات أو الوقود يجب أن يخرج عن طريق </w:t>
      </w:r>
      <w:r w:rsidRPr="00335E4B">
        <w:rPr>
          <w:rFonts w:cs="Traditional Arabic" w:hint="cs"/>
          <w:sz w:val="20"/>
          <w:szCs w:val="30"/>
          <w:rtl/>
          <w:lang w:bidi="ar-EG"/>
        </w:rPr>
        <w:t>المنتجات</w:t>
      </w:r>
      <w:r w:rsidRPr="00335E4B">
        <w:rPr>
          <w:rFonts w:cs="Traditional Arabic"/>
          <w:sz w:val="20"/>
          <w:szCs w:val="30"/>
          <w:rtl/>
          <w:lang w:bidi="ar-EG"/>
        </w:rPr>
        <w:t xml:space="preserve"> أو النواتج الثانوية أو النفايات أو الانبعاثات والإطلاقات. ولذلك يتم تحديد انبعاثات وإطلاقات الزئبق بحساب الفارق بين المدخل والمخرج والتراكم والاستنزاف. والمعادلة العامة لأي توازن كتلة هي على النحو التالي:</w:t>
      </w:r>
      <w:r w:rsidRPr="00335E4B">
        <w:rPr>
          <w:rFonts w:cs="Traditional Arabic"/>
          <w:sz w:val="20"/>
          <w:szCs w:val="30"/>
          <w:vertAlign w:val="superscript"/>
          <w:rtl/>
          <w:lang w:bidi="ar-EG"/>
        </w:rPr>
        <w:t>(</w:t>
      </w:r>
      <w:r w:rsidRPr="00335E4B">
        <w:rPr>
          <w:rFonts w:cs="Traditional Arabic"/>
          <w:sz w:val="20"/>
          <w:szCs w:val="30"/>
          <w:vertAlign w:val="superscript"/>
          <w:rtl/>
          <w:lang w:bidi="ar-EG"/>
        </w:rPr>
        <w:footnoteReference w:id="35"/>
      </w:r>
      <w:r w:rsidRPr="00335E4B">
        <w:rPr>
          <w:rFonts w:cs="Traditional Arabic"/>
          <w:sz w:val="20"/>
          <w:szCs w:val="30"/>
          <w:vertAlign w:val="superscript"/>
          <w:rtl/>
          <w:lang w:bidi="ar-EG"/>
        </w:rPr>
        <w:t>)</w:t>
      </w:r>
      <w:r w:rsidRPr="00335E4B">
        <w:rPr>
          <w:rFonts w:cs="Traditional Arabic"/>
          <w:sz w:val="20"/>
          <w:szCs w:val="30"/>
          <w:rtl/>
          <w:lang w:bidi="ar-EG"/>
        </w:rPr>
        <w:t>.</w:t>
      </w:r>
    </w:p>
    <w:p w:rsidR="00335E4B" w:rsidRPr="00335E4B" w:rsidRDefault="00335E4B" w:rsidP="001F4286">
      <w:pPr>
        <w:tabs>
          <w:tab w:val="left" w:pos="663"/>
          <w:tab w:val="left" w:pos="1117"/>
          <w:tab w:val="left" w:pos="2230"/>
          <w:tab w:val="center" w:pos="5468"/>
        </w:tabs>
        <w:spacing w:line="380" w:lineRule="exact"/>
        <w:ind w:left="663"/>
        <w:jc w:val="lowKashida"/>
        <w:rPr>
          <w:rFonts w:cs="Traditional Arabic"/>
          <w:sz w:val="20"/>
          <w:szCs w:val="30"/>
          <w:rtl/>
          <w:lang w:bidi="ar-EG"/>
        </w:rPr>
      </w:pPr>
      <w:r w:rsidRPr="00335E4B">
        <w:rPr>
          <w:rFonts w:cs="Traditional Arabic"/>
          <w:sz w:val="20"/>
          <w:szCs w:val="20"/>
        </w:rPr>
        <w:t>M</w:t>
      </w:r>
      <w:r w:rsidRPr="00335E4B">
        <w:rPr>
          <w:rFonts w:cs="Traditional Arabic"/>
          <w:sz w:val="20"/>
          <w:szCs w:val="20"/>
          <w:vertAlign w:val="subscript"/>
        </w:rPr>
        <w:t>in</w:t>
      </w:r>
      <w:r w:rsidRPr="00335E4B">
        <w:rPr>
          <w:rFonts w:cs="Traditional Arabic"/>
          <w:sz w:val="20"/>
          <w:szCs w:val="20"/>
        </w:rPr>
        <w:t xml:space="preserve"> = M</w:t>
      </w:r>
      <w:r w:rsidRPr="00335E4B">
        <w:rPr>
          <w:rFonts w:cs="Traditional Arabic"/>
          <w:sz w:val="20"/>
          <w:szCs w:val="20"/>
          <w:vertAlign w:val="subscript"/>
        </w:rPr>
        <w:t>out</w:t>
      </w:r>
      <w:r w:rsidRPr="00335E4B">
        <w:rPr>
          <w:rFonts w:cs="Traditional Arabic"/>
          <w:sz w:val="20"/>
          <w:szCs w:val="20"/>
        </w:rPr>
        <w:t xml:space="preserve"> + M</w:t>
      </w:r>
      <w:r w:rsidRPr="00335E4B">
        <w:rPr>
          <w:rFonts w:cs="Traditional Arabic"/>
          <w:sz w:val="20"/>
          <w:szCs w:val="20"/>
          <w:vertAlign w:val="subscript"/>
        </w:rPr>
        <w:t>accumulated/depleted</w:t>
      </w:r>
    </w:p>
    <w:p w:rsidR="00335E4B" w:rsidRPr="00335E4B" w:rsidRDefault="00335E4B" w:rsidP="00335E4B">
      <w:pPr>
        <w:tabs>
          <w:tab w:val="left" w:pos="663"/>
          <w:tab w:val="left" w:pos="1117"/>
          <w:tab w:val="left" w:pos="2230"/>
          <w:tab w:val="center" w:pos="5468"/>
        </w:tabs>
        <w:spacing w:line="400" w:lineRule="exact"/>
        <w:ind w:left="663"/>
        <w:jc w:val="lowKashida"/>
        <w:rPr>
          <w:rFonts w:cs="Traditional Arabic"/>
          <w:sz w:val="20"/>
          <w:szCs w:val="30"/>
          <w:rtl/>
          <w:lang w:bidi="ar-EG"/>
        </w:rPr>
      </w:pPr>
      <w:r w:rsidRPr="00335E4B">
        <w:rPr>
          <w:rFonts w:cs="Traditional Arabic"/>
          <w:sz w:val="20"/>
          <w:szCs w:val="30"/>
          <w:rtl/>
          <w:lang w:bidi="ar-EG"/>
        </w:rPr>
        <w:t>حيث:</w:t>
      </w:r>
    </w:p>
    <w:p w:rsidR="00335E4B" w:rsidRPr="00335E4B" w:rsidRDefault="00335E4B" w:rsidP="00335E4B">
      <w:pPr>
        <w:tabs>
          <w:tab w:val="left" w:pos="663"/>
          <w:tab w:val="left" w:pos="1117"/>
          <w:tab w:val="left" w:pos="2230"/>
          <w:tab w:val="center" w:pos="5468"/>
        </w:tabs>
        <w:spacing w:line="400" w:lineRule="exact"/>
        <w:ind w:left="663"/>
        <w:jc w:val="lowKashida"/>
        <w:rPr>
          <w:rFonts w:cs="Traditional Arabic"/>
          <w:sz w:val="20"/>
          <w:szCs w:val="30"/>
          <w:rtl/>
          <w:lang w:bidi="ar-EG"/>
        </w:rPr>
      </w:pPr>
      <w:r w:rsidRPr="00335E4B">
        <w:rPr>
          <w:rFonts w:cs="Traditional Arabic"/>
          <w:sz w:val="20"/>
          <w:szCs w:val="20"/>
        </w:rPr>
        <w:t>M</w:t>
      </w:r>
      <w:r w:rsidRPr="00335E4B">
        <w:rPr>
          <w:rFonts w:cs="Traditional Arabic"/>
          <w:sz w:val="20"/>
          <w:szCs w:val="20"/>
          <w:vertAlign w:val="subscript"/>
        </w:rPr>
        <w:t>in</w:t>
      </w:r>
      <w:r w:rsidRPr="00335E4B">
        <w:rPr>
          <w:rFonts w:cs="Traditional Arabic"/>
          <w:sz w:val="20"/>
          <w:szCs w:val="30"/>
          <w:rtl/>
          <w:lang w:bidi="ar-EG"/>
        </w:rPr>
        <w:t xml:space="preserve"> = كتلة الزئبق الداخل إلى المرفق في المواد الأوَّلية أو الوقود أو الإضافات، إلخ.</w:t>
      </w:r>
    </w:p>
    <w:p w:rsidR="00335E4B" w:rsidRPr="00335E4B" w:rsidRDefault="00335E4B" w:rsidP="00335E4B">
      <w:pPr>
        <w:tabs>
          <w:tab w:val="left" w:pos="663"/>
          <w:tab w:val="left" w:pos="1117"/>
          <w:tab w:val="left" w:pos="2230"/>
          <w:tab w:val="center" w:pos="5468"/>
        </w:tabs>
        <w:spacing w:line="400" w:lineRule="exact"/>
        <w:ind w:left="663"/>
        <w:jc w:val="lowKashida"/>
        <w:rPr>
          <w:rFonts w:cs="Traditional Arabic"/>
          <w:sz w:val="20"/>
          <w:szCs w:val="30"/>
          <w:rtl/>
          <w:lang w:bidi="ar-EG"/>
        </w:rPr>
      </w:pPr>
      <w:r w:rsidRPr="00335E4B">
        <w:rPr>
          <w:rFonts w:cs="Traditional Arabic"/>
          <w:sz w:val="20"/>
          <w:szCs w:val="20"/>
        </w:rPr>
        <w:t>M</w:t>
      </w:r>
      <w:r w:rsidRPr="00335E4B">
        <w:rPr>
          <w:rFonts w:cs="Traditional Arabic"/>
          <w:sz w:val="20"/>
          <w:szCs w:val="20"/>
          <w:vertAlign w:val="subscript"/>
        </w:rPr>
        <w:t>out</w:t>
      </w:r>
      <w:r w:rsidRPr="00335E4B">
        <w:rPr>
          <w:rFonts w:cs="Traditional Arabic"/>
          <w:sz w:val="20"/>
          <w:szCs w:val="30"/>
          <w:rtl/>
          <w:lang w:bidi="ar-EG"/>
        </w:rPr>
        <w:t xml:space="preserve"> = كمية الزئبق الخارج من المرفق في المنتجات النهائية والمنتجات الثانوية والنفايات والانبعاثات والإطلاقات</w:t>
      </w:r>
    </w:p>
    <w:p w:rsidR="00335E4B" w:rsidRPr="00335E4B" w:rsidRDefault="00335E4B" w:rsidP="00335E4B">
      <w:pPr>
        <w:tabs>
          <w:tab w:val="center" w:pos="5468"/>
        </w:tabs>
        <w:spacing w:line="400" w:lineRule="exact"/>
        <w:ind w:left="1841"/>
        <w:jc w:val="lowKashida"/>
        <w:rPr>
          <w:rFonts w:cs="Traditional Arabic"/>
          <w:sz w:val="20"/>
          <w:szCs w:val="30"/>
          <w:rtl/>
          <w:lang w:bidi="ar-EG"/>
        </w:rPr>
      </w:pPr>
      <w:r w:rsidRPr="00335E4B">
        <w:rPr>
          <w:rFonts w:cs="Traditional Arabic"/>
          <w:sz w:val="20"/>
          <w:szCs w:val="20"/>
        </w:rPr>
        <w:t>(M</w:t>
      </w:r>
      <w:r w:rsidRPr="00335E4B">
        <w:rPr>
          <w:rFonts w:cs="Traditional Arabic"/>
          <w:sz w:val="20"/>
          <w:szCs w:val="20"/>
          <w:vertAlign w:val="subscript"/>
        </w:rPr>
        <w:t>out</w:t>
      </w:r>
      <w:r w:rsidRPr="00335E4B">
        <w:rPr>
          <w:rFonts w:cs="Traditional Arabic"/>
          <w:sz w:val="20"/>
          <w:szCs w:val="20"/>
        </w:rPr>
        <w:t xml:space="preserve"> = M</w:t>
      </w:r>
      <w:r w:rsidRPr="00335E4B">
        <w:rPr>
          <w:rFonts w:cs="Traditional Arabic"/>
          <w:sz w:val="20"/>
          <w:szCs w:val="20"/>
          <w:vertAlign w:val="subscript"/>
        </w:rPr>
        <w:t>product</w:t>
      </w:r>
      <w:r w:rsidRPr="00335E4B">
        <w:rPr>
          <w:rFonts w:cs="Traditional Arabic"/>
          <w:sz w:val="20"/>
          <w:szCs w:val="20"/>
        </w:rPr>
        <w:t xml:space="preserve"> + M</w:t>
      </w:r>
      <w:r w:rsidRPr="00335E4B">
        <w:rPr>
          <w:rFonts w:cs="Traditional Arabic"/>
          <w:sz w:val="20"/>
          <w:szCs w:val="20"/>
          <w:vertAlign w:val="subscript"/>
        </w:rPr>
        <w:t>by-product</w:t>
      </w:r>
      <w:r w:rsidRPr="00335E4B">
        <w:rPr>
          <w:rFonts w:cs="Traditional Arabic"/>
          <w:sz w:val="20"/>
          <w:szCs w:val="20"/>
        </w:rPr>
        <w:t xml:space="preserve"> + M</w:t>
      </w:r>
      <w:r w:rsidRPr="00335E4B">
        <w:rPr>
          <w:rFonts w:cs="Traditional Arabic"/>
          <w:sz w:val="20"/>
          <w:szCs w:val="20"/>
          <w:vertAlign w:val="subscript"/>
        </w:rPr>
        <w:t>waste</w:t>
      </w:r>
      <w:r w:rsidRPr="00335E4B">
        <w:rPr>
          <w:rFonts w:cs="Traditional Arabic"/>
          <w:sz w:val="20"/>
          <w:szCs w:val="20"/>
        </w:rPr>
        <w:t xml:space="preserve"> + M</w:t>
      </w:r>
      <w:r w:rsidRPr="00335E4B">
        <w:rPr>
          <w:rFonts w:cs="Traditional Arabic"/>
          <w:sz w:val="20"/>
          <w:szCs w:val="20"/>
          <w:vertAlign w:val="subscript"/>
        </w:rPr>
        <w:t>emissions</w:t>
      </w:r>
      <w:r w:rsidRPr="00335E4B">
        <w:rPr>
          <w:rFonts w:cs="Traditional Arabic"/>
          <w:sz w:val="20"/>
          <w:szCs w:val="20"/>
        </w:rPr>
        <w:t xml:space="preserve"> + M</w:t>
      </w:r>
      <w:r w:rsidRPr="00335E4B">
        <w:rPr>
          <w:rFonts w:cs="Traditional Arabic"/>
          <w:sz w:val="20"/>
          <w:szCs w:val="20"/>
          <w:vertAlign w:val="subscript"/>
        </w:rPr>
        <w:t>releases</w:t>
      </w:r>
      <w:r w:rsidRPr="00335E4B">
        <w:rPr>
          <w:rFonts w:cs="Traditional Arabic"/>
          <w:sz w:val="20"/>
          <w:szCs w:val="20"/>
        </w:rPr>
        <w:t>)</w:t>
      </w:r>
      <w:r w:rsidRPr="00335E4B">
        <w:rPr>
          <w:rFonts w:cs="Traditional Arabic"/>
          <w:sz w:val="20"/>
          <w:szCs w:val="30"/>
          <w:rtl/>
          <w:lang w:bidi="ar-EG"/>
        </w:rPr>
        <w:t xml:space="preserve"> </w:t>
      </w:r>
    </w:p>
    <w:p w:rsidR="00335E4B" w:rsidRPr="00335E4B" w:rsidRDefault="00335E4B" w:rsidP="00335E4B">
      <w:pPr>
        <w:tabs>
          <w:tab w:val="left" w:pos="663"/>
          <w:tab w:val="left" w:pos="1117"/>
          <w:tab w:val="left" w:pos="2230"/>
          <w:tab w:val="center" w:pos="5468"/>
        </w:tabs>
        <w:spacing w:after="120" w:line="400" w:lineRule="exact"/>
        <w:ind w:left="663"/>
        <w:jc w:val="lowKashida"/>
        <w:rPr>
          <w:rFonts w:cs="Traditional Arabic"/>
          <w:sz w:val="20"/>
          <w:szCs w:val="30"/>
          <w:rtl/>
          <w:lang w:bidi="ar-EG"/>
        </w:rPr>
      </w:pPr>
      <w:r w:rsidRPr="00335E4B">
        <w:rPr>
          <w:rFonts w:cs="Traditional Arabic"/>
          <w:sz w:val="20"/>
          <w:szCs w:val="20"/>
        </w:rPr>
        <w:t>M</w:t>
      </w:r>
      <w:r w:rsidRPr="00335E4B">
        <w:rPr>
          <w:rFonts w:cs="Traditional Arabic"/>
          <w:sz w:val="20"/>
          <w:szCs w:val="20"/>
          <w:vertAlign w:val="subscript"/>
        </w:rPr>
        <w:t>accumulated/depleted</w:t>
      </w:r>
      <w:r w:rsidRPr="00335E4B">
        <w:rPr>
          <w:rFonts w:cs="Traditional Arabic"/>
          <w:sz w:val="20"/>
          <w:szCs w:val="30"/>
          <w:rtl/>
          <w:lang w:bidi="ar-EG"/>
        </w:rPr>
        <w:t xml:space="preserve"> = كمية الزئبق المتراكم أو المستنزف داخل المرفق</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 xml:space="preserve">ولحساب انبعاثات الزئبق في نظام يستخدم توازن </w:t>
      </w:r>
      <w:r w:rsidRPr="00335E4B">
        <w:rPr>
          <w:rFonts w:cs="Traditional Arabic" w:hint="cs"/>
          <w:sz w:val="20"/>
          <w:szCs w:val="30"/>
          <w:rtl/>
          <w:lang w:bidi="ar-EG"/>
        </w:rPr>
        <w:t>الكتلة</w:t>
      </w:r>
      <w:r w:rsidRPr="00335E4B">
        <w:rPr>
          <w:rFonts w:cs="Traditional Arabic"/>
          <w:sz w:val="20"/>
          <w:szCs w:val="30"/>
          <w:rtl/>
          <w:lang w:bidi="ar-EG"/>
        </w:rPr>
        <w:t xml:space="preserve">، ينبغي تتبع تركيزات الزئبق ومعدلات تدفق الكتلة في جميع التيارات الأخرى (مثل المنتجات، </w:t>
      </w:r>
      <w:r w:rsidRPr="00335E4B">
        <w:rPr>
          <w:rFonts w:cs="Traditional Arabic" w:hint="cs"/>
          <w:sz w:val="20"/>
          <w:szCs w:val="30"/>
          <w:rtl/>
          <w:lang w:bidi="ar-EG"/>
        </w:rPr>
        <w:t>و</w:t>
      </w:r>
      <w:r w:rsidRPr="00335E4B">
        <w:rPr>
          <w:rFonts w:cs="Traditional Arabic"/>
          <w:sz w:val="20"/>
          <w:szCs w:val="30"/>
          <w:rtl/>
          <w:lang w:bidi="ar-EG"/>
        </w:rPr>
        <w:t xml:space="preserve">المنتجات الثانوية، </w:t>
      </w:r>
      <w:r w:rsidRPr="00335E4B">
        <w:rPr>
          <w:rFonts w:cs="Traditional Arabic" w:hint="cs"/>
          <w:sz w:val="20"/>
          <w:szCs w:val="30"/>
          <w:rtl/>
          <w:lang w:bidi="ar-EG"/>
        </w:rPr>
        <w:t>و</w:t>
      </w:r>
      <w:r w:rsidRPr="00335E4B">
        <w:rPr>
          <w:rFonts w:cs="Traditional Arabic"/>
          <w:sz w:val="20"/>
          <w:szCs w:val="30"/>
          <w:rtl/>
          <w:lang w:bidi="ar-EG"/>
        </w:rPr>
        <w:t xml:space="preserve">النفايات السائلة، </w:t>
      </w:r>
      <w:r w:rsidRPr="00335E4B">
        <w:rPr>
          <w:rFonts w:cs="Traditional Arabic" w:hint="cs"/>
          <w:sz w:val="20"/>
          <w:szCs w:val="30"/>
          <w:rtl/>
          <w:lang w:bidi="ar-EG"/>
        </w:rPr>
        <w:t>و</w:t>
      </w:r>
      <w:r w:rsidRPr="00335E4B">
        <w:rPr>
          <w:rFonts w:cs="Traditional Arabic"/>
          <w:sz w:val="20"/>
          <w:szCs w:val="30"/>
          <w:rtl/>
          <w:lang w:bidi="ar-EG"/>
        </w:rPr>
        <w:t>الحمأة) وتسجيلها على مدى فترة محدَّدة. ويتم حساب بيانات كتلة الزئبق بضرب تركيز الزئبق في معدل تدفق كتلة التيار والفترة الزمنية (سنة واحدة مثلاً). ومن مزايا استعمال أسلوب توازن الكتلة أنه يجعل من الممكن تقدير انبعاثات الزئبق بالنسبة لكلا المصادر الثابتة وغير الثابتة (بما في ذلك الانبعاثات المتسرِّبة)، إذا كان الطرف يرغب في تقدير الانبعاثات من مصادر غير ثابتة أيضاً.</w:t>
      </w:r>
    </w:p>
    <w:p w:rsidR="00335E4B" w:rsidRPr="00335E4B" w:rsidRDefault="00335E4B" w:rsidP="00335E4B">
      <w:pPr>
        <w:tabs>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وفي نظام يشمل مصادر انبعاثات متعددة وبيانات محدودة من مداخن أو أنابيب المخرج، يمكن أن يوفِّر نهج توازن الكتلة معلومات مفيدة وتمثيلية بشأن تدفقات الزئبق على مدى فترة طويلة من الوقت، أي سنة على سبيل المثال. وفي العمليات التي يمكن أن تتباين الانبعاثات فيها تبايناً كبيراً مع مرور الوقت، فإن النتائج التي يتم الحصول عليها من توازن كتلة سنوي كامل قد توفِّر بيانات أكثر تمثيلاً للانبعاثات عن القياسات المباشرة المضبوطة زمنياً، مثل اختبار المداخن السنوي. وعلى سبيل المثال، واجهت مرافق ا</w:t>
      </w:r>
      <w:r w:rsidRPr="00335E4B">
        <w:rPr>
          <w:rFonts w:cs="Traditional Arabic" w:hint="cs"/>
          <w:sz w:val="20"/>
          <w:szCs w:val="30"/>
          <w:rtl/>
          <w:lang w:bidi="ar-EG"/>
        </w:rPr>
        <w:t>لا</w:t>
      </w:r>
      <w:r w:rsidRPr="00335E4B">
        <w:rPr>
          <w:rFonts w:cs="Traditional Arabic"/>
          <w:sz w:val="20"/>
          <w:szCs w:val="30"/>
          <w:rtl/>
          <w:lang w:bidi="ar-EG"/>
        </w:rPr>
        <w:t>سمنت في الاتحاد الأوروبي قراءات غير موثوقة نتيجة استعمال أساليب القياس المباشر بسبب ارتفاع درجة عدم اليقين في قياس حجم الانبعاثات عند المدخنة. وبالنسبة لهذه المرافق، أدّى استعمال أسلوب توازن الكتلة إلى انخفاض درجة عدم اليقين النسبي في تقدير انبعاثات الزئبق مقارنة بأساليب القياس المباشر.</w:t>
      </w:r>
    </w:p>
    <w:p w:rsidR="00335E4B" w:rsidRPr="00335E4B" w:rsidRDefault="00335E4B" w:rsidP="00335E4B">
      <w:pPr>
        <w:tabs>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ولكن قد يصعب </w:t>
      </w:r>
      <w:r w:rsidRPr="00335E4B">
        <w:rPr>
          <w:rFonts w:cs="Traditional Arabic" w:hint="cs"/>
          <w:sz w:val="20"/>
          <w:szCs w:val="30"/>
          <w:rtl/>
          <w:lang w:bidi="ar-EG"/>
        </w:rPr>
        <w:t>تحقيق</w:t>
      </w:r>
      <w:r w:rsidRPr="00335E4B">
        <w:rPr>
          <w:rFonts w:cs="Traditional Arabic"/>
          <w:sz w:val="20"/>
          <w:szCs w:val="30"/>
          <w:rtl/>
          <w:lang w:bidi="ar-EG"/>
        </w:rPr>
        <w:t xml:space="preserve"> القياسات الدقيقة التمثيلية لمحتوى الزئبق في </w:t>
      </w:r>
      <w:r w:rsidRPr="00335E4B">
        <w:rPr>
          <w:rFonts w:cs="Traditional Arabic" w:hint="cs"/>
          <w:sz w:val="20"/>
          <w:szCs w:val="30"/>
          <w:rtl/>
          <w:lang w:bidi="ar-EG"/>
        </w:rPr>
        <w:t>ال</w:t>
      </w:r>
      <w:r w:rsidRPr="00335E4B">
        <w:rPr>
          <w:rFonts w:cs="Traditional Arabic"/>
          <w:sz w:val="20"/>
          <w:szCs w:val="30"/>
          <w:rtl/>
          <w:lang w:bidi="ar-EG"/>
        </w:rPr>
        <w:t xml:space="preserve">أنواع المتباينة </w:t>
      </w:r>
      <w:r w:rsidRPr="00335E4B">
        <w:rPr>
          <w:rFonts w:cs="Traditional Arabic" w:hint="cs"/>
          <w:sz w:val="20"/>
          <w:szCs w:val="30"/>
          <w:rtl/>
          <w:lang w:bidi="ar-EG"/>
        </w:rPr>
        <w:t xml:space="preserve">من </w:t>
      </w:r>
      <w:r w:rsidRPr="00335E4B">
        <w:rPr>
          <w:rFonts w:cs="Traditional Arabic"/>
          <w:sz w:val="20"/>
          <w:szCs w:val="30"/>
          <w:rtl/>
          <w:lang w:bidi="ar-EG"/>
        </w:rPr>
        <w:t>الوقود أو مواد التغذية. وبالإضافة إلى ذلك، ينبغي، في الحالات التي تشهد إعادة تدوير حمولات الزئبق الداخلي في العملية (كما يحدث في حالة المخزونات والمنتجات الوسيطة والحمأة)، مراعاة الحرص لتفسير وجود الزئبق في هذه التيارات. وقد يصعب التوصل إلى أرقام نهائية لتوازن الكتلة في العمليات المعقدة التي تشهد تدفقات عديدة من المدخلات والمخرجات، أو عندما تكون البيانات تقديرية.</w:t>
      </w:r>
    </w:p>
    <w:p w:rsidR="00335E4B" w:rsidRPr="00335E4B" w:rsidRDefault="00335E4B" w:rsidP="00335E4B">
      <w:pPr>
        <w:keepNext/>
        <w:spacing w:before="120" w:after="120" w:line="400" w:lineRule="exact"/>
        <w:ind w:left="992" w:hanging="992"/>
        <w:jc w:val="both"/>
        <w:outlineLvl w:val="0"/>
        <w:rPr>
          <w:rFonts w:cs="Traditional Arabic"/>
          <w:b/>
          <w:bCs/>
          <w:sz w:val="30"/>
          <w:szCs w:val="30"/>
          <w:rtl/>
        </w:rPr>
      </w:pPr>
      <w:bookmarkStart w:id="331" w:name="_Toc440451895"/>
      <w:bookmarkStart w:id="332" w:name="_Toc440452464"/>
      <w:bookmarkStart w:id="333" w:name="_Toc441577703"/>
      <w:bookmarkStart w:id="334" w:name="_Toc441577882"/>
      <w:bookmarkStart w:id="335" w:name="_Toc441579108"/>
      <w:bookmarkStart w:id="336" w:name="_Toc441580716"/>
      <w:bookmarkStart w:id="337" w:name="_Toc441585847"/>
      <w:bookmarkStart w:id="338" w:name="_Toc441586183"/>
      <w:bookmarkStart w:id="339" w:name="_Toc441586633"/>
      <w:bookmarkStart w:id="340" w:name="_Toc441586812"/>
      <w:bookmarkStart w:id="341" w:name="_Toc441666661"/>
      <w:bookmarkStart w:id="342" w:name="_Toc441673722"/>
      <w:r w:rsidRPr="00335E4B">
        <w:rPr>
          <w:rFonts w:cs="Traditional Arabic" w:hint="cs"/>
          <w:b/>
          <w:bCs/>
          <w:sz w:val="30"/>
          <w:szCs w:val="30"/>
          <w:rtl/>
        </w:rPr>
        <w:t>2</w:t>
      </w:r>
      <w:r w:rsidRPr="00335E4B">
        <w:rPr>
          <w:rFonts w:cs="Traditional Arabic"/>
          <w:b/>
          <w:bCs/>
          <w:sz w:val="30"/>
          <w:szCs w:val="30"/>
          <w:rtl/>
        </w:rPr>
        <w:t>-5-2</w:t>
      </w:r>
      <w:r w:rsidRPr="00335E4B">
        <w:rPr>
          <w:rFonts w:cs="Traditional Arabic"/>
          <w:b/>
          <w:bCs/>
          <w:sz w:val="30"/>
          <w:szCs w:val="30"/>
          <w:rtl/>
        </w:rPr>
        <w:tab/>
        <w:t>نُظم رصد الانبعاثات المتوقعة</w:t>
      </w:r>
      <w:bookmarkEnd w:id="331"/>
      <w:bookmarkEnd w:id="332"/>
      <w:bookmarkEnd w:id="333"/>
      <w:bookmarkEnd w:id="334"/>
      <w:bookmarkEnd w:id="335"/>
      <w:bookmarkEnd w:id="336"/>
      <w:bookmarkEnd w:id="337"/>
      <w:bookmarkEnd w:id="338"/>
      <w:bookmarkEnd w:id="339"/>
      <w:bookmarkEnd w:id="340"/>
      <w:bookmarkEnd w:id="341"/>
      <w:bookmarkEnd w:id="342"/>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يشار إلى نُظم رصد الانبعاثات المتوقعة أيضاً باسم الرصد البارامتري، وتعمل </w:t>
      </w:r>
      <w:r w:rsidRPr="00335E4B">
        <w:rPr>
          <w:rFonts w:cs="Traditional Arabic" w:hint="cs"/>
          <w:sz w:val="20"/>
          <w:szCs w:val="30"/>
          <w:rtl/>
          <w:lang w:bidi="ar-EG"/>
        </w:rPr>
        <w:t>بإنشاء</w:t>
      </w:r>
      <w:r w:rsidRPr="00335E4B">
        <w:rPr>
          <w:rFonts w:cs="Traditional Arabic"/>
          <w:sz w:val="20"/>
          <w:szCs w:val="30"/>
          <w:rtl/>
          <w:lang w:bidi="ar-EG"/>
        </w:rPr>
        <w:t xml:space="preserve"> أوجه الترابط بين بارامترات تشغيل العملية ومعدلات ان</w:t>
      </w:r>
      <w:r w:rsidRPr="00335E4B">
        <w:rPr>
          <w:rFonts w:cs="Traditional Arabic" w:hint="cs"/>
          <w:sz w:val="20"/>
          <w:szCs w:val="30"/>
          <w:rtl/>
          <w:lang w:bidi="ar-EG"/>
        </w:rPr>
        <w:t>ب</w:t>
      </w:r>
      <w:r w:rsidRPr="00335E4B">
        <w:rPr>
          <w:rFonts w:cs="Traditional Arabic"/>
          <w:sz w:val="20"/>
          <w:szCs w:val="30"/>
          <w:rtl/>
          <w:lang w:bidi="ar-EG"/>
        </w:rPr>
        <w:t>عاثات الزئبق</w:t>
      </w:r>
      <w:r w:rsidRPr="00335E4B">
        <w:rPr>
          <w:rFonts w:cs="Traditional Arabic" w:hint="cs"/>
          <w:sz w:val="20"/>
          <w:szCs w:val="30"/>
          <w:rtl/>
          <w:lang w:bidi="ar-EG"/>
        </w:rPr>
        <w:t>،</w:t>
      </w:r>
      <w:r w:rsidRPr="00335E4B">
        <w:rPr>
          <w:rFonts w:cs="Traditional Arabic"/>
          <w:sz w:val="20"/>
          <w:szCs w:val="30"/>
          <w:rtl/>
          <w:lang w:bidi="ar-EG"/>
        </w:rPr>
        <w:t xml:space="preserve"> باستعمال الرصد المستمر للبارامترات البديلة وعوامل الانبعاثات واختبار المصدر. ويمكن أن يكون هذا الأسلوب مفيداً في الدلالة على كفاءة ضبط الزئبق في الوقت الحقيقي. ولا يوجد في الواقع جمع مستمر لعينات الزئبق في هذا الأسلوب. وفي المرافق الحديثة، يجري نمطياً رصد بارامترات مثل استعمال الوقود ودرجة حرارة الأفران وضغط الغاز ومعدل التدفق على أساس مستمر باستعمال نُظم ضبط العملية لضمان الكفاءة التشغيلية. وفي حين أن هذه الأنواع من المؤشرات قد تكون نقاط بداية مفيدة فإن اختيار البارامترات ذات الصلة والترابطات المناظرة لمعدلات انبعاثات لزئبق ستكون فريدة على الأرجح في كل عملية أو مرفق.</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وفي بعض أنواع العمليات حيث لا يوجد تباين كبير في محتوى الزئبق في المواد الأوَّلية والوقود وغير ذلك من التيارات المدخلة، يمكن أن تتيح نُظم رصد الانبعاثات المتوقعة وسيلة مفيدة بتقديم دلائل عن اتجاهات انبعاثات الزئبق. وعلى سبيل المثال، تقوم بعض المرافق في قطاع الذهب الصناعي في الولايات المتحدة برصد كفاءة أجهزة تنظيف كلوريد الزئبق مع </w:t>
      </w:r>
      <w:r w:rsidRPr="00335E4B">
        <w:rPr>
          <w:rFonts w:cs="Traditional Arabic" w:hint="cs"/>
          <w:sz w:val="20"/>
          <w:szCs w:val="30"/>
          <w:rtl/>
          <w:lang w:bidi="ar-EG"/>
        </w:rPr>
        <w:t>تتبع قياسات</w:t>
      </w:r>
      <w:r w:rsidRPr="00335E4B">
        <w:rPr>
          <w:rFonts w:cs="Traditional Arabic"/>
          <w:sz w:val="20"/>
          <w:szCs w:val="30"/>
          <w:rtl/>
          <w:lang w:bidi="ar-EG"/>
        </w:rPr>
        <w:t xml:space="preserve"> ضغط المحلول المدخل في جهاز التنظيف ودرجة حرارة الغاز المدخل وتركيز كلوريد الزئبق </w:t>
      </w:r>
      <w:r w:rsidRPr="00335E4B">
        <w:rPr>
          <w:rFonts w:cs="Times New Roman"/>
          <w:szCs w:val="22"/>
          <w:rtl/>
          <w:lang w:bidi="ar-EG"/>
        </w:rPr>
        <w:t>(</w:t>
      </w:r>
      <w:r w:rsidRPr="00335E4B">
        <w:rPr>
          <w:rFonts w:cs="Times New Roman"/>
          <w:szCs w:val="22"/>
          <w:lang w:bidi="ar-EG"/>
        </w:rPr>
        <w:t>II</w:t>
      </w:r>
      <w:r w:rsidRPr="00335E4B">
        <w:rPr>
          <w:rFonts w:cs="Times New Roman"/>
          <w:szCs w:val="22"/>
          <w:rtl/>
          <w:lang w:bidi="ar-EG"/>
        </w:rPr>
        <w:t>)</w:t>
      </w:r>
      <w:r w:rsidRPr="00335E4B">
        <w:rPr>
          <w:rFonts w:cs="Traditional Arabic"/>
          <w:sz w:val="20"/>
          <w:szCs w:val="30"/>
          <w:rtl/>
          <w:lang w:bidi="ar-EG"/>
        </w:rPr>
        <w:t xml:space="preserve"> في المحلول الخارج من جهاز التنظيف.</w:t>
      </w:r>
    </w:p>
    <w:p w:rsidR="00335E4B" w:rsidRPr="00335E4B" w:rsidRDefault="00335E4B" w:rsidP="001F4286">
      <w:pPr>
        <w:tabs>
          <w:tab w:val="left" w:pos="663"/>
          <w:tab w:val="left" w:pos="1117"/>
          <w:tab w:val="left" w:pos="2230"/>
          <w:tab w:val="center" w:pos="5468"/>
        </w:tabs>
        <w:spacing w:after="120" w:line="380" w:lineRule="exact"/>
        <w:jc w:val="both"/>
        <w:rPr>
          <w:rFonts w:cs="Traditional Arabic"/>
          <w:sz w:val="20"/>
          <w:szCs w:val="30"/>
          <w:rtl/>
          <w:lang w:bidi="ar-EG"/>
        </w:rPr>
      </w:pPr>
      <w:r w:rsidRPr="00335E4B">
        <w:rPr>
          <w:rFonts w:cs="Traditional Arabic"/>
          <w:sz w:val="20"/>
          <w:szCs w:val="30"/>
          <w:rtl/>
          <w:lang w:bidi="ar-EG"/>
        </w:rPr>
        <w:t>ولكن نُظم رصد الانبعاثات المتوقعة قد لا تكون أسلوباً موثوقاً لرصد انبعاثات الزئبق في التطبيقات التي يمكن أن يتباين فيها محتوى الزئبق في الوقود أو المواد الأوَّلية تبايناً كبيراً في فترات قصيرة من الوقت. وعلى سبيل المثال، نجد في مرافق ترميد النفايات ومرافق ا</w:t>
      </w:r>
      <w:r w:rsidRPr="00335E4B">
        <w:rPr>
          <w:rFonts w:cs="Traditional Arabic" w:hint="cs"/>
          <w:sz w:val="20"/>
          <w:szCs w:val="30"/>
          <w:rtl/>
          <w:lang w:bidi="ar-EG"/>
        </w:rPr>
        <w:t>لإ</w:t>
      </w:r>
      <w:r w:rsidRPr="00335E4B">
        <w:rPr>
          <w:rFonts w:cs="Traditional Arabic"/>
          <w:sz w:val="20"/>
          <w:szCs w:val="30"/>
          <w:rtl/>
          <w:lang w:bidi="ar-EG"/>
        </w:rPr>
        <w:t xml:space="preserve">سمنت التي تستعمل وقود النفايات أن محتوى الزئبق الداخل في النظام أو المرفق يكون عادة غير قابل للتنبؤ به. وفي منشآت الطاقة التي تعمل بالفحم يمكن أن تتباين انبعاثات الزئبق استجابة للتغيُّرات في محتوى الزئبق في الفحم. وبالمثل، نجد في قطاع المعادن غير الحديدية أن الزئبق في مواد تغذية الأفران يمكن أن يتغيَّر بسرعة حسب التركيزات التي تجري معالجتها. وبالإضافة إلى ذلك، يمكن أن تتباين انبعاثات الزئبق في عمليات كثيرة بسبب تقلبات درجة الحرارة والتغيُّرات في أنواع الزئبق. ونتيجة لذلك، فإن إنشاء الترابط بين الباراميترات البديلة وانبعاثات الزئبق قد لا يؤدي إلى نتائج تمثيلية. وفي حالة التفكير في نُظم رصد الانبعاثات المتوقعة ينبغي أولاً القيام بتحليل دقيق لتحديد </w:t>
      </w:r>
      <w:r w:rsidRPr="00335E4B">
        <w:rPr>
          <w:rFonts w:cs="Traditional Arabic" w:hint="cs"/>
          <w:sz w:val="20"/>
          <w:szCs w:val="30"/>
          <w:rtl/>
          <w:lang w:bidi="ar-EG"/>
        </w:rPr>
        <w:t xml:space="preserve">مدى </w:t>
      </w:r>
      <w:r w:rsidRPr="00335E4B">
        <w:rPr>
          <w:rFonts w:cs="Traditional Arabic"/>
          <w:sz w:val="20"/>
          <w:szCs w:val="30"/>
          <w:rtl/>
          <w:lang w:bidi="ar-EG"/>
        </w:rPr>
        <w:t>عدم التيقن في الأسلوب على أساس كل حالة على حدة وينبغي مقارنة هذه النُظم بانتظام مع أسلوب اختبار مرجعي. وعندما يمكن إنشاء مجموعة كافية وشاملة من البيانات المرجعية لتوفير قاعدة كبيرة لصياغة خوارزمية نُظم رصد الانبعاثات المتوقعة يمكن عندئذ توقع تحسن نوعية البيانات المتوفرة من خلال هذه النُظم.</w:t>
      </w:r>
    </w:p>
    <w:p w:rsidR="00335E4B" w:rsidRPr="00335E4B" w:rsidRDefault="00335E4B" w:rsidP="001F4286">
      <w:pPr>
        <w:keepNext/>
        <w:spacing w:before="120" w:after="120" w:line="380" w:lineRule="exact"/>
        <w:ind w:left="992" w:hanging="992"/>
        <w:jc w:val="both"/>
        <w:outlineLvl w:val="0"/>
        <w:rPr>
          <w:rFonts w:cs="Traditional Arabic"/>
          <w:b/>
          <w:bCs/>
          <w:sz w:val="30"/>
          <w:szCs w:val="30"/>
          <w:rtl/>
        </w:rPr>
      </w:pPr>
      <w:bookmarkStart w:id="343" w:name="_Toc440451896"/>
      <w:bookmarkStart w:id="344" w:name="_Toc440452465"/>
      <w:bookmarkStart w:id="345" w:name="_Toc441577704"/>
      <w:bookmarkStart w:id="346" w:name="_Toc441577883"/>
      <w:bookmarkStart w:id="347" w:name="_Toc441579109"/>
      <w:bookmarkStart w:id="348" w:name="_Toc441580717"/>
      <w:bookmarkStart w:id="349" w:name="_Toc441585848"/>
      <w:bookmarkStart w:id="350" w:name="_Toc441586184"/>
      <w:bookmarkStart w:id="351" w:name="_Toc441586634"/>
      <w:bookmarkStart w:id="352" w:name="_Toc441586813"/>
      <w:bookmarkStart w:id="353" w:name="_Toc441666662"/>
      <w:bookmarkStart w:id="354" w:name="_Toc441673723"/>
      <w:r w:rsidRPr="00335E4B">
        <w:rPr>
          <w:rFonts w:cs="Traditional Arabic" w:hint="cs"/>
          <w:b/>
          <w:bCs/>
          <w:sz w:val="30"/>
          <w:szCs w:val="30"/>
          <w:rtl/>
        </w:rPr>
        <w:t>2</w:t>
      </w:r>
      <w:r w:rsidRPr="00335E4B">
        <w:rPr>
          <w:rFonts w:cs="Traditional Arabic"/>
          <w:b/>
          <w:bCs/>
          <w:sz w:val="30"/>
          <w:szCs w:val="30"/>
          <w:rtl/>
        </w:rPr>
        <w:t>-5-3</w:t>
      </w:r>
      <w:r w:rsidRPr="00335E4B">
        <w:rPr>
          <w:rFonts w:cs="Traditional Arabic"/>
          <w:b/>
          <w:bCs/>
          <w:sz w:val="30"/>
          <w:szCs w:val="30"/>
          <w:rtl/>
        </w:rPr>
        <w:tab/>
        <w:t>عوامل الانبعاثات</w:t>
      </w:r>
      <w:bookmarkEnd w:id="343"/>
      <w:bookmarkEnd w:id="344"/>
      <w:bookmarkEnd w:id="345"/>
      <w:bookmarkEnd w:id="346"/>
      <w:bookmarkEnd w:id="347"/>
      <w:bookmarkEnd w:id="348"/>
      <w:bookmarkEnd w:id="349"/>
      <w:bookmarkEnd w:id="350"/>
      <w:bookmarkEnd w:id="351"/>
      <w:bookmarkEnd w:id="352"/>
      <w:bookmarkEnd w:id="353"/>
      <w:bookmarkEnd w:id="354"/>
    </w:p>
    <w:p w:rsidR="00335E4B" w:rsidRPr="00335E4B" w:rsidRDefault="00335E4B" w:rsidP="001F4286">
      <w:pPr>
        <w:tabs>
          <w:tab w:val="left" w:pos="663"/>
          <w:tab w:val="left" w:pos="1117"/>
          <w:tab w:val="left" w:pos="2230"/>
          <w:tab w:val="center" w:pos="5468"/>
        </w:tabs>
        <w:spacing w:after="120" w:line="380" w:lineRule="exact"/>
        <w:jc w:val="both"/>
        <w:rPr>
          <w:rFonts w:cs="Traditional Arabic"/>
          <w:sz w:val="20"/>
          <w:szCs w:val="30"/>
          <w:rtl/>
          <w:lang w:bidi="ar-EG"/>
        </w:rPr>
      </w:pPr>
      <w:r w:rsidRPr="00335E4B">
        <w:rPr>
          <w:rFonts w:cs="Traditional Arabic"/>
          <w:sz w:val="20"/>
          <w:szCs w:val="30"/>
          <w:rtl/>
          <w:lang w:bidi="ar-EG"/>
        </w:rPr>
        <w:t>في حين أن استعمال عوامل الانبعاثات لا يمثل أسلوب رصد بحد ذاته فإن هذه التقنية الهندسية يمكن استعمالها لتوفير تقدير عام مفيد لانبعاثات الزئبق من أي نظام أو مرفق.</w:t>
      </w:r>
    </w:p>
    <w:p w:rsidR="00335E4B" w:rsidRPr="00335E4B" w:rsidRDefault="00335E4B" w:rsidP="001F4286">
      <w:pPr>
        <w:tabs>
          <w:tab w:val="left" w:pos="663"/>
          <w:tab w:val="left" w:pos="1117"/>
          <w:tab w:val="left" w:pos="2230"/>
          <w:tab w:val="center" w:pos="5468"/>
        </w:tabs>
        <w:spacing w:after="120" w:line="380" w:lineRule="exact"/>
        <w:jc w:val="both"/>
        <w:rPr>
          <w:rFonts w:cs="Traditional Arabic"/>
          <w:sz w:val="20"/>
          <w:szCs w:val="30"/>
          <w:rtl/>
          <w:lang w:bidi="ar-EG"/>
        </w:rPr>
      </w:pPr>
      <w:r w:rsidRPr="00335E4B">
        <w:rPr>
          <w:rFonts w:cs="Traditional Arabic"/>
          <w:sz w:val="20"/>
          <w:szCs w:val="30"/>
          <w:rtl/>
          <w:lang w:bidi="ar-EG"/>
        </w:rPr>
        <w:t>وتستعمل عوامل الانبعاثات لوضع تقدير لنوعية الانبعاثات التي يتم إطلاقها من أحد المصادر على أساس المستويات النمطية للانبعاثات من ذلك النشاط. وفي حالة الزئبق، يمكن التعبير عن عوامل الانبعاثات باعتبارها كتلة الزئبق التي يتم إطلاقها مقسومة على: كتلة أو حجم مواد المدخلات المستهلكة؛ أو كتلة أو حجم مواد المخرجات المتولدة.</w:t>
      </w:r>
    </w:p>
    <w:p w:rsidR="00335E4B" w:rsidRPr="00335E4B" w:rsidRDefault="00335E4B" w:rsidP="001F4286">
      <w:pPr>
        <w:tabs>
          <w:tab w:val="left" w:pos="663"/>
          <w:tab w:val="left" w:pos="1117"/>
          <w:tab w:val="left" w:pos="2230"/>
          <w:tab w:val="center" w:pos="5468"/>
        </w:tabs>
        <w:spacing w:after="120" w:line="380" w:lineRule="exact"/>
        <w:jc w:val="both"/>
        <w:rPr>
          <w:rFonts w:cs="Traditional Arabic"/>
          <w:sz w:val="20"/>
          <w:szCs w:val="30"/>
          <w:rtl/>
          <w:lang w:bidi="ar-EG"/>
        </w:rPr>
      </w:pPr>
      <w:r w:rsidRPr="00335E4B">
        <w:rPr>
          <w:rFonts w:cs="Traditional Arabic"/>
          <w:sz w:val="20"/>
          <w:szCs w:val="30"/>
          <w:rtl/>
          <w:lang w:bidi="ar-EG"/>
        </w:rPr>
        <w:t>ويمكن أن نتوقع من عوامل الانبعاثات الخاصة لكل موقع، التي تضعها المرافق على أساس بيانات اختبار الانبعاثات الفعلية ومعلومات نشاط المصدر، أن توفِّر تقديرات أكثر دقة عن عوامل الانبعاثات العامة المنشورة. وسيتطلب الأمر وضع عوامل انبعاثات خاصة بكل موقع من خلال الاختبار أثناء فترات التشغيل العادي، بغرض توفير تمثيل أفضل للمعدل المتوسط لانبعاثات الزئبق من عملية بعينها أو مرفق بعينه. وعندما تتوفر بيانات قياس كل موقع بالتحديد فسيكون من الأفضل استعمال الحسابات المستندة إلى هذه القيم التي تم قياسها بدلاً من استعمال العوامل المنشورة العامة.</w:t>
      </w:r>
    </w:p>
    <w:p w:rsidR="00335E4B" w:rsidRPr="00335E4B" w:rsidRDefault="00335E4B" w:rsidP="001F4286">
      <w:pPr>
        <w:tabs>
          <w:tab w:val="left" w:pos="663"/>
          <w:tab w:val="left" w:pos="1117"/>
          <w:tab w:val="left" w:pos="2230"/>
          <w:tab w:val="center" w:pos="5468"/>
        </w:tabs>
        <w:spacing w:after="120" w:line="380" w:lineRule="exact"/>
        <w:jc w:val="both"/>
        <w:rPr>
          <w:rFonts w:cs="Traditional Arabic"/>
          <w:sz w:val="20"/>
          <w:szCs w:val="30"/>
          <w:rtl/>
          <w:lang w:bidi="ar-EG"/>
        </w:rPr>
      </w:pPr>
      <w:r w:rsidRPr="00335E4B">
        <w:rPr>
          <w:rFonts w:cs="Traditional Arabic"/>
          <w:sz w:val="20"/>
          <w:szCs w:val="30"/>
          <w:rtl/>
          <w:lang w:bidi="ar-EG"/>
        </w:rPr>
        <w:t xml:space="preserve">وعندما لا تتوفر عوامل الانبعاثات الخاصة بكل موقع فإن عوامل الانبعاثات المنشورة قد تستخدم لتوفير تقديرات تقريبية للانبعاثات. وقد تتوافر عوامل الانبعاثات المنشورة عن العملية الشاملة أو عن جهاز بعينه لضبط الزئبق. ولكن ينبغي أن يلاحظ أن هذه العوامل العامة </w:t>
      </w:r>
      <w:r w:rsidRPr="00335E4B">
        <w:rPr>
          <w:rFonts w:cs="Traditional Arabic" w:hint="cs"/>
          <w:sz w:val="20"/>
          <w:szCs w:val="30"/>
          <w:rtl/>
          <w:lang w:bidi="ar-EG"/>
        </w:rPr>
        <w:t>تقدم</w:t>
      </w:r>
      <w:r w:rsidRPr="00335E4B">
        <w:rPr>
          <w:rFonts w:cs="Traditional Arabic"/>
          <w:sz w:val="20"/>
          <w:szCs w:val="30"/>
          <w:rtl/>
          <w:lang w:bidi="ar-EG"/>
        </w:rPr>
        <w:t xml:space="preserve"> تقديرات للانبعاثات تنطوي على درجة عالية من عدم التأكد.</w:t>
      </w:r>
    </w:p>
    <w:p w:rsidR="00335E4B" w:rsidRPr="00335E4B" w:rsidRDefault="00335E4B" w:rsidP="001F4286">
      <w:pPr>
        <w:tabs>
          <w:tab w:val="left" w:pos="663"/>
          <w:tab w:val="left" w:pos="1117"/>
          <w:tab w:val="left" w:pos="2230"/>
          <w:tab w:val="center" w:pos="5468"/>
        </w:tabs>
        <w:spacing w:after="120" w:line="380" w:lineRule="exact"/>
        <w:jc w:val="both"/>
        <w:rPr>
          <w:rFonts w:cs="Traditional Arabic"/>
          <w:sz w:val="20"/>
          <w:szCs w:val="30"/>
          <w:rtl/>
          <w:lang w:bidi="ar-EG"/>
        </w:rPr>
      </w:pPr>
      <w:r w:rsidRPr="00335E4B">
        <w:rPr>
          <w:rFonts w:cs="Traditional Arabic"/>
          <w:sz w:val="20"/>
          <w:szCs w:val="30"/>
          <w:rtl/>
          <w:lang w:bidi="ar-EG"/>
        </w:rPr>
        <w:t xml:space="preserve">وبعد ما سبق، يمكن القول </w:t>
      </w:r>
      <w:r w:rsidRPr="00335E4B">
        <w:rPr>
          <w:rFonts w:cs="Traditional Arabic" w:hint="cs"/>
          <w:sz w:val="20"/>
          <w:szCs w:val="30"/>
          <w:rtl/>
          <w:lang w:bidi="ar-EG"/>
        </w:rPr>
        <w:t>بأنه في</w:t>
      </w:r>
      <w:r w:rsidRPr="00335E4B">
        <w:rPr>
          <w:rFonts w:cs="Traditional Arabic"/>
          <w:sz w:val="20"/>
          <w:szCs w:val="30"/>
          <w:rtl/>
          <w:lang w:bidi="ar-EG"/>
        </w:rPr>
        <w:t xml:space="preserve"> العمليات التي قد تنطوي على تباين في محتوى الزئبق في الوقود أو المواد الأولية، قد لا توفِّر </w:t>
      </w:r>
      <w:r w:rsidRPr="00335E4B">
        <w:rPr>
          <w:rFonts w:cs="Traditional Arabic" w:hint="cs"/>
          <w:sz w:val="20"/>
          <w:szCs w:val="30"/>
          <w:rtl/>
          <w:lang w:bidi="ar-EG"/>
        </w:rPr>
        <w:t xml:space="preserve">عوامل الانبعاثات </w:t>
      </w:r>
      <w:r w:rsidRPr="00335E4B">
        <w:rPr>
          <w:rFonts w:cs="Traditional Arabic"/>
          <w:sz w:val="20"/>
          <w:szCs w:val="30"/>
          <w:rtl/>
          <w:lang w:bidi="ar-EG"/>
        </w:rPr>
        <w:t>تقديرات موثوقة لانبعاثات الزئبق. وعلى سبيل المثال، فإن محتوى الزئبق في الوقود قد يتباين تبايناً كبيراً في غضون فترات قصيرة في ترميد النفايات في صناعة ال</w:t>
      </w:r>
      <w:r w:rsidRPr="00335E4B">
        <w:rPr>
          <w:rFonts w:cs="Traditional Arabic" w:hint="cs"/>
          <w:sz w:val="20"/>
          <w:szCs w:val="30"/>
          <w:rtl/>
          <w:lang w:bidi="ar-EG"/>
        </w:rPr>
        <w:t>إ</w:t>
      </w:r>
      <w:r w:rsidRPr="00335E4B">
        <w:rPr>
          <w:rFonts w:cs="Traditional Arabic"/>
          <w:sz w:val="20"/>
          <w:szCs w:val="30"/>
          <w:rtl/>
          <w:lang w:bidi="ar-EG"/>
        </w:rPr>
        <w:t>سمنت التي تستعمل وقود النفايات.</w:t>
      </w:r>
    </w:p>
    <w:p w:rsidR="00335E4B" w:rsidRPr="00335E4B" w:rsidRDefault="00335E4B" w:rsidP="001F4286">
      <w:pPr>
        <w:tabs>
          <w:tab w:val="left" w:pos="663"/>
          <w:tab w:val="left" w:pos="1117"/>
          <w:tab w:val="left" w:pos="2230"/>
          <w:tab w:val="center" w:pos="5468"/>
        </w:tabs>
        <w:spacing w:after="120" w:line="380" w:lineRule="exact"/>
        <w:jc w:val="both"/>
        <w:rPr>
          <w:rFonts w:cs="Traditional Arabic"/>
          <w:sz w:val="20"/>
          <w:szCs w:val="30"/>
          <w:rtl/>
          <w:lang w:bidi="ar-EG"/>
        </w:rPr>
      </w:pPr>
      <w:r w:rsidRPr="00335E4B">
        <w:rPr>
          <w:rFonts w:cs="Traditional Arabic"/>
          <w:sz w:val="20"/>
          <w:szCs w:val="30"/>
          <w:rtl/>
          <w:lang w:bidi="ar-EG"/>
        </w:rPr>
        <w:t>والمعادلة العامة لتقدير انبعاثات الزئبق باستعمال أحد عوامل الانبعاثات هي ما يلي:</w:t>
      </w:r>
    </w:p>
    <w:p w:rsidR="00335E4B" w:rsidRPr="00335E4B" w:rsidRDefault="00335E4B" w:rsidP="001F4286">
      <w:pPr>
        <w:spacing w:after="120" w:line="380" w:lineRule="exact"/>
        <w:ind w:left="709"/>
        <w:rPr>
          <w:rFonts w:cs="Traditional Arabic"/>
          <w:sz w:val="20"/>
          <w:szCs w:val="20"/>
          <w:rtl/>
          <w:lang w:bidi="ar-EG"/>
        </w:rPr>
      </w:pPr>
      <w:r w:rsidRPr="00335E4B">
        <w:rPr>
          <w:rFonts w:cs="Traditional Arabic"/>
          <w:sz w:val="20"/>
          <w:szCs w:val="20"/>
        </w:rPr>
        <w:t>E</w:t>
      </w:r>
      <w:r w:rsidRPr="00335E4B">
        <w:rPr>
          <w:rFonts w:cs="Traditional Arabic"/>
          <w:sz w:val="20"/>
          <w:szCs w:val="20"/>
          <w:vertAlign w:val="subscript"/>
        </w:rPr>
        <w:t>Hg</w:t>
      </w:r>
      <w:r w:rsidRPr="00335E4B">
        <w:rPr>
          <w:rFonts w:cs="Traditional Arabic"/>
          <w:sz w:val="20"/>
          <w:szCs w:val="20"/>
        </w:rPr>
        <w:t xml:space="preserve"> = BQ × CEF</w:t>
      </w:r>
      <w:r w:rsidRPr="00335E4B">
        <w:rPr>
          <w:rFonts w:cs="Traditional Arabic"/>
          <w:sz w:val="20"/>
          <w:szCs w:val="20"/>
          <w:vertAlign w:val="subscript"/>
        </w:rPr>
        <w:t>Hg</w:t>
      </w:r>
      <w:r w:rsidRPr="00335E4B">
        <w:rPr>
          <w:rFonts w:cs="Traditional Arabic"/>
          <w:sz w:val="20"/>
          <w:szCs w:val="20"/>
        </w:rPr>
        <w:t xml:space="preserve"> or</w:t>
      </w:r>
    </w:p>
    <w:p w:rsidR="00335E4B" w:rsidRPr="00335E4B" w:rsidRDefault="00335E4B" w:rsidP="001F4286">
      <w:pPr>
        <w:spacing w:line="380" w:lineRule="exact"/>
        <w:ind w:left="709"/>
        <w:rPr>
          <w:rFonts w:cs="Traditional Arabic"/>
          <w:sz w:val="20"/>
          <w:szCs w:val="20"/>
        </w:rPr>
      </w:pPr>
      <w:r w:rsidRPr="00335E4B">
        <w:rPr>
          <w:rFonts w:cs="Traditional Arabic"/>
          <w:sz w:val="20"/>
          <w:szCs w:val="20"/>
        </w:rPr>
        <w:t>E</w:t>
      </w:r>
      <w:r w:rsidRPr="00335E4B">
        <w:rPr>
          <w:rFonts w:cs="Traditional Arabic"/>
          <w:sz w:val="20"/>
          <w:szCs w:val="20"/>
          <w:vertAlign w:val="subscript"/>
        </w:rPr>
        <w:t>Hg</w:t>
      </w:r>
      <w:r w:rsidRPr="00335E4B">
        <w:rPr>
          <w:rFonts w:cs="Traditional Arabic"/>
          <w:sz w:val="20"/>
          <w:szCs w:val="20"/>
        </w:rPr>
        <w:t xml:space="preserve"> = BQ × EF</w:t>
      </w:r>
      <w:r w:rsidRPr="00335E4B">
        <w:rPr>
          <w:rFonts w:cs="Traditional Arabic"/>
          <w:sz w:val="20"/>
          <w:szCs w:val="20"/>
          <w:vertAlign w:val="subscript"/>
        </w:rPr>
        <w:t>Hg</w:t>
      </w:r>
      <w:r w:rsidRPr="00335E4B">
        <w:rPr>
          <w:rFonts w:cs="Traditional Arabic"/>
          <w:sz w:val="20"/>
          <w:szCs w:val="20"/>
        </w:rPr>
        <w:t xml:space="preserve"> × (100 – CE</w:t>
      </w:r>
      <w:r w:rsidRPr="00335E4B">
        <w:rPr>
          <w:rFonts w:cs="Traditional Arabic"/>
          <w:sz w:val="20"/>
          <w:szCs w:val="20"/>
          <w:vertAlign w:val="subscript"/>
        </w:rPr>
        <w:t>Hg</w:t>
      </w:r>
      <w:r w:rsidRPr="00335E4B">
        <w:rPr>
          <w:rFonts w:cs="Traditional Arabic"/>
          <w:sz w:val="20"/>
          <w:szCs w:val="20"/>
        </w:rPr>
        <w:t>)/100</w:t>
      </w:r>
    </w:p>
    <w:p w:rsidR="00335E4B" w:rsidRPr="00335E4B" w:rsidRDefault="00335E4B" w:rsidP="001F4286">
      <w:pPr>
        <w:tabs>
          <w:tab w:val="left" w:pos="663"/>
          <w:tab w:val="left" w:pos="1117"/>
          <w:tab w:val="left" w:pos="2230"/>
          <w:tab w:val="center" w:pos="5468"/>
        </w:tabs>
        <w:spacing w:line="380" w:lineRule="exact"/>
        <w:ind w:left="662"/>
        <w:jc w:val="lowKashida"/>
        <w:rPr>
          <w:rFonts w:cs="Traditional Arabic"/>
          <w:sz w:val="20"/>
          <w:szCs w:val="30"/>
          <w:rtl/>
          <w:lang w:bidi="ar-EG"/>
        </w:rPr>
      </w:pPr>
      <w:r w:rsidRPr="00335E4B">
        <w:rPr>
          <w:rFonts w:cs="Traditional Arabic"/>
          <w:sz w:val="20"/>
          <w:szCs w:val="30"/>
          <w:rtl/>
          <w:lang w:bidi="ar-EG"/>
        </w:rPr>
        <w:t>حيث:</w:t>
      </w:r>
    </w:p>
    <w:p w:rsidR="00335E4B" w:rsidRPr="00335E4B" w:rsidRDefault="00335E4B" w:rsidP="001F4286">
      <w:pPr>
        <w:tabs>
          <w:tab w:val="left" w:pos="663"/>
          <w:tab w:val="left" w:pos="1117"/>
          <w:tab w:val="left" w:pos="2230"/>
          <w:tab w:val="center" w:pos="5468"/>
        </w:tabs>
        <w:spacing w:line="380" w:lineRule="exact"/>
        <w:ind w:left="662"/>
        <w:jc w:val="lowKashida"/>
        <w:rPr>
          <w:rFonts w:cs="Traditional Arabic"/>
          <w:sz w:val="20"/>
          <w:szCs w:val="30"/>
          <w:rtl/>
          <w:lang w:bidi="ar-EG"/>
        </w:rPr>
      </w:pPr>
      <w:r w:rsidRPr="00335E4B">
        <w:rPr>
          <w:rFonts w:cs="Traditional Arabic"/>
          <w:sz w:val="20"/>
          <w:szCs w:val="20"/>
        </w:rPr>
        <w:t>E</w:t>
      </w:r>
      <w:r w:rsidRPr="00335E4B">
        <w:rPr>
          <w:rFonts w:cs="Traditional Arabic"/>
          <w:sz w:val="20"/>
          <w:szCs w:val="20"/>
          <w:vertAlign w:val="subscript"/>
        </w:rPr>
        <w:t>Hg</w:t>
      </w:r>
      <w:r w:rsidRPr="00335E4B">
        <w:rPr>
          <w:rFonts w:cs="Traditional Arabic"/>
          <w:sz w:val="20"/>
          <w:szCs w:val="30"/>
          <w:rtl/>
          <w:lang w:bidi="ar-EG"/>
        </w:rPr>
        <w:t xml:space="preserve"> = انبعاثات الزئبق (كيلوغرام أو غير ذلك من وحدات الكتلة)</w:t>
      </w:r>
    </w:p>
    <w:p w:rsidR="00335E4B" w:rsidRPr="00335E4B" w:rsidRDefault="00335E4B" w:rsidP="001F4286">
      <w:pPr>
        <w:tabs>
          <w:tab w:val="left" w:pos="663"/>
          <w:tab w:val="left" w:pos="1117"/>
          <w:tab w:val="left" w:pos="2230"/>
          <w:tab w:val="center" w:pos="5468"/>
        </w:tabs>
        <w:spacing w:line="380" w:lineRule="exact"/>
        <w:ind w:left="662"/>
        <w:jc w:val="lowKashida"/>
        <w:rPr>
          <w:rFonts w:cs="Traditional Arabic"/>
          <w:sz w:val="20"/>
          <w:szCs w:val="30"/>
          <w:rtl/>
          <w:lang w:bidi="ar-EG"/>
        </w:rPr>
      </w:pPr>
      <w:r w:rsidRPr="00335E4B">
        <w:rPr>
          <w:rFonts w:cs="Traditional Arabic"/>
          <w:sz w:val="20"/>
          <w:szCs w:val="20"/>
        </w:rPr>
        <w:t>BQ</w:t>
      </w:r>
      <w:r w:rsidRPr="00335E4B">
        <w:rPr>
          <w:rFonts w:cs="Traditional Arabic"/>
          <w:sz w:val="20"/>
          <w:szCs w:val="30"/>
          <w:rtl/>
          <w:lang w:bidi="ar-EG"/>
        </w:rPr>
        <w:t xml:space="preserve"> = معدل النشاط أو الكمية الأساسية (وحدة الكمية الأساسية)</w:t>
      </w:r>
    </w:p>
    <w:p w:rsidR="00335E4B" w:rsidRPr="00335E4B" w:rsidRDefault="00335E4B" w:rsidP="001F4286">
      <w:pPr>
        <w:tabs>
          <w:tab w:val="left" w:pos="663"/>
          <w:tab w:val="left" w:pos="1117"/>
          <w:tab w:val="left" w:pos="2230"/>
          <w:tab w:val="center" w:pos="5468"/>
        </w:tabs>
        <w:spacing w:line="380" w:lineRule="exact"/>
        <w:ind w:left="662"/>
        <w:jc w:val="lowKashida"/>
        <w:rPr>
          <w:rFonts w:cs="Traditional Arabic"/>
          <w:sz w:val="20"/>
          <w:szCs w:val="30"/>
          <w:rtl/>
          <w:lang w:bidi="ar-EG"/>
        </w:rPr>
      </w:pPr>
      <w:r w:rsidRPr="00335E4B">
        <w:rPr>
          <w:rFonts w:cs="Traditional Arabic"/>
          <w:sz w:val="20"/>
          <w:szCs w:val="20"/>
        </w:rPr>
        <w:t>CEF</w:t>
      </w:r>
      <w:r w:rsidRPr="00335E4B">
        <w:rPr>
          <w:rFonts w:cs="Traditional Arabic"/>
          <w:sz w:val="20"/>
          <w:szCs w:val="20"/>
          <w:vertAlign w:val="subscript"/>
        </w:rPr>
        <w:t>Hg</w:t>
      </w:r>
      <w:r w:rsidRPr="00335E4B">
        <w:rPr>
          <w:rFonts w:cs="Traditional Arabic"/>
          <w:sz w:val="20"/>
          <w:szCs w:val="20"/>
          <w:rtl/>
          <w:lang w:bidi="ar-EG"/>
        </w:rPr>
        <w:t xml:space="preserve"> </w:t>
      </w:r>
      <w:r w:rsidRPr="00335E4B">
        <w:rPr>
          <w:rFonts w:cs="Traditional Arabic"/>
          <w:sz w:val="20"/>
          <w:szCs w:val="30"/>
          <w:rtl/>
          <w:lang w:bidi="ar-EG"/>
        </w:rPr>
        <w:t>= عوامل انبعاثات الزئبق المضبوطة (</w:t>
      </w:r>
      <w:r w:rsidRPr="00335E4B">
        <w:rPr>
          <w:rFonts w:cs="Traditional Arabic"/>
          <w:sz w:val="20"/>
          <w:szCs w:val="20"/>
        </w:rPr>
        <w:t>kg/BQ</w:t>
      </w:r>
      <w:r w:rsidRPr="00335E4B">
        <w:rPr>
          <w:rFonts w:cs="Traditional Arabic"/>
          <w:sz w:val="20"/>
          <w:szCs w:val="30"/>
          <w:rtl/>
          <w:lang w:bidi="ar-EG"/>
        </w:rPr>
        <w:t>) [حسب نوع جهاز ضبط الانبعاثات الذي تم تركيبه]</w:t>
      </w:r>
    </w:p>
    <w:p w:rsidR="00335E4B" w:rsidRPr="00335E4B" w:rsidRDefault="00335E4B" w:rsidP="001F4286">
      <w:pPr>
        <w:tabs>
          <w:tab w:val="left" w:pos="663"/>
          <w:tab w:val="left" w:pos="1117"/>
          <w:tab w:val="left" w:pos="2230"/>
          <w:tab w:val="center" w:pos="5468"/>
        </w:tabs>
        <w:spacing w:line="380" w:lineRule="exact"/>
        <w:ind w:left="662"/>
        <w:jc w:val="lowKashida"/>
        <w:rPr>
          <w:rFonts w:cs="Traditional Arabic"/>
          <w:sz w:val="20"/>
          <w:szCs w:val="30"/>
          <w:rtl/>
          <w:lang w:bidi="ar-EG"/>
        </w:rPr>
      </w:pPr>
      <w:r w:rsidRPr="00335E4B">
        <w:rPr>
          <w:rFonts w:cs="Traditional Arabic"/>
          <w:sz w:val="20"/>
          <w:szCs w:val="20"/>
        </w:rPr>
        <w:t>EF</w:t>
      </w:r>
      <w:r w:rsidRPr="00335E4B">
        <w:rPr>
          <w:rFonts w:cs="Traditional Arabic"/>
          <w:sz w:val="20"/>
          <w:szCs w:val="20"/>
          <w:vertAlign w:val="subscript"/>
        </w:rPr>
        <w:t>Hg</w:t>
      </w:r>
      <w:r w:rsidRPr="00335E4B">
        <w:rPr>
          <w:rFonts w:cs="Traditional Arabic"/>
          <w:sz w:val="20"/>
          <w:szCs w:val="30"/>
          <w:rtl/>
          <w:lang w:bidi="ar-EG"/>
        </w:rPr>
        <w:t xml:space="preserve"> = عوامل انبعاثات الزئبق غير المضبوطة (</w:t>
      </w:r>
      <w:r w:rsidRPr="00335E4B">
        <w:rPr>
          <w:rFonts w:cs="Traditional Arabic"/>
          <w:sz w:val="20"/>
          <w:szCs w:val="20"/>
        </w:rPr>
        <w:t>kg/BQ</w:t>
      </w:r>
      <w:r w:rsidRPr="00335E4B">
        <w:rPr>
          <w:rFonts w:cs="Traditional Arabic"/>
          <w:sz w:val="20"/>
          <w:szCs w:val="30"/>
          <w:rtl/>
          <w:lang w:bidi="ar-EG"/>
        </w:rPr>
        <w:t>)</w:t>
      </w:r>
    </w:p>
    <w:p w:rsidR="00335E4B" w:rsidRPr="00335E4B" w:rsidRDefault="00335E4B" w:rsidP="001F4286">
      <w:pPr>
        <w:tabs>
          <w:tab w:val="left" w:pos="663"/>
          <w:tab w:val="left" w:pos="1117"/>
          <w:tab w:val="left" w:pos="2230"/>
          <w:tab w:val="center" w:pos="5468"/>
        </w:tabs>
        <w:spacing w:after="120" w:line="380" w:lineRule="exact"/>
        <w:ind w:left="662"/>
        <w:jc w:val="lowKashida"/>
        <w:rPr>
          <w:rFonts w:cs="Traditional Arabic"/>
          <w:sz w:val="20"/>
          <w:szCs w:val="30"/>
          <w:rtl/>
          <w:lang w:bidi="ar-EG"/>
        </w:rPr>
      </w:pPr>
      <w:r w:rsidRPr="00335E4B">
        <w:rPr>
          <w:rFonts w:cs="Traditional Arabic"/>
          <w:sz w:val="20"/>
          <w:szCs w:val="20"/>
        </w:rPr>
        <w:t>CE</w:t>
      </w:r>
      <w:r w:rsidRPr="00335E4B">
        <w:rPr>
          <w:rFonts w:cs="Traditional Arabic"/>
          <w:sz w:val="20"/>
          <w:szCs w:val="20"/>
          <w:vertAlign w:val="subscript"/>
        </w:rPr>
        <w:t>Hg</w:t>
      </w:r>
      <w:r w:rsidRPr="00335E4B">
        <w:rPr>
          <w:rFonts w:cs="Traditional Arabic"/>
          <w:sz w:val="20"/>
          <w:szCs w:val="30"/>
          <w:rtl/>
          <w:lang w:bidi="ar-EG"/>
        </w:rPr>
        <w:t xml:space="preserve"> = كفاءة ضبط انبعاثات الزئبق الشاملة (النسبة المئوية)</w:t>
      </w:r>
    </w:p>
    <w:p w:rsidR="00335E4B" w:rsidRPr="00335E4B" w:rsidRDefault="00335E4B" w:rsidP="001F4286">
      <w:pPr>
        <w:keepNext/>
        <w:spacing w:before="120" w:after="120" w:line="380" w:lineRule="exact"/>
        <w:ind w:left="1132" w:hanging="1132"/>
        <w:jc w:val="both"/>
        <w:outlineLvl w:val="0"/>
        <w:rPr>
          <w:rFonts w:cs="Traditional Arabic"/>
          <w:b/>
          <w:bCs/>
          <w:sz w:val="30"/>
          <w:szCs w:val="30"/>
          <w:rtl/>
        </w:rPr>
      </w:pPr>
      <w:bookmarkStart w:id="355" w:name="_Toc440451897"/>
      <w:bookmarkStart w:id="356" w:name="_Toc440452466"/>
      <w:bookmarkStart w:id="357" w:name="_Toc441577705"/>
      <w:bookmarkStart w:id="358" w:name="_Toc441577884"/>
      <w:bookmarkStart w:id="359" w:name="_Toc441579110"/>
      <w:bookmarkStart w:id="360" w:name="_Toc441580718"/>
      <w:bookmarkStart w:id="361" w:name="_Toc441585849"/>
      <w:bookmarkStart w:id="362" w:name="_Toc441586185"/>
      <w:bookmarkStart w:id="363" w:name="_Toc441586635"/>
      <w:bookmarkStart w:id="364" w:name="_Toc441586814"/>
      <w:bookmarkStart w:id="365" w:name="_Toc441666663"/>
      <w:bookmarkStart w:id="366" w:name="_Toc441673724"/>
      <w:r w:rsidRPr="00335E4B">
        <w:rPr>
          <w:rFonts w:cs="Traditional Arabic" w:hint="cs"/>
          <w:b/>
          <w:bCs/>
          <w:sz w:val="30"/>
          <w:szCs w:val="30"/>
          <w:rtl/>
        </w:rPr>
        <w:t>2</w:t>
      </w:r>
      <w:r w:rsidRPr="00335E4B">
        <w:rPr>
          <w:rFonts w:cs="Traditional Arabic"/>
          <w:b/>
          <w:bCs/>
          <w:sz w:val="30"/>
          <w:szCs w:val="30"/>
          <w:rtl/>
        </w:rPr>
        <w:t>-5-4</w:t>
      </w:r>
      <w:r w:rsidRPr="00335E4B">
        <w:rPr>
          <w:rFonts w:cs="Traditional Arabic"/>
          <w:b/>
          <w:bCs/>
          <w:sz w:val="30"/>
          <w:szCs w:val="30"/>
          <w:rtl/>
        </w:rPr>
        <w:tab/>
        <w:t>التقديرات الهندسية</w:t>
      </w:r>
      <w:bookmarkEnd w:id="355"/>
      <w:bookmarkEnd w:id="356"/>
      <w:bookmarkEnd w:id="357"/>
      <w:bookmarkEnd w:id="358"/>
      <w:bookmarkEnd w:id="359"/>
      <w:bookmarkEnd w:id="360"/>
      <w:bookmarkEnd w:id="361"/>
      <w:bookmarkEnd w:id="362"/>
      <w:bookmarkEnd w:id="363"/>
      <w:bookmarkEnd w:id="364"/>
      <w:bookmarkEnd w:id="365"/>
      <w:bookmarkEnd w:id="366"/>
    </w:p>
    <w:p w:rsidR="00335E4B" w:rsidRPr="00335E4B" w:rsidRDefault="00335E4B" w:rsidP="001F4286">
      <w:pPr>
        <w:tabs>
          <w:tab w:val="left" w:pos="663"/>
          <w:tab w:val="left" w:pos="1117"/>
          <w:tab w:val="left" w:pos="2230"/>
          <w:tab w:val="center" w:pos="5468"/>
        </w:tabs>
        <w:spacing w:after="120" w:line="380" w:lineRule="exact"/>
        <w:jc w:val="lowKashida"/>
        <w:rPr>
          <w:rFonts w:cs="Traditional Arabic"/>
          <w:sz w:val="20"/>
          <w:szCs w:val="30"/>
          <w:rtl/>
          <w:lang w:bidi="ar-EG"/>
        </w:rPr>
      </w:pPr>
      <w:r w:rsidRPr="00335E4B">
        <w:rPr>
          <w:rFonts w:cs="Traditional Arabic"/>
          <w:sz w:val="20"/>
          <w:szCs w:val="30"/>
          <w:rtl/>
          <w:lang w:bidi="ar-EG"/>
        </w:rPr>
        <w:t xml:space="preserve">يمكن أيضاً الحصول على تقديرات عامة لانبعاثات الزئبق باستعمال المبادئ الهندسية ومعرفة العمليات الكيميائية والفيزيائية ذات الصلة وتطبيق القوانين الكيميائية والفيزيائية </w:t>
      </w:r>
      <w:r w:rsidRPr="00335E4B">
        <w:rPr>
          <w:rFonts w:cs="Traditional Arabic" w:hint="cs"/>
          <w:sz w:val="20"/>
          <w:szCs w:val="30"/>
          <w:rtl/>
          <w:lang w:bidi="ar-EG"/>
        </w:rPr>
        <w:t>المعنية</w:t>
      </w:r>
      <w:r w:rsidRPr="00335E4B">
        <w:rPr>
          <w:rFonts w:cs="Traditional Arabic"/>
          <w:sz w:val="20"/>
          <w:szCs w:val="30"/>
          <w:rtl/>
          <w:lang w:bidi="ar-EG"/>
        </w:rPr>
        <w:t xml:space="preserve"> ومعرفة الخصائص التي يتميَّز بها كل موقع على حدة.</w:t>
      </w:r>
    </w:p>
    <w:p w:rsidR="00335E4B" w:rsidRPr="00335E4B" w:rsidRDefault="00335E4B" w:rsidP="001F4286">
      <w:pPr>
        <w:tabs>
          <w:tab w:val="left" w:pos="663"/>
          <w:tab w:val="left" w:pos="1117"/>
          <w:tab w:val="left" w:pos="2230"/>
          <w:tab w:val="center" w:pos="5468"/>
        </w:tabs>
        <w:spacing w:after="120" w:line="380" w:lineRule="exact"/>
        <w:jc w:val="lowKashida"/>
        <w:rPr>
          <w:rFonts w:cs="Traditional Arabic"/>
          <w:sz w:val="20"/>
          <w:szCs w:val="30"/>
          <w:rtl/>
          <w:lang w:bidi="ar-EG"/>
        </w:rPr>
      </w:pPr>
      <w:r w:rsidRPr="00335E4B">
        <w:rPr>
          <w:rFonts w:cs="Traditional Arabic"/>
          <w:sz w:val="20"/>
          <w:szCs w:val="30"/>
          <w:rtl/>
          <w:lang w:bidi="ar-EG"/>
        </w:rPr>
        <w:t>وعلى سبيل المثال، يمكن تقدير الانبعاثات السنوية للزئبق من استعمال الوقود على النحو التالي:</w:t>
      </w:r>
    </w:p>
    <w:p w:rsidR="00335E4B" w:rsidRPr="00335E4B" w:rsidRDefault="00335E4B" w:rsidP="001F4286">
      <w:pPr>
        <w:keepNext/>
        <w:keepLines/>
        <w:spacing w:line="380" w:lineRule="exact"/>
        <w:ind w:left="708"/>
        <w:rPr>
          <w:rFonts w:cs="Traditional Arabic"/>
          <w:sz w:val="20"/>
          <w:szCs w:val="20"/>
        </w:rPr>
      </w:pPr>
      <w:r w:rsidRPr="00335E4B">
        <w:rPr>
          <w:rFonts w:cs="Traditional Arabic"/>
          <w:sz w:val="20"/>
          <w:szCs w:val="20"/>
        </w:rPr>
        <w:t>E</w:t>
      </w:r>
      <w:r w:rsidRPr="00335E4B">
        <w:rPr>
          <w:rFonts w:cs="Traditional Arabic"/>
          <w:sz w:val="20"/>
          <w:szCs w:val="20"/>
          <w:vertAlign w:val="subscript"/>
        </w:rPr>
        <w:t>Hg</w:t>
      </w:r>
      <w:r w:rsidRPr="00335E4B">
        <w:rPr>
          <w:rFonts w:cs="Traditional Arabic"/>
          <w:sz w:val="20"/>
          <w:szCs w:val="20"/>
        </w:rPr>
        <w:t xml:space="preserve"> = Q</w:t>
      </w:r>
      <w:r w:rsidRPr="00335E4B">
        <w:rPr>
          <w:rFonts w:cs="Traditional Arabic"/>
          <w:sz w:val="20"/>
          <w:szCs w:val="20"/>
          <w:vertAlign w:val="subscript"/>
        </w:rPr>
        <w:t>F</w:t>
      </w:r>
      <w:r w:rsidRPr="00335E4B">
        <w:rPr>
          <w:rFonts w:cs="Traditional Arabic"/>
          <w:sz w:val="20"/>
          <w:szCs w:val="20"/>
        </w:rPr>
        <w:t xml:space="preserve"> × % Hg × T</w:t>
      </w:r>
    </w:p>
    <w:p w:rsidR="00335E4B" w:rsidRPr="00335E4B" w:rsidRDefault="00335E4B" w:rsidP="001F4286">
      <w:pPr>
        <w:tabs>
          <w:tab w:val="left" w:pos="663"/>
          <w:tab w:val="left" w:pos="1117"/>
          <w:tab w:val="left" w:pos="2230"/>
          <w:tab w:val="center" w:pos="5468"/>
        </w:tabs>
        <w:spacing w:line="380" w:lineRule="exact"/>
        <w:ind w:left="662"/>
        <w:jc w:val="lowKashida"/>
        <w:rPr>
          <w:rFonts w:cs="Traditional Arabic"/>
          <w:sz w:val="20"/>
          <w:szCs w:val="30"/>
          <w:rtl/>
          <w:lang w:bidi="ar-EG"/>
        </w:rPr>
      </w:pPr>
      <w:r w:rsidRPr="00335E4B">
        <w:rPr>
          <w:rFonts w:cs="Traditional Arabic"/>
          <w:sz w:val="20"/>
          <w:szCs w:val="30"/>
          <w:rtl/>
          <w:lang w:bidi="ar-EG"/>
        </w:rPr>
        <w:t>حيث</w:t>
      </w:r>
    </w:p>
    <w:p w:rsidR="00335E4B" w:rsidRPr="00335E4B" w:rsidRDefault="00335E4B" w:rsidP="001F4286">
      <w:pPr>
        <w:tabs>
          <w:tab w:val="left" w:pos="663"/>
          <w:tab w:val="left" w:pos="1117"/>
          <w:tab w:val="left" w:pos="2230"/>
          <w:tab w:val="center" w:pos="5468"/>
        </w:tabs>
        <w:spacing w:line="380" w:lineRule="exact"/>
        <w:ind w:left="662"/>
        <w:jc w:val="lowKashida"/>
        <w:rPr>
          <w:rFonts w:cs="Traditional Arabic"/>
          <w:sz w:val="20"/>
          <w:szCs w:val="30"/>
          <w:rtl/>
          <w:lang w:bidi="ar-EG"/>
        </w:rPr>
      </w:pPr>
      <w:r w:rsidRPr="00335E4B">
        <w:rPr>
          <w:rFonts w:cs="Traditional Arabic"/>
          <w:sz w:val="20"/>
          <w:szCs w:val="20"/>
        </w:rPr>
        <w:t>E</w:t>
      </w:r>
      <w:r w:rsidRPr="00335E4B">
        <w:rPr>
          <w:rFonts w:cs="Traditional Arabic"/>
          <w:sz w:val="20"/>
          <w:szCs w:val="20"/>
          <w:vertAlign w:val="subscript"/>
        </w:rPr>
        <w:t>Hg</w:t>
      </w:r>
      <w:r w:rsidRPr="00335E4B">
        <w:rPr>
          <w:rFonts w:cs="Traditional Arabic"/>
          <w:sz w:val="20"/>
          <w:szCs w:val="30"/>
          <w:rtl/>
          <w:lang w:bidi="ar-EG"/>
        </w:rPr>
        <w:t xml:space="preserve"> = الانبعاثات السنوية للزئبق (كغ/سنة)</w:t>
      </w:r>
    </w:p>
    <w:p w:rsidR="00335E4B" w:rsidRPr="00335E4B" w:rsidRDefault="00335E4B" w:rsidP="001F4286">
      <w:pPr>
        <w:tabs>
          <w:tab w:val="left" w:pos="663"/>
          <w:tab w:val="left" w:pos="1117"/>
          <w:tab w:val="left" w:pos="2230"/>
          <w:tab w:val="center" w:pos="5468"/>
        </w:tabs>
        <w:spacing w:line="380" w:lineRule="exact"/>
        <w:ind w:left="662"/>
        <w:jc w:val="lowKashida"/>
        <w:rPr>
          <w:rFonts w:cs="Traditional Arabic"/>
          <w:sz w:val="20"/>
          <w:szCs w:val="30"/>
          <w:rtl/>
          <w:lang w:bidi="ar-EG"/>
        </w:rPr>
      </w:pPr>
      <w:r w:rsidRPr="00335E4B">
        <w:rPr>
          <w:rFonts w:cs="Traditional Arabic"/>
          <w:sz w:val="20"/>
          <w:szCs w:val="20"/>
        </w:rPr>
        <w:t>Q</w:t>
      </w:r>
      <w:r w:rsidRPr="00335E4B">
        <w:rPr>
          <w:rFonts w:cs="Traditional Arabic"/>
          <w:sz w:val="20"/>
          <w:szCs w:val="20"/>
          <w:vertAlign w:val="subscript"/>
        </w:rPr>
        <w:t>F</w:t>
      </w:r>
      <w:r w:rsidRPr="00335E4B">
        <w:rPr>
          <w:rFonts w:cs="Traditional Arabic"/>
          <w:sz w:val="20"/>
          <w:szCs w:val="30"/>
          <w:rtl/>
          <w:lang w:bidi="ar-EG"/>
        </w:rPr>
        <w:t xml:space="preserve"> = معدل استعمال الوقود (كغ/ساعة)</w:t>
      </w:r>
    </w:p>
    <w:p w:rsidR="00335E4B" w:rsidRPr="00335E4B" w:rsidRDefault="00335E4B" w:rsidP="001F4286">
      <w:pPr>
        <w:tabs>
          <w:tab w:val="left" w:pos="663"/>
          <w:tab w:val="left" w:pos="1117"/>
          <w:tab w:val="left" w:pos="2230"/>
          <w:tab w:val="center" w:pos="5468"/>
        </w:tabs>
        <w:spacing w:line="380" w:lineRule="exact"/>
        <w:ind w:left="662"/>
        <w:jc w:val="lowKashida"/>
        <w:rPr>
          <w:rFonts w:cs="Traditional Arabic"/>
          <w:sz w:val="20"/>
          <w:szCs w:val="30"/>
          <w:rtl/>
          <w:lang w:bidi="ar-EG"/>
        </w:rPr>
      </w:pPr>
      <w:r w:rsidRPr="00335E4B">
        <w:rPr>
          <w:rFonts w:cs="Traditional Arabic"/>
          <w:sz w:val="20"/>
          <w:szCs w:val="20"/>
        </w:rPr>
        <w:t>% Hg</w:t>
      </w:r>
      <w:r w:rsidRPr="00335E4B">
        <w:rPr>
          <w:rFonts w:cs="Traditional Arabic"/>
          <w:sz w:val="20"/>
          <w:szCs w:val="30"/>
          <w:rtl/>
          <w:lang w:bidi="ar-EG"/>
        </w:rPr>
        <w:t xml:space="preserve"> = النسبة المئوية للزئبق في الوقود، بالوزن</w:t>
      </w:r>
    </w:p>
    <w:p w:rsidR="00335E4B" w:rsidRPr="00335E4B" w:rsidRDefault="00335E4B" w:rsidP="001F4286">
      <w:pPr>
        <w:tabs>
          <w:tab w:val="left" w:pos="663"/>
          <w:tab w:val="left" w:pos="1117"/>
          <w:tab w:val="left" w:pos="2230"/>
          <w:tab w:val="center" w:pos="5468"/>
        </w:tabs>
        <w:spacing w:after="120" w:line="380" w:lineRule="exact"/>
        <w:ind w:left="662"/>
        <w:jc w:val="lowKashida"/>
        <w:rPr>
          <w:rFonts w:cs="Traditional Arabic"/>
          <w:sz w:val="20"/>
          <w:szCs w:val="30"/>
          <w:rtl/>
          <w:lang w:bidi="ar-EG"/>
        </w:rPr>
      </w:pPr>
      <w:r w:rsidRPr="00335E4B">
        <w:rPr>
          <w:rFonts w:cs="Traditional Arabic"/>
          <w:sz w:val="20"/>
          <w:szCs w:val="20"/>
        </w:rPr>
        <w:t>T</w:t>
      </w:r>
      <w:r w:rsidRPr="00335E4B">
        <w:rPr>
          <w:rFonts w:cs="Traditional Arabic"/>
          <w:sz w:val="20"/>
          <w:szCs w:val="30"/>
          <w:rtl/>
          <w:lang w:bidi="ar-EG"/>
        </w:rPr>
        <w:t xml:space="preserve"> = وقت التشغيل (ساعة/سنة)</w:t>
      </w:r>
    </w:p>
    <w:p w:rsidR="00335E4B" w:rsidRPr="00335E4B" w:rsidRDefault="00335E4B" w:rsidP="001F4286">
      <w:pPr>
        <w:spacing w:after="120" w:line="380" w:lineRule="exact"/>
        <w:jc w:val="both"/>
        <w:rPr>
          <w:rFonts w:cs="Traditional Arabic"/>
          <w:sz w:val="20"/>
          <w:szCs w:val="30"/>
          <w:rtl/>
          <w:lang w:bidi="ar-EG"/>
        </w:rPr>
      </w:pPr>
      <w:r w:rsidRPr="00335E4B">
        <w:rPr>
          <w:rFonts w:cs="Traditional Arabic"/>
          <w:sz w:val="20"/>
          <w:szCs w:val="30"/>
          <w:rtl/>
          <w:lang w:bidi="ar-EG"/>
        </w:rPr>
        <w:t>ولا ينبغي النظر في استعمال التقديرات الهندسية إلاّ باعتبارها تقريباً عاماً سريعاً ينطوي على درجة عالية من عدم التأكد. ولتحسين دقة هذه التقديرات، ينبغي مقارنة النتائج التي يتم الحصول عليها من التقديرات الهندسية دورياً مع البيانات التي يتم الحصول عليها من أساليب القياس المباشر. وعندما تتوفر المعلومات الخاصة بكل موقع على حدة فمن المنتظر أن توفِّر هذه البيانات معلومات أكثر فائدة وستكون الأفضل من ناحية فهم معدلات انبعاثات المصدر الفعلية. والتقديرات الهندسية هي الملاذ الأخير عندما لا توجد بيانات عن الانبعاثات أو عوامل الانبعاثات.</w:t>
      </w:r>
    </w:p>
    <w:p w:rsidR="00335E4B" w:rsidRPr="00335E4B" w:rsidRDefault="00335E4B" w:rsidP="001F4286">
      <w:pPr>
        <w:keepNext/>
        <w:spacing w:before="120" w:after="120" w:line="380" w:lineRule="exact"/>
        <w:ind w:left="992" w:hanging="992"/>
        <w:jc w:val="both"/>
        <w:outlineLvl w:val="0"/>
        <w:rPr>
          <w:rFonts w:cs="Traditional Arabic"/>
          <w:b/>
          <w:bCs/>
          <w:sz w:val="30"/>
          <w:szCs w:val="30"/>
          <w:rtl/>
        </w:rPr>
      </w:pPr>
      <w:bookmarkStart w:id="367" w:name="_Toc440451898"/>
      <w:bookmarkStart w:id="368" w:name="_Toc440452467"/>
      <w:bookmarkStart w:id="369" w:name="_Toc441577706"/>
      <w:bookmarkStart w:id="370" w:name="_Toc441577885"/>
      <w:bookmarkStart w:id="371" w:name="_Toc441579111"/>
      <w:bookmarkStart w:id="372" w:name="_Toc441580719"/>
      <w:bookmarkStart w:id="373" w:name="_Toc441585850"/>
      <w:bookmarkStart w:id="374" w:name="_Toc441586186"/>
      <w:bookmarkStart w:id="375" w:name="_Toc441586636"/>
      <w:bookmarkStart w:id="376" w:name="_Toc441586815"/>
      <w:bookmarkStart w:id="377" w:name="_Toc441666664"/>
      <w:bookmarkStart w:id="378" w:name="_Toc441673725"/>
      <w:r w:rsidRPr="00335E4B">
        <w:rPr>
          <w:rFonts w:cs="Traditional Arabic" w:hint="cs"/>
          <w:b/>
          <w:bCs/>
          <w:sz w:val="30"/>
          <w:szCs w:val="30"/>
          <w:rtl/>
        </w:rPr>
        <w:t>2</w:t>
      </w:r>
      <w:r w:rsidRPr="00335E4B">
        <w:rPr>
          <w:rFonts w:cs="Traditional Arabic"/>
          <w:b/>
          <w:bCs/>
          <w:sz w:val="30"/>
          <w:szCs w:val="30"/>
          <w:rtl/>
        </w:rPr>
        <w:t>-5-5</w:t>
      </w:r>
      <w:r w:rsidRPr="00335E4B">
        <w:rPr>
          <w:rFonts w:cs="Traditional Arabic"/>
          <w:b/>
          <w:bCs/>
          <w:sz w:val="30"/>
          <w:szCs w:val="30"/>
          <w:rtl/>
        </w:rPr>
        <w:tab/>
        <w:t>التبليغ عن الانبعاثات</w:t>
      </w:r>
      <w:bookmarkEnd w:id="367"/>
      <w:bookmarkEnd w:id="368"/>
      <w:bookmarkEnd w:id="369"/>
      <w:bookmarkEnd w:id="370"/>
      <w:bookmarkEnd w:id="371"/>
      <w:bookmarkEnd w:id="372"/>
      <w:bookmarkEnd w:id="373"/>
      <w:bookmarkEnd w:id="374"/>
      <w:bookmarkEnd w:id="375"/>
      <w:bookmarkEnd w:id="376"/>
      <w:bookmarkEnd w:id="377"/>
      <w:bookmarkEnd w:id="378"/>
    </w:p>
    <w:p w:rsidR="00335E4B" w:rsidRPr="00335E4B" w:rsidRDefault="00335E4B" w:rsidP="001F4286">
      <w:pPr>
        <w:spacing w:after="120" w:line="380" w:lineRule="exact"/>
        <w:jc w:val="both"/>
        <w:rPr>
          <w:rFonts w:cs="Traditional Arabic"/>
          <w:sz w:val="20"/>
          <w:szCs w:val="30"/>
          <w:rtl/>
          <w:lang w:bidi="ar-EG"/>
        </w:rPr>
      </w:pPr>
      <w:r w:rsidRPr="00335E4B">
        <w:rPr>
          <w:rFonts w:cs="Traditional Arabic"/>
          <w:sz w:val="20"/>
          <w:szCs w:val="30"/>
          <w:rtl/>
          <w:lang w:bidi="ar-EG"/>
        </w:rPr>
        <w:t>التبليغ عن الانبعاثات يمثل جزءاً جوهرياً من دورة رصد الانبعاثات على مستوى المرفق.</w:t>
      </w:r>
    </w:p>
    <w:p w:rsidR="00335E4B" w:rsidRPr="00335E4B" w:rsidRDefault="00335E4B" w:rsidP="001F4286">
      <w:pPr>
        <w:spacing w:after="120" w:line="380" w:lineRule="exact"/>
        <w:jc w:val="both"/>
        <w:rPr>
          <w:rFonts w:cs="Traditional Arabic"/>
          <w:sz w:val="20"/>
          <w:szCs w:val="30"/>
          <w:rtl/>
          <w:lang w:bidi="ar-EG"/>
        </w:rPr>
      </w:pPr>
      <w:r w:rsidRPr="00335E4B">
        <w:rPr>
          <w:rFonts w:cs="Traditional Arabic"/>
          <w:sz w:val="20"/>
          <w:szCs w:val="30"/>
          <w:rtl/>
          <w:lang w:bidi="ar-EG"/>
        </w:rPr>
        <w:t>وعندما يكون من الواجب إثبات الالتزام بتدبير قانوني أو تنظيمي فإن المشغِّل يضطلع عموماً بالمسؤولية عن التبليغ عن نتائج الرصد إلى السلطة المختصة. وبالإضافة إلى ذلك، تشكِّل البيانات على مستوى المرفق عنصراً جوهرياً في قوائم</w:t>
      </w:r>
      <w:r w:rsidRPr="00335E4B">
        <w:rPr>
          <w:rFonts w:cs="Traditional Arabic" w:hint="cs"/>
          <w:sz w:val="20"/>
          <w:szCs w:val="30"/>
          <w:rtl/>
          <w:lang w:bidi="ar-EG"/>
        </w:rPr>
        <w:t xml:space="preserve"> جرد</w:t>
      </w:r>
      <w:r w:rsidRPr="00335E4B">
        <w:rPr>
          <w:rFonts w:cs="Traditional Arabic"/>
          <w:sz w:val="20"/>
          <w:szCs w:val="30"/>
          <w:rtl/>
          <w:lang w:bidi="ar-EG"/>
        </w:rPr>
        <w:t xml:space="preserve"> الانبعاثات الوطنية التي يتم تجميعها باستعمال نهج صاعد من أسفل إلى أعلى. وحتى إذا لم يكن التبليغ عن الانبعاثات مطلوباً صراحة فإنه يعتبر من أفضل الممارسات لتقاسم البيانات بصورة طوعية مع السلطات المعنية ومع الجمهور المعني.</w:t>
      </w:r>
    </w:p>
    <w:p w:rsidR="00335E4B" w:rsidRPr="00335E4B" w:rsidRDefault="00335E4B" w:rsidP="001F4286">
      <w:pPr>
        <w:spacing w:after="120" w:line="380" w:lineRule="exact"/>
        <w:jc w:val="both"/>
        <w:rPr>
          <w:rFonts w:cs="Traditional Arabic"/>
          <w:sz w:val="20"/>
          <w:szCs w:val="30"/>
          <w:rtl/>
          <w:lang w:bidi="ar-EG"/>
        </w:rPr>
      </w:pPr>
      <w:r w:rsidRPr="00335E4B">
        <w:rPr>
          <w:rFonts w:cs="Traditional Arabic"/>
          <w:sz w:val="20"/>
          <w:szCs w:val="30"/>
          <w:rtl/>
          <w:lang w:bidi="ar-EG"/>
        </w:rPr>
        <w:t xml:space="preserve">والتبليغ عن رصد الانبعاثات ينطوي على تلخيص وعرض نتائج الرصد والمعلومات المتصلة </w:t>
      </w:r>
      <w:r w:rsidRPr="00335E4B">
        <w:rPr>
          <w:rFonts w:cs="Traditional Arabic" w:hint="cs"/>
          <w:sz w:val="20"/>
          <w:szCs w:val="30"/>
          <w:rtl/>
          <w:lang w:bidi="ar-EG"/>
        </w:rPr>
        <w:t>بذلك</w:t>
      </w:r>
      <w:r w:rsidRPr="00335E4B">
        <w:rPr>
          <w:rFonts w:cs="Traditional Arabic"/>
          <w:sz w:val="20"/>
          <w:szCs w:val="30"/>
          <w:rtl/>
          <w:lang w:bidi="ar-EG"/>
        </w:rPr>
        <w:t>، مثل ضمان الجودة وأساليب ضبط الجودة، بطريقة فعالة، وفقاً لاحتياجات الجمهور المقصود. وينبغي أن يكون التقرير واضحاً وشفافاً ودقيقاً. وينبغي عرض النتائج في نسق مفيد يوضح المعلومات.</w:t>
      </w:r>
    </w:p>
    <w:p w:rsidR="00335E4B" w:rsidRPr="00335E4B" w:rsidRDefault="00335E4B" w:rsidP="001F4286">
      <w:pPr>
        <w:spacing w:after="120" w:line="380" w:lineRule="exact"/>
        <w:jc w:val="both"/>
        <w:rPr>
          <w:rFonts w:cs="Traditional Arabic"/>
          <w:sz w:val="20"/>
          <w:szCs w:val="30"/>
          <w:rtl/>
          <w:lang w:bidi="ar-EG"/>
        </w:rPr>
      </w:pPr>
      <w:r w:rsidRPr="00335E4B">
        <w:rPr>
          <w:rFonts w:cs="Traditional Arabic"/>
          <w:sz w:val="20"/>
          <w:szCs w:val="30"/>
          <w:rtl/>
          <w:lang w:bidi="ar-EG"/>
        </w:rPr>
        <w:t xml:space="preserve">وينبغي التعبير عن انبعاثات الزئبق بطريقة أو أكثر من الطرق التالية: تركيز الزئبق في الغاز الخارج؛ </w:t>
      </w:r>
      <w:r w:rsidRPr="00335E4B">
        <w:rPr>
          <w:rFonts w:cs="Traditional Arabic" w:hint="cs"/>
          <w:sz w:val="20"/>
          <w:szCs w:val="30"/>
          <w:rtl/>
          <w:lang w:bidi="ar-EG"/>
        </w:rPr>
        <w:t>كتلة</w:t>
      </w:r>
      <w:r w:rsidRPr="00335E4B">
        <w:rPr>
          <w:rFonts w:cs="Traditional Arabic"/>
          <w:sz w:val="20"/>
          <w:szCs w:val="30"/>
          <w:rtl/>
          <w:lang w:bidi="ar-EG"/>
        </w:rPr>
        <w:t xml:space="preserve"> الزئبق المنبعثة </w:t>
      </w:r>
      <w:r w:rsidRPr="00335E4B">
        <w:rPr>
          <w:rFonts w:cs="Traditional Arabic" w:hint="cs"/>
          <w:sz w:val="20"/>
          <w:szCs w:val="30"/>
          <w:rtl/>
          <w:lang w:bidi="ar-EG"/>
        </w:rPr>
        <w:t>بالنسبة ل</w:t>
      </w:r>
      <w:r w:rsidRPr="00335E4B">
        <w:rPr>
          <w:rFonts w:cs="Traditional Arabic"/>
          <w:sz w:val="20"/>
          <w:szCs w:val="30"/>
          <w:rtl/>
          <w:lang w:bidi="ar-EG"/>
        </w:rPr>
        <w:t>كمية الناتج الذي يتم إنتاجه (عامل الانبعاث)؛ وكتلة انبعاثات الزئبق في فترة زمنية معيَّنة (يومياً أو سنوياً على سبيل المثال).</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 xml:space="preserve">وينبغي مناقشة اعتبارات النوعية المتصلة بأخذ العينات </w:t>
      </w:r>
      <w:r w:rsidRPr="00335E4B">
        <w:rPr>
          <w:rFonts w:cs="Traditional Arabic" w:hint="cs"/>
          <w:sz w:val="20"/>
          <w:szCs w:val="30"/>
          <w:rtl/>
          <w:lang w:bidi="ar-EG"/>
        </w:rPr>
        <w:t>والتحليل</w:t>
      </w:r>
      <w:r w:rsidRPr="00335E4B">
        <w:rPr>
          <w:rFonts w:cs="Traditional Arabic"/>
          <w:sz w:val="20"/>
          <w:szCs w:val="30"/>
          <w:rtl/>
          <w:lang w:bidi="ar-EG"/>
        </w:rPr>
        <w:t xml:space="preserve"> </w:t>
      </w:r>
      <w:r w:rsidRPr="00335E4B">
        <w:rPr>
          <w:rFonts w:cs="Traditional Arabic" w:hint="cs"/>
          <w:sz w:val="20"/>
          <w:szCs w:val="30"/>
          <w:rtl/>
          <w:lang w:bidi="ar-EG"/>
        </w:rPr>
        <w:t>والنتائج</w:t>
      </w:r>
      <w:r w:rsidRPr="00335E4B">
        <w:rPr>
          <w:rFonts w:cs="Traditional Arabic"/>
          <w:sz w:val="20"/>
          <w:szCs w:val="30"/>
          <w:rtl/>
          <w:lang w:bidi="ar-EG"/>
        </w:rPr>
        <w:t xml:space="preserve"> في التقرير. وبالإضافة إلى ذلك، ينبغي تقديم نتائج القياس في نسق يمكِّن من مضاهاة انبعاثات الزئبق مع بارامترات تشغيل العملية.</w:t>
      </w:r>
    </w:p>
    <w:p w:rsidR="00335E4B" w:rsidRPr="00335E4B" w:rsidRDefault="00335E4B" w:rsidP="001F4286">
      <w:pPr>
        <w:spacing w:after="120" w:line="380" w:lineRule="exact"/>
        <w:jc w:val="both"/>
        <w:rPr>
          <w:rFonts w:cs="Traditional Arabic"/>
          <w:sz w:val="20"/>
          <w:szCs w:val="30"/>
          <w:rtl/>
          <w:lang w:bidi="ar-EG"/>
        </w:rPr>
      </w:pPr>
      <w:r w:rsidRPr="00335E4B">
        <w:rPr>
          <w:rFonts w:cs="Traditional Arabic"/>
          <w:sz w:val="20"/>
          <w:szCs w:val="30"/>
          <w:rtl/>
          <w:lang w:bidi="ar-EG"/>
        </w:rPr>
        <w:t xml:space="preserve">وينبغي توفير الوضوح بشأن الأسلوب المستعمل (على سبيل المثال، المعايير المستعملة لأخذ العينات وتحليلها) والظروف التي </w:t>
      </w:r>
      <w:r w:rsidRPr="00335E4B">
        <w:rPr>
          <w:rFonts w:cs="Traditional Arabic" w:hint="cs"/>
          <w:sz w:val="20"/>
          <w:szCs w:val="30"/>
          <w:rtl/>
          <w:lang w:bidi="ar-EG"/>
        </w:rPr>
        <w:t>تحيط بعملية</w:t>
      </w:r>
      <w:r w:rsidRPr="00335E4B">
        <w:rPr>
          <w:rFonts w:cs="Traditional Arabic"/>
          <w:sz w:val="20"/>
          <w:szCs w:val="30"/>
          <w:rtl/>
          <w:lang w:bidi="ar-EG"/>
        </w:rPr>
        <w:t xml:space="preserve"> جمع البيانات، مثل: ظروف العملية؛ ومعدل الإنتاج أثناء أخذ العينة؛ والحوادث أو </w:t>
      </w:r>
      <w:r w:rsidRPr="00335E4B">
        <w:rPr>
          <w:rFonts w:cs="Traditional Arabic" w:hint="cs"/>
          <w:sz w:val="20"/>
          <w:szCs w:val="30"/>
          <w:rtl/>
          <w:lang w:bidi="ar-EG"/>
        </w:rPr>
        <w:t>الأعطال</w:t>
      </w:r>
      <w:r w:rsidRPr="00335E4B">
        <w:rPr>
          <w:rFonts w:cs="Traditional Arabic"/>
          <w:sz w:val="20"/>
          <w:szCs w:val="30"/>
          <w:rtl/>
          <w:lang w:bidi="ar-EG"/>
        </w:rPr>
        <w:t xml:space="preserve"> أثناء أخذ </w:t>
      </w:r>
      <w:r w:rsidRPr="00335E4B">
        <w:rPr>
          <w:rFonts w:cs="Traditional Arabic" w:hint="cs"/>
          <w:sz w:val="20"/>
          <w:szCs w:val="30"/>
          <w:rtl/>
          <w:lang w:bidi="ar-EG"/>
        </w:rPr>
        <w:t>العينات</w:t>
      </w:r>
      <w:r w:rsidRPr="00335E4B">
        <w:rPr>
          <w:rFonts w:cs="Traditional Arabic"/>
          <w:sz w:val="20"/>
          <w:szCs w:val="30"/>
          <w:rtl/>
          <w:lang w:bidi="ar-EG"/>
        </w:rPr>
        <w:t xml:space="preserve"> في عملية الإنتاج أو نُظم التخفيف؛ والتباينات في المواد المدخلة.</w:t>
      </w:r>
    </w:p>
    <w:p w:rsidR="00335E4B" w:rsidRPr="00335E4B" w:rsidRDefault="00335E4B" w:rsidP="001F4286">
      <w:pPr>
        <w:tabs>
          <w:tab w:val="left" w:pos="663"/>
          <w:tab w:val="left" w:pos="1117"/>
          <w:tab w:val="left" w:pos="2230"/>
          <w:tab w:val="center" w:pos="5468"/>
        </w:tabs>
        <w:spacing w:after="240" w:line="400" w:lineRule="exact"/>
        <w:ind w:firstLine="663"/>
        <w:jc w:val="both"/>
        <w:rPr>
          <w:rFonts w:cs="Traditional Arabic"/>
          <w:b/>
          <w:bCs/>
          <w:sz w:val="34"/>
          <w:szCs w:val="34"/>
          <w:rtl/>
          <w:lang w:bidi="ar-EG"/>
        </w:rPr>
      </w:pPr>
      <w:r w:rsidRPr="00335E4B">
        <w:rPr>
          <w:rFonts w:cs="Traditional Arabic"/>
          <w:sz w:val="34"/>
          <w:szCs w:val="34"/>
          <w:rtl/>
          <w:lang w:bidi="ar-EG"/>
        </w:rPr>
        <w:br w:type="page"/>
      </w:r>
      <w:r w:rsidR="00F45938">
        <w:rPr>
          <w:rFonts w:cs="Traditional Arabic"/>
          <w:b/>
          <w:bCs/>
          <w:sz w:val="34"/>
          <w:szCs w:val="34"/>
          <w:rtl/>
          <w:lang w:bidi="ar-EG"/>
        </w:rPr>
        <w:t>الفصل</w:t>
      </w:r>
      <w:r w:rsidR="00F45938" w:rsidRPr="00F45938">
        <w:rPr>
          <w:rFonts w:cs="Traditional Arabic"/>
          <w:b/>
          <w:bCs/>
          <w:sz w:val="34"/>
          <w:szCs w:val="34"/>
          <w:rtl/>
          <w:lang w:bidi="ar-EG"/>
        </w:rPr>
        <w:t xml:space="preserve"> </w:t>
      </w:r>
      <w:r w:rsidRPr="00335E4B">
        <w:rPr>
          <w:rFonts w:cs="Traditional Arabic"/>
          <w:b/>
          <w:bCs/>
          <w:sz w:val="34"/>
          <w:szCs w:val="34"/>
          <w:rtl/>
          <w:lang w:bidi="ar-EG"/>
        </w:rPr>
        <w:t>الرابع</w:t>
      </w:r>
    </w:p>
    <w:p w:rsidR="00335E4B" w:rsidRPr="000F5A5E" w:rsidRDefault="000F5A5E" w:rsidP="00335E4B">
      <w:pPr>
        <w:tabs>
          <w:tab w:val="left" w:pos="663"/>
          <w:tab w:val="left" w:pos="1117"/>
          <w:tab w:val="left" w:pos="2230"/>
          <w:tab w:val="center" w:pos="5468"/>
        </w:tabs>
        <w:spacing w:after="240" w:line="400" w:lineRule="exact"/>
        <w:jc w:val="both"/>
        <w:rPr>
          <w:rFonts w:cs="Traditional Arabic"/>
          <w:b/>
          <w:bCs/>
          <w:sz w:val="32"/>
          <w:szCs w:val="32"/>
          <w:rtl/>
          <w:lang w:bidi="ar-EG"/>
        </w:rPr>
      </w:pPr>
      <w:r w:rsidRPr="000F5A5E">
        <w:rPr>
          <w:rFonts w:cs="Traditional Arabic" w:hint="cs"/>
          <w:b/>
          <w:bCs/>
          <w:sz w:val="32"/>
          <w:szCs w:val="32"/>
          <w:rtl/>
          <w:lang w:bidi="ar-EG"/>
        </w:rPr>
        <w:tab/>
      </w:r>
      <w:r w:rsidR="00335E4B" w:rsidRPr="000F5A5E">
        <w:rPr>
          <w:rFonts w:cs="Traditional Arabic"/>
          <w:b/>
          <w:bCs/>
          <w:sz w:val="32"/>
          <w:szCs w:val="32"/>
          <w:rtl/>
          <w:lang w:bidi="ar-EG"/>
        </w:rPr>
        <w:t>منشآت الطاقة العاملة بحرق الفحم والمراجل الصناعية العاملة بحرق الفحم</w:t>
      </w:r>
    </w:p>
    <w:p w:rsidR="00335E4B" w:rsidRPr="00335E4B" w:rsidRDefault="00335E4B" w:rsidP="000F5A5E">
      <w:pPr>
        <w:spacing w:after="120" w:line="400" w:lineRule="exact"/>
        <w:jc w:val="both"/>
        <w:rPr>
          <w:rFonts w:cs="Traditional Arabic"/>
          <w:b/>
          <w:bCs/>
          <w:sz w:val="32"/>
          <w:szCs w:val="32"/>
          <w:rtl/>
          <w:lang w:bidi="ar-EG"/>
        </w:rPr>
      </w:pPr>
      <w:r w:rsidRPr="00335E4B">
        <w:rPr>
          <w:rFonts w:cs="Traditional Arabic"/>
          <w:b/>
          <w:bCs/>
          <w:sz w:val="32"/>
          <w:szCs w:val="32"/>
          <w:rtl/>
          <w:lang w:bidi="ar-EG"/>
        </w:rPr>
        <w:t>توجيه بشأن أفضل التقنيات المتاحة وأفضل الممارسات البيئية لضبط</w:t>
      </w:r>
      <w:r w:rsidRPr="00335E4B">
        <w:rPr>
          <w:rFonts w:cs="Traditional Arabic" w:hint="cs"/>
          <w:b/>
          <w:bCs/>
          <w:sz w:val="32"/>
          <w:szCs w:val="32"/>
          <w:rtl/>
          <w:lang w:bidi="ar-EG"/>
        </w:rPr>
        <w:t xml:space="preserve"> </w:t>
      </w:r>
      <w:r w:rsidRPr="00335E4B">
        <w:rPr>
          <w:rFonts w:cs="Traditional Arabic"/>
          <w:b/>
          <w:bCs/>
          <w:sz w:val="32"/>
          <w:szCs w:val="32"/>
          <w:rtl/>
          <w:lang w:bidi="ar-EG"/>
        </w:rPr>
        <w:t>انبعاثات الزئبق من منشآت الطاقة العاملة بحرق الفحم</w:t>
      </w:r>
      <w:r w:rsidRPr="00335E4B">
        <w:rPr>
          <w:rFonts w:cs="Traditional Arabic" w:hint="cs"/>
          <w:b/>
          <w:bCs/>
          <w:sz w:val="32"/>
          <w:szCs w:val="32"/>
          <w:rtl/>
          <w:lang w:bidi="ar-EG"/>
        </w:rPr>
        <w:t xml:space="preserve"> </w:t>
      </w:r>
      <w:r w:rsidRPr="00335E4B">
        <w:rPr>
          <w:rFonts w:cs="Traditional Arabic"/>
          <w:b/>
          <w:bCs/>
          <w:sz w:val="32"/>
          <w:szCs w:val="32"/>
          <w:rtl/>
          <w:lang w:bidi="ar-EG"/>
        </w:rPr>
        <w:t>والمراجل الصناعية العاملة بحرق الفحم</w:t>
      </w:r>
    </w:p>
    <w:p w:rsidR="00335E4B" w:rsidRPr="00335E4B" w:rsidRDefault="00335E4B" w:rsidP="00335E4B">
      <w:pPr>
        <w:spacing w:after="120" w:line="400" w:lineRule="exact"/>
        <w:jc w:val="both"/>
        <w:rPr>
          <w:rFonts w:cs="Traditional Arabic"/>
          <w:b/>
          <w:bCs/>
          <w:sz w:val="20"/>
          <w:szCs w:val="30"/>
          <w:rtl/>
          <w:lang w:bidi="ar-EG"/>
        </w:rPr>
      </w:pPr>
      <w:r w:rsidRPr="00335E4B">
        <w:rPr>
          <w:rFonts w:cs="Traditional Arabic"/>
          <w:b/>
          <w:bCs/>
          <w:sz w:val="20"/>
          <w:szCs w:val="30"/>
          <w:rtl/>
          <w:lang w:bidi="ar-EG"/>
        </w:rPr>
        <w:t>موجز</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تشكِّل منشآت الطاقة العاملة بحرق الفحم والمراجل الصناعية العاملة بحرق الفحم مصدراً كبيراً وهاماً من مصادر انبعاثات الزئبق في الجو. وفي عام 2010، كان حرق الفحم سبباً في انبعاثات قرابة 475 طن</w:t>
      </w:r>
      <w:r w:rsidRPr="00335E4B">
        <w:rPr>
          <w:rFonts w:cs="Traditional Arabic" w:hint="cs"/>
          <w:sz w:val="20"/>
          <w:szCs w:val="30"/>
          <w:rtl/>
          <w:lang w:bidi="ar-EG"/>
        </w:rPr>
        <w:t>اً</w:t>
      </w:r>
      <w:r w:rsidRPr="00335E4B">
        <w:rPr>
          <w:rFonts w:cs="Traditional Arabic"/>
          <w:sz w:val="20"/>
          <w:szCs w:val="30"/>
          <w:rtl/>
          <w:lang w:bidi="ar-EG"/>
        </w:rPr>
        <w:t xml:space="preserve"> من الزئبق في كل أنحاء العالم، و</w:t>
      </w:r>
      <w:r w:rsidRPr="00335E4B">
        <w:rPr>
          <w:rFonts w:cs="Traditional Arabic" w:hint="cs"/>
          <w:sz w:val="20"/>
          <w:szCs w:val="30"/>
          <w:rtl/>
          <w:lang w:bidi="ar-EG"/>
        </w:rPr>
        <w:t xml:space="preserve">جاء </w:t>
      </w:r>
      <w:r w:rsidRPr="00335E4B">
        <w:rPr>
          <w:rFonts w:cs="Traditional Arabic"/>
          <w:sz w:val="20"/>
          <w:szCs w:val="30"/>
          <w:rtl/>
          <w:lang w:bidi="ar-EG"/>
        </w:rPr>
        <w:t>معظمها من توليد الطاقة واستعمال المراجل الصناعية (برنامج الأمم المتحدة للبيئة، 2013أ). ويُمثل ذلك حوالي 40 في المائة من مجموع الانبعاثات العالمية البشرية المنشأ. و</w:t>
      </w:r>
      <w:r w:rsidRPr="00335E4B">
        <w:rPr>
          <w:rFonts w:cs="Traditional Arabic" w:hint="cs"/>
          <w:sz w:val="20"/>
          <w:szCs w:val="30"/>
          <w:rtl/>
          <w:lang w:bidi="ar-EG"/>
        </w:rPr>
        <w:t>ت</w:t>
      </w:r>
      <w:r w:rsidRPr="00335E4B">
        <w:rPr>
          <w:rFonts w:cs="Traditional Arabic"/>
          <w:sz w:val="20"/>
          <w:szCs w:val="30"/>
          <w:rtl/>
          <w:lang w:bidi="ar-EG"/>
        </w:rPr>
        <w:t xml:space="preserve">حتوي </w:t>
      </w:r>
      <w:r w:rsidRPr="00335E4B">
        <w:rPr>
          <w:rFonts w:cs="Traditional Arabic" w:hint="cs"/>
          <w:sz w:val="20"/>
          <w:szCs w:val="30"/>
          <w:rtl/>
          <w:lang w:bidi="ar-EG"/>
        </w:rPr>
        <w:t xml:space="preserve">أنواع </w:t>
      </w:r>
      <w:r w:rsidRPr="00335E4B">
        <w:rPr>
          <w:rFonts w:cs="Traditional Arabic"/>
          <w:sz w:val="20"/>
          <w:szCs w:val="30"/>
          <w:rtl/>
          <w:lang w:bidi="ar-EG"/>
        </w:rPr>
        <w:t>الفحم المستعمل</w:t>
      </w:r>
      <w:r w:rsidRPr="00335E4B">
        <w:rPr>
          <w:rFonts w:cs="Traditional Arabic" w:hint="cs"/>
          <w:sz w:val="20"/>
          <w:szCs w:val="30"/>
          <w:rtl/>
          <w:lang w:bidi="ar-EG"/>
        </w:rPr>
        <w:t>ة</w:t>
      </w:r>
      <w:r w:rsidRPr="00335E4B">
        <w:rPr>
          <w:rFonts w:cs="Traditional Arabic"/>
          <w:sz w:val="20"/>
          <w:szCs w:val="30"/>
          <w:rtl/>
          <w:lang w:bidi="ar-EG"/>
        </w:rPr>
        <w:t xml:space="preserve"> </w:t>
      </w:r>
      <w:r w:rsidRPr="00335E4B">
        <w:rPr>
          <w:rFonts w:cs="Traditional Arabic" w:hint="cs"/>
          <w:sz w:val="20"/>
          <w:szCs w:val="30"/>
          <w:rtl/>
          <w:lang w:bidi="ar-EG"/>
        </w:rPr>
        <w:t>للإحراق</w:t>
      </w:r>
      <w:r w:rsidRPr="00335E4B">
        <w:rPr>
          <w:rFonts w:cs="Traditional Arabic"/>
          <w:sz w:val="20"/>
          <w:szCs w:val="30"/>
          <w:rtl/>
          <w:lang w:bidi="ar-EG"/>
        </w:rPr>
        <w:t xml:space="preserve"> في كل أنحاء العالم </w:t>
      </w:r>
      <w:r w:rsidRPr="00335E4B">
        <w:rPr>
          <w:rFonts w:cs="Traditional Arabic" w:hint="cs"/>
          <w:sz w:val="20"/>
          <w:szCs w:val="30"/>
          <w:rtl/>
          <w:lang w:bidi="ar-EG"/>
        </w:rPr>
        <w:t xml:space="preserve">على </w:t>
      </w:r>
      <w:r w:rsidRPr="00335E4B">
        <w:rPr>
          <w:rFonts w:cs="Traditional Arabic"/>
          <w:sz w:val="20"/>
          <w:szCs w:val="30"/>
          <w:rtl/>
          <w:lang w:bidi="ar-EG"/>
        </w:rPr>
        <w:t xml:space="preserve">كميات نزرة من الزئبق التي تنبعث في حالة عدم </w:t>
      </w:r>
      <w:r w:rsidRPr="00335E4B">
        <w:rPr>
          <w:rFonts w:cs="Traditional Arabic" w:hint="cs"/>
          <w:sz w:val="20"/>
          <w:szCs w:val="30"/>
          <w:rtl/>
          <w:lang w:bidi="ar-EG"/>
        </w:rPr>
        <w:t>ضبطها</w:t>
      </w:r>
      <w:r w:rsidRPr="00335E4B">
        <w:rPr>
          <w:rFonts w:cs="Traditional Arabic"/>
          <w:sz w:val="20"/>
          <w:szCs w:val="30"/>
          <w:rtl/>
          <w:lang w:bidi="ar-EG"/>
        </w:rPr>
        <w:t xml:space="preserve"> </w:t>
      </w:r>
      <w:r w:rsidRPr="00335E4B">
        <w:rPr>
          <w:rFonts w:cs="Traditional Arabic" w:hint="cs"/>
          <w:sz w:val="20"/>
          <w:szCs w:val="30"/>
          <w:rtl/>
          <w:lang w:bidi="ar-EG"/>
        </w:rPr>
        <w:t>إلى</w:t>
      </w:r>
      <w:r w:rsidRPr="00335E4B">
        <w:rPr>
          <w:rFonts w:cs="Traditional Arabic"/>
          <w:sz w:val="20"/>
          <w:szCs w:val="30"/>
          <w:rtl/>
          <w:lang w:bidi="ar-EG"/>
        </w:rPr>
        <w:t xml:space="preserve"> الغلاف الجوي</w:t>
      </w:r>
      <w:r w:rsidRPr="00335E4B">
        <w:rPr>
          <w:rFonts w:cs="Traditional Arabic" w:hint="cs"/>
          <w:sz w:val="20"/>
          <w:szCs w:val="30"/>
          <w:rtl/>
          <w:lang w:bidi="ar-EG"/>
        </w:rPr>
        <w:t>.</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ويقدِّم هذا الفصل توجيهاً بشأن أفضل التقنيات المتاحة وأفضل الممارسات البيئية للضبط، والتخفيض حيثما أمكن، لانبعاثات الزئبق من منشآت الطاقة العاملة بحرق الفحم والمراجل الصناعية العاملة بحرق الفحم التي يغطيها المرفق دال للاتفاقية.</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 xml:space="preserve">ومعظم منشآت الطاقة العاملة بحرق الفحم هي منشآت كبيرة لإنتاج الطاقة الكهربائية، وبعضها يعمل أيضاً </w:t>
      </w:r>
      <w:r w:rsidRPr="00335E4B">
        <w:rPr>
          <w:rFonts w:cs="Traditional Arabic" w:hint="cs"/>
          <w:sz w:val="20"/>
          <w:szCs w:val="30"/>
          <w:rtl/>
          <w:lang w:bidi="ar-EG"/>
        </w:rPr>
        <w:t>لتوفير التدفئة</w:t>
      </w:r>
      <w:r w:rsidRPr="00335E4B">
        <w:rPr>
          <w:rFonts w:cs="Traditional Arabic"/>
          <w:sz w:val="20"/>
          <w:szCs w:val="30"/>
          <w:rtl/>
          <w:lang w:bidi="ar-EG"/>
        </w:rPr>
        <w:t xml:space="preserve">. وتوفِّر المراجل الصناعية الحرارة أو </w:t>
      </w:r>
      <w:r w:rsidRPr="00335E4B">
        <w:rPr>
          <w:rFonts w:cs="Traditional Arabic" w:hint="cs"/>
          <w:sz w:val="20"/>
          <w:szCs w:val="30"/>
          <w:rtl/>
          <w:lang w:bidi="ar-EG"/>
        </w:rPr>
        <w:t>تُجهِّز البخار</w:t>
      </w:r>
      <w:r w:rsidRPr="00335E4B">
        <w:rPr>
          <w:rFonts w:cs="Traditional Arabic"/>
          <w:sz w:val="20"/>
          <w:szCs w:val="30"/>
          <w:rtl/>
          <w:lang w:bidi="ar-EG"/>
        </w:rPr>
        <w:t xml:space="preserve"> </w:t>
      </w:r>
      <w:r w:rsidRPr="00335E4B">
        <w:rPr>
          <w:rFonts w:cs="Traditional Arabic" w:hint="cs"/>
          <w:sz w:val="20"/>
          <w:szCs w:val="30"/>
          <w:rtl/>
          <w:lang w:bidi="ar-EG"/>
        </w:rPr>
        <w:t>لتلبية ا</w:t>
      </w:r>
      <w:r w:rsidRPr="00335E4B">
        <w:rPr>
          <w:rFonts w:cs="Traditional Arabic"/>
          <w:sz w:val="20"/>
          <w:szCs w:val="30"/>
          <w:rtl/>
          <w:lang w:bidi="ar-EG"/>
        </w:rPr>
        <w:t xml:space="preserve">حتياجات المرفق الذي </w:t>
      </w:r>
      <w:r w:rsidRPr="00335E4B">
        <w:rPr>
          <w:rFonts w:cs="Traditional Arabic" w:hint="cs"/>
          <w:sz w:val="20"/>
          <w:szCs w:val="30"/>
          <w:rtl/>
          <w:lang w:bidi="ar-EG"/>
        </w:rPr>
        <w:t>أنشئت</w:t>
      </w:r>
      <w:r w:rsidRPr="00335E4B">
        <w:rPr>
          <w:rFonts w:cs="Traditional Arabic"/>
          <w:sz w:val="20"/>
          <w:szCs w:val="30"/>
          <w:rtl/>
          <w:lang w:bidi="ar-EG"/>
        </w:rPr>
        <w:t xml:space="preserve"> فيه.</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 xml:space="preserve">وتتأثر انبعاثات الزئبق من منشآت </w:t>
      </w:r>
      <w:r w:rsidRPr="00335E4B">
        <w:rPr>
          <w:rFonts w:cs="Traditional Arabic" w:hint="cs"/>
          <w:sz w:val="20"/>
          <w:szCs w:val="30"/>
          <w:rtl/>
          <w:lang w:bidi="ar-EG"/>
        </w:rPr>
        <w:t>الاحتراق</w:t>
      </w:r>
      <w:r w:rsidRPr="00335E4B">
        <w:rPr>
          <w:rFonts w:cs="Traditional Arabic"/>
          <w:sz w:val="20"/>
          <w:szCs w:val="30"/>
          <w:rtl/>
          <w:lang w:bidi="ar-EG"/>
        </w:rPr>
        <w:t xml:space="preserve"> العاملة بحرق الفحم بعدد من المتغيرات، منها تركيز الزئبق وأنواعه في الفحم؛ ونوع الفحم وتكوينه؛ ونوع تكنولوجيا </w:t>
      </w:r>
      <w:r w:rsidRPr="00335E4B">
        <w:rPr>
          <w:rFonts w:cs="Traditional Arabic" w:hint="cs"/>
          <w:sz w:val="20"/>
          <w:szCs w:val="30"/>
          <w:rtl/>
          <w:lang w:bidi="ar-EG"/>
        </w:rPr>
        <w:t>الاحتراق</w:t>
      </w:r>
      <w:r w:rsidRPr="00335E4B">
        <w:rPr>
          <w:rFonts w:cs="Traditional Arabic"/>
          <w:sz w:val="20"/>
          <w:szCs w:val="30"/>
          <w:rtl/>
          <w:lang w:bidi="ar-EG"/>
        </w:rPr>
        <w:t>؛ وكفاءة الضبط في نُظم ضبط التلوث القائمة. ولكن تكنولوجيات ضبط انبعاثات الزئبق تتشابه بصورة عامة في حالة جميع المراجل التي تعمل بحرق الفحم بغض النظر عن تطبيقها في منشآت الطاقة أو المرافق الصناعية.</w:t>
      </w:r>
    </w:p>
    <w:p w:rsidR="00335E4B" w:rsidRPr="00335E4B" w:rsidRDefault="00335E4B" w:rsidP="001F4286">
      <w:pPr>
        <w:spacing w:after="120" w:line="400" w:lineRule="exact"/>
        <w:jc w:val="both"/>
        <w:rPr>
          <w:rFonts w:cs="Traditional Arabic"/>
          <w:sz w:val="20"/>
          <w:szCs w:val="30"/>
          <w:rtl/>
          <w:lang w:bidi="ar-EG"/>
        </w:rPr>
      </w:pPr>
      <w:r w:rsidRPr="00335E4B">
        <w:rPr>
          <w:rFonts w:cs="Traditional Arabic"/>
          <w:sz w:val="20"/>
          <w:szCs w:val="30"/>
          <w:rtl/>
          <w:lang w:bidi="ar-EG"/>
        </w:rPr>
        <w:t>وتستعمل بالفعل نُظم ضبط تلوث الهواء على نطاق واسع في عدد من البلدان لتقليل انبعاثات ملوثات الهواء التقليدية خلاف الزئبق، مثل الجسيمات و</w:t>
      </w:r>
      <w:r w:rsidR="001F4286">
        <w:rPr>
          <w:rFonts w:cs="Traditional Arabic" w:hint="cs"/>
          <w:sz w:val="20"/>
          <w:szCs w:val="30"/>
          <w:rtl/>
          <w:lang w:bidi="ar-EG"/>
        </w:rPr>
        <w:t>ا</w:t>
      </w:r>
      <w:r w:rsidRPr="00335E4B">
        <w:rPr>
          <w:rFonts w:cs="Traditional Arabic"/>
          <w:sz w:val="20"/>
          <w:szCs w:val="30"/>
          <w:rtl/>
          <w:lang w:bidi="ar-EG"/>
        </w:rPr>
        <w:t xml:space="preserve">كسيدات النيتروجين وثاني أكسيد الكبريت. وحتى عندما تكون هذه النُظم غير مصممة في المقام الأول لالتقاط الزئبق فإنها توفِّر </w:t>
      </w:r>
      <w:r w:rsidRPr="00335E4B">
        <w:rPr>
          <w:rFonts w:cs="Traditional Arabic" w:hint="cs"/>
          <w:sz w:val="20"/>
          <w:szCs w:val="30"/>
          <w:rtl/>
          <w:lang w:bidi="ar-EG"/>
        </w:rPr>
        <w:t>منفعة</w:t>
      </w:r>
      <w:r w:rsidRPr="00335E4B">
        <w:rPr>
          <w:rFonts w:cs="Traditional Arabic"/>
          <w:sz w:val="20"/>
          <w:szCs w:val="30"/>
          <w:rtl/>
          <w:lang w:bidi="ar-EG"/>
        </w:rPr>
        <w:t xml:space="preserve"> مشتركة من ناحية تقليل انبعاثات الزئبق، نظراً لأنها تستطيع أن تلتقط بعض الزئبق من غازات المداخن. وقد استحدثت تقنيات مخصصة لضبط الزئبق ويجري تطبيقها في عدد من البلدان لتوفير ضبط إضافي للزئبق في الحالات التي </w:t>
      </w:r>
      <w:r w:rsidRPr="00335E4B">
        <w:rPr>
          <w:rFonts w:cs="Traditional Arabic" w:hint="cs"/>
          <w:sz w:val="20"/>
          <w:szCs w:val="30"/>
          <w:rtl/>
          <w:lang w:bidi="ar-EG"/>
        </w:rPr>
        <w:t>لا تتمكن</w:t>
      </w:r>
      <w:r w:rsidRPr="00335E4B">
        <w:rPr>
          <w:rFonts w:cs="Traditional Arabic"/>
          <w:sz w:val="20"/>
          <w:szCs w:val="30"/>
          <w:rtl/>
          <w:lang w:bidi="ar-EG"/>
        </w:rPr>
        <w:t xml:space="preserve"> فيها تقنيات </w:t>
      </w:r>
      <w:r w:rsidRPr="00335E4B">
        <w:rPr>
          <w:rFonts w:cs="Traditional Arabic" w:hint="cs"/>
          <w:sz w:val="20"/>
          <w:szCs w:val="30"/>
          <w:rtl/>
          <w:lang w:bidi="ar-EG"/>
        </w:rPr>
        <w:t>المنافع</w:t>
      </w:r>
      <w:r w:rsidRPr="00335E4B">
        <w:rPr>
          <w:rFonts w:cs="Traditional Arabic"/>
          <w:sz w:val="20"/>
          <w:szCs w:val="30"/>
          <w:rtl/>
          <w:lang w:bidi="ar-EG"/>
        </w:rPr>
        <w:t xml:space="preserve"> المشتركة </w:t>
      </w:r>
      <w:r w:rsidRPr="00335E4B">
        <w:rPr>
          <w:rFonts w:cs="Traditional Arabic" w:hint="cs"/>
          <w:sz w:val="20"/>
          <w:szCs w:val="30"/>
          <w:rtl/>
          <w:lang w:bidi="ar-EG"/>
        </w:rPr>
        <w:t>من</w:t>
      </w:r>
      <w:r w:rsidRPr="00335E4B">
        <w:rPr>
          <w:rFonts w:cs="Traditional Arabic"/>
          <w:sz w:val="20"/>
          <w:szCs w:val="30"/>
          <w:rtl/>
          <w:lang w:bidi="ar-EG"/>
        </w:rPr>
        <w:t xml:space="preserve"> توفير </w:t>
      </w:r>
      <w:r w:rsidRPr="00335E4B">
        <w:rPr>
          <w:rFonts w:cs="Traditional Arabic" w:hint="cs"/>
          <w:sz w:val="20"/>
          <w:szCs w:val="30"/>
          <w:rtl/>
          <w:lang w:bidi="ar-EG"/>
        </w:rPr>
        <w:t>تخفيضات كافية</w:t>
      </w:r>
      <w:r w:rsidRPr="00335E4B">
        <w:rPr>
          <w:rFonts w:cs="Traditional Arabic"/>
          <w:sz w:val="20"/>
          <w:szCs w:val="30"/>
          <w:rtl/>
          <w:lang w:bidi="ar-EG"/>
        </w:rPr>
        <w:t xml:space="preserve"> وموثوق</w:t>
      </w:r>
      <w:r w:rsidRPr="00335E4B">
        <w:rPr>
          <w:rFonts w:cs="Traditional Arabic" w:hint="cs"/>
          <w:sz w:val="20"/>
          <w:szCs w:val="30"/>
          <w:rtl/>
          <w:lang w:bidi="ar-EG"/>
        </w:rPr>
        <w:t>ة</w:t>
      </w:r>
      <w:r w:rsidRPr="00335E4B">
        <w:rPr>
          <w:rFonts w:cs="Traditional Arabic"/>
          <w:sz w:val="20"/>
          <w:szCs w:val="30"/>
          <w:rtl/>
          <w:lang w:bidi="ar-EG"/>
        </w:rPr>
        <w:t xml:space="preserve"> للزئبق.</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ويناقش هذا الفصل مجموعة من أفضل التقنيات المتاحة المستعملة لضبط الزئبق ويوفِّر معلومات إرشادية بشأن أدائها من ناحية الانبعاثات وتكاليفها التقديرية. ويصف أيضاً العناصر الهامة في أفضل الممارسات البيئية لتشغيل المرافق العاملة بحرق الفحم. وأخيراً، يقدِّم هذا الفصل مجموعة مختارة من التقنيات الناشئة لضبط انبعاثات الزئبق ويناقش رصد انبعاثات الزئبق في السياق المحدَّد للمنشآت العاملة بحرق الفحم.</w:t>
      </w:r>
    </w:p>
    <w:p w:rsidR="00335E4B" w:rsidRPr="00847D77" w:rsidRDefault="00335E4B" w:rsidP="00335E4B">
      <w:pPr>
        <w:spacing w:after="120" w:line="400" w:lineRule="exact"/>
        <w:jc w:val="center"/>
        <w:rPr>
          <w:rFonts w:ascii="Traditional Arabic" w:hAnsi="Traditional Arabic" w:cs="Traditional Arabic"/>
          <w:noProof/>
          <w:sz w:val="28"/>
          <w:rtl/>
        </w:rPr>
      </w:pPr>
      <w:r w:rsidRPr="00335E4B">
        <w:rPr>
          <w:rFonts w:cs="Traditional Arabic"/>
          <w:sz w:val="20"/>
          <w:szCs w:val="30"/>
          <w:rtl/>
          <w:lang w:bidi="ar-EG"/>
        </w:rPr>
        <w:br w:type="page"/>
      </w:r>
      <w:r w:rsidRPr="00335E4B">
        <w:rPr>
          <w:rFonts w:cs="Traditional Arabic"/>
          <w:b/>
          <w:bCs/>
          <w:sz w:val="24"/>
          <w:szCs w:val="34"/>
          <w:rtl/>
          <w:lang w:bidi="ar-EG"/>
        </w:rPr>
        <w:t>المحتويات</w:t>
      </w:r>
      <w:r w:rsidRPr="00847D77">
        <w:rPr>
          <w:rFonts w:ascii="Traditional Arabic" w:hAnsi="Traditional Arabic" w:cs="Traditional Arabic"/>
          <w:sz w:val="28"/>
        </w:rPr>
        <w:fldChar w:fldCharType="begin"/>
      </w:r>
      <w:r w:rsidRPr="00847D77">
        <w:rPr>
          <w:rFonts w:ascii="Traditional Arabic" w:hAnsi="Traditional Arabic" w:cs="Traditional Arabic"/>
          <w:sz w:val="28"/>
        </w:rPr>
        <w:instrText xml:space="preserve"> TOC \o "1-3" \h \z \u </w:instrText>
      </w:r>
      <w:r w:rsidRPr="00847D77">
        <w:rPr>
          <w:rFonts w:ascii="Traditional Arabic" w:hAnsi="Traditional Arabic" w:cs="Traditional Arabic"/>
          <w:sz w:val="28"/>
        </w:rPr>
        <w:fldChar w:fldCharType="separate"/>
      </w:r>
    </w:p>
    <w:p w:rsidR="00335E4B" w:rsidRPr="00847D77" w:rsidRDefault="00C034D6" w:rsidP="00335E4B">
      <w:pPr>
        <w:tabs>
          <w:tab w:val="right" w:leader="dot" w:pos="9486"/>
        </w:tabs>
        <w:spacing w:after="120" w:line="320" w:lineRule="exact"/>
        <w:ind w:left="1416" w:hanging="567"/>
        <w:rPr>
          <w:rFonts w:ascii="Traditional Arabic" w:hAnsi="Traditional Arabic" w:cs="Traditional Arabic"/>
          <w:noProof/>
          <w:sz w:val="28"/>
          <w:rtl/>
          <w:lang w:bidi="ar-EG"/>
        </w:rPr>
      </w:pPr>
      <w:hyperlink w:anchor="_Toc440456832" w:history="1">
        <w:r w:rsidR="00335E4B" w:rsidRPr="00847D77">
          <w:rPr>
            <w:rFonts w:ascii="Traditional Arabic" w:hAnsi="Traditional Arabic" w:cs="Traditional Arabic"/>
            <w:noProof/>
            <w:sz w:val="28"/>
            <w:rtl/>
            <w:lang w:bidi="ar-EG"/>
          </w:rPr>
          <w:tab/>
        </w:r>
        <w:r w:rsidR="00335E4B" w:rsidRPr="00847D77">
          <w:rPr>
            <w:rFonts w:ascii="Traditional Arabic" w:hAnsi="Traditional Arabic" w:cs="Traditional Arabic"/>
            <w:b/>
            <w:noProof/>
            <w:sz w:val="28"/>
            <w:rtl/>
            <w:lang w:bidi="ar-EG"/>
          </w:rPr>
          <w:t>مقدمة</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Toc440456832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Pr>
            <w:rFonts w:ascii="Traditional Arabic" w:hAnsi="Traditional Arabic" w:cs="Traditional Arabic"/>
            <w:noProof/>
            <w:webHidden/>
            <w:sz w:val="28"/>
            <w:rtl/>
            <w:lang w:bidi="ar-EG"/>
          </w:rPr>
          <w:t>38</w:t>
        </w:r>
        <w:r w:rsidR="00335E4B" w:rsidRPr="00847D77">
          <w:rPr>
            <w:rFonts w:ascii="Traditional Arabic" w:hAnsi="Traditional Arabic" w:cs="Traditional Arabic"/>
            <w:noProof/>
            <w:webHidden/>
            <w:sz w:val="28"/>
            <w:rtl/>
            <w:lang w:bidi="ar-EG"/>
          </w:rPr>
          <w:fldChar w:fldCharType="end"/>
        </w:r>
      </w:hyperlink>
    </w:p>
    <w:p w:rsidR="00335E4B" w:rsidRPr="00847D77" w:rsidRDefault="00C034D6" w:rsidP="00335E4B">
      <w:pPr>
        <w:tabs>
          <w:tab w:val="right" w:leader="dot" w:pos="9486"/>
        </w:tabs>
        <w:spacing w:after="120" w:line="320" w:lineRule="exact"/>
        <w:ind w:left="1416" w:hanging="567"/>
        <w:rPr>
          <w:rFonts w:ascii="Traditional Arabic" w:hAnsi="Traditional Arabic" w:cs="Traditional Arabic"/>
          <w:noProof/>
          <w:sz w:val="28"/>
          <w:rtl/>
          <w:lang w:bidi="ar-EG"/>
        </w:rPr>
      </w:pPr>
      <w:hyperlink w:anchor="_Toc440456833" w:history="1">
        <w:r w:rsidR="00335E4B" w:rsidRPr="00847D77">
          <w:rPr>
            <w:rFonts w:ascii="Traditional Arabic" w:hAnsi="Traditional Arabic" w:cs="Traditional Arabic"/>
            <w:noProof/>
            <w:sz w:val="28"/>
            <w:rtl/>
            <w:lang w:bidi="ar-EG"/>
          </w:rPr>
          <w:tab/>
        </w:r>
        <w:r w:rsidR="00335E4B" w:rsidRPr="00847D77">
          <w:rPr>
            <w:rFonts w:ascii="Traditional Arabic" w:hAnsi="Traditional Arabic" w:cs="Traditional Arabic"/>
            <w:b/>
            <w:noProof/>
            <w:sz w:val="28"/>
            <w:rtl/>
            <w:lang w:bidi="ar-EG"/>
          </w:rPr>
          <w:t>العمليات المستعملة في منشآت الطاقة العاملة بحرق الفحم والمراجل الصناعية العاملة بحرق الفحم،</w:t>
        </w:r>
        <w:r w:rsidR="00335E4B" w:rsidRPr="00847D77">
          <w:rPr>
            <w:rFonts w:ascii="Traditional Arabic" w:hAnsi="Traditional Arabic" w:cs="Traditional Arabic"/>
            <w:b/>
            <w:noProof/>
            <w:sz w:val="28"/>
            <w:rtl/>
            <w:lang w:bidi="ar-EG"/>
          </w:rPr>
          <w:br/>
          <w:t>بما في ذلك دراسة المواد المدخلة وسلوك الزئبق في العمليات</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Toc440456833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Pr>
            <w:rFonts w:ascii="Traditional Arabic" w:hAnsi="Traditional Arabic" w:cs="Traditional Arabic"/>
            <w:noProof/>
            <w:webHidden/>
            <w:sz w:val="28"/>
            <w:rtl/>
            <w:lang w:bidi="ar-EG"/>
          </w:rPr>
          <w:t>39</w:t>
        </w:r>
        <w:r w:rsidR="00335E4B" w:rsidRPr="00847D77">
          <w:rPr>
            <w:rFonts w:ascii="Traditional Arabic" w:hAnsi="Traditional Arabic" w:cs="Traditional Arabic"/>
            <w:noProof/>
            <w:webHidden/>
            <w:sz w:val="28"/>
            <w:rtl/>
            <w:lang w:bidi="ar-EG"/>
          </w:rPr>
          <w:fldChar w:fldCharType="end"/>
        </w:r>
      </w:hyperlink>
    </w:p>
    <w:p w:rsidR="00335E4B" w:rsidRPr="00847D77" w:rsidRDefault="00C034D6" w:rsidP="00847D77">
      <w:pPr>
        <w:tabs>
          <w:tab w:val="left" w:pos="2125"/>
          <w:tab w:val="right" w:leader="dot" w:pos="9486"/>
        </w:tabs>
        <w:spacing w:after="120" w:line="320" w:lineRule="exact"/>
        <w:ind w:left="1416"/>
        <w:rPr>
          <w:rFonts w:ascii="Traditional Arabic" w:hAnsi="Traditional Arabic" w:cs="Traditional Arabic"/>
          <w:noProof/>
          <w:sz w:val="28"/>
          <w:rtl/>
          <w:lang w:bidi="ar-EG"/>
        </w:rPr>
      </w:pPr>
      <w:hyperlink w:anchor="_Toc440456834" w:history="1">
        <w:r w:rsidR="00335E4B" w:rsidRPr="00847D77">
          <w:rPr>
            <w:rFonts w:ascii="Traditional Arabic" w:hAnsi="Traditional Arabic" w:cs="Traditional Arabic"/>
            <w:noProof/>
            <w:sz w:val="28"/>
            <w:rtl/>
            <w:lang w:bidi="ar-EG"/>
          </w:rPr>
          <w:t>خصائص الفحم</w:t>
        </w:r>
        <w:r w:rsidR="00335E4B" w:rsidRPr="00847D77">
          <w:rPr>
            <w:rFonts w:ascii="Traditional Arabic" w:hAnsi="Traditional Arabic" w:cs="Traditional Arabic"/>
            <w:noProof/>
            <w:webHidden/>
            <w:sz w:val="28"/>
            <w:rtl/>
            <w:lang w:bidi="ar-EG"/>
          </w:rPr>
          <w:t xml:space="preserve"> </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Toc440456834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Pr>
            <w:rFonts w:ascii="Traditional Arabic" w:hAnsi="Traditional Arabic" w:cs="Traditional Arabic"/>
            <w:noProof/>
            <w:webHidden/>
            <w:sz w:val="28"/>
            <w:rtl/>
            <w:lang w:bidi="ar-EG"/>
          </w:rPr>
          <w:t>39</w:t>
        </w:r>
        <w:r w:rsidR="00335E4B" w:rsidRPr="00847D77">
          <w:rPr>
            <w:rFonts w:ascii="Traditional Arabic" w:hAnsi="Traditional Arabic" w:cs="Traditional Arabic"/>
            <w:noProof/>
            <w:webHidden/>
            <w:sz w:val="28"/>
            <w:rtl/>
            <w:lang w:bidi="ar-EG"/>
          </w:rPr>
          <w:fldChar w:fldCharType="end"/>
        </w:r>
      </w:hyperlink>
    </w:p>
    <w:p w:rsidR="00335E4B" w:rsidRPr="00847D77" w:rsidRDefault="00C034D6" w:rsidP="0004506D">
      <w:pPr>
        <w:tabs>
          <w:tab w:val="left" w:pos="2125"/>
          <w:tab w:val="right" w:leader="dot" w:pos="9486"/>
        </w:tabs>
        <w:spacing w:after="120" w:line="320" w:lineRule="exact"/>
        <w:ind w:left="1416"/>
        <w:rPr>
          <w:rFonts w:ascii="Traditional Arabic" w:hAnsi="Traditional Arabic" w:cs="Traditional Arabic"/>
          <w:noProof/>
          <w:sz w:val="28"/>
          <w:rtl/>
          <w:lang w:bidi="ar-EG"/>
        </w:rPr>
      </w:pPr>
      <w:hyperlink w:anchor="_Toc440456835" w:history="1">
        <w:r w:rsidR="00335E4B" w:rsidRPr="00847D77">
          <w:rPr>
            <w:rFonts w:ascii="Traditional Arabic" w:hAnsi="Traditional Arabic" w:cs="Traditional Arabic"/>
            <w:noProof/>
            <w:sz w:val="28"/>
            <w:rtl/>
            <w:lang w:bidi="ar-EG"/>
          </w:rPr>
          <w:t>تحولات الزئبق أثناء حرق الفحم</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Toc440456835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Pr>
            <w:rFonts w:ascii="Traditional Arabic" w:hAnsi="Traditional Arabic" w:cs="Traditional Arabic"/>
            <w:noProof/>
            <w:webHidden/>
            <w:sz w:val="28"/>
            <w:rtl/>
            <w:lang w:bidi="ar-EG"/>
          </w:rPr>
          <w:t>41</w:t>
        </w:r>
        <w:r w:rsidR="00335E4B" w:rsidRPr="00847D77">
          <w:rPr>
            <w:rFonts w:ascii="Traditional Arabic" w:hAnsi="Traditional Arabic" w:cs="Traditional Arabic"/>
            <w:noProof/>
            <w:webHidden/>
            <w:sz w:val="28"/>
            <w:rtl/>
            <w:lang w:bidi="ar-EG"/>
          </w:rPr>
          <w:fldChar w:fldCharType="end"/>
        </w:r>
      </w:hyperlink>
    </w:p>
    <w:p w:rsidR="00335E4B" w:rsidRPr="00847D77" w:rsidRDefault="00C034D6" w:rsidP="00335E4B">
      <w:pPr>
        <w:tabs>
          <w:tab w:val="right" w:leader="dot" w:pos="9486"/>
        </w:tabs>
        <w:spacing w:after="120" w:line="320" w:lineRule="exact"/>
        <w:ind w:left="1416" w:hanging="567"/>
        <w:rPr>
          <w:rFonts w:ascii="Traditional Arabic" w:hAnsi="Traditional Arabic" w:cs="Traditional Arabic"/>
          <w:noProof/>
          <w:sz w:val="28"/>
          <w:rtl/>
          <w:lang w:bidi="ar-EG"/>
        </w:rPr>
      </w:pPr>
      <w:hyperlink w:anchor="_Toc440456836" w:history="1">
        <w:r w:rsidR="00335E4B" w:rsidRPr="00847D77">
          <w:rPr>
            <w:rFonts w:ascii="Traditional Arabic" w:hAnsi="Traditional Arabic" w:cs="Traditional Arabic"/>
            <w:noProof/>
            <w:sz w:val="28"/>
            <w:rtl/>
            <w:lang w:bidi="ar-EG"/>
          </w:rPr>
          <w:tab/>
        </w:r>
        <w:r w:rsidR="00335E4B" w:rsidRPr="00847D77">
          <w:rPr>
            <w:rFonts w:ascii="Traditional Arabic" w:hAnsi="Traditional Arabic" w:cs="Traditional Arabic"/>
            <w:b/>
            <w:noProof/>
            <w:sz w:val="28"/>
            <w:rtl/>
            <w:lang w:bidi="ar-EG"/>
          </w:rPr>
          <w:t>قائمة تقنيات تخفيض انبعاثات الزئبق</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Toc440456836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Pr>
            <w:rFonts w:ascii="Traditional Arabic" w:hAnsi="Traditional Arabic" w:cs="Traditional Arabic"/>
            <w:noProof/>
            <w:webHidden/>
            <w:sz w:val="28"/>
            <w:rtl/>
            <w:lang w:bidi="ar-EG"/>
          </w:rPr>
          <w:t>44</w:t>
        </w:r>
        <w:r w:rsidR="00335E4B" w:rsidRPr="00847D77">
          <w:rPr>
            <w:rFonts w:ascii="Traditional Arabic" w:hAnsi="Traditional Arabic" w:cs="Traditional Arabic"/>
            <w:noProof/>
            <w:webHidden/>
            <w:sz w:val="28"/>
            <w:rtl/>
            <w:lang w:bidi="ar-EG"/>
          </w:rPr>
          <w:fldChar w:fldCharType="end"/>
        </w:r>
      </w:hyperlink>
    </w:p>
    <w:p w:rsidR="00335E4B" w:rsidRPr="00847D77" w:rsidRDefault="00C034D6" w:rsidP="0004506D">
      <w:pPr>
        <w:tabs>
          <w:tab w:val="left" w:pos="2125"/>
          <w:tab w:val="right" w:leader="dot" w:pos="9486"/>
        </w:tabs>
        <w:spacing w:after="120" w:line="320" w:lineRule="exact"/>
        <w:ind w:left="1416"/>
        <w:rPr>
          <w:rFonts w:ascii="Traditional Arabic" w:hAnsi="Traditional Arabic" w:cs="Traditional Arabic"/>
          <w:noProof/>
          <w:sz w:val="28"/>
          <w:rtl/>
          <w:lang w:bidi="ar-EG"/>
        </w:rPr>
      </w:pPr>
      <w:hyperlink w:anchor="_Toc440456837" w:history="1">
        <w:r w:rsidR="00335E4B" w:rsidRPr="00847D77">
          <w:rPr>
            <w:rFonts w:ascii="Traditional Arabic" w:hAnsi="Traditional Arabic" w:cs="Traditional Arabic"/>
            <w:noProof/>
            <w:sz w:val="28"/>
            <w:rtl/>
            <w:lang w:bidi="ar-EG"/>
          </w:rPr>
          <w:t>غسل الفحم</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Toc440456837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Pr>
            <w:rFonts w:ascii="Traditional Arabic" w:hAnsi="Traditional Arabic" w:cs="Traditional Arabic"/>
            <w:noProof/>
            <w:webHidden/>
            <w:sz w:val="28"/>
            <w:rtl/>
            <w:lang w:bidi="ar-EG"/>
          </w:rPr>
          <w:t>44</w:t>
        </w:r>
        <w:r w:rsidR="00335E4B" w:rsidRPr="00847D77">
          <w:rPr>
            <w:rFonts w:ascii="Traditional Arabic" w:hAnsi="Traditional Arabic" w:cs="Traditional Arabic"/>
            <w:noProof/>
            <w:webHidden/>
            <w:sz w:val="28"/>
            <w:rtl/>
            <w:lang w:bidi="ar-EG"/>
          </w:rPr>
          <w:fldChar w:fldCharType="end"/>
        </w:r>
      </w:hyperlink>
    </w:p>
    <w:p w:rsidR="00335E4B" w:rsidRPr="00847D77" w:rsidRDefault="00C034D6" w:rsidP="0004506D">
      <w:pPr>
        <w:tabs>
          <w:tab w:val="left" w:pos="2125"/>
          <w:tab w:val="right" w:leader="dot" w:pos="9486"/>
        </w:tabs>
        <w:spacing w:after="120" w:line="320" w:lineRule="exact"/>
        <w:ind w:left="1416"/>
        <w:rPr>
          <w:rFonts w:ascii="Traditional Arabic" w:hAnsi="Traditional Arabic" w:cs="Traditional Arabic"/>
          <w:noProof/>
          <w:sz w:val="28"/>
          <w:rtl/>
          <w:lang w:bidi="ar-EG"/>
        </w:rPr>
      </w:pPr>
      <w:hyperlink w:anchor="_Toc440456838" w:history="1">
        <w:r w:rsidR="00335E4B" w:rsidRPr="00847D77">
          <w:rPr>
            <w:rFonts w:ascii="Traditional Arabic" w:hAnsi="Traditional Arabic" w:cs="Traditional Arabic"/>
            <w:noProof/>
            <w:sz w:val="28"/>
            <w:rtl/>
            <w:lang w:bidi="ar-EG"/>
          </w:rPr>
          <w:t>مساهمة نُظم ضبط تلوث الهواء في إزالة الزئبق</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Toc440456838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Pr>
            <w:rFonts w:ascii="Traditional Arabic" w:hAnsi="Traditional Arabic" w:cs="Traditional Arabic"/>
            <w:noProof/>
            <w:webHidden/>
            <w:sz w:val="28"/>
            <w:rtl/>
            <w:lang w:bidi="ar-EG"/>
          </w:rPr>
          <w:t>44</w:t>
        </w:r>
        <w:r w:rsidR="00335E4B" w:rsidRPr="00847D77">
          <w:rPr>
            <w:rFonts w:ascii="Traditional Arabic" w:hAnsi="Traditional Arabic" w:cs="Traditional Arabic"/>
            <w:noProof/>
            <w:webHidden/>
            <w:sz w:val="28"/>
            <w:rtl/>
            <w:lang w:bidi="ar-EG"/>
          </w:rPr>
          <w:fldChar w:fldCharType="end"/>
        </w:r>
      </w:hyperlink>
    </w:p>
    <w:p w:rsidR="00847D77" w:rsidRDefault="00C034D6" w:rsidP="0004506D">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hyperlink w:anchor="_Toc440456839" w:history="1">
        <w:r w:rsidR="00335E4B" w:rsidRPr="00847D77">
          <w:rPr>
            <w:rFonts w:ascii="Traditional Arabic" w:hAnsi="Traditional Arabic" w:cs="Traditional Arabic"/>
            <w:noProof/>
            <w:sz w:val="28"/>
            <w:rtl/>
            <w:lang w:bidi="ar-EG"/>
          </w:rPr>
          <w:t>أجهزة ضبط الجسيمات</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Toc440456839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Pr>
            <w:rFonts w:ascii="Traditional Arabic" w:hAnsi="Traditional Arabic" w:cs="Traditional Arabic"/>
            <w:noProof/>
            <w:webHidden/>
            <w:sz w:val="28"/>
            <w:rtl/>
            <w:lang w:bidi="ar-EG"/>
          </w:rPr>
          <w:t>49</w:t>
        </w:r>
        <w:r w:rsidR="00335E4B" w:rsidRPr="00847D77">
          <w:rPr>
            <w:rFonts w:ascii="Traditional Arabic" w:hAnsi="Traditional Arabic" w:cs="Traditional Arabic"/>
            <w:noProof/>
            <w:webHidden/>
            <w:sz w:val="28"/>
            <w:rtl/>
            <w:lang w:bidi="ar-EG"/>
          </w:rPr>
          <w:fldChar w:fldCharType="end"/>
        </w:r>
      </w:hyperlink>
    </w:p>
    <w:p w:rsidR="00847D77" w:rsidRDefault="00C034D6" w:rsidP="00847D77">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hyperlink w:anchor="_Toc440456840" w:history="1">
        <w:r w:rsidR="00335E4B" w:rsidRPr="00847D77">
          <w:rPr>
            <w:rFonts w:ascii="Traditional Arabic" w:hAnsi="Traditional Arabic" w:cs="Traditional Arabic"/>
            <w:noProof/>
            <w:sz w:val="28"/>
            <w:rtl/>
            <w:lang w:bidi="ar-EG"/>
          </w:rPr>
          <w:t>أجهزة ضبط ثنائي أكسيد الكبريت</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Toc440456840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Pr>
            <w:rFonts w:ascii="Traditional Arabic" w:hAnsi="Traditional Arabic" w:cs="Traditional Arabic"/>
            <w:noProof/>
            <w:webHidden/>
            <w:sz w:val="28"/>
            <w:rtl/>
            <w:lang w:bidi="ar-EG"/>
          </w:rPr>
          <w:t>52</w:t>
        </w:r>
        <w:r w:rsidR="00335E4B" w:rsidRPr="00847D77">
          <w:rPr>
            <w:rFonts w:ascii="Traditional Arabic" w:hAnsi="Traditional Arabic" w:cs="Traditional Arabic"/>
            <w:noProof/>
            <w:webHidden/>
            <w:sz w:val="28"/>
            <w:rtl/>
            <w:lang w:bidi="ar-EG"/>
          </w:rPr>
          <w:fldChar w:fldCharType="end"/>
        </w:r>
      </w:hyperlink>
    </w:p>
    <w:p w:rsidR="00335E4B" w:rsidRPr="00847D77" w:rsidRDefault="00C034D6" w:rsidP="00847D77">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hyperlink w:anchor="_Toc440456841" w:history="1">
        <w:r w:rsidR="00335E4B" w:rsidRPr="00847D77">
          <w:rPr>
            <w:rFonts w:ascii="Traditional Arabic" w:hAnsi="Traditional Arabic" w:cs="Traditional Arabic"/>
            <w:noProof/>
            <w:sz w:val="28"/>
            <w:rtl/>
            <w:lang w:bidi="ar-EG"/>
          </w:rPr>
          <w:t>الاختزال الحفزي الانتقائي لضبط أكاسيد النيتروجين</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Toc440456841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Pr>
            <w:rFonts w:ascii="Traditional Arabic" w:hAnsi="Traditional Arabic" w:cs="Traditional Arabic"/>
            <w:noProof/>
            <w:webHidden/>
            <w:sz w:val="28"/>
            <w:rtl/>
            <w:lang w:bidi="ar-EG"/>
          </w:rPr>
          <w:t>53</w:t>
        </w:r>
        <w:r w:rsidR="00335E4B" w:rsidRPr="00847D77">
          <w:rPr>
            <w:rFonts w:ascii="Traditional Arabic" w:hAnsi="Traditional Arabic" w:cs="Traditional Arabic"/>
            <w:noProof/>
            <w:webHidden/>
            <w:sz w:val="28"/>
            <w:rtl/>
            <w:lang w:bidi="ar-EG"/>
          </w:rPr>
          <w:fldChar w:fldCharType="end"/>
        </w:r>
      </w:hyperlink>
    </w:p>
    <w:p w:rsidR="00335E4B" w:rsidRPr="00847D77" w:rsidRDefault="00C034D6" w:rsidP="00847D77">
      <w:pPr>
        <w:tabs>
          <w:tab w:val="left" w:pos="2125"/>
          <w:tab w:val="right" w:leader="dot" w:pos="9486"/>
        </w:tabs>
        <w:spacing w:after="120" w:line="320" w:lineRule="exact"/>
        <w:ind w:left="1416"/>
        <w:rPr>
          <w:rFonts w:ascii="Traditional Arabic" w:hAnsi="Traditional Arabic" w:cs="Traditional Arabic"/>
          <w:noProof/>
          <w:sz w:val="28"/>
          <w:rtl/>
          <w:lang w:bidi="ar-EG"/>
        </w:rPr>
      </w:pPr>
      <w:hyperlink w:anchor="_Toc440456842" w:history="1">
        <w:r w:rsidR="00335E4B" w:rsidRPr="00847D77">
          <w:rPr>
            <w:rFonts w:ascii="Traditional Arabic" w:hAnsi="Traditional Arabic" w:cs="Traditional Arabic"/>
            <w:noProof/>
            <w:sz w:val="28"/>
            <w:rtl/>
            <w:lang w:bidi="ar-EG"/>
          </w:rPr>
          <w:t>تقنيات</w:t>
        </w:r>
        <w:r w:rsidR="00335E4B" w:rsidRPr="00847D77">
          <w:rPr>
            <w:rFonts w:ascii="Traditional Arabic" w:hAnsi="Traditional Arabic" w:cs="Traditional Arabic"/>
            <w:b/>
            <w:noProof/>
            <w:sz w:val="28"/>
            <w:rtl/>
            <w:lang w:bidi="ar-EG"/>
          </w:rPr>
          <w:t xml:space="preserve"> تعزيز المنافع المشتركة</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Toc440456842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Pr>
            <w:rFonts w:ascii="Traditional Arabic" w:hAnsi="Traditional Arabic" w:cs="Traditional Arabic"/>
            <w:noProof/>
            <w:webHidden/>
            <w:sz w:val="28"/>
            <w:rtl/>
            <w:lang w:bidi="ar-EG"/>
          </w:rPr>
          <w:t>55</w:t>
        </w:r>
        <w:r w:rsidR="00335E4B" w:rsidRPr="00847D77">
          <w:rPr>
            <w:rFonts w:ascii="Traditional Arabic" w:hAnsi="Traditional Arabic" w:cs="Traditional Arabic"/>
            <w:noProof/>
            <w:webHidden/>
            <w:sz w:val="28"/>
            <w:rtl/>
            <w:lang w:bidi="ar-EG"/>
          </w:rPr>
          <w:fldChar w:fldCharType="end"/>
        </w:r>
      </w:hyperlink>
    </w:p>
    <w:p w:rsidR="00335E4B" w:rsidRPr="00847D77" w:rsidRDefault="00847D77" w:rsidP="00847D77">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43" w:history="1">
        <w:r w:rsidR="00335E4B" w:rsidRPr="00847D77">
          <w:rPr>
            <w:rFonts w:ascii="Traditional Arabic" w:hAnsi="Traditional Arabic" w:cs="Traditional Arabic"/>
            <w:noProof/>
            <w:sz w:val="28"/>
            <w:rtl/>
            <w:lang w:bidi="ar-EG"/>
          </w:rPr>
          <w:t>خلط الفحم</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Toc440456843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55</w:t>
        </w:r>
        <w:r w:rsidR="00335E4B" w:rsidRPr="00847D77">
          <w:rPr>
            <w:rFonts w:ascii="Traditional Arabic" w:hAnsi="Traditional Arabic" w:cs="Traditional Arabic"/>
            <w:noProof/>
            <w:webHidden/>
            <w:sz w:val="28"/>
            <w:rtl/>
            <w:lang w:bidi="ar-EG"/>
          </w:rPr>
          <w:fldChar w:fldCharType="end"/>
        </w:r>
      </w:hyperlink>
    </w:p>
    <w:p w:rsidR="00335E4B" w:rsidRPr="00847D77" w:rsidRDefault="00847D77" w:rsidP="0004506D">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44" w:history="1">
        <w:r w:rsidR="00335E4B" w:rsidRPr="00847D77">
          <w:rPr>
            <w:rFonts w:ascii="Traditional Arabic" w:hAnsi="Traditional Arabic" w:cs="Traditional Arabic"/>
            <w:noProof/>
            <w:sz w:val="28"/>
            <w:rtl/>
            <w:lang w:bidi="ar-EG"/>
          </w:rPr>
          <w:t>المواد المضافة لأكسدة الزئبق</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Toc440456844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56</w:t>
        </w:r>
        <w:r w:rsidR="00335E4B" w:rsidRPr="00847D77">
          <w:rPr>
            <w:rFonts w:ascii="Traditional Arabic" w:hAnsi="Traditional Arabic" w:cs="Traditional Arabic"/>
            <w:noProof/>
            <w:webHidden/>
            <w:sz w:val="28"/>
            <w:rtl/>
            <w:lang w:bidi="ar-EG"/>
          </w:rPr>
          <w:fldChar w:fldCharType="end"/>
        </w:r>
      </w:hyperlink>
    </w:p>
    <w:p w:rsidR="00335E4B" w:rsidRPr="00847D77" w:rsidRDefault="00847D77" w:rsidP="0004506D">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45" w:history="1">
        <w:r w:rsidR="00335E4B" w:rsidRPr="00847D77">
          <w:rPr>
            <w:rFonts w:ascii="Traditional Arabic" w:hAnsi="Traditional Arabic" w:cs="Traditional Arabic"/>
            <w:noProof/>
            <w:sz w:val="28"/>
            <w:rtl/>
            <w:lang w:bidi="ar-EG"/>
          </w:rPr>
          <w:t>المواد المضافة إلى جهاز التنظيف الرطب لضبط إعادة انبعاثات الزئبق</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Toc440456845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57</w:t>
        </w:r>
        <w:r w:rsidR="00335E4B" w:rsidRPr="00847D77">
          <w:rPr>
            <w:rFonts w:ascii="Traditional Arabic" w:hAnsi="Traditional Arabic" w:cs="Traditional Arabic"/>
            <w:noProof/>
            <w:webHidden/>
            <w:sz w:val="28"/>
            <w:rtl/>
            <w:lang w:bidi="ar-EG"/>
          </w:rPr>
          <w:fldChar w:fldCharType="end"/>
        </w:r>
      </w:hyperlink>
    </w:p>
    <w:p w:rsidR="00335E4B" w:rsidRPr="00847D77" w:rsidRDefault="00847D77" w:rsidP="0004506D">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46" w:history="1">
        <w:r w:rsidR="00335E4B" w:rsidRPr="00847D77">
          <w:rPr>
            <w:rFonts w:ascii="Traditional Arabic" w:hAnsi="Traditional Arabic" w:cs="Traditional Arabic"/>
            <w:noProof/>
            <w:sz w:val="28"/>
            <w:rtl/>
            <w:lang w:bidi="ar-EG"/>
          </w:rPr>
          <w:t>الحفاز الانتقائي لأكسدة الزئبق</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Toc440456846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58</w:t>
        </w:r>
        <w:r w:rsidR="00335E4B" w:rsidRPr="00847D77">
          <w:rPr>
            <w:rFonts w:ascii="Traditional Arabic" w:hAnsi="Traditional Arabic" w:cs="Traditional Arabic"/>
            <w:noProof/>
            <w:webHidden/>
            <w:sz w:val="28"/>
            <w:rtl/>
            <w:lang w:bidi="ar-EG"/>
          </w:rPr>
          <w:fldChar w:fldCharType="end"/>
        </w:r>
      </w:hyperlink>
    </w:p>
    <w:p w:rsidR="00335E4B" w:rsidRPr="00847D77" w:rsidRDefault="00C034D6" w:rsidP="001B4AB9">
      <w:pPr>
        <w:tabs>
          <w:tab w:val="left" w:pos="2125"/>
          <w:tab w:val="right" w:leader="dot" w:pos="9486"/>
        </w:tabs>
        <w:spacing w:after="120" w:line="320" w:lineRule="exact"/>
        <w:ind w:left="1416"/>
        <w:rPr>
          <w:rFonts w:ascii="Traditional Arabic" w:hAnsi="Traditional Arabic" w:cs="Traditional Arabic"/>
          <w:noProof/>
          <w:sz w:val="28"/>
          <w:rtl/>
          <w:lang w:bidi="ar-EG"/>
        </w:rPr>
      </w:pPr>
      <w:hyperlink w:anchor="_Toc440456847" w:history="1">
        <w:r w:rsidR="00335E4B" w:rsidRPr="00847D77">
          <w:rPr>
            <w:rFonts w:ascii="Traditional Arabic" w:hAnsi="Traditional Arabic" w:cs="Traditional Arabic"/>
            <w:b/>
            <w:noProof/>
            <w:sz w:val="28"/>
            <w:rtl/>
            <w:lang w:bidi="ar-EG"/>
          </w:rPr>
          <w:t xml:space="preserve">حقن </w:t>
        </w:r>
        <w:r w:rsidR="00335E4B" w:rsidRPr="00847D77">
          <w:rPr>
            <w:rFonts w:ascii="Traditional Arabic" w:hAnsi="Traditional Arabic" w:cs="Traditional Arabic"/>
            <w:noProof/>
            <w:sz w:val="28"/>
            <w:rtl/>
            <w:lang w:bidi="ar-EG"/>
          </w:rPr>
          <w:t>الكربون</w:t>
        </w:r>
        <w:r w:rsidR="00335E4B" w:rsidRPr="00847D77">
          <w:rPr>
            <w:rFonts w:ascii="Traditional Arabic" w:hAnsi="Traditional Arabic" w:cs="Traditional Arabic"/>
            <w:b/>
            <w:noProof/>
            <w:sz w:val="28"/>
            <w:rtl/>
            <w:lang w:bidi="ar-EG"/>
          </w:rPr>
          <w:t xml:space="preserve"> المنشَّط للضبط المخصص للزئبق</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Toc440456847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Pr>
            <w:rFonts w:ascii="Traditional Arabic" w:hAnsi="Traditional Arabic" w:cs="Traditional Arabic"/>
            <w:noProof/>
            <w:webHidden/>
            <w:sz w:val="28"/>
            <w:rtl/>
            <w:lang w:bidi="ar-EG"/>
          </w:rPr>
          <w:t>59</w:t>
        </w:r>
        <w:r w:rsidR="00335E4B" w:rsidRPr="00847D77">
          <w:rPr>
            <w:rFonts w:ascii="Traditional Arabic" w:hAnsi="Traditional Arabic" w:cs="Traditional Arabic"/>
            <w:noProof/>
            <w:webHidden/>
            <w:sz w:val="28"/>
            <w:rtl/>
            <w:lang w:bidi="ar-EG"/>
          </w:rPr>
          <w:fldChar w:fldCharType="end"/>
        </w:r>
      </w:hyperlink>
    </w:p>
    <w:p w:rsidR="00335E4B" w:rsidRPr="00847D77" w:rsidRDefault="001B4AB9" w:rsidP="001B4AB9">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48" w:history="1">
        <w:r w:rsidR="00335E4B" w:rsidRPr="00847D77">
          <w:rPr>
            <w:rFonts w:ascii="Traditional Arabic" w:hAnsi="Traditional Arabic" w:cs="Traditional Arabic"/>
            <w:noProof/>
            <w:sz w:val="28"/>
            <w:rtl/>
            <w:lang w:bidi="ar-EG"/>
          </w:rPr>
          <w:t>حقن المادة الماصة بدون معالجة كيميائية</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Toc440456848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60</w:t>
        </w:r>
        <w:r w:rsidR="00335E4B" w:rsidRPr="00847D77">
          <w:rPr>
            <w:rFonts w:ascii="Traditional Arabic" w:hAnsi="Traditional Arabic" w:cs="Traditional Arabic"/>
            <w:noProof/>
            <w:webHidden/>
            <w:sz w:val="28"/>
            <w:rtl/>
            <w:lang w:bidi="ar-EG"/>
          </w:rPr>
          <w:fldChar w:fldCharType="end"/>
        </w:r>
      </w:hyperlink>
    </w:p>
    <w:p w:rsidR="00335E4B" w:rsidRPr="00847D77" w:rsidRDefault="001B4AB9" w:rsidP="001B4AB9">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49" w:history="1">
        <w:r w:rsidR="00335E4B" w:rsidRPr="00847D77">
          <w:rPr>
            <w:rFonts w:ascii="Traditional Arabic" w:hAnsi="Traditional Arabic" w:cs="Traditional Arabic"/>
            <w:noProof/>
            <w:sz w:val="28"/>
            <w:rtl/>
            <w:lang w:bidi="ar-EG"/>
          </w:rPr>
          <w:t>حقن مادة ماصة معالجة كيميائياً</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Toc440456849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61</w:t>
        </w:r>
        <w:r w:rsidR="00335E4B" w:rsidRPr="00847D77">
          <w:rPr>
            <w:rFonts w:ascii="Traditional Arabic" w:hAnsi="Traditional Arabic" w:cs="Traditional Arabic"/>
            <w:noProof/>
            <w:webHidden/>
            <w:sz w:val="28"/>
            <w:rtl/>
            <w:lang w:bidi="ar-EG"/>
          </w:rPr>
          <w:fldChar w:fldCharType="end"/>
        </w:r>
      </w:hyperlink>
    </w:p>
    <w:p w:rsidR="00335E4B" w:rsidRPr="00847D77" w:rsidRDefault="001B4AB9" w:rsidP="001B4AB9">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50" w:history="1">
        <w:r w:rsidR="00335E4B" w:rsidRPr="00847D77">
          <w:rPr>
            <w:rFonts w:ascii="Traditional Arabic" w:hAnsi="Traditional Arabic" w:cs="Traditional Arabic"/>
            <w:noProof/>
            <w:sz w:val="28"/>
            <w:rtl/>
            <w:lang w:bidi="ar-EG"/>
          </w:rPr>
          <w:t>تقييدات انطباق حقن الكربون المنشط</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Toc440456850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62</w:t>
        </w:r>
        <w:r w:rsidR="00335E4B" w:rsidRPr="00847D77">
          <w:rPr>
            <w:rFonts w:ascii="Traditional Arabic" w:hAnsi="Traditional Arabic" w:cs="Traditional Arabic"/>
            <w:noProof/>
            <w:webHidden/>
            <w:sz w:val="28"/>
            <w:rtl/>
            <w:lang w:bidi="ar-EG"/>
          </w:rPr>
          <w:fldChar w:fldCharType="end"/>
        </w:r>
      </w:hyperlink>
    </w:p>
    <w:p w:rsidR="00335E4B" w:rsidRPr="00847D77" w:rsidRDefault="00C034D6" w:rsidP="00335E4B">
      <w:pPr>
        <w:tabs>
          <w:tab w:val="right" w:pos="1983"/>
          <w:tab w:val="left" w:pos="2125"/>
          <w:tab w:val="right" w:leader="dot" w:pos="9486"/>
        </w:tabs>
        <w:spacing w:after="120" w:line="320" w:lineRule="exact"/>
        <w:ind w:left="1416"/>
        <w:rPr>
          <w:rFonts w:ascii="Traditional Arabic" w:hAnsi="Traditional Arabic" w:cs="Traditional Arabic"/>
          <w:noProof/>
          <w:sz w:val="28"/>
          <w:rtl/>
          <w:lang w:bidi="ar-EG"/>
        </w:rPr>
      </w:pPr>
      <w:hyperlink w:anchor="_Toc440456851" w:history="1">
        <w:r w:rsidR="00335E4B" w:rsidRPr="00847D77">
          <w:rPr>
            <w:rFonts w:ascii="Traditional Arabic" w:hAnsi="Traditional Arabic" w:cs="Traditional Arabic"/>
            <w:noProof/>
            <w:sz w:val="28"/>
            <w:rtl/>
            <w:lang w:bidi="ar-EG"/>
          </w:rPr>
          <w:t>تكلفة</w:t>
        </w:r>
        <w:r w:rsidR="00335E4B" w:rsidRPr="00847D77">
          <w:rPr>
            <w:rFonts w:ascii="Traditional Arabic" w:hAnsi="Traditional Arabic" w:cs="Traditional Arabic"/>
            <w:b/>
            <w:noProof/>
            <w:sz w:val="28"/>
            <w:rtl/>
            <w:lang w:bidi="ar-EG"/>
          </w:rPr>
          <w:t xml:space="preserve"> تكنولوجيات ضبط الزئبق</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Toc440456851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Pr>
            <w:rFonts w:ascii="Traditional Arabic" w:hAnsi="Traditional Arabic" w:cs="Traditional Arabic"/>
            <w:noProof/>
            <w:webHidden/>
            <w:sz w:val="28"/>
            <w:rtl/>
            <w:lang w:bidi="ar-EG"/>
          </w:rPr>
          <w:t>63</w:t>
        </w:r>
        <w:r w:rsidR="00335E4B" w:rsidRPr="00847D77">
          <w:rPr>
            <w:rFonts w:ascii="Traditional Arabic" w:hAnsi="Traditional Arabic" w:cs="Traditional Arabic"/>
            <w:noProof/>
            <w:webHidden/>
            <w:sz w:val="28"/>
            <w:rtl/>
            <w:lang w:bidi="ar-EG"/>
          </w:rPr>
          <w:fldChar w:fldCharType="end"/>
        </w:r>
      </w:hyperlink>
    </w:p>
    <w:p w:rsidR="00335E4B" w:rsidRPr="00847D77" w:rsidRDefault="001B4AB9" w:rsidP="001B4AB9">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52" w:history="1">
        <w:r w:rsidR="00335E4B" w:rsidRPr="00847D77">
          <w:rPr>
            <w:rFonts w:ascii="Traditional Arabic" w:hAnsi="Traditional Arabic" w:cs="Traditional Arabic"/>
            <w:noProof/>
            <w:sz w:val="28"/>
            <w:rtl/>
            <w:lang w:bidi="ar-EG"/>
          </w:rPr>
          <w:t>تكاليف تكنولوجيات ضبط الزئبق في إطار المنافع المشتركة</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Toc440456852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64</w:t>
        </w:r>
        <w:r w:rsidR="00335E4B" w:rsidRPr="00847D77">
          <w:rPr>
            <w:rFonts w:ascii="Traditional Arabic" w:hAnsi="Traditional Arabic" w:cs="Traditional Arabic"/>
            <w:noProof/>
            <w:webHidden/>
            <w:sz w:val="28"/>
            <w:rtl/>
            <w:lang w:bidi="ar-EG"/>
          </w:rPr>
          <w:fldChar w:fldCharType="end"/>
        </w:r>
      </w:hyperlink>
    </w:p>
    <w:p w:rsidR="00335E4B" w:rsidRPr="00847D77" w:rsidRDefault="001B4AB9" w:rsidP="001B4AB9">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53" w:history="1">
        <w:r w:rsidR="00335E4B" w:rsidRPr="00847D77">
          <w:rPr>
            <w:rFonts w:ascii="Traditional Arabic" w:hAnsi="Traditional Arabic" w:cs="Traditional Arabic"/>
            <w:noProof/>
            <w:sz w:val="28"/>
            <w:rtl/>
            <w:lang w:bidi="ar-EG"/>
          </w:rPr>
          <w:t>تكاليف تقنيات تعزيز المنافع المشتركة وحقن الكربون المنشَّط</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Toc440456853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66</w:t>
        </w:r>
        <w:r w:rsidR="00335E4B" w:rsidRPr="00847D77">
          <w:rPr>
            <w:rFonts w:ascii="Traditional Arabic" w:hAnsi="Traditional Arabic" w:cs="Traditional Arabic"/>
            <w:noProof/>
            <w:webHidden/>
            <w:sz w:val="28"/>
            <w:rtl/>
            <w:lang w:bidi="ar-EG"/>
          </w:rPr>
          <w:fldChar w:fldCharType="end"/>
        </w:r>
      </w:hyperlink>
    </w:p>
    <w:p w:rsidR="00335E4B" w:rsidRPr="00847D77" w:rsidRDefault="00C034D6" w:rsidP="00335E4B">
      <w:pPr>
        <w:tabs>
          <w:tab w:val="right" w:leader="dot" w:pos="9486"/>
        </w:tabs>
        <w:spacing w:after="120" w:line="320" w:lineRule="exact"/>
        <w:ind w:left="1416" w:hanging="567"/>
        <w:rPr>
          <w:rFonts w:ascii="Traditional Arabic" w:hAnsi="Traditional Arabic" w:cs="Traditional Arabic"/>
          <w:b/>
          <w:noProof/>
          <w:sz w:val="28"/>
          <w:rtl/>
          <w:lang w:bidi="ar-EG"/>
        </w:rPr>
      </w:pPr>
      <w:hyperlink w:anchor="_Toc440456859" w:history="1">
        <w:r w:rsidR="00335E4B" w:rsidRPr="00847D77">
          <w:rPr>
            <w:rFonts w:ascii="Traditional Arabic" w:hAnsi="Traditional Arabic" w:cs="Traditional Arabic"/>
            <w:b/>
            <w:noProof/>
            <w:sz w:val="28"/>
            <w:rtl/>
            <w:lang w:bidi="ar-EG"/>
          </w:rPr>
          <w:t>أفضل التقنيات المتاحة وأفضل الممارسات البيئية لحرق الفحم</w:t>
        </w:r>
        <w:r w:rsidR="00335E4B" w:rsidRPr="00847D77">
          <w:rPr>
            <w:rFonts w:ascii="Traditional Arabic" w:hAnsi="Traditional Arabic" w:cs="Traditional Arabic"/>
            <w:b/>
            <w:noProof/>
            <w:webHidden/>
            <w:sz w:val="28"/>
            <w:rtl/>
            <w:lang w:bidi="ar-EG"/>
          </w:rPr>
          <w:tab/>
        </w:r>
        <w:r w:rsidR="00335E4B" w:rsidRPr="00847D77">
          <w:rPr>
            <w:rFonts w:ascii="Traditional Arabic" w:hAnsi="Traditional Arabic" w:cs="Traditional Arabic"/>
            <w:b/>
            <w:noProof/>
            <w:webHidden/>
            <w:sz w:val="28"/>
            <w:rtl/>
            <w:lang w:bidi="ar-EG"/>
          </w:rPr>
          <w:fldChar w:fldCharType="begin"/>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lang w:bidi="ar-EG"/>
          </w:rPr>
          <w:instrText>PAGEREF</w:instrText>
        </w:r>
        <w:r w:rsidR="00335E4B" w:rsidRPr="00847D77">
          <w:rPr>
            <w:rFonts w:ascii="Traditional Arabic" w:hAnsi="Traditional Arabic" w:cs="Traditional Arabic"/>
            <w:b/>
            <w:noProof/>
            <w:webHidden/>
            <w:sz w:val="28"/>
            <w:rtl/>
            <w:lang w:bidi="ar-EG"/>
          </w:rPr>
          <w:instrText xml:space="preserve"> _</w:instrText>
        </w:r>
        <w:r w:rsidR="00335E4B" w:rsidRPr="00847D77">
          <w:rPr>
            <w:rFonts w:ascii="Traditional Arabic" w:hAnsi="Traditional Arabic" w:cs="Traditional Arabic"/>
            <w:b/>
            <w:noProof/>
            <w:webHidden/>
            <w:sz w:val="28"/>
            <w:lang w:bidi="ar-EG"/>
          </w:rPr>
          <w:instrText>Toc440456859 \h</w:instrText>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rtl/>
            <w:lang w:bidi="ar-EG"/>
          </w:rPr>
        </w:r>
        <w:r w:rsidR="00335E4B" w:rsidRPr="00847D77">
          <w:rPr>
            <w:rFonts w:ascii="Traditional Arabic" w:hAnsi="Traditional Arabic" w:cs="Traditional Arabic"/>
            <w:b/>
            <w:noProof/>
            <w:webHidden/>
            <w:sz w:val="28"/>
            <w:rtl/>
            <w:lang w:bidi="ar-EG"/>
          </w:rPr>
          <w:fldChar w:fldCharType="separate"/>
        </w:r>
        <w:r>
          <w:rPr>
            <w:rFonts w:ascii="Traditional Arabic" w:hAnsi="Traditional Arabic" w:cs="Traditional Arabic"/>
            <w:b/>
            <w:noProof/>
            <w:webHidden/>
            <w:sz w:val="28"/>
            <w:rtl/>
            <w:lang w:bidi="ar-EG"/>
          </w:rPr>
          <w:t>68</w:t>
        </w:r>
        <w:r w:rsidR="00335E4B" w:rsidRPr="00847D77">
          <w:rPr>
            <w:rFonts w:ascii="Traditional Arabic" w:hAnsi="Traditional Arabic" w:cs="Traditional Arabic"/>
            <w:b/>
            <w:noProof/>
            <w:webHidden/>
            <w:sz w:val="28"/>
            <w:rtl/>
            <w:lang w:bidi="ar-EG"/>
          </w:rPr>
          <w:fldChar w:fldCharType="end"/>
        </w:r>
      </w:hyperlink>
    </w:p>
    <w:p w:rsidR="00335E4B" w:rsidRPr="00847D77" w:rsidRDefault="00C034D6" w:rsidP="00CC4E0A">
      <w:pPr>
        <w:tabs>
          <w:tab w:val="left" w:pos="2125"/>
          <w:tab w:val="right" w:leader="dot" w:pos="9486"/>
        </w:tabs>
        <w:spacing w:after="120" w:line="320" w:lineRule="exact"/>
        <w:ind w:left="1416"/>
        <w:rPr>
          <w:rFonts w:ascii="Traditional Arabic" w:hAnsi="Traditional Arabic" w:cs="Traditional Arabic"/>
          <w:b/>
          <w:noProof/>
          <w:sz w:val="28"/>
          <w:rtl/>
          <w:lang w:bidi="ar-EG"/>
        </w:rPr>
      </w:pPr>
      <w:hyperlink w:anchor="_Toc440456860" w:history="1">
        <w:r w:rsidR="00335E4B" w:rsidRPr="00847D77">
          <w:rPr>
            <w:rFonts w:ascii="Traditional Arabic" w:hAnsi="Traditional Arabic" w:cs="Traditional Arabic"/>
            <w:b/>
            <w:noProof/>
            <w:sz w:val="28"/>
            <w:rtl/>
            <w:lang w:bidi="ar-EG"/>
          </w:rPr>
          <w:t>أفضل التقنيات المتاحة</w:t>
        </w:r>
        <w:r w:rsidR="00335E4B" w:rsidRPr="00847D77">
          <w:rPr>
            <w:rFonts w:ascii="Traditional Arabic" w:hAnsi="Traditional Arabic" w:cs="Traditional Arabic"/>
            <w:b/>
            <w:noProof/>
            <w:webHidden/>
            <w:sz w:val="28"/>
            <w:rtl/>
            <w:lang w:bidi="ar-EG"/>
          </w:rPr>
          <w:tab/>
        </w:r>
        <w:r w:rsidR="00335E4B" w:rsidRPr="00847D77">
          <w:rPr>
            <w:rFonts w:ascii="Traditional Arabic" w:hAnsi="Traditional Arabic" w:cs="Traditional Arabic"/>
            <w:b/>
            <w:noProof/>
            <w:webHidden/>
            <w:sz w:val="28"/>
            <w:rtl/>
            <w:lang w:bidi="ar-EG"/>
          </w:rPr>
          <w:fldChar w:fldCharType="begin"/>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lang w:bidi="ar-EG"/>
          </w:rPr>
          <w:instrText>PAGEREF</w:instrText>
        </w:r>
        <w:r w:rsidR="00335E4B" w:rsidRPr="00847D77">
          <w:rPr>
            <w:rFonts w:ascii="Traditional Arabic" w:hAnsi="Traditional Arabic" w:cs="Traditional Arabic"/>
            <w:b/>
            <w:noProof/>
            <w:webHidden/>
            <w:sz w:val="28"/>
            <w:rtl/>
            <w:lang w:bidi="ar-EG"/>
          </w:rPr>
          <w:instrText xml:space="preserve"> _</w:instrText>
        </w:r>
        <w:r w:rsidR="00335E4B" w:rsidRPr="00847D77">
          <w:rPr>
            <w:rFonts w:ascii="Traditional Arabic" w:hAnsi="Traditional Arabic" w:cs="Traditional Arabic"/>
            <w:b/>
            <w:noProof/>
            <w:webHidden/>
            <w:sz w:val="28"/>
            <w:lang w:bidi="ar-EG"/>
          </w:rPr>
          <w:instrText>Toc440456860 \h</w:instrText>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rtl/>
            <w:lang w:bidi="ar-EG"/>
          </w:rPr>
        </w:r>
        <w:r w:rsidR="00335E4B" w:rsidRPr="00847D77">
          <w:rPr>
            <w:rFonts w:ascii="Traditional Arabic" w:hAnsi="Traditional Arabic" w:cs="Traditional Arabic"/>
            <w:b/>
            <w:noProof/>
            <w:webHidden/>
            <w:sz w:val="28"/>
            <w:rtl/>
            <w:lang w:bidi="ar-EG"/>
          </w:rPr>
          <w:fldChar w:fldCharType="separate"/>
        </w:r>
        <w:r>
          <w:rPr>
            <w:rFonts w:ascii="Traditional Arabic" w:hAnsi="Traditional Arabic" w:cs="Traditional Arabic"/>
            <w:b/>
            <w:noProof/>
            <w:webHidden/>
            <w:sz w:val="28"/>
            <w:rtl/>
            <w:lang w:bidi="ar-EG"/>
          </w:rPr>
          <w:t>68</w:t>
        </w:r>
        <w:r w:rsidR="00335E4B" w:rsidRPr="00847D77">
          <w:rPr>
            <w:rFonts w:ascii="Traditional Arabic" w:hAnsi="Traditional Arabic" w:cs="Traditional Arabic"/>
            <w:b/>
            <w:noProof/>
            <w:webHidden/>
            <w:sz w:val="28"/>
            <w:rtl/>
            <w:lang w:bidi="ar-EG"/>
          </w:rPr>
          <w:fldChar w:fldCharType="end"/>
        </w:r>
      </w:hyperlink>
    </w:p>
    <w:p w:rsidR="00335E4B" w:rsidRPr="00847D77" w:rsidRDefault="00CC4E0A" w:rsidP="00CC4E0A">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61" w:history="1">
        <w:r w:rsidR="00335E4B" w:rsidRPr="00847D77">
          <w:rPr>
            <w:rFonts w:ascii="Traditional Arabic" w:hAnsi="Traditional Arabic" w:cs="Traditional Arabic"/>
            <w:noProof/>
            <w:sz w:val="28"/>
            <w:rtl/>
            <w:lang w:bidi="ar-EG"/>
          </w:rPr>
          <w:t>التدابير الأوَّلية لتقليل محتوى الزئبق في الفحم</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Toc440456861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68</w:t>
        </w:r>
        <w:r w:rsidR="00335E4B" w:rsidRPr="00847D77">
          <w:rPr>
            <w:rFonts w:ascii="Traditional Arabic" w:hAnsi="Traditional Arabic" w:cs="Traditional Arabic"/>
            <w:noProof/>
            <w:webHidden/>
            <w:sz w:val="28"/>
            <w:rtl/>
            <w:lang w:bidi="ar-EG"/>
          </w:rPr>
          <w:fldChar w:fldCharType="end"/>
        </w:r>
      </w:hyperlink>
    </w:p>
    <w:p w:rsidR="00CC4E0A" w:rsidRDefault="00CC4E0A" w:rsidP="00CC4E0A">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62" w:history="1">
        <w:r w:rsidR="00335E4B" w:rsidRPr="00847D77">
          <w:rPr>
            <w:rFonts w:ascii="Traditional Arabic" w:hAnsi="Traditional Arabic" w:cs="Traditional Arabic"/>
            <w:noProof/>
            <w:sz w:val="28"/>
            <w:rtl/>
            <w:lang w:bidi="ar-EG"/>
          </w:rPr>
          <w:t>تدابير تقليل انبعاثات الزئبق أثناء الاحتراق</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Toc440456862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68</w:t>
        </w:r>
        <w:r w:rsidR="00335E4B" w:rsidRPr="00847D77">
          <w:rPr>
            <w:rFonts w:ascii="Traditional Arabic" w:hAnsi="Traditional Arabic" w:cs="Traditional Arabic"/>
            <w:noProof/>
            <w:webHidden/>
            <w:sz w:val="28"/>
            <w:rtl/>
            <w:lang w:bidi="ar-EG"/>
          </w:rPr>
          <w:fldChar w:fldCharType="end"/>
        </w:r>
      </w:hyperlink>
    </w:p>
    <w:p w:rsidR="00CC4E0A" w:rsidRDefault="00CC4E0A" w:rsidP="0004506D">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63" w:history="1">
        <w:r w:rsidR="00335E4B" w:rsidRPr="00847D77">
          <w:rPr>
            <w:rFonts w:ascii="Traditional Arabic" w:hAnsi="Traditional Arabic" w:cs="Traditional Arabic"/>
            <w:noProof/>
            <w:sz w:val="28"/>
            <w:rtl/>
            <w:lang w:bidi="ar-EG"/>
          </w:rPr>
          <w:t>إزالة الزئبق بواسطة المنافع المشتركة لنُظم ضبط تلوث الهواء التقليدية</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Toc440456863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68</w:t>
        </w:r>
        <w:r w:rsidR="00335E4B" w:rsidRPr="00847D77">
          <w:rPr>
            <w:rFonts w:ascii="Traditional Arabic" w:hAnsi="Traditional Arabic" w:cs="Traditional Arabic"/>
            <w:noProof/>
            <w:webHidden/>
            <w:sz w:val="28"/>
            <w:rtl/>
            <w:lang w:bidi="ar-EG"/>
          </w:rPr>
          <w:fldChar w:fldCharType="end"/>
        </w:r>
      </w:hyperlink>
    </w:p>
    <w:p w:rsidR="00335E4B" w:rsidRPr="00847D77" w:rsidRDefault="00CC4E0A" w:rsidP="0004506D">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lang w:bidi="ar-EG"/>
        </w:rPr>
        <w:tab/>
      </w:r>
      <w:hyperlink w:anchor="_Toc440456864" w:history="1">
        <w:r w:rsidR="00335E4B" w:rsidRPr="00847D77">
          <w:rPr>
            <w:rFonts w:ascii="Traditional Arabic" w:hAnsi="Traditional Arabic" w:cs="Traditional Arabic"/>
            <w:noProof/>
            <w:sz w:val="28"/>
            <w:rtl/>
            <w:lang w:bidi="ar-EG"/>
          </w:rPr>
          <w:t>التكنولوجيات المخصصة لضبط الزئبق</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Toc440456864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68</w:t>
        </w:r>
        <w:r w:rsidR="00335E4B" w:rsidRPr="00847D77">
          <w:rPr>
            <w:rFonts w:ascii="Traditional Arabic" w:hAnsi="Traditional Arabic" w:cs="Traditional Arabic"/>
            <w:noProof/>
            <w:webHidden/>
            <w:sz w:val="28"/>
            <w:rtl/>
            <w:lang w:bidi="ar-EG"/>
          </w:rPr>
          <w:fldChar w:fldCharType="end"/>
        </w:r>
      </w:hyperlink>
    </w:p>
    <w:p w:rsidR="00335E4B" w:rsidRPr="00847D77" w:rsidRDefault="00C034D6" w:rsidP="00CC4E0A">
      <w:pPr>
        <w:tabs>
          <w:tab w:val="left" w:pos="2125"/>
          <w:tab w:val="right" w:leader="dot" w:pos="9486"/>
        </w:tabs>
        <w:spacing w:after="120" w:line="320" w:lineRule="exact"/>
        <w:ind w:left="1416"/>
        <w:rPr>
          <w:rFonts w:ascii="Traditional Arabic" w:hAnsi="Traditional Arabic" w:cs="Traditional Arabic"/>
          <w:b/>
          <w:noProof/>
          <w:sz w:val="28"/>
          <w:rtl/>
          <w:lang w:bidi="ar-EG"/>
        </w:rPr>
      </w:pPr>
      <w:hyperlink w:anchor="_Toc440456865" w:history="1">
        <w:r w:rsidR="00335E4B" w:rsidRPr="00847D77">
          <w:rPr>
            <w:rFonts w:ascii="Traditional Arabic" w:hAnsi="Traditional Arabic" w:cs="Traditional Arabic"/>
            <w:b/>
            <w:noProof/>
            <w:sz w:val="28"/>
            <w:rtl/>
            <w:lang w:bidi="ar-EG"/>
          </w:rPr>
          <w:t>أفضل الممارسات البيئية</w:t>
        </w:r>
        <w:r w:rsidR="00335E4B" w:rsidRPr="00847D77">
          <w:rPr>
            <w:rFonts w:ascii="Traditional Arabic" w:hAnsi="Traditional Arabic" w:cs="Traditional Arabic"/>
            <w:b/>
            <w:noProof/>
            <w:webHidden/>
            <w:sz w:val="28"/>
            <w:rtl/>
            <w:lang w:bidi="ar-EG"/>
          </w:rPr>
          <w:tab/>
        </w:r>
        <w:r w:rsidR="00335E4B" w:rsidRPr="00847D77">
          <w:rPr>
            <w:rFonts w:ascii="Traditional Arabic" w:hAnsi="Traditional Arabic" w:cs="Traditional Arabic"/>
            <w:b/>
            <w:noProof/>
            <w:webHidden/>
            <w:sz w:val="28"/>
            <w:rtl/>
            <w:lang w:bidi="ar-EG"/>
          </w:rPr>
          <w:fldChar w:fldCharType="begin"/>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lang w:bidi="ar-EG"/>
          </w:rPr>
          <w:instrText>PAGEREF</w:instrText>
        </w:r>
        <w:r w:rsidR="00335E4B" w:rsidRPr="00847D77">
          <w:rPr>
            <w:rFonts w:ascii="Traditional Arabic" w:hAnsi="Traditional Arabic" w:cs="Traditional Arabic"/>
            <w:b/>
            <w:noProof/>
            <w:webHidden/>
            <w:sz w:val="28"/>
            <w:rtl/>
            <w:lang w:bidi="ar-EG"/>
          </w:rPr>
          <w:instrText xml:space="preserve"> _</w:instrText>
        </w:r>
        <w:r w:rsidR="00335E4B" w:rsidRPr="00847D77">
          <w:rPr>
            <w:rFonts w:ascii="Traditional Arabic" w:hAnsi="Traditional Arabic" w:cs="Traditional Arabic"/>
            <w:b/>
            <w:noProof/>
            <w:webHidden/>
            <w:sz w:val="28"/>
            <w:lang w:bidi="ar-EG"/>
          </w:rPr>
          <w:instrText>Toc440456865 \h</w:instrText>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rtl/>
            <w:lang w:bidi="ar-EG"/>
          </w:rPr>
        </w:r>
        <w:r w:rsidR="00335E4B" w:rsidRPr="00847D77">
          <w:rPr>
            <w:rFonts w:ascii="Traditional Arabic" w:hAnsi="Traditional Arabic" w:cs="Traditional Arabic"/>
            <w:b/>
            <w:noProof/>
            <w:webHidden/>
            <w:sz w:val="28"/>
            <w:rtl/>
            <w:lang w:bidi="ar-EG"/>
          </w:rPr>
          <w:fldChar w:fldCharType="separate"/>
        </w:r>
        <w:r>
          <w:rPr>
            <w:rFonts w:ascii="Traditional Arabic" w:hAnsi="Traditional Arabic" w:cs="Traditional Arabic"/>
            <w:b/>
            <w:noProof/>
            <w:webHidden/>
            <w:sz w:val="28"/>
            <w:rtl/>
            <w:lang w:bidi="ar-EG"/>
          </w:rPr>
          <w:t>69</w:t>
        </w:r>
        <w:r w:rsidR="00335E4B" w:rsidRPr="00847D77">
          <w:rPr>
            <w:rFonts w:ascii="Traditional Arabic" w:hAnsi="Traditional Arabic" w:cs="Traditional Arabic"/>
            <w:b/>
            <w:noProof/>
            <w:webHidden/>
            <w:sz w:val="28"/>
            <w:rtl/>
            <w:lang w:bidi="ar-EG"/>
          </w:rPr>
          <w:fldChar w:fldCharType="end"/>
        </w:r>
      </w:hyperlink>
    </w:p>
    <w:p w:rsidR="00335E4B" w:rsidRPr="00847D77" w:rsidRDefault="00CC4E0A" w:rsidP="00D61DA9">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66" w:history="1">
        <w:r w:rsidR="00335E4B" w:rsidRPr="00847D77">
          <w:rPr>
            <w:rFonts w:ascii="Traditional Arabic" w:hAnsi="Traditional Arabic" w:cs="Traditional Arabic"/>
            <w:noProof/>
            <w:sz w:val="28"/>
            <w:rtl/>
            <w:lang w:bidi="ar-EG"/>
          </w:rPr>
          <w:t>مع</w:t>
        </w:r>
        <w:r w:rsidR="00D61DA9">
          <w:rPr>
            <w:rFonts w:ascii="Traditional Arabic" w:hAnsi="Traditional Arabic" w:cs="Traditional Arabic" w:hint="cs"/>
            <w:noProof/>
            <w:sz w:val="28"/>
            <w:rtl/>
            <w:lang w:bidi="ar-EG"/>
          </w:rPr>
          <w:t>ا</w:t>
        </w:r>
        <w:r w:rsidR="00335E4B" w:rsidRPr="00847D77">
          <w:rPr>
            <w:rFonts w:ascii="Traditional Arabic" w:hAnsi="Traditional Arabic" w:cs="Traditional Arabic"/>
            <w:noProof/>
            <w:sz w:val="28"/>
            <w:rtl/>
            <w:lang w:bidi="ar-EG"/>
          </w:rPr>
          <w:t>م</w:t>
        </w:r>
        <w:r w:rsidR="00D61DA9">
          <w:rPr>
            <w:rFonts w:ascii="Traditional Arabic" w:hAnsi="Traditional Arabic" w:cs="Traditional Arabic" w:hint="cs"/>
            <w:noProof/>
            <w:sz w:val="28"/>
            <w:rtl/>
            <w:lang w:bidi="ar-EG"/>
          </w:rPr>
          <w:t>ل</w:t>
        </w:r>
        <w:r w:rsidR="00335E4B" w:rsidRPr="00847D77">
          <w:rPr>
            <w:rFonts w:ascii="Traditional Arabic" w:hAnsi="Traditional Arabic" w:cs="Traditional Arabic"/>
            <w:noProof/>
            <w:sz w:val="28"/>
            <w:rtl/>
            <w:lang w:bidi="ar-EG"/>
          </w:rPr>
          <w:t>ات العمليات الرئيسية</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Toc440456866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69</w:t>
        </w:r>
        <w:r w:rsidR="00335E4B" w:rsidRPr="00847D77">
          <w:rPr>
            <w:rFonts w:ascii="Traditional Arabic" w:hAnsi="Traditional Arabic" w:cs="Traditional Arabic"/>
            <w:noProof/>
            <w:webHidden/>
            <w:sz w:val="28"/>
            <w:rtl/>
            <w:lang w:bidi="ar-EG"/>
          </w:rPr>
          <w:fldChar w:fldCharType="end"/>
        </w:r>
      </w:hyperlink>
    </w:p>
    <w:p w:rsidR="00335E4B" w:rsidRPr="00847D77" w:rsidRDefault="00CC4E0A" w:rsidP="00CC4E0A">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67" w:history="1">
        <w:r w:rsidR="00335E4B" w:rsidRPr="00847D77">
          <w:rPr>
            <w:rFonts w:ascii="Traditional Arabic" w:hAnsi="Traditional Arabic" w:cs="Traditional Arabic"/>
            <w:noProof/>
            <w:sz w:val="28"/>
            <w:rtl/>
            <w:lang w:bidi="ar-EG"/>
          </w:rPr>
          <w:t>اعتبارات كفاءة الطاقة في المنشأة بأكملها</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Toc440456867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69</w:t>
        </w:r>
        <w:r w:rsidR="00335E4B" w:rsidRPr="00847D77">
          <w:rPr>
            <w:rFonts w:ascii="Traditional Arabic" w:hAnsi="Traditional Arabic" w:cs="Traditional Arabic"/>
            <w:noProof/>
            <w:webHidden/>
            <w:sz w:val="28"/>
            <w:rtl/>
            <w:lang w:bidi="ar-EG"/>
          </w:rPr>
          <w:fldChar w:fldCharType="end"/>
        </w:r>
      </w:hyperlink>
    </w:p>
    <w:p w:rsidR="00335E4B" w:rsidRPr="00847D77" w:rsidRDefault="00CC4E0A" w:rsidP="00CC4E0A">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68" w:history="1">
        <w:r w:rsidR="00335E4B" w:rsidRPr="00847D77">
          <w:rPr>
            <w:rFonts w:ascii="Traditional Arabic" w:hAnsi="Traditional Arabic" w:cs="Traditional Arabic"/>
            <w:noProof/>
            <w:sz w:val="28"/>
            <w:rtl/>
            <w:lang w:bidi="ar-EG"/>
          </w:rPr>
          <w:t>صي</w:t>
        </w:r>
        <w:r w:rsidR="00D61DA9">
          <w:rPr>
            <w:rFonts w:ascii="Traditional Arabic" w:hAnsi="Traditional Arabic" w:cs="Traditional Arabic"/>
            <w:noProof/>
            <w:sz w:val="28"/>
            <w:rtl/>
            <w:lang w:bidi="ar-EG"/>
          </w:rPr>
          <w:t>انة أجهزة ضبط تلوث الهواء وكفاء</w:t>
        </w:r>
        <w:r w:rsidR="00D61DA9">
          <w:rPr>
            <w:rFonts w:ascii="Traditional Arabic" w:hAnsi="Traditional Arabic" w:cs="Traditional Arabic" w:hint="cs"/>
            <w:noProof/>
            <w:sz w:val="28"/>
            <w:rtl/>
            <w:lang w:bidi="ar-EG"/>
          </w:rPr>
          <w:t>تها</w:t>
        </w:r>
        <w:r w:rsidR="00335E4B" w:rsidRPr="00847D77">
          <w:rPr>
            <w:rFonts w:ascii="Traditional Arabic" w:hAnsi="Traditional Arabic" w:cs="Traditional Arabic"/>
            <w:noProof/>
            <w:sz w:val="28"/>
            <w:rtl/>
            <w:lang w:bidi="ar-EG"/>
          </w:rPr>
          <w:t xml:space="preserve"> </w:t>
        </w:r>
        <w:r w:rsidR="00D61DA9">
          <w:rPr>
            <w:rFonts w:ascii="Traditional Arabic" w:hAnsi="Traditional Arabic" w:cs="Traditional Arabic" w:hint="cs"/>
            <w:noProof/>
            <w:sz w:val="28"/>
            <w:rtl/>
            <w:lang w:bidi="ar-EG"/>
          </w:rPr>
          <w:t xml:space="preserve">في </w:t>
        </w:r>
        <w:r w:rsidR="00335E4B" w:rsidRPr="00847D77">
          <w:rPr>
            <w:rFonts w:ascii="Traditional Arabic" w:hAnsi="Traditional Arabic" w:cs="Traditional Arabic"/>
            <w:noProof/>
            <w:sz w:val="28"/>
            <w:rtl/>
            <w:lang w:bidi="ar-EG"/>
          </w:rPr>
          <w:t>الإزالة</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Toc440456868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70</w:t>
        </w:r>
        <w:r w:rsidR="00335E4B" w:rsidRPr="00847D77">
          <w:rPr>
            <w:rFonts w:ascii="Traditional Arabic" w:hAnsi="Traditional Arabic" w:cs="Traditional Arabic"/>
            <w:noProof/>
            <w:webHidden/>
            <w:sz w:val="28"/>
            <w:rtl/>
            <w:lang w:bidi="ar-EG"/>
          </w:rPr>
          <w:fldChar w:fldCharType="end"/>
        </w:r>
      </w:hyperlink>
    </w:p>
    <w:p w:rsidR="00335E4B" w:rsidRPr="00847D77" w:rsidRDefault="00CC4E0A" w:rsidP="00CC4E0A">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69" w:history="1">
        <w:r w:rsidR="00335E4B" w:rsidRPr="00847D77">
          <w:rPr>
            <w:rFonts w:ascii="Traditional Arabic" w:hAnsi="Traditional Arabic" w:cs="Traditional Arabic"/>
            <w:noProof/>
            <w:sz w:val="28"/>
            <w:rtl/>
            <w:lang w:bidi="ar-EG"/>
          </w:rPr>
          <w:t>الإدارة السليمة بيئياً للمنشأة</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Toc440456869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70</w:t>
        </w:r>
        <w:r w:rsidR="00335E4B" w:rsidRPr="00847D77">
          <w:rPr>
            <w:rFonts w:ascii="Traditional Arabic" w:hAnsi="Traditional Arabic" w:cs="Traditional Arabic"/>
            <w:noProof/>
            <w:webHidden/>
            <w:sz w:val="28"/>
            <w:rtl/>
            <w:lang w:bidi="ar-EG"/>
          </w:rPr>
          <w:fldChar w:fldCharType="end"/>
        </w:r>
      </w:hyperlink>
    </w:p>
    <w:p w:rsidR="00335E4B" w:rsidRPr="00847D77" w:rsidRDefault="00CC4E0A" w:rsidP="00C36B71">
      <w:pPr>
        <w:tabs>
          <w:tab w:val="left" w:pos="2125"/>
          <w:tab w:val="left" w:pos="2975"/>
          <w:tab w:val="right" w:leader="dot" w:pos="9486"/>
        </w:tabs>
        <w:spacing w:after="120" w:line="320" w:lineRule="exact"/>
        <w:ind w:left="1416" w:firstLine="425"/>
        <w:rPr>
          <w:rFonts w:ascii="Traditional Arabic" w:hAnsi="Traditional Arabic" w:cs="Traditional Arabic"/>
          <w:noProof/>
          <w:sz w:val="28"/>
          <w:rtl/>
          <w:lang w:bidi="ar-EG"/>
        </w:rPr>
      </w:pPr>
      <w:r>
        <w:rPr>
          <w:rFonts w:ascii="Traditional Arabic" w:hAnsi="Traditional Arabic" w:cs="Traditional Arabic" w:hint="cs"/>
          <w:noProof/>
          <w:sz w:val="28"/>
          <w:rtl/>
        </w:rPr>
        <w:tab/>
      </w:r>
      <w:hyperlink w:anchor="_Toc440456870" w:history="1">
        <w:r w:rsidR="00335E4B" w:rsidRPr="00847D77">
          <w:rPr>
            <w:rFonts w:ascii="Traditional Arabic" w:hAnsi="Traditional Arabic" w:cs="Traditional Arabic"/>
            <w:noProof/>
            <w:sz w:val="28"/>
            <w:rtl/>
            <w:lang w:bidi="ar-EG"/>
          </w:rPr>
          <w:t xml:space="preserve">الإدارة السليمة بيئياً </w:t>
        </w:r>
        <w:r w:rsidR="00C36B71">
          <w:rPr>
            <w:rFonts w:ascii="Traditional Arabic" w:hAnsi="Traditional Arabic" w:cs="Traditional Arabic" w:hint="cs"/>
            <w:noProof/>
            <w:sz w:val="28"/>
            <w:rtl/>
            <w:lang w:bidi="ar-EG"/>
          </w:rPr>
          <w:t>ل</w:t>
        </w:r>
        <w:r w:rsidR="00335E4B" w:rsidRPr="00847D77">
          <w:rPr>
            <w:rFonts w:ascii="Traditional Arabic" w:hAnsi="Traditional Arabic" w:cs="Traditional Arabic"/>
            <w:noProof/>
            <w:sz w:val="28"/>
            <w:rtl/>
            <w:lang w:bidi="ar-EG"/>
          </w:rPr>
          <w:t>مخلفات احتراق الفحم</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Toc440456870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sidR="00C034D6">
          <w:rPr>
            <w:rFonts w:ascii="Traditional Arabic" w:hAnsi="Traditional Arabic" w:cs="Traditional Arabic"/>
            <w:noProof/>
            <w:webHidden/>
            <w:sz w:val="28"/>
            <w:rtl/>
            <w:lang w:bidi="ar-EG"/>
          </w:rPr>
          <w:t>70</w:t>
        </w:r>
        <w:r w:rsidR="00335E4B" w:rsidRPr="00847D77">
          <w:rPr>
            <w:rFonts w:ascii="Traditional Arabic" w:hAnsi="Traditional Arabic" w:cs="Traditional Arabic"/>
            <w:noProof/>
            <w:webHidden/>
            <w:sz w:val="28"/>
            <w:rtl/>
            <w:lang w:bidi="ar-EG"/>
          </w:rPr>
          <w:fldChar w:fldCharType="end"/>
        </w:r>
      </w:hyperlink>
    </w:p>
    <w:p w:rsidR="00335E4B" w:rsidRPr="00847D77" w:rsidRDefault="00C034D6" w:rsidP="00335E4B">
      <w:pPr>
        <w:tabs>
          <w:tab w:val="right" w:leader="dot" w:pos="9486"/>
        </w:tabs>
        <w:spacing w:after="120" w:line="320" w:lineRule="exact"/>
        <w:ind w:left="1416" w:hanging="567"/>
        <w:rPr>
          <w:rFonts w:ascii="Traditional Arabic" w:hAnsi="Traditional Arabic" w:cs="Traditional Arabic"/>
          <w:b/>
          <w:noProof/>
          <w:sz w:val="28"/>
          <w:rtl/>
          <w:lang w:bidi="ar-EG"/>
        </w:rPr>
      </w:pPr>
      <w:hyperlink w:anchor="_Toc440456871" w:history="1">
        <w:r w:rsidR="00335E4B" w:rsidRPr="00847D77">
          <w:rPr>
            <w:rFonts w:ascii="Traditional Arabic" w:hAnsi="Traditional Arabic" w:cs="Traditional Arabic"/>
            <w:b/>
            <w:noProof/>
            <w:sz w:val="28"/>
            <w:rtl/>
            <w:lang w:bidi="ar-EG"/>
          </w:rPr>
          <w:t>رصد انبعاثات الزئبق</w:t>
        </w:r>
        <w:r w:rsidR="00335E4B" w:rsidRPr="00847D77">
          <w:rPr>
            <w:rFonts w:ascii="Traditional Arabic" w:hAnsi="Traditional Arabic" w:cs="Traditional Arabic"/>
            <w:b/>
            <w:noProof/>
            <w:webHidden/>
            <w:sz w:val="28"/>
            <w:rtl/>
            <w:lang w:bidi="ar-EG"/>
          </w:rPr>
          <w:tab/>
        </w:r>
        <w:r w:rsidR="00335E4B" w:rsidRPr="00847D77">
          <w:rPr>
            <w:rFonts w:ascii="Traditional Arabic" w:hAnsi="Traditional Arabic" w:cs="Traditional Arabic"/>
            <w:b/>
            <w:noProof/>
            <w:webHidden/>
            <w:sz w:val="28"/>
            <w:rtl/>
            <w:lang w:bidi="ar-EG"/>
          </w:rPr>
          <w:fldChar w:fldCharType="begin"/>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lang w:bidi="ar-EG"/>
          </w:rPr>
          <w:instrText>PAGEREF</w:instrText>
        </w:r>
        <w:r w:rsidR="00335E4B" w:rsidRPr="00847D77">
          <w:rPr>
            <w:rFonts w:ascii="Traditional Arabic" w:hAnsi="Traditional Arabic" w:cs="Traditional Arabic"/>
            <w:b/>
            <w:noProof/>
            <w:webHidden/>
            <w:sz w:val="28"/>
            <w:rtl/>
            <w:lang w:bidi="ar-EG"/>
          </w:rPr>
          <w:instrText xml:space="preserve"> _</w:instrText>
        </w:r>
        <w:r w:rsidR="00335E4B" w:rsidRPr="00847D77">
          <w:rPr>
            <w:rFonts w:ascii="Traditional Arabic" w:hAnsi="Traditional Arabic" w:cs="Traditional Arabic"/>
            <w:b/>
            <w:noProof/>
            <w:webHidden/>
            <w:sz w:val="28"/>
            <w:lang w:bidi="ar-EG"/>
          </w:rPr>
          <w:instrText>Toc440456871 \h</w:instrText>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rtl/>
            <w:lang w:bidi="ar-EG"/>
          </w:rPr>
        </w:r>
        <w:r w:rsidR="00335E4B" w:rsidRPr="00847D77">
          <w:rPr>
            <w:rFonts w:ascii="Traditional Arabic" w:hAnsi="Traditional Arabic" w:cs="Traditional Arabic"/>
            <w:b/>
            <w:noProof/>
            <w:webHidden/>
            <w:sz w:val="28"/>
            <w:rtl/>
            <w:lang w:bidi="ar-EG"/>
          </w:rPr>
          <w:fldChar w:fldCharType="separate"/>
        </w:r>
        <w:r>
          <w:rPr>
            <w:rFonts w:ascii="Traditional Arabic" w:hAnsi="Traditional Arabic" w:cs="Traditional Arabic"/>
            <w:b/>
            <w:noProof/>
            <w:webHidden/>
            <w:sz w:val="28"/>
            <w:rtl/>
            <w:lang w:bidi="ar-EG"/>
          </w:rPr>
          <w:t>71</w:t>
        </w:r>
        <w:r w:rsidR="00335E4B" w:rsidRPr="00847D77">
          <w:rPr>
            <w:rFonts w:ascii="Traditional Arabic" w:hAnsi="Traditional Arabic" w:cs="Traditional Arabic"/>
            <w:b/>
            <w:noProof/>
            <w:webHidden/>
            <w:sz w:val="28"/>
            <w:rtl/>
            <w:lang w:bidi="ar-EG"/>
          </w:rPr>
          <w:fldChar w:fldCharType="end"/>
        </w:r>
      </w:hyperlink>
    </w:p>
    <w:p w:rsidR="00335E4B" w:rsidRPr="00847D77" w:rsidRDefault="00C034D6" w:rsidP="00CC4E0A">
      <w:pPr>
        <w:tabs>
          <w:tab w:val="left" w:pos="2125"/>
          <w:tab w:val="right" w:leader="dot" w:pos="9486"/>
        </w:tabs>
        <w:spacing w:after="120" w:line="320" w:lineRule="exact"/>
        <w:ind w:left="1416"/>
        <w:rPr>
          <w:rFonts w:ascii="Traditional Arabic" w:hAnsi="Traditional Arabic" w:cs="Traditional Arabic"/>
          <w:b/>
          <w:noProof/>
          <w:sz w:val="28"/>
          <w:rtl/>
          <w:lang w:bidi="ar-EG"/>
        </w:rPr>
      </w:pPr>
      <w:hyperlink w:anchor="_Toc440456872" w:history="1">
        <w:r w:rsidR="00335E4B" w:rsidRPr="00847D77">
          <w:rPr>
            <w:rFonts w:ascii="Traditional Arabic" w:hAnsi="Traditional Arabic" w:cs="Traditional Arabic"/>
            <w:b/>
            <w:noProof/>
            <w:sz w:val="28"/>
            <w:rtl/>
            <w:lang w:bidi="ar-EG"/>
          </w:rPr>
          <w:t>الرصد المستمر للانبعاثات</w:t>
        </w:r>
        <w:r w:rsidR="00335E4B" w:rsidRPr="00847D77">
          <w:rPr>
            <w:rFonts w:ascii="Traditional Arabic" w:hAnsi="Traditional Arabic" w:cs="Traditional Arabic"/>
            <w:b/>
            <w:noProof/>
            <w:webHidden/>
            <w:sz w:val="28"/>
            <w:rtl/>
            <w:lang w:bidi="ar-EG"/>
          </w:rPr>
          <w:tab/>
        </w:r>
        <w:r w:rsidR="00335E4B" w:rsidRPr="00847D77">
          <w:rPr>
            <w:rFonts w:ascii="Traditional Arabic" w:hAnsi="Traditional Arabic" w:cs="Traditional Arabic"/>
            <w:b/>
            <w:noProof/>
            <w:webHidden/>
            <w:sz w:val="28"/>
            <w:rtl/>
            <w:lang w:bidi="ar-EG"/>
          </w:rPr>
          <w:fldChar w:fldCharType="begin"/>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lang w:bidi="ar-EG"/>
          </w:rPr>
          <w:instrText>PAGEREF</w:instrText>
        </w:r>
        <w:r w:rsidR="00335E4B" w:rsidRPr="00847D77">
          <w:rPr>
            <w:rFonts w:ascii="Traditional Arabic" w:hAnsi="Traditional Arabic" w:cs="Traditional Arabic"/>
            <w:b/>
            <w:noProof/>
            <w:webHidden/>
            <w:sz w:val="28"/>
            <w:rtl/>
            <w:lang w:bidi="ar-EG"/>
          </w:rPr>
          <w:instrText xml:space="preserve"> _</w:instrText>
        </w:r>
        <w:r w:rsidR="00335E4B" w:rsidRPr="00847D77">
          <w:rPr>
            <w:rFonts w:ascii="Traditional Arabic" w:hAnsi="Traditional Arabic" w:cs="Traditional Arabic"/>
            <w:b/>
            <w:noProof/>
            <w:webHidden/>
            <w:sz w:val="28"/>
            <w:lang w:bidi="ar-EG"/>
          </w:rPr>
          <w:instrText>Toc440456872 \h</w:instrText>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rtl/>
            <w:lang w:bidi="ar-EG"/>
          </w:rPr>
        </w:r>
        <w:r w:rsidR="00335E4B" w:rsidRPr="00847D77">
          <w:rPr>
            <w:rFonts w:ascii="Traditional Arabic" w:hAnsi="Traditional Arabic" w:cs="Traditional Arabic"/>
            <w:b/>
            <w:noProof/>
            <w:webHidden/>
            <w:sz w:val="28"/>
            <w:rtl/>
            <w:lang w:bidi="ar-EG"/>
          </w:rPr>
          <w:fldChar w:fldCharType="separate"/>
        </w:r>
        <w:r>
          <w:rPr>
            <w:rFonts w:ascii="Traditional Arabic" w:hAnsi="Traditional Arabic" w:cs="Traditional Arabic"/>
            <w:b/>
            <w:noProof/>
            <w:webHidden/>
            <w:sz w:val="28"/>
            <w:rtl/>
            <w:lang w:bidi="ar-EG"/>
          </w:rPr>
          <w:t>71</w:t>
        </w:r>
        <w:r w:rsidR="00335E4B" w:rsidRPr="00847D77">
          <w:rPr>
            <w:rFonts w:ascii="Traditional Arabic" w:hAnsi="Traditional Arabic" w:cs="Traditional Arabic"/>
            <w:b/>
            <w:noProof/>
            <w:webHidden/>
            <w:sz w:val="28"/>
            <w:rtl/>
            <w:lang w:bidi="ar-EG"/>
          </w:rPr>
          <w:fldChar w:fldCharType="end"/>
        </w:r>
      </w:hyperlink>
    </w:p>
    <w:p w:rsidR="00335E4B" w:rsidRPr="00847D77" w:rsidRDefault="00C034D6" w:rsidP="00CC4E0A">
      <w:pPr>
        <w:tabs>
          <w:tab w:val="left" w:pos="2125"/>
          <w:tab w:val="right" w:leader="dot" w:pos="9486"/>
        </w:tabs>
        <w:spacing w:after="120" w:line="320" w:lineRule="exact"/>
        <w:ind w:left="1416"/>
        <w:rPr>
          <w:rFonts w:ascii="Traditional Arabic" w:hAnsi="Traditional Arabic" w:cs="Traditional Arabic"/>
          <w:b/>
          <w:noProof/>
          <w:sz w:val="28"/>
          <w:rtl/>
          <w:lang w:bidi="ar-EG"/>
        </w:rPr>
      </w:pPr>
      <w:hyperlink w:anchor="_Toc440456873" w:history="1">
        <w:r w:rsidR="00335E4B" w:rsidRPr="00847D77">
          <w:rPr>
            <w:rFonts w:ascii="Traditional Arabic" w:hAnsi="Traditional Arabic" w:cs="Traditional Arabic"/>
            <w:b/>
            <w:noProof/>
            <w:sz w:val="28"/>
            <w:rtl/>
            <w:lang w:bidi="ar-EG"/>
          </w:rPr>
          <w:t>رصد المصيدة الماصة</w:t>
        </w:r>
        <w:r w:rsidR="00335E4B" w:rsidRPr="00847D77">
          <w:rPr>
            <w:rFonts w:ascii="Traditional Arabic" w:hAnsi="Traditional Arabic" w:cs="Traditional Arabic"/>
            <w:b/>
            <w:noProof/>
            <w:webHidden/>
            <w:sz w:val="28"/>
            <w:rtl/>
            <w:lang w:bidi="ar-EG"/>
          </w:rPr>
          <w:tab/>
        </w:r>
        <w:r w:rsidR="00335E4B" w:rsidRPr="00847D77">
          <w:rPr>
            <w:rFonts w:ascii="Traditional Arabic" w:hAnsi="Traditional Arabic" w:cs="Traditional Arabic"/>
            <w:b/>
            <w:noProof/>
            <w:webHidden/>
            <w:sz w:val="28"/>
            <w:rtl/>
            <w:lang w:bidi="ar-EG"/>
          </w:rPr>
          <w:fldChar w:fldCharType="begin"/>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lang w:bidi="ar-EG"/>
          </w:rPr>
          <w:instrText>PAGEREF</w:instrText>
        </w:r>
        <w:r w:rsidR="00335E4B" w:rsidRPr="00847D77">
          <w:rPr>
            <w:rFonts w:ascii="Traditional Arabic" w:hAnsi="Traditional Arabic" w:cs="Traditional Arabic"/>
            <w:b/>
            <w:noProof/>
            <w:webHidden/>
            <w:sz w:val="28"/>
            <w:rtl/>
            <w:lang w:bidi="ar-EG"/>
          </w:rPr>
          <w:instrText xml:space="preserve"> _</w:instrText>
        </w:r>
        <w:r w:rsidR="00335E4B" w:rsidRPr="00847D77">
          <w:rPr>
            <w:rFonts w:ascii="Traditional Arabic" w:hAnsi="Traditional Arabic" w:cs="Traditional Arabic"/>
            <w:b/>
            <w:noProof/>
            <w:webHidden/>
            <w:sz w:val="28"/>
            <w:lang w:bidi="ar-EG"/>
          </w:rPr>
          <w:instrText>Toc440456873 \h</w:instrText>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rtl/>
            <w:lang w:bidi="ar-EG"/>
          </w:rPr>
        </w:r>
        <w:r w:rsidR="00335E4B" w:rsidRPr="00847D77">
          <w:rPr>
            <w:rFonts w:ascii="Traditional Arabic" w:hAnsi="Traditional Arabic" w:cs="Traditional Arabic"/>
            <w:b/>
            <w:noProof/>
            <w:webHidden/>
            <w:sz w:val="28"/>
            <w:rtl/>
            <w:lang w:bidi="ar-EG"/>
          </w:rPr>
          <w:fldChar w:fldCharType="separate"/>
        </w:r>
        <w:r>
          <w:rPr>
            <w:rFonts w:ascii="Traditional Arabic" w:hAnsi="Traditional Arabic" w:cs="Traditional Arabic"/>
            <w:b/>
            <w:noProof/>
            <w:webHidden/>
            <w:sz w:val="28"/>
            <w:rtl/>
            <w:lang w:bidi="ar-EG"/>
          </w:rPr>
          <w:t>72</w:t>
        </w:r>
        <w:r w:rsidR="00335E4B" w:rsidRPr="00847D77">
          <w:rPr>
            <w:rFonts w:ascii="Traditional Arabic" w:hAnsi="Traditional Arabic" w:cs="Traditional Arabic"/>
            <w:b/>
            <w:noProof/>
            <w:webHidden/>
            <w:sz w:val="28"/>
            <w:rtl/>
            <w:lang w:bidi="ar-EG"/>
          </w:rPr>
          <w:fldChar w:fldCharType="end"/>
        </w:r>
      </w:hyperlink>
    </w:p>
    <w:p w:rsidR="00335E4B" w:rsidRPr="00847D77" w:rsidRDefault="00C034D6" w:rsidP="00CC4E0A">
      <w:pPr>
        <w:tabs>
          <w:tab w:val="left" w:pos="2125"/>
          <w:tab w:val="right" w:leader="dot" w:pos="9486"/>
        </w:tabs>
        <w:spacing w:after="120" w:line="320" w:lineRule="exact"/>
        <w:ind w:left="1416"/>
        <w:rPr>
          <w:rFonts w:ascii="Traditional Arabic" w:hAnsi="Traditional Arabic" w:cs="Traditional Arabic"/>
          <w:b/>
          <w:noProof/>
          <w:sz w:val="28"/>
          <w:rtl/>
          <w:lang w:bidi="ar-EG"/>
        </w:rPr>
      </w:pPr>
      <w:hyperlink w:anchor="_Toc440456874" w:history="1">
        <w:r w:rsidR="00335E4B" w:rsidRPr="00847D77">
          <w:rPr>
            <w:rFonts w:ascii="Traditional Arabic" w:hAnsi="Traditional Arabic" w:cs="Traditional Arabic"/>
            <w:b/>
            <w:noProof/>
            <w:sz w:val="28"/>
            <w:rtl/>
            <w:lang w:bidi="ar-EG"/>
          </w:rPr>
          <w:t>أخذ العينات بجهاز الارتطام</w:t>
        </w:r>
        <w:r w:rsidR="00335E4B" w:rsidRPr="00847D77">
          <w:rPr>
            <w:rFonts w:ascii="Traditional Arabic" w:hAnsi="Traditional Arabic" w:cs="Traditional Arabic"/>
            <w:b/>
            <w:noProof/>
            <w:webHidden/>
            <w:sz w:val="28"/>
            <w:rtl/>
            <w:lang w:bidi="ar-EG"/>
          </w:rPr>
          <w:tab/>
        </w:r>
        <w:r w:rsidR="00335E4B" w:rsidRPr="00847D77">
          <w:rPr>
            <w:rFonts w:ascii="Traditional Arabic" w:hAnsi="Traditional Arabic" w:cs="Traditional Arabic"/>
            <w:b/>
            <w:noProof/>
            <w:webHidden/>
            <w:sz w:val="28"/>
            <w:rtl/>
            <w:lang w:bidi="ar-EG"/>
          </w:rPr>
          <w:fldChar w:fldCharType="begin"/>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lang w:bidi="ar-EG"/>
          </w:rPr>
          <w:instrText>PAGEREF</w:instrText>
        </w:r>
        <w:r w:rsidR="00335E4B" w:rsidRPr="00847D77">
          <w:rPr>
            <w:rFonts w:ascii="Traditional Arabic" w:hAnsi="Traditional Arabic" w:cs="Traditional Arabic"/>
            <w:b/>
            <w:noProof/>
            <w:webHidden/>
            <w:sz w:val="28"/>
            <w:rtl/>
            <w:lang w:bidi="ar-EG"/>
          </w:rPr>
          <w:instrText xml:space="preserve"> _</w:instrText>
        </w:r>
        <w:r w:rsidR="00335E4B" w:rsidRPr="00847D77">
          <w:rPr>
            <w:rFonts w:ascii="Traditional Arabic" w:hAnsi="Traditional Arabic" w:cs="Traditional Arabic"/>
            <w:b/>
            <w:noProof/>
            <w:webHidden/>
            <w:sz w:val="28"/>
            <w:lang w:bidi="ar-EG"/>
          </w:rPr>
          <w:instrText>Toc440456874 \h</w:instrText>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rtl/>
            <w:lang w:bidi="ar-EG"/>
          </w:rPr>
        </w:r>
        <w:r w:rsidR="00335E4B" w:rsidRPr="00847D77">
          <w:rPr>
            <w:rFonts w:ascii="Traditional Arabic" w:hAnsi="Traditional Arabic" w:cs="Traditional Arabic"/>
            <w:b/>
            <w:noProof/>
            <w:webHidden/>
            <w:sz w:val="28"/>
            <w:rtl/>
            <w:lang w:bidi="ar-EG"/>
          </w:rPr>
          <w:fldChar w:fldCharType="separate"/>
        </w:r>
        <w:r>
          <w:rPr>
            <w:rFonts w:ascii="Traditional Arabic" w:hAnsi="Traditional Arabic" w:cs="Traditional Arabic"/>
            <w:b/>
            <w:noProof/>
            <w:webHidden/>
            <w:sz w:val="28"/>
            <w:rtl/>
            <w:lang w:bidi="ar-EG"/>
          </w:rPr>
          <w:t>72</w:t>
        </w:r>
        <w:r w:rsidR="00335E4B" w:rsidRPr="00847D77">
          <w:rPr>
            <w:rFonts w:ascii="Traditional Arabic" w:hAnsi="Traditional Arabic" w:cs="Traditional Arabic"/>
            <w:b/>
            <w:noProof/>
            <w:webHidden/>
            <w:sz w:val="28"/>
            <w:rtl/>
            <w:lang w:bidi="ar-EG"/>
          </w:rPr>
          <w:fldChar w:fldCharType="end"/>
        </w:r>
      </w:hyperlink>
    </w:p>
    <w:p w:rsidR="00335E4B" w:rsidRPr="00847D77" w:rsidRDefault="00C034D6" w:rsidP="00CC4E0A">
      <w:pPr>
        <w:tabs>
          <w:tab w:val="left" w:pos="2125"/>
          <w:tab w:val="right" w:leader="dot" w:pos="9486"/>
        </w:tabs>
        <w:spacing w:after="120" w:line="320" w:lineRule="exact"/>
        <w:ind w:left="1416"/>
        <w:rPr>
          <w:rFonts w:ascii="Traditional Arabic" w:hAnsi="Traditional Arabic" w:cs="Traditional Arabic"/>
          <w:b/>
          <w:noProof/>
          <w:sz w:val="28"/>
          <w:rtl/>
          <w:lang w:bidi="ar-EG"/>
        </w:rPr>
      </w:pPr>
      <w:hyperlink w:anchor="_Toc440456875" w:history="1">
        <w:r w:rsidR="00335E4B" w:rsidRPr="00847D77">
          <w:rPr>
            <w:rFonts w:ascii="Traditional Arabic" w:hAnsi="Traditional Arabic" w:cs="Traditional Arabic"/>
            <w:b/>
            <w:noProof/>
            <w:sz w:val="28"/>
            <w:rtl/>
            <w:lang w:bidi="ar-EG"/>
          </w:rPr>
          <w:t>توازن الكتلة</w:t>
        </w:r>
        <w:r w:rsidR="00335E4B" w:rsidRPr="00847D77">
          <w:rPr>
            <w:rFonts w:ascii="Traditional Arabic" w:hAnsi="Traditional Arabic" w:cs="Traditional Arabic"/>
            <w:b/>
            <w:noProof/>
            <w:webHidden/>
            <w:sz w:val="28"/>
            <w:rtl/>
            <w:lang w:bidi="ar-EG"/>
          </w:rPr>
          <w:tab/>
        </w:r>
        <w:r w:rsidR="00335E4B" w:rsidRPr="00847D77">
          <w:rPr>
            <w:rFonts w:ascii="Traditional Arabic" w:hAnsi="Traditional Arabic" w:cs="Traditional Arabic"/>
            <w:b/>
            <w:noProof/>
            <w:webHidden/>
            <w:sz w:val="28"/>
            <w:rtl/>
            <w:lang w:bidi="ar-EG"/>
          </w:rPr>
          <w:fldChar w:fldCharType="begin"/>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lang w:bidi="ar-EG"/>
          </w:rPr>
          <w:instrText>PAGEREF</w:instrText>
        </w:r>
        <w:r w:rsidR="00335E4B" w:rsidRPr="00847D77">
          <w:rPr>
            <w:rFonts w:ascii="Traditional Arabic" w:hAnsi="Traditional Arabic" w:cs="Traditional Arabic"/>
            <w:b/>
            <w:noProof/>
            <w:webHidden/>
            <w:sz w:val="28"/>
            <w:rtl/>
            <w:lang w:bidi="ar-EG"/>
          </w:rPr>
          <w:instrText xml:space="preserve"> _</w:instrText>
        </w:r>
        <w:r w:rsidR="00335E4B" w:rsidRPr="00847D77">
          <w:rPr>
            <w:rFonts w:ascii="Traditional Arabic" w:hAnsi="Traditional Arabic" w:cs="Traditional Arabic"/>
            <w:b/>
            <w:noProof/>
            <w:webHidden/>
            <w:sz w:val="28"/>
            <w:lang w:bidi="ar-EG"/>
          </w:rPr>
          <w:instrText>Toc440456875 \h</w:instrText>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rtl/>
            <w:lang w:bidi="ar-EG"/>
          </w:rPr>
        </w:r>
        <w:r w:rsidR="00335E4B" w:rsidRPr="00847D77">
          <w:rPr>
            <w:rFonts w:ascii="Traditional Arabic" w:hAnsi="Traditional Arabic" w:cs="Traditional Arabic"/>
            <w:b/>
            <w:noProof/>
            <w:webHidden/>
            <w:sz w:val="28"/>
            <w:rtl/>
            <w:lang w:bidi="ar-EG"/>
          </w:rPr>
          <w:fldChar w:fldCharType="separate"/>
        </w:r>
        <w:r>
          <w:rPr>
            <w:rFonts w:ascii="Traditional Arabic" w:hAnsi="Traditional Arabic" w:cs="Traditional Arabic"/>
            <w:b/>
            <w:noProof/>
            <w:webHidden/>
            <w:sz w:val="28"/>
            <w:rtl/>
            <w:lang w:bidi="ar-EG"/>
          </w:rPr>
          <w:t>72</w:t>
        </w:r>
        <w:r w:rsidR="00335E4B" w:rsidRPr="00847D77">
          <w:rPr>
            <w:rFonts w:ascii="Traditional Arabic" w:hAnsi="Traditional Arabic" w:cs="Traditional Arabic"/>
            <w:b/>
            <w:noProof/>
            <w:webHidden/>
            <w:sz w:val="28"/>
            <w:rtl/>
            <w:lang w:bidi="ar-EG"/>
          </w:rPr>
          <w:fldChar w:fldCharType="end"/>
        </w:r>
      </w:hyperlink>
    </w:p>
    <w:p w:rsidR="00335E4B" w:rsidRPr="00847D77" w:rsidRDefault="00C034D6" w:rsidP="00C36B71">
      <w:pPr>
        <w:tabs>
          <w:tab w:val="left" w:pos="2125"/>
          <w:tab w:val="right" w:leader="dot" w:pos="9486"/>
        </w:tabs>
        <w:spacing w:after="120" w:line="320" w:lineRule="exact"/>
        <w:ind w:left="1416"/>
        <w:rPr>
          <w:rFonts w:ascii="Traditional Arabic" w:hAnsi="Traditional Arabic" w:cs="Traditional Arabic"/>
          <w:b/>
          <w:noProof/>
          <w:sz w:val="28"/>
          <w:rtl/>
          <w:lang w:bidi="ar-EG"/>
        </w:rPr>
      </w:pPr>
      <w:hyperlink w:anchor="_Toc440456876" w:history="1">
        <w:r w:rsidR="00C36B71">
          <w:rPr>
            <w:rFonts w:ascii="Traditional Arabic" w:hAnsi="Traditional Arabic" w:cs="Traditional Arabic" w:hint="cs"/>
            <w:b/>
            <w:noProof/>
            <w:sz w:val="28"/>
            <w:rtl/>
            <w:lang w:bidi="ar-EG"/>
          </w:rPr>
          <w:t>ال</w:t>
        </w:r>
        <w:r w:rsidR="00335E4B" w:rsidRPr="00847D77">
          <w:rPr>
            <w:rFonts w:ascii="Traditional Arabic" w:hAnsi="Traditional Arabic" w:cs="Traditional Arabic"/>
            <w:b/>
            <w:noProof/>
            <w:sz w:val="28"/>
            <w:rtl/>
            <w:lang w:bidi="ar-EG"/>
          </w:rPr>
          <w:t xml:space="preserve">نُظم </w:t>
        </w:r>
        <w:r w:rsidR="00C36B71">
          <w:rPr>
            <w:rFonts w:ascii="Traditional Arabic" w:hAnsi="Traditional Arabic" w:cs="Traditional Arabic" w:hint="cs"/>
            <w:b/>
            <w:noProof/>
            <w:sz w:val="28"/>
            <w:rtl/>
            <w:lang w:bidi="ar-EG"/>
          </w:rPr>
          <w:t>التنبؤية ل</w:t>
        </w:r>
        <w:r w:rsidR="00335E4B" w:rsidRPr="00847D77">
          <w:rPr>
            <w:rFonts w:ascii="Traditional Arabic" w:hAnsi="Traditional Arabic" w:cs="Traditional Arabic"/>
            <w:b/>
            <w:noProof/>
            <w:sz w:val="28"/>
            <w:rtl/>
            <w:lang w:bidi="ar-EG"/>
          </w:rPr>
          <w:t>رصد الانبعاثات</w:t>
        </w:r>
        <w:r w:rsidR="00335E4B" w:rsidRPr="00847D77">
          <w:rPr>
            <w:rFonts w:ascii="Traditional Arabic" w:hAnsi="Traditional Arabic" w:cs="Traditional Arabic"/>
            <w:b/>
            <w:noProof/>
            <w:webHidden/>
            <w:sz w:val="28"/>
            <w:rtl/>
            <w:lang w:bidi="ar-EG"/>
          </w:rPr>
          <w:tab/>
        </w:r>
        <w:r w:rsidR="00335E4B" w:rsidRPr="00847D77">
          <w:rPr>
            <w:rFonts w:ascii="Traditional Arabic" w:hAnsi="Traditional Arabic" w:cs="Traditional Arabic"/>
            <w:b/>
            <w:noProof/>
            <w:webHidden/>
            <w:sz w:val="28"/>
            <w:rtl/>
            <w:lang w:bidi="ar-EG"/>
          </w:rPr>
          <w:fldChar w:fldCharType="begin"/>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lang w:bidi="ar-EG"/>
          </w:rPr>
          <w:instrText>PAGEREF</w:instrText>
        </w:r>
        <w:r w:rsidR="00335E4B" w:rsidRPr="00847D77">
          <w:rPr>
            <w:rFonts w:ascii="Traditional Arabic" w:hAnsi="Traditional Arabic" w:cs="Traditional Arabic"/>
            <w:b/>
            <w:noProof/>
            <w:webHidden/>
            <w:sz w:val="28"/>
            <w:rtl/>
            <w:lang w:bidi="ar-EG"/>
          </w:rPr>
          <w:instrText xml:space="preserve"> _</w:instrText>
        </w:r>
        <w:r w:rsidR="00335E4B" w:rsidRPr="00847D77">
          <w:rPr>
            <w:rFonts w:ascii="Traditional Arabic" w:hAnsi="Traditional Arabic" w:cs="Traditional Arabic"/>
            <w:b/>
            <w:noProof/>
            <w:webHidden/>
            <w:sz w:val="28"/>
            <w:lang w:bidi="ar-EG"/>
          </w:rPr>
          <w:instrText>Toc440456876 \h</w:instrText>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rtl/>
            <w:lang w:bidi="ar-EG"/>
          </w:rPr>
        </w:r>
        <w:r w:rsidR="00335E4B" w:rsidRPr="00847D77">
          <w:rPr>
            <w:rFonts w:ascii="Traditional Arabic" w:hAnsi="Traditional Arabic" w:cs="Traditional Arabic"/>
            <w:b/>
            <w:noProof/>
            <w:webHidden/>
            <w:sz w:val="28"/>
            <w:rtl/>
            <w:lang w:bidi="ar-EG"/>
          </w:rPr>
          <w:fldChar w:fldCharType="separate"/>
        </w:r>
        <w:r>
          <w:rPr>
            <w:rFonts w:ascii="Traditional Arabic" w:hAnsi="Traditional Arabic" w:cs="Traditional Arabic"/>
            <w:b/>
            <w:noProof/>
            <w:webHidden/>
            <w:sz w:val="28"/>
            <w:rtl/>
            <w:lang w:bidi="ar-EG"/>
          </w:rPr>
          <w:t>73</w:t>
        </w:r>
        <w:r w:rsidR="00335E4B" w:rsidRPr="00847D77">
          <w:rPr>
            <w:rFonts w:ascii="Traditional Arabic" w:hAnsi="Traditional Arabic" w:cs="Traditional Arabic"/>
            <w:b/>
            <w:noProof/>
            <w:webHidden/>
            <w:sz w:val="28"/>
            <w:rtl/>
            <w:lang w:bidi="ar-EG"/>
          </w:rPr>
          <w:fldChar w:fldCharType="end"/>
        </w:r>
      </w:hyperlink>
    </w:p>
    <w:p w:rsidR="00335E4B" w:rsidRPr="00847D77" w:rsidRDefault="00C034D6" w:rsidP="00CC4E0A">
      <w:pPr>
        <w:tabs>
          <w:tab w:val="left" w:pos="2125"/>
          <w:tab w:val="right" w:leader="dot" w:pos="9486"/>
        </w:tabs>
        <w:spacing w:after="120" w:line="320" w:lineRule="exact"/>
        <w:ind w:left="1416"/>
        <w:rPr>
          <w:rFonts w:ascii="Traditional Arabic" w:hAnsi="Traditional Arabic" w:cs="Traditional Arabic"/>
          <w:b/>
          <w:noProof/>
          <w:sz w:val="28"/>
          <w:rtl/>
          <w:lang w:bidi="ar-EG"/>
        </w:rPr>
      </w:pPr>
      <w:hyperlink w:anchor="_Toc440456877" w:history="1">
        <w:r w:rsidR="00335E4B" w:rsidRPr="00847D77">
          <w:rPr>
            <w:rFonts w:ascii="Traditional Arabic" w:hAnsi="Traditional Arabic" w:cs="Traditional Arabic"/>
            <w:b/>
            <w:noProof/>
            <w:sz w:val="28"/>
            <w:rtl/>
            <w:lang w:bidi="ar-EG"/>
          </w:rPr>
          <w:t>عوامل الانبعاثات</w:t>
        </w:r>
        <w:r w:rsidR="00335E4B" w:rsidRPr="00847D77">
          <w:rPr>
            <w:rFonts w:ascii="Traditional Arabic" w:hAnsi="Traditional Arabic" w:cs="Traditional Arabic"/>
            <w:b/>
            <w:noProof/>
            <w:webHidden/>
            <w:sz w:val="28"/>
            <w:rtl/>
            <w:lang w:bidi="ar-EG"/>
          </w:rPr>
          <w:tab/>
        </w:r>
        <w:r w:rsidR="00335E4B" w:rsidRPr="00847D77">
          <w:rPr>
            <w:rFonts w:ascii="Traditional Arabic" w:hAnsi="Traditional Arabic" w:cs="Traditional Arabic"/>
            <w:b/>
            <w:noProof/>
            <w:webHidden/>
            <w:sz w:val="28"/>
            <w:rtl/>
            <w:lang w:bidi="ar-EG"/>
          </w:rPr>
          <w:fldChar w:fldCharType="begin"/>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lang w:bidi="ar-EG"/>
          </w:rPr>
          <w:instrText>PAGEREF</w:instrText>
        </w:r>
        <w:r w:rsidR="00335E4B" w:rsidRPr="00847D77">
          <w:rPr>
            <w:rFonts w:ascii="Traditional Arabic" w:hAnsi="Traditional Arabic" w:cs="Traditional Arabic"/>
            <w:b/>
            <w:noProof/>
            <w:webHidden/>
            <w:sz w:val="28"/>
            <w:rtl/>
            <w:lang w:bidi="ar-EG"/>
          </w:rPr>
          <w:instrText xml:space="preserve"> _</w:instrText>
        </w:r>
        <w:r w:rsidR="00335E4B" w:rsidRPr="00847D77">
          <w:rPr>
            <w:rFonts w:ascii="Traditional Arabic" w:hAnsi="Traditional Arabic" w:cs="Traditional Arabic"/>
            <w:b/>
            <w:noProof/>
            <w:webHidden/>
            <w:sz w:val="28"/>
            <w:lang w:bidi="ar-EG"/>
          </w:rPr>
          <w:instrText>Toc440456877 \h</w:instrText>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rtl/>
            <w:lang w:bidi="ar-EG"/>
          </w:rPr>
        </w:r>
        <w:r w:rsidR="00335E4B" w:rsidRPr="00847D77">
          <w:rPr>
            <w:rFonts w:ascii="Traditional Arabic" w:hAnsi="Traditional Arabic" w:cs="Traditional Arabic"/>
            <w:b/>
            <w:noProof/>
            <w:webHidden/>
            <w:sz w:val="28"/>
            <w:rtl/>
            <w:lang w:bidi="ar-EG"/>
          </w:rPr>
          <w:fldChar w:fldCharType="separate"/>
        </w:r>
        <w:r>
          <w:rPr>
            <w:rFonts w:ascii="Traditional Arabic" w:hAnsi="Traditional Arabic" w:cs="Traditional Arabic"/>
            <w:b/>
            <w:noProof/>
            <w:webHidden/>
            <w:sz w:val="28"/>
            <w:rtl/>
            <w:lang w:bidi="ar-EG"/>
          </w:rPr>
          <w:t>73</w:t>
        </w:r>
        <w:r w:rsidR="00335E4B" w:rsidRPr="00847D77">
          <w:rPr>
            <w:rFonts w:ascii="Traditional Arabic" w:hAnsi="Traditional Arabic" w:cs="Traditional Arabic"/>
            <w:b/>
            <w:noProof/>
            <w:webHidden/>
            <w:sz w:val="28"/>
            <w:rtl/>
            <w:lang w:bidi="ar-EG"/>
          </w:rPr>
          <w:fldChar w:fldCharType="end"/>
        </w:r>
      </w:hyperlink>
    </w:p>
    <w:p w:rsidR="00335E4B" w:rsidRPr="00847D77" w:rsidRDefault="00C034D6" w:rsidP="00CC4E0A">
      <w:pPr>
        <w:tabs>
          <w:tab w:val="left" w:pos="2125"/>
          <w:tab w:val="right" w:leader="dot" w:pos="9486"/>
        </w:tabs>
        <w:spacing w:after="120" w:line="320" w:lineRule="exact"/>
        <w:ind w:left="1416"/>
        <w:rPr>
          <w:rFonts w:ascii="Traditional Arabic" w:hAnsi="Traditional Arabic" w:cs="Traditional Arabic"/>
          <w:b/>
          <w:noProof/>
          <w:sz w:val="28"/>
          <w:rtl/>
          <w:lang w:bidi="ar-EG"/>
        </w:rPr>
      </w:pPr>
      <w:hyperlink w:anchor="_Toc440456878" w:history="1">
        <w:r w:rsidR="00335E4B" w:rsidRPr="00847D77">
          <w:rPr>
            <w:rFonts w:ascii="Traditional Arabic" w:hAnsi="Traditional Arabic" w:cs="Traditional Arabic"/>
            <w:b/>
            <w:noProof/>
            <w:sz w:val="28"/>
            <w:rtl/>
            <w:lang w:bidi="ar-EG"/>
          </w:rPr>
          <w:t>التقديرات الهندسية</w:t>
        </w:r>
        <w:r w:rsidR="00335E4B" w:rsidRPr="00847D77">
          <w:rPr>
            <w:rFonts w:ascii="Traditional Arabic" w:hAnsi="Traditional Arabic" w:cs="Traditional Arabic"/>
            <w:b/>
            <w:noProof/>
            <w:webHidden/>
            <w:sz w:val="28"/>
            <w:rtl/>
            <w:lang w:bidi="ar-EG"/>
          </w:rPr>
          <w:tab/>
        </w:r>
        <w:r w:rsidR="00335E4B" w:rsidRPr="00847D77">
          <w:rPr>
            <w:rFonts w:ascii="Traditional Arabic" w:hAnsi="Traditional Arabic" w:cs="Traditional Arabic"/>
            <w:b/>
            <w:noProof/>
            <w:webHidden/>
            <w:sz w:val="28"/>
            <w:rtl/>
            <w:lang w:bidi="ar-EG"/>
          </w:rPr>
          <w:fldChar w:fldCharType="begin"/>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lang w:bidi="ar-EG"/>
          </w:rPr>
          <w:instrText>PAGEREF</w:instrText>
        </w:r>
        <w:r w:rsidR="00335E4B" w:rsidRPr="00847D77">
          <w:rPr>
            <w:rFonts w:ascii="Traditional Arabic" w:hAnsi="Traditional Arabic" w:cs="Traditional Arabic"/>
            <w:b/>
            <w:noProof/>
            <w:webHidden/>
            <w:sz w:val="28"/>
            <w:rtl/>
            <w:lang w:bidi="ar-EG"/>
          </w:rPr>
          <w:instrText xml:space="preserve"> _</w:instrText>
        </w:r>
        <w:r w:rsidR="00335E4B" w:rsidRPr="00847D77">
          <w:rPr>
            <w:rFonts w:ascii="Traditional Arabic" w:hAnsi="Traditional Arabic" w:cs="Traditional Arabic"/>
            <w:b/>
            <w:noProof/>
            <w:webHidden/>
            <w:sz w:val="28"/>
            <w:lang w:bidi="ar-EG"/>
          </w:rPr>
          <w:instrText>Toc440456878 \h</w:instrText>
        </w:r>
        <w:r w:rsidR="00335E4B" w:rsidRPr="00847D77">
          <w:rPr>
            <w:rFonts w:ascii="Traditional Arabic" w:hAnsi="Traditional Arabic" w:cs="Traditional Arabic"/>
            <w:b/>
            <w:noProof/>
            <w:webHidden/>
            <w:sz w:val="28"/>
            <w:rtl/>
            <w:lang w:bidi="ar-EG"/>
          </w:rPr>
          <w:instrText xml:space="preserve"> </w:instrText>
        </w:r>
        <w:r w:rsidR="00335E4B" w:rsidRPr="00847D77">
          <w:rPr>
            <w:rFonts w:ascii="Traditional Arabic" w:hAnsi="Traditional Arabic" w:cs="Traditional Arabic"/>
            <w:b/>
            <w:noProof/>
            <w:webHidden/>
            <w:sz w:val="28"/>
            <w:rtl/>
            <w:lang w:bidi="ar-EG"/>
          </w:rPr>
        </w:r>
        <w:r w:rsidR="00335E4B" w:rsidRPr="00847D77">
          <w:rPr>
            <w:rFonts w:ascii="Traditional Arabic" w:hAnsi="Traditional Arabic" w:cs="Traditional Arabic"/>
            <w:b/>
            <w:noProof/>
            <w:webHidden/>
            <w:sz w:val="28"/>
            <w:rtl/>
            <w:lang w:bidi="ar-EG"/>
          </w:rPr>
          <w:fldChar w:fldCharType="separate"/>
        </w:r>
        <w:r>
          <w:rPr>
            <w:rFonts w:ascii="Traditional Arabic" w:hAnsi="Traditional Arabic" w:cs="Traditional Arabic"/>
            <w:b/>
            <w:noProof/>
            <w:webHidden/>
            <w:sz w:val="28"/>
            <w:rtl/>
            <w:lang w:bidi="ar-EG"/>
          </w:rPr>
          <w:t>73</w:t>
        </w:r>
        <w:r w:rsidR="00335E4B" w:rsidRPr="00847D77">
          <w:rPr>
            <w:rFonts w:ascii="Traditional Arabic" w:hAnsi="Traditional Arabic" w:cs="Traditional Arabic"/>
            <w:b/>
            <w:noProof/>
            <w:webHidden/>
            <w:sz w:val="28"/>
            <w:rtl/>
            <w:lang w:bidi="ar-EG"/>
          </w:rPr>
          <w:fldChar w:fldCharType="end"/>
        </w:r>
      </w:hyperlink>
    </w:p>
    <w:p w:rsidR="00335E4B" w:rsidRPr="00847D77" w:rsidRDefault="00C034D6" w:rsidP="0004506D">
      <w:pPr>
        <w:tabs>
          <w:tab w:val="right" w:leader="dot" w:pos="9486"/>
        </w:tabs>
        <w:spacing w:after="120" w:line="320" w:lineRule="exact"/>
        <w:ind w:left="1416"/>
        <w:rPr>
          <w:rFonts w:ascii="Traditional Arabic" w:hAnsi="Traditional Arabic" w:cs="Traditional Arabic"/>
          <w:noProof/>
          <w:sz w:val="28"/>
          <w:rtl/>
          <w:lang w:bidi="ar-EG"/>
        </w:rPr>
      </w:pPr>
      <w:hyperlink w:anchor="_Toc440456879" w:history="1">
        <w:r w:rsidR="00335E4B" w:rsidRPr="00847D77">
          <w:rPr>
            <w:rFonts w:ascii="Traditional Arabic" w:hAnsi="Traditional Arabic" w:cs="Traditional Arabic"/>
            <w:b/>
            <w:noProof/>
            <w:sz w:val="28"/>
            <w:rtl/>
            <w:lang w:bidi="ar-EG"/>
          </w:rPr>
          <w:t>المراجع</w:t>
        </w:r>
        <w:r w:rsidR="00335E4B" w:rsidRPr="00847D77">
          <w:rPr>
            <w:rFonts w:ascii="Traditional Arabic" w:hAnsi="Traditional Arabic" w:cs="Traditional Arabic"/>
            <w:noProof/>
            <w:webHidden/>
            <w:sz w:val="28"/>
            <w:rtl/>
            <w:lang w:bidi="ar-EG"/>
          </w:rPr>
          <w:tab/>
        </w:r>
        <w:r w:rsidR="00335E4B" w:rsidRPr="00847D77">
          <w:rPr>
            <w:rFonts w:ascii="Traditional Arabic" w:hAnsi="Traditional Arabic" w:cs="Traditional Arabic"/>
            <w:noProof/>
            <w:webHidden/>
            <w:sz w:val="28"/>
            <w:rtl/>
            <w:lang w:bidi="ar-EG"/>
          </w:rPr>
          <w:fldChar w:fldCharType="begin"/>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lang w:bidi="ar-EG"/>
          </w:rPr>
          <w:instrText>PAGEREF</w:instrText>
        </w:r>
        <w:r w:rsidR="00335E4B" w:rsidRPr="00847D77">
          <w:rPr>
            <w:rFonts w:ascii="Traditional Arabic" w:hAnsi="Traditional Arabic" w:cs="Traditional Arabic"/>
            <w:noProof/>
            <w:webHidden/>
            <w:sz w:val="28"/>
            <w:rtl/>
            <w:lang w:bidi="ar-EG"/>
          </w:rPr>
          <w:instrText xml:space="preserve"> _</w:instrText>
        </w:r>
        <w:r w:rsidR="00335E4B" w:rsidRPr="00847D77">
          <w:rPr>
            <w:rFonts w:ascii="Traditional Arabic" w:hAnsi="Traditional Arabic" w:cs="Traditional Arabic"/>
            <w:noProof/>
            <w:webHidden/>
            <w:sz w:val="28"/>
            <w:lang w:bidi="ar-EG"/>
          </w:rPr>
          <w:instrText>Toc440456879 \h</w:instrText>
        </w:r>
        <w:r w:rsidR="00335E4B" w:rsidRPr="00847D77">
          <w:rPr>
            <w:rFonts w:ascii="Traditional Arabic" w:hAnsi="Traditional Arabic" w:cs="Traditional Arabic"/>
            <w:noProof/>
            <w:webHidden/>
            <w:sz w:val="28"/>
            <w:rtl/>
            <w:lang w:bidi="ar-EG"/>
          </w:rPr>
          <w:instrText xml:space="preserve"> </w:instrText>
        </w:r>
        <w:r w:rsidR="00335E4B" w:rsidRPr="00847D77">
          <w:rPr>
            <w:rFonts w:ascii="Traditional Arabic" w:hAnsi="Traditional Arabic" w:cs="Traditional Arabic"/>
            <w:noProof/>
            <w:webHidden/>
            <w:sz w:val="28"/>
            <w:rtl/>
            <w:lang w:bidi="ar-EG"/>
          </w:rPr>
        </w:r>
        <w:r w:rsidR="00335E4B" w:rsidRPr="00847D77">
          <w:rPr>
            <w:rFonts w:ascii="Traditional Arabic" w:hAnsi="Traditional Arabic" w:cs="Traditional Arabic"/>
            <w:noProof/>
            <w:webHidden/>
            <w:sz w:val="28"/>
            <w:rtl/>
            <w:lang w:bidi="ar-EG"/>
          </w:rPr>
          <w:fldChar w:fldCharType="separate"/>
        </w:r>
        <w:r>
          <w:rPr>
            <w:rFonts w:ascii="Traditional Arabic" w:hAnsi="Traditional Arabic" w:cs="Traditional Arabic"/>
            <w:noProof/>
            <w:webHidden/>
            <w:sz w:val="28"/>
            <w:rtl/>
            <w:lang w:bidi="ar-EG"/>
          </w:rPr>
          <w:t>74</w:t>
        </w:r>
        <w:r w:rsidR="00335E4B" w:rsidRPr="00847D77">
          <w:rPr>
            <w:rFonts w:ascii="Traditional Arabic" w:hAnsi="Traditional Arabic" w:cs="Traditional Arabic"/>
            <w:noProof/>
            <w:webHidden/>
            <w:sz w:val="28"/>
            <w:rtl/>
            <w:lang w:bidi="ar-EG"/>
          </w:rPr>
          <w:fldChar w:fldCharType="end"/>
        </w:r>
      </w:hyperlink>
      <w:r w:rsidR="00335E4B" w:rsidRPr="00847D77">
        <w:rPr>
          <w:rFonts w:ascii="Traditional Arabic" w:hAnsi="Traditional Arabic" w:cs="Traditional Arabic"/>
          <w:noProof/>
          <w:sz w:val="28"/>
          <w:lang w:bidi="ar-EG"/>
        </w:rPr>
        <w:fldChar w:fldCharType="end"/>
      </w:r>
    </w:p>
    <w:p w:rsidR="00335E4B" w:rsidRPr="00C36B71" w:rsidRDefault="00335E4B" w:rsidP="00C36B71">
      <w:pPr>
        <w:tabs>
          <w:tab w:val="left" w:pos="991"/>
        </w:tabs>
        <w:jc w:val="both"/>
        <w:rPr>
          <w:rFonts w:cs="Traditional Arabic"/>
          <w:sz w:val="20"/>
          <w:szCs w:val="30"/>
          <w:rtl/>
        </w:rPr>
      </w:pPr>
      <w:r w:rsidRPr="00C36B71">
        <w:rPr>
          <w:rFonts w:cs="Traditional Arabic"/>
          <w:sz w:val="20"/>
          <w:szCs w:val="30"/>
          <w:rtl/>
          <w:lang w:bidi="ar-EG"/>
        </w:rPr>
        <w:br w:type="page"/>
      </w:r>
      <w:r w:rsidRPr="00C36B71">
        <w:rPr>
          <w:rFonts w:cs="Traditional Arabic"/>
          <w:b/>
          <w:bCs/>
          <w:sz w:val="32"/>
          <w:szCs w:val="32"/>
          <w:rtl/>
        </w:rPr>
        <w:t>قائمة الأشكال</w:t>
      </w:r>
      <w:r w:rsidRPr="00C36B71">
        <w:rPr>
          <w:rFonts w:cs="Traditional Arabic"/>
          <w:sz w:val="20"/>
          <w:szCs w:val="30"/>
        </w:rPr>
        <w:fldChar w:fldCharType="begin"/>
      </w:r>
      <w:r w:rsidRPr="00C36B71">
        <w:rPr>
          <w:rFonts w:cs="Traditional Arabic"/>
          <w:sz w:val="20"/>
          <w:szCs w:val="30"/>
        </w:rPr>
        <w:instrText xml:space="preserve"> TOC \o "1-3" \h \z \u </w:instrText>
      </w:r>
      <w:r w:rsidRPr="00C36B71">
        <w:rPr>
          <w:rFonts w:cs="Traditional Arabic"/>
          <w:sz w:val="20"/>
          <w:szCs w:val="30"/>
        </w:rPr>
        <w:fldChar w:fldCharType="separate"/>
      </w:r>
    </w:p>
    <w:p w:rsidR="00335E4B" w:rsidRPr="00C36B71" w:rsidRDefault="00F37B77" w:rsidP="001F4286">
      <w:pPr>
        <w:tabs>
          <w:tab w:val="left" w:pos="991"/>
          <w:tab w:val="right" w:leader="dot" w:pos="9486"/>
        </w:tabs>
        <w:spacing w:after="120" w:line="320" w:lineRule="exact"/>
        <w:jc w:val="both"/>
        <w:rPr>
          <w:rFonts w:cs="Traditional Arabic"/>
          <w:noProof/>
          <w:sz w:val="18"/>
          <w:rtl/>
        </w:rPr>
      </w:pPr>
      <w:hyperlink w:anchor="_Toc440526899" w:history="1">
        <w:r w:rsidR="00335E4B" w:rsidRPr="00C36B71">
          <w:rPr>
            <w:rFonts w:cs="Traditional Arabic"/>
            <w:noProof/>
            <w:sz w:val="18"/>
            <w:rtl/>
            <w:lang w:bidi="ar-EG"/>
          </w:rPr>
          <w:t>الشكل 1-</w:t>
        </w:r>
        <w:r w:rsidR="00C36B71">
          <w:rPr>
            <w:rFonts w:cs="Traditional Arabic" w:hint="cs"/>
            <w:noProof/>
            <w:sz w:val="18"/>
            <w:rtl/>
            <w:lang w:bidi="ar-EG"/>
          </w:rPr>
          <w:tab/>
        </w:r>
        <w:r w:rsidR="00335E4B" w:rsidRPr="00C36B71">
          <w:rPr>
            <w:rFonts w:cs="Traditional Arabic"/>
            <w:noProof/>
            <w:sz w:val="18"/>
            <w:rtl/>
            <w:lang w:bidi="ar-EG"/>
          </w:rPr>
          <w:t>استعمال مختلف رُتب الفحم (مؤسسة الفحم العالمية 2014)</w:t>
        </w:r>
      </w:hyperlink>
      <w:r w:rsidR="00335E4B" w:rsidRPr="00C36B71">
        <w:rPr>
          <w:rFonts w:cs="Traditional Arabic"/>
          <w:noProof/>
          <w:sz w:val="18"/>
          <w:lang w:bidi="ar-EG"/>
        </w:rPr>
        <w:tab/>
        <w:t xml:space="preserve"> </w:t>
      </w:r>
      <w:r w:rsidR="00335E4B" w:rsidRPr="00C36B71">
        <w:rPr>
          <w:rFonts w:cs="Traditional Arabic" w:hint="cs"/>
          <w:noProof/>
          <w:sz w:val="18"/>
          <w:rtl/>
          <w:lang w:bidi="ar-EG"/>
        </w:rPr>
        <w:t>3</w:t>
      </w:r>
      <w:r w:rsidR="001F4286">
        <w:rPr>
          <w:rFonts w:cs="Traditional Arabic" w:hint="cs"/>
          <w:noProof/>
          <w:sz w:val="18"/>
          <w:rtl/>
          <w:lang w:bidi="ar-EG"/>
        </w:rPr>
        <w:t>9</w:t>
      </w:r>
    </w:p>
    <w:p w:rsidR="00335E4B" w:rsidRPr="00C36B71" w:rsidRDefault="00F37B77" w:rsidP="001F4286">
      <w:pPr>
        <w:tabs>
          <w:tab w:val="left" w:pos="991"/>
          <w:tab w:val="right" w:leader="dot" w:pos="9486"/>
        </w:tabs>
        <w:spacing w:after="120" w:line="320" w:lineRule="exact"/>
        <w:jc w:val="both"/>
        <w:rPr>
          <w:rFonts w:cs="Traditional Arabic"/>
          <w:noProof/>
          <w:sz w:val="18"/>
          <w:rtl/>
          <w:lang w:bidi="ar-EG"/>
        </w:rPr>
      </w:pPr>
      <w:hyperlink w:anchor="_Toc440526901" w:history="1">
        <w:r w:rsidR="00335E4B" w:rsidRPr="00C36B71">
          <w:rPr>
            <w:rFonts w:cs="Traditional Arabic"/>
            <w:noProof/>
            <w:sz w:val="18"/>
            <w:rtl/>
            <w:lang w:bidi="ar-EG"/>
          </w:rPr>
          <w:t>الشكل 2-</w:t>
        </w:r>
        <w:r w:rsidR="00C36B71">
          <w:rPr>
            <w:rFonts w:cs="Traditional Arabic" w:hint="cs"/>
            <w:noProof/>
            <w:sz w:val="18"/>
            <w:rtl/>
            <w:lang w:bidi="ar-EG"/>
          </w:rPr>
          <w:tab/>
        </w:r>
        <w:r w:rsidR="00335E4B" w:rsidRPr="00C36B71">
          <w:rPr>
            <w:rFonts w:cs="Traditional Arabic"/>
            <w:noProof/>
            <w:sz w:val="18"/>
            <w:rtl/>
            <w:lang w:bidi="ar-EG"/>
          </w:rPr>
          <w:t>تحولات الزئبق المحتملة أثناء ال</w:t>
        </w:r>
        <w:r w:rsidR="001F4286">
          <w:rPr>
            <w:rFonts w:cs="Traditional Arabic" w:hint="cs"/>
            <w:noProof/>
            <w:sz w:val="18"/>
            <w:rtl/>
            <w:lang w:bidi="ar-EG"/>
          </w:rPr>
          <w:t>أ</w:t>
        </w:r>
        <w:r w:rsidR="00335E4B" w:rsidRPr="00C36B71">
          <w:rPr>
            <w:rFonts w:cs="Traditional Arabic"/>
            <w:noProof/>
            <w:sz w:val="18"/>
            <w:rtl/>
            <w:lang w:bidi="ar-EG"/>
          </w:rPr>
          <w:t>ح</w:t>
        </w:r>
        <w:r w:rsidR="001F4286">
          <w:rPr>
            <w:rFonts w:cs="Traditional Arabic" w:hint="cs"/>
            <w:noProof/>
            <w:sz w:val="18"/>
            <w:rtl/>
            <w:lang w:bidi="ar-EG"/>
          </w:rPr>
          <w:t>ت</w:t>
        </w:r>
        <w:r w:rsidR="00335E4B" w:rsidRPr="00C36B71">
          <w:rPr>
            <w:rFonts w:cs="Traditional Arabic"/>
            <w:noProof/>
            <w:sz w:val="18"/>
            <w:rtl/>
            <w:lang w:bidi="ar-EG"/>
          </w:rPr>
          <w:t>ر</w:t>
        </w:r>
        <w:r w:rsidR="001F4286">
          <w:rPr>
            <w:rFonts w:cs="Traditional Arabic" w:hint="cs"/>
            <w:noProof/>
            <w:sz w:val="18"/>
            <w:rtl/>
            <w:lang w:bidi="ar-EG"/>
          </w:rPr>
          <w:t>ا</w:t>
        </w:r>
        <w:r w:rsidR="00335E4B" w:rsidRPr="00C36B71">
          <w:rPr>
            <w:rFonts w:cs="Traditional Arabic"/>
            <w:noProof/>
            <w:sz w:val="18"/>
            <w:rtl/>
            <w:lang w:bidi="ar-EG"/>
          </w:rPr>
          <w:t xml:space="preserve">ق وما بعد </w:t>
        </w:r>
        <w:r w:rsidR="001F4286" w:rsidRPr="001F4286">
          <w:rPr>
            <w:rFonts w:cs="Traditional Arabic"/>
            <w:noProof/>
            <w:sz w:val="18"/>
            <w:rtl/>
            <w:lang w:bidi="ar-EG"/>
          </w:rPr>
          <w:t>ال</w:t>
        </w:r>
        <w:r w:rsidR="001F4286" w:rsidRPr="001F4286">
          <w:rPr>
            <w:rFonts w:cs="Traditional Arabic" w:hint="cs"/>
            <w:noProof/>
            <w:sz w:val="18"/>
            <w:rtl/>
            <w:lang w:bidi="ar-EG"/>
          </w:rPr>
          <w:t>أ</w:t>
        </w:r>
        <w:r w:rsidR="001F4286" w:rsidRPr="001F4286">
          <w:rPr>
            <w:rFonts w:cs="Traditional Arabic"/>
            <w:noProof/>
            <w:sz w:val="18"/>
            <w:rtl/>
            <w:lang w:bidi="ar-EG"/>
          </w:rPr>
          <w:t>ح</w:t>
        </w:r>
        <w:r w:rsidR="001F4286" w:rsidRPr="001F4286">
          <w:rPr>
            <w:rFonts w:cs="Traditional Arabic" w:hint="cs"/>
            <w:noProof/>
            <w:sz w:val="18"/>
            <w:rtl/>
            <w:lang w:bidi="ar-EG"/>
          </w:rPr>
          <w:t>ت</w:t>
        </w:r>
        <w:r w:rsidR="001F4286" w:rsidRPr="001F4286">
          <w:rPr>
            <w:rFonts w:cs="Traditional Arabic"/>
            <w:noProof/>
            <w:sz w:val="18"/>
            <w:rtl/>
            <w:lang w:bidi="ar-EG"/>
          </w:rPr>
          <w:t>ر</w:t>
        </w:r>
        <w:r w:rsidR="001F4286" w:rsidRPr="001F4286">
          <w:rPr>
            <w:rFonts w:cs="Traditional Arabic" w:hint="cs"/>
            <w:noProof/>
            <w:sz w:val="18"/>
            <w:rtl/>
            <w:lang w:bidi="ar-EG"/>
          </w:rPr>
          <w:t>ا</w:t>
        </w:r>
        <w:r w:rsidR="001F4286" w:rsidRPr="001F4286">
          <w:rPr>
            <w:rFonts w:cs="Traditional Arabic"/>
            <w:noProof/>
            <w:sz w:val="18"/>
            <w:rtl/>
            <w:lang w:bidi="ar-EG"/>
          </w:rPr>
          <w:t xml:space="preserve">ق </w:t>
        </w:r>
        <w:r w:rsidR="00335E4B" w:rsidRPr="00C36B71">
          <w:rPr>
            <w:rFonts w:cs="Traditional Arabic"/>
            <w:noProof/>
            <w:sz w:val="18"/>
            <w:rtl/>
            <w:lang w:bidi="ar-EG"/>
          </w:rPr>
          <w:t>(غالبريث وزيغارليك، 2000)</w:t>
        </w:r>
      </w:hyperlink>
      <w:r w:rsidR="00335E4B" w:rsidRPr="00C36B71">
        <w:rPr>
          <w:rFonts w:cs="Traditional Arabic" w:hint="cs"/>
          <w:noProof/>
          <w:sz w:val="18"/>
          <w:rtl/>
          <w:lang w:bidi="ar-EG"/>
        </w:rPr>
        <w:tab/>
        <w:t>4</w:t>
      </w:r>
      <w:r w:rsidR="001F4286">
        <w:rPr>
          <w:rFonts w:cs="Traditional Arabic" w:hint="cs"/>
          <w:noProof/>
          <w:sz w:val="18"/>
          <w:rtl/>
          <w:lang w:bidi="ar-EG"/>
        </w:rPr>
        <w:t>2</w:t>
      </w:r>
    </w:p>
    <w:p w:rsidR="00335E4B" w:rsidRPr="00C36B71" w:rsidRDefault="00F37B77" w:rsidP="00C30591">
      <w:pPr>
        <w:tabs>
          <w:tab w:val="left" w:pos="991"/>
          <w:tab w:val="right" w:leader="dot" w:pos="9486"/>
        </w:tabs>
        <w:spacing w:after="120" w:line="320" w:lineRule="exact"/>
        <w:jc w:val="both"/>
        <w:rPr>
          <w:rFonts w:cs="Traditional Arabic"/>
          <w:noProof/>
          <w:sz w:val="18"/>
          <w:rtl/>
          <w:lang w:bidi="ar-EG"/>
        </w:rPr>
      </w:pPr>
      <w:hyperlink w:anchor="_Toc440526905" w:history="1">
        <w:r w:rsidR="00335E4B" w:rsidRPr="00C36B71">
          <w:rPr>
            <w:rFonts w:cs="Traditional Arabic"/>
            <w:noProof/>
            <w:sz w:val="18"/>
            <w:rtl/>
            <w:lang w:bidi="ar-EG"/>
          </w:rPr>
          <w:t>الشكل 3-</w:t>
        </w:r>
        <w:r w:rsidR="00C36B71">
          <w:rPr>
            <w:rFonts w:cs="Traditional Arabic" w:hint="cs"/>
            <w:noProof/>
            <w:sz w:val="18"/>
            <w:rtl/>
            <w:lang w:bidi="ar-EG"/>
          </w:rPr>
          <w:tab/>
        </w:r>
        <w:r w:rsidR="00335E4B" w:rsidRPr="00C36B71">
          <w:rPr>
            <w:rFonts w:cs="Traditional Arabic"/>
            <w:noProof/>
            <w:sz w:val="18"/>
            <w:rtl/>
            <w:lang w:bidi="ar-EG"/>
          </w:rPr>
          <w:t>رسم تخطيطي لعملية تشكيلة نمطية من منشآت طاقة تعمل بحرق الفحم في اليابان (إيتو وآخرون، 2006) (منقَّح)</w:t>
        </w:r>
      </w:hyperlink>
      <w:r w:rsidR="00335E4B" w:rsidRPr="00C36B71">
        <w:rPr>
          <w:rFonts w:cs="Traditional Arabic"/>
          <w:noProof/>
          <w:sz w:val="18"/>
          <w:lang w:bidi="ar-EG"/>
        </w:rPr>
        <w:tab/>
      </w:r>
      <w:r w:rsidR="00335E4B" w:rsidRPr="00C36B71">
        <w:rPr>
          <w:rFonts w:cs="Traditional Arabic" w:hint="cs"/>
          <w:noProof/>
          <w:sz w:val="18"/>
          <w:rtl/>
          <w:lang w:bidi="ar-EG"/>
        </w:rPr>
        <w:t>4</w:t>
      </w:r>
      <w:r w:rsidR="00C30591">
        <w:rPr>
          <w:rFonts w:cs="Traditional Arabic" w:hint="cs"/>
          <w:noProof/>
          <w:sz w:val="18"/>
          <w:rtl/>
          <w:lang w:bidi="ar-EG"/>
        </w:rPr>
        <w:t>6</w:t>
      </w:r>
    </w:p>
    <w:p w:rsidR="006B1C85" w:rsidRDefault="00F37B77" w:rsidP="00C30591">
      <w:pPr>
        <w:tabs>
          <w:tab w:val="left" w:pos="991"/>
          <w:tab w:val="right" w:leader="dot" w:pos="9486"/>
        </w:tabs>
        <w:spacing w:after="120" w:line="320" w:lineRule="exact"/>
        <w:ind w:left="991" w:right="284" w:hanging="991"/>
        <w:jc w:val="both"/>
        <w:rPr>
          <w:rFonts w:cs="Traditional Arabic"/>
          <w:noProof/>
          <w:sz w:val="18"/>
          <w:rtl/>
          <w:lang w:bidi="ar-EG"/>
        </w:rPr>
      </w:pPr>
      <w:hyperlink w:anchor="_Toc440526906" w:history="1">
        <w:r w:rsidR="00335E4B" w:rsidRPr="00C36B71">
          <w:rPr>
            <w:rFonts w:cs="Traditional Arabic"/>
            <w:noProof/>
            <w:sz w:val="18"/>
            <w:rtl/>
            <w:lang w:bidi="ar-EG"/>
          </w:rPr>
          <w:t>الشكل 4-</w:t>
        </w:r>
        <w:r w:rsidR="00335E4B" w:rsidRPr="00C36B71">
          <w:rPr>
            <w:rFonts w:cs="Traditional Arabic"/>
            <w:noProof/>
            <w:sz w:val="18"/>
            <w:rtl/>
            <w:lang w:bidi="ar-EG"/>
          </w:rPr>
          <w:tab/>
          <w:t xml:space="preserve">تركيز الزئبق في غاز المدخنة من منشآت الطاقة التي تعمل بحرق الفحم باستعمال مجموعة </w:t>
        </w:r>
        <w:r w:rsidR="00335E4B" w:rsidRPr="00C36B71">
          <w:rPr>
            <w:rFonts w:cs="Traditional Arabic"/>
            <w:noProof/>
            <w:sz w:val="18"/>
            <w:lang w:bidi="ar-EG"/>
          </w:rPr>
          <w:t>SCR</w:t>
        </w:r>
        <w:r w:rsidR="00335E4B" w:rsidRPr="00C36B71">
          <w:rPr>
            <w:rFonts w:cs="Traditional Arabic"/>
            <w:noProof/>
            <w:sz w:val="18"/>
            <w:rtl/>
            <w:lang w:bidi="ar-EG"/>
          </w:rPr>
          <w:t>+</w:t>
        </w:r>
        <w:r w:rsidR="00335E4B" w:rsidRPr="00C36B71">
          <w:rPr>
            <w:rFonts w:cs="Traditional Arabic"/>
            <w:noProof/>
            <w:sz w:val="18"/>
            <w:lang w:bidi="ar-EG"/>
          </w:rPr>
          <w:t>ESP</w:t>
        </w:r>
        <w:r w:rsidR="00335E4B" w:rsidRPr="00C36B71">
          <w:rPr>
            <w:rFonts w:cs="Traditional Arabic"/>
            <w:noProof/>
            <w:sz w:val="18"/>
            <w:rtl/>
            <w:lang w:bidi="ar-EG"/>
          </w:rPr>
          <w:t>+</w:t>
        </w:r>
        <w:r w:rsidR="00335E4B" w:rsidRPr="00C36B71">
          <w:rPr>
            <w:rFonts w:cs="Traditional Arabic"/>
            <w:noProof/>
            <w:sz w:val="18"/>
            <w:lang w:bidi="ar-EG"/>
          </w:rPr>
          <w:t xml:space="preserve">FGD </w:t>
        </w:r>
        <w:r w:rsidR="00335E4B" w:rsidRPr="00C36B71">
          <w:rPr>
            <w:rFonts w:cs="Traditional Arabic"/>
            <w:noProof/>
            <w:sz w:val="18"/>
            <w:rtl/>
            <w:lang w:bidi="ar-EG"/>
          </w:rPr>
          <w:t xml:space="preserve"> ومجموعة </w:t>
        </w:r>
        <w:r w:rsidR="00335E4B" w:rsidRPr="00C36B71">
          <w:rPr>
            <w:rFonts w:cs="Traditional Arabic"/>
            <w:noProof/>
            <w:sz w:val="18"/>
            <w:lang w:bidi="ar-EG"/>
          </w:rPr>
          <w:t>SCR</w:t>
        </w:r>
        <w:r w:rsidR="00335E4B" w:rsidRPr="00C36B71">
          <w:rPr>
            <w:rFonts w:cs="Traditional Arabic"/>
            <w:noProof/>
            <w:sz w:val="18"/>
            <w:rtl/>
            <w:lang w:bidi="ar-EG"/>
          </w:rPr>
          <w:t>+</w:t>
        </w:r>
        <w:r w:rsidR="00335E4B" w:rsidRPr="00C36B71">
          <w:rPr>
            <w:rFonts w:cs="Traditional Arabic"/>
            <w:noProof/>
            <w:sz w:val="18"/>
            <w:lang w:bidi="ar-EG"/>
          </w:rPr>
          <w:t>LLT-ESP</w:t>
        </w:r>
        <w:r w:rsidR="00335E4B" w:rsidRPr="00C36B71">
          <w:rPr>
            <w:rFonts w:cs="Traditional Arabic"/>
            <w:noProof/>
            <w:sz w:val="18"/>
            <w:rtl/>
            <w:lang w:bidi="ar-EG"/>
          </w:rPr>
          <w:t>+</w:t>
        </w:r>
        <w:r w:rsidR="00335E4B" w:rsidRPr="00C36B71">
          <w:rPr>
            <w:rFonts w:cs="Traditional Arabic"/>
            <w:noProof/>
            <w:sz w:val="18"/>
            <w:lang w:bidi="ar-EG"/>
          </w:rPr>
          <w:t>FGD</w:t>
        </w:r>
      </w:hyperlink>
      <w:r w:rsidR="00335E4B" w:rsidRPr="00C36B71">
        <w:rPr>
          <w:rFonts w:cs="Traditional Arabic" w:hint="cs"/>
          <w:noProof/>
          <w:sz w:val="18"/>
          <w:rtl/>
          <w:lang w:bidi="ar-EG"/>
        </w:rPr>
        <w:tab/>
        <w:t>4</w:t>
      </w:r>
      <w:r w:rsidR="00C30591">
        <w:rPr>
          <w:rFonts w:cs="Traditional Arabic" w:hint="cs"/>
          <w:noProof/>
          <w:sz w:val="18"/>
          <w:rtl/>
          <w:lang w:bidi="ar-EG"/>
        </w:rPr>
        <w:t>7</w:t>
      </w:r>
    </w:p>
    <w:p w:rsidR="006B1C85" w:rsidRDefault="00F37B77" w:rsidP="00C30591">
      <w:pPr>
        <w:tabs>
          <w:tab w:val="left" w:pos="991"/>
          <w:tab w:val="right" w:leader="dot" w:pos="9486"/>
        </w:tabs>
        <w:spacing w:after="120" w:line="320" w:lineRule="exact"/>
        <w:ind w:left="991" w:right="284" w:hanging="991"/>
        <w:jc w:val="both"/>
        <w:rPr>
          <w:rFonts w:cs="Traditional Arabic"/>
          <w:noProof/>
          <w:sz w:val="18"/>
          <w:rtl/>
          <w:lang w:bidi="ar-EG"/>
        </w:rPr>
      </w:pPr>
      <w:hyperlink w:anchor="_Toc440526908" w:history="1">
        <w:r w:rsidR="00335E4B" w:rsidRPr="00C36B71">
          <w:rPr>
            <w:rFonts w:cs="Traditional Arabic"/>
            <w:noProof/>
            <w:sz w:val="18"/>
            <w:rtl/>
            <w:lang w:bidi="ar-EG"/>
          </w:rPr>
          <w:t>الشكل 5-</w:t>
        </w:r>
        <w:r w:rsidR="00335E4B" w:rsidRPr="00C36B71">
          <w:rPr>
            <w:rFonts w:cs="Traditional Arabic"/>
            <w:noProof/>
            <w:sz w:val="18"/>
            <w:rtl/>
            <w:lang w:bidi="ar-EG"/>
          </w:rPr>
          <w:tab/>
          <w:t>إزالة الزئبق بالمرسب الكهروستاتيكي كدالة على مقدار الكربون غير المحروق (النسبة المئوية للفاقد عند الإشغال) في الرماد المتطاير (سنيور وجونسون، 2008)</w:t>
        </w:r>
      </w:hyperlink>
      <w:r w:rsidR="00335E4B" w:rsidRPr="00C36B71">
        <w:rPr>
          <w:rFonts w:cs="Traditional Arabic" w:hint="cs"/>
          <w:noProof/>
          <w:sz w:val="18"/>
          <w:rtl/>
          <w:lang w:bidi="ar-EG"/>
        </w:rPr>
        <w:tab/>
      </w:r>
      <w:r w:rsidR="00C30591">
        <w:rPr>
          <w:rFonts w:cs="Traditional Arabic" w:hint="cs"/>
          <w:noProof/>
          <w:sz w:val="18"/>
          <w:rtl/>
          <w:lang w:bidi="ar-EG"/>
        </w:rPr>
        <w:t>50</w:t>
      </w:r>
    </w:p>
    <w:p w:rsidR="006B1C85" w:rsidRDefault="00F37B77" w:rsidP="00C30591">
      <w:pPr>
        <w:tabs>
          <w:tab w:val="left" w:pos="991"/>
          <w:tab w:val="right" w:leader="dot" w:pos="9486"/>
        </w:tabs>
        <w:spacing w:after="120" w:line="320" w:lineRule="exact"/>
        <w:ind w:left="991" w:right="284" w:hanging="991"/>
        <w:jc w:val="both"/>
        <w:rPr>
          <w:rFonts w:cs="Traditional Arabic"/>
          <w:noProof/>
          <w:sz w:val="18"/>
          <w:rtl/>
          <w:lang w:bidi="ar-EG"/>
        </w:rPr>
      </w:pPr>
      <w:hyperlink w:anchor="_Toc440526913" w:history="1">
        <w:r w:rsidR="00335E4B" w:rsidRPr="00C36B71">
          <w:rPr>
            <w:rFonts w:cs="Traditional Arabic"/>
            <w:noProof/>
            <w:sz w:val="18"/>
            <w:rtl/>
            <w:lang w:bidi="ar-EG"/>
          </w:rPr>
          <w:t>الشكل 6-</w:t>
        </w:r>
        <w:r w:rsidR="00C36B71">
          <w:rPr>
            <w:rFonts w:cs="Traditional Arabic" w:hint="cs"/>
            <w:noProof/>
            <w:sz w:val="18"/>
            <w:rtl/>
            <w:lang w:bidi="ar-EG"/>
          </w:rPr>
          <w:tab/>
        </w:r>
        <w:r w:rsidR="00335E4B" w:rsidRPr="00C36B71">
          <w:rPr>
            <w:rFonts w:cs="Traditional Arabic"/>
            <w:noProof/>
            <w:sz w:val="18"/>
            <w:rtl/>
            <w:lang w:bidi="ar-EG"/>
          </w:rPr>
          <w:t>الأثر المحتمل لخلط الفحم على التقاط الزئبق في نظام التنظيف الجاف لإزالة الكبريت من غاز المدخنة</w:t>
        </w:r>
        <w:r w:rsidR="00335E4B" w:rsidRPr="00C36B71">
          <w:rPr>
            <w:rFonts w:cs="Traditional Arabic" w:hint="cs"/>
            <w:noProof/>
            <w:webHidden/>
            <w:sz w:val="18"/>
            <w:rtl/>
            <w:lang w:bidi="ar-EG"/>
          </w:rPr>
          <w:tab/>
        </w:r>
      </w:hyperlink>
      <w:r w:rsidR="00335E4B" w:rsidRPr="00C36B71">
        <w:rPr>
          <w:rFonts w:cs="Traditional Arabic"/>
          <w:noProof/>
          <w:sz w:val="18"/>
          <w:rtl/>
          <w:lang w:bidi="ar-EG"/>
        </w:rPr>
        <w:t>5</w:t>
      </w:r>
      <w:r w:rsidR="00C30591">
        <w:rPr>
          <w:rFonts w:cs="Traditional Arabic" w:hint="cs"/>
          <w:noProof/>
          <w:sz w:val="18"/>
          <w:rtl/>
          <w:lang w:bidi="ar-EG"/>
        </w:rPr>
        <w:t>6</w:t>
      </w:r>
    </w:p>
    <w:p w:rsidR="006B1C85" w:rsidRDefault="00F37B77" w:rsidP="00C30591">
      <w:pPr>
        <w:tabs>
          <w:tab w:val="left" w:pos="991"/>
          <w:tab w:val="right" w:leader="dot" w:pos="9486"/>
        </w:tabs>
        <w:spacing w:after="120" w:line="320" w:lineRule="exact"/>
        <w:ind w:left="991" w:right="284" w:hanging="991"/>
        <w:jc w:val="both"/>
        <w:rPr>
          <w:rFonts w:cs="Traditional Arabic"/>
          <w:noProof/>
          <w:sz w:val="18"/>
          <w:rtl/>
          <w:lang w:bidi="ar-EG"/>
        </w:rPr>
      </w:pPr>
      <w:hyperlink w:anchor="_Toc440526915" w:history="1">
        <w:r w:rsidR="00335E4B" w:rsidRPr="00C36B71">
          <w:rPr>
            <w:rFonts w:cs="Traditional Arabic"/>
            <w:noProof/>
            <w:sz w:val="18"/>
            <w:rtl/>
            <w:lang w:bidi="ar-EG"/>
          </w:rPr>
          <w:t>الشكل 7-</w:t>
        </w:r>
        <w:r w:rsidR="00C36B71">
          <w:rPr>
            <w:rFonts w:cs="Traditional Arabic" w:hint="cs"/>
            <w:noProof/>
            <w:sz w:val="18"/>
            <w:rtl/>
            <w:lang w:bidi="ar-EG"/>
          </w:rPr>
          <w:tab/>
        </w:r>
        <w:r w:rsidR="00335E4B" w:rsidRPr="00C36B71">
          <w:rPr>
            <w:rFonts w:cs="Traditional Arabic"/>
            <w:noProof/>
            <w:sz w:val="18"/>
            <w:rtl/>
            <w:lang w:bidi="ar-EG"/>
          </w:rPr>
          <w:t xml:space="preserve">أداء الإضافات القائمة على البروم والكلور مع تنوع الفحم (الفحم دون القيري من حوض نهر باودر </w:t>
        </w:r>
        <w:r w:rsidR="00335E4B" w:rsidRPr="006B1C85">
          <w:rPr>
            <w:rFonts w:asciiTheme="majorBidi" w:hAnsiTheme="majorBidi" w:cstheme="majorBidi"/>
            <w:noProof/>
            <w:sz w:val="18"/>
            <w:szCs w:val="18"/>
            <w:rtl/>
            <w:lang w:bidi="ar-EG"/>
          </w:rPr>
          <w:t>(</w:t>
        </w:r>
        <w:r w:rsidR="00335E4B" w:rsidRPr="006B1C85">
          <w:rPr>
            <w:rFonts w:asciiTheme="majorBidi" w:hAnsiTheme="majorBidi" w:cstheme="majorBidi"/>
            <w:noProof/>
            <w:sz w:val="18"/>
            <w:szCs w:val="18"/>
            <w:lang w:bidi="ar-EG"/>
          </w:rPr>
          <w:t>PRB</w:t>
        </w:r>
        <w:r w:rsidR="00335E4B" w:rsidRPr="006B1C85">
          <w:rPr>
            <w:rFonts w:asciiTheme="majorBidi" w:hAnsiTheme="majorBidi" w:cstheme="majorBidi"/>
            <w:noProof/>
            <w:sz w:val="18"/>
            <w:szCs w:val="18"/>
            <w:rtl/>
            <w:lang w:bidi="ar-EG"/>
          </w:rPr>
          <w:t>)</w:t>
        </w:r>
        <w:r w:rsidR="00335E4B" w:rsidRPr="00C36B71">
          <w:rPr>
            <w:rFonts w:cs="Traditional Arabic"/>
            <w:noProof/>
            <w:sz w:val="18"/>
            <w:rtl/>
            <w:lang w:bidi="ar-EG"/>
          </w:rPr>
          <w:t xml:space="preserve">؛ فحم اللغنيت من تكساس </w:t>
        </w:r>
        <w:r w:rsidR="00335E4B" w:rsidRPr="006B1C85">
          <w:rPr>
            <w:rFonts w:asciiTheme="majorBidi" w:hAnsiTheme="majorBidi" w:cstheme="majorBidi"/>
            <w:noProof/>
            <w:sz w:val="18"/>
            <w:szCs w:val="18"/>
            <w:rtl/>
            <w:lang w:bidi="ar-EG"/>
          </w:rPr>
          <w:t>(</w:t>
        </w:r>
        <w:r w:rsidR="00335E4B" w:rsidRPr="006B1C85">
          <w:rPr>
            <w:rFonts w:asciiTheme="majorBidi" w:hAnsiTheme="majorBidi" w:cstheme="majorBidi"/>
            <w:noProof/>
            <w:sz w:val="18"/>
            <w:szCs w:val="18"/>
            <w:lang w:bidi="ar-EG"/>
          </w:rPr>
          <w:t>TxL</w:t>
        </w:r>
        <w:r w:rsidR="00335E4B" w:rsidRPr="006B1C85">
          <w:rPr>
            <w:rFonts w:asciiTheme="majorBidi" w:hAnsiTheme="majorBidi" w:cstheme="majorBidi"/>
            <w:noProof/>
            <w:sz w:val="18"/>
            <w:szCs w:val="18"/>
            <w:rtl/>
            <w:lang w:bidi="ar-EG"/>
          </w:rPr>
          <w:t>)</w:t>
        </w:r>
        <w:r w:rsidR="00335E4B" w:rsidRPr="00C36B71">
          <w:rPr>
            <w:rFonts w:cs="Traditional Arabic"/>
            <w:noProof/>
            <w:sz w:val="18"/>
            <w:rtl/>
            <w:lang w:bidi="ar-EG"/>
          </w:rPr>
          <w:t xml:space="preserve">؛ فحم اللغنيت من ولاية داكوتا الغربية </w:t>
        </w:r>
        <w:r w:rsidR="00335E4B" w:rsidRPr="006B1C85">
          <w:rPr>
            <w:rFonts w:asciiTheme="majorBidi" w:hAnsiTheme="majorBidi" w:cstheme="majorBidi"/>
            <w:noProof/>
            <w:sz w:val="18"/>
            <w:szCs w:val="18"/>
            <w:rtl/>
            <w:lang w:bidi="ar-EG"/>
          </w:rPr>
          <w:t>(</w:t>
        </w:r>
        <w:r w:rsidR="00335E4B" w:rsidRPr="006B1C85">
          <w:rPr>
            <w:rFonts w:asciiTheme="majorBidi" w:hAnsiTheme="majorBidi" w:cstheme="majorBidi"/>
            <w:noProof/>
            <w:sz w:val="18"/>
            <w:szCs w:val="18"/>
            <w:lang w:bidi="ar-EG"/>
          </w:rPr>
          <w:t>NDL</w:t>
        </w:r>
        <w:r w:rsidR="00335E4B" w:rsidRPr="006B1C85">
          <w:rPr>
            <w:rFonts w:asciiTheme="majorBidi" w:hAnsiTheme="majorBidi" w:cstheme="majorBidi"/>
            <w:noProof/>
            <w:sz w:val="18"/>
            <w:szCs w:val="18"/>
            <w:rtl/>
            <w:lang w:bidi="ar-EG"/>
          </w:rPr>
          <w:t>))</w:t>
        </w:r>
      </w:hyperlink>
      <w:r w:rsidR="00335E4B" w:rsidRPr="00C36B71">
        <w:rPr>
          <w:rFonts w:cs="Traditional Arabic" w:hint="cs"/>
          <w:noProof/>
          <w:sz w:val="18"/>
          <w:rtl/>
          <w:lang w:bidi="ar-EG"/>
        </w:rPr>
        <w:tab/>
        <w:t>5</w:t>
      </w:r>
      <w:r w:rsidR="00C30591">
        <w:rPr>
          <w:rFonts w:cs="Traditional Arabic" w:hint="cs"/>
          <w:noProof/>
          <w:sz w:val="18"/>
          <w:rtl/>
          <w:lang w:bidi="ar-EG"/>
        </w:rPr>
        <w:t>7</w:t>
      </w:r>
    </w:p>
    <w:p w:rsidR="006B1C85" w:rsidRDefault="00F37B77" w:rsidP="00C30591">
      <w:pPr>
        <w:tabs>
          <w:tab w:val="left" w:pos="991"/>
          <w:tab w:val="right" w:leader="dot" w:pos="9486"/>
        </w:tabs>
        <w:spacing w:after="120" w:line="320" w:lineRule="exact"/>
        <w:ind w:left="991" w:right="284" w:hanging="991"/>
        <w:jc w:val="both"/>
        <w:rPr>
          <w:rFonts w:cs="Traditional Arabic"/>
          <w:noProof/>
          <w:sz w:val="18"/>
          <w:rtl/>
          <w:lang w:bidi="ar-EG"/>
        </w:rPr>
      </w:pPr>
      <w:hyperlink w:anchor="_Toc440526917" w:history="1">
        <w:r w:rsidR="00335E4B" w:rsidRPr="00C36B71">
          <w:rPr>
            <w:rFonts w:cs="Traditional Arabic"/>
            <w:noProof/>
            <w:sz w:val="18"/>
            <w:rtl/>
            <w:lang w:bidi="ar-EG"/>
          </w:rPr>
          <w:t>الشكل 8-</w:t>
        </w:r>
        <w:r w:rsidR="00C36B71">
          <w:rPr>
            <w:rFonts w:cs="Traditional Arabic" w:hint="cs"/>
            <w:noProof/>
            <w:sz w:val="18"/>
            <w:rtl/>
            <w:lang w:bidi="ar-EG"/>
          </w:rPr>
          <w:tab/>
        </w:r>
        <w:r w:rsidR="00335E4B" w:rsidRPr="00C36B71">
          <w:rPr>
            <w:rFonts w:cs="Traditional Arabic"/>
            <w:noProof/>
            <w:sz w:val="18"/>
            <w:rtl/>
            <w:lang w:bidi="ar-EG"/>
          </w:rPr>
          <w:t>رسم يوضح امتصاص/امتزاز زئبق غاز المدخنة عبر جهاز تنظيف رطب لإزالة الكبريت من غاز المدخنة (كيزر وآخرون، 2014)</w:t>
        </w:r>
      </w:hyperlink>
      <w:r w:rsidR="00335E4B" w:rsidRPr="00C36B71">
        <w:rPr>
          <w:rFonts w:cs="Traditional Arabic" w:hint="cs"/>
          <w:noProof/>
          <w:sz w:val="18"/>
          <w:rtl/>
          <w:lang w:bidi="ar-EG"/>
        </w:rPr>
        <w:tab/>
        <w:t>5</w:t>
      </w:r>
      <w:r w:rsidR="00C30591">
        <w:rPr>
          <w:rFonts w:cs="Traditional Arabic" w:hint="cs"/>
          <w:noProof/>
          <w:sz w:val="18"/>
          <w:rtl/>
          <w:lang w:bidi="ar-EG"/>
        </w:rPr>
        <w:t>8</w:t>
      </w:r>
    </w:p>
    <w:p w:rsidR="006B1C85" w:rsidRDefault="00F37B77" w:rsidP="00C30591">
      <w:pPr>
        <w:tabs>
          <w:tab w:val="left" w:pos="991"/>
          <w:tab w:val="right" w:leader="dot" w:pos="9486"/>
        </w:tabs>
        <w:spacing w:after="120" w:line="320" w:lineRule="exact"/>
        <w:ind w:left="991" w:right="284" w:hanging="991"/>
        <w:jc w:val="both"/>
        <w:rPr>
          <w:rFonts w:cs="Traditional Arabic"/>
          <w:noProof/>
          <w:sz w:val="18"/>
          <w:rtl/>
          <w:lang w:bidi="ar-EG"/>
        </w:rPr>
      </w:pPr>
      <w:hyperlink w:anchor="_Toc440526921" w:history="1">
        <w:r w:rsidR="00335E4B" w:rsidRPr="00C36B71">
          <w:rPr>
            <w:rFonts w:cs="Traditional Arabic"/>
            <w:noProof/>
            <w:sz w:val="18"/>
            <w:rtl/>
            <w:lang w:bidi="ar-EG"/>
          </w:rPr>
          <w:t>الشكل 9-</w:t>
        </w:r>
        <w:r w:rsidR="00C36B71">
          <w:rPr>
            <w:rFonts w:cs="Traditional Arabic" w:hint="cs"/>
            <w:noProof/>
            <w:sz w:val="18"/>
            <w:rtl/>
            <w:lang w:bidi="ar-EG"/>
          </w:rPr>
          <w:tab/>
        </w:r>
        <w:r w:rsidR="00335E4B" w:rsidRPr="00C36B71">
          <w:rPr>
            <w:rFonts w:cs="Traditional Arabic"/>
            <w:noProof/>
            <w:sz w:val="18"/>
            <w:rtl/>
            <w:lang w:bidi="ar-EG"/>
          </w:rPr>
          <w:t>اختبار كفاءة إزالة الزئبق كدالة على معدل حقن الفحم المنشَّط</w:t>
        </w:r>
      </w:hyperlink>
      <w:r w:rsidR="00335E4B" w:rsidRPr="00C36B71">
        <w:rPr>
          <w:rFonts w:cs="Traditional Arabic" w:hint="cs"/>
          <w:noProof/>
          <w:sz w:val="18"/>
          <w:rtl/>
          <w:lang w:bidi="ar-EG"/>
        </w:rPr>
        <w:tab/>
      </w:r>
      <w:r w:rsidR="00C30591">
        <w:rPr>
          <w:rFonts w:cs="Traditional Arabic" w:hint="cs"/>
          <w:noProof/>
          <w:sz w:val="18"/>
          <w:rtl/>
          <w:lang w:bidi="ar-EG"/>
        </w:rPr>
        <w:t>61</w:t>
      </w:r>
    </w:p>
    <w:p w:rsidR="00335E4B" w:rsidRPr="00C36B71" w:rsidRDefault="00F37B77" w:rsidP="00C30591">
      <w:pPr>
        <w:tabs>
          <w:tab w:val="left" w:pos="991"/>
          <w:tab w:val="right" w:leader="dot" w:pos="9486"/>
        </w:tabs>
        <w:spacing w:after="120" w:line="320" w:lineRule="exact"/>
        <w:ind w:left="991" w:right="284" w:hanging="991"/>
        <w:jc w:val="both"/>
        <w:rPr>
          <w:rFonts w:cs="Traditional Arabic"/>
          <w:noProof/>
          <w:sz w:val="18"/>
          <w:rtl/>
          <w:lang w:bidi="ar-EG"/>
        </w:rPr>
      </w:pPr>
      <w:hyperlink w:anchor="_Toc440526923" w:history="1">
        <w:r w:rsidR="00335E4B" w:rsidRPr="00C36B71">
          <w:rPr>
            <w:rFonts w:cs="Traditional Arabic"/>
            <w:noProof/>
            <w:sz w:val="18"/>
            <w:rtl/>
            <w:lang w:bidi="ar-EG"/>
          </w:rPr>
          <w:t>الشكل 10-</w:t>
        </w:r>
        <w:r w:rsidR="00C36B71">
          <w:rPr>
            <w:rFonts w:cs="Traditional Arabic" w:hint="cs"/>
            <w:noProof/>
            <w:sz w:val="18"/>
            <w:rtl/>
            <w:lang w:bidi="ar-EG"/>
          </w:rPr>
          <w:tab/>
        </w:r>
        <w:r w:rsidR="00335E4B" w:rsidRPr="00C36B71">
          <w:rPr>
            <w:rFonts w:cs="Traditional Arabic"/>
            <w:noProof/>
            <w:sz w:val="18"/>
            <w:rtl/>
            <w:lang w:bidi="ar-EG"/>
          </w:rPr>
          <w:t>مقارنة أداء الكربون المنشَّط غير المعالج وأداء الكربون المنشط المعالج في إزالة الزئبق</w:t>
        </w:r>
      </w:hyperlink>
      <w:r w:rsidR="00335E4B" w:rsidRPr="00C36B71">
        <w:rPr>
          <w:rFonts w:cs="Traditional Arabic" w:hint="cs"/>
          <w:noProof/>
          <w:sz w:val="18"/>
          <w:rtl/>
          <w:lang w:bidi="ar-EG"/>
        </w:rPr>
        <w:tab/>
        <w:t>6</w:t>
      </w:r>
      <w:r w:rsidR="00C30591">
        <w:rPr>
          <w:rFonts w:cs="Traditional Arabic" w:hint="cs"/>
          <w:noProof/>
          <w:sz w:val="18"/>
          <w:rtl/>
          <w:lang w:bidi="ar-EG"/>
        </w:rPr>
        <w:t>2</w:t>
      </w:r>
    </w:p>
    <w:p w:rsidR="00335E4B" w:rsidRPr="00C36B71" w:rsidRDefault="00335E4B" w:rsidP="006B1C85">
      <w:pPr>
        <w:tabs>
          <w:tab w:val="right" w:leader="dot" w:pos="9486"/>
        </w:tabs>
        <w:spacing w:before="120" w:after="120" w:line="400" w:lineRule="exact"/>
        <w:jc w:val="both"/>
        <w:rPr>
          <w:rFonts w:cs="Traditional Arabic"/>
          <w:bCs/>
          <w:noProof/>
          <w:sz w:val="18"/>
          <w:rtl/>
          <w:lang w:bidi="ar-EG"/>
        </w:rPr>
      </w:pPr>
      <w:r w:rsidRPr="00C36B71">
        <w:rPr>
          <w:rFonts w:cs="Traditional Arabic"/>
          <w:noProof/>
          <w:sz w:val="18"/>
          <w:lang w:bidi="ar-EG"/>
        </w:rPr>
        <w:fldChar w:fldCharType="end"/>
      </w:r>
      <w:r w:rsidRPr="00C36B71">
        <w:rPr>
          <w:rFonts w:cs="Traditional Arabic" w:hint="cs"/>
          <w:bCs/>
          <w:noProof/>
          <w:sz w:val="18"/>
          <w:rtl/>
        </w:rPr>
        <w:t>قائمة الجداول</w:t>
      </w:r>
      <w:r w:rsidRPr="00C36B71">
        <w:rPr>
          <w:rFonts w:cs="Traditional Arabic"/>
          <w:bCs/>
          <w:noProof/>
          <w:sz w:val="18"/>
          <w:lang w:bidi="ar-EG"/>
        </w:rPr>
        <w:fldChar w:fldCharType="begin"/>
      </w:r>
      <w:r w:rsidRPr="00C36B71">
        <w:rPr>
          <w:rFonts w:cs="Traditional Arabic"/>
          <w:bCs/>
          <w:noProof/>
          <w:sz w:val="18"/>
          <w:lang w:bidi="ar-EG"/>
        </w:rPr>
        <w:instrText xml:space="preserve"> TOC \o "1-3" \h \z \u </w:instrText>
      </w:r>
      <w:r w:rsidRPr="00C36B71">
        <w:rPr>
          <w:rFonts w:cs="Traditional Arabic"/>
          <w:bCs/>
          <w:noProof/>
          <w:sz w:val="18"/>
          <w:lang w:bidi="ar-EG"/>
        </w:rPr>
        <w:fldChar w:fldCharType="separate"/>
      </w:r>
    </w:p>
    <w:p w:rsidR="00335E4B" w:rsidRPr="00C36B71" w:rsidRDefault="00F37B77" w:rsidP="001F4286">
      <w:pPr>
        <w:tabs>
          <w:tab w:val="right" w:leader="dot" w:pos="9486"/>
        </w:tabs>
        <w:spacing w:line="360" w:lineRule="exact"/>
        <w:ind w:left="1132" w:hanging="1134"/>
        <w:jc w:val="both"/>
        <w:rPr>
          <w:rFonts w:cs="Traditional Arabic"/>
          <w:b/>
          <w:noProof/>
          <w:sz w:val="18"/>
          <w:rtl/>
          <w:lang w:bidi="ar-EG"/>
        </w:rPr>
      </w:pPr>
      <w:hyperlink w:anchor="_Toc440527752" w:history="1">
        <w:r w:rsidR="00335E4B" w:rsidRPr="00C36B71">
          <w:rPr>
            <w:rFonts w:cs="Traditional Arabic"/>
            <w:b/>
            <w:noProof/>
            <w:sz w:val="18"/>
            <w:rtl/>
            <w:lang w:bidi="ar-EG"/>
          </w:rPr>
          <w:t>الجدول 1-</w:t>
        </w:r>
        <w:r w:rsidR="00335E4B" w:rsidRPr="00C36B71">
          <w:rPr>
            <w:rFonts w:cs="Traditional Arabic"/>
            <w:b/>
            <w:noProof/>
            <w:sz w:val="18"/>
            <w:rtl/>
            <w:lang w:bidi="ar-EG"/>
          </w:rPr>
          <w:tab/>
          <w:t>محتوى الزئبق في أنواع الفحم (مغ/كغ)</w:t>
        </w:r>
        <w:r w:rsidR="00335E4B" w:rsidRPr="00C36B71">
          <w:rPr>
            <w:rFonts w:cs="Traditional Arabic"/>
            <w:b/>
            <w:noProof/>
            <w:webHidden/>
            <w:sz w:val="18"/>
            <w:rtl/>
            <w:lang w:bidi="ar-EG"/>
          </w:rPr>
          <w:tab/>
        </w:r>
        <w:r w:rsidR="001F4286">
          <w:rPr>
            <w:rFonts w:cs="Traditional Arabic" w:hint="cs"/>
            <w:b/>
            <w:noProof/>
            <w:webHidden/>
            <w:sz w:val="18"/>
            <w:rtl/>
            <w:lang w:bidi="ar-EG"/>
          </w:rPr>
          <w:t>40</w:t>
        </w:r>
      </w:hyperlink>
    </w:p>
    <w:p w:rsidR="00335E4B" w:rsidRPr="00C36B71" w:rsidRDefault="00C034D6" w:rsidP="00C30591">
      <w:pPr>
        <w:tabs>
          <w:tab w:val="right" w:leader="dot" w:pos="9486"/>
        </w:tabs>
        <w:spacing w:line="360" w:lineRule="exact"/>
        <w:ind w:left="1132" w:hanging="1134"/>
        <w:jc w:val="both"/>
        <w:rPr>
          <w:rFonts w:cs="Traditional Arabic"/>
          <w:b/>
          <w:noProof/>
          <w:sz w:val="18"/>
          <w:rtl/>
          <w:lang w:bidi="ar-EG"/>
        </w:rPr>
      </w:pPr>
      <w:hyperlink w:anchor="_Toc440527758" w:history="1">
        <w:r w:rsidR="00335E4B" w:rsidRPr="00C36B71">
          <w:rPr>
            <w:rFonts w:cs="Traditional Arabic"/>
            <w:b/>
            <w:noProof/>
            <w:sz w:val="18"/>
            <w:rtl/>
            <w:lang w:bidi="ar-EG"/>
          </w:rPr>
          <w:t>الجدول 2-</w:t>
        </w:r>
        <w:r w:rsidR="00335E4B" w:rsidRPr="00C36B71">
          <w:rPr>
            <w:rFonts w:cs="Traditional Arabic"/>
            <w:b/>
            <w:noProof/>
            <w:sz w:val="18"/>
            <w:rtl/>
            <w:lang w:bidi="ar-EG"/>
          </w:rPr>
          <w:tab/>
          <w:t>نظرة عامة على المنافع المشتركة لإزالة الزئبق في نُظم ضبط تلوث الهواء</w:t>
        </w:r>
        <w:r w:rsidR="00335E4B" w:rsidRPr="00C36B71">
          <w:rPr>
            <w:rFonts w:cs="Traditional Arabic"/>
            <w:b/>
            <w:noProof/>
            <w:webHidden/>
            <w:sz w:val="18"/>
            <w:rtl/>
            <w:lang w:bidi="ar-EG"/>
          </w:rPr>
          <w:tab/>
        </w:r>
        <w:r w:rsidR="00335E4B" w:rsidRPr="00C36B71">
          <w:rPr>
            <w:rFonts w:cs="Traditional Arabic"/>
            <w:b/>
            <w:noProof/>
            <w:webHidden/>
            <w:sz w:val="18"/>
            <w:rtl/>
            <w:lang w:bidi="ar-EG"/>
          </w:rPr>
          <w:fldChar w:fldCharType="begin"/>
        </w:r>
        <w:r w:rsidR="00335E4B" w:rsidRPr="00C36B71">
          <w:rPr>
            <w:rFonts w:cs="Traditional Arabic"/>
            <w:b/>
            <w:noProof/>
            <w:webHidden/>
            <w:sz w:val="18"/>
            <w:rtl/>
            <w:lang w:bidi="ar-EG"/>
          </w:rPr>
          <w:instrText xml:space="preserve"> </w:instrText>
        </w:r>
        <w:r w:rsidR="00335E4B" w:rsidRPr="00C36B71">
          <w:rPr>
            <w:rFonts w:cs="Traditional Arabic"/>
            <w:b/>
            <w:noProof/>
            <w:webHidden/>
            <w:sz w:val="18"/>
            <w:lang w:bidi="ar-EG"/>
          </w:rPr>
          <w:instrText>PAGEREF</w:instrText>
        </w:r>
        <w:r w:rsidR="00335E4B" w:rsidRPr="00C36B71">
          <w:rPr>
            <w:rFonts w:cs="Traditional Arabic"/>
            <w:b/>
            <w:noProof/>
            <w:webHidden/>
            <w:sz w:val="18"/>
            <w:rtl/>
            <w:lang w:bidi="ar-EG"/>
          </w:rPr>
          <w:instrText xml:space="preserve"> _</w:instrText>
        </w:r>
        <w:r w:rsidR="00335E4B" w:rsidRPr="00C36B71">
          <w:rPr>
            <w:rFonts w:cs="Traditional Arabic"/>
            <w:b/>
            <w:noProof/>
            <w:webHidden/>
            <w:sz w:val="18"/>
            <w:lang w:bidi="ar-EG"/>
          </w:rPr>
          <w:instrText>Toc440527758 \h</w:instrText>
        </w:r>
        <w:r w:rsidR="00335E4B" w:rsidRPr="00C36B71">
          <w:rPr>
            <w:rFonts w:cs="Traditional Arabic"/>
            <w:b/>
            <w:noProof/>
            <w:webHidden/>
            <w:sz w:val="18"/>
            <w:rtl/>
            <w:lang w:bidi="ar-EG"/>
          </w:rPr>
          <w:instrText xml:space="preserve"> </w:instrText>
        </w:r>
        <w:r w:rsidR="00335E4B" w:rsidRPr="00C36B71">
          <w:rPr>
            <w:rFonts w:cs="Traditional Arabic"/>
            <w:b/>
            <w:noProof/>
            <w:webHidden/>
            <w:sz w:val="18"/>
            <w:rtl/>
            <w:lang w:bidi="ar-EG"/>
          </w:rPr>
        </w:r>
        <w:r w:rsidR="00335E4B" w:rsidRPr="00C36B71">
          <w:rPr>
            <w:rFonts w:cs="Traditional Arabic"/>
            <w:b/>
            <w:noProof/>
            <w:webHidden/>
            <w:sz w:val="18"/>
            <w:rtl/>
            <w:lang w:bidi="ar-EG"/>
          </w:rPr>
          <w:fldChar w:fldCharType="separate"/>
        </w:r>
        <w:r>
          <w:rPr>
            <w:rFonts w:cs="Traditional Arabic"/>
            <w:b/>
            <w:noProof/>
            <w:webHidden/>
            <w:sz w:val="18"/>
            <w:rtl/>
            <w:lang w:bidi="ar-EG"/>
          </w:rPr>
          <w:t>45</w:t>
        </w:r>
        <w:r w:rsidR="00335E4B" w:rsidRPr="00C36B71">
          <w:rPr>
            <w:rFonts w:cs="Traditional Arabic"/>
            <w:b/>
            <w:noProof/>
            <w:webHidden/>
            <w:sz w:val="18"/>
            <w:rtl/>
            <w:lang w:bidi="ar-EG"/>
          </w:rPr>
          <w:fldChar w:fldCharType="end"/>
        </w:r>
      </w:hyperlink>
    </w:p>
    <w:p w:rsidR="00335E4B" w:rsidRPr="00C36B71" w:rsidRDefault="00C034D6" w:rsidP="00C30591">
      <w:pPr>
        <w:tabs>
          <w:tab w:val="right" w:leader="dot" w:pos="9496"/>
        </w:tabs>
        <w:spacing w:line="360" w:lineRule="exact"/>
        <w:ind w:left="1132" w:right="284" w:hanging="1134"/>
        <w:jc w:val="both"/>
        <w:rPr>
          <w:rFonts w:cs="Traditional Arabic"/>
          <w:b/>
          <w:noProof/>
          <w:sz w:val="18"/>
          <w:rtl/>
          <w:lang w:bidi="ar-EG"/>
        </w:rPr>
      </w:pPr>
      <w:hyperlink w:anchor="_Toc440527760" w:history="1">
        <w:r w:rsidR="00335E4B" w:rsidRPr="00C36B71">
          <w:rPr>
            <w:rFonts w:cs="Traditional Arabic"/>
            <w:b/>
            <w:noProof/>
            <w:sz w:val="18"/>
            <w:rtl/>
            <w:lang w:bidi="ar-EG"/>
          </w:rPr>
          <w:t>الجدول 3-</w:t>
        </w:r>
        <w:r w:rsidR="00335E4B" w:rsidRPr="00C36B71">
          <w:rPr>
            <w:rFonts w:cs="Traditional Arabic"/>
            <w:b/>
            <w:noProof/>
            <w:sz w:val="18"/>
            <w:rtl/>
            <w:lang w:bidi="ar-EG"/>
          </w:rPr>
          <w:tab/>
          <w:t>كفاءة إزالة الزئبق حسب المجموعات النمطية لأجهزة ضبط تلوث الهواء في الصين (بالنسب المئوية)</w:t>
        </w:r>
        <w:r w:rsidR="006B1C85">
          <w:rPr>
            <w:rFonts w:cs="Traditional Arabic" w:hint="cs"/>
            <w:b/>
            <w:noProof/>
            <w:sz w:val="18"/>
            <w:rtl/>
            <w:lang w:bidi="ar-EG"/>
          </w:rPr>
          <w:t xml:space="preserve"> </w:t>
        </w:r>
        <w:r w:rsidR="00335E4B" w:rsidRPr="00C36B71">
          <w:rPr>
            <w:rFonts w:cs="Traditional Arabic"/>
            <w:b/>
            <w:noProof/>
            <w:sz w:val="18"/>
            <w:rtl/>
            <w:lang w:bidi="ar-EG"/>
          </w:rPr>
          <w:t>جانغ وآخرون، 2015)</w:t>
        </w:r>
        <w:r w:rsidR="00335E4B" w:rsidRPr="00C36B71">
          <w:rPr>
            <w:rFonts w:cs="Traditional Arabic"/>
            <w:b/>
            <w:noProof/>
            <w:webHidden/>
            <w:sz w:val="18"/>
            <w:rtl/>
            <w:lang w:bidi="ar-EG"/>
          </w:rPr>
          <w:tab/>
        </w:r>
        <w:r w:rsidR="00335E4B" w:rsidRPr="00C36B71">
          <w:rPr>
            <w:rFonts w:cs="Traditional Arabic"/>
            <w:b/>
            <w:noProof/>
            <w:webHidden/>
            <w:sz w:val="18"/>
            <w:rtl/>
            <w:lang w:bidi="ar-EG"/>
          </w:rPr>
          <w:fldChar w:fldCharType="begin"/>
        </w:r>
        <w:r w:rsidR="00335E4B" w:rsidRPr="00C36B71">
          <w:rPr>
            <w:rFonts w:cs="Traditional Arabic"/>
            <w:b/>
            <w:noProof/>
            <w:webHidden/>
            <w:sz w:val="18"/>
            <w:rtl/>
            <w:lang w:bidi="ar-EG"/>
          </w:rPr>
          <w:instrText xml:space="preserve"> </w:instrText>
        </w:r>
        <w:r w:rsidR="00335E4B" w:rsidRPr="00C36B71">
          <w:rPr>
            <w:rFonts w:cs="Traditional Arabic"/>
            <w:b/>
            <w:noProof/>
            <w:webHidden/>
            <w:sz w:val="18"/>
            <w:lang w:bidi="ar-EG"/>
          </w:rPr>
          <w:instrText>PAGEREF</w:instrText>
        </w:r>
        <w:r w:rsidR="00335E4B" w:rsidRPr="00C36B71">
          <w:rPr>
            <w:rFonts w:cs="Traditional Arabic"/>
            <w:b/>
            <w:noProof/>
            <w:webHidden/>
            <w:sz w:val="18"/>
            <w:rtl/>
            <w:lang w:bidi="ar-EG"/>
          </w:rPr>
          <w:instrText xml:space="preserve"> _</w:instrText>
        </w:r>
        <w:r w:rsidR="00335E4B" w:rsidRPr="00C36B71">
          <w:rPr>
            <w:rFonts w:cs="Traditional Arabic"/>
            <w:b/>
            <w:noProof/>
            <w:webHidden/>
            <w:sz w:val="18"/>
            <w:lang w:bidi="ar-EG"/>
          </w:rPr>
          <w:instrText>Toc440527760 \h</w:instrText>
        </w:r>
        <w:r w:rsidR="00335E4B" w:rsidRPr="00C36B71">
          <w:rPr>
            <w:rFonts w:cs="Traditional Arabic"/>
            <w:b/>
            <w:noProof/>
            <w:webHidden/>
            <w:sz w:val="18"/>
            <w:rtl/>
            <w:lang w:bidi="ar-EG"/>
          </w:rPr>
          <w:instrText xml:space="preserve"> </w:instrText>
        </w:r>
        <w:r w:rsidR="00335E4B" w:rsidRPr="00C36B71">
          <w:rPr>
            <w:rFonts w:cs="Traditional Arabic"/>
            <w:b/>
            <w:noProof/>
            <w:webHidden/>
            <w:sz w:val="18"/>
            <w:rtl/>
            <w:lang w:bidi="ar-EG"/>
          </w:rPr>
        </w:r>
        <w:r w:rsidR="00335E4B" w:rsidRPr="00C36B71">
          <w:rPr>
            <w:rFonts w:cs="Traditional Arabic"/>
            <w:b/>
            <w:noProof/>
            <w:webHidden/>
            <w:sz w:val="18"/>
            <w:rtl/>
            <w:lang w:bidi="ar-EG"/>
          </w:rPr>
          <w:fldChar w:fldCharType="separate"/>
        </w:r>
        <w:r>
          <w:rPr>
            <w:rFonts w:cs="Traditional Arabic"/>
            <w:b/>
            <w:noProof/>
            <w:webHidden/>
            <w:sz w:val="18"/>
            <w:rtl/>
            <w:lang w:bidi="ar-EG"/>
          </w:rPr>
          <w:t>48</w:t>
        </w:r>
        <w:r w:rsidR="00335E4B" w:rsidRPr="00C36B71">
          <w:rPr>
            <w:rFonts w:cs="Traditional Arabic"/>
            <w:b/>
            <w:noProof/>
            <w:webHidden/>
            <w:sz w:val="18"/>
            <w:rtl/>
            <w:lang w:bidi="ar-EG"/>
          </w:rPr>
          <w:fldChar w:fldCharType="end"/>
        </w:r>
      </w:hyperlink>
    </w:p>
    <w:p w:rsidR="00335E4B" w:rsidRPr="00C36B71" w:rsidRDefault="00F37B77" w:rsidP="00C30591">
      <w:pPr>
        <w:tabs>
          <w:tab w:val="right" w:leader="dot" w:pos="9486"/>
        </w:tabs>
        <w:spacing w:line="360" w:lineRule="exact"/>
        <w:ind w:left="1132" w:hanging="1134"/>
        <w:jc w:val="both"/>
        <w:rPr>
          <w:rFonts w:cs="Traditional Arabic"/>
          <w:b/>
          <w:noProof/>
          <w:sz w:val="18"/>
          <w:rtl/>
          <w:lang w:bidi="ar-EG"/>
        </w:rPr>
      </w:pPr>
      <w:hyperlink w:anchor="_Toc440527761" w:history="1">
        <w:r w:rsidR="00335E4B" w:rsidRPr="00C36B71">
          <w:rPr>
            <w:rFonts w:cs="Traditional Arabic"/>
            <w:b/>
            <w:noProof/>
            <w:sz w:val="18"/>
            <w:rtl/>
            <w:lang w:bidi="ar-EG"/>
          </w:rPr>
          <w:t>الجدول 4-</w:t>
        </w:r>
        <w:r w:rsidR="00335E4B" w:rsidRPr="00C36B71">
          <w:rPr>
            <w:rFonts w:cs="Traditional Arabic"/>
            <w:b/>
            <w:noProof/>
            <w:sz w:val="18"/>
            <w:rtl/>
            <w:lang w:bidi="ar-EG"/>
          </w:rPr>
          <w:tab/>
          <w:t>مستويات الانبعاثات المتحققة من خلال تقنيات المنافع المشتركة (بيانات جمعها الفريق العامل للزئبق الصفري، 2015)</w:t>
        </w:r>
        <w:r w:rsidR="00335E4B" w:rsidRPr="00C36B71">
          <w:rPr>
            <w:rFonts w:cs="Traditional Arabic"/>
            <w:b/>
            <w:noProof/>
            <w:webHidden/>
            <w:sz w:val="18"/>
            <w:rtl/>
            <w:lang w:bidi="ar-EG"/>
          </w:rPr>
          <w:tab/>
        </w:r>
        <w:r w:rsidR="00C30591">
          <w:rPr>
            <w:rFonts w:cs="Traditional Arabic" w:hint="cs"/>
            <w:b/>
            <w:noProof/>
            <w:webHidden/>
            <w:sz w:val="18"/>
            <w:rtl/>
            <w:lang w:bidi="ar-EG"/>
          </w:rPr>
          <w:t>48</w:t>
        </w:r>
      </w:hyperlink>
    </w:p>
    <w:p w:rsidR="00335E4B" w:rsidRPr="00C36B71" w:rsidRDefault="00C034D6" w:rsidP="00C30591">
      <w:pPr>
        <w:tabs>
          <w:tab w:val="right" w:leader="dot" w:pos="9486"/>
        </w:tabs>
        <w:spacing w:line="360" w:lineRule="exact"/>
        <w:ind w:left="1132" w:hanging="1134"/>
        <w:jc w:val="both"/>
        <w:rPr>
          <w:rFonts w:cs="Traditional Arabic"/>
          <w:b/>
          <w:noProof/>
          <w:sz w:val="18"/>
          <w:rtl/>
          <w:lang w:bidi="ar-EG"/>
        </w:rPr>
      </w:pPr>
      <w:hyperlink w:anchor="_Toc440527768" w:history="1">
        <w:r w:rsidR="00335E4B" w:rsidRPr="00C36B71">
          <w:rPr>
            <w:rFonts w:cs="Traditional Arabic"/>
            <w:b/>
            <w:noProof/>
            <w:sz w:val="18"/>
            <w:rtl/>
            <w:lang w:bidi="ar-EG"/>
          </w:rPr>
          <w:t>الجدول 5-</w:t>
        </w:r>
        <w:r w:rsidR="00335E4B" w:rsidRPr="00C36B71">
          <w:rPr>
            <w:rFonts w:cs="Traditional Arabic"/>
            <w:b/>
            <w:noProof/>
            <w:sz w:val="18"/>
            <w:rtl/>
            <w:lang w:bidi="ar-EG"/>
          </w:rPr>
          <w:tab/>
          <w:t>مقارنة خصائص الفحم دون القيري والفحم القيري</w:t>
        </w:r>
        <w:r w:rsidR="00335E4B" w:rsidRPr="00C36B71">
          <w:rPr>
            <w:rFonts w:cs="Traditional Arabic"/>
            <w:b/>
            <w:noProof/>
            <w:webHidden/>
            <w:sz w:val="18"/>
            <w:rtl/>
            <w:lang w:bidi="ar-EG"/>
          </w:rPr>
          <w:tab/>
        </w:r>
        <w:r w:rsidR="00335E4B" w:rsidRPr="00C36B71">
          <w:rPr>
            <w:rFonts w:cs="Traditional Arabic"/>
            <w:b/>
            <w:noProof/>
            <w:webHidden/>
            <w:sz w:val="18"/>
            <w:rtl/>
            <w:lang w:bidi="ar-EG"/>
          </w:rPr>
          <w:fldChar w:fldCharType="begin"/>
        </w:r>
        <w:r w:rsidR="00335E4B" w:rsidRPr="00C36B71">
          <w:rPr>
            <w:rFonts w:cs="Traditional Arabic"/>
            <w:b/>
            <w:noProof/>
            <w:webHidden/>
            <w:sz w:val="18"/>
            <w:rtl/>
            <w:lang w:bidi="ar-EG"/>
          </w:rPr>
          <w:instrText xml:space="preserve"> </w:instrText>
        </w:r>
        <w:r w:rsidR="00335E4B" w:rsidRPr="00C36B71">
          <w:rPr>
            <w:rFonts w:cs="Traditional Arabic"/>
            <w:b/>
            <w:noProof/>
            <w:webHidden/>
            <w:sz w:val="18"/>
            <w:lang w:bidi="ar-EG"/>
          </w:rPr>
          <w:instrText>PAGEREF</w:instrText>
        </w:r>
        <w:r w:rsidR="00335E4B" w:rsidRPr="00C36B71">
          <w:rPr>
            <w:rFonts w:cs="Traditional Arabic"/>
            <w:b/>
            <w:noProof/>
            <w:webHidden/>
            <w:sz w:val="18"/>
            <w:rtl/>
            <w:lang w:bidi="ar-EG"/>
          </w:rPr>
          <w:instrText xml:space="preserve"> _</w:instrText>
        </w:r>
        <w:r w:rsidR="00335E4B" w:rsidRPr="00C36B71">
          <w:rPr>
            <w:rFonts w:cs="Traditional Arabic"/>
            <w:b/>
            <w:noProof/>
            <w:webHidden/>
            <w:sz w:val="18"/>
            <w:lang w:bidi="ar-EG"/>
          </w:rPr>
          <w:instrText>Toc440527768 \h</w:instrText>
        </w:r>
        <w:r w:rsidR="00335E4B" w:rsidRPr="00C36B71">
          <w:rPr>
            <w:rFonts w:cs="Traditional Arabic"/>
            <w:b/>
            <w:noProof/>
            <w:webHidden/>
            <w:sz w:val="18"/>
            <w:rtl/>
            <w:lang w:bidi="ar-EG"/>
          </w:rPr>
          <w:instrText xml:space="preserve"> </w:instrText>
        </w:r>
        <w:r w:rsidR="00335E4B" w:rsidRPr="00C36B71">
          <w:rPr>
            <w:rFonts w:cs="Traditional Arabic"/>
            <w:b/>
            <w:noProof/>
            <w:webHidden/>
            <w:sz w:val="18"/>
            <w:rtl/>
            <w:lang w:bidi="ar-EG"/>
          </w:rPr>
        </w:r>
        <w:r w:rsidR="00335E4B" w:rsidRPr="00C36B71">
          <w:rPr>
            <w:rFonts w:cs="Traditional Arabic"/>
            <w:b/>
            <w:noProof/>
            <w:webHidden/>
            <w:sz w:val="18"/>
            <w:rtl/>
            <w:lang w:bidi="ar-EG"/>
          </w:rPr>
          <w:fldChar w:fldCharType="separate"/>
        </w:r>
        <w:r>
          <w:rPr>
            <w:rFonts w:cs="Traditional Arabic"/>
            <w:b/>
            <w:noProof/>
            <w:webHidden/>
            <w:sz w:val="18"/>
            <w:rtl/>
            <w:lang w:bidi="ar-EG"/>
          </w:rPr>
          <w:t>55</w:t>
        </w:r>
        <w:r w:rsidR="00335E4B" w:rsidRPr="00C36B71">
          <w:rPr>
            <w:rFonts w:cs="Traditional Arabic"/>
            <w:b/>
            <w:noProof/>
            <w:webHidden/>
            <w:sz w:val="18"/>
            <w:rtl/>
            <w:lang w:bidi="ar-EG"/>
          </w:rPr>
          <w:fldChar w:fldCharType="end"/>
        </w:r>
      </w:hyperlink>
    </w:p>
    <w:p w:rsidR="00335E4B" w:rsidRPr="00C36B71" w:rsidRDefault="00C034D6" w:rsidP="00C30591">
      <w:pPr>
        <w:tabs>
          <w:tab w:val="right" w:leader="dot" w:pos="9486"/>
        </w:tabs>
        <w:spacing w:line="360" w:lineRule="exact"/>
        <w:ind w:left="1132" w:hanging="1134"/>
        <w:jc w:val="both"/>
        <w:rPr>
          <w:rFonts w:cs="Traditional Arabic"/>
          <w:b/>
          <w:noProof/>
          <w:sz w:val="18"/>
          <w:rtl/>
          <w:lang w:bidi="ar-EG"/>
        </w:rPr>
      </w:pPr>
      <w:hyperlink w:anchor="_Toc440527776" w:history="1">
        <w:r w:rsidR="00335E4B" w:rsidRPr="00C36B71">
          <w:rPr>
            <w:rFonts w:cs="Traditional Arabic"/>
            <w:b/>
            <w:noProof/>
            <w:sz w:val="18"/>
            <w:rtl/>
            <w:lang w:bidi="ar-EG"/>
          </w:rPr>
          <w:t>الجدول 6-</w:t>
        </w:r>
        <w:r w:rsidR="00335E4B" w:rsidRPr="00C36B71">
          <w:rPr>
            <w:rFonts w:cs="Traditional Arabic"/>
            <w:b/>
            <w:noProof/>
            <w:sz w:val="18"/>
            <w:rtl/>
            <w:lang w:bidi="ar-EG"/>
          </w:rPr>
          <w:tab/>
          <w:t>مستويات انبعاثات منشآت الطاقة العاملة بحرق الفحم التي تُطبِّق حقن الكربون المنشّط</w:t>
        </w:r>
        <w:r w:rsidR="00335E4B" w:rsidRPr="00C36B71">
          <w:rPr>
            <w:rFonts w:cs="Traditional Arabic"/>
            <w:b/>
            <w:noProof/>
            <w:webHidden/>
            <w:sz w:val="18"/>
            <w:rtl/>
            <w:lang w:bidi="ar-EG"/>
          </w:rPr>
          <w:tab/>
        </w:r>
        <w:r w:rsidR="00335E4B" w:rsidRPr="00C36B71">
          <w:rPr>
            <w:rFonts w:cs="Traditional Arabic"/>
            <w:b/>
            <w:noProof/>
            <w:webHidden/>
            <w:sz w:val="18"/>
            <w:rtl/>
            <w:lang w:bidi="ar-EG"/>
          </w:rPr>
          <w:fldChar w:fldCharType="begin"/>
        </w:r>
        <w:r w:rsidR="00335E4B" w:rsidRPr="00C36B71">
          <w:rPr>
            <w:rFonts w:cs="Traditional Arabic"/>
            <w:b/>
            <w:noProof/>
            <w:webHidden/>
            <w:sz w:val="18"/>
            <w:rtl/>
            <w:lang w:bidi="ar-EG"/>
          </w:rPr>
          <w:instrText xml:space="preserve"> </w:instrText>
        </w:r>
        <w:r w:rsidR="00335E4B" w:rsidRPr="00C36B71">
          <w:rPr>
            <w:rFonts w:cs="Traditional Arabic"/>
            <w:b/>
            <w:noProof/>
            <w:webHidden/>
            <w:sz w:val="18"/>
            <w:lang w:bidi="ar-EG"/>
          </w:rPr>
          <w:instrText>PAGEREF</w:instrText>
        </w:r>
        <w:r w:rsidR="00335E4B" w:rsidRPr="00C36B71">
          <w:rPr>
            <w:rFonts w:cs="Traditional Arabic"/>
            <w:b/>
            <w:noProof/>
            <w:webHidden/>
            <w:sz w:val="18"/>
            <w:rtl/>
            <w:lang w:bidi="ar-EG"/>
          </w:rPr>
          <w:instrText xml:space="preserve"> _</w:instrText>
        </w:r>
        <w:r w:rsidR="00335E4B" w:rsidRPr="00C36B71">
          <w:rPr>
            <w:rFonts w:cs="Traditional Arabic"/>
            <w:b/>
            <w:noProof/>
            <w:webHidden/>
            <w:sz w:val="18"/>
            <w:lang w:bidi="ar-EG"/>
          </w:rPr>
          <w:instrText>Toc440527776 \h</w:instrText>
        </w:r>
        <w:r w:rsidR="00335E4B" w:rsidRPr="00C36B71">
          <w:rPr>
            <w:rFonts w:cs="Traditional Arabic"/>
            <w:b/>
            <w:noProof/>
            <w:webHidden/>
            <w:sz w:val="18"/>
            <w:rtl/>
            <w:lang w:bidi="ar-EG"/>
          </w:rPr>
          <w:instrText xml:space="preserve"> </w:instrText>
        </w:r>
        <w:r w:rsidR="00335E4B" w:rsidRPr="00C36B71">
          <w:rPr>
            <w:rFonts w:cs="Traditional Arabic"/>
            <w:b/>
            <w:noProof/>
            <w:webHidden/>
            <w:sz w:val="18"/>
            <w:rtl/>
            <w:lang w:bidi="ar-EG"/>
          </w:rPr>
        </w:r>
        <w:r w:rsidR="00335E4B" w:rsidRPr="00C36B71">
          <w:rPr>
            <w:rFonts w:cs="Traditional Arabic"/>
            <w:b/>
            <w:noProof/>
            <w:webHidden/>
            <w:sz w:val="18"/>
            <w:rtl/>
            <w:lang w:bidi="ar-EG"/>
          </w:rPr>
          <w:fldChar w:fldCharType="separate"/>
        </w:r>
        <w:r>
          <w:rPr>
            <w:rFonts w:cs="Traditional Arabic"/>
            <w:b/>
            <w:noProof/>
            <w:webHidden/>
            <w:sz w:val="18"/>
            <w:rtl/>
            <w:lang w:bidi="ar-EG"/>
          </w:rPr>
          <w:t>60</w:t>
        </w:r>
        <w:r w:rsidR="00335E4B" w:rsidRPr="00C36B71">
          <w:rPr>
            <w:rFonts w:cs="Traditional Arabic"/>
            <w:b/>
            <w:noProof/>
            <w:webHidden/>
            <w:sz w:val="18"/>
            <w:rtl/>
            <w:lang w:bidi="ar-EG"/>
          </w:rPr>
          <w:fldChar w:fldCharType="end"/>
        </w:r>
      </w:hyperlink>
    </w:p>
    <w:p w:rsidR="006B1C85" w:rsidRDefault="00C034D6" w:rsidP="00C30591">
      <w:pPr>
        <w:tabs>
          <w:tab w:val="right" w:leader="dot" w:pos="9486"/>
        </w:tabs>
        <w:spacing w:line="360" w:lineRule="exact"/>
        <w:ind w:left="1132" w:right="284" w:hanging="1134"/>
        <w:jc w:val="both"/>
        <w:rPr>
          <w:rFonts w:cs="Traditional Arabic"/>
          <w:b/>
          <w:noProof/>
          <w:sz w:val="18"/>
          <w:rtl/>
          <w:lang w:bidi="ar-EG"/>
        </w:rPr>
      </w:pPr>
      <w:hyperlink w:anchor="_Toc440527784" w:history="1">
        <w:r w:rsidR="00335E4B" w:rsidRPr="00C36B71">
          <w:rPr>
            <w:rFonts w:cs="Traditional Arabic"/>
            <w:b/>
            <w:noProof/>
            <w:sz w:val="18"/>
            <w:rtl/>
            <w:lang w:bidi="ar-EG"/>
          </w:rPr>
          <w:t>الجدول 7-</w:t>
        </w:r>
        <w:r w:rsidR="00335E4B" w:rsidRPr="00C36B71">
          <w:rPr>
            <w:rFonts w:cs="Traditional Arabic"/>
            <w:b/>
            <w:noProof/>
            <w:sz w:val="18"/>
            <w:rtl/>
            <w:lang w:bidi="ar-EG"/>
          </w:rPr>
          <w:tab/>
          <w:t>تكاليف أجهزة ضبط تلوث الهواء في منشآت الطاقة (يوان/كيلوواط، يوان 2010)،</w:t>
        </w:r>
        <w:r w:rsidR="006B1C85">
          <w:rPr>
            <w:rFonts w:cs="Traditional Arabic" w:hint="cs"/>
            <w:b/>
            <w:noProof/>
            <w:sz w:val="18"/>
            <w:rtl/>
            <w:lang w:bidi="ar-EG"/>
          </w:rPr>
          <w:t xml:space="preserve"> </w:t>
        </w:r>
        <w:r w:rsidR="00335E4B" w:rsidRPr="00C36B71">
          <w:rPr>
            <w:rFonts w:cs="Traditional Arabic"/>
            <w:b/>
            <w:noProof/>
            <w:sz w:val="18"/>
            <w:rtl/>
            <w:lang w:bidi="ar-EG"/>
          </w:rPr>
          <w:t xml:space="preserve"> الصين (أنكورا وآخرون، 2015)</w:t>
        </w:r>
        <w:r w:rsidR="00335E4B" w:rsidRPr="00C36B71">
          <w:rPr>
            <w:rFonts w:cs="Traditional Arabic"/>
            <w:b/>
            <w:noProof/>
            <w:webHidden/>
            <w:sz w:val="18"/>
            <w:rtl/>
            <w:lang w:bidi="ar-EG"/>
          </w:rPr>
          <w:tab/>
        </w:r>
        <w:r w:rsidR="00335E4B" w:rsidRPr="00C36B71">
          <w:rPr>
            <w:rFonts w:cs="Traditional Arabic"/>
            <w:b/>
            <w:noProof/>
            <w:webHidden/>
            <w:sz w:val="18"/>
            <w:rtl/>
            <w:lang w:bidi="ar-EG"/>
          </w:rPr>
          <w:fldChar w:fldCharType="begin"/>
        </w:r>
        <w:r w:rsidR="00335E4B" w:rsidRPr="00C36B71">
          <w:rPr>
            <w:rFonts w:cs="Traditional Arabic"/>
            <w:b/>
            <w:noProof/>
            <w:webHidden/>
            <w:sz w:val="18"/>
            <w:rtl/>
            <w:lang w:bidi="ar-EG"/>
          </w:rPr>
          <w:instrText xml:space="preserve"> </w:instrText>
        </w:r>
        <w:r w:rsidR="00335E4B" w:rsidRPr="00C36B71">
          <w:rPr>
            <w:rFonts w:cs="Traditional Arabic"/>
            <w:b/>
            <w:noProof/>
            <w:webHidden/>
            <w:sz w:val="18"/>
            <w:lang w:bidi="ar-EG"/>
          </w:rPr>
          <w:instrText>PAGEREF</w:instrText>
        </w:r>
        <w:r w:rsidR="00335E4B" w:rsidRPr="00C36B71">
          <w:rPr>
            <w:rFonts w:cs="Traditional Arabic"/>
            <w:b/>
            <w:noProof/>
            <w:webHidden/>
            <w:sz w:val="18"/>
            <w:rtl/>
            <w:lang w:bidi="ar-EG"/>
          </w:rPr>
          <w:instrText xml:space="preserve"> _</w:instrText>
        </w:r>
        <w:r w:rsidR="00335E4B" w:rsidRPr="00C36B71">
          <w:rPr>
            <w:rFonts w:cs="Traditional Arabic"/>
            <w:b/>
            <w:noProof/>
            <w:webHidden/>
            <w:sz w:val="18"/>
            <w:lang w:bidi="ar-EG"/>
          </w:rPr>
          <w:instrText>Toc440527784 \h</w:instrText>
        </w:r>
        <w:r w:rsidR="00335E4B" w:rsidRPr="00C36B71">
          <w:rPr>
            <w:rFonts w:cs="Traditional Arabic"/>
            <w:b/>
            <w:noProof/>
            <w:webHidden/>
            <w:sz w:val="18"/>
            <w:rtl/>
            <w:lang w:bidi="ar-EG"/>
          </w:rPr>
          <w:instrText xml:space="preserve"> </w:instrText>
        </w:r>
        <w:r w:rsidR="00335E4B" w:rsidRPr="00C36B71">
          <w:rPr>
            <w:rFonts w:cs="Traditional Arabic"/>
            <w:b/>
            <w:noProof/>
            <w:webHidden/>
            <w:sz w:val="18"/>
            <w:rtl/>
            <w:lang w:bidi="ar-EG"/>
          </w:rPr>
        </w:r>
        <w:r w:rsidR="00335E4B" w:rsidRPr="00C36B71">
          <w:rPr>
            <w:rFonts w:cs="Traditional Arabic"/>
            <w:b/>
            <w:noProof/>
            <w:webHidden/>
            <w:sz w:val="18"/>
            <w:rtl/>
            <w:lang w:bidi="ar-EG"/>
          </w:rPr>
          <w:fldChar w:fldCharType="separate"/>
        </w:r>
        <w:r>
          <w:rPr>
            <w:rFonts w:cs="Traditional Arabic"/>
            <w:b/>
            <w:noProof/>
            <w:webHidden/>
            <w:sz w:val="18"/>
            <w:rtl/>
            <w:lang w:bidi="ar-EG"/>
          </w:rPr>
          <w:t>65</w:t>
        </w:r>
        <w:r w:rsidR="00335E4B" w:rsidRPr="00C36B71">
          <w:rPr>
            <w:rFonts w:cs="Traditional Arabic"/>
            <w:b/>
            <w:noProof/>
            <w:webHidden/>
            <w:sz w:val="18"/>
            <w:rtl/>
            <w:lang w:bidi="ar-EG"/>
          </w:rPr>
          <w:fldChar w:fldCharType="end"/>
        </w:r>
      </w:hyperlink>
    </w:p>
    <w:p w:rsidR="006B1C85" w:rsidRDefault="00C034D6" w:rsidP="00C30591">
      <w:pPr>
        <w:tabs>
          <w:tab w:val="right" w:leader="dot" w:pos="9486"/>
        </w:tabs>
        <w:spacing w:line="360" w:lineRule="exact"/>
        <w:ind w:left="1132" w:right="284" w:hanging="1134"/>
        <w:jc w:val="both"/>
        <w:rPr>
          <w:rFonts w:cs="Traditional Arabic"/>
          <w:b/>
          <w:noProof/>
          <w:sz w:val="18"/>
          <w:rtl/>
          <w:lang w:bidi="ar-EG"/>
        </w:rPr>
      </w:pPr>
      <w:hyperlink w:anchor="_Toc440527785" w:history="1">
        <w:r w:rsidR="00335E4B" w:rsidRPr="00C36B71">
          <w:rPr>
            <w:rFonts w:cs="Traditional Arabic"/>
            <w:b/>
            <w:noProof/>
            <w:sz w:val="18"/>
            <w:rtl/>
            <w:lang w:bidi="ar-EG"/>
          </w:rPr>
          <w:t>الجدول 8-</w:t>
        </w:r>
        <w:r w:rsidR="00335E4B" w:rsidRPr="00C36B71">
          <w:rPr>
            <w:rFonts w:cs="Traditional Arabic"/>
            <w:b/>
            <w:noProof/>
            <w:sz w:val="18"/>
            <w:rtl/>
            <w:lang w:bidi="ar-EG"/>
          </w:rPr>
          <w:tab/>
          <w:t>التكلفة الرأسمالية لتكنولوجيا المنافع المشتركة في الولايات المتحدة (دولار/كيلوواط، بدولارات عام</w:t>
        </w:r>
        <w:r w:rsidR="006B1C85">
          <w:rPr>
            <w:rFonts w:cs="Traditional Arabic" w:hint="cs"/>
            <w:b/>
            <w:noProof/>
            <w:sz w:val="18"/>
            <w:rtl/>
            <w:lang w:bidi="ar-EG"/>
          </w:rPr>
          <w:t xml:space="preserve"> </w:t>
        </w:r>
        <w:r w:rsidR="00335E4B" w:rsidRPr="00C36B71">
          <w:rPr>
            <w:rFonts w:cs="Traditional Arabic"/>
            <w:b/>
            <w:noProof/>
            <w:sz w:val="18"/>
            <w:rtl/>
            <w:lang w:bidi="ar-EG"/>
          </w:rPr>
          <w:t>2012) (وكالة حماية البيئة في الولايات المتحدة، 2013)</w:t>
        </w:r>
        <w:r w:rsidR="00335E4B" w:rsidRPr="00C36B71">
          <w:rPr>
            <w:rFonts w:cs="Traditional Arabic"/>
            <w:b/>
            <w:noProof/>
            <w:webHidden/>
            <w:sz w:val="18"/>
            <w:rtl/>
            <w:lang w:bidi="ar-EG"/>
          </w:rPr>
          <w:tab/>
        </w:r>
        <w:r w:rsidR="00335E4B" w:rsidRPr="00C36B71">
          <w:rPr>
            <w:rFonts w:cs="Traditional Arabic"/>
            <w:b/>
            <w:noProof/>
            <w:webHidden/>
            <w:sz w:val="18"/>
            <w:rtl/>
            <w:lang w:bidi="ar-EG"/>
          </w:rPr>
          <w:fldChar w:fldCharType="begin"/>
        </w:r>
        <w:r w:rsidR="00335E4B" w:rsidRPr="00C36B71">
          <w:rPr>
            <w:rFonts w:cs="Traditional Arabic"/>
            <w:b/>
            <w:noProof/>
            <w:webHidden/>
            <w:sz w:val="18"/>
            <w:rtl/>
            <w:lang w:bidi="ar-EG"/>
          </w:rPr>
          <w:instrText xml:space="preserve"> </w:instrText>
        </w:r>
        <w:r w:rsidR="00335E4B" w:rsidRPr="00C36B71">
          <w:rPr>
            <w:rFonts w:cs="Traditional Arabic"/>
            <w:b/>
            <w:noProof/>
            <w:webHidden/>
            <w:sz w:val="18"/>
            <w:lang w:bidi="ar-EG"/>
          </w:rPr>
          <w:instrText>PAGEREF</w:instrText>
        </w:r>
        <w:r w:rsidR="00335E4B" w:rsidRPr="00C36B71">
          <w:rPr>
            <w:rFonts w:cs="Traditional Arabic"/>
            <w:b/>
            <w:noProof/>
            <w:webHidden/>
            <w:sz w:val="18"/>
            <w:rtl/>
            <w:lang w:bidi="ar-EG"/>
          </w:rPr>
          <w:instrText xml:space="preserve"> _</w:instrText>
        </w:r>
        <w:r w:rsidR="00335E4B" w:rsidRPr="00C36B71">
          <w:rPr>
            <w:rFonts w:cs="Traditional Arabic"/>
            <w:b/>
            <w:noProof/>
            <w:webHidden/>
            <w:sz w:val="18"/>
            <w:lang w:bidi="ar-EG"/>
          </w:rPr>
          <w:instrText>Toc440527785 \h</w:instrText>
        </w:r>
        <w:r w:rsidR="00335E4B" w:rsidRPr="00C36B71">
          <w:rPr>
            <w:rFonts w:cs="Traditional Arabic"/>
            <w:b/>
            <w:noProof/>
            <w:webHidden/>
            <w:sz w:val="18"/>
            <w:rtl/>
            <w:lang w:bidi="ar-EG"/>
          </w:rPr>
          <w:instrText xml:space="preserve"> </w:instrText>
        </w:r>
        <w:r w:rsidR="00335E4B" w:rsidRPr="00C36B71">
          <w:rPr>
            <w:rFonts w:cs="Traditional Arabic"/>
            <w:b/>
            <w:noProof/>
            <w:webHidden/>
            <w:sz w:val="18"/>
            <w:rtl/>
            <w:lang w:bidi="ar-EG"/>
          </w:rPr>
        </w:r>
        <w:r w:rsidR="00335E4B" w:rsidRPr="00C36B71">
          <w:rPr>
            <w:rFonts w:cs="Traditional Arabic"/>
            <w:b/>
            <w:noProof/>
            <w:webHidden/>
            <w:sz w:val="18"/>
            <w:rtl/>
            <w:lang w:bidi="ar-EG"/>
          </w:rPr>
          <w:fldChar w:fldCharType="separate"/>
        </w:r>
        <w:r>
          <w:rPr>
            <w:rFonts w:cs="Traditional Arabic"/>
            <w:b/>
            <w:noProof/>
            <w:webHidden/>
            <w:sz w:val="18"/>
            <w:rtl/>
            <w:lang w:bidi="ar-EG"/>
          </w:rPr>
          <w:t>65</w:t>
        </w:r>
        <w:r w:rsidR="00335E4B" w:rsidRPr="00C36B71">
          <w:rPr>
            <w:rFonts w:cs="Traditional Arabic"/>
            <w:b/>
            <w:noProof/>
            <w:webHidden/>
            <w:sz w:val="18"/>
            <w:rtl/>
            <w:lang w:bidi="ar-EG"/>
          </w:rPr>
          <w:fldChar w:fldCharType="end"/>
        </w:r>
      </w:hyperlink>
    </w:p>
    <w:p w:rsidR="006B1C85" w:rsidRDefault="00F37B77" w:rsidP="00C30591">
      <w:pPr>
        <w:tabs>
          <w:tab w:val="right" w:leader="dot" w:pos="9486"/>
        </w:tabs>
        <w:spacing w:line="360" w:lineRule="exact"/>
        <w:ind w:left="1132" w:right="284" w:hanging="1134"/>
        <w:jc w:val="both"/>
        <w:rPr>
          <w:rFonts w:cs="Traditional Arabic"/>
          <w:b/>
          <w:noProof/>
          <w:sz w:val="18"/>
          <w:rtl/>
          <w:lang w:bidi="ar-EG"/>
        </w:rPr>
      </w:pPr>
      <w:hyperlink w:anchor="_Toc440527786" w:history="1">
        <w:r w:rsidR="00335E4B" w:rsidRPr="00C36B71">
          <w:rPr>
            <w:rFonts w:cs="Traditional Arabic"/>
            <w:b/>
            <w:noProof/>
            <w:sz w:val="18"/>
            <w:rtl/>
            <w:lang w:bidi="ar-EG"/>
          </w:rPr>
          <w:t>الجدول 9-</w:t>
        </w:r>
        <w:r w:rsidR="00335E4B" w:rsidRPr="00C36B71">
          <w:rPr>
            <w:rFonts w:cs="Traditional Arabic"/>
            <w:b/>
            <w:noProof/>
            <w:sz w:val="18"/>
            <w:rtl/>
            <w:lang w:bidi="ar-EG"/>
          </w:rPr>
          <w:tab/>
          <w:t xml:space="preserve">تكاليف مجموعات أجهزة ضبط تلوث الهواء موزعة على مختلف الملوثات في وحدة </w:t>
        </w:r>
        <w:r w:rsidR="00C30591">
          <w:rPr>
            <w:rFonts w:cs="Traditional Arabic" w:hint="cs"/>
            <w:b/>
            <w:noProof/>
            <w:sz w:val="18"/>
            <w:rtl/>
            <w:lang w:bidi="ar-EG"/>
          </w:rPr>
          <w:t>طاقتها</w:t>
        </w:r>
        <w:r w:rsidR="00335E4B" w:rsidRPr="00C36B71">
          <w:rPr>
            <w:rFonts w:cs="Traditional Arabic"/>
            <w:b/>
            <w:noProof/>
            <w:sz w:val="18"/>
            <w:rtl/>
            <w:lang w:bidi="ar-EG"/>
          </w:rPr>
          <w:t xml:space="preserve"> 600</w:t>
        </w:r>
        <w:r w:rsidR="006B1C85">
          <w:rPr>
            <w:rFonts w:cs="Traditional Arabic" w:hint="cs"/>
            <w:b/>
            <w:noProof/>
            <w:sz w:val="18"/>
            <w:rtl/>
            <w:lang w:bidi="ar-EG"/>
          </w:rPr>
          <w:t xml:space="preserve"> </w:t>
        </w:r>
        <w:r w:rsidR="00335E4B" w:rsidRPr="00C36B71">
          <w:rPr>
            <w:rFonts w:cs="Traditional Arabic"/>
            <w:b/>
            <w:noProof/>
            <w:sz w:val="18"/>
            <w:rtl/>
            <w:lang w:bidi="ar-EG"/>
          </w:rPr>
          <w:t>ميغاواط، الصين (ملايين يوان ريمنيمب، يوان عام 2010) (أنكورا وآخرون، 2015)</w:t>
        </w:r>
        <w:r w:rsidR="00335E4B" w:rsidRPr="00C36B71">
          <w:rPr>
            <w:rFonts w:cs="Traditional Arabic"/>
            <w:b/>
            <w:noProof/>
            <w:webHidden/>
            <w:sz w:val="18"/>
            <w:rtl/>
            <w:lang w:bidi="ar-EG"/>
          </w:rPr>
          <w:tab/>
        </w:r>
        <w:r w:rsidR="00C30591">
          <w:rPr>
            <w:rFonts w:cs="Traditional Arabic" w:hint="cs"/>
            <w:b/>
            <w:noProof/>
            <w:webHidden/>
            <w:sz w:val="18"/>
            <w:rtl/>
            <w:lang w:bidi="ar-EG"/>
          </w:rPr>
          <w:t>65</w:t>
        </w:r>
      </w:hyperlink>
    </w:p>
    <w:p w:rsidR="006B1C85" w:rsidRDefault="00C034D6" w:rsidP="00C30591">
      <w:pPr>
        <w:tabs>
          <w:tab w:val="right" w:leader="dot" w:pos="9486"/>
        </w:tabs>
        <w:spacing w:line="360" w:lineRule="exact"/>
        <w:ind w:left="1132" w:right="284" w:hanging="1134"/>
        <w:jc w:val="both"/>
        <w:rPr>
          <w:rFonts w:cs="Traditional Arabic"/>
          <w:b/>
          <w:noProof/>
          <w:sz w:val="18"/>
          <w:rtl/>
          <w:lang w:bidi="ar-EG"/>
        </w:rPr>
      </w:pPr>
      <w:hyperlink w:anchor="_Toc440527788" w:history="1">
        <w:r w:rsidR="00335E4B" w:rsidRPr="00C36B71">
          <w:rPr>
            <w:rFonts w:cs="Traditional Arabic"/>
            <w:b/>
            <w:noProof/>
            <w:sz w:val="18"/>
            <w:rtl/>
            <w:lang w:bidi="ar-EG"/>
          </w:rPr>
          <w:t>الجدول 10-</w:t>
        </w:r>
        <w:r w:rsidR="00335E4B" w:rsidRPr="00C36B71">
          <w:rPr>
            <w:rFonts w:cs="Traditional Arabic"/>
            <w:b/>
            <w:noProof/>
            <w:sz w:val="18"/>
            <w:rtl/>
            <w:lang w:bidi="ar-EG"/>
          </w:rPr>
          <w:tab/>
          <w:t>التكلفة النسبية لمختلف أساليب إزالة الزئبق</w:t>
        </w:r>
        <w:r w:rsidR="00335E4B" w:rsidRPr="00C36B71">
          <w:rPr>
            <w:rFonts w:cs="Traditional Arabic"/>
            <w:b/>
            <w:noProof/>
            <w:webHidden/>
            <w:sz w:val="18"/>
            <w:rtl/>
            <w:lang w:bidi="ar-EG"/>
          </w:rPr>
          <w:tab/>
        </w:r>
        <w:r w:rsidR="00C30591">
          <w:rPr>
            <w:rFonts w:cs="Traditional Arabic" w:hint="cs"/>
            <w:b/>
            <w:noProof/>
            <w:webHidden/>
            <w:sz w:val="18"/>
            <w:rtl/>
            <w:lang w:bidi="ar-EG"/>
          </w:rPr>
          <w:t>6</w:t>
        </w:r>
        <w:r w:rsidR="00335E4B" w:rsidRPr="00C36B71">
          <w:rPr>
            <w:rFonts w:cs="Traditional Arabic"/>
            <w:b/>
            <w:noProof/>
            <w:webHidden/>
            <w:sz w:val="18"/>
            <w:rtl/>
            <w:lang w:bidi="ar-EG"/>
          </w:rPr>
          <w:fldChar w:fldCharType="begin"/>
        </w:r>
        <w:r w:rsidR="00335E4B" w:rsidRPr="00C36B71">
          <w:rPr>
            <w:rFonts w:cs="Traditional Arabic"/>
            <w:b/>
            <w:noProof/>
            <w:webHidden/>
            <w:sz w:val="18"/>
            <w:rtl/>
            <w:lang w:bidi="ar-EG"/>
          </w:rPr>
          <w:instrText xml:space="preserve"> </w:instrText>
        </w:r>
        <w:r w:rsidR="00335E4B" w:rsidRPr="00C36B71">
          <w:rPr>
            <w:rFonts w:cs="Traditional Arabic"/>
            <w:b/>
            <w:noProof/>
            <w:webHidden/>
            <w:sz w:val="18"/>
            <w:lang w:bidi="ar-EG"/>
          </w:rPr>
          <w:instrText>PAGEREF</w:instrText>
        </w:r>
        <w:r w:rsidR="00335E4B" w:rsidRPr="00C36B71">
          <w:rPr>
            <w:rFonts w:cs="Traditional Arabic"/>
            <w:b/>
            <w:noProof/>
            <w:webHidden/>
            <w:sz w:val="18"/>
            <w:rtl/>
            <w:lang w:bidi="ar-EG"/>
          </w:rPr>
          <w:instrText xml:space="preserve"> _</w:instrText>
        </w:r>
        <w:r w:rsidR="00335E4B" w:rsidRPr="00C36B71">
          <w:rPr>
            <w:rFonts w:cs="Traditional Arabic"/>
            <w:b/>
            <w:noProof/>
            <w:webHidden/>
            <w:sz w:val="18"/>
            <w:lang w:bidi="ar-EG"/>
          </w:rPr>
          <w:instrText>Toc440527788 \h</w:instrText>
        </w:r>
        <w:r w:rsidR="00335E4B" w:rsidRPr="00C36B71">
          <w:rPr>
            <w:rFonts w:cs="Traditional Arabic"/>
            <w:b/>
            <w:noProof/>
            <w:webHidden/>
            <w:sz w:val="18"/>
            <w:rtl/>
            <w:lang w:bidi="ar-EG"/>
          </w:rPr>
          <w:instrText xml:space="preserve"> </w:instrText>
        </w:r>
        <w:r w:rsidR="00335E4B" w:rsidRPr="00C36B71">
          <w:rPr>
            <w:rFonts w:cs="Traditional Arabic"/>
            <w:b/>
            <w:noProof/>
            <w:webHidden/>
            <w:sz w:val="18"/>
            <w:rtl/>
            <w:lang w:bidi="ar-EG"/>
          </w:rPr>
        </w:r>
        <w:r w:rsidR="00335E4B" w:rsidRPr="00C36B71">
          <w:rPr>
            <w:rFonts w:cs="Traditional Arabic"/>
            <w:b/>
            <w:noProof/>
            <w:webHidden/>
            <w:sz w:val="18"/>
            <w:rtl/>
            <w:lang w:bidi="ar-EG"/>
          </w:rPr>
          <w:fldChar w:fldCharType="separate"/>
        </w:r>
        <w:r>
          <w:rPr>
            <w:rFonts w:cs="Traditional Arabic"/>
            <w:b/>
            <w:noProof/>
            <w:webHidden/>
            <w:sz w:val="18"/>
            <w:rtl/>
            <w:lang w:bidi="ar-EG"/>
          </w:rPr>
          <w:t>66</w:t>
        </w:r>
        <w:r w:rsidR="00335E4B" w:rsidRPr="00C36B71">
          <w:rPr>
            <w:rFonts w:cs="Traditional Arabic"/>
            <w:b/>
            <w:noProof/>
            <w:webHidden/>
            <w:sz w:val="18"/>
            <w:rtl/>
            <w:lang w:bidi="ar-EG"/>
          </w:rPr>
          <w:fldChar w:fldCharType="end"/>
        </w:r>
      </w:hyperlink>
      <w:r w:rsidR="00335E4B" w:rsidRPr="00C36B71">
        <w:rPr>
          <w:rFonts w:cs="Traditional Arabic"/>
          <w:b/>
          <w:noProof/>
          <w:sz w:val="18"/>
          <w:lang w:bidi="ar-EG"/>
        </w:rPr>
        <w:fldChar w:fldCharType="end"/>
      </w:r>
    </w:p>
    <w:p w:rsidR="006B1C85" w:rsidRDefault="00335E4B" w:rsidP="00C30591">
      <w:pPr>
        <w:tabs>
          <w:tab w:val="right" w:leader="dot" w:pos="9486"/>
        </w:tabs>
        <w:spacing w:line="360" w:lineRule="exact"/>
        <w:ind w:left="1132" w:right="284" w:hanging="1134"/>
        <w:jc w:val="both"/>
        <w:rPr>
          <w:rFonts w:cs="Traditional Arabic"/>
          <w:b/>
          <w:noProof/>
          <w:sz w:val="18"/>
          <w:rtl/>
          <w:lang w:bidi="ar-EG"/>
        </w:rPr>
      </w:pPr>
      <w:r w:rsidRPr="00C36B71">
        <w:rPr>
          <w:rFonts w:cs="Traditional Arabic" w:hint="cs"/>
          <w:b/>
          <w:noProof/>
          <w:sz w:val="18"/>
          <w:rtl/>
          <w:lang w:bidi="ar-EG"/>
        </w:rPr>
        <w:t xml:space="preserve">الجدول 11 </w:t>
      </w:r>
      <w:r w:rsidRPr="00C36B71">
        <w:rPr>
          <w:rFonts w:cs="Traditional Arabic"/>
          <w:b/>
          <w:noProof/>
          <w:sz w:val="18"/>
          <w:rtl/>
          <w:lang w:bidi="ar-EG"/>
        </w:rPr>
        <w:t>–</w:t>
      </w:r>
      <w:r w:rsidRPr="00C36B71">
        <w:rPr>
          <w:rFonts w:cs="Traditional Arabic" w:hint="cs"/>
          <w:b/>
          <w:noProof/>
          <w:sz w:val="18"/>
          <w:rtl/>
          <w:lang w:bidi="ar-EG"/>
        </w:rPr>
        <w:tab/>
      </w:r>
      <w:r w:rsidRPr="00C36B71">
        <w:rPr>
          <w:rFonts w:cs="Traditional Arabic" w:hint="cs"/>
          <w:b/>
          <w:noProof/>
          <w:sz w:val="18"/>
          <w:rtl/>
        </w:rPr>
        <w:t>التكلفة الرأسمالية لحقن الكربون المنشط في الولايات المتحدة (دولار/كيلوواط، بدولارات عام 2007)</w:t>
      </w:r>
      <w:r w:rsidRPr="00C36B71">
        <w:rPr>
          <w:rFonts w:cs="Traditional Arabic" w:hint="cs"/>
          <w:b/>
          <w:noProof/>
          <w:sz w:val="18"/>
          <w:rtl/>
          <w:lang w:bidi="ar-EG"/>
        </w:rPr>
        <w:tab/>
        <w:t>6</w:t>
      </w:r>
      <w:r w:rsidR="00C30591">
        <w:rPr>
          <w:rFonts w:cs="Traditional Arabic" w:hint="cs"/>
          <w:b/>
          <w:noProof/>
          <w:sz w:val="18"/>
          <w:rtl/>
          <w:lang w:bidi="ar-EG"/>
        </w:rPr>
        <w:t>7</w:t>
      </w:r>
    </w:p>
    <w:p w:rsidR="00335E4B" w:rsidRPr="00C36B71" w:rsidRDefault="00335E4B" w:rsidP="00C30591">
      <w:pPr>
        <w:tabs>
          <w:tab w:val="right" w:leader="dot" w:pos="9486"/>
        </w:tabs>
        <w:spacing w:line="360" w:lineRule="exact"/>
        <w:ind w:left="1132" w:right="284" w:hanging="1134"/>
        <w:jc w:val="both"/>
        <w:rPr>
          <w:rFonts w:cs="Traditional Arabic"/>
          <w:b/>
          <w:noProof/>
          <w:sz w:val="18"/>
          <w:rtl/>
          <w:lang w:bidi="ar-EG"/>
        </w:rPr>
        <w:sectPr w:rsidR="00335E4B" w:rsidRPr="00C36B71" w:rsidSect="00335E4B">
          <w:headerReference w:type="even" r:id="rId12"/>
          <w:headerReference w:type="default" r:id="rId13"/>
          <w:footerReference w:type="even" r:id="rId14"/>
          <w:footerReference w:type="default" r:id="rId15"/>
          <w:headerReference w:type="first" r:id="rId16"/>
          <w:footerReference w:type="first" r:id="rId17"/>
          <w:endnotePr>
            <w:numFmt w:val="lowerLetter"/>
          </w:endnotePr>
          <w:pgSz w:w="11906" w:h="16838" w:code="9"/>
          <w:pgMar w:top="907" w:right="1418" w:bottom="1418" w:left="992" w:header="539" w:footer="975" w:gutter="0"/>
          <w:cols w:space="720"/>
          <w:titlePg/>
          <w:bidi/>
          <w:rtlGutter/>
          <w:docGrid w:linePitch="299"/>
        </w:sectPr>
      </w:pPr>
      <w:r w:rsidRPr="00C36B71">
        <w:rPr>
          <w:rFonts w:cs="Traditional Arabic" w:hint="cs"/>
          <w:b/>
          <w:noProof/>
          <w:sz w:val="18"/>
          <w:rtl/>
          <w:lang w:bidi="ar-EG"/>
        </w:rPr>
        <w:t xml:space="preserve">الجدول 12 </w:t>
      </w:r>
      <w:r w:rsidRPr="00C36B71">
        <w:rPr>
          <w:rFonts w:cs="Traditional Arabic"/>
          <w:b/>
          <w:noProof/>
          <w:sz w:val="18"/>
          <w:rtl/>
          <w:lang w:bidi="ar-EG"/>
        </w:rPr>
        <w:t>–</w:t>
      </w:r>
      <w:r w:rsidRPr="00C36B71">
        <w:rPr>
          <w:rFonts w:cs="Traditional Arabic"/>
          <w:b/>
          <w:noProof/>
          <w:sz w:val="18"/>
          <w:lang w:bidi="ar-EG"/>
        </w:rPr>
        <w:tab/>
      </w:r>
      <w:r w:rsidRPr="00C36B71">
        <w:rPr>
          <w:rFonts w:cs="Traditional Arabic" w:hint="cs"/>
          <w:b/>
          <w:noProof/>
          <w:sz w:val="18"/>
          <w:rtl/>
        </w:rPr>
        <w:t>تكاليف التشغيل لنُظم حقن الكربون المنشط (في منشأة طاقتها 250 ميغاواط) يعقبها</w:t>
      </w:r>
      <w:r w:rsidR="006B1C85">
        <w:rPr>
          <w:rFonts w:cs="Traditional Arabic" w:hint="cs"/>
          <w:b/>
          <w:noProof/>
          <w:sz w:val="18"/>
          <w:rtl/>
        </w:rPr>
        <w:t xml:space="preserve"> </w:t>
      </w:r>
      <w:r w:rsidRPr="00C36B71">
        <w:rPr>
          <w:rFonts w:cs="Traditional Arabic" w:hint="cs"/>
          <w:b/>
          <w:noProof/>
          <w:sz w:val="18"/>
          <w:rtl/>
        </w:rPr>
        <w:t xml:space="preserve"> إما مرسب كهروستاتيكي أو مرشح نسيجي للفحم القيري (اللجنة الدولية المشتركة، 2005)</w:t>
      </w:r>
      <w:r w:rsidRPr="00C36B71">
        <w:rPr>
          <w:rFonts w:cs="Traditional Arabic" w:hint="cs"/>
          <w:b/>
          <w:noProof/>
          <w:sz w:val="18"/>
          <w:rtl/>
          <w:lang w:bidi="ar-EG"/>
        </w:rPr>
        <w:tab/>
        <w:t>6</w:t>
      </w:r>
      <w:r w:rsidR="00C30591">
        <w:rPr>
          <w:rFonts w:cs="Traditional Arabic" w:hint="cs"/>
          <w:b/>
          <w:noProof/>
          <w:sz w:val="18"/>
          <w:rtl/>
          <w:lang w:bidi="ar-EG"/>
        </w:rPr>
        <w:t>7</w:t>
      </w:r>
    </w:p>
    <w:p w:rsidR="00335E4B" w:rsidRPr="00335E4B" w:rsidRDefault="00335E4B" w:rsidP="00335E4B">
      <w:pPr>
        <w:keepNext/>
        <w:spacing w:before="120" w:after="120" w:line="400" w:lineRule="exact"/>
        <w:ind w:left="707" w:hanging="709"/>
        <w:jc w:val="both"/>
        <w:outlineLvl w:val="0"/>
        <w:rPr>
          <w:rFonts w:cs="Traditional Arabic"/>
          <w:b/>
          <w:bCs/>
          <w:sz w:val="32"/>
          <w:szCs w:val="32"/>
        </w:rPr>
      </w:pPr>
      <w:bookmarkStart w:id="379" w:name="_Toc440456832"/>
      <w:bookmarkStart w:id="380" w:name="_Toc441577707"/>
      <w:bookmarkStart w:id="381" w:name="_Toc441577886"/>
      <w:bookmarkStart w:id="382" w:name="_Toc441579112"/>
      <w:bookmarkStart w:id="383" w:name="_Toc441580720"/>
      <w:bookmarkStart w:id="384" w:name="_Toc441585851"/>
      <w:bookmarkStart w:id="385" w:name="_Toc441586187"/>
      <w:bookmarkStart w:id="386" w:name="_Toc441586637"/>
      <w:bookmarkStart w:id="387" w:name="_Toc441586816"/>
      <w:bookmarkStart w:id="388" w:name="_Toc441666665"/>
      <w:bookmarkStart w:id="389" w:name="_Toc441673726"/>
      <w:r w:rsidRPr="00335E4B">
        <w:rPr>
          <w:rFonts w:cs="Traditional Arabic"/>
          <w:b/>
          <w:bCs/>
          <w:sz w:val="32"/>
          <w:szCs w:val="32"/>
          <w:rtl/>
        </w:rPr>
        <w:t>1-</w:t>
      </w:r>
      <w:r w:rsidRPr="00335E4B">
        <w:rPr>
          <w:rFonts w:cs="Traditional Arabic"/>
          <w:b/>
          <w:bCs/>
          <w:sz w:val="32"/>
          <w:szCs w:val="32"/>
          <w:rtl/>
        </w:rPr>
        <w:tab/>
        <w:t>مقدمة</w:t>
      </w:r>
      <w:bookmarkEnd w:id="379"/>
      <w:bookmarkEnd w:id="380"/>
      <w:bookmarkEnd w:id="381"/>
      <w:bookmarkEnd w:id="382"/>
      <w:bookmarkEnd w:id="383"/>
      <w:bookmarkEnd w:id="384"/>
      <w:bookmarkEnd w:id="385"/>
      <w:bookmarkEnd w:id="386"/>
      <w:bookmarkEnd w:id="387"/>
      <w:bookmarkEnd w:id="388"/>
      <w:bookmarkEnd w:id="389"/>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 xml:space="preserve">يقدٍّم هذا الفرع </w:t>
      </w:r>
      <w:r w:rsidRPr="00335E4B">
        <w:rPr>
          <w:rFonts w:cs="Traditional Arabic" w:hint="cs"/>
          <w:sz w:val="20"/>
          <w:szCs w:val="30"/>
          <w:rtl/>
          <w:lang w:bidi="ar-EG"/>
        </w:rPr>
        <w:t>التوجيهات المتعلقة ب</w:t>
      </w:r>
      <w:r w:rsidRPr="00335E4B">
        <w:rPr>
          <w:rFonts w:cs="Traditional Arabic"/>
          <w:sz w:val="20"/>
          <w:szCs w:val="30"/>
          <w:rtl/>
          <w:lang w:bidi="ar-EG"/>
        </w:rPr>
        <w:t xml:space="preserve">أفضل التقنيات المتاحة وأفضل الممارسات البيئية للضبط، </w:t>
      </w:r>
      <w:r w:rsidRPr="00335E4B">
        <w:rPr>
          <w:rFonts w:cs="Traditional Arabic" w:hint="cs"/>
          <w:sz w:val="20"/>
          <w:szCs w:val="30"/>
          <w:rtl/>
          <w:lang w:bidi="ar-EG"/>
        </w:rPr>
        <w:t xml:space="preserve">والتخفيض </w:t>
      </w:r>
      <w:r w:rsidRPr="00335E4B">
        <w:rPr>
          <w:rFonts w:cs="Traditional Arabic"/>
          <w:sz w:val="20"/>
          <w:szCs w:val="30"/>
          <w:rtl/>
          <w:lang w:bidi="ar-EG"/>
        </w:rPr>
        <w:t>كلما أمكن</w:t>
      </w:r>
      <w:r w:rsidRPr="00335E4B">
        <w:rPr>
          <w:rFonts w:cs="Traditional Arabic" w:hint="cs"/>
          <w:sz w:val="20"/>
          <w:szCs w:val="30"/>
          <w:rtl/>
          <w:lang w:bidi="ar-EG"/>
        </w:rPr>
        <w:t xml:space="preserve"> ذلك</w:t>
      </w:r>
      <w:r w:rsidRPr="00335E4B">
        <w:rPr>
          <w:rFonts w:cs="Traditional Arabic"/>
          <w:sz w:val="20"/>
          <w:szCs w:val="30"/>
          <w:rtl/>
          <w:lang w:bidi="ar-EG"/>
        </w:rPr>
        <w:t>، لانبعاثات الزئبق من منشآت الطاقة العاملة بحرق الفحم والمراجل الصناعية العاملة بحرق الفحم، التي يغطيها المرفق دال للاتفاقية.</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ومنشآت الطاقة العاملة بحرق الفحم في المراجل الصناعية العاملة بحرق الفحم هي مصدر كبير من مصادر الانبعاثات المحلية والإقليمية والعالمية للزئبق في الجو، حيث ينبعث منها أكثر من 740 طن</w:t>
      </w:r>
      <w:r w:rsidRPr="00335E4B">
        <w:rPr>
          <w:rFonts w:cs="Traditional Arabic" w:hint="cs"/>
          <w:sz w:val="20"/>
          <w:szCs w:val="30"/>
          <w:rtl/>
          <w:lang w:bidi="ar-EG"/>
        </w:rPr>
        <w:t>اً</w:t>
      </w:r>
      <w:r w:rsidRPr="00335E4B">
        <w:rPr>
          <w:rFonts w:cs="Traditional Arabic"/>
          <w:sz w:val="20"/>
          <w:szCs w:val="30"/>
          <w:rtl/>
          <w:lang w:bidi="ar-EG"/>
        </w:rPr>
        <w:t xml:space="preserve"> متري</w:t>
      </w:r>
      <w:r w:rsidRPr="00335E4B">
        <w:rPr>
          <w:rFonts w:cs="Traditional Arabic" w:hint="cs"/>
          <w:sz w:val="20"/>
          <w:szCs w:val="30"/>
          <w:rtl/>
          <w:lang w:bidi="ar-EG"/>
        </w:rPr>
        <w:t>اً</w:t>
      </w:r>
      <w:r w:rsidRPr="00335E4B">
        <w:rPr>
          <w:rFonts w:cs="Traditional Arabic"/>
          <w:sz w:val="20"/>
          <w:szCs w:val="30"/>
          <w:rtl/>
          <w:lang w:bidi="ar-EG"/>
        </w:rPr>
        <w:t xml:space="preserve"> من الزئبق في أنحاء العالم (برنامج الأمم المتحدة للبيئة، 2013أ). والفحم المستعمل في </w:t>
      </w:r>
      <w:r w:rsidRPr="00335E4B">
        <w:rPr>
          <w:rFonts w:cs="Traditional Arabic" w:hint="cs"/>
          <w:sz w:val="20"/>
          <w:szCs w:val="30"/>
          <w:rtl/>
          <w:lang w:bidi="ar-EG"/>
        </w:rPr>
        <w:t>الاحتراق</w:t>
      </w:r>
      <w:r w:rsidRPr="00335E4B">
        <w:rPr>
          <w:rFonts w:cs="Traditional Arabic"/>
          <w:sz w:val="20"/>
          <w:szCs w:val="30"/>
          <w:rtl/>
          <w:lang w:bidi="ar-EG"/>
        </w:rPr>
        <w:t xml:space="preserve"> في كل أنحاء العالم يتضمن كميات نزرة من الزئبق التي تنبعث أثناء عملية الحرق</w:t>
      </w:r>
      <w:r w:rsidRPr="00335E4B">
        <w:rPr>
          <w:rFonts w:cs="Traditional Arabic" w:hint="cs"/>
          <w:sz w:val="20"/>
          <w:szCs w:val="30"/>
          <w:rtl/>
          <w:lang w:bidi="ar-EG"/>
        </w:rPr>
        <w:t xml:space="preserve"> (مع ملوثات أخرى) </w:t>
      </w:r>
      <w:r w:rsidRPr="00335E4B">
        <w:rPr>
          <w:rFonts w:cs="Traditional Arabic"/>
          <w:sz w:val="20"/>
          <w:szCs w:val="30"/>
          <w:rtl/>
          <w:lang w:bidi="ar-EG"/>
        </w:rPr>
        <w:t>في حالة عدم ضبطها.</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 xml:space="preserve">ومعظم منشآت الطاقة التي تعمل بحرق الفحم هي منشآت كبيرة لإنتاج الكهرباء؛ وبعضها يوفِّر أيضاً التدفئة (منشآت تجمع بين التدفئة والطاقة الكهربائية وتدفئة </w:t>
      </w:r>
      <w:r w:rsidRPr="00335E4B">
        <w:rPr>
          <w:rFonts w:cs="Traditional Arabic" w:hint="cs"/>
          <w:sz w:val="20"/>
          <w:szCs w:val="30"/>
          <w:rtl/>
          <w:lang w:bidi="ar-EG"/>
        </w:rPr>
        <w:t>الأحياء السكنية</w:t>
      </w:r>
      <w:r w:rsidRPr="00335E4B">
        <w:rPr>
          <w:rFonts w:cs="Traditional Arabic"/>
          <w:sz w:val="20"/>
          <w:szCs w:val="30"/>
          <w:rtl/>
          <w:lang w:bidi="ar-EG"/>
        </w:rPr>
        <w:t xml:space="preserve"> إلخ). وتوفِّر المراجل الصناعية التدفئة أو بخار العملية اللازم للإنتاج المحلي في المرفقات التي تقام فيها هذه المراجل. وتستهلك المراجل المقامة في منشآت الطاقة العاملة بحرق الفحم نمطياً كميات أكبر من الفحم عن معظم المراجل الصناعية العاملة بحرق الفحم، مع احتمال زيادة انبعاثات الزئبق. ومع ذلك، فإن عدد المراجل الصناعية يزيد عادة عن عدد منشآت الطاقة. وهناك فارق آخر وهو أن </w:t>
      </w:r>
      <w:r w:rsidRPr="00335E4B">
        <w:rPr>
          <w:rFonts w:cs="Traditional Arabic" w:hint="cs"/>
          <w:sz w:val="20"/>
          <w:szCs w:val="30"/>
          <w:rtl/>
          <w:lang w:bidi="ar-EG"/>
        </w:rPr>
        <w:t>مراجل</w:t>
      </w:r>
      <w:r w:rsidRPr="00335E4B">
        <w:rPr>
          <w:rFonts w:cs="Traditional Arabic"/>
          <w:sz w:val="20"/>
          <w:szCs w:val="30"/>
          <w:rtl/>
          <w:lang w:bidi="ar-EG"/>
        </w:rPr>
        <w:t xml:space="preserve"> منشآت الطاقة العاملة بحرق الفحم </w:t>
      </w:r>
      <w:r w:rsidRPr="00335E4B">
        <w:rPr>
          <w:rFonts w:cs="Traditional Arabic" w:hint="cs"/>
          <w:sz w:val="20"/>
          <w:szCs w:val="30"/>
          <w:rtl/>
          <w:lang w:bidi="ar-EG"/>
        </w:rPr>
        <w:t xml:space="preserve">هي </w:t>
      </w:r>
      <w:r w:rsidRPr="00335E4B">
        <w:rPr>
          <w:rFonts w:cs="Traditional Arabic"/>
          <w:sz w:val="20"/>
          <w:szCs w:val="30"/>
          <w:rtl/>
          <w:lang w:bidi="ar-EG"/>
        </w:rPr>
        <w:t xml:space="preserve">في الأغلب </w:t>
      </w:r>
      <w:r w:rsidRPr="00335E4B">
        <w:rPr>
          <w:rFonts w:cs="Traditional Arabic" w:hint="cs"/>
          <w:sz w:val="20"/>
          <w:szCs w:val="30"/>
          <w:rtl/>
          <w:lang w:bidi="ar-EG"/>
        </w:rPr>
        <w:t>مراجل</w:t>
      </w:r>
      <w:r w:rsidRPr="00335E4B">
        <w:rPr>
          <w:rFonts w:cs="Traditional Arabic"/>
          <w:sz w:val="20"/>
          <w:szCs w:val="30"/>
          <w:rtl/>
          <w:lang w:bidi="ar-EG"/>
        </w:rPr>
        <w:t xml:space="preserve"> تعمل بوقود واحد في حين أن المراجل الصناعية العاملة بحرق الفحم مصممة في كثير من الأحيان </w:t>
      </w:r>
      <w:r w:rsidRPr="00335E4B">
        <w:rPr>
          <w:rFonts w:cs="Traditional Arabic" w:hint="cs"/>
          <w:sz w:val="20"/>
          <w:szCs w:val="30"/>
          <w:rtl/>
          <w:lang w:bidi="ar-EG"/>
        </w:rPr>
        <w:t>من أجل استعمال</w:t>
      </w:r>
      <w:r w:rsidRPr="00335E4B">
        <w:rPr>
          <w:rFonts w:cs="Traditional Arabic"/>
          <w:sz w:val="20"/>
          <w:szCs w:val="30"/>
          <w:rtl/>
          <w:lang w:bidi="ar-EG"/>
        </w:rPr>
        <w:t xml:space="preserve"> خليط </w:t>
      </w:r>
      <w:r w:rsidRPr="00335E4B">
        <w:rPr>
          <w:rFonts w:cs="Traditional Arabic" w:hint="cs"/>
          <w:sz w:val="20"/>
          <w:szCs w:val="30"/>
          <w:rtl/>
          <w:lang w:bidi="ar-EG"/>
        </w:rPr>
        <w:t>أكثر تنوعاً</w:t>
      </w:r>
      <w:r w:rsidRPr="00335E4B">
        <w:rPr>
          <w:rFonts w:cs="Traditional Arabic"/>
          <w:sz w:val="20"/>
          <w:szCs w:val="30"/>
          <w:rtl/>
          <w:lang w:bidi="ar-EG"/>
        </w:rPr>
        <w:t xml:space="preserve"> من مختلف أنواع الوقود وتستخدمها (مثل </w:t>
      </w:r>
      <w:r w:rsidRPr="00335E4B">
        <w:rPr>
          <w:rFonts w:cs="Traditional Arabic" w:hint="cs"/>
          <w:sz w:val="20"/>
          <w:szCs w:val="30"/>
          <w:rtl/>
          <w:lang w:bidi="ar-EG"/>
        </w:rPr>
        <w:t>نواتج</w:t>
      </w:r>
      <w:r w:rsidRPr="00335E4B">
        <w:rPr>
          <w:rFonts w:cs="Traditional Arabic"/>
          <w:sz w:val="20"/>
          <w:szCs w:val="30"/>
          <w:rtl/>
          <w:lang w:bidi="ar-EG"/>
        </w:rPr>
        <w:t xml:space="preserve"> الوقود </w:t>
      </w:r>
      <w:r w:rsidRPr="00335E4B">
        <w:rPr>
          <w:rFonts w:cs="Traditional Arabic" w:hint="cs"/>
          <w:sz w:val="20"/>
          <w:szCs w:val="30"/>
          <w:rtl/>
          <w:lang w:bidi="ar-EG"/>
        </w:rPr>
        <w:t>الثانوية</w:t>
      </w:r>
      <w:r w:rsidRPr="00335E4B">
        <w:rPr>
          <w:rFonts w:cs="Traditional Arabic"/>
          <w:sz w:val="20"/>
          <w:szCs w:val="30"/>
          <w:rtl/>
          <w:lang w:bidi="ar-EG"/>
        </w:rPr>
        <w:t xml:space="preserve"> والنفايات والأخشاب) بالإضافة إلى الفحم (أمار وآخرون، 2008).</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 xml:space="preserve">ومن منظور الجدوى التقنية، يمكن استخدام نفس التكنولوجيات للسيطرة على انبعاثات الزئبق من جميع المراجل العاملة بحرق الفحم، أياً كانت وظائفها. وفي عدد من البلدان، </w:t>
      </w:r>
      <w:r w:rsidRPr="00335E4B">
        <w:rPr>
          <w:rFonts w:cs="Traditional Arabic" w:hint="cs"/>
          <w:sz w:val="20"/>
          <w:szCs w:val="30"/>
          <w:rtl/>
          <w:lang w:bidi="ar-EG"/>
        </w:rPr>
        <w:t>تكون</w:t>
      </w:r>
      <w:r w:rsidRPr="00335E4B">
        <w:rPr>
          <w:rFonts w:cs="Traditional Arabic"/>
          <w:sz w:val="20"/>
          <w:szCs w:val="30"/>
          <w:rtl/>
          <w:lang w:bidi="ar-EG"/>
        </w:rPr>
        <w:t xml:space="preserve"> تزويد منشآت الطاقة والمراجل الصناعية الكبيرة </w:t>
      </w:r>
      <w:r w:rsidRPr="00335E4B">
        <w:rPr>
          <w:rFonts w:cs="Traditional Arabic" w:hint="cs"/>
          <w:sz w:val="20"/>
          <w:szCs w:val="30"/>
          <w:rtl/>
          <w:lang w:bidi="ar-EG"/>
        </w:rPr>
        <w:t xml:space="preserve">مزودة </w:t>
      </w:r>
      <w:r w:rsidRPr="00335E4B">
        <w:rPr>
          <w:rFonts w:cs="Traditional Arabic"/>
          <w:sz w:val="20"/>
          <w:szCs w:val="30"/>
          <w:rtl/>
          <w:lang w:bidi="ar-EG"/>
        </w:rPr>
        <w:t xml:space="preserve">بالفعل بنُظم ضبط تلوث الهواء نتيجة السياسات المتبعة بشأن تلوث الهواء. وحتى عندما تكون هذه النُظم غير مصممة لالتقاط الزئبق فإنها </w:t>
      </w:r>
      <w:r w:rsidRPr="00335E4B">
        <w:rPr>
          <w:rFonts w:cs="Traditional Arabic" w:hint="cs"/>
          <w:sz w:val="20"/>
          <w:szCs w:val="30"/>
          <w:rtl/>
          <w:lang w:bidi="ar-EG"/>
        </w:rPr>
        <w:t>قادرة على</w:t>
      </w:r>
      <w:r w:rsidRPr="00335E4B">
        <w:rPr>
          <w:rFonts w:cs="Traditional Arabic"/>
          <w:sz w:val="20"/>
          <w:szCs w:val="30"/>
          <w:rtl/>
          <w:lang w:bidi="ar-EG"/>
        </w:rPr>
        <w:t xml:space="preserve"> التقاط بعض الزئبق </w:t>
      </w:r>
      <w:r w:rsidRPr="00335E4B">
        <w:rPr>
          <w:rFonts w:cs="Traditional Arabic" w:hint="cs"/>
          <w:sz w:val="20"/>
          <w:szCs w:val="30"/>
          <w:rtl/>
          <w:lang w:bidi="ar-EG"/>
        </w:rPr>
        <w:t>الناتج ع</w:t>
      </w:r>
      <w:r w:rsidRPr="00335E4B">
        <w:rPr>
          <w:rFonts w:cs="Traditional Arabic"/>
          <w:sz w:val="20"/>
          <w:szCs w:val="30"/>
          <w:rtl/>
          <w:lang w:bidi="ar-EG"/>
        </w:rPr>
        <w:t xml:space="preserve">ن </w:t>
      </w:r>
      <w:r w:rsidRPr="00335E4B">
        <w:rPr>
          <w:rFonts w:cs="Traditional Arabic" w:hint="cs"/>
          <w:sz w:val="20"/>
          <w:szCs w:val="30"/>
          <w:rtl/>
          <w:lang w:bidi="ar-EG"/>
        </w:rPr>
        <w:t>الاحتراق</w:t>
      </w:r>
      <w:r w:rsidRPr="00335E4B">
        <w:rPr>
          <w:rFonts w:cs="Traditional Arabic"/>
          <w:sz w:val="20"/>
          <w:szCs w:val="30"/>
          <w:rtl/>
          <w:lang w:bidi="ar-EG"/>
        </w:rPr>
        <w:t xml:space="preserve"> وهو ما يؤثر مباشرة على تقليل انبعاثات الزئبق في الجو (</w:t>
      </w:r>
      <w:r w:rsidRPr="00335E4B">
        <w:rPr>
          <w:rFonts w:cs="Traditional Arabic" w:hint="cs"/>
          <w:sz w:val="20"/>
          <w:szCs w:val="30"/>
          <w:rtl/>
          <w:lang w:bidi="ar-EG"/>
        </w:rPr>
        <w:t xml:space="preserve">ما يسمى المنافع المشتركة التي تنتج للزئبق من </w:t>
      </w:r>
      <w:r w:rsidRPr="00335E4B">
        <w:rPr>
          <w:rFonts w:cs="Traditional Arabic"/>
          <w:sz w:val="20"/>
          <w:szCs w:val="30"/>
          <w:rtl/>
          <w:lang w:bidi="ar-EG"/>
        </w:rPr>
        <w:t>نُظم ضبط تلوث الهواء). ومن ناحية أخرى، لا تكون المراجل الصناعية الأصغر العاملة بحرق الفحم عادة مجهزة بأجهزة فعالة لضبط الانبعاثات، وسيؤثر ذلك على دراسة كيفية معالجة انبعاثات الزئبق من هذه المنشآت. وتؤثر عدة عوامل على مقدار الزئبق الذي قد ينبعث من منشآت م</w:t>
      </w:r>
      <w:r w:rsidRPr="00335E4B">
        <w:rPr>
          <w:rFonts w:cs="Traditional Arabic" w:hint="cs"/>
          <w:sz w:val="20"/>
          <w:szCs w:val="30"/>
          <w:rtl/>
          <w:lang w:bidi="ar-EG"/>
        </w:rPr>
        <w:t>ت</w:t>
      </w:r>
      <w:r w:rsidRPr="00335E4B">
        <w:rPr>
          <w:rFonts w:cs="Traditional Arabic"/>
          <w:sz w:val="20"/>
          <w:szCs w:val="30"/>
          <w:rtl/>
          <w:lang w:bidi="ar-EG"/>
        </w:rPr>
        <w:t>شابهة تحرق كميات م</w:t>
      </w:r>
      <w:r w:rsidRPr="00335E4B">
        <w:rPr>
          <w:rFonts w:cs="Traditional Arabic" w:hint="cs"/>
          <w:sz w:val="20"/>
          <w:szCs w:val="30"/>
          <w:rtl/>
          <w:lang w:bidi="ar-EG"/>
        </w:rPr>
        <w:t>ت</w:t>
      </w:r>
      <w:r w:rsidRPr="00335E4B">
        <w:rPr>
          <w:rFonts w:cs="Traditional Arabic"/>
          <w:sz w:val="20"/>
          <w:szCs w:val="30"/>
          <w:rtl/>
          <w:lang w:bidi="ar-EG"/>
        </w:rPr>
        <w:t>ماثلة من الفحم. وتشمل هذه العوامل ما يلي:</w:t>
      </w:r>
    </w:p>
    <w:p w:rsidR="00335E4B" w:rsidRPr="00335E4B" w:rsidRDefault="00335E4B" w:rsidP="00335E4B">
      <w:pPr>
        <w:numPr>
          <w:ilvl w:val="0"/>
          <w:numId w:val="17"/>
        </w:numPr>
        <w:spacing w:after="120" w:line="400" w:lineRule="exact"/>
        <w:ind w:left="565" w:hanging="566"/>
        <w:jc w:val="both"/>
        <w:rPr>
          <w:rFonts w:cs="Traditional Arabic"/>
          <w:sz w:val="20"/>
          <w:szCs w:val="30"/>
          <w:lang w:bidi="ar-EG"/>
        </w:rPr>
      </w:pPr>
      <w:r w:rsidRPr="00335E4B">
        <w:rPr>
          <w:rFonts w:cs="Traditional Arabic"/>
          <w:sz w:val="20"/>
          <w:szCs w:val="30"/>
          <w:rtl/>
          <w:lang w:bidi="ar-EG"/>
        </w:rPr>
        <w:t>تركيز الزئبق في الفحم</w:t>
      </w:r>
    </w:p>
    <w:p w:rsidR="00335E4B" w:rsidRPr="00335E4B" w:rsidRDefault="00335E4B" w:rsidP="00942AEA">
      <w:pPr>
        <w:numPr>
          <w:ilvl w:val="0"/>
          <w:numId w:val="17"/>
        </w:numPr>
        <w:spacing w:after="120" w:line="400" w:lineRule="exact"/>
        <w:ind w:left="565" w:hanging="566"/>
        <w:jc w:val="both"/>
        <w:rPr>
          <w:rFonts w:cs="Traditional Arabic"/>
          <w:sz w:val="20"/>
          <w:szCs w:val="30"/>
          <w:lang w:bidi="ar-EG"/>
        </w:rPr>
      </w:pPr>
      <w:r w:rsidRPr="00335E4B">
        <w:rPr>
          <w:rFonts w:cs="Traditional Arabic"/>
          <w:sz w:val="20"/>
          <w:szCs w:val="30"/>
          <w:rtl/>
          <w:lang w:bidi="ar-EG"/>
        </w:rPr>
        <w:t>نوع الفحم وتكوينه</w:t>
      </w:r>
    </w:p>
    <w:p w:rsidR="00335E4B" w:rsidRPr="00335E4B" w:rsidRDefault="00335E4B" w:rsidP="00335E4B">
      <w:pPr>
        <w:numPr>
          <w:ilvl w:val="0"/>
          <w:numId w:val="17"/>
        </w:numPr>
        <w:spacing w:after="120" w:line="400" w:lineRule="exact"/>
        <w:ind w:left="565" w:hanging="566"/>
        <w:jc w:val="both"/>
        <w:rPr>
          <w:rFonts w:cs="Traditional Arabic"/>
          <w:sz w:val="20"/>
          <w:szCs w:val="30"/>
          <w:lang w:bidi="ar-EG"/>
        </w:rPr>
      </w:pPr>
      <w:r w:rsidRPr="00335E4B">
        <w:rPr>
          <w:rFonts w:cs="Traditional Arabic"/>
          <w:sz w:val="20"/>
          <w:szCs w:val="30"/>
          <w:rtl/>
          <w:lang w:bidi="ar-EG"/>
        </w:rPr>
        <w:t>نوع تكنولوجيا الاحتراق</w:t>
      </w:r>
    </w:p>
    <w:p w:rsidR="00335E4B" w:rsidRPr="00335E4B" w:rsidRDefault="00335E4B" w:rsidP="00335E4B">
      <w:pPr>
        <w:numPr>
          <w:ilvl w:val="0"/>
          <w:numId w:val="17"/>
        </w:numPr>
        <w:spacing w:after="120" w:line="400" w:lineRule="exact"/>
        <w:ind w:left="565" w:hanging="566"/>
        <w:jc w:val="both"/>
        <w:rPr>
          <w:rFonts w:cs="Traditional Arabic"/>
          <w:sz w:val="20"/>
          <w:szCs w:val="30"/>
          <w:rtl/>
          <w:lang w:bidi="ar-EG"/>
        </w:rPr>
      </w:pPr>
      <w:r w:rsidRPr="00335E4B">
        <w:rPr>
          <w:rFonts w:cs="Traditional Arabic"/>
          <w:sz w:val="20"/>
          <w:szCs w:val="30"/>
          <w:rtl/>
          <w:lang w:bidi="ar-EG"/>
        </w:rPr>
        <w:t xml:space="preserve">وجود نُظم </w:t>
      </w:r>
      <w:r w:rsidRPr="00335E4B">
        <w:rPr>
          <w:rFonts w:cs="Traditional Arabic" w:hint="cs"/>
          <w:sz w:val="20"/>
          <w:szCs w:val="30"/>
          <w:rtl/>
          <w:lang w:bidi="ar-EG"/>
        </w:rPr>
        <w:t xml:space="preserve">ضبط </w:t>
      </w:r>
      <w:r w:rsidRPr="00335E4B">
        <w:rPr>
          <w:rFonts w:cs="Traditional Arabic"/>
          <w:sz w:val="20"/>
          <w:szCs w:val="30"/>
          <w:rtl/>
          <w:lang w:bidi="ar-EG"/>
        </w:rPr>
        <w:t>تلوث الهواء وكفاءة قيامها بإزالة الزئبق</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وستكون العوامل المذكورة أعلاه موضع الدراسة في بقية هذه الوثيقة بتفصيل أكبر في سياق تحديد أفضل التقنيات المتاحة/أفضل الممارسات البيئية.</w:t>
      </w:r>
    </w:p>
    <w:p w:rsidR="00335E4B" w:rsidRPr="00335E4B" w:rsidRDefault="00335E4B" w:rsidP="00335E4B">
      <w:pPr>
        <w:keepNext/>
        <w:spacing w:before="120" w:after="120" w:line="400" w:lineRule="exact"/>
        <w:ind w:left="709" w:hanging="709"/>
        <w:jc w:val="both"/>
        <w:outlineLvl w:val="0"/>
        <w:rPr>
          <w:rFonts w:cs="Traditional Arabic"/>
          <w:b/>
          <w:bCs/>
          <w:sz w:val="32"/>
          <w:szCs w:val="32"/>
          <w:rtl/>
        </w:rPr>
      </w:pPr>
      <w:bookmarkStart w:id="390" w:name="_Toc440456833"/>
      <w:bookmarkStart w:id="391" w:name="_Toc440526897"/>
      <w:bookmarkStart w:id="392" w:name="_Toc440527749"/>
      <w:bookmarkStart w:id="393" w:name="_Toc440550451"/>
      <w:bookmarkStart w:id="394" w:name="_Toc441577708"/>
      <w:bookmarkStart w:id="395" w:name="_Toc441577887"/>
      <w:bookmarkStart w:id="396" w:name="_Toc441579113"/>
      <w:bookmarkStart w:id="397" w:name="_Toc441580721"/>
      <w:bookmarkStart w:id="398" w:name="_Toc441585852"/>
      <w:bookmarkStart w:id="399" w:name="_Toc441586188"/>
      <w:bookmarkStart w:id="400" w:name="_Toc441586638"/>
      <w:bookmarkStart w:id="401" w:name="_Toc441586817"/>
      <w:bookmarkStart w:id="402" w:name="_Toc441666666"/>
      <w:bookmarkStart w:id="403" w:name="_Toc441673727"/>
      <w:r w:rsidRPr="00335E4B">
        <w:rPr>
          <w:rFonts w:cs="Traditional Arabic"/>
          <w:b/>
          <w:bCs/>
          <w:sz w:val="32"/>
          <w:szCs w:val="32"/>
          <w:rtl/>
        </w:rPr>
        <w:tab/>
        <w:t xml:space="preserve">العمليات المستعملة في منشآت الطاقة العاملة بحرق الفحم والمراجل الصناعية العاملة بحرق الفحم، بما في ذلك دراسة </w:t>
      </w:r>
      <w:r w:rsidRPr="00335E4B">
        <w:rPr>
          <w:rFonts w:cs="Traditional Arabic" w:hint="cs"/>
          <w:b/>
          <w:bCs/>
          <w:sz w:val="32"/>
          <w:szCs w:val="32"/>
          <w:rtl/>
        </w:rPr>
        <w:t>ال</w:t>
      </w:r>
      <w:r w:rsidRPr="00335E4B">
        <w:rPr>
          <w:rFonts w:cs="Traditional Arabic"/>
          <w:b/>
          <w:bCs/>
          <w:sz w:val="32"/>
          <w:szCs w:val="32"/>
          <w:rtl/>
        </w:rPr>
        <w:t>مواد المدخل</w:t>
      </w:r>
      <w:r w:rsidRPr="00335E4B">
        <w:rPr>
          <w:rFonts w:cs="Traditional Arabic" w:hint="cs"/>
          <w:b/>
          <w:bCs/>
          <w:sz w:val="32"/>
          <w:szCs w:val="32"/>
          <w:rtl/>
        </w:rPr>
        <w:t>ة</w:t>
      </w:r>
      <w:r w:rsidRPr="00335E4B">
        <w:rPr>
          <w:rFonts w:cs="Traditional Arabic"/>
          <w:b/>
          <w:bCs/>
          <w:sz w:val="32"/>
          <w:szCs w:val="32"/>
          <w:rtl/>
        </w:rPr>
        <w:t xml:space="preserve"> وسلوك الزئبق في </w:t>
      </w:r>
      <w:r w:rsidRPr="00335E4B">
        <w:rPr>
          <w:rFonts w:cs="Traditional Arabic" w:hint="cs"/>
          <w:b/>
          <w:bCs/>
          <w:sz w:val="32"/>
          <w:szCs w:val="32"/>
          <w:rtl/>
        </w:rPr>
        <w:t>العمليات</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335E4B" w:rsidRPr="00335E4B" w:rsidRDefault="00046EF9" w:rsidP="00335E4B">
      <w:pPr>
        <w:keepNext/>
        <w:spacing w:before="120" w:after="120" w:line="400" w:lineRule="exact"/>
        <w:ind w:left="709" w:hanging="709"/>
        <w:jc w:val="both"/>
        <w:outlineLvl w:val="0"/>
        <w:rPr>
          <w:rFonts w:cs="Traditional Arabic"/>
          <w:b/>
          <w:bCs/>
          <w:sz w:val="30"/>
          <w:szCs w:val="30"/>
          <w:rtl/>
        </w:rPr>
      </w:pPr>
      <w:bookmarkStart w:id="404" w:name="_Toc440456834"/>
      <w:bookmarkStart w:id="405" w:name="_Toc440526898"/>
      <w:bookmarkStart w:id="406" w:name="_Toc440527750"/>
      <w:bookmarkStart w:id="407" w:name="_Toc440550452"/>
      <w:bookmarkStart w:id="408" w:name="_Toc441577709"/>
      <w:bookmarkStart w:id="409" w:name="_Toc441577888"/>
      <w:bookmarkStart w:id="410" w:name="_Toc441579114"/>
      <w:bookmarkStart w:id="411" w:name="_Toc441580722"/>
      <w:bookmarkStart w:id="412" w:name="_Toc441585853"/>
      <w:bookmarkStart w:id="413" w:name="_Toc441586189"/>
      <w:bookmarkStart w:id="414" w:name="_Toc441586639"/>
      <w:bookmarkStart w:id="415" w:name="_Toc441586818"/>
      <w:bookmarkStart w:id="416" w:name="_Toc441666667"/>
      <w:bookmarkStart w:id="417" w:name="_Toc441673728"/>
      <w:r>
        <w:rPr>
          <w:rFonts w:cs="Traditional Arabic" w:hint="cs"/>
          <w:b/>
          <w:bCs/>
          <w:sz w:val="30"/>
          <w:szCs w:val="30"/>
          <w:rtl/>
        </w:rPr>
        <w:t xml:space="preserve">1-1 </w:t>
      </w:r>
      <w:r w:rsidR="00335E4B" w:rsidRPr="00335E4B">
        <w:rPr>
          <w:rFonts w:cs="Traditional Arabic"/>
          <w:b/>
          <w:bCs/>
          <w:sz w:val="30"/>
          <w:szCs w:val="30"/>
          <w:rtl/>
        </w:rPr>
        <w:t>خصائص الفحم</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335E4B" w:rsidRPr="00335E4B" w:rsidRDefault="00335E4B" w:rsidP="00335E4B">
      <w:pPr>
        <w:tabs>
          <w:tab w:val="center" w:pos="5468"/>
        </w:tabs>
        <w:spacing w:after="120" w:line="340" w:lineRule="exact"/>
        <w:jc w:val="both"/>
        <w:rPr>
          <w:rFonts w:cs="Traditional Arabic"/>
          <w:sz w:val="20"/>
          <w:szCs w:val="30"/>
          <w:rtl/>
          <w:lang w:bidi="ar-EG"/>
        </w:rPr>
      </w:pPr>
      <w:r w:rsidRPr="00335E4B">
        <w:rPr>
          <w:rFonts w:cs="Traditional Arabic"/>
          <w:sz w:val="20"/>
          <w:szCs w:val="30"/>
          <w:rtl/>
          <w:lang w:bidi="ar-EG"/>
        </w:rPr>
        <w:t xml:space="preserve">الفحم مورد معقَّد من موارد الطاقة ويمكن أن يتباين إلى حد كبير في تكوينه حتى ولو كان </w:t>
      </w:r>
      <w:r w:rsidRPr="00335E4B">
        <w:rPr>
          <w:rFonts w:cs="Traditional Arabic" w:hint="cs"/>
          <w:sz w:val="20"/>
          <w:szCs w:val="30"/>
          <w:rtl/>
          <w:lang w:bidi="ar-EG"/>
        </w:rPr>
        <w:t xml:space="preserve">من </w:t>
      </w:r>
      <w:r w:rsidRPr="00335E4B">
        <w:rPr>
          <w:rFonts w:cs="Traditional Arabic"/>
          <w:sz w:val="20"/>
          <w:szCs w:val="30"/>
          <w:rtl/>
          <w:lang w:bidi="ar-EG"/>
        </w:rPr>
        <w:t xml:space="preserve">نفس </w:t>
      </w:r>
      <w:r w:rsidRPr="00335E4B">
        <w:rPr>
          <w:rFonts w:cs="Traditional Arabic" w:hint="cs"/>
          <w:sz w:val="20"/>
          <w:szCs w:val="30"/>
          <w:rtl/>
          <w:lang w:bidi="ar-EG"/>
        </w:rPr>
        <w:t>عرق المنجم</w:t>
      </w:r>
      <w:r w:rsidRPr="00335E4B">
        <w:rPr>
          <w:rFonts w:cs="Traditional Arabic"/>
          <w:sz w:val="20"/>
          <w:szCs w:val="30"/>
          <w:rtl/>
          <w:lang w:bidi="ar-EG"/>
        </w:rPr>
        <w:t xml:space="preserve">. وتتحدَّد نوعية </w:t>
      </w:r>
      <w:r w:rsidRPr="00335E4B">
        <w:rPr>
          <w:rFonts w:cs="Traditional Arabic" w:hint="cs"/>
          <w:sz w:val="20"/>
          <w:szCs w:val="30"/>
          <w:rtl/>
          <w:lang w:bidi="ar-EG"/>
        </w:rPr>
        <w:t xml:space="preserve">الفحم </w:t>
      </w:r>
      <w:r w:rsidRPr="00335E4B">
        <w:rPr>
          <w:rFonts w:cs="Traditional Arabic"/>
          <w:sz w:val="20"/>
          <w:szCs w:val="30"/>
          <w:rtl/>
          <w:lang w:bidi="ar-EG"/>
        </w:rPr>
        <w:t xml:space="preserve">بتكوينه ومحتواه من الطاقة. ويستند </w:t>
      </w:r>
      <w:r w:rsidRPr="00335E4B">
        <w:rPr>
          <w:rFonts w:cs="Traditional Arabic" w:hint="cs"/>
          <w:sz w:val="20"/>
          <w:szCs w:val="30"/>
          <w:rtl/>
          <w:lang w:bidi="ar-EG"/>
        </w:rPr>
        <w:t>تحديد رتبة</w:t>
      </w:r>
      <w:r w:rsidRPr="00335E4B">
        <w:rPr>
          <w:rFonts w:cs="Traditional Arabic"/>
          <w:sz w:val="20"/>
          <w:szCs w:val="30"/>
          <w:rtl/>
          <w:lang w:bidi="ar-EG"/>
        </w:rPr>
        <w:t xml:space="preserve"> الفحم </w:t>
      </w:r>
      <w:r w:rsidRPr="00335E4B">
        <w:rPr>
          <w:rFonts w:cs="Traditional Arabic" w:hint="cs"/>
          <w:sz w:val="20"/>
          <w:szCs w:val="30"/>
          <w:rtl/>
          <w:lang w:bidi="ar-EG"/>
        </w:rPr>
        <w:t>إلى</w:t>
      </w:r>
      <w:r w:rsidRPr="00335E4B">
        <w:rPr>
          <w:rFonts w:cs="Traditional Arabic"/>
          <w:sz w:val="20"/>
          <w:szCs w:val="30"/>
          <w:rtl/>
          <w:lang w:bidi="ar-EG"/>
        </w:rPr>
        <w:t xml:space="preserve"> درجة تحول مادة النبات الأصلية إلى كربون. وتعرِّف الجمعية الأمريكية للاختبارات والمواد أربعة أنواع أساسية من الفحم: الليغنيت</w:t>
      </w:r>
      <w:r w:rsidRPr="00335E4B">
        <w:rPr>
          <w:rFonts w:cs="Traditional Arabic" w:hint="cs"/>
          <w:sz w:val="20"/>
          <w:szCs w:val="30"/>
          <w:rtl/>
          <w:lang w:bidi="ar-EG"/>
        </w:rPr>
        <w:t>،</w:t>
      </w:r>
      <w:r w:rsidRPr="00335E4B">
        <w:rPr>
          <w:rFonts w:cs="Traditional Arabic"/>
          <w:sz w:val="20"/>
          <w:szCs w:val="30"/>
          <w:rtl/>
          <w:lang w:bidi="ar-EG"/>
        </w:rPr>
        <w:t xml:space="preserve"> ودون القيري</w:t>
      </w:r>
      <w:r w:rsidRPr="00335E4B">
        <w:rPr>
          <w:rFonts w:cs="Traditional Arabic" w:hint="cs"/>
          <w:sz w:val="20"/>
          <w:szCs w:val="30"/>
          <w:rtl/>
          <w:lang w:bidi="ar-EG"/>
        </w:rPr>
        <w:t>،</w:t>
      </w:r>
      <w:r w:rsidRPr="00335E4B">
        <w:rPr>
          <w:rFonts w:cs="Traditional Arabic"/>
          <w:sz w:val="20"/>
          <w:szCs w:val="30"/>
          <w:rtl/>
          <w:lang w:bidi="ar-EG"/>
        </w:rPr>
        <w:t xml:space="preserve"> والقيري</w:t>
      </w:r>
      <w:r w:rsidRPr="00335E4B">
        <w:rPr>
          <w:rFonts w:cs="Traditional Arabic" w:hint="cs"/>
          <w:sz w:val="20"/>
          <w:szCs w:val="30"/>
          <w:rtl/>
          <w:lang w:bidi="ar-EG"/>
        </w:rPr>
        <w:t>،</w:t>
      </w:r>
      <w:r w:rsidRPr="00335E4B">
        <w:rPr>
          <w:rFonts w:cs="Traditional Arabic"/>
          <w:sz w:val="20"/>
          <w:szCs w:val="30"/>
          <w:rtl/>
          <w:lang w:bidi="ar-EG"/>
        </w:rPr>
        <w:t xml:space="preserve"> </w:t>
      </w:r>
      <w:r w:rsidRPr="00335E4B">
        <w:rPr>
          <w:rFonts w:cs="Traditional Arabic" w:hint="cs"/>
          <w:sz w:val="20"/>
          <w:szCs w:val="30"/>
          <w:rtl/>
          <w:lang w:bidi="ar-EG"/>
        </w:rPr>
        <w:t>والأنثراسيت (</w:t>
      </w:r>
      <w:r w:rsidRPr="00335E4B">
        <w:rPr>
          <w:rFonts w:cs="Traditional Arabic"/>
          <w:sz w:val="20"/>
          <w:szCs w:val="30"/>
          <w:rtl/>
          <w:lang w:bidi="ar-EG"/>
        </w:rPr>
        <w:t>الصلب</w:t>
      </w:r>
      <w:r w:rsidRPr="00335E4B">
        <w:rPr>
          <w:rFonts w:cs="Traditional Arabic" w:hint="cs"/>
          <w:sz w:val="20"/>
          <w:szCs w:val="30"/>
          <w:rtl/>
          <w:lang w:bidi="ar-EG"/>
        </w:rPr>
        <w:t>)</w:t>
      </w:r>
      <w:r w:rsidRPr="00335E4B">
        <w:rPr>
          <w:rFonts w:cs="Traditional Arabic"/>
          <w:sz w:val="20"/>
          <w:szCs w:val="30"/>
          <w:rtl/>
          <w:lang w:bidi="ar-EG"/>
        </w:rPr>
        <w:t xml:space="preserve"> (</w:t>
      </w:r>
      <w:r w:rsidRPr="00335E4B">
        <w:rPr>
          <w:rFonts w:cs="Traditional Arabic" w:hint="cs"/>
          <w:sz w:val="20"/>
          <w:szCs w:val="30"/>
          <w:rtl/>
          <w:lang w:bidi="ar-EG"/>
        </w:rPr>
        <w:t xml:space="preserve">الجمعية الأمريكية للاختبارات والمواد </w:t>
      </w:r>
      <w:r w:rsidRPr="00335E4B">
        <w:rPr>
          <w:rFonts w:cs="Traditional Arabic"/>
          <w:sz w:val="20"/>
          <w:szCs w:val="30"/>
          <w:lang w:bidi="ar-EG"/>
        </w:rPr>
        <w:t>D388</w:t>
      </w:r>
      <w:r w:rsidRPr="00335E4B">
        <w:rPr>
          <w:rFonts w:cs="Traditional Arabic"/>
          <w:sz w:val="20"/>
          <w:szCs w:val="30"/>
          <w:rtl/>
          <w:lang w:bidi="ar-EG"/>
        </w:rPr>
        <w:t>) وفي بعض البلدان، يسمى فحم الليغنيت والفحم دون القيري باسم ”الفحم البنِّي“، ويسمى الفحم القيري والصلب باسم ”الفحم القاسي“. وسوف تستخدم تسميات الجمعية الأمريكية للاختبارات والمواد في كل أجزاء هذه الوثيقة.</w:t>
      </w:r>
      <w:r w:rsidRPr="00335E4B">
        <w:rPr>
          <w:rFonts w:cs="Traditional Arabic"/>
          <w:b/>
          <w:bCs/>
          <w:sz w:val="20"/>
          <w:szCs w:val="30"/>
        </w:rPr>
        <w:t xml:space="preserve"> </w:t>
      </w:r>
    </w:p>
    <w:p w:rsidR="00335E4B" w:rsidRPr="00335E4B" w:rsidRDefault="00335E4B" w:rsidP="00335E4B">
      <w:pPr>
        <w:tabs>
          <w:tab w:val="center" w:pos="5468"/>
        </w:tabs>
        <w:spacing w:after="120" w:line="340" w:lineRule="exact"/>
        <w:jc w:val="both"/>
        <w:rPr>
          <w:rFonts w:cs="Traditional Arabic"/>
          <w:sz w:val="20"/>
          <w:szCs w:val="30"/>
          <w:rtl/>
          <w:lang w:bidi="ar-EG"/>
        </w:rPr>
      </w:pPr>
      <w:r w:rsidRPr="00335E4B">
        <w:rPr>
          <w:rFonts w:cs="Traditional Arabic"/>
          <w:sz w:val="20"/>
          <w:szCs w:val="30"/>
          <w:rtl/>
          <w:lang w:bidi="ar-EG"/>
        </w:rPr>
        <w:t xml:space="preserve">ويتضمن </w:t>
      </w:r>
      <w:r w:rsidRPr="00335E4B">
        <w:rPr>
          <w:rFonts w:cs="Traditional Arabic"/>
          <w:b/>
          <w:bCs/>
          <w:sz w:val="20"/>
          <w:szCs w:val="30"/>
          <w:rtl/>
          <w:lang w:bidi="ar-EG"/>
        </w:rPr>
        <w:t>الليغنيت</w:t>
      </w:r>
      <w:r w:rsidRPr="00335E4B">
        <w:rPr>
          <w:rFonts w:cs="Traditional Arabic"/>
          <w:sz w:val="20"/>
          <w:szCs w:val="30"/>
          <w:rtl/>
          <w:lang w:bidi="ar-EG"/>
        </w:rPr>
        <w:t xml:space="preserve"> نمطياً 25-35 في المائة من الكربون </w:t>
      </w:r>
      <w:r w:rsidRPr="00335E4B">
        <w:rPr>
          <w:rFonts w:cs="Traditional Arabic" w:hint="cs"/>
          <w:sz w:val="20"/>
          <w:szCs w:val="30"/>
          <w:rtl/>
          <w:lang w:bidi="ar-EG"/>
        </w:rPr>
        <w:t>الثابت</w:t>
      </w:r>
      <w:r w:rsidRPr="00335E4B">
        <w:rPr>
          <w:rFonts w:cs="Traditional Arabic"/>
          <w:sz w:val="20"/>
          <w:szCs w:val="30"/>
          <w:rtl/>
          <w:lang w:bidi="ar-EG"/>
        </w:rPr>
        <w:t xml:space="preserve"> (وزناً بوزن) </w:t>
      </w:r>
      <w:r w:rsidRPr="00335E4B">
        <w:rPr>
          <w:rFonts w:cs="Traditional Arabic" w:hint="cs"/>
          <w:sz w:val="20"/>
          <w:szCs w:val="30"/>
          <w:rtl/>
          <w:lang w:bidi="ar-EG"/>
        </w:rPr>
        <w:t>و</w:t>
      </w:r>
      <w:r w:rsidRPr="00335E4B">
        <w:rPr>
          <w:rFonts w:cs="Traditional Arabic"/>
          <w:sz w:val="20"/>
          <w:szCs w:val="30"/>
          <w:rtl/>
          <w:lang w:bidi="ar-EG"/>
        </w:rPr>
        <w:t>يحتوي على أقل مقدار من الطاقة (أقل من 19</w:t>
      </w:r>
      <w:r w:rsidRPr="00335E4B">
        <w:rPr>
          <w:rFonts w:cs="Traditional Arabic" w:hint="cs"/>
          <w:sz w:val="20"/>
          <w:szCs w:val="30"/>
          <w:rtl/>
          <w:lang w:bidi="ar-EG"/>
        </w:rPr>
        <w:t>,</w:t>
      </w:r>
      <w:r w:rsidRPr="00335E4B">
        <w:rPr>
          <w:rFonts w:cs="Traditional Arabic"/>
          <w:sz w:val="20"/>
          <w:szCs w:val="30"/>
          <w:rtl/>
          <w:lang w:bidi="ar-EG"/>
        </w:rPr>
        <w:t xml:space="preserve">26 ميغاجول/كغ قيمة حرارية إجمالية). ويستعمل عموماً لتوليد الكهرباء أو تدفئة المناطق </w:t>
      </w:r>
      <w:r w:rsidRPr="00335E4B">
        <w:rPr>
          <w:rFonts w:cs="Traditional Arabic" w:hint="cs"/>
          <w:sz w:val="20"/>
          <w:szCs w:val="30"/>
          <w:rtl/>
          <w:lang w:bidi="ar-EG"/>
        </w:rPr>
        <w:t>الواقعة بالقرب من</w:t>
      </w:r>
      <w:r w:rsidRPr="00335E4B">
        <w:rPr>
          <w:rFonts w:cs="Traditional Arabic"/>
          <w:sz w:val="20"/>
          <w:szCs w:val="30"/>
          <w:rtl/>
          <w:lang w:bidi="ar-EG"/>
        </w:rPr>
        <w:t xml:space="preserve"> المناجم.</w:t>
      </w:r>
    </w:p>
    <w:p w:rsidR="00335E4B" w:rsidRPr="00335E4B" w:rsidRDefault="00335E4B" w:rsidP="00335E4B">
      <w:pPr>
        <w:tabs>
          <w:tab w:val="center" w:pos="5468"/>
        </w:tabs>
        <w:spacing w:after="120" w:line="340" w:lineRule="exact"/>
        <w:jc w:val="both"/>
        <w:rPr>
          <w:rFonts w:cs="Traditional Arabic"/>
          <w:sz w:val="20"/>
          <w:szCs w:val="30"/>
          <w:rtl/>
          <w:lang w:bidi="ar-EG"/>
        </w:rPr>
      </w:pPr>
      <w:r w:rsidRPr="00335E4B">
        <w:rPr>
          <w:rFonts w:cs="Traditional Arabic"/>
          <w:sz w:val="20"/>
          <w:szCs w:val="30"/>
          <w:rtl/>
          <w:lang w:bidi="ar-EG"/>
        </w:rPr>
        <w:t xml:space="preserve">ويحتوي </w:t>
      </w:r>
      <w:r w:rsidRPr="00335E4B">
        <w:rPr>
          <w:rFonts w:cs="Traditional Arabic"/>
          <w:b/>
          <w:bCs/>
          <w:sz w:val="20"/>
          <w:szCs w:val="30"/>
          <w:rtl/>
          <w:lang w:bidi="ar-EG"/>
        </w:rPr>
        <w:t>الفحم غير القيري</w:t>
      </w:r>
      <w:r w:rsidRPr="00335E4B">
        <w:rPr>
          <w:rFonts w:cs="Traditional Arabic"/>
          <w:sz w:val="20"/>
          <w:szCs w:val="30"/>
          <w:rtl/>
          <w:lang w:bidi="ar-EG"/>
        </w:rPr>
        <w:t xml:space="preserve"> نمطياً </w:t>
      </w:r>
      <w:r w:rsidRPr="00335E4B">
        <w:rPr>
          <w:rFonts w:cs="Traditional Arabic" w:hint="cs"/>
          <w:sz w:val="20"/>
          <w:szCs w:val="30"/>
          <w:rtl/>
          <w:lang w:bidi="ar-EG"/>
        </w:rPr>
        <w:t xml:space="preserve">على </w:t>
      </w:r>
      <w:r w:rsidRPr="00335E4B">
        <w:rPr>
          <w:rFonts w:cs="Traditional Arabic"/>
          <w:sz w:val="20"/>
          <w:szCs w:val="30"/>
          <w:rtl/>
          <w:lang w:bidi="ar-EG"/>
        </w:rPr>
        <w:t xml:space="preserve">35-45 في المائة من الكربون </w:t>
      </w:r>
      <w:r w:rsidRPr="00335E4B">
        <w:rPr>
          <w:rFonts w:cs="Traditional Arabic" w:hint="cs"/>
          <w:sz w:val="20"/>
          <w:szCs w:val="30"/>
          <w:rtl/>
          <w:lang w:bidi="ar-EG"/>
        </w:rPr>
        <w:t>الثابت</w:t>
      </w:r>
      <w:r w:rsidRPr="00335E4B">
        <w:rPr>
          <w:rFonts w:cs="Traditional Arabic"/>
          <w:sz w:val="20"/>
          <w:szCs w:val="30"/>
          <w:rtl/>
          <w:lang w:bidi="ar-EG"/>
        </w:rPr>
        <w:t xml:space="preserve"> (وزناً بوزن) وتتراوح قيمة التدفئة بين 19</w:t>
      </w:r>
      <w:r w:rsidRPr="00335E4B">
        <w:rPr>
          <w:rFonts w:cs="Traditional Arabic" w:hint="cs"/>
          <w:sz w:val="20"/>
          <w:szCs w:val="30"/>
          <w:rtl/>
          <w:lang w:bidi="ar-EG"/>
        </w:rPr>
        <w:t>,</w:t>
      </w:r>
      <w:r w:rsidRPr="00335E4B">
        <w:rPr>
          <w:rFonts w:cs="Traditional Arabic"/>
          <w:sz w:val="20"/>
          <w:szCs w:val="30"/>
          <w:rtl/>
          <w:lang w:bidi="ar-EG"/>
        </w:rPr>
        <w:t>26 و26</w:t>
      </w:r>
      <w:r w:rsidRPr="00335E4B">
        <w:rPr>
          <w:rFonts w:cs="Traditional Arabic" w:hint="cs"/>
          <w:sz w:val="20"/>
          <w:szCs w:val="30"/>
          <w:rtl/>
          <w:lang w:bidi="ar-EG"/>
        </w:rPr>
        <w:t>,</w:t>
      </w:r>
      <w:r w:rsidRPr="00335E4B">
        <w:rPr>
          <w:rFonts w:cs="Traditional Arabic"/>
          <w:sz w:val="20"/>
          <w:szCs w:val="30"/>
          <w:rtl/>
          <w:lang w:bidi="ar-EG"/>
        </w:rPr>
        <w:t>80 ميغاجول/كغ قيمة حرارية إجمالية. ويستعمل على نطاق واسع لتوليد الكهرباء وكذلك في المراجل الصناعية.</w:t>
      </w:r>
      <w:r w:rsidRPr="00335E4B">
        <w:rPr>
          <w:rFonts w:cs="Traditional Arabic"/>
          <w:b/>
          <w:bCs/>
          <w:sz w:val="20"/>
          <w:szCs w:val="30"/>
        </w:rPr>
        <w:t xml:space="preserve"> </w:t>
      </w:r>
    </w:p>
    <w:p w:rsidR="00335E4B" w:rsidRPr="00335E4B" w:rsidRDefault="00335E4B" w:rsidP="00335E4B">
      <w:pPr>
        <w:spacing w:after="120" w:line="340" w:lineRule="exact"/>
        <w:jc w:val="both"/>
        <w:rPr>
          <w:rFonts w:cs="Traditional Arabic"/>
          <w:sz w:val="20"/>
          <w:szCs w:val="30"/>
          <w:rtl/>
          <w:lang w:bidi="ar-EG"/>
        </w:rPr>
      </w:pPr>
      <w:r w:rsidRPr="00335E4B">
        <w:rPr>
          <w:rFonts w:cs="Traditional Arabic"/>
          <w:sz w:val="20"/>
          <w:szCs w:val="30"/>
          <w:rtl/>
          <w:lang w:bidi="ar-EG"/>
        </w:rPr>
        <w:t xml:space="preserve">ويحتوي </w:t>
      </w:r>
      <w:r w:rsidRPr="00335E4B">
        <w:rPr>
          <w:rFonts w:cs="Traditional Arabic"/>
          <w:b/>
          <w:bCs/>
          <w:sz w:val="20"/>
          <w:szCs w:val="30"/>
          <w:rtl/>
          <w:lang w:bidi="ar-EG"/>
        </w:rPr>
        <w:t xml:space="preserve">الفحم القيري </w:t>
      </w:r>
      <w:r w:rsidRPr="00335E4B">
        <w:rPr>
          <w:rFonts w:cs="Traditional Arabic"/>
          <w:sz w:val="20"/>
          <w:szCs w:val="30"/>
          <w:rtl/>
          <w:lang w:bidi="ar-EG"/>
        </w:rPr>
        <w:t xml:space="preserve">على 25-86 في المائة من الكربون </w:t>
      </w:r>
      <w:r w:rsidRPr="00335E4B">
        <w:rPr>
          <w:rFonts w:cs="Traditional Arabic" w:hint="cs"/>
          <w:sz w:val="20"/>
          <w:szCs w:val="30"/>
          <w:rtl/>
          <w:lang w:bidi="ar-EG"/>
        </w:rPr>
        <w:t>الثابت</w:t>
      </w:r>
      <w:r w:rsidRPr="00335E4B">
        <w:rPr>
          <w:rFonts w:cs="Traditional Arabic"/>
          <w:sz w:val="20"/>
          <w:szCs w:val="30"/>
          <w:rtl/>
          <w:lang w:bidi="ar-EG"/>
        </w:rPr>
        <w:t xml:space="preserve"> (وزناً بوزن) وتتراوح قيمته الحرارية بين 26</w:t>
      </w:r>
      <w:r w:rsidRPr="00335E4B">
        <w:rPr>
          <w:rFonts w:cs="Traditional Arabic" w:hint="cs"/>
          <w:sz w:val="20"/>
          <w:szCs w:val="30"/>
          <w:rtl/>
          <w:lang w:bidi="ar-EG"/>
        </w:rPr>
        <w:t>,</w:t>
      </w:r>
      <w:r w:rsidRPr="00335E4B">
        <w:rPr>
          <w:rFonts w:cs="Traditional Arabic"/>
          <w:sz w:val="20"/>
          <w:szCs w:val="30"/>
          <w:rtl/>
          <w:lang w:bidi="ar-EG"/>
        </w:rPr>
        <w:t>80 و32</w:t>
      </w:r>
      <w:r w:rsidRPr="00335E4B">
        <w:rPr>
          <w:rFonts w:cs="Traditional Arabic" w:hint="cs"/>
          <w:sz w:val="20"/>
          <w:szCs w:val="30"/>
          <w:rtl/>
          <w:lang w:bidi="ar-EG"/>
        </w:rPr>
        <w:t>,</w:t>
      </w:r>
      <w:r w:rsidRPr="00335E4B">
        <w:rPr>
          <w:rFonts w:cs="Traditional Arabic"/>
          <w:sz w:val="20"/>
          <w:szCs w:val="30"/>
          <w:rtl/>
          <w:lang w:bidi="ar-EG"/>
        </w:rPr>
        <w:t>66 ميغاجول/كغ قيمة حرارية إجمالية. وهذا الفحم القيري، مثله مثل الفحم دون القيري، يستعمل على نطاق واسع لتوليد الكهرباء وفي المراجل الصناعية.</w:t>
      </w:r>
    </w:p>
    <w:p w:rsidR="00335E4B" w:rsidRPr="00335E4B" w:rsidRDefault="00335E4B" w:rsidP="00335E4B">
      <w:pPr>
        <w:spacing w:after="120" w:line="340" w:lineRule="exact"/>
        <w:jc w:val="both"/>
        <w:rPr>
          <w:rFonts w:cs="Traditional Arabic"/>
          <w:sz w:val="20"/>
          <w:szCs w:val="30"/>
          <w:rtl/>
          <w:lang w:bidi="ar-EG"/>
        </w:rPr>
      </w:pPr>
      <w:r w:rsidRPr="00335E4B">
        <w:rPr>
          <w:rFonts w:cs="Traditional Arabic"/>
          <w:sz w:val="20"/>
          <w:szCs w:val="30"/>
          <w:rtl/>
          <w:lang w:bidi="ar-EG"/>
        </w:rPr>
        <w:t xml:space="preserve">ويتضمن </w:t>
      </w:r>
      <w:r w:rsidRPr="00335E4B">
        <w:rPr>
          <w:rFonts w:cs="Traditional Arabic"/>
          <w:b/>
          <w:bCs/>
          <w:sz w:val="20"/>
          <w:szCs w:val="30"/>
          <w:rtl/>
          <w:lang w:bidi="ar-EG"/>
        </w:rPr>
        <w:t>الأنثراسيت</w:t>
      </w:r>
      <w:r w:rsidRPr="00335E4B">
        <w:rPr>
          <w:rFonts w:cs="Traditional Arabic"/>
          <w:sz w:val="20"/>
          <w:szCs w:val="30"/>
          <w:rtl/>
          <w:lang w:bidi="ar-EG"/>
        </w:rPr>
        <w:t xml:space="preserve"> مقدارً كبيراً جداً من الكربون </w:t>
      </w:r>
      <w:r w:rsidRPr="00335E4B">
        <w:rPr>
          <w:rFonts w:cs="Traditional Arabic" w:hint="cs"/>
          <w:sz w:val="20"/>
          <w:szCs w:val="30"/>
          <w:rtl/>
          <w:lang w:bidi="ar-EG"/>
        </w:rPr>
        <w:t>الثابت</w:t>
      </w:r>
      <w:r w:rsidRPr="00335E4B">
        <w:rPr>
          <w:rFonts w:cs="Traditional Arabic"/>
          <w:sz w:val="20"/>
          <w:szCs w:val="30"/>
          <w:rtl/>
          <w:lang w:bidi="ar-EG"/>
        </w:rPr>
        <w:t xml:space="preserve"> يصل إلى 86-97 في المائة (وزناً بوزن). وهو أصلب أنواع الفحم ويعطي أكبر قدر من الحرارة عند حرقه (أكثر من 32</w:t>
      </w:r>
      <w:r w:rsidRPr="00335E4B">
        <w:rPr>
          <w:rFonts w:cs="Traditional Arabic" w:hint="cs"/>
          <w:sz w:val="20"/>
          <w:szCs w:val="30"/>
          <w:rtl/>
          <w:lang w:bidi="ar-EG"/>
        </w:rPr>
        <w:t>,</w:t>
      </w:r>
      <w:r w:rsidRPr="00335E4B">
        <w:rPr>
          <w:rFonts w:cs="Traditional Arabic"/>
          <w:sz w:val="20"/>
          <w:szCs w:val="30"/>
          <w:rtl/>
          <w:lang w:bidi="ar-EG"/>
        </w:rPr>
        <w:t xml:space="preserve">66 كيلوجول/كغ قيمة حرارية إجمالية), ولكنه أصعب أنواع وقود الفحم في الحرق بسبب انخفاض المحتوى المتطاير. </w:t>
      </w:r>
    </w:p>
    <w:p w:rsidR="00335E4B" w:rsidRPr="00335E4B" w:rsidRDefault="00335E4B" w:rsidP="009E210A">
      <w:pPr>
        <w:spacing w:after="120" w:line="340" w:lineRule="exact"/>
        <w:jc w:val="both"/>
        <w:rPr>
          <w:rFonts w:cs="Traditional Arabic"/>
          <w:sz w:val="20"/>
          <w:szCs w:val="30"/>
          <w:lang w:bidi="ar-EG"/>
        </w:rPr>
      </w:pPr>
      <w:r w:rsidRPr="00335E4B">
        <w:rPr>
          <w:rFonts w:cs="Traditional Arabic"/>
          <w:sz w:val="20"/>
          <w:szCs w:val="30"/>
          <w:rtl/>
          <w:lang w:bidi="ar-EG"/>
        </w:rPr>
        <w:t xml:space="preserve">الشكل 1 </w:t>
      </w:r>
      <w:r w:rsidR="009E210A" w:rsidRPr="00335E4B">
        <w:rPr>
          <w:rFonts w:cs="Traditional Arabic"/>
          <w:sz w:val="20"/>
          <w:szCs w:val="30"/>
          <w:rtl/>
          <w:lang w:bidi="ar-EG"/>
        </w:rPr>
        <w:t xml:space="preserve">يعرض </w:t>
      </w:r>
      <w:r w:rsidRPr="00335E4B">
        <w:rPr>
          <w:rFonts w:cs="Traditional Arabic"/>
          <w:sz w:val="20"/>
          <w:szCs w:val="30"/>
          <w:rtl/>
          <w:lang w:bidi="ar-EG"/>
        </w:rPr>
        <w:t>الاستخدام النمطي لمختلف أنواع الفحم (رابطة الفحم العالمية، 2014). وكما يتضح من ذلك الشكل 1 تشير التقديرات إلى أن الفحم بنوعيه القيري ودون القيري المستعمل في منشآت توليد القوى الكهربائية وفي المراجل الصناعية يشكل أكثر من 80 في المائة من احتياطيات الفحم المعروفة في كل أنحاء العالم.</w:t>
      </w:r>
    </w:p>
    <w:p w:rsidR="00335E4B" w:rsidRPr="00335E4B" w:rsidRDefault="00335E4B" w:rsidP="00335E4B">
      <w:pPr>
        <w:ind w:left="567"/>
        <w:jc w:val="lowKashida"/>
        <w:rPr>
          <w:rFonts w:cs="Traditional Arabic"/>
          <w:b/>
          <w:bCs/>
          <w:sz w:val="20"/>
          <w:szCs w:val="30"/>
          <w:lang w:bidi="ar-EG"/>
        </w:rPr>
      </w:pPr>
      <w:r>
        <w:rPr>
          <w:rFonts w:cs="Traditional Arabic"/>
          <w:noProof/>
          <w:sz w:val="20"/>
          <w:szCs w:val="30"/>
          <w:lang w:val="en-GB" w:eastAsia="zh-CN"/>
        </w:rPr>
        <mc:AlternateContent>
          <mc:Choice Requires="wpg">
            <w:drawing>
              <wp:anchor distT="0" distB="0" distL="114300" distR="114300" simplePos="0" relativeHeight="251678720" behindDoc="0" locked="0" layoutInCell="1" allowOverlap="1" wp14:anchorId="17D98F0D" wp14:editId="1051AC88">
                <wp:simplePos x="0" y="0"/>
                <wp:positionH relativeFrom="column">
                  <wp:posOffset>-33020</wp:posOffset>
                </wp:positionH>
                <wp:positionV relativeFrom="paragraph">
                  <wp:posOffset>192405</wp:posOffset>
                </wp:positionV>
                <wp:extent cx="5661660" cy="2906395"/>
                <wp:effectExtent l="635" t="3175"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660" cy="2906395"/>
                          <a:chOff x="1502" y="1223"/>
                          <a:chExt cx="8916" cy="4577"/>
                        </a:xfrm>
                      </wpg:grpSpPr>
                      <wps:wsp>
                        <wps:cNvPr id="591" name="Text Box 168"/>
                        <wps:cNvSpPr txBox="1">
                          <a:spLocks noChangeArrowheads="1"/>
                        </wps:cNvSpPr>
                        <wps:spPr bwMode="auto">
                          <a:xfrm>
                            <a:off x="3557" y="1223"/>
                            <a:ext cx="5814" cy="346"/>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CC4E0A" w:rsidRDefault="00670B40" w:rsidP="00335E4B">
                              <w:pPr>
                                <w:rPr>
                                  <w:rFonts w:ascii="Traditional Arabic" w:hAnsi="Traditional Arabic" w:cs="Traditional Arabic"/>
                                  <w:b/>
                                  <w:bCs/>
                                  <w:color w:val="000000"/>
                                  <w:szCs w:val="22"/>
                                  <w:lang w:bidi="ar-EG"/>
                                </w:rPr>
                              </w:pPr>
                              <w:r w:rsidRPr="00CC4E0A">
                                <w:rPr>
                                  <w:rFonts w:ascii="Traditional Arabic" w:hAnsi="Traditional Arabic" w:cs="Traditional Arabic"/>
                                  <w:b/>
                                  <w:bCs/>
                                  <w:color w:val="000000"/>
                                  <w:szCs w:val="22"/>
                                  <w:rtl/>
                                  <w:lang w:bidi="ar-EG"/>
                                </w:rPr>
                                <w:t>محتوى الكربون أو محتوى الطاقة في الفحم</w:t>
                              </w:r>
                            </w:p>
                          </w:txbxContent>
                        </wps:txbx>
                        <wps:bodyPr rot="0" vert="horz" wrap="square" lIns="0" tIns="0" rIns="0" bIns="0" anchor="t" anchorCtr="0" upright="1">
                          <a:noAutofit/>
                        </wps:bodyPr>
                      </wps:wsp>
                      <wps:wsp>
                        <wps:cNvPr id="592" name="Text Box 169"/>
                        <wps:cNvSpPr txBox="1">
                          <a:spLocks noChangeArrowheads="1"/>
                        </wps:cNvSpPr>
                        <wps:spPr bwMode="auto">
                          <a:xfrm>
                            <a:off x="2531" y="1636"/>
                            <a:ext cx="5814" cy="289"/>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CC4E0A" w:rsidRDefault="00670B40" w:rsidP="00335E4B">
                              <w:pPr>
                                <w:rPr>
                                  <w:rFonts w:ascii="Traditional Arabic" w:hAnsi="Traditional Arabic" w:cs="Traditional Arabic"/>
                                  <w:b/>
                                  <w:bCs/>
                                  <w:color w:val="000000"/>
                                  <w:szCs w:val="22"/>
                                  <w:lang w:bidi="ar-EG"/>
                                </w:rPr>
                              </w:pPr>
                              <w:r w:rsidRPr="00CC4E0A">
                                <w:rPr>
                                  <w:rFonts w:ascii="Traditional Arabic" w:hAnsi="Traditional Arabic" w:cs="Traditional Arabic"/>
                                  <w:b/>
                                  <w:bCs/>
                                  <w:color w:val="000000"/>
                                  <w:szCs w:val="22"/>
                                  <w:rtl/>
                                  <w:lang w:bidi="ar-EG"/>
                                </w:rPr>
                                <w:t>محتوى الماء في الفحم</w:t>
                              </w:r>
                            </w:p>
                          </w:txbxContent>
                        </wps:txbx>
                        <wps:bodyPr rot="0" vert="horz" wrap="square" lIns="0" tIns="0" rIns="0" bIns="0" anchor="t" anchorCtr="0" upright="1">
                          <a:noAutofit/>
                        </wps:bodyPr>
                      </wps:wsp>
                      <wps:wsp>
                        <wps:cNvPr id="593" name="Text Box 170"/>
                        <wps:cNvSpPr txBox="1">
                          <a:spLocks noChangeArrowheads="1"/>
                        </wps:cNvSpPr>
                        <wps:spPr bwMode="auto">
                          <a:xfrm>
                            <a:off x="1502" y="2069"/>
                            <a:ext cx="403" cy="2799"/>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CC4E0A" w:rsidRDefault="00670B40" w:rsidP="00335E4B">
                              <w:pPr>
                                <w:jc w:val="center"/>
                                <w:rPr>
                                  <w:rFonts w:ascii="Traditional Arabic" w:hAnsi="Traditional Arabic" w:cs="Traditional Arabic"/>
                                  <w:b/>
                                  <w:bCs/>
                                  <w:color w:val="000000"/>
                                  <w:szCs w:val="22"/>
                                  <w:lang w:bidi="ar-EG"/>
                                </w:rPr>
                              </w:pPr>
                              <w:r w:rsidRPr="002E62CE">
                                <w:rPr>
                                  <w:rFonts w:cs="Akhbar MT"/>
                                  <w:b/>
                                  <w:bCs/>
                                  <w:color w:val="000000"/>
                                  <w:szCs w:val="20"/>
                                  <w:rtl/>
                                  <w:lang w:bidi="ar-EG"/>
                                </w:rPr>
                                <w:t>%</w:t>
                              </w:r>
                              <w:r w:rsidRPr="00CC4E0A">
                                <w:rPr>
                                  <w:rFonts w:ascii="Traditional Arabic" w:hAnsi="Traditional Arabic" w:cs="Traditional Arabic"/>
                                  <w:b/>
                                  <w:bCs/>
                                  <w:color w:val="000000"/>
                                  <w:szCs w:val="22"/>
                                  <w:rtl/>
                                  <w:lang w:bidi="ar-EG"/>
                                </w:rPr>
                                <w:t xml:space="preserve"> من احتياطيات العالم</w:t>
                              </w:r>
                            </w:p>
                          </w:txbxContent>
                        </wps:txbx>
                        <wps:bodyPr rot="0" vert="vert270" wrap="square" lIns="0" tIns="0" rIns="0" bIns="0" anchor="t" anchorCtr="0" upright="1">
                          <a:noAutofit/>
                        </wps:bodyPr>
                      </wps:wsp>
                      <wps:wsp>
                        <wps:cNvPr id="594" name="Text Box 171"/>
                        <wps:cNvSpPr txBox="1">
                          <a:spLocks noChangeArrowheads="1"/>
                        </wps:cNvSpPr>
                        <wps:spPr bwMode="auto">
                          <a:xfrm>
                            <a:off x="1502" y="4948"/>
                            <a:ext cx="403" cy="852"/>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CC4E0A" w:rsidRDefault="00670B40" w:rsidP="00335E4B">
                              <w:pPr>
                                <w:jc w:val="center"/>
                                <w:rPr>
                                  <w:rFonts w:ascii="Traditional Arabic" w:hAnsi="Traditional Arabic" w:cs="Traditional Arabic"/>
                                  <w:b/>
                                  <w:bCs/>
                                  <w:color w:val="000000"/>
                                  <w:szCs w:val="22"/>
                                  <w:lang w:bidi="ar-EG"/>
                                </w:rPr>
                              </w:pPr>
                              <w:r w:rsidRPr="00CC4E0A">
                                <w:rPr>
                                  <w:rFonts w:ascii="Traditional Arabic" w:hAnsi="Traditional Arabic" w:cs="Traditional Arabic"/>
                                  <w:b/>
                                  <w:bCs/>
                                  <w:color w:val="000000"/>
                                  <w:szCs w:val="22"/>
                                  <w:rtl/>
                                  <w:lang w:bidi="ar-EG"/>
                                </w:rPr>
                                <w:t>الاستخدامات</w:t>
                              </w:r>
                            </w:p>
                          </w:txbxContent>
                        </wps:txbx>
                        <wps:bodyPr rot="0" vert="vert270" wrap="square" lIns="0" tIns="0" rIns="0" bIns="0" anchor="t" anchorCtr="0" upright="1">
                          <a:noAutofit/>
                        </wps:bodyPr>
                      </wps:wsp>
                      <wps:wsp>
                        <wps:cNvPr id="595" name="Text Box 172"/>
                        <wps:cNvSpPr txBox="1">
                          <a:spLocks noChangeArrowheads="1"/>
                        </wps:cNvSpPr>
                        <wps:spPr bwMode="auto">
                          <a:xfrm>
                            <a:off x="3044" y="2305"/>
                            <a:ext cx="1470"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CC4E0A" w:rsidRDefault="00670B40" w:rsidP="00335E4B">
                              <w:pPr>
                                <w:spacing w:line="180" w:lineRule="exact"/>
                                <w:jc w:val="center"/>
                                <w:rPr>
                                  <w:rFonts w:ascii="Traditional Arabic" w:hAnsi="Traditional Arabic" w:cs="Traditional Arabic"/>
                                  <w:b/>
                                  <w:bCs/>
                                  <w:color w:val="000000"/>
                                  <w:szCs w:val="20"/>
                                  <w:lang w:bidi="ar-EG"/>
                                </w:rPr>
                              </w:pPr>
                              <w:r w:rsidRPr="00CC4E0A">
                                <w:rPr>
                                  <w:rFonts w:ascii="Traditional Arabic" w:hAnsi="Traditional Arabic" w:cs="Traditional Arabic"/>
                                  <w:b/>
                                  <w:bCs/>
                                  <w:color w:val="000000"/>
                                  <w:szCs w:val="20"/>
                                  <w:rtl/>
                                  <w:lang w:bidi="ar-EG"/>
                                </w:rPr>
                                <w:t>الفحم البنِّي</w:t>
                              </w:r>
                            </w:p>
                          </w:txbxContent>
                        </wps:txbx>
                        <wps:bodyPr rot="0" vert="horz" wrap="square" lIns="0" tIns="0" rIns="0" bIns="0" anchor="t" anchorCtr="0" upright="1">
                          <a:noAutofit/>
                        </wps:bodyPr>
                      </wps:wsp>
                      <wps:wsp>
                        <wps:cNvPr id="596" name="Text Box 173"/>
                        <wps:cNvSpPr txBox="1">
                          <a:spLocks noChangeArrowheads="1"/>
                        </wps:cNvSpPr>
                        <wps:spPr bwMode="auto">
                          <a:xfrm>
                            <a:off x="3466" y="2538"/>
                            <a:ext cx="615"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CC4E0A" w:rsidRDefault="00670B40" w:rsidP="00CC4E0A">
                              <w:pPr>
                                <w:spacing w:line="180" w:lineRule="exact"/>
                                <w:jc w:val="center"/>
                                <w:rPr>
                                  <w:rFonts w:ascii="Traditional Arabic" w:hAnsi="Traditional Arabic" w:cs="Traditional Arabic"/>
                                  <w:b/>
                                  <w:bCs/>
                                  <w:color w:val="000000"/>
                                  <w:szCs w:val="20"/>
                                  <w:lang w:bidi="ar-EG"/>
                                </w:rPr>
                              </w:pPr>
                              <w:r w:rsidRPr="00CC4E0A">
                                <w:rPr>
                                  <w:rFonts w:ascii="Traditional Arabic" w:hAnsi="Traditional Arabic" w:cs="Traditional Arabic"/>
                                  <w:b/>
                                  <w:bCs/>
                                  <w:color w:val="000000"/>
                                  <w:szCs w:val="20"/>
                                  <w:rtl/>
                                  <w:lang w:bidi="ar-EG"/>
                                </w:rPr>
                                <w:t>47</w:t>
                              </w:r>
                              <w:r w:rsidRPr="002E62CE">
                                <w:rPr>
                                  <w:rFonts w:cs="Akhbar MT"/>
                                  <w:b/>
                                  <w:bCs/>
                                  <w:color w:val="000000"/>
                                  <w:szCs w:val="20"/>
                                  <w:rtl/>
                                  <w:lang w:bidi="ar-EG"/>
                                </w:rPr>
                                <w:t>%</w:t>
                              </w:r>
                            </w:p>
                          </w:txbxContent>
                        </wps:txbx>
                        <wps:bodyPr rot="0" vert="horz" wrap="square" lIns="0" tIns="0" rIns="0" bIns="0" anchor="t" anchorCtr="0" upright="1">
                          <a:noAutofit/>
                        </wps:bodyPr>
                      </wps:wsp>
                      <wps:wsp>
                        <wps:cNvPr id="597" name="Text Box 174"/>
                        <wps:cNvSpPr txBox="1">
                          <a:spLocks noChangeArrowheads="1"/>
                        </wps:cNvSpPr>
                        <wps:spPr bwMode="auto">
                          <a:xfrm>
                            <a:off x="3727" y="3084"/>
                            <a:ext cx="1881"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874661" w:rsidRDefault="00670B40" w:rsidP="00335E4B">
                              <w:pPr>
                                <w:spacing w:line="180" w:lineRule="exact"/>
                                <w:jc w:val="center"/>
                                <w:rPr>
                                  <w:rFonts w:ascii="Traditional Arabic" w:hAnsi="Traditional Arabic" w:cs="Traditional Arabic"/>
                                  <w:b/>
                                  <w:bCs/>
                                  <w:color w:val="000000"/>
                                  <w:szCs w:val="20"/>
                                  <w:rtl/>
                                  <w:lang w:bidi="ar-EG"/>
                                </w:rPr>
                              </w:pPr>
                              <w:r w:rsidRPr="00874661">
                                <w:rPr>
                                  <w:rFonts w:ascii="Traditional Arabic" w:hAnsi="Traditional Arabic" w:cs="Traditional Arabic"/>
                                  <w:b/>
                                  <w:bCs/>
                                  <w:color w:val="000000"/>
                                  <w:szCs w:val="20"/>
                                  <w:rtl/>
                                  <w:lang w:bidi="ar-EG"/>
                                </w:rPr>
                                <w:t>دون القيري</w:t>
                              </w:r>
                            </w:p>
                            <w:p w:rsidR="00670B40" w:rsidRPr="004A6FAB" w:rsidRDefault="00670B40" w:rsidP="00335E4B">
                              <w:pPr>
                                <w:spacing w:line="180" w:lineRule="exact"/>
                                <w:jc w:val="center"/>
                                <w:rPr>
                                  <w:color w:val="000000"/>
                                  <w:szCs w:val="20"/>
                                  <w:lang w:bidi="ar-EG"/>
                                </w:rPr>
                              </w:pPr>
                              <w:r w:rsidRPr="00874661">
                                <w:rPr>
                                  <w:rFonts w:ascii="Traditional Arabic" w:hAnsi="Traditional Arabic" w:cs="Traditional Arabic"/>
                                  <w:b/>
                                  <w:bCs/>
                                  <w:color w:val="000000"/>
                                  <w:szCs w:val="20"/>
                                  <w:rtl/>
                                  <w:lang w:bidi="ar-EG"/>
                                </w:rPr>
                                <w:t>30</w:t>
                              </w:r>
                              <w:r w:rsidRPr="002E62CE">
                                <w:rPr>
                                  <w:rFonts w:cs="Akhbar MT"/>
                                  <w:b/>
                                  <w:bCs/>
                                  <w:color w:val="000000"/>
                                  <w:szCs w:val="20"/>
                                  <w:rtl/>
                                  <w:lang w:bidi="ar-EG"/>
                                </w:rPr>
                                <w:t>%</w:t>
                              </w:r>
                            </w:p>
                          </w:txbxContent>
                        </wps:txbx>
                        <wps:bodyPr rot="0" vert="horz" wrap="square" lIns="0" tIns="0" rIns="0" bIns="0" anchor="t" anchorCtr="0" upright="1">
                          <a:noAutofit/>
                        </wps:bodyPr>
                      </wps:wsp>
                      <wps:wsp>
                        <wps:cNvPr id="598" name="Text Box 175"/>
                        <wps:cNvSpPr txBox="1">
                          <a:spLocks noChangeArrowheads="1"/>
                        </wps:cNvSpPr>
                        <wps:spPr bwMode="auto">
                          <a:xfrm>
                            <a:off x="1978" y="3107"/>
                            <a:ext cx="1368"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874661" w:rsidRDefault="00670B40" w:rsidP="00335E4B">
                              <w:pPr>
                                <w:spacing w:line="180" w:lineRule="exact"/>
                                <w:jc w:val="center"/>
                                <w:rPr>
                                  <w:rFonts w:ascii="Traditional Arabic" w:hAnsi="Traditional Arabic" w:cs="Traditional Arabic"/>
                                  <w:b/>
                                  <w:bCs/>
                                  <w:color w:val="000000"/>
                                  <w:szCs w:val="20"/>
                                  <w:rtl/>
                                  <w:lang w:bidi="ar-EG"/>
                                </w:rPr>
                              </w:pPr>
                              <w:r w:rsidRPr="00874661">
                                <w:rPr>
                                  <w:rFonts w:ascii="Traditional Arabic" w:hAnsi="Traditional Arabic" w:cs="Traditional Arabic"/>
                                  <w:b/>
                                  <w:bCs/>
                                  <w:color w:val="000000"/>
                                  <w:szCs w:val="20"/>
                                  <w:rtl/>
                                  <w:lang w:bidi="ar-EG"/>
                                </w:rPr>
                                <w:t xml:space="preserve">الليغنيت </w:t>
                              </w:r>
                            </w:p>
                            <w:p w:rsidR="00670B40" w:rsidRPr="004A6FAB" w:rsidRDefault="00670B40" w:rsidP="00335E4B">
                              <w:pPr>
                                <w:spacing w:line="180" w:lineRule="exact"/>
                                <w:jc w:val="center"/>
                                <w:rPr>
                                  <w:color w:val="000000"/>
                                  <w:szCs w:val="20"/>
                                  <w:lang w:bidi="ar-EG"/>
                                </w:rPr>
                              </w:pPr>
                              <w:r w:rsidRPr="002E62CE">
                                <w:rPr>
                                  <w:b/>
                                  <w:bCs/>
                                  <w:color w:val="000000"/>
                                  <w:szCs w:val="20"/>
                                  <w:rtl/>
                                  <w:lang w:bidi="ar-EG"/>
                                </w:rPr>
                                <w:t>17</w:t>
                              </w:r>
                              <w:r w:rsidRPr="002E62CE">
                                <w:rPr>
                                  <w:rFonts w:cs="Akhbar MT"/>
                                  <w:b/>
                                  <w:bCs/>
                                  <w:color w:val="000000"/>
                                  <w:szCs w:val="20"/>
                                  <w:rtl/>
                                  <w:lang w:bidi="ar-EG"/>
                                </w:rPr>
                                <w:t>%</w:t>
                              </w:r>
                            </w:p>
                          </w:txbxContent>
                        </wps:txbx>
                        <wps:bodyPr rot="0" vert="horz" wrap="square" lIns="0" tIns="0" rIns="0" bIns="0" anchor="t" anchorCtr="0" upright="1">
                          <a:noAutofit/>
                        </wps:bodyPr>
                      </wps:wsp>
                      <wps:wsp>
                        <wps:cNvPr id="599" name="Text Box 176"/>
                        <wps:cNvSpPr txBox="1">
                          <a:spLocks noChangeArrowheads="1"/>
                        </wps:cNvSpPr>
                        <wps:spPr bwMode="auto">
                          <a:xfrm>
                            <a:off x="7520" y="2355"/>
                            <a:ext cx="1470"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CC4E0A" w:rsidRDefault="00670B40" w:rsidP="00335E4B">
                              <w:pPr>
                                <w:spacing w:line="180" w:lineRule="exact"/>
                                <w:jc w:val="center"/>
                                <w:rPr>
                                  <w:rFonts w:ascii="Traditional Arabic" w:hAnsi="Traditional Arabic" w:cs="Traditional Arabic"/>
                                  <w:b/>
                                  <w:bCs/>
                                  <w:color w:val="000000"/>
                                  <w:szCs w:val="20"/>
                                  <w:lang w:bidi="ar-EG"/>
                                </w:rPr>
                              </w:pPr>
                              <w:r w:rsidRPr="00CC4E0A">
                                <w:rPr>
                                  <w:rFonts w:ascii="Traditional Arabic" w:hAnsi="Traditional Arabic" w:cs="Traditional Arabic"/>
                                  <w:b/>
                                  <w:bCs/>
                                  <w:color w:val="000000"/>
                                  <w:szCs w:val="20"/>
                                  <w:rtl/>
                                  <w:lang w:bidi="ar-EG"/>
                                </w:rPr>
                                <w:t>الفحم الصلب</w:t>
                              </w:r>
                            </w:p>
                          </w:txbxContent>
                        </wps:txbx>
                        <wps:bodyPr rot="0" vert="horz" wrap="square" lIns="0" tIns="0" rIns="0" bIns="0" anchor="t" anchorCtr="0" upright="1">
                          <a:noAutofit/>
                        </wps:bodyPr>
                      </wps:wsp>
                      <wps:wsp>
                        <wps:cNvPr id="600" name="Text Box 177"/>
                        <wps:cNvSpPr txBox="1">
                          <a:spLocks noChangeArrowheads="1"/>
                        </wps:cNvSpPr>
                        <wps:spPr bwMode="auto">
                          <a:xfrm>
                            <a:off x="6464" y="3084"/>
                            <a:ext cx="1470"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874661" w:rsidRDefault="00670B40" w:rsidP="00335E4B">
                              <w:pPr>
                                <w:spacing w:line="180" w:lineRule="exact"/>
                                <w:jc w:val="center"/>
                                <w:rPr>
                                  <w:rFonts w:ascii="Traditional Arabic" w:hAnsi="Traditional Arabic" w:cs="Traditional Arabic"/>
                                  <w:b/>
                                  <w:bCs/>
                                  <w:color w:val="000000"/>
                                  <w:szCs w:val="20"/>
                                  <w:rtl/>
                                  <w:lang w:bidi="ar-EG"/>
                                </w:rPr>
                              </w:pPr>
                              <w:r w:rsidRPr="00874661">
                                <w:rPr>
                                  <w:rFonts w:ascii="Traditional Arabic" w:hAnsi="Traditional Arabic" w:cs="Traditional Arabic"/>
                                  <w:b/>
                                  <w:bCs/>
                                  <w:color w:val="000000"/>
                                  <w:szCs w:val="20"/>
                                  <w:rtl/>
                                  <w:lang w:bidi="ar-EG"/>
                                </w:rPr>
                                <w:t>القيري</w:t>
                              </w:r>
                            </w:p>
                            <w:p w:rsidR="00670B40" w:rsidRPr="004A6FAB" w:rsidRDefault="00670B40" w:rsidP="00335E4B">
                              <w:pPr>
                                <w:spacing w:line="180" w:lineRule="exact"/>
                                <w:jc w:val="center"/>
                                <w:rPr>
                                  <w:color w:val="000000"/>
                                  <w:szCs w:val="20"/>
                                  <w:lang w:bidi="ar-EG"/>
                                </w:rPr>
                              </w:pPr>
                              <w:r w:rsidRPr="00874661">
                                <w:rPr>
                                  <w:rFonts w:ascii="Traditional Arabic" w:hAnsi="Traditional Arabic" w:cs="Traditional Arabic"/>
                                  <w:b/>
                                  <w:bCs/>
                                  <w:color w:val="000000"/>
                                  <w:szCs w:val="20"/>
                                  <w:rtl/>
                                  <w:lang w:bidi="ar-EG"/>
                                </w:rPr>
                                <w:t>52</w:t>
                              </w:r>
                              <w:r w:rsidRPr="002E62CE">
                                <w:rPr>
                                  <w:rFonts w:cs="Akhbar MT"/>
                                  <w:b/>
                                  <w:bCs/>
                                  <w:color w:val="000000"/>
                                  <w:szCs w:val="20"/>
                                  <w:rtl/>
                                  <w:lang w:bidi="ar-EG"/>
                                </w:rPr>
                                <w:t>%</w:t>
                              </w:r>
                            </w:p>
                          </w:txbxContent>
                        </wps:txbx>
                        <wps:bodyPr rot="0" vert="horz" wrap="square" lIns="0" tIns="0" rIns="0" bIns="0" anchor="t" anchorCtr="0" upright="1">
                          <a:noAutofit/>
                        </wps:bodyPr>
                      </wps:wsp>
                      <wps:wsp>
                        <wps:cNvPr id="601" name="Text Box 178"/>
                        <wps:cNvSpPr txBox="1">
                          <a:spLocks noChangeArrowheads="1"/>
                        </wps:cNvSpPr>
                        <wps:spPr bwMode="auto">
                          <a:xfrm>
                            <a:off x="8848" y="3084"/>
                            <a:ext cx="1470"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874661" w:rsidRDefault="00670B40" w:rsidP="00335E4B">
                              <w:pPr>
                                <w:spacing w:line="180" w:lineRule="exact"/>
                                <w:jc w:val="center"/>
                                <w:rPr>
                                  <w:rFonts w:ascii="Traditional Arabic" w:hAnsi="Traditional Arabic" w:cs="Traditional Arabic"/>
                                  <w:b/>
                                  <w:bCs/>
                                  <w:color w:val="000000"/>
                                  <w:szCs w:val="20"/>
                                  <w:rtl/>
                                  <w:lang w:bidi="ar-EG"/>
                                </w:rPr>
                              </w:pPr>
                              <w:r w:rsidRPr="00874661">
                                <w:rPr>
                                  <w:rFonts w:ascii="Traditional Arabic" w:hAnsi="Traditional Arabic" w:cs="Traditional Arabic"/>
                                  <w:b/>
                                  <w:bCs/>
                                  <w:color w:val="000000"/>
                                  <w:szCs w:val="20"/>
                                  <w:rtl/>
                                  <w:lang w:bidi="ar-EG"/>
                                </w:rPr>
                                <w:t>الأنثراسيت</w:t>
                              </w:r>
                            </w:p>
                            <w:p w:rsidR="00670B40" w:rsidRPr="004A6FAB" w:rsidRDefault="00670B40" w:rsidP="00335E4B">
                              <w:pPr>
                                <w:spacing w:line="180" w:lineRule="exact"/>
                                <w:jc w:val="center"/>
                                <w:rPr>
                                  <w:color w:val="000000"/>
                                  <w:szCs w:val="20"/>
                                  <w:lang w:bidi="ar-EG"/>
                                </w:rPr>
                              </w:pPr>
                              <w:r w:rsidRPr="00874661">
                                <w:rPr>
                                  <w:rFonts w:ascii="Traditional Arabic" w:hAnsi="Traditional Arabic" w:cs="Traditional Arabic"/>
                                  <w:b/>
                                  <w:bCs/>
                                  <w:color w:val="000000"/>
                                  <w:szCs w:val="20"/>
                                  <w:rtl/>
                                  <w:lang w:bidi="ar-EG"/>
                                </w:rPr>
                                <w:t>1</w:t>
                              </w:r>
                              <w:r w:rsidRPr="002E62CE">
                                <w:rPr>
                                  <w:rFonts w:cs="Akhbar MT"/>
                                  <w:b/>
                                  <w:bCs/>
                                  <w:color w:val="000000"/>
                                  <w:szCs w:val="20"/>
                                  <w:rtl/>
                                  <w:lang w:bidi="ar-EG"/>
                                </w:rPr>
                                <w:t>%</w:t>
                              </w:r>
                            </w:p>
                          </w:txbxContent>
                        </wps:txbx>
                        <wps:bodyPr rot="0" vert="horz" wrap="square" lIns="0" tIns="0" rIns="0" bIns="0" anchor="t" anchorCtr="0" upright="1">
                          <a:noAutofit/>
                        </wps:bodyPr>
                      </wps:wsp>
                      <wps:wsp>
                        <wps:cNvPr id="602" name="Text Box 179"/>
                        <wps:cNvSpPr txBox="1">
                          <a:spLocks noChangeArrowheads="1"/>
                        </wps:cNvSpPr>
                        <wps:spPr bwMode="auto">
                          <a:xfrm>
                            <a:off x="5709" y="3826"/>
                            <a:ext cx="1641"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874661" w:rsidRDefault="00670B40" w:rsidP="00335E4B">
                              <w:pPr>
                                <w:spacing w:line="180" w:lineRule="exact"/>
                                <w:jc w:val="center"/>
                                <w:rPr>
                                  <w:rFonts w:ascii="Traditional Arabic" w:hAnsi="Traditional Arabic" w:cs="Traditional Arabic"/>
                                  <w:b/>
                                  <w:bCs/>
                                  <w:color w:val="000000"/>
                                  <w:szCs w:val="20"/>
                                </w:rPr>
                              </w:pPr>
                              <w:r w:rsidRPr="00874661">
                                <w:rPr>
                                  <w:rFonts w:ascii="Traditional Arabic" w:hAnsi="Traditional Arabic" w:cs="Traditional Arabic"/>
                                  <w:b/>
                                  <w:bCs/>
                                  <w:color w:val="000000"/>
                                  <w:szCs w:val="20"/>
                                  <w:rtl/>
                                  <w:lang w:bidi="ar-EG"/>
                                </w:rPr>
                                <w:t>يستخدم في المراجل</w:t>
                              </w:r>
                            </w:p>
                          </w:txbxContent>
                        </wps:txbx>
                        <wps:bodyPr rot="0" vert="horz" wrap="square" lIns="0" tIns="0" rIns="0" bIns="0" anchor="t" anchorCtr="0" upright="1">
                          <a:noAutofit/>
                        </wps:bodyPr>
                      </wps:wsp>
                      <wps:wsp>
                        <wps:cNvPr id="603" name="Text Box 180"/>
                        <wps:cNvSpPr txBox="1">
                          <a:spLocks noChangeArrowheads="1"/>
                        </wps:cNvSpPr>
                        <wps:spPr bwMode="auto">
                          <a:xfrm>
                            <a:off x="7621" y="3888"/>
                            <a:ext cx="1299"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874661" w:rsidRDefault="00670B40" w:rsidP="00335E4B">
                              <w:pPr>
                                <w:spacing w:line="180" w:lineRule="exact"/>
                                <w:jc w:val="center"/>
                                <w:rPr>
                                  <w:rFonts w:ascii="Traditional Arabic" w:hAnsi="Traditional Arabic" w:cs="Traditional Arabic"/>
                                  <w:b/>
                                  <w:bCs/>
                                  <w:color w:val="000000"/>
                                  <w:szCs w:val="20"/>
                                  <w:lang w:bidi="ar-EG"/>
                                </w:rPr>
                              </w:pPr>
                              <w:r w:rsidRPr="00874661">
                                <w:rPr>
                                  <w:rFonts w:ascii="Traditional Arabic" w:hAnsi="Traditional Arabic" w:cs="Traditional Arabic"/>
                                  <w:b/>
                                  <w:bCs/>
                                  <w:color w:val="000000"/>
                                  <w:szCs w:val="20"/>
                                  <w:rtl/>
                                  <w:lang w:bidi="ar-EG"/>
                                </w:rPr>
                                <w:t>فحم الطهو</w:t>
                              </w:r>
                            </w:p>
                          </w:txbxContent>
                        </wps:txbx>
                        <wps:bodyPr rot="0" vert="horz" wrap="square" lIns="0" tIns="0" rIns="0" bIns="0" anchor="t" anchorCtr="0" upright="1">
                          <a:noAutofit/>
                        </wps:bodyPr>
                      </wps:wsp>
                      <wps:wsp>
                        <wps:cNvPr id="604" name="Text Box 181"/>
                        <wps:cNvSpPr txBox="1">
                          <a:spLocks noChangeArrowheads="1"/>
                        </wps:cNvSpPr>
                        <wps:spPr bwMode="auto">
                          <a:xfrm>
                            <a:off x="3544" y="4448"/>
                            <a:ext cx="2394"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874661" w:rsidRDefault="00670B40" w:rsidP="00335E4B">
                              <w:pPr>
                                <w:spacing w:line="180" w:lineRule="exact"/>
                                <w:jc w:val="center"/>
                                <w:rPr>
                                  <w:rFonts w:ascii="Traditional Arabic" w:hAnsi="Traditional Arabic" w:cs="Traditional Arabic"/>
                                  <w:b/>
                                  <w:bCs/>
                                  <w:color w:val="000000"/>
                                  <w:szCs w:val="20"/>
                                  <w:lang w:bidi="ar-EG"/>
                                </w:rPr>
                              </w:pPr>
                              <w:r w:rsidRPr="00874661">
                                <w:rPr>
                                  <w:rFonts w:ascii="Traditional Arabic" w:hAnsi="Traditional Arabic" w:cs="Traditional Arabic"/>
                                  <w:b/>
                                  <w:bCs/>
                                  <w:color w:val="000000"/>
                                  <w:szCs w:val="20"/>
                                  <w:rtl/>
                                  <w:lang w:bidi="ar-EG"/>
                                </w:rPr>
                                <w:t>فحم البخار</w:t>
                              </w:r>
                            </w:p>
                          </w:txbxContent>
                        </wps:txbx>
                        <wps:bodyPr rot="0" vert="horz" wrap="square" lIns="0" tIns="0" rIns="0" bIns="0" anchor="t" anchorCtr="0" upright="1">
                          <a:noAutofit/>
                        </wps:bodyPr>
                      </wps:wsp>
                      <wps:wsp>
                        <wps:cNvPr id="605" name="Text Box 182"/>
                        <wps:cNvSpPr txBox="1">
                          <a:spLocks noChangeArrowheads="1"/>
                        </wps:cNvSpPr>
                        <wps:spPr bwMode="auto">
                          <a:xfrm>
                            <a:off x="2018" y="5101"/>
                            <a:ext cx="1470"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874661" w:rsidRDefault="00670B40" w:rsidP="00335E4B">
                              <w:pPr>
                                <w:jc w:val="center"/>
                                <w:rPr>
                                  <w:rFonts w:ascii="Traditional Arabic" w:hAnsi="Traditional Arabic" w:cs="Traditional Arabic"/>
                                  <w:b/>
                                  <w:bCs/>
                                  <w:color w:val="000000"/>
                                  <w:szCs w:val="20"/>
                                  <w:lang w:bidi="ar-EG"/>
                                </w:rPr>
                              </w:pPr>
                              <w:r w:rsidRPr="00874661">
                                <w:rPr>
                                  <w:rFonts w:ascii="Traditional Arabic" w:hAnsi="Traditional Arabic" w:cs="Traditional Arabic"/>
                                  <w:b/>
                                  <w:bCs/>
                                  <w:color w:val="000000"/>
                                  <w:szCs w:val="20"/>
                                  <w:rtl/>
                                  <w:lang w:bidi="ar-EG"/>
                                </w:rPr>
                                <w:t>توليد الكهرباء</w:t>
                              </w:r>
                            </w:p>
                          </w:txbxContent>
                        </wps:txbx>
                        <wps:bodyPr rot="0" vert="horz" wrap="square" lIns="0" tIns="0" rIns="0" bIns="0" anchor="t" anchorCtr="0" upright="1">
                          <a:noAutofit/>
                        </wps:bodyPr>
                      </wps:wsp>
                      <wps:wsp>
                        <wps:cNvPr id="606" name="Text Box 183"/>
                        <wps:cNvSpPr txBox="1">
                          <a:spLocks noChangeArrowheads="1"/>
                        </wps:cNvSpPr>
                        <wps:spPr bwMode="auto">
                          <a:xfrm>
                            <a:off x="4571" y="5091"/>
                            <a:ext cx="2052" cy="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874661" w:rsidRDefault="00670B40" w:rsidP="00335E4B">
                              <w:pPr>
                                <w:spacing w:line="220" w:lineRule="exact"/>
                                <w:jc w:val="center"/>
                                <w:rPr>
                                  <w:rFonts w:ascii="Traditional Arabic" w:hAnsi="Traditional Arabic" w:cs="Traditional Arabic"/>
                                  <w:b/>
                                  <w:bCs/>
                                  <w:color w:val="000000"/>
                                  <w:szCs w:val="20"/>
                                  <w:rtl/>
                                  <w:lang w:bidi="ar-EG"/>
                                </w:rPr>
                              </w:pPr>
                              <w:r w:rsidRPr="00874661">
                                <w:rPr>
                                  <w:rFonts w:ascii="Traditional Arabic" w:hAnsi="Traditional Arabic" w:cs="Traditional Arabic"/>
                                  <w:b/>
                                  <w:bCs/>
                                  <w:color w:val="000000"/>
                                  <w:szCs w:val="20"/>
                                  <w:rtl/>
                                  <w:lang w:bidi="ar-EG"/>
                                </w:rPr>
                                <w:t>توليد الطاقة الكهربائية</w:t>
                              </w:r>
                            </w:p>
                            <w:p w:rsidR="00670B40" w:rsidRPr="00874661" w:rsidRDefault="00670B40" w:rsidP="00335E4B">
                              <w:pPr>
                                <w:spacing w:line="220" w:lineRule="exact"/>
                                <w:jc w:val="center"/>
                                <w:rPr>
                                  <w:rFonts w:ascii="Traditional Arabic" w:hAnsi="Traditional Arabic" w:cs="Traditional Arabic"/>
                                  <w:b/>
                                  <w:bCs/>
                                  <w:color w:val="000000"/>
                                  <w:szCs w:val="20"/>
                                  <w:rtl/>
                                  <w:lang w:bidi="ar-EG"/>
                                </w:rPr>
                              </w:pPr>
                              <w:r w:rsidRPr="00874661">
                                <w:rPr>
                                  <w:rFonts w:ascii="Traditional Arabic" w:hAnsi="Traditional Arabic" w:cs="Traditional Arabic"/>
                                  <w:b/>
                                  <w:bCs/>
                                  <w:color w:val="000000"/>
                                  <w:szCs w:val="20"/>
                                  <w:rtl/>
                                  <w:lang w:bidi="ar-EG"/>
                                </w:rPr>
                                <w:t>مصانع الاسمنت</w:t>
                              </w:r>
                            </w:p>
                            <w:p w:rsidR="00670B40" w:rsidRPr="00874661" w:rsidRDefault="00670B40" w:rsidP="00335E4B">
                              <w:pPr>
                                <w:spacing w:line="220" w:lineRule="exact"/>
                                <w:jc w:val="center"/>
                                <w:rPr>
                                  <w:rFonts w:ascii="Traditional Arabic" w:hAnsi="Traditional Arabic" w:cs="Traditional Arabic"/>
                                  <w:color w:val="000000"/>
                                  <w:szCs w:val="20"/>
                                  <w:lang w:bidi="ar-EG"/>
                                </w:rPr>
                              </w:pPr>
                              <w:r w:rsidRPr="00874661">
                                <w:rPr>
                                  <w:rFonts w:ascii="Traditional Arabic" w:hAnsi="Traditional Arabic" w:cs="Traditional Arabic"/>
                                  <w:b/>
                                  <w:bCs/>
                                  <w:color w:val="000000"/>
                                  <w:szCs w:val="20"/>
                                  <w:rtl/>
                                  <w:lang w:bidi="ar-EG"/>
                                </w:rPr>
                                <w:t>المراجل الصناعية</w:t>
                              </w:r>
                            </w:p>
                          </w:txbxContent>
                        </wps:txbx>
                        <wps:bodyPr rot="0" vert="horz" wrap="square" lIns="0" tIns="0" rIns="0" bIns="0" anchor="t" anchorCtr="0" upright="1">
                          <a:noAutofit/>
                        </wps:bodyPr>
                      </wps:wsp>
                      <wps:wsp>
                        <wps:cNvPr id="607" name="Text Box 184"/>
                        <wps:cNvSpPr txBox="1">
                          <a:spLocks noChangeArrowheads="1"/>
                        </wps:cNvSpPr>
                        <wps:spPr bwMode="auto">
                          <a:xfrm>
                            <a:off x="7361" y="5101"/>
                            <a:ext cx="1470"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874661" w:rsidRDefault="00670B40" w:rsidP="00335E4B">
                              <w:pPr>
                                <w:jc w:val="center"/>
                                <w:rPr>
                                  <w:rFonts w:ascii="Traditional Arabic" w:hAnsi="Traditional Arabic" w:cs="Traditional Arabic"/>
                                  <w:b/>
                                  <w:bCs/>
                                  <w:color w:val="000000"/>
                                  <w:szCs w:val="20"/>
                                  <w:lang w:bidi="ar-EG"/>
                                </w:rPr>
                              </w:pPr>
                              <w:r w:rsidRPr="00874661">
                                <w:rPr>
                                  <w:rFonts w:ascii="Traditional Arabic" w:hAnsi="Traditional Arabic" w:cs="Traditional Arabic"/>
                                  <w:b/>
                                  <w:bCs/>
                                  <w:color w:val="000000"/>
                                  <w:szCs w:val="20"/>
                                  <w:rtl/>
                                  <w:lang w:bidi="ar-EG"/>
                                </w:rPr>
                                <w:t>صناعة الصلب</w:t>
                              </w:r>
                            </w:p>
                          </w:txbxContent>
                        </wps:txbx>
                        <wps:bodyPr rot="0" vert="horz" wrap="square" lIns="0" tIns="0" rIns="0" bIns="0" anchor="t" anchorCtr="0" upright="1">
                          <a:noAutofit/>
                        </wps:bodyPr>
                      </wps:wsp>
                      <wps:wsp>
                        <wps:cNvPr id="608" name="Text Box 185"/>
                        <wps:cNvSpPr txBox="1">
                          <a:spLocks noChangeArrowheads="1"/>
                        </wps:cNvSpPr>
                        <wps:spPr bwMode="auto">
                          <a:xfrm>
                            <a:off x="8948" y="5081"/>
                            <a:ext cx="1470" cy="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874661" w:rsidRDefault="00670B40" w:rsidP="00335E4B">
                              <w:pPr>
                                <w:jc w:val="center"/>
                                <w:rPr>
                                  <w:rFonts w:ascii="Traditional Arabic" w:hAnsi="Traditional Arabic" w:cs="Traditional Arabic"/>
                                  <w:b/>
                                  <w:bCs/>
                                  <w:color w:val="000000"/>
                                  <w:szCs w:val="20"/>
                                  <w:lang w:bidi="ar-EG"/>
                                </w:rPr>
                              </w:pPr>
                              <w:r w:rsidRPr="00874661">
                                <w:rPr>
                                  <w:rFonts w:ascii="Traditional Arabic" w:hAnsi="Traditional Arabic" w:cs="Traditional Arabic"/>
                                  <w:b/>
                                  <w:bCs/>
                                  <w:color w:val="000000"/>
                                  <w:szCs w:val="20"/>
                                  <w:rtl/>
                                  <w:lang w:bidi="ar-EG"/>
                                </w:rPr>
                                <w:t>الاستخدامات المنزلية والصناعية ”بدون أدخنة“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0" o:spid="_x0000_s1026" style="position:absolute;left:0;text-align:left;margin-left:-2.6pt;margin-top:15.15pt;width:445.8pt;height:228.85pt;z-index:251678720" coordorigin="1502,1223" coordsize="8916,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">
                <v:shapetype id="_x0000_t202" coordsize="21600,21600" o:spt="202" path="m,l,21600r21600,l21600,xe">
                  <v:stroke joinstyle="miter"/>
                  <v:path gradientshapeok="t" o:connecttype="rect"/>
                </v:shapetype>
                <v:shape id="Text Box 168" o:spid="_x0000_s1027" type="#_x0000_t202" style="position:absolute;left:3557;top:1223;width:581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bRsYA&#10;AADcAAAADwAAAGRycy9kb3ducmV2LnhtbESPQWsCMRSE74L/ITyht5poVepqlGIr9CCFrj3o7bF5&#10;3V26eVmSdF3/fSMUPA4z8w2z3va2ER35UDvWMBkrEMSFMzWXGr6O+8dnECEiG2wck4YrBdhuhoM1&#10;ZsZd+JO6PJYiQThkqKGKsc2kDEVFFsPYtcTJ+3beYkzSl9J4vCS4beRUqYW0WHNaqLClXUXFT/5r&#10;NXRW1csnPz/s21358aZOp+nreab1w6h/WYGI1Md7+L/9bjTMlxO4nU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fbRsYAAADcAAAADwAAAAAAAAAAAAAAAACYAgAAZHJz&#10;L2Rvd25yZXYueG1sUEsFBgAAAAAEAAQA9QAAAIsDAAAAAA==&#10;" fillcolor="#9c0" stroked="f">
                  <v:textbox inset="0,0,0,0">
                    <w:txbxContent>
                      <w:p w:rsidR="004F4716" w:rsidRPr="00CC4E0A" w:rsidRDefault="004F4716" w:rsidP="00335E4B">
                        <w:pPr>
                          <w:rPr>
                            <w:rFonts w:ascii="Traditional Arabic" w:hAnsi="Traditional Arabic" w:cs="Traditional Arabic"/>
                            <w:b/>
                            <w:bCs/>
                            <w:color w:val="000000"/>
                            <w:szCs w:val="22"/>
                            <w:lang w:bidi="ar-EG"/>
                          </w:rPr>
                        </w:pPr>
                        <w:r w:rsidRPr="00CC4E0A">
                          <w:rPr>
                            <w:rFonts w:ascii="Traditional Arabic" w:hAnsi="Traditional Arabic" w:cs="Traditional Arabic"/>
                            <w:b/>
                            <w:bCs/>
                            <w:color w:val="000000"/>
                            <w:szCs w:val="22"/>
                            <w:rtl/>
                            <w:lang w:bidi="ar-EG"/>
                          </w:rPr>
                          <w:t>محتوى الكربون أو محتوى الطاقة في الفحم</w:t>
                        </w:r>
                      </w:p>
                    </w:txbxContent>
                  </v:textbox>
                </v:shape>
                <v:shape id="Text Box 169" o:spid="_x0000_s1028" type="#_x0000_t202" style="position:absolute;left:2531;top:1636;width:581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iuMUA&#10;AADcAAAADwAAAGRycy9kb3ducmV2LnhtbESP3WrCQBSE7wt9h+UIvaubpFia6CpFqwjSQFMf4JA9&#10;+cHs2ZDdavTp3UKhl8PMfMMsVqPpxJkG11pWEE8jEMSl1S3XCo7f2+c3EM4ja+wsk4IrOVgtHx8W&#10;mGl74S86F74WAcIuQwWN930mpSsbMuimticOXmUHgz7IoZZ6wEuAm04mUfQqDbYcFhrsad1QeSp+&#10;jIJ8V9W6ul0/TOXyF8OH9LCJP5V6mozvcxCeRv8f/mvvtYJZmsDv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aK4xQAAANwAAAAPAAAAAAAAAAAAAAAAAJgCAABkcnMv&#10;ZG93bnJldi54bWxQSwUGAAAAAAQABAD1AAAAigMAAAAA&#10;" fillcolor="#f90" stroked="f">
                  <v:textbox inset="0,0,0,0">
                    <w:txbxContent>
                      <w:p w:rsidR="004F4716" w:rsidRPr="00CC4E0A" w:rsidRDefault="004F4716" w:rsidP="00335E4B">
                        <w:pPr>
                          <w:rPr>
                            <w:rFonts w:ascii="Traditional Arabic" w:hAnsi="Traditional Arabic" w:cs="Traditional Arabic"/>
                            <w:b/>
                            <w:bCs/>
                            <w:color w:val="000000"/>
                            <w:szCs w:val="22"/>
                            <w:lang w:bidi="ar-EG"/>
                          </w:rPr>
                        </w:pPr>
                        <w:r w:rsidRPr="00CC4E0A">
                          <w:rPr>
                            <w:rFonts w:ascii="Traditional Arabic" w:hAnsi="Traditional Arabic" w:cs="Traditional Arabic"/>
                            <w:b/>
                            <w:bCs/>
                            <w:color w:val="000000"/>
                            <w:szCs w:val="22"/>
                            <w:rtl/>
                            <w:lang w:bidi="ar-EG"/>
                          </w:rPr>
                          <w:t>محتوى الماء في الفحم</w:t>
                        </w:r>
                      </w:p>
                    </w:txbxContent>
                  </v:textbox>
                </v:shape>
                <v:shape id="Text Box 170" o:spid="_x0000_s1029" type="#_x0000_t202" style="position:absolute;left:1502;top:2069;width:403;height:2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KccA&#10;AADcAAAADwAAAGRycy9kb3ducmV2LnhtbESPQWvCQBCF7wX/wzJCb3VjxWKjq4SKtD0U0Yq0tyE7&#10;JsHsbNzdmPjvu4VCj48373vzFqve1OJKzleWFYxHCQji3OqKCwWHz83DDIQPyBpry6TgRh5Wy8Hd&#10;AlNtO97RdR8KESHsU1RQhtCkUvq8JIN+ZBvi6J2sMxiidIXUDrsIN7V8TJInabDi2FBiQy8l5ed9&#10;a+IbXXZ8/V5vpzpzt6+u+mjfLy0pdT/sszmIQH34P/5Lv2kF0+cJ/I6JBJ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CpynHAAAA3AAAAA8AAAAAAAAAAAAAAAAAmAIAAGRy&#10;cy9kb3ducmV2LnhtbFBLBQYAAAAABAAEAPUAAACMAwAAAAA=&#10;" fillcolor="#fc9" stroked="f">
                  <v:textbox style="layout-flow:vertical;mso-layout-flow-alt:bottom-to-top" inset="0,0,0,0">
                    <w:txbxContent>
                      <w:p w:rsidR="004F4716" w:rsidRPr="00CC4E0A" w:rsidRDefault="004F4716" w:rsidP="00335E4B">
                        <w:pPr>
                          <w:jc w:val="center"/>
                          <w:rPr>
                            <w:rFonts w:ascii="Traditional Arabic" w:hAnsi="Traditional Arabic" w:cs="Traditional Arabic"/>
                            <w:b/>
                            <w:bCs/>
                            <w:color w:val="000000"/>
                            <w:szCs w:val="22"/>
                            <w:lang w:bidi="ar-EG"/>
                          </w:rPr>
                        </w:pPr>
                        <w:r w:rsidRPr="002E62CE">
                          <w:rPr>
                            <w:rFonts w:cs="Akhbar MT"/>
                            <w:b/>
                            <w:bCs/>
                            <w:color w:val="000000"/>
                            <w:szCs w:val="20"/>
                            <w:rtl/>
                            <w:lang w:bidi="ar-EG"/>
                          </w:rPr>
                          <w:t>%</w:t>
                        </w:r>
                        <w:r w:rsidRPr="00CC4E0A">
                          <w:rPr>
                            <w:rFonts w:ascii="Traditional Arabic" w:hAnsi="Traditional Arabic" w:cs="Traditional Arabic"/>
                            <w:b/>
                            <w:bCs/>
                            <w:color w:val="000000"/>
                            <w:szCs w:val="22"/>
                            <w:rtl/>
                            <w:lang w:bidi="ar-EG"/>
                          </w:rPr>
                          <w:t xml:space="preserve"> من احتياطيات العالم</w:t>
                        </w:r>
                      </w:p>
                    </w:txbxContent>
                  </v:textbox>
                </v:shape>
                <v:shape id="Text Box 171" o:spid="_x0000_s1030" type="#_x0000_t202" style="position:absolute;left:1502;top:4948;width:40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XccA&#10;AADcAAAADwAAAGRycy9kb3ducmV2LnhtbESPQWvCQBCF7wX/wzJCb3Vj0WKjq4SKtD0U0Yq0tyE7&#10;JsHsbNzdmPjvu4VCj48373vzFqve1OJKzleWFYxHCQji3OqKCwWHz83DDIQPyBpry6TgRh5Wy8Hd&#10;AlNtO97RdR8KESHsU1RQhtCkUvq8JIN+ZBvi6J2sMxiidIXUDrsIN7V8TJInabDi2FBiQy8l5ed9&#10;a+IbXXZ8/V5vpzpzt6+u+mjfLy0pdT/sszmIQH34P/5Lv2kF0+cJ/I6JBJ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rP13HAAAA3AAAAA8AAAAAAAAAAAAAAAAAmAIAAGRy&#10;cy9kb3ducmV2LnhtbFBLBQYAAAAABAAEAPUAAACMAwAAAAA=&#10;" fillcolor="#fc9" stroked="f">
                  <v:textbox style="layout-flow:vertical;mso-layout-flow-alt:bottom-to-top" inset="0,0,0,0">
                    <w:txbxContent>
                      <w:p w:rsidR="004F4716" w:rsidRPr="00CC4E0A" w:rsidRDefault="004F4716" w:rsidP="00335E4B">
                        <w:pPr>
                          <w:jc w:val="center"/>
                          <w:rPr>
                            <w:rFonts w:ascii="Traditional Arabic" w:hAnsi="Traditional Arabic" w:cs="Traditional Arabic"/>
                            <w:b/>
                            <w:bCs/>
                            <w:color w:val="000000"/>
                            <w:szCs w:val="22"/>
                            <w:lang w:bidi="ar-EG"/>
                          </w:rPr>
                        </w:pPr>
                        <w:r w:rsidRPr="00CC4E0A">
                          <w:rPr>
                            <w:rFonts w:ascii="Traditional Arabic" w:hAnsi="Traditional Arabic" w:cs="Traditional Arabic"/>
                            <w:b/>
                            <w:bCs/>
                            <w:color w:val="000000"/>
                            <w:szCs w:val="22"/>
                            <w:rtl/>
                            <w:lang w:bidi="ar-EG"/>
                          </w:rPr>
                          <w:t>الاستخدامات</w:t>
                        </w:r>
                      </w:p>
                    </w:txbxContent>
                  </v:textbox>
                </v:shape>
                <v:shape id="Text Box 172" o:spid="_x0000_s1031" type="#_x0000_t202" style="position:absolute;left:3044;top:2305;width:147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sDcQA&#10;AADcAAAADwAAAGRycy9kb3ducmV2LnhtbESPQYvCMBSE78L+h/AWvIimCopbjbKru+BBD7ri+dE8&#10;22LzUpJo6783guBxmJlvmPmyNZW4kfOlZQXDQQKCOLO65FzB8f+vPwXhA7LGyjIpuJOH5eKjM8dU&#10;24b3dDuEXEQI+xQVFCHUqZQ+K8igH9iaOHpn6wyGKF0utcMmwk0lR0kykQZLjgsF1rQqKLscrkbB&#10;ZO2uzZ5XvfXxd4u7Oh+dfu4npbqf7fcMRKA2vMOv9kYrGH+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LA3EAAAA3AAAAA8AAAAAAAAAAAAAAAAAmAIAAGRycy9k&#10;b3ducmV2LnhtbFBLBQYAAAAABAAEAPUAAACJAwAAAAA=&#10;" stroked="f">
                  <v:textbox inset="0,0,0,0">
                    <w:txbxContent>
                      <w:p w:rsidR="004F4716" w:rsidRPr="00CC4E0A" w:rsidRDefault="004F4716" w:rsidP="00335E4B">
                        <w:pPr>
                          <w:spacing w:line="180" w:lineRule="exact"/>
                          <w:jc w:val="center"/>
                          <w:rPr>
                            <w:rFonts w:ascii="Traditional Arabic" w:hAnsi="Traditional Arabic" w:cs="Traditional Arabic"/>
                            <w:b/>
                            <w:bCs/>
                            <w:color w:val="000000"/>
                            <w:szCs w:val="20"/>
                            <w:lang w:bidi="ar-EG"/>
                          </w:rPr>
                        </w:pPr>
                        <w:r w:rsidRPr="00CC4E0A">
                          <w:rPr>
                            <w:rFonts w:ascii="Traditional Arabic" w:hAnsi="Traditional Arabic" w:cs="Traditional Arabic"/>
                            <w:b/>
                            <w:bCs/>
                            <w:color w:val="000000"/>
                            <w:szCs w:val="20"/>
                            <w:rtl/>
                            <w:lang w:bidi="ar-EG"/>
                          </w:rPr>
                          <w:t>الفحم البنِّي</w:t>
                        </w:r>
                      </w:p>
                    </w:txbxContent>
                  </v:textbox>
                </v:shape>
                <v:shape id="Text Box 173" o:spid="_x0000_s1032" type="#_x0000_t202" style="position:absolute;left:3466;top:2538;width:615;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yesUA&#10;AADcAAAADwAAAGRycy9kb3ducmV2LnhtbESPT4vCMBTE7wt+h/CEvSyarmDRahRXV9jDevAPnh/N&#10;sy02LyWJtn77jSDscZiZ3zDzZWdqcSfnK8sKPocJCOLc6ooLBafjdjAB4QOyxtoyKXiQh+Wi9zbH&#10;TNuW93Q/hEJECPsMFZQhNJmUPi/JoB/ahjh6F+sMhihdIbXDNsJNLUdJkkqDFceFEhtal5RfDzej&#10;IN24W7vn9cfm9P2Lu6YYnb8eZ6Xe+91qBiJQF/7Dr/aPVjCe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7J6xQAAANwAAAAPAAAAAAAAAAAAAAAAAJgCAABkcnMv&#10;ZG93bnJldi54bWxQSwUGAAAAAAQABAD1AAAAigMAAAAA&#10;" stroked="f">
                  <v:textbox inset="0,0,0,0">
                    <w:txbxContent>
                      <w:p w:rsidR="004F4716" w:rsidRPr="00CC4E0A" w:rsidRDefault="004F4716" w:rsidP="00CC4E0A">
                        <w:pPr>
                          <w:spacing w:line="180" w:lineRule="exact"/>
                          <w:jc w:val="center"/>
                          <w:rPr>
                            <w:rFonts w:ascii="Traditional Arabic" w:hAnsi="Traditional Arabic" w:cs="Traditional Arabic"/>
                            <w:b/>
                            <w:bCs/>
                            <w:color w:val="000000"/>
                            <w:szCs w:val="20"/>
                            <w:lang w:bidi="ar-EG"/>
                          </w:rPr>
                        </w:pPr>
                        <w:r w:rsidRPr="00CC4E0A">
                          <w:rPr>
                            <w:rFonts w:ascii="Traditional Arabic" w:hAnsi="Traditional Arabic" w:cs="Traditional Arabic"/>
                            <w:b/>
                            <w:bCs/>
                            <w:color w:val="000000"/>
                            <w:szCs w:val="20"/>
                            <w:rtl/>
                            <w:lang w:bidi="ar-EG"/>
                          </w:rPr>
                          <w:t>47</w:t>
                        </w:r>
                        <w:r w:rsidRPr="002E62CE">
                          <w:rPr>
                            <w:rFonts w:cs="Akhbar MT"/>
                            <w:b/>
                            <w:bCs/>
                            <w:color w:val="000000"/>
                            <w:szCs w:val="20"/>
                            <w:rtl/>
                            <w:lang w:bidi="ar-EG"/>
                          </w:rPr>
                          <w:t>%</w:t>
                        </w:r>
                      </w:p>
                    </w:txbxContent>
                  </v:textbox>
                </v:shape>
                <v:shape id="Text Box 174" o:spid="_x0000_s1033" type="#_x0000_t202" style="position:absolute;left:3727;top:3084;width:1881;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X4cYA&#10;AADcAAAADwAAAGRycy9kb3ducmV2LnhtbESPzWvCQBTE7wX/h+UJvUjdKPjR1FWsH9BDe4gVz4/s&#10;Mwlm34bd1cT/3i0IPQ4z8xtmsepMLW7kfGVZwWiYgCDOra64UHD83b/NQfiArLG2TAru5GG17L0s&#10;MNW25Yxuh1CICGGfooIyhCaV0uclGfRD2xBH72ydwRClK6R22Ea4qeU4SabSYMVxocSGNiXll8PV&#10;KJhu3bXNeDPYHnff+NMU49Pn/aTUa79bf4AI1IX/8LP9pRVM3mfwdyY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sX4cYAAADcAAAADwAAAAAAAAAAAAAAAACYAgAAZHJz&#10;L2Rvd25yZXYueG1sUEsFBgAAAAAEAAQA9QAAAIsDAAAAAA==&#10;" stroked="f">
                  <v:textbox inset="0,0,0,0">
                    <w:txbxContent>
                      <w:p w:rsidR="004F4716" w:rsidRPr="00874661" w:rsidRDefault="004F4716" w:rsidP="00335E4B">
                        <w:pPr>
                          <w:spacing w:line="180" w:lineRule="exact"/>
                          <w:jc w:val="center"/>
                          <w:rPr>
                            <w:rFonts w:ascii="Traditional Arabic" w:hAnsi="Traditional Arabic" w:cs="Traditional Arabic"/>
                            <w:b/>
                            <w:bCs/>
                            <w:color w:val="000000"/>
                            <w:szCs w:val="20"/>
                            <w:rtl/>
                            <w:lang w:bidi="ar-EG"/>
                          </w:rPr>
                        </w:pPr>
                        <w:r w:rsidRPr="00874661">
                          <w:rPr>
                            <w:rFonts w:ascii="Traditional Arabic" w:hAnsi="Traditional Arabic" w:cs="Traditional Arabic"/>
                            <w:b/>
                            <w:bCs/>
                            <w:color w:val="000000"/>
                            <w:szCs w:val="20"/>
                            <w:rtl/>
                            <w:lang w:bidi="ar-EG"/>
                          </w:rPr>
                          <w:t>دون القيري</w:t>
                        </w:r>
                      </w:p>
                      <w:p w:rsidR="004F4716" w:rsidRPr="004A6FAB" w:rsidRDefault="004F4716" w:rsidP="00335E4B">
                        <w:pPr>
                          <w:spacing w:line="180" w:lineRule="exact"/>
                          <w:jc w:val="center"/>
                          <w:rPr>
                            <w:color w:val="000000"/>
                            <w:szCs w:val="20"/>
                            <w:lang w:bidi="ar-EG"/>
                          </w:rPr>
                        </w:pPr>
                        <w:r w:rsidRPr="00874661">
                          <w:rPr>
                            <w:rFonts w:ascii="Traditional Arabic" w:hAnsi="Traditional Arabic" w:cs="Traditional Arabic"/>
                            <w:b/>
                            <w:bCs/>
                            <w:color w:val="000000"/>
                            <w:szCs w:val="20"/>
                            <w:rtl/>
                            <w:lang w:bidi="ar-EG"/>
                          </w:rPr>
                          <w:t>30</w:t>
                        </w:r>
                        <w:r w:rsidRPr="002E62CE">
                          <w:rPr>
                            <w:rFonts w:cs="Akhbar MT"/>
                            <w:b/>
                            <w:bCs/>
                            <w:color w:val="000000"/>
                            <w:szCs w:val="20"/>
                            <w:rtl/>
                            <w:lang w:bidi="ar-EG"/>
                          </w:rPr>
                          <w:t>%</w:t>
                        </w:r>
                      </w:p>
                    </w:txbxContent>
                  </v:textbox>
                </v:shape>
                <v:shape id="Text Box 175" o:spid="_x0000_s1034" type="#_x0000_t202" style="position:absolute;left:1978;top:3107;width:136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Dk8MA&#10;AADcAAAADwAAAGRycy9kb3ducmV2LnhtbERPz2vCMBS+D/wfwhN2GZpOmMxqLFoVdtgO1uL50by1&#10;Zc1LSaKt//1yGOz48f3eZKPpxJ2cby0reJ0nIIgrq1uuFZSX0+wdhA/IGjvLpOBBHrLt5GmDqbYD&#10;n+lehFrEEPYpKmhC6FMpfdWQQT+3PXHkvq0zGCJ0tdQOhxhuOrlIkqU02HJsaLCnvKHqp7gZBcuD&#10;uw1nzl8O5fETv/p6cd0/rko9T8fdGkSgMfyL/9wfWsHbK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Dk8MAAADcAAAADwAAAAAAAAAAAAAAAACYAgAAZHJzL2Rv&#10;d25yZXYueG1sUEsFBgAAAAAEAAQA9QAAAIgDAAAAAA==&#10;" stroked="f">
                  <v:textbox inset="0,0,0,0">
                    <w:txbxContent>
                      <w:p w:rsidR="004F4716" w:rsidRPr="00874661" w:rsidRDefault="004F4716" w:rsidP="00335E4B">
                        <w:pPr>
                          <w:spacing w:line="180" w:lineRule="exact"/>
                          <w:jc w:val="center"/>
                          <w:rPr>
                            <w:rFonts w:ascii="Traditional Arabic" w:hAnsi="Traditional Arabic" w:cs="Traditional Arabic"/>
                            <w:b/>
                            <w:bCs/>
                            <w:color w:val="000000"/>
                            <w:szCs w:val="20"/>
                            <w:rtl/>
                            <w:lang w:bidi="ar-EG"/>
                          </w:rPr>
                        </w:pPr>
                        <w:r w:rsidRPr="00874661">
                          <w:rPr>
                            <w:rFonts w:ascii="Traditional Arabic" w:hAnsi="Traditional Arabic" w:cs="Traditional Arabic"/>
                            <w:b/>
                            <w:bCs/>
                            <w:color w:val="000000"/>
                            <w:szCs w:val="20"/>
                            <w:rtl/>
                            <w:lang w:bidi="ar-EG"/>
                          </w:rPr>
                          <w:t xml:space="preserve">الليغنيت </w:t>
                        </w:r>
                      </w:p>
                      <w:p w:rsidR="004F4716" w:rsidRPr="004A6FAB" w:rsidRDefault="004F4716" w:rsidP="00335E4B">
                        <w:pPr>
                          <w:spacing w:line="180" w:lineRule="exact"/>
                          <w:jc w:val="center"/>
                          <w:rPr>
                            <w:color w:val="000000"/>
                            <w:szCs w:val="20"/>
                            <w:lang w:bidi="ar-EG"/>
                          </w:rPr>
                        </w:pPr>
                        <w:r w:rsidRPr="002E62CE">
                          <w:rPr>
                            <w:b/>
                            <w:bCs/>
                            <w:color w:val="000000"/>
                            <w:szCs w:val="20"/>
                            <w:rtl/>
                            <w:lang w:bidi="ar-EG"/>
                          </w:rPr>
                          <w:t>17</w:t>
                        </w:r>
                        <w:r w:rsidRPr="002E62CE">
                          <w:rPr>
                            <w:rFonts w:cs="Akhbar MT"/>
                            <w:b/>
                            <w:bCs/>
                            <w:color w:val="000000"/>
                            <w:szCs w:val="20"/>
                            <w:rtl/>
                            <w:lang w:bidi="ar-EG"/>
                          </w:rPr>
                          <w:t>%</w:t>
                        </w:r>
                      </w:p>
                    </w:txbxContent>
                  </v:textbox>
                </v:shape>
                <v:shape id="Text Box 176" o:spid="_x0000_s1035" type="#_x0000_t202" style="position:absolute;left:7520;top:2355;width:1470;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mCMQA&#10;AADcAAAADwAAAGRycy9kb3ducmV2LnhtbESPT4vCMBTE78J+h/AWvMiaKijaNcr6DzzoQVc8P5q3&#10;bdnmpSTR1m9vBMHjMDO/YWaL1lTiRs6XlhUM+gkI4szqknMF59/t1wSED8gaK8uk4E4eFvOPzgxT&#10;bRs+0u0UchEh7FNUUIRQp1L6rCCDvm9r4uj9WWcwROlyqR02EW4qOUySsTRYclwosKZVQdn/6WoU&#10;jNfu2hx51VufN3s81PnwsrxflOp+tj/fIAK14R1+tXdawWg6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YJgjEAAAA3AAAAA8AAAAAAAAAAAAAAAAAmAIAAGRycy9k&#10;b3ducmV2LnhtbFBLBQYAAAAABAAEAPUAAACJAwAAAAA=&#10;" stroked="f">
                  <v:textbox inset="0,0,0,0">
                    <w:txbxContent>
                      <w:p w:rsidR="004F4716" w:rsidRPr="00CC4E0A" w:rsidRDefault="004F4716" w:rsidP="00335E4B">
                        <w:pPr>
                          <w:spacing w:line="180" w:lineRule="exact"/>
                          <w:jc w:val="center"/>
                          <w:rPr>
                            <w:rFonts w:ascii="Traditional Arabic" w:hAnsi="Traditional Arabic" w:cs="Traditional Arabic"/>
                            <w:b/>
                            <w:bCs/>
                            <w:color w:val="000000"/>
                            <w:szCs w:val="20"/>
                            <w:lang w:bidi="ar-EG"/>
                          </w:rPr>
                        </w:pPr>
                        <w:r w:rsidRPr="00CC4E0A">
                          <w:rPr>
                            <w:rFonts w:ascii="Traditional Arabic" w:hAnsi="Traditional Arabic" w:cs="Traditional Arabic"/>
                            <w:b/>
                            <w:bCs/>
                            <w:color w:val="000000"/>
                            <w:szCs w:val="20"/>
                            <w:rtl/>
                            <w:lang w:bidi="ar-EG"/>
                          </w:rPr>
                          <w:t>الفحم الصلب</w:t>
                        </w:r>
                      </w:p>
                    </w:txbxContent>
                  </v:textbox>
                </v:shape>
                <v:shape id="Text Box 177" o:spid="_x0000_s1036" type="#_x0000_t202" style="position:absolute;left:6464;top:3084;width:147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7bsEA&#10;AADcAAAADwAAAGRycy9kb3ducmV2LnhtbERPS2vCQBC+F/wPywheSt3oQUrqKvUFHuxBK56H7DQJ&#10;zc6G3dXEf+8cBI8f33u+7F2jbhRi7dnAZJyBIi68rbk0cP7dfXyCignZYuOZDNwpwnIxeJtjbn3H&#10;R7qdUqkkhGOOBqqU2lzrWFTkMI59Syzcnw8Ok8BQahuwk3DX6GmWzbTDmqWhwpbWFRX/p6szMNuE&#10;a3fk9fvmvD3gT1tOL6v7xZjRsP/+ApWoTy/x07234stkvpyR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Ne27BAAAA3AAAAA8AAAAAAAAAAAAAAAAAmAIAAGRycy9kb3du&#10;cmV2LnhtbFBLBQYAAAAABAAEAPUAAACGAwAAAAA=&#10;" stroked="f">
                  <v:textbox inset="0,0,0,0">
                    <w:txbxContent>
                      <w:p w:rsidR="004F4716" w:rsidRPr="00874661" w:rsidRDefault="004F4716" w:rsidP="00335E4B">
                        <w:pPr>
                          <w:spacing w:line="180" w:lineRule="exact"/>
                          <w:jc w:val="center"/>
                          <w:rPr>
                            <w:rFonts w:ascii="Traditional Arabic" w:hAnsi="Traditional Arabic" w:cs="Traditional Arabic"/>
                            <w:b/>
                            <w:bCs/>
                            <w:color w:val="000000"/>
                            <w:szCs w:val="20"/>
                            <w:rtl/>
                            <w:lang w:bidi="ar-EG"/>
                          </w:rPr>
                        </w:pPr>
                        <w:r w:rsidRPr="00874661">
                          <w:rPr>
                            <w:rFonts w:ascii="Traditional Arabic" w:hAnsi="Traditional Arabic" w:cs="Traditional Arabic"/>
                            <w:b/>
                            <w:bCs/>
                            <w:color w:val="000000"/>
                            <w:szCs w:val="20"/>
                            <w:rtl/>
                            <w:lang w:bidi="ar-EG"/>
                          </w:rPr>
                          <w:t>القيري</w:t>
                        </w:r>
                      </w:p>
                      <w:p w:rsidR="004F4716" w:rsidRPr="004A6FAB" w:rsidRDefault="004F4716" w:rsidP="00335E4B">
                        <w:pPr>
                          <w:spacing w:line="180" w:lineRule="exact"/>
                          <w:jc w:val="center"/>
                          <w:rPr>
                            <w:color w:val="000000"/>
                            <w:szCs w:val="20"/>
                            <w:lang w:bidi="ar-EG"/>
                          </w:rPr>
                        </w:pPr>
                        <w:r w:rsidRPr="00874661">
                          <w:rPr>
                            <w:rFonts w:ascii="Traditional Arabic" w:hAnsi="Traditional Arabic" w:cs="Traditional Arabic"/>
                            <w:b/>
                            <w:bCs/>
                            <w:color w:val="000000"/>
                            <w:szCs w:val="20"/>
                            <w:rtl/>
                            <w:lang w:bidi="ar-EG"/>
                          </w:rPr>
                          <w:t>52</w:t>
                        </w:r>
                        <w:r w:rsidRPr="002E62CE">
                          <w:rPr>
                            <w:rFonts w:cs="Akhbar MT"/>
                            <w:b/>
                            <w:bCs/>
                            <w:color w:val="000000"/>
                            <w:szCs w:val="20"/>
                            <w:rtl/>
                            <w:lang w:bidi="ar-EG"/>
                          </w:rPr>
                          <w:t>%</w:t>
                        </w:r>
                      </w:p>
                    </w:txbxContent>
                  </v:textbox>
                </v:shape>
                <v:shape id="Text Box 178" o:spid="_x0000_s1037" type="#_x0000_t202" style="position:absolute;left:8848;top:3084;width:147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e9cUA&#10;AADcAAAADwAAAGRycy9kb3ducmV2LnhtbESPzWrDMBCE74W+g9hCL6WW40MIbuSQJi30kB6ShpwX&#10;a2ubWCsjyX9vXwUKOQ4z3wyz3kymFQM531hWsEhSEMSl1Q1XCs4/n68rED4ga2wtk4KZPGyKx4c1&#10;5tqOfKThFCoRS9jnqKAOocul9GVNBn1iO+Lo/VpnMETpKqkdjrHctDJL06U02HBcqLGjXU3l9dQb&#10;Bcu968cj7172548DfndVdnmfL0o9P03bNxCBpnAP/9NfOnLpAm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d71xQAAANwAAAAPAAAAAAAAAAAAAAAAAJgCAABkcnMv&#10;ZG93bnJldi54bWxQSwUGAAAAAAQABAD1AAAAigMAAAAA&#10;" stroked="f">
                  <v:textbox inset="0,0,0,0">
                    <w:txbxContent>
                      <w:p w:rsidR="004F4716" w:rsidRPr="00874661" w:rsidRDefault="004F4716" w:rsidP="00335E4B">
                        <w:pPr>
                          <w:spacing w:line="180" w:lineRule="exact"/>
                          <w:jc w:val="center"/>
                          <w:rPr>
                            <w:rFonts w:ascii="Traditional Arabic" w:hAnsi="Traditional Arabic" w:cs="Traditional Arabic"/>
                            <w:b/>
                            <w:bCs/>
                            <w:color w:val="000000"/>
                            <w:szCs w:val="20"/>
                            <w:rtl/>
                            <w:lang w:bidi="ar-EG"/>
                          </w:rPr>
                        </w:pPr>
                        <w:r w:rsidRPr="00874661">
                          <w:rPr>
                            <w:rFonts w:ascii="Traditional Arabic" w:hAnsi="Traditional Arabic" w:cs="Traditional Arabic"/>
                            <w:b/>
                            <w:bCs/>
                            <w:color w:val="000000"/>
                            <w:szCs w:val="20"/>
                            <w:rtl/>
                            <w:lang w:bidi="ar-EG"/>
                          </w:rPr>
                          <w:t>الأنثراسيت</w:t>
                        </w:r>
                      </w:p>
                      <w:p w:rsidR="004F4716" w:rsidRPr="004A6FAB" w:rsidRDefault="004F4716" w:rsidP="00335E4B">
                        <w:pPr>
                          <w:spacing w:line="180" w:lineRule="exact"/>
                          <w:jc w:val="center"/>
                          <w:rPr>
                            <w:color w:val="000000"/>
                            <w:szCs w:val="20"/>
                            <w:lang w:bidi="ar-EG"/>
                          </w:rPr>
                        </w:pPr>
                        <w:r w:rsidRPr="00874661">
                          <w:rPr>
                            <w:rFonts w:ascii="Traditional Arabic" w:hAnsi="Traditional Arabic" w:cs="Traditional Arabic"/>
                            <w:b/>
                            <w:bCs/>
                            <w:color w:val="000000"/>
                            <w:szCs w:val="20"/>
                            <w:rtl/>
                            <w:lang w:bidi="ar-EG"/>
                          </w:rPr>
                          <w:t>1</w:t>
                        </w:r>
                        <w:r w:rsidRPr="002E62CE">
                          <w:rPr>
                            <w:rFonts w:cs="Akhbar MT"/>
                            <w:b/>
                            <w:bCs/>
                            <w:color w:val="000000"/>
                            <w:szCs w:val="20"/>
                            <w:rtl/>
                            <w:lang w:bidi="ar-EG"/>
                          </w:rPr>
                          <w:t>%</w:t>
                        </w:r>
                      </w:p>
                    </w:txbxContent>
                  </v:textbox>
                </v:shape>
                <v:shape id="Text Box 179" o:spid="_x0000_s1038" type="#_x0000_t202" style="position:absolute;left:5709;top:3826;width:1641;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AgsUA&#10;AADcAAAADwAAAGRycy9kb3ducmV2LnhtbESPwWrDMBBE74X+g9hCLqWW64MprpXQJg3kkB7ihJwX&#10;a2ubWisjKbH991Gg0OMw82aYcjWZXlzJ+c6ygtckBUFcW91xo+B03L68gfABWWNvmRTM5GG1fHwo&#10;sdB25ANdq9CIWMK+QAVtCEMhpa9bMugTOxBH78c6gyFK10jtcIzlppdZmubSYMdxocWB1i3Vv9XF&#10;KMg37jIeeP28OX3t8XtosvPnfFZq8TR9vIMINIX/8B+905FL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0CCxQAAANwAAAAPAAAAAAAAAAAAAAAAAJgCAABkcnMv&#10;ZG93bnJldi54bWxQSwUGAAAAAAQABAD1AAAAigMAAAAA&#10;" stroked="f">
                  <v:textbox inset="0,0,0,0">
                    <w:txbxContent>
                      <w:p w:rsidR="004F4716" w:rsidRPr="00874661" w:rsidRDefault="004F4716" w:rsidP="00335E4B">
                        <w:pPr>
                          <w:spacing w:line="180" w:lineRule="exact"/>
                          <w:jc w:val="center"/>
                          <w:rPr>
                            <w:rFonts w:ascii="Traditional Arabic" w:hAnsi="Traditional Arabic" w:cs="Traditional Arabic"/>
                            <w:b/>
                            <w:bCs/>
                            <w:color w:val="000000"/>
                            <w:szCs w:val="20"/>
                          </w:rPr>
                        </w:pPr>
                        <w:r w:rsidRPr="00874661">
                          <w:rPr>
                            <w:rFonts w:ascii="Traditional Arabic" w:hAnsi="Traditional Arabic" w:cs="Traditional Arabic"/>
                            <w:b/>
                            <w:bCs/>
                            <w:color w:val="000000"/>
                            <w:szCs w:val="20"/>
                            <w:rtl/>
                            <w:lang w:bidi="ar-EG"/>
                          </w:rPr>
                          <w:t>يستخدم في المراجل</w:t>
                        </w:r>
                      </w:p>
                    </w:txbxContent>
                  </v:textbox>
                </v:shape>
                <v:shape id="Text Box 180" o:spid="_x0000_s1039" type="#_x0000_t202" style="position:absolute;left:7621;top:3888;width:1299;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GcUA&#10;AADcAAAADwAAAGRycy9kb3ducmV2LnhtbESPzWrDMBCE74G+g9hCL6GR64IJbpTQJi300BychJwX&#10;a2ObWCsjKf55+6pQyHGY+WaY1WY0rejJ+caygpdFAoK4tLrhSsHp+PW8BOEDssbWMimYyMNm/TBb&#10;Ya7twAX1h1CJWMI+RwV1CF0upS9rMugXtiOO3sU6gyFKV0ntcIjlppVpkmTSYMNxocaOtjWV18PN&#10;KMh27jYUvJ3vTp8/uO+q9PwxnZV6ehzf30AEGsM9/E9/68glr/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UZxQAAANwAAAAPAAAAAAAAAAAAAAAAAJgCAABkcnMv&#10;ZG93bnJldi54bWxQSwUGAAAAAAQABAD1AAAAigMAAAAA&#10;" stroked="f">
                  <v:textbox inset="0,0,0,0">
                    <w:txbxContent>
                      <w:p w:rsidR="004F4716" w:rsidRPr="00874661" w:rsidRDefault="004F4716" w:rsidP="00335E4B">
                        <w:pPr>
                          <w:spacing w:line="180" w:lineRule="exact"/>
                          <w:jc w:val="center"/>
                          <w:rPr>
                            <w:rFonts w:ascii="Traditional Arabic" w:hAnsi="Traditional Arabic" w:cs="Traditional Arabic"/>
                            <w:b/>
                            <w:bCs/>
                            <w:color w:val="000000"/>
                            <w:szCs w:val="20"/>
                            <w:lang w:bidi="ar-EG"/>
                          </w:rPr>
                        </w:pPr>
                        <w:r w:rsidRPr="00874661">
                          <w:rPr>
                            <w:rFonts w:ascii="Traditional Arabic" w:hAnsi="Traditional Arabic" w:cs="Traditional Arabic"/>
                            <w:b/>
                            <w:bCs/>
                            <w:color w:val="000000"/>
                            <w:szCs w:val="20"/>
                            <w:rtl/>
                            <w:lang w:bidi="ar-EG"/>
                          </w:rPr>
                          <w:t>فحم الطهو</w:t>
                        </w:r>
                      </w:p>
                    </w:txbxContent>
                  </v:textbox>
                </v:shape>
                <v:shape id="Text Box 181" o:spid="_x0000_s1040" type="#_x0000_t202" style="position:absolute;left:3544;top:4448;width:239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9bcUA&#10;AADcAAAADwAAAGRycy9kb3ducmV2LnhtbESPzWrDMBCE74G+g9hCL6GRa4oJbpTQJi300BychJwX&#10;a2ObWCsjKf55+6pQyHGY+WaY1WY0rejJ+caygpdFAoK4tLrhSsHp+PW8BOEDssbWMimYyMNm/TBb&#10;Ya7twAX1h1CJWMI+RwV1CF0upS9rMugXtiOO3sU6gyFKV0ntcIjlppVpkmTSYMNxocaOtjWV18PN&#10;KMh27jYUvJ3vTp8/uO+q9PwxnZV6ehzf30AEGsM9/E9/68glr/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n1txQAAANwAAAAPAAAAAAAAAAAAAAAAAJgCAABkcnMv&#10;ZG93bnJldi54bWxQSwUGAAAAAAQABAD1AAAAigMAAAAA&#10;" stroked="f">
                  <v:textbox inset="0,0,0,0">
                    <w:txbxContent>
                      <w:p w:rsidR="004F4716" w:rsidRPr="00874661" w:rsidRDefault="004F4716" w:rsidP="00335E4B">
                        <w:pPr>
                          <w:spacing w:line="180" w:lineRule="exact"/>
                          <w:jc w:val="center"/>
                          <w:rPr>
                            <w:rFonts w:ascii="Traditional Arabic" w:hAnsi="Traditional Arabic" w:cs="Traditional Arabic"/>
                            <w:b/>
                            <w:bCs/>
                            <w:color w:val="000000"/>
                            <w:szCs w:val="20"/>
                            <w:lang w:bidi="ar-EG"/>
                          </w:rPr>
                        </w:pPr>
                        <w:r w:rsidRPr="00874661">
                          <w:rPr>
                            <w:rFonts w:ascii="Traditional Arabic" w:hAnsi="Traditional Arabic" w:cs="Traditional Arabic"/>
                            <w:b/>
                            <w:bCs/>
                            <w:color w:val="000000"/>
                            <w:szCs w:val="20"/>
                            <w:rtl/>
                            <w:lang w:bidi="ar-EG"/>
                          </w:rPr>
                          <w:t>فحم البخار</w:t>
                        </w:r>
                      </w:p>
                    </w:txbxContent>
                  </v:textbox>
                </v:shape>
                <v:shape id="Text Box 182" o:spid="_x0000_s1041" type="#_x0000_t202" style="position:absolute;left:2018;top:5101;width:147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Y9sUA&#10;AADcAAAADwAAAGRycy9kb3ducmV2LnhtbESPzWrDMBCE74G+g9hCL6GRa6gJbpTQJi300BychJwX&#10;a2ObWCsjKf55+6pQyHGY+WaY1WY0rejJ+caygpdFAoK4tLrhSsHp+PW8BOEDssbWMimYyMNm/TBb&#10;Ya7twAX1h1CJWMI+RwV1CF0upS9rMugXtiOO3sU6gyFKV0ntcIjlppVpkmTSYMNxocaOtjWV18PN&#10;KMh27jYUvJ3vTp8/uO+q9PwxnZV6ehzf30AEGsM9/E9/68glr/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tj2xQAAANwAAAAPAAAAAAAAAAAAAAAAAJgCAABkcnMv&#10;ZG93bnJldi54bWxQSwUGAAAAAAQABAD1AAAAigMAAAAA&#10;" stroked="f">
                  <v:textbox inset="0,0,0,0">
                    <w:txbxContent>
                      <w:p w:rsidR="004F4716" w:rsidRPr="00874661" w:rsidRDefault="004F4716" w:rsidP="00335E4B">
                        <w:pPr>
                          <w:jc w:val="center"/>
                          <w:rPr>
                            <w:rFonts w:ascii="Traditional Arabic" w:hAnsi="Traditional Arabic" w:cs="Traditional Arabic"/>
                            <w:b/>
                            <w:bCs/>
                            <w:color w:val="000000"/>
                            <w:szCs w:val="20"/>
                            <w:lang w:bidi="ar-EG"/>
                          </w:rPr>
                        </w:pPr>
                        <w:r w:rsidRPr="00874661">
                          <w:rPr>
                            <w:rFonts w:ascii="Traditional Arabic" w:hAnsi="Traditional Arabic" w:cs="Traditional Arabic"/>
                            <w:b/>
                            <w:bCs/>
                            <w:color w:val="000000"/>
                            <w:szCs w:val="20"/>
                            <w:rtl/>
                            <w:lang w:bidi="ar-EG"/>
                          </w:rPr>
                          <w:t>توليد الكهرباء</w:t>
                        </w:r>
                      </w:p>
                    </w:txbxContent>
                  </v:textbox>
                </v:shape>
                <v:shape id="Text Box 183" o:spid="_x0000_s1042" type="#_x0000_t202" style="position:absolute;left:4571;top:5091;width:2052;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gcUA&#10;AADcAAAADwAAAGRycy9kb3ducmV2LnhtbESPzWrDMBCE74W8g9hALyWW44MpjpXQJink0B7yQ86L&#10;tbVNrZWRlNh++6hQ6HGY+WaYcjOaTtzJ+daygmWSgiCurG65VnA5fyxeQfiArLGzTAom8rBZz55K&#10;LLQd+Ej3U6hFLGFfoIImhL6Q0lcNGfSJ7Ymj922dwRClq6V2OMRy08ksTXNpsOW40GBP24aqn9PN&#10;KMh37jYcefuyu+w/8auvs+v7dFXqeT6+rUAEGsN/+I8+6MilO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EaBxQAAANwAAAAPAAAAAAAAAAAAAAAAAJgCAABkcnMv&#10;ZG93bnJldi54bWxQSwUGAAAAAAQABAD1AAAAigMAAAAA&#10;" stroked="f">
                  <v:textbox inset="0,0,0,0">
                    <w:txbxContent>
                      <w:p w:rsidR="004F4716" w:rsidRPr="00874661" w:rsidRDefault="004F4716" w:rsidP="00335E4B">
                        <w:pPr>
                          <w:spacing w:line="220" w:lineRule="exact"/>
                          <w:jc w:val="center"/>
                          <w:rPr>
                            <w:rFonts w:ascii="Traditional Arabic" w:hAnsi="Traditional Arabic" w:cs="Traditional Arabic"/>
                            <w:b/>
                            <w:bCs/>
                            <w:color w:val="000000"/>
                            <w:szCs w:val="20"/>
                            <w:rtl/>
                            <w:lang w:bidi="ar-EG"/>
                          </w:rPr>
                        </w:pPr>
                        <w:r w:rsidRPr="00874661">
                          <w:rPr>
                            <w:rFonts w:ascii="Traditional Arabic" w:hAnsi="Traditional Arabic" w:cs="Traditional Arabic"/>
                            <w:b/>
                            <w:bCs/>
                            <w:color w:val="000000"/>
                            <w:szCs w:val="20"/>
                            <w:rtl/>
                            <w:lang w:bidi="ar-EG"/>
                          </w:rPr>
                          <w:t>توليد الطاقة الكهربائية</w:t>
                        </w:r>
                      </w:p>
                      <w:p w:rsidR="004F4716" w:rsidRPr="00874661" w:rsidRDefault="004F4716" w:rsidP="00335E4B">
                        <w:pPr>
                          <w:spacing w:line="220" w:lineRule="exact"/>
                          <w:jc w:val="center"/>
                          <w:rPr>
                            <w:rFonts w:ascii="Traditional Arabic" w:hAnsi="Traditional Arabic" w:cs="Traditional Arabic"/>
                            <w:b/>
                            <w:bCs/>
                            <w:color w:val="000000"/>
                            <w:szCs w:val="20"/>
                            <w:rtl/>
                            <w:lang w:bidi="ar-EG"/>
                          </w:rPr>
                        </w:pPr>
                        <w:r w:rsidRPr="00874661">
                          <w:rPr>
                            <w:rFonts w:ascii="Traditional Arabic" w:hAnsi="Traditional Arabic" w:cs="Traditional Arabic"/>
                            <w:b/>
                            <w:bCs/>
                            <w:color w:val="000000"/>
                            <w:szCs w:val="20"/>
                            <w:rtl/>
                            <w:lang w:bidi="ar-EG"/>
                          </w:rPr>
                          <w:t>مصانع الاسمنت</w:t>
                        </w:r>
                      </w:p>
                      <w:p w:rsidR="004F4716" w:rsidRPr="00874661" w:rsidRDefault="004F4716" w:rsidP="00335E4B">
                        <w:pPr>
                          <w:spacing w:line="220" w:lineRule="exact"/>
                          <w:jc w:val="center"/>
                          <w:rPr>
                            <w:rFonts w:ascii="Traditional Arabic" w:hAnsi="Traditional Arabic" w:cs="Traditional Arabic"/>
                            <w:color w:val="000000"/>
                            <w:szCs w:val="20"/>
                            <w:lang w:bidi="ar-EG"/>
                          </w:rPr>
                        </w:pPr>
                        <w:r w:rsidRPr="00874661">
                          <w:rPr>
                            <w:rFonts w:ascii="Traditional Arabic" w:hAnsi="Traditional Arabic" w:cs="Traditional Arabic"/>
                            <w:b/>
                            <w:bCs/>
                            <w:color w:val="000000"/>
                            <w:szCs w:val="20"/>
                            <w:rtl/>
                            <w:lang w:bidi="ar-EG"/>
                          </w:rPr>
                          <w:t>المراجل الصناعية</w:t>
                        </w:r>
                      </w:p>
                    </w:txbxContent>
                  </v:textbox>
                </v:shape>
                <v:shape id="Text Box 184" o:spid="_x0000_s1043" type="#_x0000_t202" style="position:absolute;left:7361;top:5101;width:147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jGsUA&#10;AADcAAAADwAAAGRycy9kb3ducmV2LnhtbESPzWrDMBCE74G+g9hCL6GR64MT3CihTVrooTk4CTkv&#10;1sY2sVZGUvzz9lWh0OMw880w6+1oWtGT841lBS+LBARxaXXDlYLz6fN5BcIHZI2tZVIwkYft5mG2&#10;xlzbgQvqj6ESsYR9jgrqELpcSl/WZNAvbEccvat1BkOUrpLa4RDLTSvTJMmkwYbjQo0d7Woqb8e7&#10;UZDt3X0oeDffnz++8dBV6eV9uij19Di+vYIINIb/8B/9pSOXL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MaxQAAANwAAAAPAAAAAAAAAAAAAAAAAJgCAABkcnMv&#10;ZG93bnJldi54bWxQSwUGAAAAAAQABAD1AAAAigMAAAAA&#10;" stroked="f">
                  <v:textbox inset="0,0,0,0">
                    <w:txbxContent>
                      <w:p w:rsidR="004F4716" w:rsidRPr="00874661" w:rsidRDefault="004F4716" w:rsidP="00335E4B">
                        <w:pPr>
                          <w:jc w:val="center"/>
                          <w:rPr>
                            <w:rFonts w:ascii="Traditional Arabic" w:hAnsi="Traditional Arabic" w:cs="Traditional Arabic"/>
                            <w:b/>
                            <w:bCs/>
                            <w:color w:val="000000"/>
                            <w:szCs w:val="20"/>
                            <w:lang w:bidi="ar-EG"/>
                          </w:rPr>
                        </w:pPr>
                        <w:r w:rsidRPr="00874661">
                          <w:rPr>
                            <w:rFonts w:ascii="Traditional Arabic" w:hAnsi="Traditional Arabic" w:cs="Traditional Arabic"/>
                            <w:b/>
                            <w:bCs/>
                            <w:color w:val="000000"/>
                            <w:szCs w:val="20"/>
                            <w:rtl/>
                            <w:lang w:bidi="ar-EG"/>
                          </w:rPr>
                          <w:t>صناعة الصلب</w:t>
                        </w:r>
                      </w:p>
                    </w:txbxContent>
                  </v:textbox>
                </v:shape>
                <v:shape id="Text Box 185" o:spid="_x0000_s1044" type="#_x0000_t202" style="position:absolute;left:8948;top:5081;width:1470;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aMEA&#10;AADcAAAADwAAAGRycy9kb3ducmV2LnhtbERPS2vCQBC+F/wPywheSt3oQUrqKvUFHuxBK56H7DQJ&#10;zc6G3dXEf+8cBI8f33u+7F2jbhRi7dnAZJyBIi68rbk0cP7dfXyCignZYuOZDNwpwnIxeJtjbn3H&#10;R7qdUqkkhGOOBqqU2lzrWFTkMI59Syzcnw8Ok8BQahuwk3DX6GmWzbTDmqWhwpbWFRX/p6szMNuE&#10;a3fk9fvmvD3gT1tOL6v7xZjRsP/+ApWoTy/x07234stkrZyR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d2jBAAAA3AAAAA8AAAAAAAAAAAAAAAAAmAIAAGRycy9kb3du&#10;cmV2LnhtbFBLBQYAAAAABAAEAPUAAACGAwAAAAA=&#10;" stroked="f">
                  <v:textbox inset="0,0,0,0">
                    <w:txbxContent>
                      <w:p w:rsidR="004F4716" w:rsidRPr="00874661" w:rsidRDefault="004F4716" w:rsidP="00335E4B">
                        <w:pPr>
                          <w:jc w:val="center"/>
                          <w:rPr>
                            <w:rFonts w:ascii="Traditional Arabic" w:hAnsi="Traditional Arabic" w:cs="Traditional Arabic"/>
                            <w:b/>
                            <w:bCs/>
                            <w:color w:val="000000"/>
                            <w:szCs w:val="20"/>
                            <w:lang w:bidi="ar-EG"/>
                          </w:rPr>
                        </w:pPr>
                        <w:r w:rsidRPr="00874661">
                          <w:rPr>
                            <w:rFonts w:ascii="Traditional Arabic" w:hAnsi="Traditional Arabic" w:cs="Traditional Arabic"/>
                            <w:b/>
                            <w:bCs/>
                            <w:color w:val="000000"/>
                            <w:szCs w:val="20"/>
                            <w:rtl/>
                            <w:lang w:bidi="ar-EG"/>
                          </w:rPr>
                          <w:t>الاستخدامات المنزلية والصناعية ”بدون أدخنة“</w:t>
                        </w:r>
                      </w:p>
                    </w:txbxContent>
                  </v:textbox>
                </v:shape>
              </v:group>
            </w:pict>
          </mc:Fallback>
        </mc:AlternateContent>
      </w:r>
      <w:r>
        <w:rPr>
          <w:rFonts w:eastAsia="SimSun" w:cs="Traditional Arabic"/>
          <w:noProof/>
          <w:color w:val="000000"/>
          <w:sz w:val="21"/>
          <w:szCs w:val="30"/>
          <w:lang w:val="en-GB" w:eastAsia="zh-CN"/>
        </w:rPr>
        <w:drawing>
          <wp:inline distT="0" distB="0" distL="0" distR="0" wp14:anchorId="2854A9D6" wp14:editId="530434B5">
            <wp:extent cx="5679440" cy="3137535"/>
            <wp:effectExtent l="0" t="0" r="0" b="5715"/>
            <wp:docPr id="37" name="Picture 37" descr="Description: http://www.manicore.com/anglais/documentation_a/oil/coal_use_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manicore.com/anglais/documentation_a/oil/coal_use_graph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9440" cy="3137535"/>
                    </a:xfrm>
                    <a:prstGeom prst="rect">
                      <a:avLst/>
                    </a:prstGeom>
                    <a:noFill/>
                    <a:ln>
                      <a:noFill/>
                    </a:ln>
                  </pic:spPr>
                </pic:pic>
              </a:graphicData>
            </a:graphic>
          </wp:inline>
        </w:drawing>
      </w:r>
      <w:bookmarkStart w:id="418" w:name="_Toc440527751"/>
      <w:r w:rsidRPr="00335E4B">
        <w:rPr>
          <w:rFonts w:cs="Traditional Arabic"/>
          <w:b/>
          <w:bCs/>
          <w:sz w:val="20"/>
          <w:szCs w:val="30"/>
          <w:rtl/>
          <w:lang w:bidi="ar-EG"/>
        </w:rPr>
        <w:t>الشكل 1 - استعمال مختلف رُتب الفحم (مؤسسة الفحم العالمية 2014).</w:t>
      </w:r>
      <w:bookmarkEnd w:id="418"/>
    </w:p>
    <w:p w:rsidR="00335E4B" w:rsidRPr="00335E4B" w:rsidRDefault="00335E4B" w:rsidP="00335E4B">
      <w:pPr>
        <w:spacing w:after="120" w:line="400" w:lineRule="exact"/>
        <w:jc w:val="both"/>
        <w:rPr>
          <w:rFonts w:cs="Traditional Arabic"/>
          <w:sz w:val="20"/>
          <w:szCs w:val="30"/>
        </w:rPr>
      </w:pPr>
      <w:r w:rsidRPr="00335E4B">
        <w:rPr>
          <w:rFonts w:cs="Traditional Arabic"/>
          <w:sz w:val="20"/>
          <w:szCs w:val="30"/>
          <w:rtl/>
        </w:rPr>
        <w:t>و</w:t>
      </w:r>
      <w:r w:rsidRPr="00335E4B">
        <w:rPr>
          <w:rFonts w:cs="Traditional Arabic" w:hint="cs"/>
          <w:sz w:val="20"/>
          <w:szCs w:val="30"/>
          <w:rtl/>
        </w:rPr>
        <w:t xml:space="preserve">يمثل </w:t>
      </w:r>
      <w:r w:rsidRPr="00335E4B">
        <w:rPr>
          <w:rFonts w:cs="Traditional Arabic"/>
          <w:sz w:val="20"/>
          <w:szCs w:val="30"/>
          <w:rtl/>
        </w:rPr>
        <w:t>محتوى الزئبق أحد المعالم الرئيسية التي تؤثر على مقدار انبعاثات الفحم غير المضبوطة. ويقدِّم الجدول 1، الذي تم تعديله من ”تيوالت وآخرون (2010)“ البيانات المتاحة علناً بشأن محتوى الزئبق في الفحم.</w:t>
      </w:r>
    </w:p>
    <w:p w:rsidR="00335E4B" w:rsidRPr="00335E4B" w:rsidRDefault="00335E4B" w:rsidP="00335E4B">
      <w:pPr>
        <w:keepNext/>
        <w:spacing w:after="120" w:line="400" w:lineRule="exact"/>
        <w:jc w:val="both"/>
        <w:outlineLvl w:val="0"/>
        <w:rPr>
          <w:rFonts w:cs="Traditional Arabic"/>
          <w:b/>
          <w:bCs/>
          <w:sz w:val="20"/>
          <w:szCs w:val="30"/>
          <w:rtl/>
          <w:lang w:bidi="ar-EG"/>
        </w:rPr>
      </w:pPr>
      <w:bookmarkStart w:id="419" w:name="_Toc440527752"/>
      <w:bookmarkStart w:id="420" w:name="_Toc440550453"/>
      <w:bookmarkStart w:id="421" w:name="_Toc441577710"/>
      <w:bookmarkStart w:id="422" w:name="_Toc441577889"/>
      <w:bookmarkStart w:id="423" w:name="_Toc441579115"/>
      <w:bookmarkStart w:id="424" w:name="_Toc441580723"/>
      <w:bookmarkStart w:id="425" w:name="_Toc441585854"/>
      <w:bookmarkStart w:id="426" w:name="_Toc441586190"/>
      <w:bookmarkStart w:id="427" w:name="_Toc441586640"/>
      <w:bookmarkStart w:id="428" w:name="_Toc441586819"/>
      <w:bookmarkStart w:id="429" w:name="_Toc441666668"/>
      <w:bookmarkStart w:id="430" w:name="_Toc441673729"/>
      <w:r w:rsidRPr="00335E4B">
        <w:rPr>
          <w:rFonts w:cs="Traditional Arabic"/>
          <w:b/>
          <w:bCs/>
          <w:sz w:val="20"/>
          <w:szCs w:val="30"/>
          <w:rtl/>
          <w:lang w:bidi="ar-EG"/>
        </w:rPr>
        <w:t>الجدول 1-</w:t>
      </w:r>
      <w:r w:rsidRPr="00335E4B">
        <w:rPr>
          <w:rFonts w:cs="Traditional Arabic" w:hint="cs"/>
          <w:b/>
          <w:bCs/>
          <w:sz w:val="20"/>
          <w:szCs w:val="30"/>
          <w:rtl/>
          <w:lang w:bidi="ar-EG"/>
        </w:rPr>
        <w:tab/>
      </w:r>
      <w:r w:rsidRPr="00335E4B">
        <w:rPr>
          <w:rFonts w:cs="Traditional Arabic"/>
          <w:b/>
          <w:bCs/>
          <w:sz w:val="20"/>
          <w:szCs w:val="30"/>
          <w:rtl/>
          <w:lang w:bidi="ar-EG"/>
        </w:rPr>
        <w:t>محتوى الزئبق في أنواع الفحم (مغ/كغ)</w:t>
      </w:r>
      <w:bookmarkEnd w:id="419"/>
      <w:bookmarkEnd w:id="420"/>
      <w:bookmarkEnd w:id="421"/>
      <w:bookmarkEnd w:id="422"/>
      <w:bookmarkEnd w:id="423"/>
      <w:bookmarkEnd w:id="424"/>
      <w:bookmarkEnd w:id="425"/>
      <w:bookmarkEnd w:id="426"/>
      <w:bookmarkEnd w:id="427"/>
      <w:bookmarkEnd w:id="428"/>
      <w:bookmarkEnd w:id="429"/>
      <w:bookmarkEnd w:id="430"/>
    </w:p>
    <w:tbl>
      <w:tblPr>
        <w:bidiVisual/>
        <w:tblW w:w="960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1842"/>
        <w:gridCol w:w="1418"/>
        <w:gridCol w:w="1417"/>
        <w:gridCol w:w="1985"/>
        <w:gridCol w:w="2941"/>
      </w:tblGrid>
      <w:tr w:rsidR="00335E4B" w:rsidRPr="00335E4B" w:rsidTr="00D002D1">
        <w:trPr>
          <w:tblHeader/>
        </w:trPr>
        <w:tc>
          <w:tcPr>
            <w:tcW w:w="1842" w:type="dxa"/>
            <w:tcBorders>
              <w:left w:val="nil"/>
              <w:bottom w:val="single" w:sz="4" w:space="0" w:color="auto"/>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bidi="ar-EG"/>
              </w:rPr>
              <w:t>البلد</w:t>
            </w:r>
          </w:p>
        </w:tc>
        <w:tc>
          <w:tcPr>
            <w:tcW w:w="1418" w:type="dxa"/>
            <w:tcBorders>
              <w:left w:val="nil"/>
              <w:bottom w:val="single" w:sz="4" w:space="0" w:color="auto"/>
              <w:right w:val="nil"/>
            </w:tcBorders>
            <w:shd w:val="clear" w:color="auto" w:fill="auto"/>
            <w:vAlign w:val="center"/>
          </w:tcPr>
          <w:p w:rsidR="00335E4B" w:rsidRPr="00335E4B" w:rsidRDefault="00335E4B" w:rsidP="00335E4B">
            <w:pPr>
              <w:suppressAutoHyphens/>
              <w:overflowPunct w:val="0"/>
              <w:autoSpaceDE w:val="0"/>
              <w:spacing w:line="320" w:lineRule="exact"/>
              <w:jc w:val="center"/>
              <w:textAlignment w:val="baseline"/>
              <w:rPr>
                <w:rFonts w:eastAsia="SimSun" w:cs="Traditional Arabic"/>
                <w:bCs/>
                <w:spacing w:val="-3"/>
                <w:sz w:val="17"/>
                <w:szCs w:val="26"/>
                <w:lang w:eastAsia="ar-SA"/>
              </w:rPr>
            </w:pPr>
            <w:r w:rsidRPr="00335E4B">
              <w:rPr>
                <w:rFonts w:cs="Traditional Arabic"/>
                <w:bCs/>
                <w:spacing w:val="-3"/>
                <w:sz w:val="17"/>
                <w:szCs w:val="26"/>
                <w:rtl/>
                <w:lang w:eastAsia="ar-SA"/>
              </w:rPr>
              <w:t>نوع الفحم</w:t>
            </w:r>
          </w:p>
        </w:tc>
        <w:tc>
          <w:tcPr>
            <w:tcW w:w="1417" w:type="dxa"/>
            <w:tcBorders>
              <w:left w:val="nil"/>
              <w:bottom w:val="single" w:sz="4" w:space="0" w:color="auto"/>
              <w:right w:val="nil"/>
            </w:tcBorders>
            <w:shd w:val="clear" w:color="auto" w:fill="auto"/>
            <w:vAlign w:val="center"/>
          </w:tcPr>
          <w:p w:rsidR="00335E4B" w:rsidRPr="00335E4B" w:rsidRDefault="00335E4B" w:rsidP="00335E4B">
            <w:pPr>
              <w:suppressAutoHyphens/>
              <w:overflowPunct w:val="0"/>
              <w:autoSpaceDE w:val="0"/>
              <w:spacing w:line="320" w:lineRule="exact"/>
              <w:jc w:val="center"/>
              <w:textAlignment w:val="baseline"/>
              <w:rPr>
                <w:rFonts w:eastAsia="SimSun" w:cs="Traditional Arabic"/>
                <w:bCs/>
                <w:spacing w:val="-3"/>
                <w:sz w:val="17"/>
                <w:szCs w:val="26"/>
                <w:lang w:eastAsia="ar-SA"/>
              </w:rPr>
            </w:pPr>
            <w:r w:rsidRPr="00335E4B">
              <w:rPr>
                <w:rFonts w:cs="Traditional Arabic"/>
                <w:bCs/>
                <w:spacing w:val="-3"/>
                <w:sz w:val="17"/>
                <w:szCs w:val="26"/>
                <w:rtl/>
                <w:lang w:eastAsia="ar-SA"/>
              </w:rPr>
              <w:t>متوسط جميع العينات</w:t>
            </w:r>
          </w:p>
        </w:tc>
        <w:tc>
          <w:tcPr>
            <w:tcW w:w="1985" w:type="dxa"/>
            <w:tcBorders>
              <w:left w:val="nil"/>
              <w:bottom w:val="single" w:sz="4" w:space="0" w:color="auto"/>
              <w:right w:val="nil"/>
            </w:tcBorders>
            <w:shd w:val="clear" w:color="auto" w:fill="auto"/>
            <w:vAlign w:val="center"/>
          </w:tcPr>
          <w:p w:rsidR="00335E4B" w:rsidRPr="00335E4B" w:rsidRDefault="00335E4B" w:rsidP="00335E4B">
            <w:pPr>
              <w:suppressAutoHyphens/>
              <w:overflowPunct w:val="0"/>
              <w:autoSpaceDE w:val="0"/>
              <w:spacing w:line="320" w:lineRule="exact"/>
              <w:jc w:val="center"/>
              <w:textAlignment w:val="baseline"/>
              <w:rPr>
                <w:rFonts w:eastAsia="SimSun" w:cs="Traditional Arabic"/>
                <w:bCs/>
                <w:spacing w:val="-3"/>
                <w:sz w:val="17"/>
                <w:szCs w:val="26"/>
                <w:lang w:eastAsia="ar-SA"/>
              </w:rPr>
            </w:pPr>
            <w:r w:rsidRPr="00335E4B">
              <w:rPr>
                <w:rFonts w:cs="Traditional Arabic"/>
                <w:bCs/>
                <w:spacing w:val="-3"/>
                <w:sz w:val="17"/>
                <w:szCs w:val="26"/>
                <w:rtl/>
                <w:lang w:eastAsia="ar-SA"/>
              </w:rPr>
              <w:t>المدى</w:t>
            </w:r>
          </w:p>
        </w:tc>
        <w:tc>
          <w:tcPr>
            <w:tcW w:w="2941" w:type="dxa"/>
            <w:tcBorders>
              <w:left w:val="nil"/>
              <w:bottom w:val="single" w:sz="4" w:space="0" w:color="auto"/>
              <w:right w:val="nil"/>
            </w:tcBorders>
            <w:shd w:val="clear" w:color="auto" w:fill="auto"/>
            <w:vAlign w:val="center"/>
          </w:tcPr>
          <w:p w:rsidR="00335E4B" w:rsidRPr="00335E4B" w:rsidRDefault="00335E4B" w:rsidP="00335E4B">
            <w:pPr>
              <w:suppressAutoHyphens/>
              <w:overflowPunct w:val="0"/>
              <w:autoSpaceDE w:val="0"/>
              <w:bidi w:val="0"/>
              <w:spacing w:line="320" w:lineRule="exact"/>
              <w:jc w:val="center"/>
              <w:textAlignment w:val="baseline"/>
              <w:rPr>
                <w:rFonts w:eastAsia="SimSun" w:cs="Traditional Arabic"/>
                <w:bCs/>
                <w:spacing w:val="-3"/>
                <w:sz w:val="17"/>
                <w:szCs w:val="26"/>
                <w:lang w:eastAsia="ar-SA"/>
              </w:rPr>
            </w:pPr>
            <w:r w:rsidRPr="00335E4B">
              <w:rPr>
                <w:rFonts w:cs="Traditional Arabic"/>
                <w:bCs/>
                <w:spacing w:val="-3"/>
                <w:sz w:val="17"/>
                <w:szCs w:val="26"/>
                <w:rtl/>
                <w:lang w:eastAsia="ar-SA"/>
              </w:rPr>
              <w:t>المرجع</w:t>
            </w:r>
          </w:p>
        </w:tc>
      </w:tr>
      <w:tr w:rsidR="00335E4B" w:rsidRPr="00335E4B" w:rsidTr="00D002D1">
        <w:tc>
          <w:tcPr>
            <w:tcW w:w="1842" w:type="dxa"/>
            <w:tcBorders>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أستراليا</w:t>
            </w:r>
          </w:p>
        </w:tc>
        <w:tc>
          <w:tcPr>
            <w:tcW w:w="1418" w:type="dxa"/>
            <w:tcBorders>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0,075</w:t>
            </w:r>
          </w:p>
        </w:tc>
        <w:tc>
          <w:tcPr>
            <w:tcW w:w="1985" w:type="dxa"/>
            <w:tcBorders>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0,01-0,31</w:t>
            </w:r>
          </w:p>
        </w:tc>
        <w:tc>
          <w:tcPr>
            <w:tcW w:w="2941" w:type="dxa"/>
            <w:tcBorders>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Nelson, 2007; 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bidi="ar-EG"/>
              </w:rPr>
              <w:t>الأرجنتين</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0,19</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0,02-0,96</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(8)</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Finkelman, 2004; 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بوتسوانا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0,10</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0,04-0,15</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(28)</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Finkelman, 2004; 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البرازيل</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دون 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0,20</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0,3</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0,04-0,81</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(23)</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0,06-0,94</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(45)</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Finkelman, 2004; 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كندا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0,058</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0,033-0,12</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(12)</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شيلي</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دون 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0,21</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0,033</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0,03-2,2</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(19)</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0,022-0,057</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(4)</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الصين</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قيري/دون 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0,17</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0,01-2,248</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(482)</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Zhang et al., 2012; UNEP, 2011</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كولومبيا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دون 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0,069</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&gt; 0,02-0,17</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(16)</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Finkelman, 2004</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الجمهورية التشيكية</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ليغنيت</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0,338</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0,126</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&lt;0,03-0,79</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(16)</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0,03-0,38</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(21)</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Finkelman, 2003</w:t>
            </w:r>
          </w:p>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مصر</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0,12</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0,02-0,37</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(24)</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فرنسا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0,044</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0,03-0,071</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(3)</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ألمانيا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p w:rsidR="00335E4B" w:rsidRPr="00335E4B" w:rsidRDefault="00335E4B" w:rsidP="00335E4B">
            <w:pPr>
              <w:suppressAutoHyphens/>
              <w:overflowPunct w:val="0"/>
              <w:autoSpaceDE w:val="0"/>
              <w:spacing w:line="320" w:lineRule="exact"/>
              <w:jc w:val="both"/>
              <w:textAlignment w:val="baseline"/>
              <w:rPr>
                <w:rFonts w:cs="Traditional Arabic"/>
                <w:spacing w:val="-3"/>
                <w:sz w:val="17"/>
                <w:szCs w:val="26"/>
                <w:lang w:eastAsia="ar-SA"/>
              </w:rPr>
            </w:pPr>
            <w:r w:rsidRPr="00335E4B">
              <w:rPr>
                <w:rFonts w:cs="Traditional Arabic"/>
                <w:spacing w:val="-3"/>
                <w:sz w:val="17"/>
                <w:szCs w:val="26"/>
                <w:rtl/>
                <w:lang w:eastAsia="ar-SA" w:bidi="ar-EG"/>
              </w:rPr>
              <w:t>ليغنيت</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0,05</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0,7-1,4</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 xml:space="preserve">0,09 </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Pirrone et al., 2001</w:t>
            </w:r>
          </w:p>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MUNLV 2005</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هنغاريا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دون قيري</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ليغنيت</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0,354</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0,138</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0,242</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0,091-1,2</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(5)</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0,04-0,31</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(19)</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0,075-0,44</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(12)</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الهند</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ليغنيت</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0,106</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0,071</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0,02-0,86</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(99)</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0,053-0,093</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(8)</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2010;UNEP, 2014</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إندونيسيا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ليغنيت</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0,11</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0,02-0,19</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(8)</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Finkelman, 2003; 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دون 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0,03</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0,01-0,05</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(78)</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US EPA, 2002</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إيران</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0,168</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0,02-0,73</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(57)</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اليابان</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0,0454</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0,01-0,21</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(86)</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Ito et al., 2004</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كازاخستان</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0,08</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&lt;0,03-0,14</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(15)</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نيوزيلندا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دون 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0,073</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0,082</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0,03-0,1</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(5)</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0,062-0,13</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(9)</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منغوليا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0,097</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0,02-0,22</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(36)</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بيرو</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z w:val="17"/>
                <w:szCs w:val="26"/>
                <w:rtl/>
                <w:lang w:bidi="ar-EG"/>
              </w:rPr>
              <w:t>أنثراسيت</w:t>
            </w:r>
            <w:r w:rsidRPr="00335E4B">
              <w:rPr>
                <w:rFonts w:cs="Traditional Arabic"/>
                <w:spacing w:val="-3"/>
                <w:sz w:val="17"/>
                <w:szCs w:val="26"/>
                <w:rtl/>
                <w:lang w:eastAsia="ar-SA"/>
              </w:rPr>
              <w:t>+قيري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0,27</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0,04-0,63</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(15)</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Finkelman, 2004</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الفلبين</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دون 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0,04</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&lt;0,04-0,1</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Finkelman, 2004</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بولندا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0,085</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0,013-0,163</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Bojkowska et al., 2001</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رومانيا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ليغنيت</w:t>
            </w:r>
            <w:r w:rsidRPr="00335E4B">
              <w:rPr>
                <w:rFonts w:eastAsia="SimSun" w:cs="Traditional Arabic"/>
                <w:spacing w:val="-3"/>
                <w:sz w:val="17"/>
                <w:szCs w:val="26"/>
                <w:lang w:eastAsia="ar-SA"/>
              </w:rPr>
              <w:t>+</w:t>
            </w:r>
            <w:r w:rsidRPr="00335E4B">
              <w:rPr>
                <w:rFonts w:cs="Traditional Arabic"/>
                <w:spacing w:val="-3"/>
                <w:sz w:val="17"/>
                <w:szCs w:val="26"/>
                <w:rtl/>
                <w:lang w:eastAsia="ar-SA"/>
              </w:rPr>
              <w:t>دون 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0,21</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0,07-0,46</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(11)</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Finkelman, 2004</w:t>
            </w:r>
          </w:p>
        </w:tc>
      </w:tr>
      <w:tr w:rsidR="00335E4B" w:rsidRPr="003033D5"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روسيا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r w:rsidRPr="00335E4B">
              <w:rPr>
                <w:rFonts w:eastAsia="SimSun" w:cs="Traditional Arabic"/>
                <w:spacing w:val="-3"/>
                <w:sz w:val="17"/>
                <w:szCs w:val="26"/>
                <w:lang w:eastAsia="ar-SA"/>
              </w:rPr>
              <w:t>/</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دون 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0,12</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&lt;0,02-0,25</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(23)</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val="fr-CH" w:eastAsia="ar-SA"/>
              </w:rPr>
            </w:pPr>
            <w:r w:rsidRPr="00335E4B">
              <w:rPr>
                <w:rFonts w:eastAsia="SimSun" w:cs="Traditional Arabic"/>
                <w:spacing w:val="-3"/>
                <w:sz w:val="17"/>
                <w:szCs w:val="26"/>
                <w:lang w:val="fr-CH" w:eastAsia="ar-SA"/>
              </w:rPr>
              <w:t>UNEP, 2013b</w:t>
            </w:r>
          </w:p>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val="fr-CH" w:eastAsia="ar-SA"/>
              </w:rPr>
            </w:pPr>
            <w:r w:rsidRPr="00335E4B">
              <w:rPr>
                <w:rFonts w:eastAsia="SimSun" w:cs="Traditional Arabic"/>
                <w:spacing w:val="-3"/>
                <w:sz w:val="17"/>
                <w:szCs w:val="26"/>
                <w:lang w:val="fr-CH" w:eastAsia="ar-SA"/>
              </w:rPr>
              <w:t>Romanov et al., 2012</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الجمهورية السلوفاكية</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ليغنيت</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0,08</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0,057</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0,03-0,13</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(7)</w:t>
            </w:r>
          </w:p>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0,032-0,14</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(8)</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Finkelman, 2004</w:t>
            </w:r>
          </w:p>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033D5"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جنوب أفريقيا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0,157</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0,023-0,1</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(40)</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val="fr-CH" w:eastAsia="ar-SA"/>
              </w:rPr>
            </w:pPr>
            <w:r w:rsidRPr="00335E4B">
              <w:rPr>
                <w:rFonts w:eastAsia="SimSun" w:cs="Traditional Arabic"/>
                <w:spacing w:val="-3"/>
                <w:sz w:val="17"/>
                <w:szCs w:val="26"/>
                <w:lang w:val="fr-CH" w:eastAsia="ar-SA"/>
              </w:rPr>
              <w:t>Leaner et al., 2009; 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تنزانيا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0,12</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0,03-0,22</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(75)</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Finkelman, 2004</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تايلند</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ليغنيت</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0,137</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0,02-0,6</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(23)</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تركيا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ليغنيت</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0,12</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0,03-0,66</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(149)</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المملكة المتحدة</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0,216</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0,012-0,6</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(84)</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keepNext/>
              <w:keepLines/>
              <w:suppressAutoHyphens/>
              <w:overflowPunct w:val="0"/>
              <w:autoSpaceDE w:val="0"/>
              <w:spacing w:line="320" w:lineRule="exact"/>
              <w:textAlignment w:val="baseline"/>
              <w:rPr>
                <w:rFonts w:eastAsia="SimSun" w:cs="Traditional Arabic"/>
                <w:spacing w:val="-3"/>
                <w:sz w:val="16"/>
                <w:szCs w:val="26"/>
                <w:lang w:eastAsia="ar-SA"/>
              </w:rPr>
            </w:pPr>
            <w:r w:rsidRPr="00335E4B">
              <w:rPr>
                <w:rFonts w:cs="Traditional Arabic"/>
                <w:spacing w:val="-3"/>
                <w:sz w:val="16"/>
                <w:szCs w:val="26"/>
                <w:rtl/>
                <w:lang w:eastAsia="ar-SA"/>
              </w:rPr>
              <w:t>الولايات المتحدة الأمريكية</w:t>
            </w:r>
          </w:p>
        </w:tc>
        <w:tc>
          <w:tcPr>
            <w:tcW w:w="1418" w:type="dxa"/>
            <w:tcBorders>
              <w:top w:val="nil"/>
              <w:left w:val="nil"/>
              <w:bottom w:val="nil"/>
              <w:right w:val="nil"/>
            </w:tcBorders>
            <w:shd w:val="clear" w:color="auto" w:fill="auto"/>
            <w:vAlign w:val="center"/>
          </w:tcPr>
          <w:p w:rsidR="00335E4B" w:rsidRPr="00335E4B" w:rsidRDefault="00335E4B" w:rsidP="00335E4B">
            <w:pPr>
              <w:keepNext/>
              <w:keepLines/>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دون قيري</w:t>
            </w:r>
          </w:p>
        </w:tc>
        <w:tc>
          <w:tcPr>
            <w:tcW w:w="1417" w:type="dxa"/>
            <w:tcBorders>
              <w:top w:val="nil"/>
              <w:left w:val="nil"/>
              <w:bottom w:val="nil"/>
              <w:right w:val="nil"/>
            </w:tcBorders>
            <w:shd w:val="clear" w:color="auto" w:fill="auto"/>
            <w:vAlign w:val="center"/>
          </w:tcPr>
          <w:p w:rsidR="00335E4B" w:rsidRPr="00335E4B" w:rsidRDefault="00335E4B" w:rsidP="00335E4B">
            <w:pPr>
              <w:keepNext/>
              <w:keepLines/>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w:t>
            </w:r>
          </w:p>
        </w:tc>
        <w:tc>
          <w:tcPr>
            <w:tcW w:w="1985" w:type="dxa"/>
            <w:tcBorders>
              <w:top w:val="nil"/>
              <w:left w:val="nil"/>
              <w:bottom w:val="nil"/>
              <w:right w:val="nil"/>
            </w:tcBorders>
            <w:shd w:val="clear" w:color="auto" w:fill="auto"/>
            <w:vAlign w:val="center"/>
          </w:tcPr>
          <w:p w:rsidR="00335E4B" w:rsidRPr="00335E4B" w:rsidRDefault="00335E4B" w:rsidP="00335E4B">
            <w:pPr>
              <w:keepNext/>
              <w:keepLines/>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0,01-8,0</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(640)</w:t>
            </w:r>
          </w:p>
        </w:tc>
        <w:tc>
          <w:tcPr>
            <w:tcW w:w="2941" w:type="dxa"/>
            <w:tcBorders>
              <w:top w:val="nil"/>
              <w:left w:val="nil"/>
              <w:bottom w:val="nil"/>
              <w:right w:val="nil"/>
            </w:tcBorders>
            <w:shd w:val="clear" w:color="auto" w:fill="auto"/>
            <w:vAlign w:val="center"/>
          </w:tcPr>
          <w:p w:rsidR="00335E4B" w:rsidRPr="00335E4B" w:rsidRDefault="00335E4B" w:rsidP="00335E4B">
            <w:pPr>
              <w:keepNext/>
              <w:keepLines/>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US EPA, 1997</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keepNext/>
              <w:keepLines/>
              <w:suppressAutoHyphens/>
              <w:overflowPunct w:val="0"/>
              <w:autoSpaceDE w:val="0"/>
              <w:spacing w:line="320" w:lineRule="exact"/>
              <w:jc w:val="both"/>
              <w:textAlignment w:val="baseline"/>
              <w:rPr>
                <w:rFonts w:eastAsia="SimSun" w:cs="Traditional Arabic"/>
                <w:spacing w:val="-3"/>
                <w:sz w:val="16"/>
                <w:szCs w:val="26"/>
                <w:lang w:eastAsia="ar-SA"/>
              </w:rPr>
            </w:pPr>
          </w:p>
        </w:tc>
        <w:tc>
          <w:tcPr>
            <w:tcW w:w="1418" w:type="dxa"/>
            <w:tcBorders>
              <w:top w:val="nil"/>
              <w:left w:val="nil"/>
              <w:bottom w:val="nil"/>
              <w:right w:val="nil"/>
            </w:tcBorders>
            <w:shd w:val="clear" w:color="auto" w:fill="auto"/>
            <w:vAlign w:val="center"/>
          </w:tcPr>
          <w:p w:rsidR="00335E4B" w:rsidRPr="00335E4B" w:rsidRDefault="00335E4B" w:rsidP="00335E4B">
            <w:pPr>
              <w:keepNext/>
              <w:keepLines/>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ليغنيت</w:t>
            </w:r>
          </w:p>
        </w:tc>
        <w:tc>
          <w:tcPr>
            <w:tcW w:w="1417" w:type="dxa"/>
            <w:tcBorders>
              <w:top w:val="nil"/>
              <w:left w:val="nil"/>
              <w:bottom w:val="nil"/>
              <w:right w:val="nil"/>
            </w:tcBorders>
            <w:shd w:val="clear" w:color="auto" w:fill="auto"/>
            <w:vAlign w:val="center"/>
          </w:tcPr>
          <w:p w:rsidR="00335E4B" w:rsidRPr="00335E4B" w:rsidRDefault="00335E4B" w:rsidP="00335E4B">
            <w:pPr>
              <w:keepNext/>
              <w:keepLines/>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0,15</w:t>
            </w:r>
          </w:p>
        </w:tc>
        <w:tc>
          <w:tcPr>
            <w:tcW w:w="1985" w:type="dxa"/>
            <w:tcBorders>
              <w:top w:val="nil"/>
              <w:left w:val="nil"/>
              <w:bottom w:val="nil"/>
              <w:right w:val="nil"/>
            </w:tcBorders>
            <w:shd w:val="clear" w:color="auto" w:fill="auto"/>
            <w:vAlign w:val="center"/>
          </w:tcPr>
          <w:p w:rsidR="00335E4B" w:rsidRPr="00335E4B" w:rsidRDefault="00335E4B" w:rsidP="00335E4B">
            <w:pPr>
              <w:keepNext/>
              <w:keepLines/>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0,03-1,0</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(183)</w:t>
            </w:r>
          </w:p>
        </w:tc>
        <w:tc>
          <w:tcPr>
            <w:tcW w:w="2941" w:type="dxa"/>
            <w:tcBorders>
              <w:top w:val="nil"/>
              <w:left w:val="nil"/>
              <w:bottom w:val="nil"/>
              <w:right w:val="nil"/>
            </w:tcBorders>
            <w:shd w:val="clear" w:color="auto" w:fill="auto"/>
            <w:vAlign w:val="center"/>
          </w:tcPr>
          <w:p w:rsidR="00335E4B" w:rsidRPr="00335E4B" w:rsidRDefault="00335E4B" w:rsidP="00335E4B">
            <w:pPr>
              <w:keepNext/>
              <w:keepLines/>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US EPA, 1997</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0,21</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&lt;0,01-3,3</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(3527)</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US EPA, 1997</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z w:val="17"/>
                <w:szCs w:val="26"/>
                <w:rtl/>
                <w:lang w:bidi="ar-EG"/>
              </w:rPr>
              <w:t>أنثراسيت</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0,23</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0,16-0,30</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(52)</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US EPA, 1997</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فييت نام</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z w:val="17"/>
                <w:szCs w:val="26"/>
                <w:rtl/>
                <w:lang w:bidi="ar-EG"/>
              </w:rPr>
              <w:t>أنثراسيت</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0,348</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&lt;0,02-0-34</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(6)</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35E4B" w:rsidTr="00D002D1">
        <w:tc>
          <w:tcPr>
            <w:tcW w:w="1842"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زامبيا</w:t>
            </w:r>
          </w:p>
        </w:tc>
        <w:tc>
          <w:tcPr>
            <w:tcW w:w="1418"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0,6</w:t>
            </w:r>
          </w:p>
        </w:tc>
        <w:tc>
          <w:tcPr>
            <w:tcW w:w="1985"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&lt;0,03-3,6</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(14)</w:t>
            </w:r>
          </w:p>
        </w:tc>
        <w:tc>
          <w:tcPr>
            <w:tcW w:w="2941" w:type="dxa"/>
            <w:tcBorders>
              <w:top w:val="nil"/>
              <w:left w:val="nil"/>
              <w:bottom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r w:rsidR="00335E4B" w:rsidRPr="00335E4B" w:rsidTr="00D002D1">
        <w:tc>
          <w:tcPr>
            <w:tcW w:w="1842" w:type="dxa"/>
            <w:tcBorders>
              <w:top w:val="nil"/>
              <w:left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6"/>
                <w:szCs w:val="26"/>
                <w:lang w:eastAsia="ar-SA"/>
              </w:rPr>
            </w:pPr>
            <w:r w:rsidRPr="00335E4B">
              <w:rPr>
                <w:rFonts w:cs="Traditional Arabic"/>
                <w:spacing w:val="-3"/>
                <w:sz w:val="16"/>
                <w:szCs w:val="26"/>
                <w:rtl/>
                <w:lang w:eastAsia="ar-SA"/>
              </w:rPr>
              <w:t>زمبابوي</w:t>
            </w:r>
          </w:p>
        </w:tc>
        <w:tc>
          <w:tcPr>
            <w:tcW w:w="1418" w:type="dxa"/>
            <w:tcBorders>
              <w:top w:val="nil"/>
              <w:left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rPr>
              <w:t>قيري</w:t>
            </w:r>
          </w:p>
        </w:tc>
        <w:tc>
          <w:tcPr>
            <w:tcW w:w="1417" w:type="dxa"/>
            <w:tcBorders>
              <w:top w:val="nil"/>
              <w:left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0,08</w:t>
            </w:r>
          </w:p>
        </w:tc>
        <w:tc>
          <w:tcPr>
            <w:tcW w:w="1985" w:type="dxa"/>
            <w:tcBorders>
              <w:top w:val="nil"/>
              <w:left w:val="nil"/>
              <w:right w:val="nil"/>
            </w:tcBorders>
            <w:shd w:val="clear" w:color="auto" w:fill="auto"/>
            <w:vAlign w:val="center"/>
          </w:tcPr>
          <w:p w:rsidR="00335E4B" w:rsidRPr="00335E4B" w:rsidRDefault="00335E4B" w:rsidP="00335E4B">
            <w:pPr>
              <w:suppressAutoHyphens/>
              <w:overflowPunct w:val="0"/>
              <w:autoSpaceDE w:val="0"/>
              <w:spacing w:line="320" w:lineRule="exact"/>
              <w:jc w:val="both"/>
              <w:textAlignment w:val="baseline"/>
              <w:rPr>
                <w:rFonts w:eastAsia="SimSun" w:cs="Traditional Arabic"/>
                <w:spacing w:val="-3"/>
                <w:sz w:val="17"/>
                <w:szCs w:val="26"/>
                <w:lang w:eastAsia="ar-SA"/>
              </w:rPr>
            </w:pPr>
            <w:r w:rsidRPr="00335E4B">
              <w:rPr>
                <w:rFonts w:cs="Traditional Arabic"/>
                <w:spacing w:val="-3"/>
                <w:sz w:val="17"/>
                <w:szCs w:val="26"/>
                <w:rtl/>
                <w:lang w:eastAsia="ar-SA" w:bidi="ar-EG"/>
              </w:rPr>
              <w:t>&lt;0,03-0,15</w:t>
            </w:r>
            <w:r w:rsidRPr="00335E4B">
              <w:rPr>
                <w:rFonts w:eastAsia="SimSun" w:cs="Traditional Arabic"/>
                <w:spacing w:val="-3"/>
                <w:sz w:val="17"/>
                <w:szCs w:val="26"/>
                <w:lang w:eastAsia="ar-SA"/>
              </w:rPr>
              <w:t xml:space="preserve"> </w:t>
            </w:r>
            <w:r w:rsidRPr="00335E4B">
              <w:rPr>
                <w:rFonts w:cs="Traditional Arabic"/>
                <w:spacing w:val="-3"/>
                <w:sz w:val="17"/>
                <w:szCs w:val="26"/>
                <w:rtl/>
                <w:lang w:eastAsia="ar-SA" w:bidi="ar-EG"/>
              </w:rPr>
              <w:t>(6)</w:t>
            </w:r>
          </w:p>
        </w:tc>
        <w:tc>
          <w:tcPr>
            <w:tcW w:w="2941" w:type="dxa"/>
            <w:tcBorders>
              <w:top w:val="nil"/>
              <w:left w:val="nil"/>
              <w:right w:val="nil"/>
            </w:tcBorders>
            <w:shd w:val="clear" w:color="auto" w:fill="auto"/>
            <w:vAlign w:val="center"/>
          </w:tcPr>
          <w:p w:rsidR="00335E4B" w:rsidRPr="00335E4B" w:rsidRDefault="00335E4B" w:rsidP="00335E4B">
            <w:pPr>
              <w:suppressAutoHyphens/>
              <w:overflowPunct w:val="0"/>
              <w:autoSpaceDE w:val="0"/>
              <w:bidi w:val="0"/>
              <w:spacing w:line="320" w:lineRule="exact"/>
              <w:jc w:val="both"/>
              <w:textAlignment w:val="baseline"/>
              <w:rPr>
                <w:rFonts w:eastAsia="SimSun" w:cs="Traditional Arabic"/>
                <w:spacing w:val="-3"/>
                <w:sz w:val="17"/>
                <w:szCs w:val="26"/>
                <w:lang w:eastAsia="ar-SA"/>
              </w:rPr>
            </w:pPr>
            <w:r w:rsidRPr="00335E4B">
              <w:rPr>
                <w:rFonts w:eastAsia="SimSun" w:cs="Traditional Arabic"/>
                <w:spacing w:val="-3"/>
                <w:sz w:val="17"/>
                <w:szCs w:val="26"/>
                <w:lang w:eastAsia="ar-SA"/>
              </w:rPr>
              <w:t>Tewalt et al., 2010</w:t>
            </w:r>
          </w:p>
        </w:tc>
      </w:tr>
    </w:tbl>
    <w:p w:rsidR="00335E4B" w:rsidRPr="00335E4B" w:rsidRDefault="00335E4B" w:rsidP="00335E4B">
      <w:pPr>
        <w:tabs>
          <w:tab w:val="center" w:pos="5468"/>
        </w:tabs>
        <w:spacing w:before="120" w:after="120" w:line="340" w:lineRule="exact"/>
        <w:jc w:val="both"/>
        <w:rPr>
          <w:rFonts w:cs="Traditional Arabic"/>
          <w:sz w:val="16"/>
          <w:szCs w:val="26"/>
          <w:rtl/>
          <w:lang w:bidi="ar-EG"/>
        </w:rPr>
      </w:pPr>
      <w:r w:rsidRPr="00335E4B">
        <w:rPr>
          <w:rFonts w:cs="Traditional Arabic"/>
          <w:sz w:val="16"/>
          <w:szCs w:val="26"/>
          <w:rtl/>
          <w:lang w:bidi="ar-EG"/>
        </w:rPr>
        <w:t xml:space="preserve">ملاحظة: ينبغي توخي الحذر عند تفسير معلومات تركيزات الزئبق الواردة أعلاه، نظراً لأن مجموعات عينات الفحم لمختلف البلدان تتباين تبايناً واسعاً. وبالإضافة إلى ذلك، فإن المعلومات غير متوافرة عالمياً لتوضيح ما إن كانت تركيزات الزئبق المُبلغ عنها تستند إلى الفحم الجاف أو أرقام الفحم كما وردت. وهذه البيانات قد لا تُمثِّل الفحم من منظور حرق الفحم الفعلي. ويوضح </w:t>
      </w:r>
      <w:r w:rsidRPr="00335E4B">
        <w:rPr>
          <w:rFonts w:cs="Traditional Arabic" w:hint="cs"/>
          <w:sz w:val="16"/>
          <w:szCs w:val="26"/>
          <w:rtl/>
          <w:lang w:bidi="ar-EG"/>
        </w:rPr>
        <w:t>الرقم الموضوع بين قوسين</w:t>
      </w:r>
      <w:r w:rsidRPr="00335E4B">
        <w:rPr>
          <w:rFonts w:cs="Traditional Arabic"/>
          <w:sz w:val="16"/>
          <w:szCs w:val="26"/>
          <w:rtl/>
          <w:lang w:bidi="ar-EG"/>
        </w:rPr>
        <w:t xml:space="preserve"> في عمود ”المدى“ عدد العينات.</w:t>
      </w:r>
    </w:p>
    <w:p w:rsidR="00335E4B" w:rsidRPr="00335E4B" w:rsidRDefault="00335E4B" w:rsidP="00335E4B">
      <w:pPr>
        <w:keepNext/>
        <w:spacing w:before="120" w:after="120" w:line="400" w:lineRule="exact"/>
        <w:ind w:left="709" w:hanging="709"/>
        <w:jc w:val="both"/>
        <w:outlineLvl w:val="0"/>
        <w:rPr>
          <w:rFonts w:cs="Traditional Arabic"/>
          <w:b/>
          <w:bCs/>
          <w:sz w:val="30"/>
          <w:szCs w:val="30"/>
          <w:rtl/>
        </w:rPr>
      </w:pPr>
      <w:bookmarkStart w:id="431" w:name="_Toc440456835"/>
      <w:bookmarkStart w:id="432" w:name="_Toc440526900"/>
      <w:bookmarkStart w:id="433" w:name="_Toc440527753"/>
      <w:bookmarkStart w:id="434" w:name="_Toc440550454"/>
      <w:bookmarkStart w:id="435" w:name="_Toc441577711"/>
      <w:bookmarkStart w:id="436" w:name="_Toc441577890"/>
      <w:bookmarkStart w:id="437" w:name="_Toc441579116"/>
      <w:bookmarkStart w:id="438" w:name="_Toc441580724"/>
      <w:bookmarkStart w:id="439" w:name="_Toc441585855"/>
      <w:bookmarkStart w:id="440" w:name="_Toc441586191"/>
      <w:bookmarkStart w:id="441" w:name="_Toc441586641"/>
      <w:bookmarkStart w:id="442" w:name="_Toc441586820"/>
      <w:bookmarkStart w:id="443" w:name="_Toc441666669"/>
      <w:bookmarkStart w:id="444" w:name="_Toc441673730"/>
      <w:r w:rsidRPr="00335E4B">
        <w:rPr>
          <w:rFonts w:cs="Traditional Arabic"/>
          <w:b/>
          <w:bCs/>
          <w:sz w:val="30"/>
          <w:szCs w:val="30"/>
          <w:rtl/>
        </w:rPr>
        <w:t>تحولات الزئبق أثناء حرق الفحم</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العناصر الرئيسية القابلة للاشتعال في الفحم هي الكربون الأوَّلي والهيدروجين ومركباتهما.</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lang w:bidi="ar-EG"/>
        </w:rPr>
      </w:pPr>
      <w:r w:rsidRPr="00335E4B">
        <w:rPr>
          <w:rFonts w:cs="Traditional Arabic"/>
          <w:sz w:val="20"/>
          <w:szCs w:val="30"/>
          <w:rtl/>
          <w:lang w:bidi="ar-EG"/>
        </w:rPr>
        <w:t>و</w:t>
      </w:r>
      <w:r w:rsidRPr="00335E4B">
        <w:rPr>
          <w:rFonts w:cs="Traditional Arabic" w:hint="cs"/>
          <w:sz w:val="20"/>
          <w:szCs w:val="30"/>
          <w:rtl/>
          <w:lang w:bidi="ar-EG"/>
        </w:rPr>
        <w:t xml:space="preserve">يمثل الشكل 2 </w:t>
      </w:r>
      <w:r w:rsidRPr="00335E4B">
        <w:rPr>
          <w:rFonts w:cs="Traditional Arabic"/>
          <w:sz w:val="20"/>
          <w:szCs w:val="30"/>
          <w:rtl/>
          <w:lang w:bidi="ar-EG"/>
        </w:rPr>
        <w:t>(غالبريث وزيغارليك، 2000)</w:t>
      </w:r>
      <w:r w:rsidRPr="00335E4B">
        <w:rPr>
          <w:rFonts w:cs="Traditional Arabic" w:hint="cs"/>
          <w:sz w:val="20"/>
          <w:szCs w:val="30"/>
          <w:rtl/>
          <w:lang w:bidi="ar-EG"/>
        </w:rPr>
        <w:t xml:space="preserve"> مخططاً توضيحياً ل</w:t>
      </w:r>
      <w:r w:rsidRPr="00335E4B">
        <w:rPr>
          <w:rFonts w:cs="Traditional Arabic"/>
          <w:sz w:val="20"/>
          <w:szCs w:val="30"/>
          <w:rtl/>
          <w:lang w:bidi="ar-EG"/>
        </w:rPr>
        <w:t xml:space="preserve">لتحولات الفيزيائية والكيميائية التي يمر بها الزئبق أثناء حرق الفحم، </w:t>
      </w:r>
      <w:r w:rsidRPr="00335E4B">
        <w:rPr>
          <w:rFonts w:cs="Traditional Arabic" w:hint="cs"/>
          <w:sz w:val="20"/>
          <w:szCs w:val="30"/>
          <w:rtl/>
          <w:lang w:bidi="ar-EG"/>
        </w:rPr>
        <w:t>وبعد</w:t>
      </w:r>
      <w:r w:rsidRPr="00335E4B">
        <w:rPr>
          <w:rFonts w:cs="Traditional Arabic"/>
          <w:sz w:val="20"/>
          <w:szCs w:val="30"/>
          <w:rtl/>
          <w:lang w:bidi="ar-EG"/>
        </w:rPr>
        <w:t xml:space="preserve"> ذلك </w:t>
      </w:r>
      <w:r w:rsidRPr="00335E4B">
        <w:rPr>
          <w:rFonts w:cs="Traditional Arabic" w:hint="cs"/>
          <w:sz w:val="20"/>
          <w:szCs w:val="30"/>
          <w:rtl/>
          <w:lang w:bidi="ar-EG"/>
        </w:rPr>
        <w:t>في</w:t>
      </w:r>
      <w:r w:rsidRPr="00335E4B">
        <w:rPr>
          <w:rFonts w:cs="Traditional Arabic"/>
          <w:sz w:val="20"/>
          <w:szCs w:val="30"/>
          <w:rtl/>
          <w:lang w:bidi="ar-EG"/>
        </w:rPr>
        <w:t xml:space="preserve"> غاز المدخنة </w:t>
      </w:r>
      <w:r w:rsidRPr="00335E4B">
        <w:rPr>
          <w:rFonts w:cs="Traditional Arabic" w:hint="cs"/>
          <w:sz w:val="20"/>
          <w:szCs w:val="30"/>
          <w:rtl/>
          <w:lang w:bidi="ar-EG"/>
        </w:rPr>
        <w:t xml:space="preserve">الناتج. </w:t>
      </w:r>
      <w:r w:rsidRPr="00335E4B">
        <w:rPr>
          <w:rFonts w:cs="Traditional Arabic"/>
          <w:sz w:val="20"/>
          <w:szCs w:val="30"/>
          <w:rtl/>
          <w:lang w:bidi="ar-EG"/>
        </w:rPr>
        <w:t xml:space="preserve">ويرتبط الزئبق أساساً بالعناصر المعدنية غير العضوية في الفحم، رغم أنه أشير إلى وجود رابطة بين الزئبق والعناصر العضوية في الفحم </w:t>
      </w:r>
      <w:r w:rsidRPr="00335E4B">
        <w:rPr>
          <w:rFonts w:cs="Traditional Arabic" w:hint="cs"/>
          <w:sz w:val="20"/>
          <w:szCs w:val="30"/>
          <w:rtl/>
          <w:lang w:bidi="ar-EG"/>
        </w:rPr>
        <w:t xml:space="preserve">الموجودة </w:t>
      </w:r>
      <w:r w:rsidRPr="00335E4B">
        <w:rPr>
          <w:rFonts w:cs="Traditional Arabic"/>
          <w:sz w:val="20"/>
          <w:szCs w:val="30"/>
          <w:rtl/>
          <w:lang w:bidi="ar-EG"/>
        </w:rPr>
        <w:t xml:space="preserve">في شكل مركبات عضوية زئبقية (سوين، 1990؛ غروين وكريغ، 1994؛ وفينكلمان، 1994). وبناءً على ذلك فإن </w:t>
      </w:r>
      <w:r w:rsidRPr="00335E4B">
        <w:rPr>
          <w:rFonts w:cs="Traditional Arabic" w:hint="cs"/>
          <w:sz w:val="20"/>
          <w:szCs w:val="30"/>
          <w:rtl/>
          <w:lang w:bidi="ar-EG"/>
        </w:rPr>
        <w:t>ا</w:t>
      </w:r>
      <w:r w:rsidRPr="00335E4B">
        <w:rPr>
          <w:rFonts w:cs="Traditional Arabic"/>
          <w:sz w:val="20"/>
          <w:szCs w:val="30"/>
          <w:rtl/>
          <w:lang w:bidi="ar-EG"/>
        </w:rPr>
        <w:t>لبيريت (</w:t>
      </w:r>
      <w:r w:rsidRPr="00335E4B">
        <w:rPr>
          <w:rFonts w:eastAsia="SimSun" w:cs="Traditional Arabic"/>
          <w:sz w:val="20"/>
          <w:szCs w:val="22"/>
        </w:rPr>
        <w:t>FeS</w:t>
      </w:r>
      <w:r w:rsidRPr="00335E4B">
        <w:rPr>
          <w:rFonts w:eastAsia="SimSun" w:cs="Traditional Arabic"/>
          <w:sz w:val="20"/>
          <w:szCs w:val="22"/>
          <w:vertAlign w:val="subscript"/>
        </w:rPr>
        <w:t>2</w:t>
      </w:r>
      <w:r w:rsidRPr="00335E4B">
        <w:rPr>
          <w:rFonts w:cs="Traditional Arabic"/>
          <w:sz w:val="20"/>
          <w:szCs w:val="30"/>
          <w:rtl/>
          <w:lang w:bidi="ar-EG"/>
        </w:rPr>
        <w:t>) هو المعدن الغالب الذي يستضيف الزئبق في الفحم. وفي حالات نادرة من التخصيب الشاذ للزئبق قد يوجد أيضاً كبريتيد الزئبق (</w:t>
      </w:r>
      <w:r w:rsidRPr="00335E4B">
        <w:rPr>
          <w:rFonts w:eastAsia="SimSun" w:cs="Traditional Arabic"/>
          <w:sz w:val="20"/>
          <w:szCs w:val="22"/>
        </w:rPr>
        <w:t>HgS</w:t>
      </w:r>
      <w:r w:rsidRPr="00335E4B">
        <w:rPr>
          <w:rFonts w:cs="Traditional Arabic"/>
          <w:sz w:val="20"/>
          <w:szCs w:val="30"/>
          <w:rtl/>
          <w:lang w:bidi="ar-EG"/>
        </w:rPr>
        <w:t xml:space="preserve">) (كولكر وآخرون، 2006؛ كولكر، 2012 والمراجع المذكورة فيه). ونظراً لأن المستقبلات المعدنية (وربما </w:t>
      </w:r>
      <w:r w:rsidRPr="00335E4B">
        <w:rPr>
          <w:rFonts w:cs="Traditional Arabic" w:hint="cs"/>
          <w:sz w:val="20"/>
          <w:szCs w:val="30"/>
          <w:rtl/>
          <w:lang w:bidi="ar-EG"/>
        </w:rPr>
        <w:t>ال</w:t>
      </w:r>
      <w:r w:rsidRPr="00335E4B">
        <w:rPr>
          <w:rFonts w:cs="Traditional Arabic"/>
          <w:sz w:val="20"/>
          <w:szCs w:val="30"/>
          <w:rtl/>
          <w:lang w:bidi="ar-EG"/>
        </w:rPr>
        <w:t xml:space="preserve">زئبقية </w:t>
      </w:r>
      <w:r w:rsidRPr="00335E4B">
        <w:rPr>
          <w:rFonts w:cs="Traditional Arabic" w:hint="cs"/>
          <w:sz w:val="20"/>
          <w:szCs w:val="30"/>
          <w:rtl/>
          <w:lang w:bidi="ar-EG"/>
        </w:rPr>
        <w:t>ال</w:t>
      </w:r>
      <w:r w:rsidRPr="00335E4B">
        <w:rPr>
          <w:rFonts w:cs="Traditional Arabic"/>
          <w:sz w:val="20"/>
          <w:szCs w:val="30"/>
          <w:rtl/>
          <w:lang w:bidi="ar-EG"/>
        </w:rPr>
        <w:t>عضوية) للزئبق تتحلَّل أثناء الاشتعال (</w:t>
      </w:r>
      <w:r w:rsidRPr="00335E4B">
        <w:rPr>
          <w:rFonts w:cs="Times New Roman"/>
          <w:sz w:val="20"/>
          <w:szCs w:val="30"/>
          <w:rtl/>
          <w:lang w:bidi="ar-EG"/>
        </w:rPr>
        <w:t>&gt;</w:t>
      </w:r>
      <w:r w:rsidRPr="00335E4B">
        <w:rPr>
          <w:rFonts w:cs="Traditional Arabic"/>
          <w:sz w:val="20"/>
          <w:szCs w:val="30"/>
          <w:rtl/>
          <w:lang w:bidi="ar-EG"/>
        </w:rPr>
        <w:t xml:space="preserve"> 1400 درجة مئوية)، فإن الزئبق يتطوَّر ليصبح زئبقاً أوَّلياً (</w:t>
      </w:r>
      <w:r w:rsidRPr="00335E4B">
        <w:rPr>
          <w:rFonts w:eastAsia="SimSun" w:cs="Traditional Arabic"/>
          <w:sz w:val="20"/>
          <w:szCs w:val="22"/>
        </w:rPr>
        <w:t>Hg</w:t>
      </w:r>
      <w:r w:rsidRPr="00335E4B">
        <w:rPr>
          <w:rFonts w:eastAsia="SimSun" w:cs="Traditional Arabic"/>
          <w:sz w:val="20"/>
          <w:szCs w:val="22"/>
          <w:vertAlign w:val="superscript"/>
        </w:rPr>
        <w:t>0</w:t>
      </w:r>
      <w:r w:rsidRPr="00335E4B">
        <w:rPr>
          <w:rFonts w:cs="Traditional Arabic"/>
          <w:sz w:val="20"/>
          <w:szCs w:val="30"/>
          <w:rtl/>
          <w:lang w:bidi="ar-EG"/>
        </w:rPr>
        <w:t xml:space="preserve">). </w:t>
      </w:r>
      <w:r w:rsidRPr="00335E4B">
        <w:rPr>
          <w:rFonts w:cs="Traditional Arabic" w:hint="cs"/>
          <w:sz w:val="20"/>
          <w:szCs w:val="30"/>
          <w:rtl/>
          <w:lang w:bidi="ar-EG"/>
        </w:rPr>
        <w:t>و</w:t>
      </w:r>
      <w:r w:rsidRPr="00335E4B">
        <w:rPr>
          <w:rFonts w:cs="Traditional Arabic"/>
          <w:sz w:val="20"/>
          <w:szCs w:val="30"/>
          <w:rtl/>
          <w:lang w:bidi="ar-EG"/>
        </w:rPr>
        <w:t xml:space="preserve">لا تؤثر طريقة وجود الزئبق في الفحم على آلية تحول </w:t>
      </w:r>
      <w:r w:rsidRPr="00335E4B">
        <w:rPr>
          <w:rFonts w:cs="Traditional Arabic" w:hint="cs"/>
          <w:sz w:val="20"/>
          <w:szCs w:val="30"/>
          <w:rtl/>
          <w:lang w:bidi="ar-EG"/>
        </w:rPr>
        <w:t>الاحتراق</w:t>
      </w:r>
      <w:r w:rsidRPr="00335E4B">
        <w:rPr>
          <w:rFonts w:cs="Traditional Arabic"/>
          <w:sz w:val="20"/>
          <w:szCs w:val="30"/>
          <w:rtl/>
          <w:lang w:bidi="ar-EG"/>
        </w:rPr>
        <w:t xml:space="preserve"> الأوَّلي المذكور.</w:t>
      </w:r>
    </w:p>
    <w:p w:rsidR="00942AEA"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lang w:bidi="ar-EG"/>
        </w:rPr>
        <w:br w:type="page"/>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bCs/>
          <w:sz w:val="20"/>
          <w:szCs w:val="30"/>
          <w:rtl/>
          <w:lang w:bidi="ar-EG"/>
        </w:rPr>
      </w:pPr>
      <w:r>
        <w:rPr>
          <w:rFonts w:cs="Traditional Arabic"/>
          <w:noProof/>
          <w:sz w:val="20"/>
          <w:szCs w:val="30"/>
          <w:lang w:val="en-GB" w:eastAsia="zh-CN"/>
        </w:rPr>
        <w:drawing>
          <wp:anchor distT="0" distB="0" distL="114300" distR="114300" simplePos="0" relativeHeight="251667456" behindDoc="1" locked="0" layoutInCell="1" allowOverlap="1" wp14:anchorId="6366E5E8" wp14:editId="7D8EF388">
            <wp:simplePos x="0" y="0"/>
            <wp:positionH relativeFrom="column">
              <wp:posOffset>568960</wp:posOffset>
            </wp:positionH>
            <wp:positionV relativeFrom="paragraph">
              <wp:posOffset>36830</wp:posOffset>
            </wp:positionV>
            <wp:extent cx="4829175" cy="3190875"/>
            <wp:effectExtent l="0" t="0" r="9525" b="9525"/>
            <wp:wrapTight wrapText="bothSides">
              <wp:wrapPolygon edited="0">
                <wp:start x="0" y="0"/>
                <wp:lineTo x="0" y="21536"/>
                <wp:lineTo x="21557" y="21536"/>
                <wp:lineTo x="21557" y="0"/>
                <wp:lineTo x="0" y="0"/>
              </wp:wrapPolygon>
            </wp:wrapTight>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9175"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noProof/>
          <w:sz w:val="20"/>
          <w:szCs w:val="30"/>
          <w:lang w:val="en-GB" w:eastAsia="zh-CN"/>
        </w:rPr>
        <mc:AlternateContent>
          <mc:Choice Requires="wpg">
            <w:drawing>
              <wp:anchor distT="0" distB="0" distL="114300" distR="114300" simplePos="0" relativeHeight="251668480" behindDoc="0" locked="0" layoutInCell="1" allowOverlap="1" wp14:anchorId="7021AB14" wp14:editId="56AD1613">
                <wp:simplePos x="0" y="0"/>
                <wp:positionH relativeFrom="column">
                  <wp:posOffset>-4927600</wp:posOffset>
                </wp:positionH>
                <wp:positionV relativeFrom="paragraph">
                  <wp:posOffset>193675</wp:posOffset>
                </wp:positionV>
                <wp:extent cx="4813300" cy="3162300"/>
                <wp:effectExtent l="0" t="0" r="0" b="1905"/>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0" cy="3162300"/>
                          <a:chOff x="2873" y="7344"/>
                          <a:chExt cx="7580" cy="4980"/>
                        </a:xfrm>
                      </wpg:grpSpPr>
                      <wps:wsp>
                        <wps:cNvPr id="580" name="Text Box 124"/>
                        <wps:cNvSpPr txBox="1">
                          <a:spLocks noChangeArrowheads="1"/>
                        </wps:cNvSpPr>
                        <wps:spPr bwMode="auto">
                          <a:xfrm>
                            <a:off x="7204" y="7344"/>
                            <a:ext cx="1197"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C30591" w:rsidRDefault="00670B40" w:rsidP="00335E4B">
                              <w:pPr>
                                <w:rPr>
                                  <w:rFonts w:ascii="Traditional Arabic" w:hAnsi="Traditional Arabic" w:cs="Traditional Arabic"/>
                                  <w:b/>
                                  <w:bCs/>
                                  <w:color w:val="000000"/>
                                  <w:szCs w:val="20"/>
                                  <w:lang w:bidi="ar-EG"/>
                                </w:rPr>
                              </w:pPr>
                              <w:r w:rsidRPr="00C30591">
                                <w:rPr>
                                  <w:rFonts w:ascii="Traditional Arabic" w:hAnsi="Traditional Arabic" w:cs="Traditional Arabic"/>
                                  <w:b/>
                                  <w:bCs/>
                                  <w:color w:val="000000"/>
                                  <w:szCs w:val="20"/>
                                  <w:rtl/>
                                  <w:lang w:bidi="ar-EG"/>
                                </w:rPr>
                                <w:t>الأكسدة التحفيزية</w:t>
                              </w:r>
                            </w:p>
                          </w:txbxContent>
                        </wps:txbx>
                        <wps:bodyPr rot="0" vert="horz" wrap="square" lIns="0" tIns="0" rIns="0" bIns="0" anchor="t" anchorCtr="0" upright="1">
                          <a:noAutofit/>
                        </wps:bodyPr>
                      </wps:wsp>
                      <wps:wsp>
                        <wps:cNvPr id="581" name="Text Box 125"/>
                        <wps:cNvSpPr txBox="1">
                          <a:spLocks noChangeArrowheads="1"/>
                        </wps:cNvSpPr>
                        <wps:spPr bwMode="auto">
                          <a:xfrm>
                            <a:off x="6265" y="8475"/>
                            <a:ext cx="1197"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C30591" w:rsidRDefault="00670B40" w:rsidP="00335E4B">
                              <w:pPr>
                                <w:jc w:val="center"/>
                                <w:rPr>
                                  <w:rFonts w:ascii="Traditional Arabic" w:hAnsi="Traditional Arabic" w:cs="Traditional Arabic"/>
                                  <w:b/>
                                  <w:bCs/>
                                  <w:color w:val="000000"/>
                                  <w:szCs w:val="20"/>
                                  <w:lang w:bidi="ar-EG"/>
                                </w:rPr>
                              </w:pPr>
                              <w:r w:rsidRPr="00C30591">
                                <w:rPr>
                                  <w:rFonts w:ascii="Traditional Arabic" w:hAnsi="Traditional Arabic" w:cs="Traditional Arabic"/>
                                  <w:b/>
                                  <w:bCs/>
                                  <w:color w:val="000000"/>
                                  <w:szCs w:val="20"/>
                                  <w:rtl/>
                                  <w:lang w:bidi="ar-EG"/>
                                </w:rPr>
                                <w:t>الكلورة</w:t>
                              </w:r>
                            </w:p>
                          </w:txbxContent>
                        </wps:txbx>
                        <wps:bodyPr rot="0" vert="horz" wrap="square" lIns="0" tIns="0" rIns="0" bIns="0" anchor="t" anchorCtr="0" upright="1">
                          <a:noAutofit/>
                        </wps:bodyPr>
                      </wps:wsp>
                      <wps:wsp>
                        <wps:cNvPr id="582" name="Text Box 126"/>
                        <wps:cNvSpPr txBox="1">
                          <a:spLocks noChangeArrowheads="1"/>
                        </wps:cNvSpPr>
                        <wps:spPr bwMode="auto">
                          <a:xfrm>
                            <a:off x="4126" y="10353"/>
                            <a:ext cx="1197"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C30591" w:rsidRDefault="00670B40" w:rsidP="00335E4B">
                              <w:pPr>
                                <w:jc w:val="center"/>
                                <w:rPr>
                                  <w:rFonts w:ascii="Traditional Arabic" w:hAnsi="Traditional Arabic" w:cs="Traditional Arabic"/>
                                  <w:b/>
                                  <w:bCs/>
                                  <w:color w:val="000000"/>
                                  <w:szCs w:val="20"/>
                                  <w:lang w:bidi="ar-EG"/>
                                </w:rPr>
                              </w:pPr>
                              <w:r w:rsidRPr="00C30591">
                                <w:rPr>
                                  <w:rFonts w:ascii="Traditional Arabic" w:hAnsi="Traditional Arabic" w:cs="Traditional Arabic"/>
                                  <w:b/>
                                  <w:bCs/>
                                  <w:color w:val="000000"/>
                                  <w:szCs w:val="20"/>
                                  <w:rtl/>
                                  <w:lang w:bidi="ar-EG"/>
                                </w:rPr>
                                <w:t>التبخُّر</w:t>
                              </w:r>
                            </w:p>
                          </w:txbxContent>
                        </wps:txbx>
                        <wps:bodyPr rot="0" vert="horz" wrap="square" lIns="0" tIns="0" rIns="0" bIns="0" anchor="t" anchorCtr="0" upright="1">
                          <a:noAutofit/>
                        </wps:bodyPr>
                      </wps:wsp>
                      <wps:wsp>
                        <wps:cNvPr id="583" name="Text Box 127"/>
                        <wps:cNvSpPr txBox="1">
                          <a:spLocks noChangeArrowheads="1"/>
                        </wps:cNvSpPr>
                        <wps:spPr bwMode="auto">
                          <a:xfrm>
                            <a:off x="6122" y="10926"/>
                            <a:ext cx="1197" cy="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C30591" w:rsidRDefault="00670B40" w:rsidP="00335E4B">
                              <w:pPr>
                                <w:jc w:val="center"/>
                                <w:rPr>
                                  <w:rFonts w:ascii="Traditional Arabic" w:hAnsi="Traditional Arabic" w:cs="Traditional Arabic"/>
                                  <w:b/>
                                  <w:bCs/>
                                  <w:color w:val="000000"/>
                                  <w:szCs w:val="20"/>
                                  <w:lang w:bidi="ar-EG"/>
                                </w:rPr>
                              </w:pPr>
                              <w:r w:rsidRPr="00C30591">
                                <w:rPr>
                                  <w:rFonts w:ascii="Traditional Arabic" w:hAnsi="Traditional Arabic" w:cs="Traditional Arabic"/>
                                  <w:b/>
                                  <w:bCs/>
                                  <w:color w:val="000000"/>
                                  <w:szCs w:val="20"/>
                                  <w:rtl/>
                                  <w:lang w:bidi="ar-EG"/>
                                </w:rPr>
                                <w:t>تكوين الرماد</w:t>
                              </w:r>
                            </w:p>
                          </w:txbxContent>
                        </wps:txbx>
                        <wps:bodyPr rot="0" vert="horz" wrap="square" lIns="0" tIns="0" rIns="0" bIns="0" anchor="t" anchorCtr="0" upright="1">
                          <a:noAutofit/>
                        </wps:bodyPr>
                      </wps:wsp>
                      <wps:wsp>
                        <wps:cNvPr id="584" name="Text Box 128"/>
                        <wps:cNvSpPr txBox="1">
                          <a:spLocks noChangeArrowheads="1"/>
                        </wps:cNvSpPr>
                        <wps:spPr bwMode="auto">
                          <a:xfrm>
                            <a:off x="6806" y="11779"/>
                            <a:ext cx="1710"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C30591" w:rsidRDefault="00670B40" w:rsidP="00335E4B">
                              <w:pPr>
                                <w:jc w:val="center"/>
                                <w:rPr>
                                  <w:rFonts w:ascii="Traditional Arabic" w:hAnsi="Traditional Arabic" w:cs="Traditional Arabic"/>
                                  <w:b/>
                                  <w:bCs/>
                                  <w:color w:val="000000"/>
                                  <w:szCs w:val="20"/>
                                  <w:lang w:bidi="ar-EG"/>
                                </w:rPr>
                              </w:pPr>
                              <w:r w:rsidRPr="00C30591">
                                <w:rPr>
                                  <w:rFonts w:ascii="Traditional Arabic" w:hAnsi="Traditional Arabic" w:cs="Traditional Arabic"/>
                                  <w:b/>
                                  <w:bCs/>
                                  <w:color w:val="000000"/>
                                  <w:szCs w:val="20"/>
                                  <w:rtl/>
                                  <w:lang w:bidi="ar-EG"/>
                                </w:rPr>
                                <w:t>ما بعد الاحتراق</w:t>
                              </w:r>
                            </w:p>
                          </w:txbxContent>
                        </wps:txbx>
                        <wps:bodyPr rot="0" vert="horz" wrap="square" lIns="0" tIns="0" rIns="0" bIns="0" anchor="t" anchorCtr="0" upright="1">
                          <a:noAutofit/>
                        </wps:bodyPr>
                      </wps:wsp>
                      <wps:wsp>
                        <wps:cNvPr id="585" name="Text Box 129"/>
                        <wps:cNvSpPr txBox="1">
                          <a:spLocks noChangeArrowheads="1"/>
                        </wps:cNvSpPr>
                        <wps:spPr bwMode="auto">
                          <a:xfrm>
                            <a:off x="4126" y="11858"/>
                            <a:ext cx="1197"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C30591" w:rsidRDefault="00670B40" w:rsidP="00335E4B">
                              <w:pPr>
                                <w:rPr>
                                  <w:rFonts w:ascii="Traditional Arabic" w:hAnsi="Traditional Arabic" w:cs="Traditional Arabic"/>
                                  <w:b/>
                                  <w:bCs/>
                                  <w:color w:val="000000"/>
                                  <w:szCs w:val="20"/>
                                  <w:lang w:bidi="ar-EG"/>
                                </w:rPr>
                              </w:pPr>
                              <w:r w:rsidRPr="00C30591">
                                <w:rPr>
                                  <w:rFonts w:ascii="Traditional Arabic" w:hAnsi="Traditional Arabic" w:cs="Traditional Arabic"/>
                                  <w:b/>
                                  <w:bCs/>
                                  <w:color w:val="000000"/>
                                  <w:szCs w:val="20"/>
                                  <w:rtl/>
                                  <w:lang w:bidi="ar-EG"/>
                                </w:rPr>
                                <w:t>الاحتراق</w:t>
                              </w:r>
                            </w:p>
                          </w:txbxContent>
                        </wps:txbx>
                        <wps:bodyPr rot="0" vert="horz" wrap="square" lIns="0" tIns="0" rIns="0" bIns="0" anchor="t" anchorCtr="0" upright="1">
                          <a:noAutofit/>
                        </wps:bodyPr>
                      </wps:wsp>
                      <wps:wsp>
                        <wps:cNvPr id="586" name="Text Box 130"/>
                        <wps:cNvSpPr txBox="1">
                          <a:spLocks noChangeArrowheads="1"/>
                        </wps:cNvSpPr>
                        <wps:spPr bwMode="auto">
                          <a:xfrm>
                            <a:off x="2873" y="11858"/>
                            <a:ext cx="855"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C30591" w:rsidRDefault="00670B40" w:rsidP="00335E4B">
                              <w:pPr>
                                <w:jc w:val="center"/>
                                <w:rPr>
                                  <w:rFonts w:ascii="Traditional Arabic" w:hAnsi="Traditional Arabic" w:cs="Traditional Arabic"/>
                                  <w:b/>
                                  <w:bCs/>
                                  <w:color w:val="000000"/>
                                  <w:szCs w:val="20"/>
                                  <w:lang w:bidi="ar-EG"/>
                                </w:rPr>
                              </w:pPr>
                              <w:r w:rsidRPr="00C30591">
                                <w:rPr>
                                  <w:rFonts w:ascii="Traditional Arabic" w:hAnsi="Traditional Arabic" w:cs="Traditional Arabic"/>
                                  <w:b/>
                                  <w:bCs/>
                                  <w:color w:val="000000"/>
                                  <w:szCs w:val="20"/>
                                  <w:rtl/>
                                  <w:lang w:bidi="ar-EG"/>
                                </w:rPr>
                                <w:t>الفحم</w:t>
                              </w:r>
                            </w:p>
                          </w:txbxContent>
                        </wps:txbx>
                        <wps:bodyPr rot="0" vert="horz" wrap="square" lIns="0" tIns="0" rIns="0" bIns="0" anchor="t" anchorCtr="0" upright="1">
                          <a:noAutofit/>
                        </wps:bodyPr>
                      </wps:wsp>
                      <wps:wsp>
                        <wps:cNvPr id="587" name="Text Box 131"/>
                        <wps:cNvSpPr txBox="1">
                          <a:spLocks noChangeArrowheads="1"/>
                        </wps:cNvSpPr>
                        <wps:spPr bwMode="auto">
                          <a:xfrm>
                            <a:off x="6122" y="9761"/>
                            <a:ext cx="1368"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C30591" w:rsidRDefault="00670B40" w:rsidP="00335E4B">
                              <w:pPr>
                                <w:jc w:val="center"/>
                                <w:rPr>
                                  <w:rFonts w:ascii="Traditional Arabic" w:hAnsi="Traditional Arabic" w:cs="Traditional Arabic"/>
                                  <w:b/>
                                  <w:bCs/>
                                  <w:color w:val="000000"/>
                                  <w:sz w:val="16"/>
                                  <w:szCs w:val="16"/>
                                  <w:lang w:bidi="ar-EG"/>
                                </w:rPr>
                              </w:pPr>
                              <w:r w:rsidRPr="00C30591">
                                <w:rPr>
                                  <w:rFonts w:ascii="Traditional Arabic" w:hAnsi="Traditional Arabic" w:cs="Traditional Arabic"/>
                                  <w:b/>
                                  <w:bCs/>
                                  <w:color w:val="000000"/>
                                  <w:sz w:val="16"/>
                                  <w:szCs w:val="16"/>
                                  <w:rtl/>
                                  <w:lang w:bidi="ar-EG"/>
                                </w:rPr>
                                <w:t>الامتزاز</w:t>
                              </w:r>
                            </w:p>
                          </w:txbxContent>
                        </wps:txbx>
                        <wps:bodyPr rot="0" vert="horz" wrap="square" lIns="0" tIns="0" rIns="0" bIns="0" anchor="t" anchorCtr="0" upright="1">
                          <a:noAutofit/>
                        </wps:bodyPr>
                      </wps:wsp>
                      <wps:wsp>
                        <wps:cNvPr id="588" name="Text Box 132"/>
                        <wps:cNvSpPr txBox="1">
                          <a:spLocks noChangeArrowheads="1"/>
                        </wps:cNvSpPr>
                        <wps:spPr bwMode="auto">
                          <a:xfrm>
                            <a:off x="8987" y="9160"/>
                            <a:ext cx="1466"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5F6AA5" w:rsidRDefault="00670B40" w:rsidP="00335E4B">
                              <w:pPr>
                                <w:tabs>
                                  <w:tab w:val="right" w:pos="1041"/>
                                </w:tabs>
                                <w:rPr>
                                  <w:b/>
                                  <w:bCs/>
                                  <w:color w:val="000000"/>
                                  <w:szCs w:val="22"/>
                                  <w:lang w:bidi="ar-EG"/>
                                </w:rPr>
                              </w:pPr>
                              <w:r w:rsidRPr="00C30591">
                                <w:rPr>
                                  <w:rFonts w:ascii="Traditional Arabic" w:hAnsi="Traditional Arabic" w:cs="Traditional Arabic"/>
                                  <w:b/>
                                  <w:bCs/>
                                  <w:color w:val="000000"/>
                                  <w:szCs w:val="22"/>
                                  <w:rtl/>
                                  <w:lang w:bidi="ar-EG"/>
                                </w:rPr>
                                <w:t>أنواع الزئبق</w:t>
                              </w:r>
                              <w:r>
                                <w:rPr>
                                  <w:rFonts w:hint="cs"/>
                                  <w:b/>
                                  <w:bCs/>
                                  <w:color w:val="000000"/>
                                  <w:szCs w:val="22"/>
                                  <w:rtl/>
                                  <w:lang w:bidi="ar-EG"/>
                                </w:rPr>
                                <w:t xml:space="preserve"> </w:t>
                              </w:r>
                              <w:r>
                                <w:rPr>
                                  <w:rFonts w:hint="cs"/>
                                  <w:b/>
                                  <w:bCs/>
                                  <w:color w:val="000000"/>
                                  <w:szCs w:val="22"/>
                                  <w:rtl/>
                                  <w:lang w:bidi="ar-EG"/>
                                </w:rPr>
                                <w:tab/>
                              </w:r>
                              <w:r>
                                <w:rPr>
                                  <w:b/>
                                  <w:bCs/>
                                  <w:color w:val="000000"/>
                                  <w:szCs w:val="22"/>
                                  <w:lang w:bidi="ar-EG"/>
                                </w:rPr>
                                <w:t>Hg(p)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 o:spid="_x0000_s1045" style="position:absolute;left:0;text-align:left;margin-left:-388pt;margin-top:15.25pt;width:379pt;height:249pt;z-index:251668480" coordorigin="2873,7344" coordsize="7580,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">
                <v:shapetype id="_x0000_t202" coordsize="21600,21600" o:spt="202" path="m,l,21600r21600,l21600,xe">
                  <v:stroke joinstyle="miter"/>
                  <v:path gradientshapeok="t" o:connecttype="rect"/>
                </v:shapetype>
                <v:shape id="Text Box 124" o:spid="_x0000_s1046" type="#_x0000_t202" style="position:absolute;left:7204;top:7344;width:119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ZSMIA&#10;AADcAAAADwAAAGRycy9kb3ducmV2LnhtbERPz2vCMBS+D/Y/hDfwMmaqsCKdUdQq7OAOOvH8aN7a&#10;YvNSktS2/705CDt+fL+X68E04k7O15YVzKYJCOLC6ppLBZffw8cChA/IGhvLpGAkD+vV68sSM217&#10;PtH9HEoRQ9hnqKAKoc2k9EVFBv3UtsSR+7POYIjQlVI77GO4aeQ8SVJpsObYUGFLu4qK27kzCtLc&#10;df2Jd+/5ZX/En7acX7fjVanJ27D5AhFoCP/ip/tbK/hcxPn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xlIwgAAANwAAAAPAAAAAAAAAAAAAAAAAJgCAABkcnMvZG93&#10;bnJldi54bWxQSwUGAAAAAAQABAD1AAAAhwMAAAAA&#10;" stroked="f">
                  <v:textbox inset="0,0,0,0">
                    <w:txbxContent>
                      <w:p w:rsidR="00670B40" w:rsidRPr="00C30591" w:rsidRDefault="00670B40" w:rsidP="00335E4B">
                        <w:pPr>
                          <w:rPr>
                            <w:rFonts w:ascii="Traditional Arabic" w:hAnsi="Traditional Arabic" w:cs="Traditional Arabic"/>
                            <w:b/>
                            <w:bCs/>
                            <w:color w:val="000000"/>
                            <w:szCs w:val="20"/>
                            <w:lang w:bidi="ar-EG"/>
                          </w:rPr>
                        </w:pPr>
                        <w:r w:rsidRPr="00C30591">
                          <w:rPr>
                            <w:rFonts w:ascii="Traditional Arabic" w:hAnsi="Traditional Arabic" w:cs="Traditional Arabic"/>
                            <w:b/>
                            <w:bCs/>
                            <w:color w:val="000000"/>
                            <w:szCs w:val="20"/>
                            <w:rtl/>
                            <w:lang w:bidi="ar-EG"/>
                          </w:rPr>
                          <w:t>الأكسدة التحفيزية</w:t>
                        </w:r>
                      </w:p>
                    </w:txbxContent>
                  </v:textbox>
                </v:shape>
                <v:shape id="Text Box 125" o:spid="_x0000_s1047" type="#_x0000_t202" style="position:absolute;left:6265;top:8475;width:119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808YA&#10;AADcAAAADwAAAGRycy9kb3ducmV2LnhtbESPQWvCQBSE74X+h+UVvBTdGKi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e808YAAADcAAAADwAAAAAAAAAAAAAAAACYAgAAZHJz&#10;L2Rvd25yZXYueG1sUEsFBgAAAAAEAAQA9QAAAIsDAAAAAA==&#10;" stroked="f">
                  <v:textbox inset="0,0,0,0">
                    <w:txbxContent>
                      <w:p w:rsidR="00670B40" w:rsidRPr="00C30591" w:rsidRDefault="00670B40" w:rsidP="00335E4B">
                        <w:pPr>
                          <w:jc w:val="center"/>
                          <w:rPr>
                            <w:rFonts w:ascii="Traditional Arabic" w:hAnsi="Traditional Arabic" w:cs="Traditional Arabic"/>
                            <w:b/>
                            <w:bCs/>
                            <w:color w:val="000000"/>
                            <w:szCs w:val="20"/>
                            <w:lang w:bidi="ar-EG"/>
                          </w:rPr>
                        </w:pPr>
                        <w:r w:rsidRPr="00C30591">
                          <w:rPr>
                            <w:rFonts w:ascii="Traditional Arabic" w:hAnsi="Traditional Arabic" w:cs="Traditional Arabic"/>
                            <w:b/>
                            <w:bCs/>
                            <w:color w:val="000000"/>
                            <w:szCs w:val="20"/>
                            <w:rtl/>
                            <w:lang w:bidi="ar-EG"/>
                          </w:rPr>
                          <w:t>الكلورة</w:t>
                        </w:r>
                      </w:p>
                    </w:txbxContent>
                  </v:textbox>
                </v:shape>
                <v:shape id="Text Box 126" o:spid="_x0000_s1048" type="#_x0000_t202" style="position:absolute;left:4126;top:10353;width:1197;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ipMQA&#10;AADcAAAADwAAAGRycy9kb3ducmV2LnhtbESPzYvCMBTE7wv+D+EJe1k0taBINYpfC3twD37g+dE8&#10;22LzUpJo63+/EYQ9DjPzG2a+7EwtHuR8ZVnBaJiAIM6trrhQcD59D6YgfEDWWFsmBU/ysFz0PuaY&#10;advygR7HUIgIYZ+hgjKEJpPS5yUZ9EPbEEfvap3BEKUrpHbYRripZZokE2mw4rhQYkObkvLb8W4U&#10;TLbu3h5487U97/b42xTpZf28KPXZ71YzEIG68B9+t3+0gvE0hd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lIqTEAAAA3AAAAA8AAAAAAAAAAAAAAAAAmAIAAGRycy9k&#10;b3ducmV2LnhtbFBLBQYAAAAABAAEAPUAAACJAwAAAAA=&#10;" stroked="f">
                  <v:textbox inset="0,0,0,0">
                    <w:txbxContent>
                      <w:p w:rsidR="00670B40" w:rsidRPr="00C30591" w:rsidRDefault="00670B40" w:rsidP="00335E4B">
                        <w:pPr>
                          <w:jc w:val="center"/>
                          <w:rPr>
                            <w:rFonts w:ascii="Traditional Arabic" w:hAnsi="Traditional Arabic" w:cs="Traditional Arabic"/>
                            <w:b/>
                            <w:bCs/>
                            <w:color w:val="000000"/>
                            <w:szCs w:val="20"/>
                            <w:lang w:bidi="ar-EG"/>
                          </w:rPr>
                        </w:pPr>
                        <w:r w:rsidRPr="00C30591">
                          <w:rPr>
                            <w:rFonts w:ascii="Traditional Arabic" w:hAnsi="Traditional Arabic" w:cs="Traditional Arabic"/>
                            <w:b/>
                            <w:bCs/>
                            <w:color w:val="000000"/>
                            <w:szCs w:val="20"/>
                            <w:rtl/>
                            <w:lang w:bidi="ar-EG"/>
                          </w:rPr>
                          <w:t>التبخُّر</w:t>
                        </w:r>
                      </w:p>
                    </w:txbxContent>
                  </v:textbox>
                </v:shape>
                <v:shape id="Text Box 127" o:spid="_x0000_s1049" type="#_x0000_t202" style="position:absolute;left:6122;top:10926;width:1197;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P8QA&#10;AADcAAAADwAAAGRycy9kb3ducmV2LnhtbESPT4vCMBTE78J+h/AWvMiaqijSNcr6DzzoQVc8P5q3&#10;bdnmpSTR1m9vBMHjMDO/YWaL1lTiRs6XlhUM+gkI4szqknMF59/t1xSED8gaK8uk4E4eFvOPzgxT&#10;bRs+0u0UchEh7FNUUIRQp1L6rCCDvm9r4uj9WWcwROlyqR02EW4qOUySiTRYclwosKZVQdn/6WoU&#10;TNbu2hx51VufN3s81PnwsrxflOp+tj/fIAK14R1+tXdawXg6g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hz/EAAAA3AAAAA8AAAAAAAAAAAAAAAAAmAIAAGRycy9k&#10;b3ducmV2LnhtbFBLBQYAAAAABAAEAPUAAACJAwAAAAA=&#10;" stroked="f">
                  <v:textbox inset="0,0,0,0">
                    <w:txbxContent>
                      <w:p w:rsidR="00670B40" w:rsidRPr="00C30591" w:rsidRDefault="00670B40" w:rsidP="00335E4B">
                        <w:pPr>
                          <w:jc w:val="center"/>
                          <w:rPr>
                            <w:rFonts w:ascii="Traditional Arabic" w:hAnsi="Traditional Arabic" w:cs="Traditional Arabic"/>
                            <w:b/>
                            <w:bCs/>
                            <w:color w:val="000000"/>
                            <w:szCs w:val="20"/>
                            <w:lang w:bidi="ar-EG"/>
                          </w:rPr>
                        </w:pPr>
                        <w:r w:rsidRPr="00C30591">
                          <w:rPr>
                            <w:rFonts w:ascii="Traditional Arabic" w:hAnsi="Traditional Arabic" w:cs="Traditional Arabic"/>
                            <w:b/>
                            <w:bCs/>
                            <w:color w:val="000000"/>
                            <w:szCs w:val="20"/>
                            <w:rtl/>
                            <w:lang w:bidi="ar-EG"/>
                          </w:rPr>
                          <w:t>تكوين الرماد</w:t>
                        </w:r>
                      </w:p>
                    </w:txbxContent>
                  </v:textbox>
                </v:shape>
                <v:shape id="Text Box 128" o:spid="_x0000_s1050" type="#_x0000_t202" style="position:absolute;left:6806;top:11779;width:171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fS8QA&#10;AADcAAAADwAAAGRycy9kb3ducmV2LnhtbESPT4vCMBTE78J+h/AWvMiaKirSNcr6DzzoQVc8P5q3&#10;bdnmpSTR1m9vBMHjMDO/YWaL1lTiRs6XlhUM+gkI4szqknMF59/t1xSED8gaK8uk4E4eFvOPzgxT&#10;bRs+0u0UchEh7FNUUIRQp1L6rCCDvm9r4uj9WWcwROlyqR02EW4qOUySiTRYclwosKZVQdn/6WoU&#10;TNbu2hx51VufN3s81PnwsrxflOp+tj/fIAK14R1+tXdawXg6g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H0vEAAAA3AAAAA8AAAAAAAAAAAAAAAAAmAIAAGRycy9k&#10;b3ducmV2LnhtbFBLBQYAAAAABAAEAPUAAACJAwAAAAA=&#10;" stroked="f">
                  <v:textbox inset="0,0,0,0">
                    <w:txbxContent>
                      <w:p w:rsidR="00670B40" w:rsidRPr="00C30591" w:rsidRDefault="00670B40" w:rsidP="00335E4B">
                        <w:pPr>
                          <w:jc w:val="center"/>
                          <w:rPr>
                            <w:rFonts w:ascii="Traditional Arabic" w:hAnsi="Traditional Arabic" w:cs="Traditional Arabic"/>
                            <w:b/>
                            <w:bCs/>
                            <w:color w:val="000000"/>
                            <w:szCs w:val="20"/>
                            <w:lang w:bidi="ar-EG"/>
                          </w:rPr>
                        </w:pPr>
                        <w:r w:rsidRPr="00C30591">
                          <w:rPr>
                            <w:rFonts w:ascii="Traditional Arabic" w:hAnsi="Traditional Arabic" w:cs="Traditional Arabic"/>
                            <w:b/>
                            <w:bCs/>
                            <w:color w:val="000000"/>
                            <w:szCs w:val="20"/>
                            <w:rtl/>
                            <w:lang w:bidi="ar-EG"/>
                          </w:rPr>
                          <w:t>ما بعد الاحتراق</w:t>
                        </w:r>
                      </w:p>
                    </w:txbxContent>
                  </v:textbox>
                </v:shape>
                <v:shape id="Text Box 129" o:spid="_x0000_s1051" type="#_x0000_t202" style="position:absolute;left:4126;top:11858;width:119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60MQA&#10;AADcAAAADwAAAGRycy9kb3ducmV2LnhtbESPQYvCMBSE7wv+h/CEvSyaKihSjbLqCh7cQ1U8P5pn&#10;W7Z5KUm09d8bQdjjMDPfMItVZ2pxJ+crywpGwwQEcW51xYWC82k3mIHwAVljbZkUPMjDatn7WGCq&#10;bcsZ3Y+hEBHCPkUFZQhNKqXPSzLoh7Yhjt7VOoMhSldI7bCNcFPLcZJMpcGK40KJDW1Kyv+ON6Ng&#10;unW3NuPN1/b8c8Dfphhf1o+LUp/97nsOIlAX/sPv9l4rmMwm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utDEAAAA3AAAAA8AAAAAAAAAAAAAAAAAmAIAAGRycy9k&#10;b3ducmV2LnhtbFBLBQYAAAAABAAEAPUAAACJAwAAAAA=&#10;" stroked="f">
                  <v:textbox inset="0,0,0,0">
                    <w:txbxContent>
                      <w:p w:rsidR="00670B40" w:rsidRPr="00C30591" w:rsidRDefault="00670B40" w:rsidP="00335E4B">
                        <w:pPr>
                          <w:rPr>
                            <w:rFonts w:ascii="Traditional Arabic" w:hAnsi="Traditional Arabic" w:cs="Traditional Arabic"/>
                            <w:b/>
                            <w:bCs/>
                            <w:color w:val="000000"/>
                            <w:szCs w:val="20"/>
                            <w:lang w:bidi="ar-EG"/>
                          </w:rPr>
                        </w:pPr>
                        <w:r w:rsidRPr="00C30591">
                          <w:rPr>
                            <w:rFonts w:ascii="Traditional Arabic" w:hAnsi="Traditional Arabic" w:cs="Traditional Arabic"/>
                            <w:b/>
                            <w:bCs/>
                            <w:color w:val="000000"/>
                            <w:szCs w:val="20"/>
                            <w:rtl/>
                            <w:lang w:bidi="ar-EG"/>
                          </w:rPr>
                          <w:t>الاحتراق</w:t>
                        </w:r>
                      </w:p>
                    </w:txbxContent>
                  </v:textbox>
                </v:shape>
                <v:shape id="Text Box 130" o:spid="_x0000_s1052" type="#_x0000_t202" style="position:absolute;left:2873;top:11858;width:85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4kp8UA&#10;AADcAAAADwAAAGRycy9kb3ducmV2LnhtbESPzYvCMBTE7wv+D+EJXhZNV9g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iSnxQAAANwAAAAPAAAAAAAAAAAAAAAAAJgCAABkcnMv&#10;ZG93bnJldi54bWxQSwUGAAAAAAQABAD1AAAAigMAAAAA&#10;" stroked="f">
                  <v:textbox inset="0,0,0,0">
                    <w:txbxContent>
                      <w:p w:rsidR="00670B40" w:rsidRPr="00C30591" w:rsidRDefault="00670B40" w:rsidP="00335E4B">
                        <w:pPr>
                          <w:jc w:val="center"/>
                          <w:rPr>
                            <w:rFonts w:ascii="Traditional Arabic" w:hAnsi="Traditional Arabic" w:cs="Traditional Arabic"/>
                            <w:b/>
                            <w:bCs/>
                            <w:color w:val="000000"/>
                            <w:szCs w:val="20"/>
                            <w:lang w:bidi="ar-EG"/>
                          </w:rPr>
                        </w:pPr>
                        <w:r w:rsidRPr="00C30591">
                          <w:rPr>
                            <w:rFonts w:ascii="Traditional Arabic" w:hAnsi="Traditional Arabic" w:cs="Traditional Arabic"/>
                            <w:b/>
                            <w:bCs/>
                            <w:color w:val="000000"/>
                            <w:szCs w:val="20"/>
                            <w:rtl/>
                            <w:lang w:bidi="ar-EG"/>
                          </w:rPr>
                          <w:t>الفحم</w:t>
                        </w:r>
                      </w:p>
                    </w:txbxContent>
                  </v:textbox>
                </v:shape>
                <v:shape id="Text Box 131" o:spid="_x0000_s1053" type="#_x0000_t202" style="position:absolute;left:6122;top:9761;width:136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BPMUA&#10;AADcAAAADwAAAGRycy9kb3ducmV2LnhtbESPzYvCMBTE78L+D+EteJE1VfCDrlHWL/CgB13x/Gje&#10;tmWbl5JEW/97Iwgeh5n5DTNbtKYSN3K+tKxg0E9AEGdWl5wrOP9uv6YgfEDWWFkmBXfysJh/dGaY&#10;atvwkW6nkIsIYZ+igiKEOpXSZwUZ9H1bE0fvzzqDIUqXS+2wiXBTyWGSjKXBkuNCgTWtCsr+T1ej&#10;YLx21+bIq976vNnjoc6Hl+X9olT3s/35BhGoDe/wq73TCkbT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oE8xQAAANwAAAAPAAAAAAAAAAAAAAAAAJgCAABkcnMv&#10;ZG93bnJldi54bWxQSwUGAAAAAAQABAD1AAAAigMAAAAA&#10;" stroked="f">
                  <v:textbox inset="0,0,0,0">
                    <w:txbxContent>
                      <w:p w:rsidR="00670B40" w:rsidRPr="00C30591" w:rsidRDefault="00670B40" w:rsidP="00335E4B">
                        <w:pPr>
                          <w:jc w:val="center"/>
                          <w:rPr>
                            <w:rFonts w:ascii="Traditional Arabic" w:hAnsi="Traditional Arabic" w:cs="Traditional Arabic"/>
                            <w:b/>
                            <w:bCs/>
                            <w:color w:val="000000"/>
                            <w:sz w:val="16"/>
                            <w:szCs w:val="16"/>
                            <w:lang w:bidi="ar-EG"/>
                          </w:rPr>
                        </w:pPr>
                        <w:r w:rsidRPr="00C30591">
                          <w:rPr>
                            <w:rFonts w:ascii="Traditional Arabic" w:hAnsi="Traditional Arabic" w:cs="Traditional Arabic"/>
                            <w:b/>
                            <w:bCs/>
                            <w:color w:val="000000"/>
                            <w:sz w:val="16"/>
                            <w:szCs w:val="16"/>
                            <w:rtl/>
                            <w:lang w:bidi="ar-EG"/>
                          </w:rPr>
                          <w:t>الامتزاز</w:t>
                        </w:r>
                      </w:p>
                    </w:txbxContent>
                  </v:textbox>
                </v:shape>
                <v:shape id="Text Box 132" o:spid="_x0000_s1054" type="#_x0000_t202" style="position:absolute;left:8987;top:9160;width:1466;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TsIA&#10;AADcAAAADwAAAGRycy9kb3ducmV2LnhtbERPz2vCMBS+D/Y/hDfwMmaqsCKdUdQq7OAOOvH8aN7a&#10;YvNSktS2/705CDt+fL+X68E04k7O15YVzKYJCOLC6ppLBZffw8cChA/IGhvLpGAkD+vV68sSM217&#10;PtH9HEoRQ9hnqKAKoc2k9EVFBv3UtsSR+7POYIjQlVI77GO4aeQ8SVJpsObYUGFLu4qK27kzCtLc&#10;df2Jd+/5ZX/En7acX7fjVanJ27D5AhFoCP/ip/tbK/hcxL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RVOwgAAANwAAAAPAAAAAAAAAAAAAAAAAJgCAABkcnMvZG93&#10;bnJldi54bWxQSwUGAAAAAAQABAD1AAAAhwMAAAAA&#10;" stroked="f">
                  <v:textbox inset="0,0,0,0">
                    <w:txbxContent>
                      <w:p w:rsidR="00670B40" w:rsidRPr="005F6AA5" w:rsidRDefault="00670B40" w:rsidP="00335E4B">
                        <w:pPr>
                          <w:tabs>
                            <w:tab w:val="right" w:pos="1041"/>
                          </w:tabs>
                          <w:rPr>
                            <w:b/>
                            <w:bCs/>
                            <w:color w:val="000000"/>
                            <w:szCs w:val="22"/>
                            <w:lang w:bidi="ar-EG"/>
                          </w:rPr>
                        </w:pPr>
                        <w:r w:rsidRPr="00C30591">
                          <w:rPr>
                            <w:rFonts w:ascii="Traditional Arabic" w:hAnsi="Traditional Arabic" w:cs="Traditional Arabic"/>
                            <w:b/>
                            <w:bCs/>
                            <w:color w:val="000000"/>
                            <w:szCs w:val="22"/>
                            <w:rtl/>
                            <w:lang w:bidi="ar-EG"/>
                          </w:rPr>
                          <w:t>أنواع الزئبق</w:t>
                        </w:r>
                        <w:r>
                          <w:rPr>
                            <w:rFonts w:hint="cs"/>
                            <w:b/>
                            <w:bCs/>
                            <w:color w:val="000000"/>
                            <w:szCs w:val="22"/>
                            <w:rtl/>
                            <w:lang w:bidi="ar-EG"/>
                          </w:rPr>
                          <w:t xml:space="preserve"> </w:t>
                        </w:r>
                        <w:r>
                          <w:rPr>
                            <w:rFonts w:hint="cs"/>
                            <w:b/>
                            <w:bCs/>
                            <w:color w:val="000000"/>
                            <w:szCs w:val="22"/>
                            <w:rtl/>
                            <w:lang w:bidi="ar-EG"/>
                          </w:rPr>
                          <w:tab/>
                        </w:r>
                        <w:r>
                          <w:rPr>
                            <w:b/>
                            <w:bCs/>
                            <w:color w:val="000000"/>
                            <w:szCs w:val="22"/>
                            <w:lang w:bidi="ar-EG"/>
                          </w:rPr>
                          <w:t>Hg(p)</w:t>
                        </w:r>
                      </w:p>
                    </w:txbxContent>
                  </v:textbox>
                </v:shape>
              </v:group>
            </w:pict>
          </mc:Fallback>
        </mc:AlternateContent>
      </w:r>
    </w:p>
    <w:p w:rsidR="00942AEA" w:rsidRDefault="00942AEA" w:rsidP="00335E4B">
      <w:pPr>
        <w:keepNext/>
        <w:spacing w:before="120" w:after="120" w:line="400" w:lineRule="exact"/>
        <w:jc w:val="both"/>
        <w:outlineLvl w:val="2"/>
        <w:rPr>
          <w:rFonts w:cs="Traditional Arabic"/>
          <w:b/>
          <w:bCs/>
          <w:sz w:val="20"/>
          <w:szCs w:val="30"/>
          <w:rtl/>
          <w:lang w:bidi="ar-EG"/>
        </w:rPr>
      </w:pPr>
      <w:bookmarkStart w:id="445" w:name="_Toc440527754"/>
      <w:bookmarkStart w:id="446" w:name="_Toc440550455"/>
      <w:bookmarkStart w:id="447" w:name="_Toc441577712"/>
      <w:bookmarkStart w:id="448" w:name="_Toc441577891"/>
      <w:bookmarkStart w:id="449" w:name="_Toc441579117"/>
      <w:bookmarkStart w:id="450" w:name="_Toc441580725"/>
      <w:bookmarkStart w:id="451" w:name="_Toc441585856"/>
      <w:bookmarkStart w:id="452" w:name="_Toc441586192"/>
      <w:bookmarkStart w:id="453" w:name="_Toc441586642"/>
      <w:bookmarkStart w:id="454" w:name="_Toc441586821"/>
      <w:bookmarkStart w:id="455" w:name="_Toc441666670"/>
      <w:bookmarkStart w:id="456" w:name="_Toc441673731"/>
    </w:p>
    <w:p w:rsidR="00942AEA" w:rsidRDefault="00942AEA" w:rsidP="00335E4B">
      <w:pPr>
        <w:keepNext/>
        <w:spacing w:before="120" w:after="120" w:line="400" w:lineRule="exact"/>
        <w:jc w:val="both"/>
        <w:outlineLvl w:val="2"/>
        <w:rPr>
          <w:rFonts w:cs="Traditional Arabic"/>
          <w:b/>
          <w:bCs/>
          <w:sz w:val="20"/>
          <w:szCs w:val="30"/>
          <w:rtl/>
          <w:lang w:bidi="ar-EG"/>
        </w:rPr>
      </w:pPr>
    </w:p>
    <w:p w:rsidR="00942AEA" w:rsidRDefault="00942AEA" w:rsidP="00335E4B">
      <w:pPr>
        <w:keepNext/>
        <w:spacing w:before="120" w:after="120" w:line="400" w:lineRule="exact"/>
        <w:jc w:val="both"/>
        <w:outlineLvl w:val="2"/>
        <w:rPr>
          <w:rFonts w:cs="Traditional Arabic"/>
          <w:b/>
          <w:bCs/>
          <w:sz w:val="20"/>
          <w:szCs w:val="30"/>
          <w:rtl/>
          <w:lang w:bidi="ar-EG"/>
        </w:rPr>
      </w:pPr>
    </w:p>
    <w:p w:rsidR="00942AEA" w:rsidRDefault="00942AEA" w:rsidP="00335E4B">
      <w:pPr>
        <w:keepNext/>
        <w:spacing w:before="120" w:after="120" w:line="400" w:lineRule="exact"/>
        <w:jc w:val="both"/>
        <w:outlineLvl w:val="2"/>
        <w:rPr>
          <w:rFonts w:cs="Traditional Arabic"/>
          <w:b/>
          <w:bCs/>
          <w:sz w:val="20"/>
          <w:szCs w:val="30"/>
          <w:rtl/>
          <w:lang w:bidi="ar-EG"/>
        </w:rPr>
      </w:pPr>
    </w:p>
    <w:p w:rsidR="00942AEA" w:rsidRDefault="00942AEA" w:rsidP="00335E4B">
      <w:pPr>
        <w:keepNext/>
        <w:spacing w:before="120" w:after="120" w:line="400" w:lineRule="exact"/>
        <w:jc w:val="both"/>
        <w:outlineLvl w:val="2"/>
        <w:rPr>
          <w:rFonts w:cs="Traditional Arabic"/>
          <w:b/>
          <w:bCs/>
          <w:sz w:val="20"/>
          <w:szCs w:val="30"/>
          <w:rtl/>
          <w:lang w:bidi="ar-EG"/>
        </w:rPr>
      </w:pPr>
    </w:p>
    <w:p w:rsidR="00942AEA" w:rsidRDefault="00942AEA" w:rsidP="00335E4B">
      <w:pPr>
        <w:keepNext/>
        <w:spacing w:before="120" w:after="120" w:line="400" w:lineRule="exact"/>
        <w:jc w:val="both"/>
        <w:outlineLvl w:val="2"/>
        <w:rPr>
          <w:rFonts w:cs="Traditional Arabic"/>
          <w:b/>
          <w:bCs/>
          <w:sz w:val="20"/>
          <w:szCs w:val="30"/>
          <w:rtl/>
          <w:lang w:bidi="ar-EG"/>
        </w:rPr>
      </w:pPr>
    </w:p>
    <w:p w:rsidR="00942AEA" w:rsidRDefault="00942AEA" w:rsidP="00335E4B">
      <w:pPr>
        <w:keepNext/>
        <w:spacing w:before="120" w:after="120" w:line="400" w:lineRule="exact"/>
        <w:jc w:val="both"/>
        <w:outlineLvl w:val="2"/>
        <w:rPr>
          <w:rFonts w:cs="Traditional Arabic"/>
          <w:b/>
          <w:bCs/>
          <w:sz w:val="20"/>
          <w:szCs w:val="30"/>
          <w:rtl/>
          <w:lang w:bidi="ar-EG"/>
        </w:rPr>
      </w:pPr>
    </w:p>
    <w:p w:rsidR="00942AEA" w:rsidRDefault="00942AEA" w:rsidP="00335E4B">
      <w:pPr>
        <w:keepNext/>
        <w:spacing w:before="120" w:after="120" w:line="400" w:lineRule="exact"/>
        <w:jc w:val="both"/>
        <w:outlineLvl w:val="2"/>
        <w:rPr>
          <w:rFonts w:cs="Traditional Arabic"/>
          <w:b/>
          <w:bCs/>
          <w:sz w:val="20"/>
          <w:szCs w:val="30"/>
          <w:rtl/>
          <w:lang w:bidi="ar-EG"/>
        </w:rPr>
      </w:pPr>
    </w:p>
    <w:p w:rsidR="00942AEA" w:rsidRDefault="00942AEA" w:rsidP="00335E4B">
      <w:pPr>
        <w:keepNext/>
        <w:spacing w:before="120" w:after="120" w:line="400" w:lineRule="exact"/>
        <w:jc w:val="both"/>
        <w:outlineLvl w:val="2"/>
        <w:rPr>
          <w:rFonts w:cs="Traditional Arabic"/>
          <w:b/>
          <w:bCs/>
          <w:sz w:val="20"/>
          <w:szCs w:val="30"/>
          <w:rtl/>
          <w:lang w:bidi="ar-EG"/>
        </w:rPr>
      </w:pPr>
    </w:p>
    <w:p w:rsidR="00942AEA" w:rsidRDefault="00942AEA" w:rsidP="00942AEA">
      <w:pPr>
        <w:keepNext/>
        <w:spacing w:line="240" w:lineRule="exact"/>
        <w:jc w:val="both"/>
        <w:outlineLvl w:val="2"/>
        <w:rPr>
          <w:rFonts w:cs="Traditional Arabic"/>
          <w:b/>
          <w:bCs/>
          <w:sz w:val="20"/>
          <w:szCs w:val="30"/>
          <w:rtl/>
          <w:lang w:bidi="ar-EG"/>
        </w:rPr>
      </w:pPr>
    </w:p>
    <w:p w:rsidR="00335E4B" w:rsidRPr="00335E4B" w:rsidRDefault="00335E4B" w:rsidP="00335E4B">
      <w:pPr>
        <w:keepNext/>
        <w:spacing w:before="120" w:after="120" w:line="400" w:lineRule="exact"/>
        <w:jc w:val="both"/>
        <w:outlineLvl w:val="2"/>
        <w:rPr>
          <w:rFonts w:cs="Traditional Arabic"/>
          <w:b/>
          <w:bCs/>
          <w:sz w:val="20"/>
          <w:szCs w:val="30"/>
          <w:rtl/>
          <w:lang w:bidi="ar-EG"/>
        </w:rPr>
      </w:pPr>
      <w:r w:rsidRPr="00335E4B">
        <w:rPr>
          <w:rFonts w:cs="Traditional Arabic"/>
          <w:b/>
          <w:bCs/>
          <w:sz w:val="20"/>
          <w:szCs w:val="30"/>
          <w:rtl/>
          <w:lang w:bidi="ar-EG"/>
        </w:rPr>
        <w:t>الشكل 2 -</w:t>
      </w:r>
      <w:r w:rsidRPr="00335E4B">
        <w:rPr>
          <w:rFonts w:cs="Traditional Arabic" w:hint="cs"/>
          <w:b/>
          <w:bCs/>
          <w:sz w:val="20"/>
          <w:szCs w:val="30"/>
          <w:rtl/>
          <w:lang w:bidi="ar-EG"/>
        </w:rPr>
        <w:tab/>
      </w:r>
      <w:r w:rsidRPr="00335E4B">
        <w:rPr>
          <w:rFonts w:cs="Traditional Arabic"/>
          <w:b/>
          <w:bCs/>
          <w:sz w:val="20"/>
          <w:szCs w:val="30"/>
          <w:rtl/>
          <w:lang w:bidi="ar-EG"/>
        </w:rPr>
        <w:t xml:space="preserve">تحولات الزئبق المحتملة أثناء </w:t>
      </w:r>
      <w:r w:rsidRPr="00335E4B">
        <w:rPr>
          <w:rFonts w:cs="Traditional Arabic" w:hint="cs"/>
          <w:b/>
          <w:bCs/>
          <w:sz w:val="20"/>
          <w:szCs w:val="30"/>
          <w:rtl/>
          <w:lang w:bidi="ar-EG"/>
        </w:rPr>
        <w:t>الاحتراق</w:t>
      </w:r>
      <w:r w:rsidRPr="00335E4B">
        <w:rPr>
          <w:rFonts w:cs="Traditional Arabic"/>
          <w:b/>
          <w:bCs/>
          <w:sz w:val="20"/>
          <w:szCs w:val="30"/>
          <w:rtl/>
          <w:lang w:bidi="ar-EG"/>
        </w:rPr>
        <w:t xml:space="preserve"> وما بعد </w:t>
      </w:r>
      <w:r w:rsidRPr="00335E4B">
        <w:rPr>
          <w:rFonts w:cs="Traditional Arabic" w:hint="cs"/>
          <w:b/>
          <w:bCs/>
          <w:sz w:val="20"/>
          <w:szCs w:val="30"/>
          <w:rtl/>
          <w:lang w:bidi="ar-EG"/>
        </w:rPr>
        <w:t xml:space="preserve">الاحتراق </w:t>
      </w:r>
      <w:r w:rsidRPr="00335E4B">
        <w:rPr>
          <w:rFonts w:cs="Traditional Arabic"/>
          <w:b/>
          <w:bCs/>
          <w:sz w:val="20"/>
          <w:szCs w:val="30"/>
          <w:rtl/>
          <w:lang w:bidi="ar-EG"/>
        </w:rPr>
        <w:t>(غالبريث وزيغارليك، 2000)</w:t>
      </w:r>
      <w:bookmarkEnd w:id="445"/>
      <w:bookmarkEnd w:id="446"/>
      <w:bookmarkEnd w:id="447"/>
      <w:bookmarkEnd w:id="448"/>
      <w:bookmarkEnd w:id="449"/>
      <w:bookmarkEnd w:id="450"/>
      <w:bookmarkEnd w:id="451"/>
      <w:bookmarkEnd w:id="452"/>
      <w:bookmarkEnd w:id="453"/>
      <w:bookmarkEnd w:id="454"/>
      <w:bookmarkEnd w:id="455"/>
      <w:bookmarkEnd w:id="456"/>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ويمكن تصنيف انبعاثات الزئبق من المراجل التي تعمل بحرق الفحم إلى ثلاثة أشكال: الزئبق النقي الغازي (</w:t>
      </w:r>
      <w:r w:rsidRPr="00335E4B">
        <w:rPr>
          <w:rFonts w:eastAsia="SimSun" w:cs="Traditional Arabic"/>
          <w:sz w:val="20"/>
          <w:szCs w:val="22"/>
        </w:rPr>
        <w:t>Hg</w:t>
      </w:r>
      <w:r w:rsidRPr="00335E4B">
        <w:rPr>
          <w:rFonts w:eastAsia="SimSun" w:cs="Traditional Arabic"/>
          <w:sz w:val="20"/>
          <w:szCs w:val="22"/>
          <w:vertAlign w:val="superscript"/>
        </w:rPr>
        <w:t>0</w:t>
      </w:r>
      <w:r w:rsidRPr="00335E4B">
        <w:rPr>
          <w:rFonts w:cs="Traditional Arabic"/>
          <w:sz w:val="20"/>
          <w:szCs w:val="30"/>
          <w:rtl/>
          <w:lang w:bidi="ar-EG"/>
        </w:rPr>
        <w:t>) والزئبق المؤكس</w:t>
      </w:r>
      <w:r w:rsidRPr="00335E4B">
        <w:rPr>
          <w:rFonts w:cs="Traditional Arabic" w:hint="cs"/>
          <w:sz w:val="20"/>
          <w:szCs w:val="30"/>
          <w:rtl/>
          <w:lang w:bidi="ar-EG"/>
        </w:rPr>
        <w:t>َ</w:t>
      </w:r>
      <w:r w:rsidRPr="00335E4B">
        <w:rPr>
          <w:rFonts w:cs="Traditional Arabic"/>
          <w:sz w:val="20"/>
          <w:szCs w:val="30"/>
          <w:rtl/>
          <w:lang w:bidi="ar-EG"/>
        </w:rPr>
        <w:t>د الغازي (</w:t>
      </w:r>
      <w:r w:rsidRPr="00335E4B">
        <w:rPr>
          <w:rFonts w:eastAsia="SimSun" w:cs="Traditional Arabic"/>
          <w:sz w:val="20"/>
          <w:szCs w:val="22"/>
        </w:rPr>
        <w:t>Hg</w:t>
      </w:r>
      <w:r w:rsidRPr="00335E4B">
        <w:rPr>
          <w:rFonts w:eastAsia="SimSun" w:cs="Traditional Arabic"/>
          <w:sz w:val="20"/>
          <w:szCs w:val="22"/>
          <w:vertAlign w:val="superscript"/>
        </w:rPr>
        <w:t>2+</w:t>
      </w:r>
      <w:r w:rsidRPr="00335E4B">
        <w:rPr>
          <w:rFonts w:cs="Traditional Arabic"/>
          <w:sz w:val="20"/>
          <w:szCs w:val="30"/>
          <w:rtl/>
          <w:lang w:bidi="ar-EG"/>
        </w:rPr>
        <w:t>) والزئبق العالق بالجسيمات (</w:t>
      </w:r>
      <w:r w:rsidRPr="00335E4B">
        <w:rPr>
          <w:rFonts w:eastAsia="SimSun" w:cs="Traditional Arabic"/>
          <w:sz w:val="20"/>
          <w:szCs w:val="22"/>
        </w:rPr>
        <w:t>Hg</w:t>
      </w:r>
      <w:r w:rsidRPr="00335E4B">
        <w:rPr>
          <w:rFonts w:eastAsia="SimSun" w:cs="Traditional Arabic"/>
          <w:sz w:val="20"/>
          <w:szCs w:val="22"/>
          <w:vertAlign w:val="subscript"/>
        </w:rPr>
        <w:t>p</w:t>
      </w:r>
      <w:r w:rsidRPr="00335E4B">
        <w:rPr>
          <w:rFonts w:cs="Traditional Arabic"/>
          <w:sz w:val="20"/>
          <w:szCs w:val="30"/>
          <w:rtl/>
          <w:lang w:bidi="ar-EG"/>
        </w:rPr>
        <w:t xml:space="preserve">) الذي قد يكون زئبقاً أوّلياً أو مؤكسداً. والكميات النسبية لهذه الأشكال الرئيسية الثلاثة للزئبق في غازات المداخن هي ما يسمى </w:t>
      </w:r>
      <w:r w:rsidRPr="00335E4B">
        <w:rPr>
          <w:rFonts w:cs="Traditional Arabic" w:hint="cs"/>
          <w:sz w:val="20"/>
          <w:szCs w:val="30"/>
          <w:rtl/>
          <w:lang w:bidi="ar-EG"/>
        </w:rPr>
        <w:t>تنوعات</w:t>
      </w:r>
      <w:r w:rsidRPr="00335E4B">
        <w:rPr>
          <w:rFonts w:cs="Traditional Arabic"/>
          <w:sz w:val="20"/>
          <w:szCs w:val="30"/>
          <w:rtl/>
          <w:lang w:bidi="ar-EG"/>
        </w:rPr>
        <w:t xml:space="preserve"> الزئبق. ومن المفترض أن برومة أو كلورة الزئبق هي الآلية الغالبة للتحول الكيميائي للزئبق التي تؤثر على </w:t>
      </w:r>
      <w:r w:rsidRPr="00335E4B">
        <w:rPr>
          <w:rFonts w:cs="Traditional Arabic" w:hint="cs"/>
          <w:sz w:val="20"/>
          <w:szCs w:val="30"/>
          <w:rtl/>
          <w:lang w:bidi="ar-EG"/>
        </w:rPr>
        <w:t>تنوعات</w:t>
      </w:r>
      <w:r w:rsidRPr="00335E4B">
        <w:rPr>
          <w:rFonts w:cs="Traditional Arabic"/>
          <w:sz w:val="20"/>
          <w:szCs w:val="30"/>
          <w:rtl/>
          <w:lang w:bidi="ar-EG"/>
        </w:rPr>
        <w:t xml:space="preserve"> الزئبق. </w:t>
      </w:r>
      <w:r w:rsidRPr="00335E4B">
        <w:rPr>
          <w:rFonts w:cs="Traditional Arabic" w:hint="cs"/>
          <w:sz w:val="20"/>
          <w:szCs w:val="30"/>
          <w:rtl/>
          <w:lang w:bidi="ar-EG"/>
        </w:rPr>
        <w:t>و</w:t>
      </w:r>
      <w:r w:rsidRPr="00335E4B">
        <w:rPr>
          <w:rFonts w:cs="Traditional Arabic"/>
          <w:sz w:val="20"/>
          <w:szCs w:val="30"/>
          <w:rtl/>
          <w:lang w:bidi="ar-EG"/>
        </w:rPr>
        <w:t xml:space="preserve">تنطوي الآليات المحتملة الأخرى على تفاعلات الزئبق مع أسطح جسيمات الرماد حيث تتوفر الأنواع الكيميائية </w:t>
      </w:r>
      <w:r w:rsidRPr="00335E4B">
        <w:rPr>
          <w:rFonts w:cs="Traditional Arabic" w:hint="cs"/>
          <w:sz w:val="20"/>
          <w:szCs w:val="30"/>
          <w:rtl/>
          <w:lang w:bidi="ar-EG"/>
        </w:rPr>
        <w:t>المتفاعلة</w:t>
      </w:r>
      <w:r w:rsidRPr="00335E4B">
        <w:rPr>
          <w:rFonts w:cs="Traditional Arabic"/>
          <w:sz w:val="20"/>
          <w:szCs w:val="30"/>
          <w:rtl/>
          <w:lang w:bidi="ar-EG"/>
        </w:rPr>
        <w:t xml:space="preserve"> والعوامل المحفِّزة ومواقع الامتزاز النشط لتحويل الزئبق النقي إلى زئبق مؤكسد، وكذلك تحويل الزئبق النقي والمؤكسد إلى زئبق عالق بالجسيمات (غالبريث وزيغارليك، 2000). </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 xml:space="preserve">وتحدث مرحلة الأكسدة في الطور الغازي أساساً عن طريق أنواع الكلور الموجودة أصلاً في الفحم، مع انخفاض حرارة الغازات </w:t>
      </w:r>
      <w:r w:rsidRPr="00335E4B">
        <w:rPr>
          <w:rFonts w:cs="Traditional Arabic" w:hint="cs"/>
          <w:sz w:val="20"/>
          <w:szCs w:val="30"/>
          <w:rtl/>
          <w:lang w:bidi="ar-EG"/>
        </w:rPr>
        <w:t>المارة عبر</w:t>
      </w:r>
      <w:r w:rsidRPr="00335E4B">
        <w:rPr>
          <w:rFonts w:cs="Traditional Arabic"/>
          <w:sz w:val="20"/>
          <w:szCs w:val="30"/>
          <w:rtl/>
          <w:lang w:bidi="ar-EG"/>
        </w:rPr>
        <w:t xml:space="preserve"> أجهزة التسخين المُسبق للهواء وأجهزة ضبط التلوث. ويتوقف مدى أكسدة الزئبق في الطور الغازي إلى حد كبير على </w:t>
      </w:r>
      <w:r w:rsidRPr="00335E4B">
        <w:rPr>
          <w:rFonts w:cs="Traditional Arabic" w:hint="cs"/>
          <w:sz w:val="20"/>
          <w:szCs w:val="30"/>
          <w:rtl/>
          <w:lang w:bidi="ar-EG"/>
        </w:rPr>
        <w:t>رتبة</w:t>
      </w:r>
      <w:r w:rsidRPr="00335E4B">
        <w:rPr>
          <w:rFonts w:cs="Traditional Arabic"/>
          <w:sz w:val="20"/>
          <w:szCs w:val="30"/>
          <w:rtl/>
          <w:lang w:bidi="ar-EG"/>
        </w:rPr>
        <w:t xml:space="preserve"> الفحم وتركز الكلور الموجود في الفحم وظروف تشغيل المراجل (مثل </w:t>
      </w:r>
      <w:r w:rsidRPr="00335E4B">
        <w:rPr>
          <w:rFonts w:cs="Traditional Arabic" w:hint="cs"/>
          <w:sz w:val="20"/>
          <w:szCs w:val="30"/>
          <w:rtl/>
          <w:lang w:bidi="ar-EG"/>
        </w:rPr>
        <w:t>نسبة</w:t>
      </w:r>
      <w:r w:rsidRPr="00335E4B">
        <w:rPr>
          <w:rFonts w:cs="Traditional Arabic"/>
          <w:sz w:val="20"/>
          <w:szCs w:val="30"/>
          <w:rtl/>
          <w:lang w:bidi="ar-EG"/>
        </w:rPr>
        <w:t xml:space="preserve"> الهواء إلى الوقود ودرجة الحرارة). وعلى سبيل المثال، توصلت دراسة عن </w:t>
      </w:r>
      <w:r w:rsidRPr="00335E4B">
        <w:rPr>
          <w:rFonts w:cs="Traditional Arabic" w:hint="cs"/>
          <w:sz w:val="20"/>
          <w:szCs w:val="30"/>
          <w:rtl/>
          <w:lang w:bidi="ar-EG"/>
        </w:rPr>
        <w:t>قياسات</w:t>
      </w:r>
      <w:r w:rsidRPr="00335E4B">
        <w:rPr>
          <w:rFonts w:cs="Traditional Arabic"/>
          <w:sz w:val="20"/>
          <w:szCs w:val="30"/>
          <w:rtl/>
          <w:lang w:bidi="ar-EG"/>
        </w:rPr>
        <w:t xml:space="preserve"> </w:t>
      </w:r>
      <w:r w:rsidRPr="00335E4B">
        <w:rPr>
          <w:rFonts w:cs="Traditional Arabic" w:hint="cs"/>
          <w:sz w:val="20"/>
          <w:szCs w:val="30"/>
          <w:rtl/>
          <w:lang w:bidi="ar-EG"/>
        </w:rPr>
        <w:t>تنوعات</w:t>
      </w:r>
      <w:r w:rsidRPr="00335E4B">
        <w:rPr>
          <w:rFonts w:cs="Traditional Arabic"/>
          <w:sz w:val="20"/>
          <w:szCs w:val="30"/>
          <w:rtl/>
          <w:lang w:bidi="ar-EG"/>
        </w:rPr>
        <w:t xml:space="preserve"> الزئبق من 14 نظاماً مختلفاً لحرق الفحم إلى وجود نسبة تتراوح من 30 إلى 95 في المائة من الزئبق المؤكسد </w:t>
      </w:r>
      <w:r w:rsidRPr="00335E4B">
        <w:rPr>
          <w:rFonts w:cs="Traditional Arabic" w:hint="cs"/>
          <w:sz w:val="20"/>
          <w:szCs w:val="30"/>
          <w:rtl/>
          <w:lang w:bidi="ar-EG"/>
        </w:rPr>
        <w:t>في المرحلة السابقة ل</w:t>
      </w:r>
      <w:r w:rsidRPr="00335E4B">
        <w:rPr>
          <w:rFonts w:cs="Traditional Arabic"/>
          <w:sz w:val="20"/>
          <w:szCs w:val="30"/>
          <w:rtl/>
          <w:lang w:bidi="ar-EG"/>
        </w:rPr>
        <w:t xml:space="preserve">أجهزة ضبط تلوث الهواء (بريستبو وبلوم، 1995). وأظهرت دراسة استقصائية </w:t>
      </w:r>
      <w:r w:rsidRPr="00335E4B">
        <w:rPr>
          <w:rFonts w:cs="Traditional Arabic" w:hint="cs"/>
          <w:sz w:val="20"/>
          <w:szCs w:val="30"/>
          <w:rtl/>
          <w:lang w:bidi="ar-EG"/>
        </w:rPr>
        <w:t>للمؤلفات ذات الصلة بالموضوع</w:t>
      </w:r>
      <w:r w:rsidRPr="00335E4B">
        <w:rPr>
          <w:rFonts w:cs="Traditional Arabic"/>
          <w:sz w:val="20"/>
          <w:szCs w:val="30"/>
          <w:rtl/>
          <w:lang w:bidi="ar-EG"/>
        </w:rPr>
        <w:t xml:space="preserve"> أن أكسدة الزئبق </w:t>
      </w:r>
      <w:r w:rsidRPr="00335E4B">
        <w:rPr>
          <w:rFonts w:cs="Traditional Arabic" w:hint="cs"/>
          <w:sz w:val="20"/>
          <w:szCs w:val="30"/>
          <w:rtl/>
          <w:lang w:bidi="ar-EG"/>
        </w:rPr>
        <w:t>تتراوح</w:t>
      </w:r>
      <w:r w:rsidRPr="00335E4B">
        <w:rPr>
          <w:rFonts w:cs="Traditional Arabic"/>
          <w:sz w:val="20"/>
          <w:szCs w:val="30"/>
          <w:rtl/>
          <w:lang w:bidi="ar-EG"/>
        </w:rPr>
        <w:t xml:space="preserve"> أساساً في نطاق 45-80 في المائة، حيث يأخذ الشكل المؤكسد من الزئبق في معظم الأحيان شكل كلوريد الزئبق (سينيور وآخرون، 2004). وتستخدم أشكال مختلفة من </w:t>
      </w:r>
      <w:r w:rsidRPr="00335E4B">
        <w:rPr>
          <w:rFonts w:cs="Traditional Arabic" w:hint="cs"/>
          <w:sz w:val="20"/>
          <w:szCs w:val="30"/>
          <w:rtl/>
          <w:lang w:bidi="ar-EG"/>
        </w:rPr>
        <w:t>إحراق</w:t>
      </w:r>
      <w:r w:rsidRPr="00335E4B">
        <w:rPr>
          <w:rFonts w:cs="Traditional Arabic"/>
          <w:sz w:val="20"/>
          <w:szCs w:val="30"/>
          <w:rtl/>
          <w:lang w:bidi="ar-EG"/>
        </w:rPr>
        <w:t xml:space="preserve"> أو إشعال الفحم في منشآت الطاقة والمراجل الصناعية. وهذه الأساليب تشمل: </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w:t>
      </w:r>
      <w:r w:rsidRPr="00335E4B">
        <w:rPr>
          <w:rFonts w:cs="Traditional Arabic"/>
          <w:sz w:val="20"/>
          <w:szCs w:val="30"/>
          <w:rtl/>
          <w:lang w:bidi="ar-EG"/>
        </w:rPr>
        <w:tab/>
        <w:t xml:space="preserve">الإشعال المعلَّق للفحم المسحوق (إشعال الفحم المسحوق) </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w:t>
      </w:r>
      <w:r w:rsidRPr="00335E4B">
        <w:rPr>
          <w:rFonts w:cs="Traditional Arabic"/>
          <w:sz w:val="20"/>
          <w:szCs w:val="30"/>
          <w:rtl/>
          <w:lang w:bidi="ar-EG"/>
        </w:rPr>
        <w:tab/>
        <w:t>الإشعال بالوق</w:t>
      </w:r>
      <w:r w:rsidRPr="00335E4B">
        <w:rPr>
          <w:rFonts w:cs="Traditional Arabic" w:hint="cs"/>
          <w:sz w:val="20"/>
          <w:szCs w:val="30"/>
          <w:rtl/>
          <w:lang w:bidi="ar-EG"/>
        </w:rPr>
        <w:t>ّ</w:t>
      </w:r>
      <w:r w:rsidRPr="00335E4B">
        <w:rPr>
          <w:rFonts w:cs="Traditional Arabic"/>
          <w:sz w:val="20"/>
          <w:szCs w:val="30"/>
          <w:rtl/>
          <w:lang w:bidi="ar-EG"/>
        </w:rPr>
        <w:t>اد (أي الإشعال من حاملة وقود ثابتة أو تتحرك ببطء)</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w:t>
      </w:r>
      <w:r w:rsidRPr="00335E4B">
        <w:rPr>
          <w:rFonts w:cs="Traditional Arabic"/>
          <w:sz w:val="20"/>
          <w:szCs w:val="30"/>
          <w:rtl/>
          <w:lang w:bidi="ar-EG"/>
        </w:rPr>
        <w:tab/>
        <w:t xml:space="preserve">الإشعال </w:t>
      </w:r>
      <w:r w:rsidRPr="00335E4B">
        <w:rPr>
          <w:rFonts w:cs="Traditional Arabic" w:hint="cs"/>
          <w:sz w:val="20"/>
          <w:szCs w:val="30"/>
          <w:rtl/>
          <w:lang w:bidi="ar-EG"/>
        </w:rPr>
        <w:t>على قاعدة مميَّعة</w:t>
      </w:r>
      <w:r w:rsidRPr="00335E4B">
        <w:rPr>
          <w:rFonts w:cs="Traditional Arabic"/>
          <w:sz w:val="20"/>
          <w:szCs w:val="30"/>
          <w:rtl/>
          <w:lang w:bidi="ar-EG"/>
        </w:rPr>
        <w:t xml:space="preserve"> (سواء في </w:t>
      </w:r>
      <w:r w:rsidRPr="00335E4B">
        <w:rPr>
          <w:rFonts w:cs="Traditional Arabic" w:hint="cs"/>
          <w:sz w:val="20"/>
          <w:szCs w:val="30"/>
          <w:rtl/>
          <w:lang w:bidi="ar-EG"/>
        </w:rPr>
        <w:t>شكل يحدث الفقاعات</w:t>
      </w:r>
      <w:r w:rsidRPr="00335E4B">
        <w:rPr>
          <w:rFonts w:cs="Traditional Arabic"/>
          <w:sz w:val="20"/>
          <w:szCs w:val="30"/>
          <w:rtl/>
          <w:lang w:bidi="ar-EG"/>
        </w:rPr>
        <w:t xml:space="preserve"> أو قاعدة </w:t>
      </w:r>
      <w:r w:rsidRPr="00335E4B">
        <w:rPr>
          <w:rFonts w:cs="Traditional Arabic" w:hint="cs"/>
          <w:sz w:val="20"/>
          <w:szCs w:val="30"/>
          <w:rtl/>
          <w:lang w:bidi="ar-EG"/>
        </w:rPr>
        <w:t>مميَّعة</w:t>
      </w:r>
      <w:r w:rsidRPr="00335E4B">
        <w:rPr>
          <w:rFonts w:cs="Traditional Arabic"/>
          <w:sz w:val="20"/>
          <w:szCs w:val="30"/>
          <w:rtl/>
          <w:lang w:bidi="ar-EG"/>
        </w:rPr>
        <w:t xml:space="preserve"> </w:t>
      </w:r>
      <w:r w:rsidRPr="00335E4B">
        <w:rPr>
          <w:rFonts w:cs="Traditional Arabic" w:hint="cs"/>
          <w:sz w:val="20"/>
          <w:szCs w:val="30"/>
          <w:rtl/>
          <w:lang w:bidi="ar-EG"/>
        </w:rPr>
        <w:t>دوارة</w:t>
      </w:r>
      <w:r w:rsidRPr="00335E4B">
        <w:rPr>
          <w:rFonts w:cs="Traditional Arabic"/>
          <w:sz w:val="20"/>
          <w:szCs w:val="30"/>
          <w:rtl/>
          <w:lang w:bidi="ar-EG"/>
        </w:rPr>
        <w:t>)</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w:t>
      </w:r>
      <w:r w:rsidRPr="00335E4B">
        <w:rPr>
          <w:rFonts w:cs="Traditional Arabic"/>
          <w:sz w:val="20"/>
          <w:szCs w:val="30"/>
          <w:rtl/>
          <w:lang w:bidi="ar-EG"/>
        </w:rPr>
        <w:tab/>
        <w:t>الإشعال الإعصاري للفحم المجروش</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hint="cs"/>
          <w:sz w:val="20"/>
          <w:szCs w:val="30"/>
          <w:rtl/>
          <w:lang w:bidi="ar-EG"/>
        </w:rPr>
        <w:t>و</w:t>
      </w:r>
      <w:r w:rsidRPr="00335E4B">
        <w:rPr>
          <w:rFonts w:cs="Traditional Arabic"/>
          <w:sz w:val="20"/>
          <w:szCs w:val="30"/>
          <w:rtl/>
          <w:lang w:bidi="ar-EG"/>
        </w:rPr>
        <w:t xml:space="preserve">ينتج معظم البخار </w:t>
      </w:r>
      <w:r w:rsidRPr="00335E4B">
        <w:rPr>
          <w:rFonts w:cs="Traditional Arabic" w:hint="cs"/>
          <w:sz w:val="20"/>
          <w:szCs w:val="30"/>
          <w:rtl/>
          <w:lang w:bidi="ar-EG"/>
        </w:rPr>
        <w:t>المتولد</w:t>
      </w:r>
      <w:r w:rsidRPr="00335E4B">
        <w:rPr>
          <w:rFonts w:cs="Traditional Arabic"/>
          <w:sz w:val="20"/>
          <w:szCs w:val="30"/>
          <w:rtl/>
          <w:lang w:bidi="ar-EG"/>
        </w:rPr>
        <w:t xml:space="preserve"> </w:t>
      </w:r>
      <w:r w:rsidRPr="00335E4B">
        <w:rPr>
          <w:rFonts w:cs="Traditional Arabic" w:hint="cs"/>
          <w:sz w:val="20"/>
          <w:szCs w:val="30"/>
          <w:rtl/>
          <w:lang w:bidi="ar-EG"/>
        </w:rPr>
        <w:t xml:space="preserve">على نطاق </w:t>
      </w:r>
      <w:r w:rsidRPr="00335E4B">
        <w:rPr>
          <w:rFonts w:cs="Traditional Arabic"/>
          <w:sz w:val="20"/>
          <w:szCs w:val="30"/>
          <w:rtl/>
          <w:lang w:bidi="ar-EG"/>
        </w:rPr>
        <w:t xml:space="preserve">كبير في منشآت الطاقة من خلال إشعال الفحم المسحوق. وفي </w:t>
      </w:r>
      <w:r w:rsidRPr="00335E4B">
        <w:rPr>
          <w:rFonts w:cs="Traditional Arabic" w:hint="cs"/>
          <w:sz w:val="20"/>
          <w:szCs w:val="30"/>
          <w:rtl/>
          <w:lang w:bidi="ar-EG"/>
        </w:rPr>
        <w:t>المرجَل</w:t>
      </w:r>
      <w:r w:rsidRPr="00335E4B">
        <w:rPr>
          <w:rFonts w:cs="Traditional Arabic"/>
          <w:sz w:val="20"/>
          <w:szCs w:val="30"/>
          <w:rtl/>
          <w:lang w:bidi="ar-EG"/>
        </w:rPr>
        <w:t xml:space="preserve"> </w:t>
      </w:r>
      <w:r w:rsidRPr="00335E4B">
        <w:rPr>
          <w:rFonts w:cs="Traditional Arabic" w:hint="cs"/>
          <w:sz w:val="20"/>
          <w:szCs w:val="30"/>
          <w:rtl/>
          <w:lang w:bidi="ar-EG"/>
        </w:rPr>
        <w:t>الذي</w:t>
      </w:r>
      <w:r w:rsidRPr="00335E4B">
        <w:rPr>
          <w:rFonts w:cs="Traditional Arabic"/>
          <w:sz w:val="20"/>
          <w:szCs w:val="30"/>
          <w:rtl/>
          <w:lang w:bidi="ar-EG"/>
        </w:rPr>
        <w:t xml:space="preserve"> </w:t>
      </w:r>
      <w:r w:rsidRPr="00335E4B">
        <w:rPr>
          <w:rFonts w:cs="Traditional Arabic" w:hint="cs"/>
          <w:sz w:val="20"/>
          <w:szCs w:val="30"/>
          <w:rtl/>
          <w:lang w:bidi="ar-EG"/>
        </w:rPr>
        <w:t>ي</w:t>
      </w:r>
      <w:r w:rsidRPr="00335E4B">
        <w:rPr>
          <w:rFonts w:cs="Traditional Arabic"/>
          <w:sz w:val="20"/>
          <w:szCs w:val="30"/>
          <w:rtl/>
          <w:lang w:bidi="ar-EG"/>
        </w:rPr>
        <w:t xml:space="preserve">عمل بالفحم المسحوق يتم سحق الفحم المطحون جيداً ليصبح مسحوقاً ناعماً ويتم ضخه مباشرة إلى </w:t>
      </w:r>
      <w:r w:rsidRPr="00335E4B">
        <w:rPr>
          <w:rFonts w:cs="Traditional Arabic" w:hint="cs"/>
          <w:sz w:val="20"/>
          <w:szCs w:val="30"/>
          <w:rtl/>
          <w:lang w:bidi="ar-EG"/>
        </w:rPr>
        <w:t>محارق</w:t>
      </w:r>
      <w:r w:rsidRPr="00335E4B">
        <w:rPr>
          <w:rFonts w:cs="Traditional Arabic"/>
          <w:sz w:val="20"/>
          <w:szCs w:val="30"/>
          <w:rtl/>
          <w:lang w:bidi="ar-EG"/>
        </w:rPr>
        <w:t xml:space="preserve"> منفردة حيث يختلط بهواء </w:t>
      </w:r>
      <w:r w:rsidRPr="00335E4B">
        <w:rPr>
          <w:rFonts w:cs="Traditional Arabic" w:hint="cs"/>
          <w:sz w:val="20"/>
          <w:szCs w:val="30"/>
          <w:rtl/>
          <w:lang w:bidi="ar-EG"/>
        </w:rPr>
        <w:t>إحراق</w:t>
      </w:r>
      <w:r w:rsidRPr="00335E4B">
        <w:rPr>
          <w:rFonts w:cs="Traditional Arabic"/>
          <w:sz w:val="20"/>
          <w:szCs w:val="30"/>
          <w:rtl/>
          <w:lang w:bidi="ar-EG"/>
        </w:rPr>
        <w:t xml:space="preserve"> </w:t>
      </w:r>
      <w:r w:rsidRPr="00335E4B">
        <w:rPr>
          <w:rFonts w:cs="Traditional Arabic" w:hint="cs"/>
          <w:sz w:val="20"/>
          <w:szCs w:val="30"/>
          <w:rtl/>
          <w:lang w:bidi="ar-EG"/>
        </w:rPr>
        <w:t>سبق</w:t>
      </w:r>
      <w:r w:rsidRPr="00335E4B">
        <w:rPr>
          <w:rFonts w:cs="Traditional Arabic"/>
          <w:sz w:val="20"/>
          <w:szCs w:val="30"/>
          <w:rtl/>
          <w:lang w:bidi="ar-EG"/>
        </w:rPr>
        <w:t xml:space="preserve"> </w:t>
      </w:r>
      <w:r w:rsidRPr="00335E4B">
        <w:rPr>
          <w:rFonts w:cs="Traditional Arabic" w:hint="cs"/>
          <w:sz w:val="20"/>
          <w:szCs w:val="30"/>
          <w:rtl/>
          <w:lang w:bidi="ar-EG"/>
        </w:rPr>
        <w:t xml:space="preserve">تسخينه، ثم </w:t>
      </w:r>
      <w:r w:rsidRPr="00335E4B">
        <w:rPr>
          <w:rFonts w:cs="Traditional Arabic"/>
          <w:sz w:val="20"/>
          <w:szCs w:val="30"/>
          <w:rtl/>
          <w:lang w:bidi="ar-EG"/>
        </w:rPr>
        <w:t xml:space="preserve">يتم </w:t>
      </w:r>
      <w:r w:rsidRPr="00335E4B">
        <w:rPr>
          <w:rFonts w:cs="Traditional Arabic" w:hint="cs"/>
          <w:sz w:val="20"/>
          <w:szCs w:val="30"/>
          <w:rtl/>
          <w:lang w:bidi="ar-EG"/>
        </w:rPr>
        <w:t>إحراقه</w:t>
      </w:r>
      <w:r w:rsidRPr="00335E4B">
        <w:rPr>
          <w:rFonts w:cs="Traditional Arabic"/>
          <w:sz w:val="20"/>
          <w:szCs w:val="30"/>
          <w:rtl/>
          <w:lang w:bidi="ar-EG"/>
        </w:rPr>
        <w:t xml:space="preserve"> في شكل لهب. وتستعمل طاقة التسخين الناتجة عن عملية </w:t>
      </w:r>
      <w:r w:rsidRPr="00335E4B">
        <w:rPr>
          <w:rFonts w:cs="Traditional Arabic" w:hint="cs"/>
          <w:sz w:val="20"/>
          <w:szCs w:val="30"/>
          <w:rtl/>
          <w:lang w:bidi="ar-EG"/>
        </w:rPr>
        <w:t>الاحتراق</w:t>
      </w:r>
      <w:r w:rsidRPr="00335E4B">
        <w:rPr>
          <w:rFonts w:cs="Traditional Arabic"/>
          <w:sz w:val="20"/>
          <w:szCs w:val="30"/>
          <w:rtl/>
          <w:lang w:bidi="ar-EG"/>
        </w:rPr>
        <w:t xml:space="preserve"> لإنتاج البخار الذي </w:t>
      </w:r>
      <w:r w:rsidRPr="00335E4B">
        <w:rPr>
          <w:rFonts w:cs="Traditional Arabic" w:hint="cs"/>
          <w:sz w:val="20"/>
          <w:szCs w:val="30"/>
          <w:rtl/>
          <w:lang w:bidi="ar-EG"/>
        </w:rPr>
        <w:t>ي</w:t>
      </w:r>
      <w:r w:rsidRPr="00335E4B">
        <w:rPr>
          <w:rFonts w:cs="Traditional Arabic"/>
          <w:sz w:val="20"/>
          <w:szCs w:val="30"/>
          <w:rtl/>
          <w:lang w:bidi="ar-EG"/>
        </w:rPr>
        <w:t>دفع مولِّد</w:t>
      </w:r>
      <w:r w:rsidRPr="00335E4B">
        <w:rPr>
          <w:rFonts w:cs="Traditional Arabic" w:hint="cs"/>
          <w:sz w:val="20"/>
          <w:szCs w:val="30"/>
          <w:rtl/>
          <w:lang w:bidi="ar-EG"/>
        </w:rPr>
        <w:t>اً</w:t>
      </w:r>
      <w:r w:rsidRPr="00335E4B">
        <w:rPr>
          <w:rFonts w:cs="Traditional Arabic"/>
          <w:sz w:val="20"/>
          <w:szCs w:val="30"/>
          <w:rtl/>
          <w:lang w:bidi="ar-EG"/>
        </w:rPr>
        <w:t xml:space="preserve"> توربيني</w:t>
      </w:r>
      <w:r w:rsidRPr="00335E4B">
        <w:rPr>
          <w:rFonts w:cs="Traditional Arabic" w:hint="cs"/>
          <w:sz w:val="20"/>
          <w:szCs w:val="30"/>
          <w:rtl/>
          <w:lang w:bidi="ar-EG"/>
        </w:rPr>
        <w:t>اً</w:t>
      </w:r>
      <w:r w:rsidRPr="00335E4B">
        <w:rPr>
          <w:rFonts w:cs="Traditional Arabic"/>
          <w:sz w:val="20"/>
          <w:szCs w:val="30"/>
          <w:rtl/>
          <w:lang w:bidi="ar-EG"/>
        </w:rPr>
        <w:t xml:space="preserve"> مجهِّز</w:t>
      </w:r>
      <w:r w:rsidRPr="00335E4B">
        <w:rPr>
          <w:rFonts w:cs="Traditional Arabic" w:hint="cs"/>
          <w:sz w:val="20"/>
          <w:szCs w:val="30"/>
          <w:rtl/>
          <w:lang w:bidi="ar-EG"/>
        </w:rPr>
        <w:t>اً</w:t>
      </w:r>
      <w:r w:rsidRPr="00335E4B">
        <w:rPr>
          <w:rFonts w:cs="Traditional Arabic"/>
          <w:sz w:val="20"/>
          <w:szCs w:val="30"/>
          <w:rtl/>
          <w:lang w:bidi="ar-EG"/>
        </w:rPr>
        <w:t xml:space="preserve"> لإنتاج الكهرباء. وتوضح الاختبارات الميدانية أن صورة </w:t>
      </w:r>
      <w:r w:rsidRPr="00335E4B">
        <w:rPr>
          <w:rFonts w:cs="Traditional Arabic" w:hint="cs"/>
          <w:sz w:val="20"/>
          <w:szCs w:val="30"/>
          <w:rtl/>
          <w:lang w:bidi="ar-EG"/>
        </w:rPr>
        <w:t>التنوعات</w:t>
      </w:r>
      <w:r w:rsidRPr="00335E4B">
        <w:rPr>
          <w:rFonts w:cs="Traditional Arabic"/>
          <w:sz w:val="20"/>
          <w:szCs w:val="30"/>
          <w:rtl/>
          <w:lang w:bidi="ar-EG"/>
        </w:rPr>
        <w:t xml:space="preserve"> تتباين بشدة بين المراجل </w:t>
      </w:r>
      <w:r w:rsidRPr="00335E4B">
        <w:rPr>
          <w:rFonts w:cs="Traditional Arabic" w:hint="cs"/>
          <w:sz w:val="20"/>
          <w:szCs w:val="30"/>
          <w:rtl/>
          <w:lang w:bidi="ar-EG"/>
        </w:rPr>
        <w:t xml:space="preserve">المختبَرة </w:t>
      </w:r>
      <w:r w:rsidRPr="00335E4B">
        <w:rPr>
          <w:rFonts w:cs="Traditional Arabic"/>
          <w:sz w:val="20"/>
          <w:szCs w:val="30"/>
          <w:rtl/>
          <w:lang w:bidi="ar-EG"/>
        </w:rPr>
        <w:t>التي تعمل بالفحم المسحوق (وانغ وآخرون، 2010).</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 xml:space="preserve">والإشعال بجهاز الوقاد لا يزال يستعمل في بعض أجزاء العالم، وذلك أساساً في المراجل الصغيرة. وفي نظام الإشعال بالوقاد يمر الهواء الساخن في اتجاه صاعد من خلال فتحات في حاملة الوقود. وتوضع أجهزة ترطيب في المناطق الواقعة أسفل حاملة الوقود من أجل الوصول إلى التوجيه الصحيح لتدفق الهواء. ويضيف </w:t>
      </w:r>
      <w:r w:rsidRPr="00335E4B">
        <w:rPr>
          <w:rFonts w:cs="Traditional Arabic" w:hint="cs"/>
          <w:sz w:val="20"/>
          <w:szCs w:val="30"/>
          <w:rtl/>
          <w:lang w:bidi="ar-EG"/>
        </w:rPr>
        <w:t>الإحراق</w:t>
      </w:r>
      <w:r w:rsidRPr="00335E4B">
        <w:rPr>
          <w:rFonts w:cs="Traditional Arabic"/>
          <w:sz w:val="20"/>
          <w:szCs w:val="30"/>
          <w:rtl/>
          <w:lang w:bidi="ar-EG"/>
        </w:rPr>
        <w:t xml:space="preserve"> </w:t>
      </w:r>
      <w:r w:rsidRPr="00335E4B">
        <w:rPr>
          <w:rFonts w:cs="Traditional Arabic" w:hint="cs"/>
          <w:sz w:val="20"/>
          <w:szCs w:val="30"/>
          <w:rtl/>
          <w:lang w:bidi="ar-EG"/>
        </w:rPr>
        <w:t>فوق</w:t>
      </w:r>
      <w:r w:rsidRPr="00335E4B">
        <w:rPr>
          <w:rFonts w:cs="Traditional Arabic"/>
          <w:sz w:val="20"/>
          <w:szCs w:val="30"/>
          <w:rtl/>
          <w:lang w:bidi="ar-EG"/>
        </w:rPr>
        <w:t xml:space="preserve"> النار (أي الهواء الذي يضاف فوق </w:t>
      </w:r>
      <w:r w:rsidRPr="00335E4B">
        <w:rPr>
          <w:rFonts w:cs="Traditional Arabic" w:hint="cs"/>
          <w:sz w:val="20"/>
          <w:szCs w:val="30"/>
          <w:rtl/>
          <w:lang w:bidi="ar-EG"/>
        </w:rPr>
        <w:t>الشبكة الحاملة ل</w:t>
      </w:r>
      <w:r w:rsidRPr="00335E4B">
        <w:rPr>
          <w:rFonts w:cs="Traditional Arabic"/>
          <w:sz w:val="20"/>
          <w:szCs w:val="30"/>
          <w:rtl/>
          <w:lang w:bidi="ar-EG"/>
        </w:rPr>
        <w:t xml:space="preserve">لوقود) مزيداً من </w:t>
      </w:r>
      <w:r w:rsidRPr="00335E4B">
        <w:rPr>
          <w:rFonts w:cs="Traditional Arabic" w:hint="cs"/>
          <w:sz w:val="20"/>
          <w:szCs w:val="30"/>
          <w:rtl/>
          <w:lang w:bidi="ar-EG"/>
        </w:rPr>
        <w:t>الاضطراب</w:t>
      </w:r>
      <w:r w:rsidRPr="00335E4B">
        <w:rPr>
          <w:rFonts w:cs="Traditional Arabic"/>
          <w:sz w:val="20"/>
          <w:szCs w:val="30"/>
          <w:rtl/>
          <w:lang w:bidi="ar-EG"/>
        </w:rPr>
        <w:t xml:space="preserve"> للغازات الصاعدة من </w:t>
      </w:r>
      <w:r w:rsidRPr="00335E4B">
        <w:rPr>
          <w:rFonts w:cs="Traditional Arabic" w:hint="cs"/>
          <w:sz w:val="20"/>
          <w:szCs w:val="30"/>
          <w:rtl/>
          <w:lang w:bidi="ar-EG"/>
        </w:rPr>
        <w:t>الشبكة الحاملة ل</w:t>
      </w:r>
      <w:r w:rsidRPr="00335E4B">
        <w:rPr>
          <w:rFonts w:cs="Traditional Arabic"/>
          <w:sz w:val="20"/>
          <w:szCs w:val="30"/>
          <w:rtl/>
          <w:lang w:bidi="ar-EG"/>
        </w:rPr>
        <w:t xml:space="preserve">لوقود ويوفِّر الهواء المطلوب لجزء الوقود الذي </w:t>
      </w:r>
      <w:r w:rsidRPr="00335E4B">
        <w:rPr>
          <w:rFonts w:cs="Traditional Arabic" w:hint="cs"/>
          <w:sz w:val="20"/>
          <w:szCs w:val="30"/>
          <w:rtl/>
          <w:lang w:bidi="ar-EG"/>
        </w:rPr>
        <w:t>يشتعل</w:t>
      </w:r>
      <w:r w:rsidRPr="00335E4B">
        <w:rPr>
          <w:rFonts w:cs="Traditional Arabic"/>
          <w:sz w:val="20"/>
          <w:szCs w:val="30"/>
          <w:rtl/>
          <w:lang w:bidi="ar-EG"/>
        </w:rPr>
        <w:t xml:space="preserve"> </w:t>
      </w:r>
      <w:r w:rsidRPr="00335E4B">
        <w:rPr>
          <w:rFonts w:cs="Traditional Arabic" w:hint="cs"/>
          <w:sz w:val="20"/>
          <w:szCs w:val="30"/>
          <w:rtl/>
          <w:lang w:bidi="ar-EG"/>
        </w:rPr>
        <w:t>بشكل معلَّق</w:t>
      </w:r>
      <w:r w:rsidRPr="00335E4B">
        <w:rPr>
          <w:rFonts w:cs="Traditional Arabic"/>
          <w:sz w:val="20"/>
          <w:szCs w:val="30"/>
          <w:rtl/>
          <w:lang w:bidi="ar-EG"/>
        </w:rPr>
        <w:t>. وعموماً، تنتج الوقادات كمية أقل من الجسيمات لكل وحدة من الوقود المشتعل و</w:t>
      </w:r>
      <w:r w:rsidRPr="00335E4B">
        <w:rPr>
          <w:rFonts w:cs="Traditional Arabic" w:hint="cs"/>
          <w:sz w:val="20"/>
          <w:szCs w:val="30"/>
          <w:rtl/>
          <w:lang w:bidi="ar-EG"/>
        </w:rPr>
        <w:t>ت</w:t>
      </w:r>
      <w:r w:rsidRPr="00335E4B">
        <w:rPr>
          <w:rFonts w:cs="Traditional Arabic"/>
          <w:sz w:val="20"/>
          <w:szCs w:val="30"/>
          <w:rtl/>
          <w:lang w:bidi="ar-EG"/>
        </w:rPr>
        <w:t xml:space="preserve">نتج جسيمات </w:t>
      </w:r>
      <w:r w:rsidRPr="00335E4B">
        <w:rPr>
          <w:rFonts w:cs="Traditional Arabic" w:hint="cs"/>
          <w:sz w:val="20"/>
          <w:szCs w:val="30"/>
          <w:rtl/>
          <w:lang w:bidi="ar-EG"/>
        </w:rPr>
        <w:t>أكبر</w:t>
      </w:r>
      <w:r w:rsidRPr="00335E4B">
        <w:rPr>
          <w:rFonts w:cs="Traditional Arabic"/>
          <w:sz w:val="20"/>
          <w:szCs w:val="30"/>
          <w:rtl/>
          <w:lang w:bidi="ar-EG"/>
        </w:rPr>
        <w:t xml:space="preserve"> مقارنة بإشعال الفحم المسحوق، لأن الإشعال يحدث في </w:t>
      </w:r>
      <w:r w:rsidRPr="00335E4B">
        <w:rPr>
          <w:rFonts w:cs="Traditional Arabic" w:hint="cs"/>
          <w:sz w:val="20"/>
          <w:szCs w:val="30"/>
          <w:rtl/>
          <w:lang w:bidi="ar-EG"/>
        </w:rPr>
        <w:t>طبقة</w:t>
      </w:r>
      <w:r w:rsidRPr="00335E4B">
        <w:rPr>
          <w:rFonts w:cs="Traditional Arabic"/>
          <w:sz w:val="20"/>
          <w:szCs w:val="30"/>
          <w:rtl/>
          <w:lang w:bidi="ar-EG"/>
        </w:rPr>
        <w:t xml:space="preserve"> وقود ساكنة بدون انتقال كميات كبيرة من الرماد إلى غازات العادم.</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 xml:space="preserve">والإشعال على </w:t>
      </w:r>
      <w:r w:rsidRPr="00335E4B">
        <w:rPr>
          <w:rFonts w:cs="Traditional Arabic" w:hint="cs"/>
          <w:sz w:val="20"/>
          <w:szCs w:val="30"/>
          <w:rtl/>
          <w:lang w:bidi="ar-EG"/>
        </w:rPr>
        <w:t>طبقة</w:t>
      </w:r>
      <w:r w:rsidRPr="00335E4B">
        <w:rPr>
          <w:rFonts w:cs="Traditional Arabic"/>
          <w:sz w:val="20"/>
          <w:szCs w:val="30"/>
          <w:rtl/>
          <w:lang w:bidi="ar-EG"/>
        </w:rPr>
        <w:t xml:space="preserve"> مميَّعة مفيد </w:t>
      </w:r>
      <w:r w:rsidRPr="00335E4B">
        <w:rPr>
          <w:rFonts w:cs="Traditional Arabic" w:hint="cs"/>
          <w:sz w:val="20"/>
          <w:szCs w:val="30"/>
          <w:rtl/>
          <w:lang w:bidi="ar-EG"/>
        </w:rPr>
        <w:t>خصيصاً في</w:t>
      </w:r>
      <w:r w:rsidRPr="00335E4B">
        <w:rPr>
          <w:rFonts w:cs="Traditional Arabic"/>
          <w:sz w:val="20"/>
          <w:szCs w:val="30"/>
          <w:rtl/>
          <w:lang w:bidi="ar-EG"/>
        </w:rPr>
        <w:t xml:space="preserve"> أجل التعامل مع أنواع الفحم من نوعية منخفضة (دون حاجة إلى التجفيف). وفي جهاز إشعال </w:t>
      </w:r>
      <w:r w:rsidRPr="00335E4B">
        <w:rPr>
          <w:rFonts w:cs="Traditional Arabic" w:hint="cs"/>
          <w:sz w:val="20"/>
          <w:szCs w:val="30"/>
          <w:rtl/>
          <w:lang w:bidi="ar-EG"/>
        </w:rPr>
        <w:t>ذي قاعدة</w:t>
      </w:r>
      <w:r w:rsidRPr="00335E4B">
        <w:rPr>
          <w:rFonts w:cs="Traditional Arabic"/>
          <w:sz w:val="20"/>
          <w:szCs w:val="30"/>
          <w:rtl/>
          <w:lang w:bidi="ar-EG"/>
        </w:rPr>
        <w:t xml:space="preserve"> مميَّعة من نوع طبقة </w:t>
      </w:r>
      <w:r w:rsidRPr="00335E4B">
        <w:rPr>
          <w:rFonts w:cs="Traditional Arabic" w:hint="cs"/>
          <w:sz w:val="20"/>
          <w:szCs w:val="30"/>
          <w:rtl/>
          <w:lang w:bidi="ar-EG"/>
        </w:rPr>
        <w:t>الفقاعات</w:t>
      </w:r>
      <w:r w:rsidRPr="00335E4B">
        <w:rPr>
          <w:rFonts w:cs="Traditional Arabic"/>
          <w:sz w:val="20"/>
          <w:szCs w:val="30"/>
          <w:rtl/>
          <w:lang w:bidi="ar-EG"/>
        </w:rPr>
        <w:t xml:space="preserve">، يتم تنظيم حجم جسيمات الفحم وسرعة الهواء الرأسي لإنشاء سطح أفقي </w:t>
      </w:r>
      <w:r w:rsidRPr="00335E4B">
        <w:rPr>
          <w:rFonts w:cs="Traditional Arabic" w:hint="cs"/>
          <w:sz w:val="20"/>
          <w:szCs w:val="30"/>
          <w:rtl/>
          <w:lang w:bidi="ar-EG"/>
        </w:rPr>
        <w:t>منفصل</w:t>
      </w:r>
      <w:r w:rsidRPr="00335E4B">
        <w:rPr>
          <w:rFonts w:cs="Traditional Arabic"/>
          <w:sz w:val="20"/>
          <w:szCs w:val="30"/>
          <w:rtl/>
          <w:lang w:bidi="ar-EG"/>
        </w:rPr>
        <w:t xml:space="preserve"> يعمل على </w:t>
      </w:r>
      <w:r w:rsidRPr="00335E4B">
        <w:rPr>
          <w:rFonts w:cs="Traditional Arabic" w:hint="cs"/>
          <w:sz w:val="20"/>
          <w:szCs w:val="30"/>
          <w:rtl/>
          <w:lang w:bidi="ar-EG"/>
        </w:rPr>
        <w:t>فصل</w:t>
      </w:r>
      <w:r w:rsidRPr="00335E4B">
        <w:rPr>
          <w:rFonts w:cs="Traditional Arabic"/>
          <w:sz w:val="20"/>
          <w:szCs w:val="30"/>
          <w:rtl/>
          <w:lang w:bidi="ar-EG"/>
        </w:rPr>
        <w:t xml:space="preserve"> </w:t>
      </w:r>
      <w:r w:rsidRPr="00335E4B">
        <w:rPr>
          <w:rFonts w:cs="Traditional Arabic" w:hint="cs"/>
          <w:sz w:val="20"/>
          <w:szCs w:val="30"/>
          <w:rtl/>
          <w:lang w:bidi="ar-EG"/>
        </w:rPr>
        <w:t>الطبقة</w:t>
      </w:r>
      <w:r w:rsidRPr="00335E4B">
        <w:rPr>
          <w:rFonts w:cs="Traditional Arabic"/>
          <w:sz w:val="20"/>
          <w:szCs w:val="30"/>
          <w:rtl/>
          <w:lang w:bidi="ar-EG"/>
        </w:rPr>
        <w:t xml:space="preserve"> النشطة </w:t>
      </w:r>
      <w:r w:rsidRPr="00335E4B">
        <w:rPr>
          <w:rFonts w:cs="Traditional Arabic" w:hint="cs"/>
          <w:sz w:val="20"/>
          <w:szCs w:val="30"/>
          <w:rtl/>
          <w:lang w:bidi="ar-EG"/>
        </w:rPr>
        <w:t>عن</w:t>
      </w:r>
      <w:r w:rsidRPr="00335E4B">
        <w:rPr>
          <w:rFonts w:cs="Traditional Arabic"/>
          <w:sz w:val="20"/>
          <w:szCs w:val="30"/>
          <w:rtl/>
          <w:lang w:bidi="ar-EG"/>
        </w:rPr>
        <w:t xml:space="preserve"> التدفق المسحوب من الفرن المفتوح </w:t>
      </w:r>
      <w:r w:rsidRPr="00335E4B">
        <w:rPr>
          <w:rFonts w:cs="Traditional Arabic" w:hint="cs"/>
          <w:sz w:val="20"/>
          <w:szCs w:val="30"/>
          <w:rtl/>
          <w:lang w:bidi="ar-EG"/>
        </w:rPr>
        <w:t>الواقع فوقها</w:t>
      </w:r>
      <w:r w:rsidRPr="00335E4B">
        <w:rPr>
          <w:rFonts w:cs="Traditional Arabic"/>
          <w:sz w:val="20"/>
          <w:szCs w:val="30"/>
          <w:rtl/>
          <w:lang w:bidi="ar-EG"/>
        </w:rPr>
        <w:t xml:space="preserve">. والآلية الأساسية لضبط درجة حرارة </w:t>
      </w:r>
      <w:r w:rsidRPr="00335E4B">
        <w:rPr>
          <w:rFonts w:cs="Traditional Arabic" w:hint="cs"/>
          <w:sz w:val="20"/>
          <w:szCs w:val="30"/>
          <w:rtl/>
          <w:lang w:bidi="ar-EG"/>
        </w:rPr>
        <w:t>الطبقة</w:t>
      </w:r>
      <w:r w:rsidRPr="00335E4B">
        <w:rPr>
          <w:rFonts w:cs="Traditional Arabic"/>
          <w:sz w:val="20"/>
          <w:szCs w:val="30"/>
          <w:rtl/>
          <w:lang w:bidi="ar-EG"/>
        </w:rPr>
        <w:t xml:space="preserve"> السفلى ونقل الحرارة إلى جدران جهاز </w:t>
      </w:r>
      <w:r w:rsidRPr="00335E4B">
        <w:rPr>
          <w:rFonts w:cs="Traditional Arabic" w:hint="cs"/>
          <w:sz w:val="20"/>
          <w:szCs w:val="30"/>
          <w:rtl/>
          <w:lang w:bidi="ar-EG"/>
        </w:rPr>
        <w:t>الاحتراق</w:t>
      </w:r>
      <w:r w:rsidRPr="00335E4B">
        <w:rPr>
          <w:rFonts w:cs="Traditional Arabic"/>
          <w:sz w:val="20"/>
          <w:szCs w:val="30"/>
          <w:rtl/>
          <w:lang w:bidi="ar-EG"/>
        </w:rPr>
        <w:t xml:space="preserve"> وإلى أي سطح تسخين مغمور في </w:t>
      </w:r>
      <w:r w:rsidRPr="00335E4B">
        <w:rPr>
          <w:rFonts w:cs="Traditional Arabic" w:hint="cs"/>
          <w:sz w:val="20"/>
          <w:szCs w:val="30"/>
          <w:rtl/>
          <w:lang w:bidi="ar-EG"/>
        </w:rPr>
        <w:t>سطح</w:t>
      </w:r>
      <w:r w:rsidRPr="00335E4B">
        <w:rPr>
          <w:rFonts w:cs="Traditional Arabic"/>
          <w:sz w:val="20"/>
          <w:szCs w:val="30"/>
          <w:rtl/>
          <w:lang w:bidi="ar-EG"/>
        </w:rPr>
        <w:t xml:space="preserve"> </w:t>
      </w:r>
      <w:r w:rsidRPr="00335E4B">
        <w:rPr>
          <w:rFonts w:cs="Traditional Arabic" w:hint="cs"/>
          <w:sz w:val="20"/>
          <w:szCs w:val="30"/>
          <w:rtl/>
          <w:lang w:bidi="ar-EG"/>
        </w:rPr>
        <w:t>قاعدة مرجَل</w:t>
      </w:r>
      <w:r w:rsidRPr="00335E4B">
        <w:rPr>
          <w:rFonts w:cs="Traditional Arabic"/>
          <w:sz w:val="20"/>
          <w:szCs w:val="30"/>
          <w:rtl/>
          <w:lang w:bidi="ar-EG"/>
        </w:rPr>
        <w:t xml:space="preserve"> </w:t>
      </w:r>
      <w:r w:rsidRPr="00335E4B">
        <w:rPr>
          <w:rFonts w:cs="Traditional Arabic" w:hint="cs"/>
          <w:sz w:val="20"/>
          <w:szCs w:val="30"/>
          <w:rtl/>
          <w:lang w:bidi="ar-EG"/>
        </w:rPr>
        <w:t>الطبقة</w:t>
      </w:r>
      <w:r w:rsidRPr="00335E4B">
        <w:rPr>
          <w:rFonts w:cs="Traditional Arabic"/>
          <w:sz w:val="20"/>
          <w:szCs w:val="30"/>
          <w:rtl/>
          <w:lang w:bidi="ar-EG"/>
        </w:rPr>
        <w:t xml:space="preserve"> المميَّعة هي التباين في </w:t>
      </w:r>
      <w:r w:rsidRPr="00335E4B">
        <w:rPr>
          <w:rFonts w:cs="Traditional Arabic" w:hint="cs"/>
          <w:sz w:val="20"/>
          <w:szCs w:val="30"/>
          <w:rtl/>
          <w:lang w:bidi="ar-EG"/>
        </w:rPr>
        <w:t>موجودات</w:t>
      </w:r>
      <w:r w:rsidRPr="00335E4B">
        <w:rPr>
          <w:rFonts w:cs="Traditional Arabic"/>
          <w:sz w:val="20"/>
          <w:szCs w:val="30"/>
          <w:rtl/>
          <w:lang w:bidi="ar-EG"/>
        </w:rPr>
        <w:t xml:space="preserve"> المواد الصلبة. ويمكن التحكم في درجة حرارة جهاز </w:t>
      </w:r>
      <w:r w:rsidRPr="00335E4B">
        <w:rPr>
          <w:rFonts w:cs="Traditional Arabic" w:hint="cs"/>
          <w:sz w:val="20"/>
          <w:szCs w:val="30"/>
          <w:rtl/>
          <w:lang w:bidi="ar-EG"/>
        </w:rPr>
        <w:t>الاحتراق</w:t>
      </w:r>
      <w:r w:rsidRPr="00335E4B">
        <w:rPr>
          <w:rFonts w:cs="Traditional Arabic"/>
          <w:sz w:val="20"/>
          <w:szCs w:val="30"/>
          <w:rtl/>
          <w:lang w:bidi="ar-EG"/>
        </w:rPr>
        <w:t xml:space="preserve"> </w:t>
      </w:r>
      <w:r w:rsidRPr="00335E4B">
        <w:rPr>
          <w:rFonts w:cs="Traditional Arabic" w:hint="cs"/>
          <w:sz w:val="20"/>
          <w:szCs w:val="30"/>
          <w:rtl/>
          <w:lang w:bidi="ar-EG"/>
        </w:rPr>
        <w:t>ذي القاعدة</w:t>
      </w:r>
      <w:r w:rsidRPr="00335E4B">
        <w:rPr>
          <w:rFonts w:cs="Traditional Arabic"/>
          <w:sz w:val="20"/>
          <w:szCs w:val="30"/>
          <w:rtl/>
          <w:lang w:bidi="ar-EG"/>
        </w:rPr>
        <w:t xml:space="preserve"> المميَّعة في نطاق ضيق. ويوضِّح قياس تركيزات الزئبق </w:t>
      </w:r>
      <w:r w:rsidRPr="00335E4B">
        <w:rPr>
          <w:rFonts w:cs="Traditional Arabic" w:hint="cs"/>
          <w:sz w:val="20"/>
          <w:szCs w:val="30"/>
          <w:rtl/>
          <w:lang w:bidi="ar-EG"/>
        </w:rPr>
        <w:t>المأخوذة في</w:t>
      </w:r>
      <w:r w:rsidRPr="00335E4B">
        <w:rPr>
          <w:rFonts w:cs="Traditional Arabic"/>
          <w:sz w:val="20"/>
          <w:szCs w:val="30"/>
          <w:rtl/>
          <w:lang w:bidi="ar-EG"/>
        </w:rPr>
        <w:t xml:space="preserve"> الموقع من </w:t>
      </w:r>
      <w:r w:rsidRPr="00335E4B">
        <w:rPr>
          <w:rFonts w:cs="Traditional Arabic" w:hint="cs"/>
          <w:sz w:val="20"/>
          <w:szCs w:val="30"/>
          <w:rtl/>
          <w:lang w:bidi="ar-EG"/>
        </w:rPr>
        <w:t>مرجَل</w:t>
      </w:r>
      <w:r w:rsidRPr="00335E4B">
        <w:rPr>
          <w:rFonts w:cs="Traditional Arabic"/>
          <w:sz w:val="20"/>
          <w:szCs w:val="30"/>
          <w:rtl/>
          <w:lang w:bidi="ar-EG"/>
        </w:rPr>
        <w:t xml:space="preserve"> </w:t>
      </w:r>
      <w:r w:rsidRPr="00335E4B">
        <w:rPr>
          <w:rFonts w:cs="Traditional Arabic" w:hint="cs"/>
          <w:sz w:val="20"/>
          <w:szCs w:val="30"/>
          <w:rtl/>
          <w:lang w:bidi="ar-EG"/>
        </w:rPr>
        <w:t xml:space="preserve">ذي قاعدة </w:t>
      </w:r>
      <w:r w:rsidRPr="00335E4B">
        <w:rPr>
          <w:rFonts w:cs="Traditional Arabic"/>
          <w:sz w:val="20"/>
          <w:szCs w:val="30"/>
          <w:rtl/>
          <w:lang w:bidi="ar-EG"/>
        </w:rPr>
        <w:t xml:space="preserve">مميَّعة </w:t>
      </w:r>
      <w:r w:rsidRPr="00335E4B">
        <w:rPr>
          <w:rFonts w:cs="Traditional Arabic" w:hint="cs"/>
          <w:sz w:val="20"/>
          <w:szCs w:val="30"/>
          <w:rtl/>
          <w:lang w:bidi="ar-EG"/>
        </w:rPr>
        <w:t xml:space="preserve">دوارة </w:t>
      </w:r>
      <w:r w:rsidRPr="00335E4B">
        <w:rPr>
          <w:rFonts w:cs="Traditional Arabic"/>
          <w:sz w:val="20"/>
          <w:szCs w:val="30"/>
          <w:rtl/>
          <w:lang w:bidi="ar-EG"/>
        </w:rPr>
        <w:t xml:space="preserve">أن زئبق الجسيمات </w:t>
      </w:r>
      <w:r w:rsidRPr="00335E4B">
        <w:rPr>
          <w:rFonts w:cs="Traditional Arabic" w:hint="cs"/>
          <w:sz w:val="20"/>
          <w:szCs w:val="30"/>
          <w:rtl/>
          <w:lang w:bidi="ar-EG"/>
        </w:rPr>
        <w:t xml:space="preserve">هو </w:t>
      </w:r>
      <w:r w:rsidRPr="00335E4B">
        <w:rPr>
          <w:rFonts w:cs="Traditional Arabic"/>
          <w:sz w:val="20"/>
          <w:szCs w:val="30"/>
          <w:rtl/>
          <w:lang w:bidi="ar-EG"/>
        </w:rPr>
        <w:t xml:space="preserve">نوع الزئبق الغالب في غاز مدخنة </w:t>
      </w:r>
      <w:r w:rsidRPr="00335E4B">
        <w:rPr>
          <w:rFonts w:cs="Traditional Arabic" w:hint="cs"/>
          <w:sz w:val="20"/>
          <w:szCs w:val="30"/>
          <w:rtl/>
          <w:lang w:bidi="ar-EG"/>
        </w:rPr>
        <w:t>المرجَل</w:t>
      </w:r>
      <w:r w:rsidRPr="00335E4B">
        <w:rPr>
          <w:rFonts w:cs="Traditional Arabic"/>
          <w:sz w:val="20"/>
          <w:szCs w:val="30"/>
          <w:rtl/>
          <w:lang w:bidi="ar-EG"/>
        </w:rPr>
        <w:t xml:space="preserve"> (دوان وآخرون، 2010).</w:t>
      </w:r>
    </w:p>
    <w:p w:rsidR="00335E4B" w:rsidRPr="00335E4B" w:rsidRDefault="00335E4B" w:rsidP="00874661">
      <w:pPr>
        <w:spacing w:after="120" w:line="400" w:lineRule="exact"/>
        <w:jc w:val="both"/>
        <w:rPr>
          <w:rFonts w:cs="Traditional Arabic"/>
          <w:sz w:val="20"/>
          <w:szCs w:val="30"/>
          <w:rtl/>
          <w:lang w:bidi="ar-EG"/>
        </w:rPr>
      </w:pPr>
      <w:r w:rsidRPr="00335E4B">
        <w:rPr>
          <w:rFonts w:cs="Traditional Arabic"/>
          <w:sz w:val="20"/>
          <w:szCs w:val="30"/>
          <w:rtl/>
          <w:lang w:bidi="ar-EG"/>
        </w:rPr>
        <w:t xml:space="preserve">وفي الإشعال الإعصاري، يتم حرق الفحم المجروش (ولكن غير المسحوق) في غرفة </w:t>
      </w:r>
      <w:r w:rsidRPr="00335E4B">
        <w:rPr>
          <w:rFonts w:cs="Traditional Arabic" w:hint="cs"/>
          <w:sz w:val="20"/>
          <w:szCs w:val="30"/>
          <w:rtl/>
          <w:lang w:bidi="ar-EG"/>
        </w:rPr>
        <w:t>احتراق</w:t>
      </w:r>
      <w:r w:rsidRPr="00335E4B">
        <w:rPr>
          <w:rFonts w:cs="Traditional Arabic"/>
          <w:sz w:val="20"/>
          <w:szCs w:val="30"/>
          <w:rtl/>
          <w:lang w:bidi="ar-EG"/>
        </w:rPr>
        <w:t xml:space="preserve"> تدور بسرعة تحت درجات حرارية عالية، وتحوِّل معظم المادة المعدنية في الفحم إلى خبث سائل. </w:t>
      </w:r>
      <w:r w:rsidRPr="00335E4B">
        <w:rPr>
          <w:rFonts w:cs="Traditional Arabic" w:hint="cs"/>
          <w:sz w:val="20"/>
          <w:szCs w:val="30"/>
          <w:rtl/>
          <w:lang w:bidi="ar-EG"/>
        </w:rPr>
        <w:t>بعد ذلك</w:t>
      </w:r>
      <w:r w:rsidRPr="00335E4B">
        <w:rPr>
          <w:rFonts w:cs="Traditional Arabic"/>
          <w:sz w:val="20"/>
          <w:szCs w:val="30"/>
          <w:rtl/>
          <w:lang w:bidi="ar-EG"/>
        </w:rPr>
        <w:t xml:space="preserve"> تدخل الغازات الساخنة إلى الفرن حيث تشع </w:t>
      </w:r>
      <w:r w:rsidRPr="00335E4B">
        <w:rPr>
          <w:rFonts w:cs="Traditional Arabic" w:hint="cs"/>
          <w:sz w:val="20"/>
          <w:szCs w:val="30"/>
          <w:rtl/>
          <w:lang w:bidi="ar-EG"/>
        </w:rPr>
        <w:t>ال</w:t>
      </w:r>
      <w:r w:rsidRPr="00335E4B">
        <w:rPr>
          <w:rFonts w:cs="Traditional Arabic"/>
          <w:sz w:val="20"/>
          <w:szCs w:val="30"/>
          <w:rtl/>
          <w:lang w:bidi="ar-EG"/>
        </w:rPr>
        <w:t xml:space="preserve">حرارة إلى جدران الفرن وتحمل الحرارة إلى البخار المتولِّد، الذي يدفع مولداً توربينياً مجهزاً لإنتاج الكهرباء. وتولِّد المراجل الإعصارية رماداً متطايراً يقل عن الرماد المتطاير الصادر عن </w:t>
      </w:r>
      <w:r w:rsidRPr="00335E4B">
        <w:rPr>
          <w:rFonts w:cs="Traditional Arabic" w:hint="cs"/>
          <w:sz w:val="20"/>
          <w:szCs w:val="30"/>
          <w:rtl/>
          <w:lang w:bidi="ar-EG"/>
        </w:rPr>
        <w:t>مراجل</w:t>
      </w:r>
      <w:r w:rsidRPr="00335E4B">
        <w:rPr>
          <w:rFonts w:cs="Traditional Arabic"/>
          <w:sz w:val="20"/>
          <w:szCs w:val="30"/>
          <w:rtl/>
          <w:lang w:bidi="ar-EG"/>
        </w:rPr>
        <w:t xml:space="preserve"> الفحم المسحوق لكل وحدة من الفحم المحروق، لأن معظم المادة المعدنية في </w:t>
      </w:r>
      <w:r w:rsidRPr="00335E4B">
        <w:rPr>
          <w:rFonts w:cs="Traditional Arabic" w:hint="cs"/>
          <w:sz w:val="20"/>
          <w:szCs w:val="30"/>
          <w:rtl/>
          <w:lang w:bidi="ar-EG"/>
        </w:rPr>
        <w:t>المرجَل</w:t>
      </w:r>
      <w:r w:rsidRPr="00335E4B">
        <w:rPr>
          <w:rFonts w:cs="Traditional Arabic"/>
          <w:sz w:val="20"/>
          <w:szCs w:val="30"/>
          <w:rtl/>
          <w:lang w:bidi="ar-EG"/>
        </w:rPr>
        <w:t xml:space="preserve"> الإعصاري يتحول إلى خبث سائل يتم جمعه من قاع غرفة </w:t>
      </w:r>
      <w:r w:rsidRPr="00335E4B">
        <w:rPr>
          <w:rFonts w:cs="Traditional Arabic" w:hint="cs"/>
          <w:sz w:val="20"/>
          <w:szCs w:val="30"/>
          <w:rtl/>
          <w:lang w:bidi="ar-EG"/>
        </w:rPr>
        <w:t>الاحتراق</w:t>
      </w:r>
      <w:r w:rsidRPr="00335E4B">
        <w:rPr>
          <w:rFonts w:cs="Traditional Arabic"/>
          <w:sz w:val="20"/>
          <w:szCs w:val="30"/>
          <w:rtl/>
          <w:lang w:bidi="ar-EG"/>
        </w:rPr>
        <w:t xml:space="preserve"> الإعصاري.</w:t>
      </w:r>
    </w:p>
    <w:p w:rsidR="00335E4B" w:rsidRPr="00335E4B" w:rsidRDefault="00335E4B" w:rsidP="00046EF9">
      <w:pPr>
        <w:keepNext/>
        <w:spacing w:before="120" w:after="120" w:line="400" w:lineRule="exact"/>
        <w:ind w:left="709" w:hanging="709"/>
        <w:jc w:val="both"/>
        <w:outlineLvl w:val="0"/>
        <w:rPr>
          <w:rFonts w:cs="Traditional Arabic"/>
          <w:b/>
          <w:bCs/>
          <w:sz w:val="32"/>
          <w:szCs w:val="32"/>
          <w:rtl/>
        </w:rPr>
      </w:pPr>
      <w:bookmarkStart w:id="457" w:name="_Toc440456836"/>
      <w:bookmarkStart w:id="458" w:name="_Toc440526902"/>
      <w:bookmarkStart w:id="459" w:name="_Toc440527755"/>
      <w:bookmarkStart w:id="460" w:name="_Toc440550456"/>
      <w:r w:rsidRPr="00335E4B">
        <w:rPr>
          <w:rFonts w:cs="Traditional Arabic"/>
          <w:b/>
          <w:bCs/>
          <w:sz w:val="32"/>
          <w:szCs w:val="32"/>
          <w:rtl/>
        </w:rPr>
        <w:br w:type="page"/>
      </w:r>
      <w:bookmarkStart w:id="461" w:name="_Toc441577713"/>
      <w:bookmarkStart w:id="462" w:name="_Toc441577892"/>
      <w:bookmarkStart w:id="463" w:name="_Toc441579118"/>
      <w:bookmarkStart w:id="464" w:name="_Toc441580726"/>
      <w:bookmarkStart w:id="465" w:name="_Toc441585857"/>
      <w:bookmarkStart w:id="466" w:name="_Toc441586193"/>
      <w:bookmarkStart w:id="467" w:name="_Toc441586643"/>
      <w:bookmarkStart w:id="468" w:name="_Toc441586822"/>
      <w:bookmarkStart w:id="469" w:name="_Toc441666671"/>
      <w:bookmarkStart w:id="470" w:name="_Toc441673732"/>
      <w:r w:rsidRPr="00335E4B">
        <w:rPr>
          <w:rFonts w:cs="Traditional Arabic"/>
          <w:b/>
          <w:bCs/>
          <w:sz w:val="32"/>
          <w:szCs w:val="32"/>
          <w:rtl/>
        </w:rPr>
        <w:t>قائمة تقنيات تخفيض انبعاثات الزئبق</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335E4B" w:rsidRPr="00335E4B" w:rsidRDefault="00335E4B" w:rsidP="00335E4B">
      <w:pPr>
        <w:spacing w:after="120" w:line="380" w:lineRule="exact"/>
        <w:jc w:val="both"/>
        <w:rPr>
          <w:rFonts w:cs="Traditional Arabic"/>
          <w:sz w:val="20"/>
          <w:szCs w:val="30"/>
          <w:rtl/>
          <w:lang w:bidi="ar-EG"/>
        </w:rPr>
      </w:pPr>
      <w:r w:rsidRPr="00335E4B">
        <w:rPr>
          <w:rFonts w:cs="Traditional Arabic"/>
          <w:sz w:val="20"/>
          <w:szCs w:val="30"/>
          <w:rtl/>
          <w:lang w:bidi="ar-EG"/>
        </w:rPr>
        <w:t>يصف هذا القسم نُهج التعامل مع تخفيض انبعاثات الزئبق وتكنولوجيات الضبط التي يمكن النظر فيها لتحديد أفضل التقنيات المتاحة لأي طرف أو مرفق (انظر القسم 5 أدناه). وتشمل معالجة الفحم والفوائد المشتركة مع إزالة الزئبق والتقنيات المخصصة لإزالة الزئبق.</w:t>
      </w:r>
    </w:p>
    <w:p w:rsidR="00335E4B" w:rsidRPr="00335E4B" w:rsidRDefault="00335E4B" w:rsidP="00335E4B">
      <w:pPr>
        <w:keepNext/>
        <w:spacing w:before="120" w:after="120" w:line="400" w:lineRule="exact"/>
        <w:ind w:left="709" w:hanging="709"/>
        <w:jc w:val="both"/>
        <w:outlineLvl w:val="0"/>
        <w:rPr>
          <w:rFonts w:cs="Traditional Arabic"/>
          <w:b/>
          <w:bCs/>
          <w:sz w:val="30"/>
          <w:szCs w:val="30"/>
          <w:rtl/>
        </w:rPr>
      </w:pPr>
      <w:bookmarkStart w:id="471" w:name="_Toc440456837"/>
      <w:bookmarkStart w:id="472" w:name="_Toc440526903"/>
      <w:bookmarkStart w:id="473" w:name="_Toc440527756"/>
      <w:bookmarkStart w:id="474" w:name="_Toc440550457"/>
      <w:bookmarkStart w:id="475" w:name="_Toc441577714"/>
      <w:bookmarkStart w:id="476" w:name="_Toc441577893"/>
      <w:bookmarkStart w:id="477" w:name="_Toc441579119"/>
      <w:bookmarkStart w:id="478" w:name="_Toc441580727"/>
      <w:bookmarkStart w:id="479" w:name="_Toc441585858"/>
      <w:bookmarkStart w:id="480" w:name="_Toc441586194"/>
      <w:bookmarkStart w:id="481" w:name="_Toc441586644"/>
      <w:bookmarkStart w:id="482" w:name="_Toc441586823"/>
      <w:bookmarkStart w:id="483" w:name="_Toc441666672"/>
      <w:bookmarkStart w:id="484" w:name="_Toc441673733"/>
      <w:r w:rsidRPr="00335E4B">
        <w:rPr>
          <w:rFonts w:cs="Traditional Arabic"/>
          <w:b/>
          <w:bCs/>
          <w:sz w:val="30"/>
          <w:szCs w:val="30"/>
          <w:rtl/>
        </w:rPr>
        <w:t>غسل الفحم</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rsidR="00335E4B" w:rsidRPr="00335E4B" w:rsidRDefault="00335E4B" w:rsidP="00335E4B">
      <w:pPr>
        <w:spacing w:after="100" w:line="360" w:lineRule="exact"/>
        <w:jc w:val="both"/>
        <w:rPr>
          <w:rFonts w:cs="Traditional Arabic"/>
          <w:sz w:val="20"/>
          <w:szCs w:val="30"/>
          <w:rtl/>
          <w:lang w:bidi="ar-EG"/>
        </w:rPr>
      </w:pPr>
      <w:r w:rsidRPr="00335E4B">
        <w:rPr>
          <w:rFonts w:cs="Traditional Arabic"/>
          <w:sz w:val="20"/>
          <w:szCs w:val="30"/>
          <w:rtl/>
          <w:lang w:bidi="ar-EG"/>
        </w:rPr>
        <w:t xml:space="preserve">يقلِّل غسل الفحم </w:t>
      </w:r>
      <w:r w:rsidRPr="00335E4B">
        <w:rPr>
          <w:rFonts w:cs="Traditional Arabic" w:hint="cs"/>
          <w:sz w:val="20"/>
          <w:szCs w:val="30"/>
          <w:rtl/>
          <w:lang w:bidi="ar-EG"/>
        </w:rPr>
        <w:t>ال</w:t>
      </w:r>
      <w:r w:rsidRPr="00335E4B">
        <w:rPr>
          <w:rFonts w:cs="Traditional Arabic"/>
          <w:sz w:val="20"/>
          <w:szCs w:val="30"/>
          <w:rtl/>
          <w:lang w:bidi="ar-EG"/>
        </w:rPr>
        <w:t xml:space="preserve">محتوى </w:t>
      </w:r>
      <w:r w:rsidRPr="00335E4B">
        <w:rPr>
          <w:rFonts w:cs="Traditional Arabic" w:hint="cs"/>
          <w:sz w:val="20"/>
          <w:szCs w:val="30"/>
          <w:rtl/>
          <w:lang w:bidi="ar-EG"/>
        </w:rPr>
        <w:t xml:space="preserve">من </w:t>
      </w:r>
      <w:r w:rsidRPr="00335E4B">
        <w:rPr>
          <w:rFonts w:cs="Traditional Arabic"/>
          <w:sz w:val="20"/>
          <w:szCs w:val="30"/>
          <w:rtl/>
          <w:lang w:bidi="ar-EG"/>
        </w:rPr>
        <w:t xml:space="preserve">الرماد ويحسِّن قيمة التسخين وهو ما يزيد من كفاءة المراجل (ساتيامورتي، 2007). وفي حين أن غسل الفحم يستهدف في المقام الأول التقليل من الرماد ومحتوى الكبريت في الفحم فإنه يمكن أن يقلل أيضاً من محتوى الزئبق في الفحم، ويحدث ذلك بالفعل في بعض الحالات. ويتضمن الفحم الخام شوائب معدنية مثل الصخور والصلصال التي يشار إليها باعتبارها من الرماد. وينبغي حسب الاقتضاء معالجة هذا الفحم الخام (أو تنظيفه) لتقليل المحتوى من الرماد وزيادة قيمة التسخين وتقليل الجسيمات والكبريت وكذلك احتمال تقليل المحتوى من الزئبق للوصول في نهاية المطاف إلى انبعاثات أقل عند حرق الفحم في </w:t>
      </w:r>
      <w:r w:rsidRPr="00335E4B">
        <w:rPr>
          <w:rFonts w:cs="Traditional Arabic" w:hint="cs"/>
          <w:sz w:val="20"/>
          <w:szCs w:val="30"/>
          <w:rtl/>
          <w:lang w:bidi="ar-EG"/>
        </w:rPr>
        <w:t>المرجَل</w:t>
      </w:r>
      <w:r w:rsidRPr="00335E4B">
        <w:rPr>
          <w:rFonts w:cs="Traditional Arabic"/>
          <w:sz w:val="20"/>
          <w:szCs w:val="30"/>
          <w:rtl/>
          <w:lang w:bidi="ar-EG"/>
        </w:rPr>
        <w:t xml:space="preserve">. وبالإضافة إلى ذلك، فإن إزالة الشوائب المعدنية يقلل أيضاً تكاليف التشغيل والصيانة ويبطئ تدهور نظام </w:t>
      </w:r>
      <w:r w:rsidRPr="00335E4B">
        <w:rPr>
          <w:rFonts w:cs="Traditional Arabic" w:hint="cs"/>
          <w:sz w:val="20"/>
          <w:szCs w:val="30"/>
          <w:rtl/>
          <w:lang w:bidi="ar-EG"/>
        </w:rPr>
        <w:t>المرجَل</w:t>
      </w:r>
      <w:r w:rsidRPr="00335E4B">
        <w:rPr>
          <w:rFonts w:cs="Traditional Arabic"/>
          <w:sz w:val="20"/>
          <w:szCs w:val="30"/>
          <w:rtl/>
          <w:lang w:bidi="ar-EG"/>
        </w:rPr>
        <w:t xml:space="preserve">. ولكن ينبغي أن يلاحظ أن معظم أنواع اللغنيت والفحم البني </w:t>
      </w:r>
      <w:r w:rsidRPr="00335E4B">
        <w:rPr>
          <w:rFonts w:cs="Traditional Arabic" w:hint="cs"/>
          <w:sz w:val="20"/>
          <w:szCs w:val="30"/>
          <w:rtl/>
          <w:lang w:bidi="ar-EG"/>
        </w:rPr>
        <w:t>لا تتقبل أساليب</w:t>
      </w:r>
      <w:r w:rsidRPr="00335E4B">
        <w:rPr>
          <w:rFonts w:cs="Traditional Arabic"/>
          <w:sz w:val="20"/>
          <w:szCs w:val="30"/>
          <w:rtl/>
          <w:lang w:bidi="ar-EG"/>
        </w:rPr>
        <w:t xml:space="preserve"> غسل الفحم التقليدي</w:t>
      </w:r>
      <w:r w:rsidRPr="00335E4B">
        <w:rPr>
          <w:rFonts w:cs="Traditional Arabic" w:hint="cs"/>
          <w:sz w:val="20"/>
          <w:szCs w:val="30"/>
          <w:rtl/>
          <w:lang w:bidi="ar-EG"/>
        </w:rPr>
        <w:t>ة</w:t>
      </w:r>
      <w:r w:rsidRPr="00335E4B">
        <w:rPr>
          <w:rFonts w:cs="Traditional Arabic"/>
          <w:sz w:val="20"/>
          <w:szCs w:val="30"/>
          <w:rtl/>
          <w:lang w:bidi="ar-EG"/>
        </w:rPr>
        <w:t xml:space="preserve"> (مؤسسة المهندسين الكيميائيين، 1997).</w:t>
      </w:r>
    </w:p>
    <w:p w:rsidR="00335E4B" w:rsidRPr="00335E4B" w:rsidRDefault="00335E4B" w:rsidP="00335E4B">
      <w:pPr>
        <w:spacing w:after="100" w:line="360" w:lineRule="exact"/>
        <w:jc w:val="both"/>
        <w:rPr>
          <w:rFonts w:cs="Traditional Arabic"/>
          <w:sz w:val="20"/>
          <w:szCs w:val="30"/>
          <w:rtl/>
          <w:lang w:bidi="ar-EG"/>
        </w:rPr>
      </w:pPr>
      <w:r w:rsidRPr="00335E4B">
        <w:rPr>
          <w:rFonts w:cs="Traditional Arabic"/>
          <w:sz w:val="20"/>
          <w:szCs w:val="30"/>
          <w:rtl/>
          <w:lang w:bidi="ar-EG"/>
        </w:rPr>
        <w:t>ويمكن أيضاً أن تزيل أساليب غسل الفحم التقليدية بعض الزئبق المصاحب للمواد المعدنية غير القابلة للاشتعال. ومع ذلك فإن هذه الأساليب لن تقوم نمطياً بإزالة الزئبق المصاحب لهيكل الكربون العضوي في الفحم (وكالة حماية البيئة في الولايات المتحدة، 2002). وتستشهد إحدى الم</w:t>
      </w:r>
      <w:r w:rsidRPr="00335E4B">
        <w:rPr>
          <w:rFonts w:cs="Traditional Arabic" w:hint="cs"/>
          <w:sz w:val="20"/>
          <w:szCs w:val="30"/>
          <w:rtl/>
          <w:lang w:bidi="ar-EG"/>
        </w:rPr>
        <w:t>ج</w:t>
      </w:r>
      <w:r w:rsidRPr="00335E4B">
        <w:rPr>
          <w:rFonts w:cs="Traditional Arabic"/>
          <w:sz w:val="20"/>
          <w:szCs w:val="30"/>
          <w:rtl/>
          <w:lang w:bidi="ar-EG"/>
        </w:rPr>
        <w:t xml:space="preserve">لات ببيانات </w:t>
      </w:r>
      <w:r w:rsidRPr="00335E4B">
        <w:rPr>
          <w:rFonts w:cs="Traditional Arabic" w:hint="cs"/>
          <w:sz w:val="20"/>
          <w:szCs w:val="30"/>
          <w:rtl/>
          <w:lang w:bidi="ar-EG"/>
        </w:rPr>
        <w:t>اختبار</w:t>
      </w:r>
      <w:r w:rsidRPr="00335E4B">
        <w:rPr>
          <w:rFonts w:cs="Traditional Arabic"/>
          <w:sz w:val="20"/>
          <w:szCs w:val="30"/>
          <w:rtl/>
          <w:lang w:bidi="ar-EG"/>
        </w:rPr>
        <w:t xml:space="preserve"> 26 عينة فحم </w:t>
      </w:r>
      <w:r w:rsidRPr="00335E4B">
        <w:rPr>
          <w:rFonts w:cs="Traditional Arabic" w:hint="cs"/>
          <w:sz w:val="20"/>
          <w:szCs w:val="30"/>
          <w:rtl/>
          <w:lang w:bidi="ar-EG"/>
        </w:rPr>
        <w:t>ق</w:t>
      </w:r>
      <w:r w:rsidRPr="00335E4B">
        <w:rPr>
          <w:rFonts w:cs="Traditional Arabic"/>
          <w:sz w:val="20"/>
          <w:szCs w:val="30"/>
          <w:rtl/>
          <w:lang w:bidi="ar-EG"/>
        </w:rPr>
        <w:t xml:space="preserve">يري من الولايات المتحدة </w:t>
      </w:r>
      <w:r w:rsidRPr="00335E4B">
        <w:rPr>
          <w:rFonts w:cs="Traditional Arabic" w:hint="cs"/>
          <w:sz w:val="20"/>
          <w:szCs w:val="30"/>
          <w:rtl/>
          <w:lang w:bidi="ar-EG"/>
        </w:rPr>
        <w:t xml:space="preserve">أظهرت اتساع </w:t>
      </w:r>
      <w:r w:rsidRPr="00335E4B">
        <w:rPr>
          <w:rFonts w:cs="Traditional Arabic"/>
          <w:sz w:val="20"/>
          <w:szCs w:val="30"/>
          <w:rtl/>
          <w:lang w:bidi="ar-EG"/>
        </w:rPr>
        <w:t xml:space="preserve">نطاق مقدار الزئبق الذي تمت إزالته </w:t>
      </w:r>
      <w:r w:rsidRPr="00335E4B">
        <w:rPr>
          <w:rFonts w:cs="Traditional Arabic" w:hint="cs"/>
          <w:sz w:val="20"/>
          <w:szCs w:val="30"/>
          <w:rtl/>
          <w:lang w:bidi="ar-EG"/>
        </w:rPr>
        <w:t>ب</w:t>
      </w:r>
      <w:r w:rsidRPr="00335E4B">
        <w:rPr>
          <w:rFonts w:cs="Traditional Arabic"/>
          <w:sz w:val="20"/>
          <w:szCs w:val="30"/>
          <w:rtl/>
          <w:lang w:bidi="ar-EG"/>
        </w:rPr>
        <w:t>غسل الفحم (وكالة حماية البيئة في الولايات المتحدة، 1997). وقد تأكد هذا الاتجاه بدراسة أخرى (مؤسسة الولايات المتحدة للمسح الجيولوجي، 2014)، خلصت إلى أن غسل الفحم يتصف بالفعالية في تقليل تركيزات العناصر المصاحبة للب</w:t>
      </w:r>
      <w:r w:rsidRPr="00335E4B">
        <w:rPr>
          <w:rFonts w:cs="Traditional Arabic" w:hint="cs"/>
          <w:sz w:val="20"/>
          <w:szCs w:val="30"/>
          <w:rtl/>
          <w:lang w:bidi="ar-EG"/>
        </w:rPr>
        <w:t>ي</w:t>
      </w:r>
      <w:r w:rsidRPr="00335E4B">
        <w:rPr>
          <w:rFonts w:cs="Traditional Arabic"/>
          <w:sz w:val="20"/>
          <w:szCs w:val="30"/>
          <w:rtl/>
          <w:lang w:bidi="ar-EG"/>
        </w:rPr>
        <w:t xml:space="preserve">ريت مثل الزئبق. </w:t>
      </w:r>
      <w:r w:rsidRPr="00335E4B">
        <w:rPr>
          <w:rFonts w:cs="Traditional Arabic" w:hint="cs"/>
          <w:sz w:val="20"/>
          <w:szCs w:val="30"/>
          <w:rtl/>
          <w:lang w:bidi="ar-EG"/>
        </w:rPr>
        <w:t>و</w:t>
      </w:r>
      <w:r w:rsidRPr="00335E4B">
        <w:rPr>
          <w:rFonts w:cs="Traditional Arabic"/>
          <w:sz w:val="20"/>
          <w:szCs w:val="30"/>
          <w:rtl/>
          <w:lang w:bidi="ar-EG"/>
        </w:rPr>
        <w:t>لكن دراسة أخرى تذكر انخفاضاً متوسطاً للزئبق على أساس الطاقة بنسبة 37 في المائة (توول- أونيل وآخرون، 1999).</w:t>
      </w:r>
    </w:p>
    <w:p w:rsidR="00335E4B" w:rsidRPr="00335E4B" w:rsidRDefault="00335E4B" w:rsidP="00335E4B">
      <w:pPr>
        <w:spacing w:after="100" w:line="360" w:lineRule="exact"/>
        <w:jc w:val="both"/>
        <w:rPr>
          <w:rFonts w:cs="Traditional Arabic"/>
          <w:sz w:val="20"/>
          <w:szCs w:val="30"/>
          <w:rtl/>
          <w:lang w:bidi="ar-EG"/>
        </w:rPr>
      </w:pPr>
      <w:r w:rsidRPr="00335E4B">
        <w:rPr>
          <w:rFonts w:cs="Traditional Arabic"/>
          <w:sz w:val="20"/>
          <w:szCs w:val="30"/>
          <w:rtl/>
          <w:lang w:bidi="ar-EG"/>
        </w:rPr>
        <w:t xml:space="preserve">والتباين في انخفاضات الزئبق المذكورة أعلاه قد يكون </w:t>
      </w:r>
      <w:r w:rsidRPr="00335E4B">
        <w:rPr>
          <w:rFonts w:cs="Traditional Arabic" w:hint="cs"/>
          <w:sz w:val="20"/>
          <w:szCs w:val="30"/>
          <w:rtl/>
          <w:lang w:bidi="ar-EG"/>
        </w:rPr>
        <w:t>تابعاً ل</w:t>
      </w:r>
      <w:r w:rsidRPr="00335E4B">
        <w:rPr>
          <w:rFonts w:cs="Traditional Arabic"/>
          <w:sz w:val="20"/>
          <w:szCs w:val="30"/>
          <w:rtl/>
          <w:lang w:bidi="ar-EG"/>
        </w:rPr>
        <w:t xml:space="preserve">نوع العملية المستعملة لغسل نوع معيَّن من الفحم </w:t>
      </w:r>
      <w:r w:rsidRPr="00335E4B">
        <w:rPr>
          <w:rFonts w:cs="Traditional Arabic" w:hint="cs"/>
          <w:sz w:val="20"/>
          <w:szCs w:val="30"/>
          <w:rtl/>
          <w:lang w:bidi="ar-EG"/>
        </w:rPr>
        <w:t>ورتبة</w:t>
      </w:r>
      <w:r w:rsidRPr="00335E4B">
        <w:rPr>
          <w:rFonts w:cs="Traditional Arabic"/>
          <w:sz w:val="20"/>
          <w:szCs w:val="30"/>
          <w:rtl/>
          <w:lang w:bidi="ar-EG"/>
        </w:rPr>
        <w:t xml:space="preserve"> الفحم وطبيعة الزئبق في مصفوفة الفحم. وباختصار، فإن إزالة بعض الزئبق من الفحم أمر ممكن في حالة استخدام الأساليب التقليدية لغسل الفحم. ولكن فعالية إزالة الزئبق أثناء غسل الفحم بالطريقة التقليدية تتباين بصورة واسعة حسب مصدر الفحم وطبيعة الزئبق الموجود فيه. </w:t>
      </w:r>
    </w:p>
    <w:p w:rsidR="00335E4B" w:rsidRPr="00335E4B" w:rsidRDefault="00335E4B" w:rsidP="006F7165">
      <w:pPr>
        <w:spacing w:after="100" w:line="360" w:lineRule="exact"/>
        <w:jc w:val="both"/>
        <w:rPr>
          <w:rFonts w:cs="Traditional Arabic"/>
          <w:i/>
          <w:iCs/>
          <w:sz w:val="20"/>
          <w:szCs w:val="30"/>
          <w:rtl/>
          <w:lang w:bidi="ar-EG"/>
        </w:rPr>
      </w:pPr>
      <w:r w:rsidRPr="00335E4B">
        <w:rPr>
          <w:rFonts w:cs="Traditional Arabic"/>
          <w:i/>
          <w:iCs/>
          <w:sz w:val="20"/>
          <w:szCs w:val="30"/>
          <w:rtl/>
          <w:lang w:bidi="ar-EG"/>
        </w:rPr>
        <w:t xml:space="preserve">الآثار الشاملة لعدة </w:t>
      </w:r>
      <w:r w:rsidR="006F7165" w:rsidRPr="006F7165">
        <w:rPr>
          <w:rFonts w:cs="Traditional Arabic"/>
          <w:i/>
          <w:iCs/>
          <w:sz w:val="20"/>
          <w:szCs w:val="30"/>
          <w:rtl/>
          <w:lang w:bidi="ar-EG"/>
        </w:rPr>
        <w:t xml:space="preserve">أوساط </w:t>
      </w:r>
      <w:r w:rsidRPr="00335E4B">
        <w:rPr>
          <w:rFonts w:cs="Traditional Arabic"/>
          <w:i/>
          <w:iCs/>
          <w:sz w:val="20"/>
          <w:szCs w:val="30"/>
          <w:rtl/>
          <w:lang w:bidi="ar-EG"/>
        </w:rPr>
        <w:t>نتيجة غسل الفحم</w:t>
      </w:r>
    </w:p>
    <w:p w:rsidR="00335E4B" w:rsidRPr="00335E4B" w:rsidRDefault="00335E4B" w:rsidP="00335E4B">
      <w:pPr>
        <w:spacing w:after="100" w:line="360" w:lineRule="exact"/>
        <w:jc w:val="both"/>
        <w:rPr>
          <w:rFonts w:cs="Traditional Arabic"/>
          <w:sz w:val="20"/>
          <w:szCs w:val="30"/>
          <w:rtl/>
          <w:lang w:bidi="ar-EG"/>
        </w:rPr>
      </w:pPr>
      <w:r w:rsidRPr="00335E4B">
        <w:rPr>
          <w:rFonts w:cs="Traditional Arabic"/>
          <w:sz w:val="20"/>
          <w:szCs w:val="30"/>
          <w:rtl/>
          <w:lang w:bidi="ar-EG"/>
        </w:rPr>
        <w:t xml:space="preserve">يولِّد غسل الفحم ملاطاً من النفايات </w:t>
      </w:r>
      <w:r w:rsidRPr="00335E4B">
        <w:rPr>
          <w:rFonts w:cs="Traditional Arabic" w:hint="cs"/>
          <w:sz w:val="20"/>
          <w:szCs w:val="30"/>
          <w:rtl/>
          <w:lang w:bidi="ar-EG"/>
        </w:rPr>
        <w:t>المحتوية على</w:t>
      </w:r>
      <w:r w:rsidRPr="00335E4B">
        <w:rPr>
          <w:rFonts w:cs="Traditional Arabic"/>
          <w:sz w:val="20"/>
          <w:szCs w:val="30"/>
          <w:rtl/>
          <w:lang w:bidi="ar-EG"/>
        </w:rPr>
        <w:t xml:space="preserve"> الزئبق. وهناك احتمال لتلوث التربة أو المياه الجوفية في حالة عدم إدارة ملاط غسيل الفحم بطريقة آمنة. </w:t>
      </w:r>
    </w:p>
    <w:p w:rsidR="00335E4B" w:rsidRPr="00335E4B" w:rsidRDefault="00335E4B" w:rsidP="00335E4B">
      <w:pPr>
        <w:keepNext/>
        <w:spacing w:before="120" w:after="120" w:line="400" w:lineRule="exact"/>
        <w:ind w:left="709" w:hanging="709"/>
        <w:jc w:val="both"/>
        <w:outlineLvl w:val="0"/>
        <w:rPr>
          <w:rFonts w:cs="Traditional Arabic"/>
          <w:b/>
          <w:bCs/>
          <w:sz w:val="30"/>
          <w:szCs w:val="30"/>
          <w:rtl/>
        </w:rPr>
      </w:pPr>
      <w:bookmarkStart w:id="485" w:name="_Toc440456838"/>
      <w:bookmarkStart w:id="486" w:name="_Toc440526904"/>
      <w:bookmarkStart w:id="487" w:name="_Toc440527757"/>
      <w:bookmarkStart w:id="488" w:name="_Toc440550458"/>
      <w:bookmarkStart w:id="489" w:name="_Toc441577715"/>
      <w:bookmarkStart w:id="490" w:name="_Toc441577894"/>
      <w:bookmarkStart w:id="491" w:name="_Toc441579120"/>
      <w:bookmarkStart w:id="492" w:name="_Toc441580728"/>
      <w:bookmarkStart w:id="493" w:name="_Toc441585859"/>
      <w:bookmarkStart w:id="494" w:name="_Toc441586195"/>
      <w:bookmarkStart w:id="495" w:name="_Toc441586645"/>
      <w:bookmarkStart w:id="496" w:name="_Toc441586824"/>
      <w:bookmarkStart w:id="497" w:name="_Toc441666673"/>
      <w:bookmarkStart w:id="498" w:name="_Toc441673734"/>
      <w:r w:rsidRPr="00335E4B">
        <w:rPr>
          <w:rFonts w:cs="Traditional Arabic"/>
          <w:b/>
          <w:bCs/>
          <w:sz w:val="30"/>
          <w:szCs w:val="30"/>
          <w:rtl/>
        </w:rPr>
        <w:t xml:space="preserve">مساهمة نُظم ضبط تلوث الهواء </w:t>
      </w:r>
      <w:r w:rsidRPr="00335E4B">
        <w:rPr>
          <w:rFonts w:cs="Traditional Arabic" w:hint="cs"/>
          <w:b/>
          <w:bCs/>
          <w:sz w:val="30"/>
          <w:szCs w:val="30"/>
          <w:rtl/>
        </w:rPr>
        <w:t>في</w:t>
      </w:r>
      <w:r w:rsidRPr="00335E4B">
        <w:rPr>
          <w:rFonts w:cs="Traditional Arabic"/>
          <w:b/>
          <w:bCs/>
          <w:sz w:val="30"/>
          <w:szCs w:val="30"/>
          <w:rtl/>
        </w:rPr>
        <w:t xml:space="preserve"> إزالة الزئبق</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rsidR="00335E4B" w:rsidRPr="00335E4B" w:rsidRDefault="00335E4B" w:rsidP="00335E4B">
      <w:pPr>
        <w:spacing w:after="100" w:line="360" w:lineRule="exact"/>
        <w:jc w:val="both"/>
        <w:rPr>
          <w:rFonts w:cs="Traditional Arabic"/>
          <w:sz w:val="20"/>
          <w:szCs w:val="30"/>
          <w:rtl/>
          <w:lang w:bidi="ar-EG"/>
        </w:rPr>
      </w:pPr>
      <w:r w:rsidRPr="00335E4B">
        <w:rPr>
          <w:rFonts w:cs="Traditional Arabic" w:hint="cs"/>
          <w:sz w:val="20"/>
          <w:szCs w:val="30"/>
          <w:rtl/>
          <w:lang w:bidi="ar-EG"/>
        </w:rPr>
        <w:t>تعمل</w:t>
      </w:r>
      <w:r w:rsidRPr="00335E4B">
        <w:rPr>
          <w:rFonts w:cs="Traditional Arabic"/>
          <w:sz w:val="20"/>
          <w:szCs w:val="30"/>
          <w:rtl/>
          <w:lang w:bidi="ar-EG"/>
        </w:rPr>
        <w:t xml:space="preserve"> نُظم ضبط تلوث الهواء التي تقام أساساً لضبط ثنائي أكسيد الكبريت أو كلوريد الهيدروجين أو الجسيمات الدقيقة </w:t>
      </w:r>
      <w:r w:rsidRPr="00335E4B">
        <w:rPr>
          <w:rFonts w:cs="Traditional Arabic" w:hint="cs"/>
          <w:sz w:val="20"/>
          <w:szCs w:val="30"/>
          <w:rtl/>
          <w:lang w:bidi="ar-EG"/>
        </w:rPr>
        <w:t xml:space="preserve">على </w:t>
      </w:r>
      <w:r w:rsidRPr="00335E4B">
        <w:rPr>
          <w:rFonts w:cs="Traditional Arabic"/>
          <w:sz w:val="20"/>
          <w:szCs w:val="30"/>
          <w:rtl/>
          <w:lang w:bidi="ar-EG"/>
        </w:rPr>
        <w:t xml:space="preserve">إزالة الزئبق من غاز المداخن. ويسمى ذلك المنافع المشتركة لإزالة </w:t>
      </w:r>
      <w:r w:rsidRPr="00335E4B">
        <w:rPr>
          <w:rFonts w:cs="Traditional Arabic" w:hint="cs"/>
          <w:sz w:val="20"/>
          <w:szCs w:val="30"/>
          <w:rtl/>
          <w:lang w:bidi="ar-EG"/>
        </w:rPr>
        <w:t>الزئبق</w:t>
      </w:r>
      <w:r w:rsidRPr="00335E4B">
        <w:rPr>
          <w:rFonts w:cs="Traditional Arabic"/>
          <w:sz w:val="20"/>
          <w:szCs w:val="30"/>
          <w:rtl/>
          <w:lang w:bidi="ar-EG"/>
        </w:rPr>
        <w:t xml:space="preserve">. وتتحقق المنافع المشتركة لإزالة </w:t>
      </w:r>
      <w:r w:rsidRPr="00335E4B">
        <w:rPr>
          <w:rFonts w:cs="Traditional Arabic" w:hint="cs"/>
          <w:sz w:val="20"/>
          <w:szCs w:val="30"/>
          <w:rtl/>
          <w:lang w:bidi="ar-EG"/>
        </w:rPr>
        <w:t>الزئبق</w:t>
      </w:r>
      <w:r w:rsidRPr="00335E4B">
        <w:rPr>
          <w:rFonts w:cs="Traditional Arabic"/>
          <w:sz w:val="20"/>
          <w:szCs w:val="30"/>
          <w:rtl/>
          <w:lang w:bidi="ar-EG"/>
        </w:rPr>
        <w:t xml:space="preserve"> من معدات ضبط تلوث الهواء غير الزئبقية في معظم الأحيان بطريقتين أساسيتين: إزالة الزئبق المؤكسد في جهاز تنظيف رطب لإزالة الكبريت من غاز المداخن وإزالة الزئبق العالق بالجسيمات الدقيقة في جهاز </w:t>
      </w:r>
      <w:r w:rsidRPr="00335E4B">
        <w:rPr>
          <w:rFonts w:cs="Traditional Arabic" w:hint="cs"/>
          <w:sz w:val="20"/>
          <w:szCs w:val="30"/>
          <w:rtl/>
          <w:lang w:bidi="ar-EG"/>
        </w:rPr>
        <w:t>ل</w:t>
      </w:r>
      <w:r w:rsidRPr="00335E4B">
        <w:rPr>
          <w:rFonts w:cs="Traditional Arabic"/>
          <w:sz w:val="20"/>
          <w:szCs w:val="30"/>
          <w:rtl/>
          <w:lang w:bidi="ar-EG"/>
        </w:rPr>
        <w:t xml:space="preserve">ضبط الجسيمات الدقيقة، مثل المرسِّب الكهروستاتيكي أو المرشح النسيجي. والمنافع المشتركة لإزالة الزئبق يمكن أن تتحقق أيضاً بأجهزة </w:t>
      </w:r>
      <w:r w:rsidRPr="00335E4B">
        <w:rPr>
          <w:rFonts w:cs="Traditional Arabic" w:hint="cs"/>
          <w:sz w:val="20"/>
          <w:szCs w:val="30"/>
          <w:rtl/>
          <w:lang w:bidi="ar-EG"/>
        </w:rPr>
        <w:t>الامتصاص المجففة</w:t>
      </w:r>
      <w:r w:rsidRPr="00335E4B">
        <w:rPr>
          <w:rFonts w:cs="Traditional Arabic"/>
          <w:sz w:val="20"/>
          <w:szCs w:val="30"/>
          <w:rtl/>
          <w:lang w:bidi="ar-EG"/>
        </w:rPr>
        <w:t xml:space="preserve"> بالرش. ويمكن تحقيق كميات متباينة من إزالة الزئبق حسب تشكيلة معدات مكافحة التلوث. ويتضمن الجدول 2 (سريفاستافا وآخرون، 2006؛ المكتب الأوروبي للمكافحة المتكاملة للتلوث ومنعه، 2013)</w:t>
      </w:r>
      <w:r w:rsidRPr="00335E4B">
        <w:rPr>
          <w:rFonts w:cs="Traditional Arabic" w:hint="cs"/>
          <w:sz w:val="20"/>
          <w:szCs w:val="30"/>
          <w:rtl/>
          <w:lang w:bidi="ar-EG"/>
        </w:rPr>
        <w:t xml:space="preserve"> لمحة عامة عن حجم المنافع المشتركة لإزالة الزئبق بالنسبة لتشكيلات مختلفة من نظم ضبط تلوث الهواء.</w:t>
      </w:r>
      <w:r w:rsidRPr="00335E4B">
        <w:rPr>
          <w:rFonts w:cs="Traditional Arabic"/>
          <w:sz w:val="20"/>
          <w:szCs w:val="30"/>
          <w:rtl/>
          <w:lang w:bidi="ar-EG"/>
        </w:rPr>
        <w:t xml:space="preserve"> وينبغي أن يلاحظ أن المنافع المشتركة لإزالة الزئبق كما ترد في الجدول 2 تتباين حسب خصائص الفحم والباراميترات التشغيلية لنُظم ضبط تلوث الهواء.</w:t>
      </w:r>
    </w:p>
    <w:p w:rsidR="00335E4B" w:rsidRPr="00335E4B" w:rsidRDefault="00335E4B" w:rsidP="00335E4B">
      <w:pPr>
        <w:keepNext/>
        <w:spacing w:after="240" w:line="360" w:lineRule="exact"/>
        <w:jc w:val="both"/>
        <w:outlineLvl w:val="0"/>
        <w:rPr>
          <w:rFonts w:cs="Traditional Arabic"/>
          <w:b/>
          <w:bCs/>
          <w:sz w:val="20"/>
          <w:szCs w:val="30"/>
          <w:rtl/>
          <w:lang w:bidi="ar-EG"/>
        </w:rPr>
      </w:pPr>
      <w:bookmarkStart w:id="499" w:name="_Toc440527758"/>
      <w:bookmarkStart w:id="500" w:name="_Toc440550459"/>
      <w:bookmarkStart w:id="501" w:name="_Toc441577716"/>
      <w:bookmarkStart w:id="502" w:name="_Toc441577895"/>
      <w:bookmarkStart w:id="503" w:name="_Toc441579121"/>
      <w:bookmarkStart w:id="504" w:name="_Toc441580729"/>
      <w:bookmarkStart w:id="505" w:name="_Toc441585860"/>
      <w:bookmarkStart w:id="506" w:name="_Toc441586196"/>
      <w:bookmarkStart w:id="507" w:name="_Toc441586646"/>
      <w:bookmarkStart w:id="508" w:name="_Toc441586825"/>
      <w:bookmarkStart w:id="509" w:name="_Toc441666674"/>
      <w:bookmarkStart w:id="510" w:name="_Toc441673735"/>
      <w:r w:rsidRPr="00335E4B">
        <w:rPr>
          <w:rFonts w:cs="Traditional Arabic"/>
          <w:b/>
          <w:bCs/>
          <w:sz w:val="20"/>
          <w:szCs w:val="30"/>
          <w:rtl/>
          <w:lang w:bidi="ar-EG"/>
        </w:rPr>
        <w:t>الجدول 2 -</w:t>
      </w:r>
      <w:r w:rsidRPr="00335E4B">
        <w:rPr>
          <w:rFonts w:cs="Traditional Arabic"/>
          <w:b/>
          <w:bCs/>
          <w:sz w:val="20"/>
          <w:szCs w:val="30"/>
          <w:rtl/>
          <w:lang w:bidi="ar-EG"/>
        </w:rPr>
        <w:tab/>
      </w:r>
      <w:r w:rsidRPr="00335E4B">
        <w:rPr>
          <w:rFonts w:cs="Traditional Arabic" w:hint="cs"/>
          <w:b/>
          <w:bCs/>
          <w:sz w:val="20"/>
          <w:szCs w:val="30"/>
          <w:rtl/>
          <w:lang w:bidi="ar-EG"/>
        </w:rPr>
        <w:t>لمحة</w:t>
      </w:r>
      <w:r w:rsidRPr="00335E4B">
        <w:rPr>
          <w:rFonts w:cs="Traditional Arabic"/>
          <w:b/>
          <w:bCs/>
          <w:sz w:val="20"/>
          <w:szCs w:val="30"/>
          <w:rtl/>
          <w:lang w:bidi="ar-EG"/>
        </w:rPr>
        <w:t xml:space="preserve"> عامة </w:t>
      </w:r>
      <w:r w:rsidRPr="00335E4B">
        <w:rPr>
          <w:rFonts w:cs="Traditional Arabic" w:hint="cs"/>
          <w:b/>
          <w:bCs/>
          <w:sz w:val="20"/>
          <w:szCs w:val="30"/>
          <w:rtl/>
          <w:lang w:bidi="ar-EG"/>
        </w:rPr>
        <w:t>عن</w:t>
      </w:r>
      <w:r w:rsidRPr="00335E4B">
        <w:rPr>
          <w:rFonts w:cs="Traditional Arabic"/>
          <w:b/>
          <w:bCs/>
          <w:sz w:val="20"/>
          <w:szCs w:val="30"/>
          <w:rtl/>
          <w:lang w:bidi="ar-EG"/>
        </w:rPr>
        <w:t xml:space="preserve"> المنافع المشتركة لإزالة الزئبق في نُظم ضبط تلوث الهواء</w:t>
      </w:r>
      <w:bookmarkEnd w:id="499"/>
      <w:bookmarkEnd w:id="500"/>
      <w:bookmarkEnd w:id="501"/>
      <w:bookmarkEnd w:id="502"/>
      <w:bookmarkEnd w:id="503"/>
      <w:bookmarkEnd w:id="504"/>
      <w:bookmarkEnd w:id="505"/>
      <w:bookmarkEnd w:id="506"/>
      <w:bookmarkEnd w:id="507"/>
      <w:bookmarkEnd w:id="508"/>
      <w:bookmarkEnd w:id="509"/>
      <w:bookmarkEnd w:id="510"/>
    </w:p>
    <w:tbl>
      <w:tblPr>
        <w:bidiVisual/>
        <w:tblW w:w="5000" w:type="pct"/>
        <w:tblBorders>
          <w:top w:val="single" w:sz="4" w:space="0" w:color="auto"/>
          <w:bottom w:val="single" w:sz="4" w:space="0" w:color="auto"/>
        </w:tblBorders>
        <w:tblLayout w:type="fixed"/>
        <w:tblLook w:val="0000" w:firstRow="0" w:lastRow="0" w:firstColumn="0" w:lastColumn="0" w:noHBand="0" w:noVBand="0"/>
      </w:tblPr>
      <w:tblGrid>
        <w:gridCol w:w="2644"/>
        <w:gridCol w:w="7068"/>
      </w:tblGrid>
      <w:tr w:rsidR="00335E4B" w:rsidRPr="00335E4B" w:rsidTr="00D002D1">
        <w:trPr>
          <w:trHeight w:val="20"/>
          <w:tblHeader/>
        </w:trPr>
        <w:tc>
          <w:tcPr>
            <w:tcW w:w="1361" w:type="pct"/>
            <w:tcBorders>
              <w:top w:val="single" w:sz="4" w:space="0" w:color="auto"/>
              <w:bottom w:val="single" w:sz="4" w:space="0" w:color="auto"/>
            </w:tcBorders>
            <w:noWrap/>
          </w:tcPr>
          <w:p w:rsidR="00335E4B" w:rsidRPr="00335E4B" w:rsidRDefault="00335E4B" w:rsidP="00335E4B">
            <w:pPr>
              <w:keepNext/>
              <w:keepLines/>
              <w:suppressAutoHyphens/>
              <w:overflowPunct w:val="0"/>
              <w:autoSpaceDE w:val="0"/>
              <w:spacing w:after="120" w:line="340" w:lineRule="exact"/>
              <w:jc w:val="both"/>
              <w:textAlignment w:val="baseline"/>
              <w:rPr>
                <w:rFonts w:ascii="Times New Roman Bold" w:eastAsia="SimSun" w:hAnsi="Times New Roman Bold" w:cs="Traditional Arabic"/>
                <w:bCs/>
                <w:spacing w:val="-3"/>
                <w:sz w:val="18"/>
                <w:szCs w:val="30"/>
                <w:lang w:eastAsia="ar-SA"/>
              </w:rPr>
            </w:pPr>
            <w:r w:rsidRPr="00335E4B">
              <w:rPr>
                <w:rFonts w:cs="Traditional Arabic"/>
                <w:bCs/>
                <w:spacing w:val="-3"/>
                <w:sz w:val="18"/>
                <w:szCs w:val="30"/>
                <w:rtl/>
                <w:lang w:eastAsia="ar-SA"/>
              </w:rPr>
              <w:t>معدات الضبط الموجودة</w:t>
            </w:r>
          </w:p>
        </w:tc>
        <w:tc>
          <w:tcPr>
            <w:tcW w:w="3639" w:type="pct"/>
            <w:tcBorders>
              <w:top w:val="single" w:sz="4" w:space="0" w:color="auto"/>
              <w:bottom w:val="single" w:sz="4" w:space="0" w:color="auto"/>
            </w:tcBorders>
            <w:noWrap/>
          </w:tcPr>
          <w:p w:rsidR="00335E4B" w:rsidRPr="00335E4B" w:rsidRDefault="00335E4B" w:rsidP="00335E4B">
            <w:pPr>
              <w:keepNext/>
              <w:keepLines/>
              <w:suppressAutoHyphens/>
              <w:overflowPunct w:val="0"/>
              <w:autoSpaceDE w:val="0"/>
              <w:spacing w:after="120" w:line="340" w:lineRule="exact"/>
              <w:jc w:val="both"/>
              <w:textAlignment w:val="baseline"/>
              <w:rPr>
                <w:rFonts w:ascii="Times New Roman Bold" w:eastAsia="SimSun" w:hAnsi="Times New Roman Bold" w:cs="Traditional Arabic"/>
                <w:bCs/>
                <w:spacing w:val="-3"/>
                <w:sz w:val="18"/>
                <w:szCs w:val="30"/>
                <w:lang w:eastAsia="ar-SA"/>
              </w:rPr>
            </w:pPr>
            <w:r w:rsidRPr="00335E4B">
              <w:rPr>
                <w:rFonts w:cs="Traditional Arabic"/>
                <w:bCs/>
                <w:spacing w:val="-3"/>
                <w:sz w:val="18"/>
                <w:szCs w:val="30"/>
                <w:rtl/>
                <w:lang w:eastAsia="ar-SA"/>
              </w:rPr>
              <w:t>التقاط الزئبق النوعي</w:t>
            </w:r>
          </w:p>
        </w:tc>
      </w:tr>
      <w:tr w:rsidR="00335E4B" w:rsidRPr="00335E4B" w:rsidTr="00D002D1">
        <w:trPr>
          <w:trHeight w:val="20"/>
        </w:trPr>
        <w:tc>
          <w:tcPr>
            <w:tcW w:w="1361" w:type="pct"/>
            <w:tcBorders>
              <w:top w:val="single" w:sz="4" w:space="0" w:color="auto"/>
            </w:tcBorders>
          </w:tcPr>
          <w:p w:rsidR="00335E4B" w:rsidRPr="00335E4B" w:rsidRDefault="00335E4B" w:rsidP="00335E4B">
            <w:pPr>
              <w:keepNext/>
              <w:keepLines/>
              <w:suppressAutoHyphens/>
              <w:overflowPunct w:val="0"/>
              <w:autoSpaceDE w:val="0"/>
              <w:spacing w:after="120" w:line="340" w:lineRule="exact"/>
              <w:jc w:val="both"/>
              <w:textAlignment w:val="baseline"/>
              <w:rPr>
                <w:rFonts w:cs="Traditional Arabic"/>
                <w:spacing w:val="-3"/>
                <w:sz w:val="18"/>
                <w:szCs w:val="30"/>
                <w:lang w:eastAsia="ar-SA"/>
              </w:rPr>
            </w:pPr>
            <w:r w:rsidRPr="00335E4B">
              <w:rPr>
                <w:rFonts w:eastAsia="SimSun" w:cs="Traditional Arabic"/>
                <w:spacing w:val="-3"/>
                <w:sz w:val="18"/>
                <w:szCs w:val="30"/>
                <w:lang w:eastAsia="ar-SA"/>
              </w:rPr>
              <w:t>ESPc</w:t>
            </w:r>
            <w:r w:rsidRPr="00335E4B">
              <w:rPr>
                <w:rFonts w:cs="Traditional Arabic"/>
                <w:spacing w:val="-3"/>
                <w:sz w:val="18"/>
                <w:szCs w:val="30"/>
                <w:rtl/>
                <w:lang w:eastAsia="ar-SA" w:bidi="ar-EG"/>
              </w:rPr>
              <w:t xml:space="preserve"> فقط</w:t>
            </w:r>
          </w:p>
        </w:tc>
        <w:tc>
          <w:tcPr>
            <w:tcW w:w="3639" w:type="pct"/>
            <w:tcBorders>
              <w:top w:val="single" w:sz="4" w:space="0" w:color="auto"/>
            </w:tcBorders>
            <w:vAlign w:val="center"/>
          </w:tcPr>
          <w:p w:rsidR="00335E4B" w:rsidRPr="00335E4B" w:rsidRDefault="00335E4B" w:rsidP="00335E4B">
            <w:pPr>
              <w:keepNext/>
              <w:keepLines/>
              <w:suppressAutoHyphens/>
              <w:overflowPunct w:val="0"/>
              <w:autoSpaceDE w:val="0"/>
              <w:spacing w:after="120" w:line="340" w:lineRule="exact"/>
              <w:jc w:val="both"/>
              <w:textAlignment w:val="baseline"/>
              <w:rPr>
                <w:rFonts w:ascii="Times New Roman Bold" w:eastAsia="SimSun" w:hAnsi="Times New Roman Bold" w:cs="Traditional Arabic"/>
                <w:spacing w:val="-3"/>
                <w:sz w:val="18"/>
                <w:szCs w:val="30"/>
                <w:lang w:eastAsia="ar-SA"/>
              </w:rPr>
            </w:pPr>
            <w:r w:rsidRPr="00335E4B">
              <w:rPr>
                <w:rFonts w:cs="Traditional Arabic"/>
                <w:spacing w:val="-3"/>
                <w:sz w:val="18"/>
                <w:szCs w:val="30"/>
                <w:rtl/>
                <w:lang w:eastAsia="ar-SA"/>
              </w:rPr>
              <w:t xml:space="preserve">التقاط جيد للزئبق العالق بالجسيمات؛ التقاط </w:t>
            </w:r>
            <w:r w:rsidRPr="00335E4B">
              <w:rPr>
                <w:rFonts w:cs="Traditional Arabic" w:hint="cs"/>
                <w:spacing w:val="-3"/>
                <w:sz w:val="18"/>
                <w:szCs w:val="30"/>
                <w:rtl/>
                <w:lang w:eastAsia="ar-SA"/>
              </w:rPr>
              <w:t xml:space="preserve">أفضل من </w:t>
            </w:r>
            <w:r w:rsidRPr="00335E4B">
              <w:rPr>
                <w:rFonts w:cs="Traditional Arabic"/>
                <w:spacing w:val="-3"/>
                <w:sz w:val="18"/>
                <w:szCs w:val="30"/>
                <w:rtl/>
                <w:lang w:eastAsia="ar-SA"/>
              </w:rPr>
              <w:t xml:space="preserve">أنواع الفحم </w:t>
            </w:r>
            <w:r w:rsidRPr="00335E4B">
              <w:rPr>
                <w:rFonts w:cs="Traditional Arabic" w:hint="cs"/>
                <w:spacing w:val="-3"/>
                <w:sz w:val="18"/>
                <w:szCs w:val="30"/>
                <w:rtl/>
                <w:lang w:eastAsia="ar-SA"/>
              </w:rPr>
              <w:t xml:space="preserve">المرتفع </w:t>
            </w:r>
            <w:r w:rsidRPr="00335E4B">
              <w:rPr>
                <w:rFonts w:cs="Traditional Arabic"/>
                <w:spacing w:val="-3"/>
                <w:sz w:val="18"/>
                <w:szCs w:val="30"/>
                <w:rtl/>
                <w:lang w:eastAsia="ar-SA"/>
              </w:rPr>
              <w:t>الكلور عن أنواع الفحم المنخفضة الجودة</w:t>
            </w:r>
          </w:p>
        </w:tc>
      </w:tr>
      <w:tr w:rsidR="00335E4B" w:rsidRPr="00335E4B" w:rsidTr="00D002D1">
        <w:trPr>
          <w:trHeight w:val="20"/>
        </w:trPr>
        <w:tc>
          <w:tcPr>
            <w:tcW w:w="1361" w:type="pct"/>
          </w:tcPr>
          <w:p w:rsidR="00335E4B" w:rsidRPr="00335E4B" w:rsidRDefault="00335E4B" w:rsidP="00335E4B">
            <w:pPr>
              <w:keepNext/>
              <w:keepLines/>
              <w:suppressAutoHyphens/>
              <w:overflowPunct w:val="0"/>
              <w:autoSpaceDE w:val="0"/>
              <w:spacing w:after="120" w:line="340" w:lineRule="exact"/>
              <w:jc w:val="both"/>
              <w:textAlignment w:val="baseline"/>
              <w:rPr>
                <w:rFonts w:cs="Traditional Arabic"/>
                <w:spacing w:val="-3"/>
                <w:sz w:val="18"/>
                <w:szCs w:val="30"/>
                <w:lang w:eastAsia="ar-SA"/>
              </w:rPr>
            </w:pPr>
            <w:r w:rsidRPr="00335E4B">
              <w:rPr>
                <w:rFonts w:eastAsia="SimSun" w:cs="Traditional Arabic"/>
                <w:spacing w:val="-3"/>
                <w:sz w:val="18"/>
                <w:szCs w:val="30"/>
                <w:lang w:eastAsia="ar-SA"/>
              </w:rPr>
              <w:t>ESPh</w:t>
            </w:r>
            <w:r w:rsidRPr="00335E4B">
              <w:rPr>
                <w:rFonts w:cs="Traditional Arabic"/>
                <w:spacing w:val="-3"/>
                <w:sz w:val="18"/>
                <w:szCs w:val="30"/>
                <w:rtl/>
                <w:lang w:eastAsia="ar-SA" w:bidi="ar-EG"/>
              </w:rPr>
              <w:t xml:space="preserve"> فقط</w:t>
            </w:r>
          </w:p>
        </w:tc>
        <w:tc>
          <w:tcPr>
            <w:tcW w:w="3639" w:type="pct"/>
            <w:vAlign w:val="center"/>
          </w:tcPr>
          <w:p w:rsidR="00335E4B" w:rsidRPr="00335E4B" w:rsidRDefault="00335E4B" w:rsidP="00335E4B">
            <w:pPr>
              <w:keepNext/>
              <w:keepLines/>
              <w:suppressAutoHyphens/>
              <w:overflowPunct w:val="0"/>
              <w:autoSpaceDE w:val="0"/>
              <w:spacing w:after="120" w:line="340" w:lineRule="exact"/>
              <w:jc w:val="both"/>
              <w:textAlignment w:val="baseline"/>
              <w:rPr>
                <w:rFonts w:ascii="Times New Roman Bold" w:eastAsia="SimSun" w:hAnsi="Times New Roman Bold" w:cs="Traditional Arabic"/>
                <w:spacing w:val="-3"/>
                <w:sz w:val="18"/>
                <w:szCs w:val="30"/>
                <w:lang w:eastAsia="ar-SA"/>
              </w:rPr>
            </w:pPr>
            <w:r w:rsidRPr="00335E4B">
              <w:rPr>
                <w:rFonts w:cs="Traditional Arabic"/>
                <w:spacing w:val="-3"/>
                <w:sz w:val="18"/>
                <w:szCs w:val="30"/>
                <w:rtl/>
                <w:lang w:eastAsia="ar-SA"/>
              </w:rPr>
              <w:t>التقاط منخفض</w:t>
            </w:r>
          </w:p>
        </w:tc>
      </w:tr>
      <w:tr w:rsidR="00335E4B" w:rsidRPr="00335E4B" w:rsidTr="00D002D1">
        <w:trPr>
          <w:trHeight w:val="20"/>
        </w:trPr>
        <w:tc>
          <w:tcPr>
            <w:tcW w:w="1361" w:type="pct"/>
          </w:tcPr>
          <w:p w:rsidR="00335E4B" w:rsidRPr="00335E4B" w:rsidRDefault="00335E4B" w:rsidP="00335E4B">
            <w:pPr>
              <w:keepNext/>
              <w:keepLines/>
              <w:suppressAutoHyphens/>
              <w:overflowPunct w:val="0"/>
              <w:autoSpaceDE w:val="0"/>
              <w:spacing w:after="120" w:line="340" w:lineRule="exact"/>
              <w:jc w:val="both"/>
              <w:textAlignment w:val="baseline"/>
              <w:rPr>
                <w:rFonts w:cs="Traditional Arabic"/>
                <w:spacing w:val="-3"/>
                <w:sz w:val="18"/>
                <w:szCs w:val="30"/>
                <w:rtl/>
                <w:lang w:eastAsia="ar-SA" w:bidi="ar-EG"/>
              </w:rPr>
            </w:pPr>
            <w:r w:rsidRPr="00335E4B">
              <w:rPr>
                <w:rFonts w:eastAsia="SimSun" w:cs="Traditional Arabic"/>
                <w:spacing w:val="-3"/>
                <w:sz w:val="18"/>
                <w:szCs w:val="30"/>
                <w:lang w:eastAsia="ar-SA"/>
              </w:rPr>
              <w:t>FF</w:t>
            </w:r>
            <w:r w:rsidRPr="00335E4B">
              <w:rPr>
                <w:rFonts w:cs="Traditional Arabic"/>
                <w:spacing w:val="-3"/>
                <w:sz w:val="18"/>
                <w:szCs w:val="30"/>
                <w:rtl/>
                <w:lang w:eastAsia="ar-SA" w:bidi="ar-EG"/>
              </w:rPr>
              <w:t xml:space="preserve"> فقط </w:t>
            </w:r>
          </w:p>
        </w:tc>
        <w:tc>
          <w:tcPr>
            <w:tcW w:w="3639" w:type="pct"/>
            <w:vAlign w:val="center"/>
          </w:tcPr>
          <w:p w:rsidR="00335E4B" w:rsidRPr="00335E4B" w:rsidRDefault="00335E4B" w:rsidP="00335E4B">
            <w:pPr>
              <w:keepNext/>
              <w:keepLines/>
              <w:suppressAutoHyphens/>
              <w:overflowPunct w:val="0"/>
              <w:autoSpaceDE w:val="0"/>
              <w:spacing w:after="120" w:line="340" w:lineRule="exact"/>
              <w:jc w:val="both"/>
              <w:textAlignment w:val="baseline"/>
              <w:rPr>
                <w:rFonts w:ascii="Times New Roman Bold" w:eastAsia="SimSun" w:hAnsi="Times New Roman Bold" w:cs="Traditional Arabic"/>
                <w:spacing w:val="-3"/>
                <w:sz w:val="18"/>
                <w:szCs w:val="30"/>
                <w:lang w:eastAsia="ar-SA"/>
              </w:rPr>
            </w:pPr>
            <w:r w:rsidRPr="00335E4B">
              <w:rPr>
                <w:rFonts w:cs="Traditional Arabic"/>
                <w:spacing w:val="-3"/>
                <w:sz w:val="18"/>
                <w:szCs w:val="30"/>
                <w:rtl/>
                <w:lang w:eastAsia="ar-SA"/>
              </w:rPr>
              <w:t>التقاط جيد للزئبق المؤكسد</w:t>
            </w:r>
          </w:p>
        </w:tc>
      </w:tr>
      <w:tr w:rsidR="00335E4B" w:rsidRPr="00335E4B" w:rsidTr="00D002D1">
        <w:trPr>
          <w:trHeight w:val="20"/>
        </w:trPr>
        <w:tc>
          <w:tcPr>
            <w:tcW w:w="1361" w:type="pct"/>
          </w:tcPr>
          <w:p w:rsidR="00335E4B" w:rsidRPr="00335E4B" w:rsidRDefault="00335E4B" w:rsidP="00335E4B">
            <w:pPr>
              <w:keepNext/>
              <w:keepLines/>
              <w:suppressAutoHyphens/>
              <w:overflowPunct w:val="0"/>
              <w:autoSpaceDE w:val="0"/>
              <w:spacing w:after="120" w:line="340" w:lineRule="exact"/>
              <w:jc w:val="both"/>
              <w:textAlignment w:val="baseline"/>
              <w:rPr>
                <w:rFonts w:eastAsia="SimSun" w:cs="Traditional Arabic"/>
                <w:spacing w:val="-3"/>
                <w:sz w:val="18"/>
                <w:szCs w:val="20"/>
                <w:lang w:eastAsia="ar-SA"/>
              </w:rPr>
            </w:pPr>
            <w:r w:rsidRPr="00335E4B">
              <w:rPr>
                <w:rFonts w:eastAsia="SimSun" w:cs="Traditional Arabic"/>
                <w:spacing w:val="-3"/>
                <w:sz w:val="18"/>
                <w:szCs w:val="20"/>
                <w:lang w:eastAsia="ar-SA"/>
              </w:rPr>
              <w:t>ESPc + wet FGD</w:t>
            </w:r>
          </w:p>
        </w:tc>
        <w:tc>
          <w:tcPr>
            <w:tcW w:w="3639" w:type="pct"/>
            <w:vAlign w:val="center"/>
          </w:tcPr>
          <w:p w:rsidR="00335E4B" w:rsidRPr="00335E4B" w:rsidRDefault="00335E4B" w:rsidP="00335E4B">
            <w:pPr>
              <w:keepNext/>
              <w:keepLines/>
              <w:suppressAutoHyphens/>
              <w:overflowPunct w:val="0"/>
              <w:autoSpaceDE w:val="0"/>
              <w:spacing w:after="120" w:line="340" w:lineRule="exact"/>
              <w:jc w:val="both"/>
              <w:textAlignment w:val="baseline"/>
              <w:rPr>
                <w:rFonts w:ascii="Times New Roman Bold" w:eastAsia="SimSun" w:hAnsi="Times New Roman Bold" w:cs="Traditional Arabic"/>
                <w:spacing w:val="-3"/>
                <w:sz w:val="18"/>
                <w:szCs w:val="30"/>
                <w:lang w:eastAsia="ar-SA"/>
              </w:rPr>
            </w:pPr>
            <w:r w:rsidRPr="00335E4B">
              <w:rPr>
                <w:rFonts w:cs="Traditional Arabic" w:hint="cs"/>
                <w:spacing w:val="-3"/>
                <w:sz w:val="18"/>
                <w:szCs w:val="30"/>
                <w:rtl/>
                <w:lang w:eastAsia="ar-SA"/>
              </w:rPr>
              <w:t>بوجه عام</w:t>
            </w:r>
            <w:r w:rsidRPr="00335E4B">
              <w:rPr>
                <w:rFonts w:cs="Traditional Arabic"/>
                <w:spacing w:val="-3"/>
                <w:sz w:val="18"/>
                <w:szCs w:val="30"/>
                <w:rtl/>
                <w:lang w:eastAsia="ar-SA"/>
              </w:rPr>
              <w:t xml:space="preserve">، التقاط جيد </w:t>
            </w:r>
            <w:r w:rsidRPr="00335E4B">
              <w:rPr>
                <w:rFonts w:cs="Traditional Arabic" w:hint="cs"/>
                <w:spacing w:val="-3"/>
                <w:sz w:val="18"/>
                <w:szCs w:val="30"/>
                <w:rtl/>
                <w:lang w:eastAsia="ar-SA"/>
              </w:rPr>
              <w:t xml:space="preserve">من </w:t>
            </w:r>
            <w:r w:rsidRPr="00335E4B">
              <w:rPr>
                <w:rFonts w:cs="Traditional Arabic"/>
                <w:spacing w:val="-3"/>
                <w:sz w:val="18"/>
                <w:szCs w:val="30"/>
                <w:rtl/>
                <w:lang w:eastAsia="ar-SA"/>
              </w:rPr>
              <w:t>أنواع الفحم المرتفع</w:t>
            </w:r>
            <w:r w:rsidRPr="00335E4B">
              <w:rPr>
                <w:rFonts w:cs="Traditional Arabic" w:hint="cs"/>
                <w:spacing w:val="-3"/>
                <w:sz w:val="18"/>
                <w:szCs w:val="30"/>
                <w:rtl/>
                <w:lang w:eastAsia="ar-SA"/>
              </w:rPr>
              <w:t>ة</w:t>
            </w:r>
            <w:r w:rsidRPr="00335E4B">
              <w:rPr>
                <w:rFonts w:cs="Traditional Arabic"/>
                <w:spacing w:val="-3"/>
                <w:sz w:val="18"/>
                <w:szCs w:val="30"/>
                <w:rtl/>
                <w:lang w:eastAsia="ar-SA"/>
              </w:rPr>
              <w:t xml:space="preserve"> الكلور بفضل وجود زئبق مؤكسد </w:t>
            </w:r>
            <w:r w:rsidRPr="00335E4B">
              <w:rPr>
                <w:rFonts w:cs="Traditional Arabic" w:hint="cs"/>
                <w:spacing w:val="-3"/>
                <w:sz w:val="18"/>
                <w:szCs w:val="30"/>
                <w:rtl/>
                <w:lang w:eastAsia="ar-SA"/>
              </w:rPr>
              <w:t xml:space="preserve">قابل للذوبان </w:t>
            </w:r>
            <w:r w:rsidRPr="00335E4B">
              <w:rPr>
                <w:rFonts w:cs="Traditional Arabic"/>
                <w:spacing w:val="-3"/>
                <w:sz w:val="18"/>
                <w:szCs w:val="30"/>
                <w:rtl/>
                <w:lang w:eastAsia="ar-SA"/>
              </w:rPr>
              <w:t xml:space="preserve">في غاز المدخنة. والتقاط سيئ نسبياً </w:t>
            </w:r>
            <w:r w:rsidRPr="00335E4B">
              <w:rPr>
                <w:rFonts w:cs="Traditional Arabic" w:hint="cs"/>
                <w:spacing w:val="-3"/>
                <w:sz w:val="18"/>
                <w:szCs w:val="30"/>
                <w:rtl/>
                <w:lang w:eastAsia="ar-SA"/>
              </w:rPr>
              <w:t xml:space="preserve">من </w:t>
            </w:r>
            <w:r w:rsidRPr="00335E4B">
              <w:rPr>
                <w:rFonts w:cs="Traditional Arabic"/>
                <w:spacing w:val="-3"/>
                <w:sz w:val="18"/>
                <w:szCs w:val="30"/>
                <w:rtl/>
                <w:lang w:eastAsia="ar-SA"/>
              </w:rPr>
              <w:t>أنواع الفحم المنخفضة</w:t>
            </w:r>
            <w:r w:rsidRPr="00335E4B">
              <w:rPr>
                <w:rFonts w:cs="Traditional Arabic" w:hint="cs"/>
                <w:spacing w:val="-3"/>
                <w:sz w:val="18"/>
                <w:szCs w:val="30"/>
                <w:rtl/>
                <w:lang w:eastAsia="ar-SA"/>
              </w:rPr>
              <w:t xml:space="preserve"> الجودة</w:t>
            </w:r>
            <w:r w:rsidRPr="00335E4B">
              <w:rPr>
                <w:rFonts w:cs="Traditional Arabic"/>
                <w:spacing w:val="-3"/>
                <w:sz w:val="18"/>
                <w:szCs w:val="30"/>
                <w:rtl/>
                <w:lang w:eastAsia="ar-SA"/>
              </w:rPr>
              <w:t>. و</w:t>
            </w:r>
            <w:r w:rsidRPr="00335E4B">
              <w:rPr>
                <w:rFonts w:cs="Traditional Arabic" w:hint="cs"/>
                <w:spacing w:val="-3"/>
                <w:sz w:val="18"/>
                <w:szCs w:val="30"/>
                <w:rtl/>
                <w:lang w:eastAsia="ar-SA"/>
              </w:rPr>
              <w:t xml:space="preserve">يمكن أن تؤدي </w:t>
            </w:r>
            <w:r w:rsidRPr="00335E4B">
              <w:rPr>
                <w:rFonts w:cs="Traditional Arabic"/>
                <w:spacing w:val="-3"/>
                <w:sz w:val="18"/>
                <w:szCs w:val="30"/>
                <w:rtl/>
                <w:lang w:eastAsia="ar-SA"/>
              </w:rPr>
              <w:t xml:space="preserve">إعادة انبعاث الزئبق النقي </w:t>
            </w:r>
            <w:r w:rsidRPr="00335E4B">
              <w:rPr>
                <w:rFonts w:cs="Traditional Arabic" w:hint="cs"/>
                <w:spacing w:val="-3"/>
                <w:sz w:val="18"/>
                <w:szCs w:val="30"/>
                <w:rtl/>
                <w:lang w:eastAsia="ar-SA"/>
              </w:rPr>
              <w:t xml:space="preserve">إلى تخفيض </w:t>
            </w:r>
            <w:r w:rsidRPr="00335E4B">
              <w:rPr>
                <w:rFonts w:cs="Traditional Arabic"/>
                <w:spacing w:val="-3"/>
                <w:sz w:val="18"/>
                <w:szCs w:val="30"/>
                <w:rtl/>
                <w:lang w:eastAsia="ar-SA"/>
              </w:rPr>
              <w:t xml:space="preserve">مقدار المنافع المشتركة. </w:t>
            </w:r>
          </w:p>
        </w:tc>
      </w:tr>
      <w:tr w:rsidR="00335E4B" w:rsidRPr="00335E4B" w:rsidTr="00D002D1">
        <w:trPr>
          <w:trHeight w:val="20"/>
        </w:trPr>
        <w:tc>
          <w:tcPr>
            <w:tcW w:w="1361" w:type="pct"/>
          </w:tcPr>
          <w:p w:rsidR="00335E4B" w:rsidRPr="00335E4B" w:rsidRDefault="00335E4B" w:rsidP="00335E4B">
            <w:pPr>
              <w:suppressAutoHyphens/>
              <w:overflowPunct w:val="0"/>
              <w:autoSpaceDE w:val="0"/>
              <w:spacing w:after="120" w:line="340" w:lineRule="exact"/>
              <w:jc w:val="both"/>
              <w:textAlignment w:val="baseline"/>
              <w:rPr>
                <w:rFonts w:eastAsia="SimSun" w:cs="Traditional Arabic"/>
                <w:spacing w:val="-3"/>
                <w:sz w:val="18"/>
                <w:szCs w:val="20"/>
                <w:lang w:eastAsia="ar-SA"/>
              </w:rPr>
            </w:pPr>
            <w:r w:rsidRPr="00335E4B">
              <w:rPr>
                <w:rFonts w:eastAsia="SimSun" w:cs="Traditional Arabic"/>
                <w:spacing w:val="-3"/>
                <w:sz w:val="18"/>
                <w:szCs w:val="20"/>
                <w:lang w:eastAsia="ar-SA"/>
              </w:rPr>
              <w:t>ESPh + wet FGD</w:t>
            </w:r>
          </w:p>
        </w:tc>
        <w:tc>
          <w:tcPr>
            <w:tcW w:w="3639" w:type="pct"/>
            <w:vAlign w:val="center"/>
          </w:tcPr>
          <w:p w:rsidR="00335E4B" w:rsidRPr="00335E4B" w:rsidRDefault="00335E4B" w:rsidP="00335E4B">
            <w:pPr>
              <w:suppressAutoHyphens/>
              <w:overflowPunct w:val="0"/>
              <w:autoSpaceDE w:val="0"/>
              <w:spacing w:after="120" w:line="340" w:lineRule="exact"/>
              <w:jc w:val="both"/>
              <w:textAlignment w:val="baseline"/>
              <w:rPr>
                <w:rFonts w:ascii="Times New Roman Bold" w:eastAsia="SimSun" w:hAnsi="Times New Roman Bold" w:cs="Traditional Arabic"/>
                <w:spacing w:val="-3"/>
                <w:sz w:val="18"/>
                <w:szCs w:val="30"/>
                <w:lang w:eastAsia="ar-SA" w:bidi="ar-EG"/>
              </w:rPr>
            </w:pPr>
            <w:r w:rsidRPr="00335E4B">
              <w:rPr>
                <w:rFonts w:cs="Traditional Arabic" w:hint="cs"/>
                <w:spacing w:val="-3"/>
                <w:sz w:val="18"/>
                <w:szCs w:val="30"/>
                <w:rtl/>
                <w:lang w:eastAsia="ar-SA"/>
              </w:rPr>
              <w:t>بوجه عام</w:t>
            </w:r>
            <w:r w:rsidRPr="00335E4B">
              <w:rPr>
                <w:rFonts w:cs="Traditional Arabic"/>
                <w:spacing w:val="-3"/>
                <w:sz w:val="18"/>
                <w:szCs w:val="30"/>
                <w:rtl/>
                <w:lang w:eastAsia="ar-SA"/>
              </w:rPr>
              <w:t xml:space="preserve">، التقاط جيد </w:t>
            </w:r>
            <w:r w:rsidRPr="00335E4B">
              <w:rPr>
                <w:rFonts w:cs="Traditional Arabic" w:hint="cs"/>
                <w:spacing w:val="-3"/>
                <w:sz w:val="18"/>
                <w:szCs w:val="30"/>
                <w:rtl/>
                <w:lang w:eastAsia="ar-SA"/>
              </w:rPr>
              <w:t>من</w:t>
            </w:r>
            <w:r w:rsidRPr="00335E4B">
              <w:rPr>
                <w:rFonts w:cs="Traditional Arabic"/>
                <w:spacing w:val="-3"/>
                <w:sz w:val="18"/>
                <w:szCs w:val="30"/>
                <w:rtl/>
                <w:lang w:eastAsia="ar-SA"/>
              </w:rPr>
              <w:t xml:space="preserve"> أنواع الفحم المرتفع</w:t>
            </w:r>
            <w:r w:rsidRPr="00335E4B">
              <w:rPr>
                <w:rFonts w:cs="Traditional Arabic" w:hint="cs"/>
                <w:spacing w:val="-3"/>
                <w:sz w:val="18"/>
                <w:szCs w:val="30"/>
                <w:rtl/>
                <w:lang w:eastAsia="ar-SA"/>
              </w:rPr>
              <w:t>ة</w:t>
            </w:r>
            <w:r w:rsidRPr="00335E4B">
              <w:rPr>
                <w:rFonts w:cs="Traditional Arabic"/>
                <w:spacing w:val="-3"/>
                <w:sz w:val="18"/>
                <w:szCs w:val="30"/>
                <w:rtl/>
                <w:lang w:eastAsia="ar-SA"/>
              </w:rPr>
              <w:t xml:space="preserve"> الكلور</w:t>
            </w:r>
            <w:r w:rsidRPr="00335E4B">
              <w:rPr>
                <w:rFonts w:cs="Traditional Arabic" w:hint="cs"/>
                <w:spacing w:val="-3"/>
                <w:sz w:val="18"/>
                <w:szCs w:val="30"/>
                <w:rtl/>
                <w:lang w:eastAsia="ar-SA"/>
              </w:rPr>
              <w:t>.</w:t>
            </w:r>
            <w:r w:rsidRPr="00335E4B">
              <w:rPr>
                <w:rFonts w:cs="Traditional Arabic"/>
                <w:spacing w:val="-3"/>
                <w:sz w:val="18"/>
                <w:szCs w:val="30"/>
                <w:rtl/>
                <w:lang w:eastAsia="ar-SA"/>
              </w:rPr>
              <w:t xml:space="preserve"> بفضل وجود الزئبق المؤكسد القابل للذوبان في غاز المدخنة. والتقاط سيئ نسبياً </w:t>
            </w:r>
            <w:r w:rsidRPr="00335E4B">
              <w:rPr>
                <w:rFonts w:cs="Traditional Arabic" w:hint="cs"/>
                <w:spacing w:val="-3"/>
                <w:sz w:val="18"/>
                <w:szCs w:val="30"/>
                <w:rtl/>
                <w:lang w:eastAsia="ar-SA"/>
              </w:rPr>
              <w:t>من</w:t>
            </w:r>
            <w:r w:rsidRPr="00335E4B">
              <w:rPr>
                <w:rFonts w:cs="Traditional Arabic"/>
                <w:spacing w:val="-3"/>
                <w:sz w:val="18"/>
                <w:szCs w:val="30"/>
                <w:rtl/>
                <w:lang w:eastAsia="ar-SA"/>
              </w:rPr>
              <w:t xml:space="preserve"> أنواع الفحم المنخفضة الجودة. ويمكن أن تؤدي إعادة انبعاث الزئبق النقي إلى تخفيض </w:t>
            </w:r>
            <w:r w:rsidRPr="00335E4B">
              <w:rPr>
                <w:rFonts w:cs="Traditional Arabic" w:hint="cs"/>
                <w:spacing w:val="-3"/>
                <w:sz w:val="18"/>
                <w:szCs w:val="30"/>
                <w:rtl/>
                <w:lang w:eastAsia="ar-SA"/>
              </w:rPr>
              <w:t>مقدار المنافع</w:t>
            </w:r>
            <w:r w:rsidRPr="00335E4B">
              <w:rPr>
                <w:rFonts w:cs="Traditional Arabic"/>
                <w:spacing w:val="-3"/>
                <w:sz w:val="18"/>
                <w:szCs w:val="30"/>
                <w:rtl/>
                <w:lang w:eastAsia="ar-SA"/>
              </w:rPr>
              <w:t xml:space="preserve"> المشتركة.</w:t>
            </w:r>
            <w:r w:rsidRPr="00335E4B">
              <w:rPr>
                <w:rFonts w:ascii="Times New Roman Bold" w:eastAsia="SimSun" w:hAnsi="Times New Roman Bold" w:cs="Traditional Arabic" w:hint="cs"/>
                <w:spacing w:val="-3"/>
                <w:sz w:val="18"/>
                <w:szCs w:val="30"/>
                <w:rtl/>
                <w:lang w:eastAsia="ar-SA" w:bidi="ar-EG"/>
              </w:rPr>
              <w:t xml:space="preserve"> ويمكن أن يتأكسد الزئبق النقي عبر المرشح النسيجي ويتم التقاطه في جهاز التنظيف الرطب.</w:t>
            </w:r>
          </w:p>
        </w:tc>
      </w:tr>
      <w:tr w:rsidR="00335E4B" w:rsidRPr="00335E4B" w:rsidTr="00D002D1">
        <w:trPr>
          <w:trHeight w:val="20"/>
        </w:trPr>
        <w:tc>
          <w:tcPr>
            <w:tcW w:w="1361" w:type="pct"/>
          </w:tcPr>
          <w:p w:rsidR="00335E4B" w:rsidRPr="00335E4B" w:rsidRDefault="00335E4B" w:rsidP="00335E4B">
            <w:pPr>
              <w:suppressAutoHyphens/>
              <w:overflowPunct w:val="0"/>
              <w:autoSpaceDE w:val="0"/>
              <w:spacing w:after="120" w:line="340" w:lineRule="exact"/>
              <w:jc w:val="both"/>
              <w:textAlignment w:val="baseline"/>
              <w:rPr>
                <w:rFonts w:eastAsia="SimSun" w:cs="Traditional Arabic"/>
                <w:spacing w:val="-3"/>
                <w:sz w:val="18"/>
                <w:szCs w:val="20"/>
                <w:lang w:eastAsia="ar-SA"/>
              </w:rPr>
            </w:pPr>
            <w:r w:rsidRPr="00335E4B">
              <w:rPr>
                <w:rFonts w:eastAsia="SimSun" w:cs="Traditional Arabic"/>
                <w:spacing w:val="-3"/>
                <w:sz w:val="18"/>
                <w:szCs w:val="20"/>
                <w:lang w:eastAsia="ar-SA"/>
              </w:rPr>
              <w:t>SDA + FF</w:t>
            </w:r>
          </w:p>
        </w:tc>
        <w:tc>
          <w:tcPr>
            <w:tcW w:w="3639" w:type="pct"/>
            <w:vAlign w:val="center"/>
          </w:tcPr>
          <w:p w:rsidR="00335E4B" w:rsidRPr="00335E4B" w:rsidRDefault="00335E4B" w:rsidP="00335E4B">
            <w:pPr>
              <w:suppressAutoHyphens/>
              <w:overflowPunct w:val="0"/>
              <w:autoSpaceDE w:val="0"/>
              <w:spacing w:after="120" w:line="340" w:lineRule="exact"/>
              <w:jc w:val="both"/>
              <w:textAlignment w:val="baseline"/>
              <w:rPr>
                <w:rFonts w:ascii="Times New Roman Bold" w:eastAsia="SimSun" w:hAnsi="Times New Roman Bold" w:cs="Traditional Arabic"/>
                <w:spacing w:val="-3"/>
                <w:sz w:val="18"/>
                <w:szCs w:val="30"/>
                <w:lang w:eastAsia="ar-SA"/>
              </w:rPr>
            </w:pPr>
            <w:r w:rsidRPr="00335E4B">
              <w:rPr>
                <w:rFonts w:ascii="Times New Roman Bold" w:eastAsia="SimSun" w:hAnsi="Times New Roman Bold" w:cs="Traditional Arabic" w:hint="cs"/>
                <w:spacing w:val="-3"/>
                <w:sz w:val="18"/>
                <w:szCs w:val="30"/>
                <w:rtl/>
                <w:lang w:eastAsia="ar-SA"/>
              </w:rPr>
              <w:t>بوجه عام، التقاط جيد من أنواع الفحم المرتفعة الكلور. ويُنتظر أن تقل المنافع المشتركة للالتقاط من أنواع الفحم المنخفضة الجودة.</w:t>
            </w:r>
          </w:p>
        </w:tc>
      </w:tr>
      <w:tr w:rsidR="00335E4B" w:rsidRPr="00335E4B" w:rsidTr="00D002D1">
        <w:trPr>
          <w:trHeight w:val="20"/>
        </w:trPr>
        <w:tc>
          <w:tcPr>
            <w:tcW w:w="1361" w:type="pct"/>
          </w:tcPr>
          <w:p w:rsidR="00335E4B" w:rsidRPr="00335E4B" w:rsidRDefault="00335E4B" w:rsidP="00335E4B">
            <w:pPr>
              <w:suppressAutoHyphens/>
              <w:overflowPunct w:val="0"/>
              <w:autoSpaceDE w:val="0"/>
              <w:spacing w:after="120" w:line="340" w:lineRule="exact"/>
              <w:jc w:val="both"/>
              <w:textAlignment w:val="baseline"/>
              <w:rPr>
                <w:rFonts w:eastAsia="SimSun" w:cs="Traditional Arabic"/>
                <w:spacing w:val="-3"/>
                <w:sz w:val="18"/>
                <w:szCs w:val="20"/>
                <w:lang w:eastAsia="ar-SA"/>
              </w:rPr>
            </w:pPr>
            <w:r w:rsidRPr="00335E4B">
              <w:rPr>
                <w:rFonts w:eastAsia="SimSun" w:cs="Traditional Arabic"/>
                <w:spacing w:val="-3"/>
                <w:sz w:val="18"/>
                <w:szCs w:val="20"/>
                <w:lang w:eastAsia="ar-SA"/>
              </w:rPr>
              <w:t>FF + Wet FGD</w:t>
            </w:r>
          </w:p>
        </w:tc>
        <w:tc>
          <w:tcPr>
            <w:tcW w:w="3639" w:type="pct"/>
            <w:vAlign w:val="center"/>
          </w:tcPr>
          <w:p w:rsidR="00335E4B" w:rsidRPr="00335E4B" w:rsidRDefault="00335E4B" w:rsidP="00335E4B">
            <w:pPr>
              <w:suppressAutoHyphens/>
              <w:overflowPunct w:val="0"/>
              <w:autoSpaceDE w:val="0"/>
              <w:spacing w:after="120" w:line="340" w:lineRule="exact"/>
              <w:jc w:val="both"/>
              <w:textAlignment w:val="baseline"/>
              <w:rPr>
                <w:rFonts w:ascii="Times New Roman Bold" w:eastAsia="SimSun" w:hAnsi="Times New Roman Bold" w:cs="Traditional Arabic"/>
                <w:spacing w:val="-3"/>
                <w:sz w:val="18"/>
                <w:szCs w:val="30"/>
                <w:lang w:eastAsia="ar-SA" w:bidi="ar-EG"/>
              </w:rPr>
            </w:pPr>
            <w:r w:rsidRPr="00335E4B">
              <w:rPr>
                <w:rFonts w:ascii="Times New Roman Bold" w:eastAsia="SimSun" w:hAnsi="Times New Roman Bold" w:cs="Traditional Arabic" w:hint="cs"/>
                <w:spacing w:val="-3"/>
                <w:sz w:val="18"/>
                <w:szCs w:val="30"/>
                <w:rtl/>
                <w:lang w:eastAsia="ar-SA" w:bidi="ar-EG"/>
              </w:rPr>
              <w:t>بوجه عام، التقاط جيد من أنواع الفحم المرتفعة الكلور بفضل وجود زئبق مؤكسد قابل للذوبان في غاز المدخنة. والتقاط سيئ نسبياً من أنواع الفحم المنخفضة الجودة. ويمكن أن تؤدي إعادة انبعاث الزئبق النقي إلى تخفيض مقدار المنافع المشتركة. ويمكن أن يتأكسد الزئبق النقي عبر المرشح النسيجي ويتم التقاطه في جهاز التنظيف الرطب.</w:t>
            </w:r>
          </w:p>
        </w:tc>
      </w:tr>
      <w:tr w:rsidR="00335E4B" w:rsidRPr="00335E4B" w:rsidTr="00D002D1">
        <w:trPr>
          <w:trHeight w:val="20"/>
        </w:trPr>
        <w:tc>
          <w:tcPr>
            <w:tcW w:w="1361" w:type="pct"/>
          </w:tcPr>
          <w:p w:rsidR="00335E4B" w:rsidRPr="00335E4B" w:rsidRDefault="00335E4B" w:rsidP="00335E4B">
            <w:pPr>
              <w:suppressAutoHyphens/>
              <w:overflowPunct w:val="0"/>
              <w:autoSpaceDE w:val="0"/>
              <w:spacing w:after="120" w:line="340" w:lineRule="exact"/>
              <w:jc w:val="both"/>
              <w:textAlignment w:val="baseline"/>
              <w:rPr>
                <w:rFonts w:eastAsia="SimSun" w:cs="Traditional Arabic"/>
                <w:spacing w:val="-3"/>
                <w:sz w:val="18"/>
                <w:szCs w:val="20"/>
                <w:lang w:eastAsia="ar-SA"/>
              </w:rPr>
            </w:pPr>
            <w:r w:rsidRPr="00335E4B">
              <w:rPr>
                <w:rFonts w:eastAsia="SimSun" w:cs="Traditional Arabic"/>
                <w:spacing w:val="-3"/>
                <w:sz w:val="18"/>
                <w:szCs w:val="20"/>
                <w:lang w:eastAsia="ar-SA"/>
              </w:rPr>
              <w:t>SCR + ESPc</w:t>
            </w:r>
          </w:p>
        </w:tc>
        <w:tc>
          <w:tcPr>
            <w:tcW w:w="3639" w:type="pct"/>
            <w:vAlign w:val="center"/>
          </w:tcPr>
          <w:p w:rsidR="00335E4B" w:rsidRPr="00335E4B" w:rsidRDefault="00335E4B" w:rsidP="00335E4B">
            <w:pPr>
              <w:suppressAutoHyphens/>
              <w:overflowPunct w:val="0"/>
              <w:autoSpaceDE w:val="0"/>
              <w:spacing w:after="120" w:line="340" w:lineRule="exact"/>
              <w:jc w:val="both"/>
              <w:textAlignment w:val="baseline"/>
              <w:rPr>
                <w:rFonts w:ascii="Times New Roman Bold" w:eastAsia="SimSun" w:hAnsi="Times New Roman Bold" w:cs="Traditional Arabic"/>
                <w:spacing w:val="-3"/>
                <w:sz w:val="18"/>
                <w:szCs w:val="30"/>
                <w:lang w:eastAsia="ar-SA"/>
              </w:rPr>
            </w:pPr>
            <w:r w:rsidRPr="00335E4B">
              <w:rPr>
                <w:rFonts w:cs="Traditional Arabic"/>
                <w:spacing w:val="-3"/>
                <w:sz w:val="18"/>
                <w:szCs w:val="30"/>
                <w:rtl/>
                <w:lang w:eastAsia="ar-SA"/>
              </w:rPr>
              <w:t xml:space="preserve">التقاط جيد للزئبق العالق بالجسيمات، والتقاط أفضل </w:t>
            </w:r>
            <w:r w:rsidRPr="00335E4B">
              <w:rPr>
                <w:rFonts w:cs="Traditional Arabic" w:hint="cs"/>
                <w:spacing w:val="-3"/>
                <w:sz w:val="18"/>
                <w:szCs w:val="30"/>
                <w:rtl/>
                <w:lang w:eastAsia="ar-SA"/>
              </w:rPr>
              <w:t xml:space="preserve">من </w:t>
            </w:r>
            <w:r w:rsidRPr="00335E4B">
              <w:rPr>
                <w:rFonts w:cs="Traditional Arabic"/>
                <w:spacing w:val="-3"/>
                <w:sz w:val="18"/>
                <w:szCs w:val="30"/>
                <w:rtl/>
                <w:lang w:eastAsia="ar-SA"/>
              </w:rPr>
              <w:t>أنواع الفحم المرتفع الكلور عن الأنواع المنخفضة الجودة.</w:t>
            </w:r>
          </w:p>
        </w:tc>
      </w:tr>
      <w:tr w:rsidR="00335E4B" w:rsidRPr="00335E4B" w:rsidTr="00D002D1">
        <w:trPr>
          <w:trHeight w:val="20"/>
        </w:trPr>
        <w:tc>
          <w:tcPr>
            <w:tcW w:w="1361" w:type="pct"/>
          </w:tcPr>
          <w:p w:rsidR="00335E4B" w:rsidRPr="00335E4B" w:rsidRDefault="00335E4B" w:rsidP="00335E4B">
            <w:pPr>
              <w:suppressAutoHyphens/>
              <w:overflowPunct w:val="0"/>
              <w:autoSpaceDE w:val="0"/>
              <w:spacing w:after="120" w:line="340" w:lineRule="exact"/>
              <w:jc w:val="both"/>
              <w:textAlignment w:val="baseline"/>
              <w:rPr>
                <w:rFonts w:eastAsia="SimSun" w:cs="Traditional Arabic"/>
                <w:spacing w:val="-3"/>
                <w:sz w:val="18"/>
                <w:szCs w:val="20"/>
                <w:lang w:eastAsia="ar-SA"/>
              </w:rPr>
            </w:pPr>
            <w:r w:rsidRPr="00335E4B">
              <w:rPr>
                <w:rFonts w:eastAsia="SimSun" w:cs="Traditional Arabic"/>
                <w:spacing w:val="-3"/>
                <w:sz w:val="18"/>
                <w:szCs w:val="20"/>
                <w:lang w:eastAsia="ar-SA"/>
              </w:rPr>
              <w:t>SCR + ESPh</w:t>
            </w:r>
          </w:p>
        </w:tc>
        <w:tc>
          <w:tcPr>
            <w:tcW w:w="3639" w:type="pct"/>
            <w:vAlign w:val="center"/>
          </w:tcPr>
          <w:p w:rsidR="00335E4B" w:rsidRPr="00335E4B" w:rsidRDefault="00335E4B" w:rsidP="00335E4B">
            <w:pPr>
              <w:suppressAutoHyphens/>
              <w:overflowPunct w:val="0"/>
              <w:autoSpaceDE w:val="0"/>
              <w:spacing w:after="120" w:line="340" w:lineRule="exact"/>
              <w:jc w:val="both"/>
              <w:textAlignment w:val="baseline"/>
              <w:rPr>
                <w:rFonts w:ascii="Times New Roman Bold" w:eastAsia="SimSun" w:hAnsi="Times New Roman Bold" w:cs="Traditional Arabic"/>
                <w:spacing w:val="-3"/>
                <w:sz w:val="18"/>
                <w:szCs w:val="30"/>
                <w:lang w:eastAsia="ar-SA"/>
              </w:rPr>
            </w:pPr>
            <w:r w:rsidRPr="00335E4B">
              <w:rPr>
                <w:rFonts w:cs="Traditional Arabic"/>
                <w:spacing w:val="-3"/>
                <w:sz w:val="18"/>
                <w:szCs w:val="30"/>
                <w:rtl/>
                <w:lang w:eastAsia="ar-SA"/>
              </w:rPr>
              <w:t>التقاط منخفض</w:t>
            </w:r>
          </w:p>
        </w:tc>
      </w:tr>
      <w:tr w:rsidR="00335E4B" w:rsidRPr="00335E4B" w:rsidTr="00D002D1">
        <w:trPr>
          <w:trHeight w:val="20"/>
        </w:trPr>
        <w:tc>
          <w:tcPr>
            <w:tcW w:w="1361" w:type="pct"/>
          </w:tcPr>
          <w:p w:rsidR="00335E4B" w:rsidRPr="00335E4B" w:rsidRDefault="00335E4B" w:rsidP="00335E4B">
            <w:pPr>
              <w:suppressAutoHyphens/>
              <w:overflowPunct w:val="0"/>
              <w:autoSpaceDE w:val="0"/>
              <w:spacing w:after="120" w:line="340" w:lineRule="exact"/>
              <w:jc w:val="both"/>
              <w:textAlignment w:val="baseline"/>
              <w:rPr>
                <w:rFonts w:eastAsia="SimSun" w:cs="Traditional Arabic"/>
                <w:spacing w:val="-3"/>
                <w:sz w:val="18"/>
                <w:szCs w:val="20"/>
                <w:lang w:eastAsia="ar-SA"/>
              </w:rPr>
            </w:pPr>
            <w:r w:rsidRPr="00335E4B">
              <w:rPr>
                <w:rFonts w:eastAsia="SimSun" w:cs="Traditional Arabic"/>
                <w:spacing w:val="-3"/>
                <w:sz w:val="18"/>
                <w:szCs w:val="20"/>
                <w:lang w:eastAsia="ar-SA"/>
              </w:rPr>
              <w:t>SCR + ESPc + wet FGD</w:t>
            </w:r>
          </w:p>
        </w:tc>
        <w:tc>
          <w:tcPr>
            <w:tcW w:w="3639" w:type="pct"/>
            <w:vAlign w:val="center"/>
          </w:tcPr>
          <w:p w:rsidR="00335E4B" w:rsidRPr="00335E4B" w:rsidRDefault="00335E4B" w:rsidP="00335E4B">
            <w:pPr>
              <w:suppressAutoHyphens/>
              <w:overflowPunct w:val="0"/>
              <w:autoSpaceDE w:val="0"/>
              <w:spacing w:after="120" w:line="340" w:lineRule="exact"/>
              <w:jc w:val="both"/>
              <w:textAlignment w:val="baseline"/>
              <w:rPr>
                <w:rFonts w:ascii="Times New Roman Bold" w:eastAsia="SimSun" w:hAnsi="Times New Roman Bold" w:cs="Traditional Arabic"/>
                <w:spacing w:val="-3"/>
                <w:sz w:val="18"/>
                <w:szCs w:val="30"/>
                <w:lang w:eastAsia="ar-SA"/>
              </w:rPr>
            </w:pPr>
            <w:r w:rsidRPr="00335E4B">
              <w:rPr>
                <w:rFonts w:cs="Traditional Arabic"/>
                <w:spacing w:val="-3"/>
                <w:sz w:val="18"/>
                <w:szCs w:val="30"/>
                <w:rtl/>
                <w:lang w:eastAsia="ar-SA"/>
              </w:rPr>
              <w:t xml:space="preserve">التقاط جيد </w:t>
            </w:r>
            <w:r w:rsidRPr="00335E4B">
              <w:rPr>
                <w:rFonts w:cs="Traditional Arabic" w:hint="cs"/>
                <w:spacing w:val="-3"/>
                <w:sz w:val="18"/>
                <w:szCs w:val="30"/>
                <w:rtl/>
                <w:lang w:eastAsia="ar-SA"/>
              </w:rPr>
              <w:t xml:space="preserve">من </w:t>
            </w:r>
            <w:r w:rsidRPr="00335E4B">
              <w:rPr>
                <w:rFonts w:cs="Traditional Arabic"/>
                <w:spacing w:val="-3"/>
                <w:sz w:val="18"/>
                <w:szCs w:val="30"/>
                <w:rtl/>
                <w:lang w:eastAsia="ar-SA"/>
              </w:rPr>
              <w:t>أنواع الفحم المرتفع</w:t>
            </w:r>
            <w:r w:rsidRPr="00335E4B">
              <w:rPr>
                <w:rFonts w:cs="Traditional Arabic" w:hint="cs"/>
                <w:spacing w:val="-3"/>
                <w:sz w:val="18"/>
                <w:szCs w:val="30"/>
                <w:rtl/>
                <w:lang w:eastAsia="ar-SA"/>
              </w:rPr>
              <w:t>ة</w:t>
            </w:r>
            <w:r w:rsidRPr="00335E4B">
              <w:rPr>
                <w:rFonts w:cs="Traditional Arabic"/>
                <w:spacing w:val="-3"/>
                <w:sz w:val="18"/>
                <w:szCs w:val="30"/>
                <w:rtl/>
                <w:lang w:eastAsia="ar-SA"/>
              </w:rPr>
              <w:t xml:space="preserve"> الكلور بفضل </w:t>
            </w:r>
            <w:r w:rsidRPr="00335E4B">
              <w:rPr>
                <w:rFonts w:cs="Traditional Arabic" w:hint="cs"/>
                <w:spacing w:val="-3"/>
                <w:sz w:val="18"/>
                <w:szCs w:val="30"/>
                <w:rtl/>
                <w:lang w:eastAsia="ar-SA"/>
              </w:rPr>
              <w:t>زيادة</w:t>
            </w:r>
            <w:r w:rsidRPr="00335E4B">
              <w:rPr>
                <w:rFonts w:cs="Traditional Arabic"/>
                <w:spacing w:val="-3"/>
                <w:sz w:val="18"/>
                <w:szCs w:val="30"/>
                <w:rtl/>
                <w:lang w:eastAsia="ar-SA"/>
              </w:rPr>
              <w:t xml:space="preserve"> كمية الزئبق المؤكسد القابل للذوبان في غاز المدخنة الذي يدعمه الاختزال الحفزي الانتقائي. </w:t>
            </w:r>
            <w:r w:rsidRPr="00335E4B">
              <w:rPr>
                <w:rFonts w:cs="Traditional Arabic" w:hint="cs"/>
                <w:spacing w:val="-3"/>
                <w:sz w:val="18"/>
                <w:szCs w:val="30"/>
                <w:rtl/>
                <w:lang w:eastAsia="ar-SA"/>
              </w:rPr>
              <w:t>ويتحسن</w:t>
            </w:r>
            <w:r w:rsidRPr="00335E4B">
              <w:rPr>
                <w:rFonts w:cs="Traditional Arabic"/>
                <w:spacing w:val="-3"/>
                <w:sz w:val="18"/>
                <w:szCs w:val="30"/>
                <w:rtl/>
                <w:lang w:eastAsia="ar-SA"/>
              </w:rPr>
              <w:t xml:space="preserve"> الالتقاط </w:t>
            </w:r>
            <w:r w:rsidRPr="00335E4B">
              <w:rPr>
                <w:rFonts w:cs="Traditional Arabic" w:hint="cs"/>
                <w:spacing w:val="-3"/>
                <w:sz w:val="18"/>
                <w:szCs w:val="30"/>
                <w:rtl/>
                <w:lang w:eastAsia="ar-SA"/>
              </w:rPr>
              <w:t>من</w:t>
            </w:r>
            <w:r w:rsidRPr="00335E4B">
              <w:rPr>
                <w:rFonts w:cs="Traditional Arabic"/>
                <w:spacing w:val="-3"/>
                <w:sz w:val="18"/>
                <w:szCs w:val="30"/>
                <w:rtl/>
                <w:lang w:eastAsia="ar-SA"/>
              </w:rPr>
              <w:t xml:space="preserve"> أنواع الفحم المنخفض الجودة بفضل زيادة كمية الزئبق المؤكسد القابل للذوبان في غاز المدخنة. ويمكن أن </w:t>
            </w:r>
            <w:r w:rsidRPr="00335E4B">
              <w:rPr>
                <w:rFonts w:cs="Traditional Arabic" w:hint="cs"/>
                <w:spacing w:val="-3"/>
                <w:sz w:val="18"/>
                <w:szCs w:val="30"/>
                <w:rtl/>
                <w:lang w:eastAsia="ar-SA"/>
              </w:rPr>
              <w:t>تؤدي</w:t>
            </w:r>
            <w:r w:rsidRPr="00335E4B">
              <w:rPr>
                <w:rFonts w:cs="Traditional Arabic"/>
                <w:spacing w:val="-3"/>
                <w:sz w:val="18"/>
                <w:szCs w:val="30"/>
                <w:rtl/>
                <w:lang w:eastAsia="ar-SA"/>
              </w:rPr>
              <w:t xml:space="preserve"> إعادة انبعاث الزئبق النقي </w:t>
            </w:r>
            <w:r w:rsidRPr="00335E4B">
              <w:rPr>
                <w:rFonts w:cs="Traditional Arabic" w:hint="cs"/>
                <w:spacing w:val="-3"/>
                <w:sz w:val="18"/>
                <w:szCs w:val="30"/>
                <w:rtl/>
                <w:lang w:eastAsia="ar-SA"/>
              </w:rPr>
              <w:t>إلى تخفيض مقدار</w:t>
            </w:r>
            <w:r w:rsidRPr="00335E4B">
              <w:rPr>
                <w:rFonts w:cs="Traditional Arabic"/>
                <w:spacing w:val="-3"/>
                <w:sz w:val="18"/>
                <w:szCs w:val="30"/>
                <w:rtl/>
                <w:lang w:eastAsia="ar-SA"/>
              </w:rPr>
              <w:t xml:space="preserve"> </w:t>
            </w:r>
            <w:r w:rsidRPr="00335E4B">
              <w:rPr>
                <w:rFonts w:cs="Traditional Arabic" w:hint="cs"/>
                <w:spacing w:val="-3"/>
                <w:sz w:val="18"/>
                <w:szCs w:val="30"/>
                <w:rtl/>
                <w:lang w:eastAsia="ar-SA"/>
              </w:rPr>
              <w:t>المنافع</w:t>
            </w:r>
            <w:r w:rsidRPr="00335E4B">
              <w:rPr>
                <w:rFonts w:cs="Traditional Arabic"/>
                <w:spacing w:val="-3"/>
                <w:sz w:val="18"/>
                <w:szCs w:val="30"/>
                <w:rtl/>
                <w:lang w:eastAsia="ar-SA"/>
              </w:rPr>
              <w:t xml:space="preserve"> المشتركة. </w:t>
            </w:r>
            <w:r w:rsidRPr="00335E4B">
              <w:rPr>
                <w:rFonts w:cs="Traditional Arabic" w:hint="cs"/>
                <w:spacing w:val="-3"/>
                <w:sz w:val="18"/>
                <w:szCs w:val="30"/>
                <w:rtl/>
                <w:lang w:eastAsia="ar-SA"/>
              </w:rPr>
              <w:t xml:space="preserve">والتقاط جيد للزئبق العالق بالجسيمات </w:t>
            </w:r>
          </w:p>
        </w:tc>
      </w:tr>
      <w:tr w:rsidR="00335E4B" w:rsidRPr="00335E4B" w:rsidTr="00D002D1">
        <w:trPr>
          <w:trHeight w:val="20"/>
        </w:trPr>
        <w:tc>
          <w:tcPr>
            <w:tcW w:w="1361" w:type="pct"/>
          </w:tcPr>
          <w:p w:rsidR="00335E4B" w:rsidRPr="00335E4B" w:rsidRDefault="00335E4B" w:rsidP="00335E4B">
            <w:pPr>
              <w:suppressAutoHyphens/>
              <w:overflowPunct w:val="0"/>
              <w:autoSpaceDE w:val="0"/>
              <w:spacing w:after="120" w:line="340" w:lineRule="exact"/>
              <w:jc w:val="both"/>
              <w:textAlignment w:val="baseline"/>
              <w:rPr>
                <w:rFonts w:eastAsia="SimSun" w:cs="Traditional Arabic"/>
                <w:spacing w:val="-3"/>
                <w:sz w:val="18"/>
                <w:szCs w:val="20"/>
                <w:lang w:eastAsia="ar-SA"/>
              </w:rPr>
            </w:pPr>
            <w:r w:rsidRPr="00335E4B">
              <w:rPr>
                <w:rFonts w:eastAsia="SimSun" w:cs="Traditional Arabic"/>
                <w:spacing w:val="-3"/>
                <w:sz w:val="18"/>
                <w:szCs w:val="20"/>
                <w:lang w:eastAsia="ar-SA"/>
              </w:rPr>
              <w:t xml:space="preserve">SCR + HEX + LLT-ESP + </w:t>
            </w:r>
            <w:r w:rsidRPr="00335E4B">
              <w:rPr>
                <w:rFonts w:eastAsia="SimSun" w:cs="Traditional Arabic"/>
                <w:spacing w:val="-3"/>
                <w:sz w:val="18"/>
                <w:szCs w:val="20"/>
                <w:lang w:eastAsia="ar-SA"/>
              </w:rPr>
              <w:br/>
              <w:t>wet FGD</w:t>
            </w:r>
          </w:p>
        </w:tc>
        <w:tc>
          <w:tcPr>
            <w:tcW w:w="3639" w:type="pct"/>
          </w:tcPr>
          <w:p w:rsidR="00335E4B" w:rsidRPr="00335E4B" w:rsidRDefault="00335E4B" w:rsidP="00335E4B">
            <w:pPr>
              <w:suppressAutoHyphens/>
              <w:overflowPunct w:val="0"/>
              <w:autoSpaceDE w:val="0"/>
              <w:spacing w:after="120" w:line="340" w:lineRule="exact"/>
              <w:jc w:val="both"/>
              <w:textAlignment w:val="baseline"/>
              <w:rPr>
                <w:rFonts w:ascii="Times New Roman Bold" w:eastAsia="SimSun" w:hAnsi="Times New Roman Bold" w:cs="Traditional Arabic"/>
                <w:spacing w:val="-3"/>
                <w:sz w:val="18"/>
                <w:szCs w:val="30"/>
                <w:lang w:eastAsia="ar-SA"/>
              </w:rPr>
            </w:pPr>
            <w:r w:rsidRPr="00335E4B">
              <w:rPr>
                <w:rFonts w:ascii="Times New Roman Bold" w:eastAsia="SimSun" w:hAnsi="Times New Roman Bold" w:cs="Traditional Arabic" w:hint="cs"/>
                <w:spacing w:val="-3"/>
                <w:sz w:val="18"/>
                <w:szCs w:val="30"/>
                <w:rtl/>
                <w:lang w:eastAsia="ar-SA"/>
              </w:rPr>
              <w:t xml:space="preserve">التقاط مرتفع جداً من أنواع الفحم المرتفعة الكلور بفضل زيادة كمية الزئبق المؤكسد القابل للذوبان في غاز المدخنة الذي يدعمه الاختزال الحفزي الانتقائي. ويتحسن الالتقاط من أنواع الفحم المنخفض الجودة بفضل زيادة كمية الزئبق المؤكسد القابل للذوبان في غاز المدخنة. ويمكن أن تؤدي إعادة انبعاث الزئبق النقي إلى تخفيض مقدار المنافع المشتركة. </w:t>
            </w:r>
            <w:r w:rsidRPr="00335E4B">
              <w:rPr>
                <w:rFonts w:cs="Traditional Arabic"/>
                <w:spacing w:val="-3"/>
                <w:sz w:val="18"/>
                <w:szCs w:val="30"/>
                <w:rtl/>
                <w:lang w:eastAsia="ar-SA"/>
              </w:rPr>
              <w:t xml:space="preserve">والجمع بين المبادل الحراري والمرسب الكهروستاتيكي بدرجة حرارة </w:t>
            </w:r>
            <w:r w:rsidRPr="00335E4B">
              <w:rPr>
                <w:rFonts w:cs="Traditional Arabic" w:hint="cs"/>
                <w:spacing w:val="-3"/>
                <w:sz w:val="18"/>
                <w:szCs w:val="30"/>
                <w:rtl/>
                <w:lang w:eastAsia="ar-SA"/>
              </w:rPr>
              <w:t xml:space="preserve">شديدة الانخفاض </w:t>
            </w:r>
            <w:r w:rsidRPr="00335E4B">
              <w:rPr>
                <w:rFonts w:cs="Traditional Arabic"/>
                <w:spacing w:val="-3"/>
                <w:sz w:val="18"/>
                <w:szCs w:val="30"/>
                <w:rtl/>
                <w:lang w:eastAsia="ar-SA"/>
              </w:rPr>
              <w:t>ي</w:t>
            </w:r>
            <w:r w:rsidRPr="00335E4B">
              <w:rPr>
                <w:rFonts w:cs="Traditional Arabic" w:hint="cs"/>
                <w:spacing w:val="-3"/>
                <w:sz w:val="18"/>
                <w:szCs w:val="30"/>
                <w:rtl/>
                <w:lang w:eastAsia="ar-SA"/>
              </w:rPr>
              <w:t>ُ</w:t>
            </w:r>
            <w:r w:rsidRPr="00335E4B">
              <w:rPr>
                <w:rFonts w:cs="Traditional Arabic"/>
                <w:spacing w:val="-3"/>
                <w:sz w:val="18"/>
                <w:szCs w:val="30"/>
                <w:rtl/>
                <w:lang w:eastAsia="ar-SA"/>
              </w:rPr>
              <w:t>عزِّز التقاط الزئبق العالق بالجسيمات والزئبق في طور البخار.</w:t>
            </w:r>
          </w:p>
        </w:tc>
      </w:tr>
      <w:tr w:rsidR="00335E4B" w:rsidRPr="00335E4B" w:rsidTr="00D002D1">
        <w:trPr>
          <w:trHeight w:val="20"/>
        </w:trPr>
        <w:tc>
          <w:tcPr>
            <w:tcW w:w="1361" w:type="pct"/>
          </w:tcPr>
          <w:p w:rsidR="00335E4B" w:rsidRPr="00335E4B" w:rsidRDefault="00335E4B" w:rsidP="00335E4B">
            <w:pPr>
              <w:suppressAutoHyphens/>
              <w:overflowPunct w:val="0"/>
              <w:autoSpaceDE w:val="0"/>
              <w:spacing w:after="120" w:line="340" w:lineRule="exact"/>
              <w:jc w:val="both"/>
              <w:textAlignment w:val="baseline"/>
              <w:rPr>
                <w:rFonts w:eastAsia="SimSun" w:cs="Traditional Arabic"/>
                <w:spacing w:val="-3"/>
                <w:sz w:val="18"/>
                <w:szCs w:val="20"/>
                <w:lang w:eastAsia="ar-SA"/>
              </w:rPr>
            </w:pPr>
            <w:r w:rsidRPr="00335E4B">
              <w:rPr>
                <w:rFonts w:eastAsia="SimSun" w:cs="Traditional Arabic"/>
                <w:spacing w:val="-3"/>
                <w:sz w:val="18"/>
                <w:szCs w:val="20"/>
                <w:lang w:eastAsia="ar-SA"/>
              </w:rPr>
              <w:t>SCR + SDA + FF</w:t>
            </w:r>
          </w:p>
        </w:tc>
        <w:tc>
          <w:tcPr>
            <w:tcW w:w="3639" w:type="pct"/>
            <w:vAlign w:val="center"/>
          </w:tcPr>
          <w:p w:rsidR="00335E4B" w:rsidRPr="00335E4B" w:rsidRDefault="00335E4B" w:rsidP="00335E4B">
            <w:pPr>
              <w:suppressAutoHyphens/>
              <w:overflowPunct w:val="0"/>
              <w:autoSpaceDE w:val="0"/>
              <w:spacing w:after="120" w:line="340" w:lineRule="exact"/>
              <w:jc w:val="both"/>
              <w:textAlignment w:val="baseline"/>
              <w:rPr>
                <w:rFonts w:ascii="Times New Roman Bold" w:eastAsia="SimSun" w:hAnsi="Times New Roman Bold" w:cs="Traditional Arabic"/>
                <w:spacing w:val="-3"/>
                <w:sz w:val="18"/>
                <w:szCs w:val="30"/>
                <w:lang w:eastAsia="ar-SA"/>
              </w:rPr>
            </w:pPr>
            <w:r w:rsidRPr="00335E4B">
              <w:rPr>
                <w:rFonts w:cs="Traditional Arabic"/>
                <w:spacing w:val="-3"/>
                <w:sz w:val="18"/>
                <w:szCs w:val="30"/>
                <w:rtl/>
                <w:lang w:eastAsia="ar-SA"/>
              </w:rPr>
              <w:t xml:space="preserve">التقاط جيد عموماً </w:t>
            </w:r>
            <w:r w:rsidRPr="00335E4B">
              <w:rPr>
                <w:rFonts w:cs="Traditional Arabic" w:hint="cs"/>
                <w:spacing w:val="-3"/>
                <w:sz w:val="18"/>
                <w:szCs w:val="30"/>
                <w:rtl/>
                <w:lang w:eastAsia="ar-SA"/>
              </w:rPr>
              <w:t>من</w:t>
            </w:r>
            <w:r w:rsidRPr="00335E4B">
              <w:rPr>
                <w:rFonts w:cs="Traditional Arabic"/>
                <w:spacing w:val="-3"/>
                <w:sz w:val="18"/>
                <w:szCs w:val="30"/>
                <w:rtl/>
                <w:lang w:eastAsia="ar-SA"/>
              </w:rPr>
              <w:t xml:space="preserve"> أنواع الفحم المرتفع</w:t>
            </w:r>
            <w:r w:rsidRPr="00335E4B">
              <w:rPr>
                <w:rFonts w:cs="Traditional Arabic" w:hint="cs"/>
                <w:spacing w:val="-3"/>
                <w:sz w:val="18"/>
                <w:szCs w:val="30"/>
                <w:rtl/>
                <w:lang w:eastAsia="ar-SA"/>
              </w:rPr>
              <w:t>ة</w:t>
            </w:r>
            <w:r w:rsidRPr="00335E4B">
              <w:rPr>
                <w:rFonts w:cs="Traditional Arabic"/>
                <w:spacing w:val="-3"/>
                <w:sz w:val="18"/>
                <w:szCs w:val="30"/>
                <w:rtl/>
                <w:lang w:eastAsia="ar-SA"/>
              </w:rPr>
              <w:t xml:space="preserve"> الكلور ويقل الالتقاط في الأنواع المنخفضة الجودة. ويُعزِّز الاختزال الحفزي الانتقائي </w:t>
            </w:r>
            <w:r w:rsidRPr="00335E4B">
              <w:rPr>
                <w:rFonts w:cs="Traditional Arabic" w:hint="cs"/>
                <w:spacing w:val="-3"/>
                <w:sz w:val="18"/>
                <w:szCs w:val="30"/>
                <w:rtl/>
                <w:lang w:eastAsia="ar-SA"/>
              </w:rPr>
              <w:t xml:space="preserve">الالتقاط حيث يؤكسد </w:t>
            </w:r>
            <w:r w:rsidRPr="00335E4B">
              <w:rPr>
                <w:rFonts w:cs="Traditional Arabic"/>
                <w:spacing w:val="-3"/>
                <w:sz w:val="18"/>
                <w:szCs w:val="30"/>
                <w:rtl/>
                <w:lang w:eastAsia="ar-SA"/>
              </w:rPr>
              <w:t>الزئبق النقي إلى زئبق مؤكسد، نظراً لتوفر الكلور في غاز المدخنة</w:t>
            </w:r>
          </w:p>
        </w:tc>
      </w:tr>
      <w:tr w:rsidR="00335E4B" w:rsidRPr="00335E4B" w:rsidTr="00D002D1">
        <w:trPr>
          <w:trHeight w:val="20"/>
        </w:trPr>
        <w:tc>
          <w:tcPr>
            <w:tcW w:w="1361" w:type="pct"/>
          </w:tcPr>
          <w:p w:rsidR="00335E4B" w:rsidRPr="00335E4B" w:rsidRDefault="00335E4B" w:rsidP="00335E4B">
            <w:pPr>
              <w:suppressAutoHyphens/>
              <w:overflowPunct w:val="0"/>
              <w:autoSpaceDE w:val="0"/>
              <w:spacing w:after="120" w:line="340" w:lineRule="exact"/>
              <w:jc w:val="both"/>
              <w:textAlignment w:val="baseline"/>
              <w:rPr>
                <w:rFonts w:eastAsia="SimSun" w:cs="Traditional Arabic"/>
                <w:spacing w:val="-3"/>
                <w:sz w:val="18"/>
                <w:szCs w:val="20"/>
                <w:lang w:eastAsia="ar-SA"/>
              </w:rPr>
            </w:pPr>
            <w:r w:rsidRPr="00335E4B">
              <w:rPr>
                <w:rFonts w:eastAsia="SimSun" w:cs="Traditional Arabic"/>
                <w:spacing w:val="-3"/>
                <w:sz w:val="18"/>
                <w:szCs w:val="20"/>
                <w:lang w:eastAsia="ar-SA"/>
              </w:rPr>
              <w:t>SCR + ESPh + wet FGD</w:t>
            </w:r>
          </w:p>
        </w:tc>
        <w:tc>
          <w:tcPr>
            <w:tcW w:w="3639" w:type="pct"/>
            <w:vAlign w:val="center"/>
          </w:tcPr>
          <w:p w:rsidR="00335E4B" w:rsidRPr="00335E4B" w:rsidRDefault="00335E4B" w:rsidP="00335E4B">
            <w:pPr>
              <w:suppressAutoHyphens/>
              <w:overflowPunct w:val="0"/>
              <w:autoSpaceDE w:val="0"/>
              <w:spacing w:after="120" w:line="340" w:lineRule="exact"/>
              <w:jc w:val="both"/>
              <w:textAlignment w:val="baseline"/>
              <w:rPr>
                <w:rFonts w:ascii="Times New Roman Bold" w:eastAsia="SimSun" w:hAnsi="Times New Roman Bold" w:cs="Traditional Arabic"/>
                <w:spacing w:val="-3"/>
                <w:sz w:val="18"/>
                <w:szCs w:val="30"/>
                <w:lang w:eastAsia="ar-SA"/>
              </w:rPr>
            </w:pPr>
            <w:r w:rsidRPr="00335E4B">
              <w:rPr>
                <w:rFonts w:cs="Traditional Arabic"/>
                <w:spacing w:val="-3"/>
                <w:sz w:val="18"/>
                <w:szCs w:val="30"/>
                <w:rtl/>
                <w:lang w:eastAsia="ar-SA"/>
              </w:rPr>
              <w:t xml:space="preserve">التقاط </w:t>
            </w:r>
            <w:r w:rsidRPr="00335E4B">
              <w:rPr>
                <w:rFonts w:cs="Traditional Arabic" w:hint="cs"/>
                <w:spacing w:val="-3"/>
                <w:sz w:val="18"/>
                <w:szCs w:val="30"/>
                <w:rtl/>
                <w:lang w:eastAsia="ar-SA"/>
              </w:rPr>
              <w:t xml:space="preserve">جيد من </w:t>
            </w:r>
            <w:r w:rsidRPr="00335E4B">
              <w:rPr>
                <w:rFonts w:cs="Traditional Arabic"/>
                <w:spacing w:val="-3"/>
                <w:sz w:val="18"/>
                <w:szCs w:val="30"/>
                <w:rtl/>
                <w:lang w:eastAsia="ar-SA"/>
              </w:rPr>
              <w:t xml:space="preserve">أنواع </w:t>
            </w:r>
            <w:r w:rsidRPr="00335E4B">
              <w:rPr>
                <w:rFonts w:cs="Traditional Arabic" w:hint="cs"/>
                <w:spacing w:val="-3"/>
                <w:sz w:val="18"/>
                <w:szCs w:val="30"/>
                <w:rtl/>
                <w:lang w:eastAsia="ar-SA"/>
              </w:rPr>
              <w:t>الفحم</w:t>
            </w:r>
            <w:r w:rsidRPr="00335E4B">
              <w:rPr>
                <w:rFonts w:cs="Traditional Arabic"/>
                <w:spacing w:val="-3"/>
                <w:sz w:val="18"/>
                <w:szCs w:val="30"/>
                <w:rtl/>
                <w:lang w:eastAsia="ar-SA"/>
              </w:rPr>
              <w:t xml:space="preserve"> المرتفع</w:t>
            </w:r>
            <w:r w:rsidRPr="00335E4B">
              <w:rPr>
                <w:rFonts w:cs="Traditional Arabic" w:hint="cs"/>
                <w:spacing w:val="-3"/>
                <w:sz w:val="18"/>
                <w:szCs w:val="30"/>
                <w:rtl/>
                <w:lang w:eastAsia="ar-SA"/>
              </w:rPr>
              <w:t>ة</w:t>
            </w:r>
            <w:r w:rsidRPr="00335E4B">
              <w:rPr>
                <w:rFonts w:cs="Traditional Arabic"/>
                <w:spacing w:val="-3"/>
                <w:sz w:val="18"/>
                <w:szCs w:val="30"/>
                <w:rtl/>
                <w:lang w:eastAsia="ar-SA"/>
              </w:rPr>
              <w:t xml:space="preserve"> الكلور بفضل زيادة كمية الزئبق المؤكسد القابل للذوبان في غاز المدخنة الذي يدعمه الاختزال الحفزي الانتقائي ويتحسَّن الالتقاط في حالة أنواع الفحم المنخفضة الجودة بفضل زيادة كمية الزئبق المؤكسد القابل للذوبان في غاز المدخنة. ويمكن أن تؤدي إعادة انبعاث الزئبق النقي إلى تخفيض </w:t>
            </w:r>
            <w:r w:rsidRPr="00335E4B">
              <w:rPr>
                <w:rFonts w:cs="Traditional Arabic" w:hint="cs"/>
                <w:spacing w:val="-3"/>
                <w:sz w:val="18"/>
                <w:szCs w:val="30"/>
                <w:rtl/>
                <w:lang w:eastAsia="ar-SA"/>
              </w:rPr>
              <w:t>مقدار</w:t>
            </w:r>
            <w:r w:rsidRPr="00335E4B">
              <w:rPr>
                <w:rFonts w:cs="Traditional Arabic"/>
                <w:spacing w:val="-3"/>
                <w:sz w:val="18"/>
                <w:szCs w:val="30"/>
                <w:rtl/>
                <w:lang w:eastAsia="ar-SA"/>
              </w:rPr>
              <w:t xml:space="preserve"> المنافع المشتركة.</w:t>
            </w:r>
          </w:p>
        </w:tc>
      </w:tr>
      <w:tr w:rsidR="00335E4B" w:rsidRPr="00335E4B" w:rsidTr="00D002D1">
        <w:trPr>
          <w:trHeight w:val="20"/>
        </w:trPr>
        <w:tc>
          <w:tcPr>
            <w:tcW w:w="1361" w:type="pct"/>
            <w:tcBorders>
              <w:bottom w:val="single" w:sz="4" w:space="0" w:color="auto"/>
            </w:tcBorders>
          </w:tcPr>
          <w:p w:rsidR="00335E4B" w:rsidRPr="00335E4B" w:rsidRDefault="00335E4B" w:rsidP="00335E4B">
            <w:pPr>
              <w:suppressAutoHyphens/>
              <w:overflowPunct w:val="0"/>
              <w:autoSpaceDE w:val="0"/>
              <w:spacing w:after="120" w:line="340" w:lineRule="exact"/>
              <w:jc w:val="both"/>
              <w:textAlignment w:val="baseline"/>
              <w:rPr>
                <w:rFonts w:cs="Traditional Arabic"/>
                <w:spacing w:val="-3"/>
                <w:sz w:val="18"/>
                <w:szCs w:val="20"/>
                <w:lang w:eastAsia="ar-SA"/>
              </w:rPr>
            </w:pPr>
            <w:r w:rsidRPr="00335E4B">
              <w:rPr>
                <w:rFonts w:eastAsia="SimSun" w:cs="Traditional Arabic"/>
                <w:spacing w:val="-3"/>
                <w:sz w:val="18"/>
                <w:szCs w:val="20"/>
                <w:lang w:eastAsia="ar-SA"/>
              </w:rPr>
              <w:t>SCR + FF + wet FGD</w:t>
            </w:r>
          </w:p>
        </w:tc>
        <w:tc>
          <w:tcPr>
            <w:tcW w:w="3639" w:type="pct"/>
            <w:tcBorders>
              <w:bottom w:val="single" w:sz="4" w:space="0" w:color="auto"/>
            </w:tcBorders>
            <w:vAlign w:val="center"/>
          </w:tcPr>
          <w:p w:rsidR="00335E4B" w:rsidRPr="00335E4B" w:rsidRDefault="00335E4B" w:rsidP="00335E4B">
            <w:pPr>
              <w:suppressAutoHyphens/>
              <w:overflowPunct w:val="0"/>
              <w:autoSpaceDE w:val="0"/>
              <w:spacing w:after="120" w:line="340" w:lineRule="exact"/>
              <w:jc w:val="both"/>
              <w:textAlignment w:val="baseline"/>
              <w:rPr>
                <w:rFonts w:ascii="Times New Roman Bold" w:eastAsia="SimSun" w:hAnsi="Times New Roman Bold" w:cs="Traditional Arabic"/>
                <w:spacing w:val="-3"/>
                <w:sz w:val="18"/>
                <w:szCs w:val="30"/>
                <w:lang w:eastAsia="ar-SA"/>
              </w:rPr>
            </w:pPr>
            <w:r w:rsidRPr="00335E4B">
              <w:rPr>
                <w:rFonts w:cs="Traditional Arabic"/>
                <w:spacing w:val="-3"/>
                <w:sz w:val="18"/>
                <w:szCs w:val="30"/>
                <w:rtl/>
                <w:lang w:eastAsia="ar-SA"/>
              </w:rPr>
              <w:t xml:space="preserve">التقاط جيد </w:t>
            </w:r>
            <w:r w:rsidRPr="00335E4B">
              <w:rPr>
                <w:rFonts w:cs="Traditional Arabic" w:hint="cs"/>
                <w:spacing w:val="-3"/>
                <w:sz w:val="18"/>
                <w:szCs w:val="30"/>
                <w:rtl/>
                <w:lang w:eastAsia="ar-SA"/>
              </w:rPr>
              <w:t xml:space="preserve">من </w:t>
            </w:r>
            <w:r w:rsidRPr="00335E4B">
              <w:rPr>
                <w:rFonts w:cs="Traditional Arabic"/>
                <w:spacing w:val="-3"/>
                <w:sz w:val="18"/>
                <w:szCs w:val="30"/>
                <w:rtl/>
                <w:lang w:eastAsia="ar-SA"/>
              </w:rPr>
              <w:t xml:space="preserve">أنواع </w:t>
            </w:r>
            <w:r w:rsidRPr="00335E4B">
              <w:rPr>
                <w:rFonts w:cs="Traditional Arabic" w:hint="cs"/>
                <w:spacing w:val="-3"/>
                <w:sz w:val="18"/>
                <w:szCs w:val="30"/>
                <w:rtl/>
                <w:lang w:eastAsia="ar-SA"/>
              </w:rPr>
              <w:t xml:space="preserve">الفحم </w:t>
            </w:r>
            <w:r w:rsidRPr="00335E4B">
              <w:rPr>
                <w:rFonts w:cs="Traditional Arabic"/>
                <w:spacing w:val="-3"/>
                <w:sz w:val="18"/>
                <w:szCs w:val="30"/>
                <w:rtl/>
                <w:lang w:eastAsia="ar-SA"/>
              </w:rPr>
              <w:t>المرتفع</w:t>
            </w:r>
            <w:r w:rsidRPr="00335E4B">
              <w:rPr>
                <w:rFonts w:cs="Traditional Arabic" w:hint="cs"/>
                <w:spacing w:val="-3"/>
                <w:sz w:val="18"/>
                <w:szCs w:val="30"/>
                <w:rtl/>
                <w:lang w:eastAsia="ar-SA"/>
              </w:rPr>
              <w:t>ة</w:t>
            </w:r>
            <w:r w:rsidRPr="00335E4B">
              <w:rPr>
                <w:rFonts w:cs="Traditional Arabic"/>
                <w:spacing w:val="-3"/>
                <w:sz w:val="18"/>
                <w:szCs w:val="30"/>
                <w:rtl/>
                <w:lang w:eastAsia="ar-SA"/>
              </w:rPr>
              <w:t xml:space="preserve"> الكلور بفضل زيادة كمية الزئبق المؤكسد القابل للذوبان في غاز المدخنة الذي يدعمه الاختزال الحفزي الانتقائي</w:t>
            </w:r>
            <w:r w:rsidRPr="00335E4B">
              <w:rPr>
                <w:rFonts w:cs="Traditional Arabic" w:hint="cs"/>
                <w:spacing w:val="-3"/>
                <w:sz w:val="18"/>
                <w:szCs w:val="30"/>
                <w:rtl/>
                <w:lang w:eastAsia="ar-SA"/>
              </w:rPr>
              <w:t>.</w:t>
            </w:r>
            <w:r w:rsidRPr="00335E4B">
              <w:rPr>
                <w:rFonts w:cs="Traditional Arabic"/>
                <w:spacing w:val="-3"/>
                <w:sz w:val="18"/>
                <w:szCs w:val="30"/>
                <w:rtl/>
                <w:lang w:eastAsia="ar-SA"/>
              </w:rPr>
              <w:t xml:space="preserve"> ويتحسَّن الالتقاط </w:t>
            </w:r>
            <w:r w:rsidRPr="00335E4B">
              <w:rPr>
                <w:rFonts w:cs="Traditional Arabic" w:hint="cs"/>
                <w:spacing w:val="-3"/>
                <w:sz w:val="18"/>
                <w:szCs w:val="30"/>
                <w:rtl/>
                <w:lang w:eastAsia="ar-SA"/>
              </w:rPr>
              <w:t>من</w:t>
            </w:r>
            <w:r w:rsidRPr="00335E4B">
              <w:rPr>
                <w:rFonts w:cs="Traditional Arabic"/>
                <w:spacing w:val="-3"/>
                <w:sz w:val="18"/>
                <w:szCs w:val="30"/>
                <w:rtl/>
                <w:lang w:eastAsia="ar-SA"/>
              </w:rPr>
              <w:t xml:space="preserve"> أنواع الفحم المنخفض</w:t>
            </w:r>
            <w:r w:rsidRPr="00335E4B">
              <w:rPr>
                <w:rFonts w:cs="Traditional Arabic" w:hint="cs"/>
                <w:spacing w:val="-3"/>
                <w:sz w:val="18"/>
                <w:szCs w:val="30"/>
                <w:rtl/>
                <w:lang w:eastAsia="ar-SA"/>
              </w:rPr>
              <w:t>ة</w:t>
            </w:r>
            <w:r w:rsidRPr="00335E4B">
              <w:rPr>
                <w:rFonts w:cs="Traditional Arabic"/>
                <w:spacing w:val="-3"/>
                <w:sz w:val="18"/>
                <w:szCs w:val="30"/>
                <w:rtl/>
                <w:lang w:eastAsia="ar-SA"/>
              </w:rPr>
              <w:t xml:space="preserve"> الجودة بفضل زيادة كمية الزئبق المؤكسد القابل للذوبان في غاز المدخنة. ويمكن أن تؤدي إعادة انبعاث الزئبق النقي إلى تخفيض </w:t>
            </w:r>
            <w:r w:rsidRPr="00335E4B">
              <w:rPr>
                <w:rFonts w:cs="Traditional Arabic" w:hint="cs"/>
                <w:spacing w:val="-3"/>
                <w:sz w:val="18"/>
                <w:szCs w:val="30"/>
                <w:rtl/>
                <w:lang w:eastAsia="ar-SA"/>
              </w:rPr>
              <w:t>مقدار</w:t>
            </w:r>
            <w:r w:rsidRPr="00335E4B">
              <w:rPr>
                <w:rFonts w:cs="Traditional Arabic"/>
                <w:spacing w:val="-3"/>
                <w:sz w:val="18"/>
                <w:szCs w:val="30"/>
                <w:rtl/>
                <w:lang w:eastAsia="ar-SA"/>
              </w:rPr>
              <w:t xml:space="preserve"> المنافع المشتركة</w:t>
            </w:r>
            <w:r w:rsidRPr="00335E4B">
              <w:rPr>
                <w:rFonts w:cs="Traditional Arabic" w:hint="cs"/>
                <w:spacing w:val="-3"/>
                <w:sz w:val="18"/>
                <w:szCs w:val="30"/>
                <w:rtl/>
                <w:lang w:eastAsia="ar-SA"/>
              </w:rPr>
              <w:t>.</w:t>
            </w:r>
            <w:r w:rsidRPr="00335E4B">
              <w:rPr>
                <w:rFonts w:cs="Traditional Arabic"/>
                <w:spacing w:val="-3"/>
                <w:sz w:val="18"/>
                <w:szCs w:val="30"/>
                <w:rtl/>
                <w:lang w:eastAsia="ar-SA"/>
              </w:rPr>
              <w:t xml:space="preserve"> والتقاط جيد للزئبق العالق بالجسيمات</w:t>
            </w:r>
          </w:p>
        </w:tc>
      </w:tr>
    </w:tbl>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16"/>
          <w:szCs w:val="26"/>
          <w:rtl/>
          <w:lang w:bidi="ar-EG"/>
        </w:rPr>
      </w:pPr>
      <w:r w:rsidRPr="00335E4B">
        <w:rPr>
          <w:rFonts w:cs="Traditional Arabic"/>
          <w:sz w:val="16"/>
          <w:szCs w:val="26"/>
          <w:rtl/>
          <w:lang w:bidi="ar-EG"/>
        </w:rPr>
        <w:t>المفتاح:</w:t>
      </w: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16"/>
          <w:szCs w:val="26"/>
          <w:rtl/>
          <w:lang w:bidi="ar-EG"/>
        </w:rPr>
      </w:pPr>
      <w:r w:rsidRPr="00335E4B">
        <w:rPr>
          <w:rFonts w:cs="Traditional Arabic"/>
          <w:sz w:val="16"/>
          <w:szCs w:val="26"/>
          <w:lang w:bidi="ar-EG"/>
        </w:rPr>
        <w:t>ESP</w:t>
      </w:r>
      <w:r w:rsidRPr="00335E4B">
        <w:rPr>
          <w:rFonts w:cs="Traditional Arabic"/>
          <w:sz w:val="16"/>
          <w:szCs w:val="26"/>
          <w:rtl/>
          <w:lang w:bidi="ar-EG"/>
        </w:rPr>
        <w:t xml:space="preserve"> = المرسِّب الكهروستاتيكي، </w:t>
      </w:r>
      <w:r w:rsidRPr="00335E4B">
        <w:rPr>
          <w:rFonts w:cs="Traditional Arabic"/>
          <w:sz w:val="16"/>
          <w:szCs w:val="26"/>
          <w:lang w:bidi="ar-EG"/>
        </w:rPr>
        <w:t>ESPc</w:t>
      </w:r>
      <w:r w:rsidRPr="00335E4B">
        <w:rPr>
          <w:rFonts w:cs="Traditional Arabic"/>
          <w:sz w:val="16"/>
          <w:szCs w:val="26"/>
          <w:rtl/>
          <w:lang w:bidi="ar-EG"/>
        </w:rPr>
        <w:t xml:space="preserve"> = المرسب الكهروستاتيكي في الجانب البارد؛ </w:t>
      </w:r>
      <w:r w:rsidRPr="00335E4B">
        <w:rPr>
          <w:rFonts w:cs="Traditional Arabic"/>
          <w:sz w:val="16"/>
          <w:szCs w:val="26"/>
          <w:lang w:bidi="ar-EG"/>
        </w:rPr>
        <w:t>ESPh</w:t>
      </w:r>
      <w:r w:rsidRPr="00335E4B">
        <w:rPr>
          <w:rFonts w:cs="Traditional Arabic"/>
          <w:sz w:val="16"/>
          <w:szCs w:val="26"/>
          <w:rtl/>
          <w:lang w:bidi="ar-EG"/>
        </w:rPr>
        <w:t xml:space="preserve">= المرسب الكهروستاتيكي في الجانب الساخن؛ </w:t>
      </w:r>
      <w:r w:rsidRPr="00335E4B">
        <w:rPr>
          <w:rFonts w:cs="Traditional Arabic"/>
          <w:sz w:val="16"/>
          <w:szCs w:val="26"/>
          <w:lang w:bidi="ar-EG"/>
        </w:rPr>
        <w:t>FF</w:t>
      </w:r>
      <w:r w:rsidRPr="00335E4B">
        <w:rPr>
          <w:rFonts w:cs="Traditional Arabic"/>
          <w:sz w:val="16"/>
          <w:szCs w:val="26"/>
          <w:rtl/>
          <w:lang w:bidi="ar-EG"/>
        </w:rPr>
        <w:t xml:space="preserve">= المرشح النسيجي؛ </w:t>
      </w:r>
      <w:r w:rsidRPr="00335E4B">
        <w:rPr>
          <w:rFonts w:cs="Traditional Arabic"/>
          <w:sz w:val="16"/>
          <w:szCs w:val="26"/>
          <w:lang w:bidi="ar-EG"/>
        </w:rPr>
        <w:t>SCR</w:t>
      </w:r>
      <w:r w:rsidRPr="00335E4B">
        <w:rPr>
          <w:rFonts w:cs="Traditional Arabic"/>
          <w:sz w:val="16"/>
          <w:szCs w:val="26"/>
          <w:rtl/>
          <w:lang w:bidi="ar-EG"/>
        </w:rPr>
        <w:t xml:space="preserve"> = الاختزال الحفزي الانتقائي؛ </w:t>
      </w:r>
      <w:r w:rsidRPr="00335E4B">
        <w:rPr>
          <w:rFonts w:cs="Traditional Arabic"/>
          <w:sz w:val="16"/>
          <w:szCs w:val="26"/>
          <w:lang w:bidi="ar-EG"/>
        </w:rPr>
        <w:t>SDA</w:t>
      </w:r>
      <w:r w:rsidRPr="00335E4B">
        <w:rPr>
          <w:rFonts w:cs="Traditional Arabic"/>
          <w:sz w:val="16"/>
          <w:szCs w:val="26"/>
          <w:rtl/>
          <w:lang w:bidi="ar-EG"/>
        </w:rPr>
        <w:t xml:space="preserve"> = جهاز </w:t>
      </w:r>
      <w:r w:rsidRPr="00335E4B">
        <w:rPr>
          <w:rFonts w:cs="Traditional Arabic" w:hint="cs"/>
          <w:sz w:val="16"/>
          <w:szCs w:val="26"/>
          <w:rtl/>
          <w:lang w:bidi="ar-EG"/>
        </w:rPr>
        <w:t>امتصاص</w:t>
      </w:r>
      <w:r w:rsidRPr="00335E4B">
        <w:rPr>
          <w:rFonts w:cs="Traditional Arabic"/>
          <w:sz w:val="16"/>
          <w:szCs w:val="26"/>
          <w:rtl/>
          <w:lang w:bidi="ar-EG"/>
        </w:rPr>
        <w:t xml:space="preserve"> </w:t>
      </w:r>
      <w:r w:rsidRPr="00335E4B">
        <w:rPr>
          <w:rFonts w:cs="Traditional Arabic" w:hint="cs"/>
          <w:sz w:val="16"/>
          <w:szCs w:val="26"/>
          <w:rtl/>
          <w:lang w:bidi="ar-EG"/>
        </w:rPr>
        <w:t>التجفيف</w:t>
      </w:r>
      <w:r w:rsidRPr="00335E4B">
        <w:rPr>
          <w:rFonts w:cs="Traditional Arabic"/>
          <w:sz w:val="16"/>
          <w:szCs w:val="26"/>
          <w:rtl/>
          <w:lang w:bidi="ar-EG"/>
        </w:rPr>
        <w:t xml:space="preserve"> بالرش (جهاز التنظيف الجاف)؛ </w:t>
      </w:r>
      <w:r w:rsidRPr="00335E4B">
        <w:rPr>
          <w:rFonts w:cs="Traditional Arabic"/>
          <w:sz w:val="16"/>
          <w:szCs w:val="26"/>
          <w:lang w:bidi="ar-EG"/>
        </w:rPr>
        <w:t>FGD</w:t>
      </w:r>
      <w:r w:rsidRPr="00335E4B">
        <w:rPr>
          <w:rFonts w:cs="Traditional Arabic"/>
          <w:sz w:val="16"/>
          <w:szCs w:val="26"/>
          <w:rtl/>
          <w:lang w:bidi="ar-EG"/>
        </w:rPr>
        <w:t xml:space="preserve"> الرطب = جهاز </w:t>
      </w:r>
      <w:r w:rsidRPr="00335E4B">
        <w:rPr>
          <w:rFonts w:cs="Traditional Arabic" w:hint="cs"/>
          <w:sz w:val="16"/>
          <w:szCs w:val="26"/>
          <w:rtl/>
          <w:lang w:bidi="ar-EG"/>
        </w:rPr>
        <w:t>ال</w:t>
      </w:r>
      <w:r w:rsidRPr="00335E4B">
        <w:rPr>
          <w:rFonts w:cs="Traditional Arabic"/>
          <w:sz w:val="16"/>
          <w:szCs w:val="26"/>
          <w:rtl/>
          <w:lang w:bidi="ar-EG"/>
        </w:rPr>
        <w:t>تنظيف الرطب لإزالة الكبريت</w:t>
      </w:r>
      <w:r w:rsidRPr="00335E4B">
        <w:rPr>
          <w:rFonts w:cs="Traditional Arabic" w:hint="cs"/>
          <w:sz w:val="16"/>
          <w:szCs w:val="26"/>
          <w:rtl/>
          <w:lang w:bidi="ar-EG"/>
        </w:rPr>
        <w:t xml:space="preserve"> من غاز المدخنة</w:t>
      </w:r>
      <w:r w:rsidRPr="00335E4B">
        <w:rPr>
          <w:rFonts w:cs="Traditional Arabic"/>
          <w:sz w:val="16"/>
          <w:szCs w:val="26"/>
          <w:rtl/>
          <w:lang w:bidi="ar-EG"/>
        </w:rPr>
        <w:t xml:space="preserve">؛ </w:t>
      </w:r>
      <w:r w:rsidRPr="00335E4B">
        <w:rPr>
          <w:rFonts w:cs="Traditional Arabic"/>
          <w:sz w:val="16"/>
          <w:szCs w:val="26"/>
          <w:lang w:bidi="ar-EG"/>
        </w:rPr>
        <w:t>HEX</w:t>
      </w:r>
      <w:r w:rsidRPr="00335E4B">
        <w:rPr>
          <w:rFonts w:cs="Traditional Arabic"/>
          <w:sz w:val="16"/>
          <w:szCs w:val="26"/>
          <w:rtl/>
          <w:lang w:bidi="ar-EG"/>
        </w:rPr>
        <w:t xml:space="preserve"> = </w:t>
      </w:r>
      <w:r w:rsidRPr="00335E4B">
        <w:rPr>
          <w:rFonts w:cs="Traditional Arabic" w:hint="cs"/>
          <w:sz w:val="16"/>
          <w:szCs w:val="26"/>
          <w:rtl/>
          <w:lang w:bidi="ar-EG"/>
        </w:rPr>
        <w:t>التبادل</w:t>
      </w:r>
      <w:r w:rsidRPr="00335E4B">
        <w:rPr>
          <w:rFonts w:cs="Traditional Arabic"/>
          <w:sz w:val="16"/>
          <w:szCs w:val="26"/>
          <w:rtl/>
          <w:lang w:bidi="ar-EG"/>
        </w:rPr>
        <w:t xml:space="preserve"> الحراري؛ </w:t>
      </w:r>
      <w:r w:rsidRPr="00335E4B">
        <w:rPr>
          <w:rFonts w:cs="Traditional Arabic"/>
          <w:sz w:val="16"/>
          <w:szCs w:val="26"/>
          <w:lang w:bidi="ar-EG"/>
        </w:rPr>
        <w:t>LLT-ESP</w:t>
      </w:r>
      <w:r w:rsidRPr="00335E4B">
        <w:rPr>
          <w:rFonts w:cs="Traditional Arabic"/>
          <w:sz w:val="16"/>
          <w:szCs w:val="26"/>
          <w:rtl/>
          <w:lang w:bidi="ar-EG"/>
        </w:rPr>
        <w:t xml:space="preserve">= </w:t>
      </w:r>
      <w:r w:rsidRPr="00335E4B">
        <w:rPr>
          <w:rFonts w:cs="Traditional Arabic" w:hint="cs"/>
          <w:sz w:val="16"/>
          <w:szCs w:val="26"/>
          <w:rtl/>
          <w:lang w:bidi="ar-EG"/>
        </w:rPr>
        <w:t>المرسِّب</w:t>
      </w:r>
      <w:r w:rsidRPr="00335E4B">
        <w:rPr>
          <w:rFonts w:cs="Traditional Arabic"/>
          <w:sz w:val="16"/>
          <w:szCs w:val="26"/>
          <w:rtl/>
          <w:lang w:bidi="ar-EG"/>
        </w:rPr>
        <w:t xml:space="preserve"> الكهروستاتيكي بدرجة حرارة </w:t>
      </w:r>
      <w:r w:rsidRPr="00335E4B">
        <w:rPr>
          <w:rFonts w:cs="Traditional Arabic" w:hint="cs"/>
          <w:sz w:val="16"/>
          <w:szCs w:val="26"/>
          <w:rtl/>
          <w:lang w:bidi="ar-EG"/>
        </w:rPr>
        <w:t>شديدة الانخفاض</w:t>
      </w: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16"/>
          <w:szCs w:val="26"/>
          <w:rtl/>
          <w:lang w:bidi="ar-EG"/>
        </w:rPr>
      </w:pPr>
      <w:r w:rsidRPr="00335E4B">
        <w:rPr>
          <w:rFonts w:cs="Traditional Arabic"/>
          <w:sz w:val="16"/>
          <w:szCs w:val="26"/>
          <w:rtl/>
          <w:lang w:bidi="ar-EG"/>
        </w:rPr>
        <w:t>وتعني صفة منخفض</w:t>
      </w:r>
      <w:r w:rsidRPr="00335E4B">
        <w:rPr>
          <w:rFonts w:cs="Traditional Arabic" w:hint="cs"/>
          <w:sz w:val="16"/>
          <w:szCs w:val="26"/>
          <w:rtl/>
          <w:lang w:bidi="ar-EG"/>
        </w:rPr>
        <w:t xml:space="preserve"> الضبط بنسبة</w:t>
      </w:r>
      <w:r w:rsidRPr="00335E4B">
        <w:rPr>
          <w:rFonts w:cs="Traditional Arabic"/>
          <w:sz w:val="16"/>
          <w:szCs w:val="26"/>
          <w:rtl/>
          <w:lang w:bidi="ar-EG"/>
        </w:rPr>
        <w:t xml:space="preserve"> أقل من 30 في المائ</w:t>
      </w:r>
      <w:r w:rsidRPr="00335E4B">
        <w:rPr>
          <w:rFonts w:cs="Traditional Arabic" w:hint="cs"/>
          <w:sz w:val="16"/>
          <w:szCs w:val="26"/>
          <w:rtl/>
          <w:lang w:bidi="ar-EG"/>
        </w:rPr>
        <w:t>ة</w:t>
      </w:r>
      <w:r w:rsidRPr="00335E4B">
        <w:rPr>
          <w:rFonts w:cs="Traditional Arabic"/>
          <w:sz w:val="16"/>
          <w:szCs w:val="26"/>
          <w:rtl/>
          <w:lang w:bidi="ar-EG"/>
        </w:rPr>
        <w:t xml:space="preserve">، وتعني مرتفع/جيد </w:t>
      </w:r>
      <w:r w:rsidRPr="00335E4B">
        <w:rPr>
          <w:rFonts w:cs="Traditional Arabic" w:hint="cs"/>
          <w:sz w:val="16"/>
          <w:szCs w:val="26"/>
          <w:rtl/>
          <w:lang w:bidi="ar-EG"/>
        </w:rPr>
        <w:t xml:space="preserve">الضبط بنسبة </w:t>
      </w:r>
      <w:r w:rsidRPr="00335E4B">
        <w:rPr>
          <w:rFonts w:cs="Traditional Arabic"/>
          <w:sz w:val="16"/>
          <w:szCs w:val="26"/>
          <w:rtl/>
          <w:lang w:bidi="ar-EG"/>
        </w:rPr>
        <w:t xml:space="preserve">أكثر من 70 في المائة، وتعني ”معتدل“ </w:t>
      </w:r>
      <w:r w:rsidRPr="00335E4B">
        <w:rPr>
          <w:rFonts w:cs="Traditional Arabic" w:hint="cs"/>
          <w:sz w:val="16"/>
          <w:szCs w:val="26"/>
          <w:rtl/>
          <w:lang w:bidi="ar-EG"/>
        </w:rPr>
        <w:t xml:space="preserve">الضبط بنسبة 30 إلى 70 </w:t>
      </w:r>
      <w:r w:rsidRPr="00335E4B">
        <w:rPr>
          <w:rFonts w:cs="Traditional Arabic"/>
          <w:sz w:val="16"/>
          <w:szCs w:val="26"/>
          <w:rtl/>
          <w:lang w:bidi="ar-EG"/>
        </w:rPr>
        <w:t>في المائة.</w:t>
      </w: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20"/>
          <w:szCs w:val="30"/>
          <w:rtl/>
          <w:lang w:bidi="ar-EG"/>
        </w:rPr>
      </w:pPr>
      <w:r w:rsidRPr="00335E4B">
        <w:rPr>
          <w:rFonts w:cs="Traditional Arabic"/>
          <w:sz w:val="20"/>
          <w:szCs w:val="30"/>
          <w:rtl/>
          <w:lang w:bidi="ar-EG"/>
        </w:rPr>
        <w:t xml:space="preserve">وترد تشكيلات نُظم ضبط تلوث الهواء </w:t>
      </w:r>
      <w:r w:rsidRPr="00335E4B">
        <w:rPr>
          <w:rFonts w:cs="Traditional Arabic" w:hint="cs"/>
          <w:sz w:val="20"/>
          <w:szCs w:val="30"/>
          <w:rtl/>
          <w:lang w:bidi="ar-EG"/>
        </w:rPr>
        <w:t xml:space="preserve">المعروضة </w:t>
      </w:r>
      <w:r w:rsidRPr="00335E4B">
        <w:rPr>
          <w:rFonts w:cs="Traditional Arabic"/>
          <w:sz w:val="20"/>
          <w:szCs w:val="30"/>
          <w:rtl/>
          <w:lang w:bidi="ar-EG"/>
        </w:rPr>
        <w:t>في الجدول 2 (</w:t>
      </w:r>
      <w:r w:rsidRPr="00335E4B">
        <w:rPr>
          <w:rFonts w:eastAsia="SimSun" w:cs="Traditional Arabic"/>
          <w:sz w:val="20"/>
          <w:szCs w:val="22"/>
        </w:rPr>
        <w:t>SCR</w:t>
      </w:r>
      <w:r w:rsidRPr="00335E4B">
        <w:rPr>
          <w:rFonts w:cs="Traditional Arabic"/>
          <w:sz w:val="20"/>
          <w:szCs w:val="22"/>
          <w:rtl/>
        </w:rPr>
        <w:t>+</w:t>
      </w:r>
      <w:r w:rsidRPr="00335E4B">
        <w:rPr>
          <w:rFonts w:eastAsia="SimSun" w:cs="Traditional Arabic"/>
          <w:sz w:val="20"/>
          <w:szCs w:val="22"/>
        </w:rPr>
        <w:t>ESPc</w:t>
      </w:r>
      <w:r w:rsidRPr="00335E4B">
        <w:rPr>
          <w:rFonts w:cs="Traditional Arabic"/>
          <w:sz w:val="20"/>
          <w:szCs w:val="22"/>
          <w:rtl/>
        </w:rPr>
        <w:t>+</w:t>
      </w:r>
      <w:r w:rsidRPr="00335E4B">
        <w:rPr>
          <w:rFonts w:eastAsia="SimSun" w:cs="Traditional Arabic"/>
          <w:sz w:val="20"/>
          <w:szCs w:val="22"/>
        </w:rPr>
        <w:t>FGD</w:t>
      </w:r>
      <w:r w:rsidRPr="00335E4B">
        <w:rPr>
          <w:rFonts w:cs="Traditional Arabic"/>
          <w:sz w:val="20"/>
          <w:szCs w:val="30"/>
          <w:rtl/>
          <w:lang w:bidi="ar-EG"/>
        </w:rPr>
        <w:t xml:space="preserve">) بصورة تخطيطية </w:t>
      </w:r>
      <w:r w:rsidRPr="00335E4B">
        <w:rPr>
          <w:rFonts w:cs="Traditional Arabic" w:hint="cs"/>
          <w:sz w:val="20"/>
          <w:szCs w:val="30"/>
          <w:rtl/>
          <w:lang w:bidi="ar-EG"/>
        </w:rPr>
        <w:t>في الشكل 3 أدناه</w:t>
      </w:r>
      <w:r w:rsidRPr="00335E4B">
        <w:rPr>
          <w:rFonts w:cs="Traditional Arabic"/>
          <w:b/>
          <w:bCs/>
          <w:sz w:val="20"/>
          <w:szCs w:val="30"/>
          <w:rtl/>
          <w:lang w:bidi="ar-EG"/>
        </w:rPr>
        <w:t>.</w:t>
      </w:r>
      <w:r w:rsidRPr="00335E4B">
        <w:rPr>
          <w:rFonts w:cs="Traditional Arabic"/>
          <w:sz w:val="20"/>
          <w:szCs w:val="30"/>
          <w:rtl/>
          <w:lang w:bidi="ar-EG"/>
        </w:rPr>
        <w:t xml:space="preserve"> ويرد أدناه (إيتو وآخرون، 2006). وعلى سبيل المثال، حققت هذه المجموعة </w:t>
      </w:r>
      <w:r w:rsidRPr="00335E4B">
        <w:rPr>
          <w:rFonts w:cs="Traditional Arabic" w:hint="cs"/>
          <w:sz w:val="20"/>
          <w:szCs w:val="30"/>
          <w:rtl/>
          <w:lang w:bidi="ar-EG"/>
        </w:rPr>
        <w:t xml:space="preserve">من الأجهزة </w:t>
      </w:r>
      <w:r w:rsidRPr="00335E4B">
        <w:rPr>
          <w:rFonts w:cs="Traditional Arabic"/>
          <w:sz w:val="20"/>
          <w:szCs w:val="30"/>
          <w:rtl/>
          <w:lang w:bidi="ar-EG"/>
        </w:rPr>
        <w:t>في اليابان كفاءة في إزالة الزئبق بمتوسط 74 في المائة (إيتو وآخرون، 2006). ولذلك يمكن أن تضبط تقنيات المنافع المشتركة ملوثات الهواء المتعددة، بما فيها الزئبق.</w:t>
      </w:r>
    </w:p>
    <w:p w:rsidR="00335E4B" w:rsidRPr="00335E4B" w:rsidRDefault="00335E4B" w:rsidP="00335E4B">
      <w:pPr>
        <w:tabs>
          <w:tab w:val="left" w:pos="663"/>
          <w:tab w:val="left" w:pos="1117"/>
          <w:tab w:val="left" w:pos="2230"/>
          <w:tab w:val="center" w:pos="5468"/>
        </w:tabs>
        <w:spacing w:after="120"/>
        <w:jc w:val="lowKashida"/>
        <w:rPr>
          <w:rFonts w:cs="Traditional Arabic"/>
          <w:b/>
          <w:bCs/>
          <w:sz w:val="26"/>
          <w:szCs w:val="26"/>
          <w:rtl/>
          <w:lang w:bidi="ar-EG"/>
        </w:rPr>
      </w:pPr>
      <w:r>
        <w:rPr>
          <w:rFonts w:cs="Traditional Arabic"/>
          <w:noProof/>
          <w:sz w:val="20"/>
          <w:szCs w:val="30"/>
          <w:lang w:val="en-GB" w:eastAsia="zh-CN"/>
        </w:rPr>
        <mc:AlternateContent>
          <mc:Choice Requires="wpg">
            <w:drawing>
              <wp:anchor distT="0" distB="0" distL="114300" distR="114300" simplePos="0" relativeHeight="251669504" behindDoc="0" locked="0" layoutInCell="1" allowOverlap="1" wp14:anchorId="4934C1D3" wp14:editId="07FC9D36">
                <wp:simplePos x="0" y="0"/>
                <wp:positionH relativeFrom="column">
                  <wp:posOffset>521383</wp:posOffset>
                </wp:positionH>
                <wp:positionV relativeFrom="paragraph">
                  <wp:posOffset>218906</wp:posOffset>
                </wp:positionV>
                <wp:extent cx="4870450" cy="2408555"/>
                <wp:effectExtent l="0" t="0" r="635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0" cy="2408555"/>
                          <a:chOff x="1923" y="10508"/>
                          <a:chExt cx="7670" cy="3793"/>
                        </a:xfrm>
                      </wpg:grpSpPr>
                      <wps:wsp>
                        <wps:cNvPr id="570" name="Text Box 134"/>
                        <wps:cNvSpPr txBox="1">
                          <a:spLocks noChangeArrowheads="1"/>
                        </wps:cNvSpPr>
                        <wps:spPr bwMode="auto">
                          <a:xfrm>
                            <a:off x="8146" y="10508"/>
                            <a:ext cx="1368"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942AEA" w:rsidRDefault="00670B40" w:rsidP="00335E4B">
                              <w:pPr>
                                <w:spacing w:line="180" w:lineRule="exact"/>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إلى الجو</w:t>
                              </w:r>
                            </w:p>
                          </w:txbxContent>
                        </wps:txbx>
                        <wps:bodyPr rot="0" vert="horz" wrap="square" lIns="0" tIns="0" rIns="0" bIns="0" anchor="t" anchorCtr="0" upright="1">
                          <a:noAutofit/>
                        </wps:bodyPr>
                      </wps:wsp>
                      <wps:wsp>
                        <wps:cNvPr id="571" name="Text Box 135"/>
                        <wps:cNvSpPr txBox="1">
                          <a:spLocks noChangeArrowheads="1"/>
                        </wps:cNvSpPr>
                        <wps:spPr bwMode="auto">
                          <a:xfrm>
                            <a:off x="3770" y="10965"/>
                            <a:ext cx="1368"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942AEA" w:rsidRDefault="00670B40" w:rsidP="00335E4B">
                              <w:pPr>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غاز المدخنة</w:t>
                              </w:r>
                            </w:p>
                          </w:txbxContent>
                        </wps:txbx>
                        <wps:bodyPr rot="0" vert="horz" wrap="square" lIns="0" tIns="0" rIns="0" bIns="0" anchor="t" anchorCtr="0" upright="1">
                          <a:noAutofit/>
                        </wps:bodyPr>
                      </wps:wsp>
                      <wps:wsp>
                        <wps:cNvPr id="572" name="Text Box 136"/>
                        <wps:cNvSpPr txBox="1">
                          <a:spLocks noChangeArrowheads="1"/>
                        </wps:cNvSpPr>
                        <wps:spPr bwMode="auto">
                          <a:xfrm>
                            <a:off x="5511" y="13621"/>
                            <a:ext cx="4082"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B72430" w:rsidRDefault="00670B40" w:rsidP="00942AEA">
                              <w:pPr>
                                <w:spacing w:line="260" w:lineRule="exact"/>
                                <w:rPr>
                                  <w:color w:val="000000"/>
                                  <w:sz w:val="14"/>
                                  <w:szCs w:val="20"/>
                                  <w:rtl/>
                                  <w:lang w:bidi="ar-EG"/>
                                </w:rPr>
                              </w:pPr>
                              <w:r w:rsidRPr="00B72430">
                                <w:rPr>
                                  <w:color w:val="000000"/>
                                  <w:sz w:val="14"/>
                                  <w:szCs w:val="20"/>
                                  <w:rtl/>
                                  <w:lang w:bidi="ar-EG"/>
                                </w:rPr>
                                <w:t xml:space="preserve">1: </w:t>
                              </w:r>
                              <w:r w:rsidRPr="00B72430">
                                <w:rPr>
                                  <w:color w:val="000000"/>
                                  <w:sz w:val="14"/>
                                  <w:szCs w:val="14"/>
                                  <w:lang w:bidi="ar-EG"/>
                                </w:rPr>
                                <w:t>ESP</w:t>
                              </w:r>
                              <w:r w:rsidRPr="00B72430">
                                <w:rPr>
                                  <w:color w:val="000000"/>
                                  <w:sz w:val="14"/>
                                  <w:szCs w:val="20"/>
                                  <w:rtl/>
                                  <w:lang w:bidi="ar-EG"/>
                                </w:rPr>
                                <w:t xml:space="preserve"> </w:t>
                              </w:r>
                              <w:r w:rsidRPr="00942AEA">
                                <w:rPr>
                                  <w:rFonts w:ascii="Traditional Arabic" w:hAnsi="Traditional Arabic" w:cs="Traditional Arabic"/>
                                  <w:color w:val="000000"/>
                                  <w:sz w:val="14"/>
                                  <w:szCs w:val="20"/>
                                  <w:rtl/>
                                  <w:lang w:bidi="ar-EG"/>
                                </w:rPr>
                                <w:t>تشمل</w:t>
                              </w:r>
                              <w:r w:rsidRPr="00B72430">
                                <w:rPr>
                                  <w:color w:val="000000"/>
                                  <w:sz w:val="14"/>
                                  <w:szCs w:val="20"/>
                                  <w:rtl/>
                                  <w:lang w:bidi="ar-EG"/>
                                </w:rPr>
                                <w:t xml:space="preserve"> </w:t>
                              </w:r>
                              <w:r w:rsidRPr="00B72430">
                                <w:rPr>
                                  <w:color w:val="000000"/>
                                  <w:sz w:val="14"/>
                                  <w:szCs w:val="20"/>
                                  <w:lang w:bidi="ar-EG"/>
                                </w:rPr>
                                <w:t>ESPc</w:t>
                              </w:r>
                              <w:r w:rsidRPr="00B72430">
                                <w:rPr>
                                  <w:color w:val="000000"/>
                                  <w:sz w:val="14"/>
                                  <w:szCs w:val="20"/>
                                  <w:rtl/>
                                  <w:lang w:bidi="ar-EG"/>
                                </w:rPr>
                                <w:t xml:space="preserve">، </w:t>
                              </w:r>
                              <w:r w:rsidRPr="00942AEA">
                                <w:rPr>
                                  <w:rFonts w:ascii="Traditional Arabic" w:hAnsi="Traditional Arabic" w:cs="Traditional Arabic"/>
                                  <w:color w:val="000000"/>
                                  <w:sz w:val="14"/>
                                  <w:szCs w:val="20"/>
                                  <w:rtl/>
                                  <w:lang w:bidi="ar-EG"/>
                                </w:rPr>
                                <w:t>و</w:t>
                              </w:r>
                              <w:r w:rsidRPr="00B72430">
                                <w:rPr>
                                  <w:color w:val="000000"/>
                                  <w:sz w:val="14"/>
                                  <w:szCs w:val="20"/>
                                  <w:lang w:bidi="ar-EG"/>
                                </w:rPr>
                                <w:t>ESPh</w:t>
                              </w:r>
                              <w:r w:rsidRPr="00B72430">
                                <w:rPr>
                                  <w:color w:val="000000"/>
                                  <w:sz w:val="14"/>
                                  <w:szCs w:val="20"/>
                                  <w:rtl/>
                                  <w:lang w:bidi="ar-EG"/>
                                </w:rPr>
                                <w:t xml:space="preserve">، </w:t>
                              </w:r>
                              <w:r w:rsidRPr="00942AEA">
                                <w:rPr>
                                  <w:rFonts w:ascii="Traditional Arabic" w:hAnsi="Traditional Arabic" w:cs="Traditional Arabic"/>
                                  <w:color w:val="000000"/>
                                  <w:sz w:val="14"/>
                                  <w:szCs w:val="20"/>
                                  <w:rtl/>
                                  <w:lang w:bidi="ar-EG"/>
                                </w:rPr>
                                <w:t>و</w:t>
                              </w:r>
                              <w:r w:rsidRPr="00B72430">
                                <w:rPr>
                                  <w:color w:val="000000"/>
                                  <w:sz w:val="14"/>
                                  <w:szCs w:val="20"/>
                                  <w:lang w:bidi="ar-EG"/>
                                </w:rPr>
                                <w:t>Low Low Temp ESP</w:t>
                              </w:r>
                              <w:r w:rsidRPr="00B72430">
                                <w:rPr>
                                  <w:color w:val="000000"/>
                                  <w:sz w:val="14"/>
                                  <w:szCs w:val="20"/>
                                  <w:rtl/>
                                  <w:lang w:bidi="ar-EG"/>
                                </w:rPr>
                                <w:t>.</w:t>
                              </w:r>
                            </w:p>
                            <w:p w:rsidR="00670B40" w:rsidRPr="00B72430" w:rsidRDefault="00670B40" w:rsidP="00335E4B">
                              <w:pPr>
                                <w:spacing w:line="260" w:lineRule="exact"/>
                                <w:rPr>
                                  <w:color w:val="000000"/>
                                  <w:sz w:val="14"/>
                                  <w:szCs w:val="20"/>
                                  <w:rtl/>
                                  <w:lang w:bidi="ar-EG"/>
                                </w:rPr>
                              </w:pPr>
                              <w:r w:rsidRPr="00B72430">
                                <w:rPr>
                                  <w:color w:val="000000"/>
                                  <w:sz w:val="14"/>
                                  <w:szCs w:val="20"/>
                                  <w:rtl/>
                                  <w:lang w:bidi="ar-EG"/>
                                </w:rPr>
                                <w:t xml:space="preserve">2: </w:t>
                              </w:r>
                              <w:r w:rsidRPr="00B72430">
                                <w:rPr>
                                  <w:color w:val="000000"/>
                                  <w:sz w:val="14"/>
                                  <w:szCs w:val="20"/>
                                  <w:lang w:bidi="ar-EG"/>
                                </w:rPr>
                                <w:t>FGD</w:t>
                              </w:r>
                              <w:r w:rsidRPr="00B72430">
                                <w:rPr>
                                  <w:color w:val="000000"/>
                                  <w:sz w:val="14"/>
                                  <w:szCs w:val="20"/>
                                  <w:rtl/>
                                  <w:lang w:bidi="ar-EG"/>
                                </w:rPr>
                                <w:t xml:space="preserve"> </w:t>
                              </w:r>
                              <w:r w:rsidRPr="00942AEA">
                                <w:rPr>
                                  <w:rFonts w:ascii="Traditional Arabic" w:hAnsi="Traditional Arabic" w:cs="Traditional Arabic"/>
                                  <w:color w:val="000000"/>
                                  <w:sz w:val="14"/>
                                  <w:szCs w:val="20"/>
                                  <w:rtl/>
                                  <w:lang w:bidi="ar-EG"/>
                                </w:rPr>
                                <w:t>تشمل</w:t>
                              </w:r>
                              <w:r w:rsidRPr="00B72430">
                                <w:rPr>
                                  <w:color w:val="000000"/>
                                  <w:sz w:val="14"/>
                                  <w:szCs w:val="20"/>
                                  <w:rtl/>
                                  <w:lang w:bidi="ar-EG"/>
                                </w:rPr>
                                <w:t xml:space="preserve"> </w:t>
                              </w:r>
                              <w:r w:rsidRPr="00B72430">
                                <w:rPr>
                                  <w:color w:val="000000"/>
                                  <w:sz w:val="14"/>
                                  <w:szCs w:val="20"/>
                                  <w:lang w:bidi="ar-EG"/>
                                </w:rPr>
                                <w:t>FGD</w:t>
                              </w:r>
                              <w:r w:rsidRPr="00B72430">
                                <w:rPr>
                                  <w:color w:val="000000"/>
                                  <w:sz w:val="14"/>
                                  <w:szCs w:val="20"/>
                                  <w:rtl/>
                                  <w:lang w:bidi="ar-EG"/>
                                </w:rPr>
                                <w:t xml:space="preserve"> </w:t>
                              </w:r>
                              <w:r w:rsidRPr="00942AEA">
                                <w:rPr>
                                  <w:rFonts w:ascii="Traditional Arabic" w:hAnsi="Traditional Arabic" w:cs="Traditional Arabic"/>
                                  <w:color w:val="000000"/>
                                  <w:sz w:val="14"/>
                                  <w:szCs w:val="20"/>
                                  <w:rtl/>
                                  <w:lang w:bidi="ar-EG"/>
                                </w:rPr>
                                <w:t>الرطب والقاع المتحرك من الكوك النشط.</w:t>
                              </w:r>
                            </w:p>
                          </w:txbxContent>
                        </wps:txbx>
                        <wps:bodyPr rot="0" vert="horz" wrap="square" lIns="0" tIns="0" rIns="0" bIns="0" anchor="t" anchorCtr="0" upright="1">
                          <a:noAutofit/>
                        </wps:bodyPr>
                      </wps:wsp>
                      <wps:wsp>
                        <wps:cNvPr id="573" name="Text Box 137"/>
                        <wps:cNvSpPr txBox="1">
                          <a:spLocks noChangeArrowheads="1"/>
                        </wps:cNvSpPr>
                        <wps:spPr bwMode="auto">
                          <a:xfrm>
                            <a:off x="7436" y="11982"/>
                            <a:ext cx="913" cy="754"/>
                          </a:xfrm>
                          <a:prstGeom prst="rect">
                            <a:avLst/>
                          </a:prstGeom>
                          <a:solidFill>
                            <a:srgbClr val="A7D3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942AEA" w:rsidRDefault="00670B40" w:rsidP="00335E4B">
                              <w:pPr>
                                <w:spacing w:line="200" w:lineRule="exact"/>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إزالة الكبريت من غاز المدخنة</w:t>
                              </w:r>
                            </w:p>
                            <w:p w:rsidR="00670B40" w:rsidRPr="00320700" w:rsidRDefault="00670B40" w:rsidP="00335E4B">
                              <w:pPr>
                                <w:spacing w:line="200" w:lineRule="exact"/>
                                <w:jc w:val="center"/>
                                <w:rPr>
                                  <w:color w:val="000000"/>
                                  <w:szCs w:val="20"/>
                                  <w:rtl/>
                                  <w:lang w:bidi="ar-EG"/>
                                </w:rPr>
                              </w:pPr>
                              <w:r w:rsidRPr="00942AEA">
                                <w:rPr>
                                  <w:rFonts w:ascii="Traditional Arabic" w:hAnsi="Traditional Arabic" w:cs="Traditional Arabic"/>
                                  <w:color w:val="000000"/>
                                  <w:szCs w:val="20"/>
                                  <w:vertAlign w:val="superscript"/>
                                  <w:rtl/>
                                  <w:lang w:bidi="ar-EG"/>
                                </w:rPr>
                                <w:t>2</w:t>
                              </w:r>
                              <w:r>
                                <w:rPr>
                                  <w:color w:val="000000"/>
                                  <w:sz w:val="14"/>
                                  <w:szCs w:val="14"/>
                                  <w:lang w:bidi="ar-EG"/>
                                </w:rPr>
                                <w:t>(F</w:t>
                              </w:r>
                              <w:r w:rsidRPr="00FE5926">
                                <w:rPr>
                                  <w:color w:val="000000"/>
                                  <w:sz w:val="14"/>
                                  <w:szCs w:val="14"/>
                                  <w:lang w:bidi="ar-EG"/>
                                </w:rPr>
                                <w:t>GD</w:t>
                              </w:r>
                              <w:r>
                                <w:rPr>
                                  <w:color w:val="000000"/>
                                  <w:sz w:val="14"/>
                                  <w:szCs w:val="14"/>
                                  <w:lang w:bidi="ar-EG"/>
                                </w:rPr>
                                <w:t>)</w:t>
                              </w:r>
                            </w:p>
                          </w:txbxContent>
                        </wps:txbx>
                        <wps:bodyPr rot="0" vert="horz" wrap="square" lIns="0" tIns="0" rIns="0" bIns="0" anchor="t" anchorCtr="0" upright="1">
                          <a:noAutofit/>
                        </wps:bodyPr>
                      </wps:wsp>
                      <wps:wsp>
                        <wps:cNvPr id="574" name="Text Box 138"/>
                        <wps:cNvSpPr txBox="1">
                          <a:spLocks noChangeArrowheads="1"/>
                        </wps:cNvSpPr>
                        <wps:spPr bwMode="auto">
                          <a:xfrm>
                            <a:off x="5720" y="11982"/>
                            <a:ext cx="1247" cy="510"/>
                          </a:xfrm>
                          <a:prstGeom prst="rect">
                            <a:avLst/>
                          </a:prstGeom>
                          <a:solidFill>
                            <a:srgbClr val="A7D3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942AEA" w:rsidRDefault="00670B40" w:rsidP="00335E4B">
                              <w:pPr>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ترسيب كهروستاتيكي</w:t>
                              </w:r>
                              <w:r w:rsidRPr="00942AEA">
                                <w:rPr>
                                  <w:rFonts w:ascii="Traditional Arabic" w:hAnsi="Traditional Arabic" w:cs="Traditional Arabic"/>
                                  <w:color w:val="000000"/>
                                  <w:szCs w:val="20"/>
                                  <w:vertAlign w:val="superscript"/>
                                  <w:rtl/>
                                  <w:lang w:bidi="ar-EG"/>
                                </w:rPr>
                                <w:t>1</w:t>
                              </w:r>
                            </w:p>
                          </w:txbxContent>
                        </wps:txbx>
                        <wps:bodyPr rot="0" vert="horz" wrap="square" lIns="0" tIns="0" rIns="0" bIns="0" anchor="t" anchorCtr="0" upright="1">
                          <a:noAutofit/>
                        </wps:bodyPr>
                      </wps:wsp>
                      <wps:wsp>
                        <wps:cNvPr id="575" name="Text Box 139"/>
                        <wps:cNvSpPr txBox="1">
                          <a:spLocks noChangeArrowheads="1"/>
                        </wps:cNvSpPr>
                        <wps:spPr bwMode="auto">
                          <a:xfrm>
                            <a:off x="3447" y="11871"/>
                            <a:ext cx="1020" cy="680"/>
                          </a:xfrm>
                          <a:prstGeom prst="rect">
                            <a:avLst/>
                          </a:prstGeom>
                          <a:solidFill>
                            <a:srgbClr val="A7D3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942AEA" w:rsidRDefault="00670B40" w:rsidP="00335E4B">
                              <w:pPr>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اختزال حفزي انتقائي</w:t>
                              </w:r>
                            </w:p>
                          </w:txbxContent>
                        </wps:txbx>
                        <wps:bodyPr rot="0" vert="horz" wrap="square" lIns="0" tIns="0" rIns="0" bIns="0" anchor="t" anchorCtr="0" upright="1">
                          <a:noAutofit/>
                        </wps:bodyPr>
                      </wps:wsp>
                      <wps:wsp>
                        <wps:cNvPr id="576" name="Text Box 140"/>
                        <wps:cNvSpPr txBox="1">
                          <a:spLocks noChangeArrowheads="1"/>
                        </wps:cNvSpPr>
                        <wps:spPr bwMode="auto">
                          <a:xfrm>
                            <a:off x="8586" y="13211"/>
                            <a:ext cx="964"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942AEA" w:rsidRDefault="00670B40" w:rsidP="00335E4B">
                              <w:pPr>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المدخنة</w:t>
                              </w:r>
                            </w:p>
                          </w:txbxContent>
                        </wps:txbx>
                        <wps:bodyPr rot="0" vert="horz" wrap="square" lIns="0" tIns="0" rIns="0" bIns="0" anchor="t" anchorCtr="0" upright="1">
                          <a:noAutofit/>
                        </wps:bodyPr>
                      </wps:wsp>
                      <wps:wsp>
                        <wps:cNvPr id="577" name="Text Box 141"/>
                        <wps:cNvSpPr txBox="1">
                          <a:spLocks noChangeArrowheads="1"/>
                        </wps:cNvSpPr>
                        <wps:spPr bwMode="auto">
                          <a:xfrm>
                            <a:off x="4440" y="13225"/>
                            <a:ext cx="907"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942AEA" w:rsidRDefault="00670B40" w:rsidP="00335E4B">
                              <w:pPr>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مسخِّن هواء</w:t>
                              </w:r>
                            </w:p>
                          </w:txbxContent>
                        </wps:txbx>
                        <wps:bodyPr rot="0" vert="horz" wrap="square" lIns="0" tIns="0" rIns="0" bIns="0" anchor="t" anchorCtr="0" upright="1">
                          <a:noAutofit/>
                        </wps:bodyPr>
                      </wps:wsp>
                      <wps:wsp>
                        <wps:cNvPr id="578" name="Text Box 142"/>
                        <wps:cNvSpPr txBox="1">
                          <a:spLocks noChangeArrowheads="1"/>
                        </wps:cNvSpPr>
                        <wps:spPr bwMode="auto">
                          <a:xfrm>
                            <a:off x="1923" y="11774"/>
                            <a:ext cx="113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942AEA" w:rsidRDefault="00670B40" w:rsidP="00335E4B">
                              <w:pPr>
                                <w:spacing w:line="240" w:lineRule="exact"/>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مرجَل يعمل بحرق الفحم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055" style="position:absolute;left:0;text-align:left;margin-left:41.05pt;margin-top:17.25pt;width:383.5pt;height:189.65pt;z-index:251669504" coordorigin="1923,10508" coordsize="7670,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">
                <v:shape id="Text Box 134" o:spid="_x0000_s1056" type="#_x0000_t202" style="position:absolute;left:8146;top:10508;width:136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pb8MA&#10;AADcAAAADwAAAGRycy9kb3ducmV2LnhtbERPz2vCMBS+D/wfwhN2GZpOmJNqLFoVdtgO1uL50by1&#10;Zc1LSaKt//1yGOz48f3eZKPpxJ2cby0reJ0nIIgrq1uuFZSX02wFwgdkjZ1lUvAgD9l28rTBVNuB&#10;z3QvQi1iCPsUFTQh9KmUvmrIoJ/bnjhy39YZDBG6WmqHQww3nVwkyVIabDk2NNhT3lD1U9yMguXB&#10;3YYz5y+H8viJX329uO4fV6Wep+NuDSLQGP7Ff+4PreDtP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5pb8MAAADcAAAADwAAAAAAAAAAAAAAAACYAgAAZHJzL2Rv&#10;d25yZXYueG1sUEsFBgAAAAAEAAQA9QAAAIgDAAAAAA==&#10;" stroked="f">
                  <v:textbox inset="0,0,0,0">
                    <w:txbxContent>
                      <w:p w:rsidR="0093783C" w:rsidRPr="00942AEA" w:rsidRDefault="0093783C" w:rsidP="00335E4B">
                        <w:pPr>
                          <w:spacing w:line="180" w:lineRule="exact"/>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إلى الجو</w:t>
                        </w:r>
                      </w:p>
                    </w:txbxContent>
                  </v:textbox>
                </v:shape>
                <v:shape id="Text Box 135" o:spid="_x0000_s1057" type="#_x0000_t202" style="position:absolute;left:3770;top:10965;width:136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M9MUA&#10;AADcAAAADwAAAGRycy9kb3ducmV2LnhtbESPS4vCQBCE7wv+h6GFvSzrRMEHWUfxsYKH9eADz02m&#10;TYKZnjAzmvjvHUHYY1FVX1HTeWsqcSfnS8sK+r0EBHFmdcm5gtNx8z0B4QOyxsoyKXiQh/ms8zHF&#10;VNuG93Q/hFxECPsUFRQh1KmUPivIoO/Zmjh6F+sMhihdLrXDJsJNJQdJMpIGS44LBda0Kii7Hm5G&#10;wWjtbs2eV1/r0+8f7up8cF4+zkp9dtvFD4hAbfgPv9tbrWA47sPrTD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sz0xQAAANwAAAAPAAAAAAAAAAAAAAAAAJgCAABkcnMv&#10;ZG93bnJldi54bWxQSwUGAAAAAAQABAD1AAAAigMAAAAA&#10;" stroked="f">
                  <v:textbox inset="0,0,0,0">
                    <w:txbxContent>
                      <w:p w:rsidR="0093783C" w:rsidRPr="00942AEA" w:rsidRDefault="0093783C" w:rsidP="00335E4B">
                        <w:pPr>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غاز المدخنة</w:t>
                        </w:r>
                      </w:p>
                    </w:txbxContent>
                  </v:textbox>
                </v:shape>
                <v:shape id="Text Box 136" o:spid="_x0000_s1058" type="#_x0000_t202" style="position:absolute;left:5511;top:13621;width:4082;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Sg8UA&#10;AADcAAAADwAAAGRycy9kb3ducmV2LnhtbESPzYvCMBTE7wv+D+EJe1k03YIfVKO4usIe1oMfeH40&#10;z7bYvJQk2vrfbwRhj8PM/IaZLztTizs5X1lW8DlMQBDnVldcKDgdt4MpCB+QNdaWScGDPCwXvbc5&#10;Ztq2vKf7IRQiQthnqKAMocmk9HlJBv3QNsTRu1hnMETpCqkdthFuapkmyVgarDgulNjQuqT8ergZ&#10;BeONu7V7Xn9sTt+/uGuK9Pz1OCv13u9WMxCBuvAffrV/tILRJIX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FKDxQAAANwAAAAPAAAAAAAAAAAAAAAAAJgCAABkcnMv&#10;ZG93bnJldi54bWxQSwUGAAAAAAQABAD1AAAAigMAAAAA&#10;" stroked="f">
                  <v:textbox inset="0,0,0,0">
                    <w:txbxContent>
                      <w:p w:rsidR="0093783C" w:rsidRPr="00B72430" w:rsidRDefault="0093783C" w:rsidP="00942AEA">
                        <w:pPr>
                          <w:spacing w:line="260" w:lineRule="exact"/>
                          <w:rPr>
                            <w:color w:val="000000"/>
                            <w:sz w:val="14"/>
                            <w:szCs w:val="20"/>
                            <w:rtl/>
                            <w:lang w:bidi="ar-EG"/>
                          </w:rPr>
                        </w:pPr>
                        <w:r w:rsidRPr="00B72430">
                          <w:rPr>
                            <w:color w:val="000000"/>
                            <w:sz w:val="14"/>
                            <w:szCs w:val="20"/>
                            <w:rtl/>
                            <w:lang w:bidi="ar-EG"/>
                          </w:rPr>
                          <w:t xml:space="preserve">1: </w:t>
                        </w:r>
                        <w:r w:rsidRPr="00B72430">
                          <w:rPr>
                            <w:color w:val="000000"/>
                            <w:sz w:val="14"/>
                            <w:szCs w:val="14"/>
                            <w:lang w:bidi="ar-EG"/>
                          </w:rPr>
                          <w:t>ESP</w:t>
                        </w:r>
                        <w:r w:rsidRPr="00B72430">
                          <w:rPr>
                            <w:color w:val="000000"/>
                            <w:sz w:val="14"/>
                            <w:szCs w:val="20"/>
                            <w:rtl/>
                            <w:lang w:bidi="ar-EG"/>
                          </w:rPr>
                          <w:t xml:space="preserve"> </w:t>
                        </w:r>
                        <w:r w:rsidRPr="00942AEA">
                          <w:rPr>
                            <w:rFonts w:ascii="Traditional Arabic" w:hAnsi="Traditional Arabic" w:cs="Traditional Arabic"/>
                            <w:color w:val="000000"/>
                            <w:sz w:val="14"/>
                            <w:szCs w:val="20"/>
                            <w:rtl/>
                            <w:lang w:bidi="ar-EG"/>
                          </w:rPr>
                          <w:t>تشمل</w:t>
                        </w:r>
                        <w:r w:rsidRPr="00B72430">
                          <w:rPr>
                            <w:color w:val="000000"/>
                            <w:sz w:val="14"/>
                            <w:szCs w:val="20"/>
                            <w:rtl/>
                            <w:lang w:bidi="ar-EG"/>
                          </w:rPr>
                          <w:t xml:space="preserve"> </w:t>
                        </w:r>
                        <w:r w:rsidRPr="00B72430">
                          <w:rPr>
                            <w:color w:val="000000"/>
                            <w:sz w:val="14"/>
                            <w:szCs w:val="20"/>
                            <w:lang w:bidi="ar-EG"/>
                          </w:rPr>
                          <w:t>ESPc</w:t>
                        </w:r>
                        <w:r w:rsidRPr="00B72430">
                          <w:rPr>
                            <w:color w:val="000000"/>
                            <w:sz w:val="14"/>
                            <w:szCs w:val="20"/>
                            <w:rtl/>
                            <w:lang w:bidi="ar-EG"/>
                          </w:rPr>
                          <w:t xml:space="preserve">، </w:t>
                        </w:r>
                        <w:r w:rsidRPr="00942AEA">
                          <w:rPr>
                            <w:rFonts w:ascii="Traditional Arabic" w:hAnsi="Traditional Arabic" w:cs="Traditional Arabic"/>
                            <w:color w:val="000000"/>
                            <w:sz w:val="14"/>
                            <w:szCs w:val="20"/>
                            <w:rtl/>
                            <w:lang w:bidi="ar-EG"/>
                          </w:rPr>
                          <w:t>و</w:t>
                        </w:r>
                        <w:r w:rsidRPr="00B72430">
                          <w:rPr>
                            <w:color w:val="000000"/>
                            <w:sz w:val="14"/>
                            <w:szCs w:val="20"/>
                            <w:lang w:bidi="ar-EG"/>
                          </w:rPr>
                          <w:t>ESPh</w:t>
                        </w:r>
                        <w:r w:rsidRPr="00B72430">
                          <w:rPr>
                            <w:color w:val="000000"/>
                            <w:sz w:val="14"/>
                            <w:szCs w:val="20"/>
                            <w:rtl/>
                            <w:lang w:bidi="ar-EG"/>
                          </w:rPr>
                          <w:t xml:space="preserve">، </w:t>
                        </w:r>
                        <w:r w:rsidRPr="00942AEA">
                          <w:rPr>
                            <w:rFonts w:ascii="Traditional Arabic" w:hAnsi="Traditional Arabic" w:cs="Traditional Arabic"/>
                            <w:color w:val="000000"/>
                            <w:sz w:val="14"/>
                            <w:szCs w:val="20"/>
                            <w:rtl/>
                            <w:lang w:bidi="ar-EG"/>
                          </w:rPr>
                          <w:t>و</w:t>
                        </w:r>
                        <w:r w:rsidRPr="00B72430">
                          <w:rPr>
                            <w:color w:val="000000"/>
                            <w:sz w:val="14"/>
                            <w:szCs w:val="20"/>
                            <w:lang w:bidi="ar-EG"/>
                          </w:rPr>
                          <w:t>Low Low Temp ESP</w:t>
                        </w:r>
                        <w:r w:rsidRPr="00B72430">
                          <w:rPr>
                            <w:color w:val="000000"/>
                            <w:sz w:val="14"/>
                            <w:szCs w:val="20"/>
                            <w:rtl/>
                            <w:lang w:bidi="ar-EG"/>
                          </w:rPr>
                          <w:t>.</w:t>
                        </w:r>
                      </w:p>
                      <w:p w:rsidR="0093783C" w:rsidRPr="00B72430" w:rsidRDefault="0093783C" w:rsidP="00335E4B">
                        <w:pPr>
                          <w:spacing w:line="260" w:lineRule="exact"/>
                          <w:rPr>
                            <w:color w:val="000000"/>
                            <w:sz w:val="14"/>
                            <w:szCs w:val="20"/>
                            <w:rtl/>
                            <w:lang w:bidi="ar-EG"/>
                          </w:rPr>
                        </w:pPr>
                        <w:r w:rsidRPr="00B72430">
                          <w:rPr>
                            <w:color w:val="000000"/>
                            <w:sz w:val="14"/>
                            <w:szCs w:val="20"/>
                            <w:rtl/>
                            <w:lang w:bidi="ar-EG"/>
                          </w:rPr>
                          <w:t xml:space="preserve">2: </w:t>
                        </w:r>
                        <w:r w:rsidRPr="00B72430">
                          <w:rPr>
                            <w:color w:val="000000"/>
                            <w:sz w:val="14"/>
                            <w:szCs w:val="20"/>
                            <w:lang w:bidi="ar-EG"/>
                          </w:rPr>
                          <w:t>FGD</w:t>
                        </w:r>
                        <w:r w:rsidRPr="00B72430">
                          <w:rPr>
                            <w:color w:val="000000"/>
                            <w:sz w:val="14"/>
                            <w:szCs w:val="20"/>
                            <w:rtl/>
                            <w:lang w:bidi="ar-EG"/>
                          </w:rPr>
                          <w:t xml:space="preserve"> </w:t>
                        </w:r>
                        <w:r w:rsidRPr="00942AEA">
                          <w:rPr>
                            <w:rFonts w:ascii="Traditional Arabic" w:hAnsi="Traditional Arabic" w:cs="Traditional Arabic"/>
                            <w:color w:val="000000"/>
                            <w:sz w:val="14"/>
                            <w:szCs w:val="20"/>
                            <w:rtl/>
                            <w:lang w:bidi="ar-EG"/>
                          </w:rPr>
                          <w:t>تشمل</w:t>
                        </w:r>
                        <w:r w:rsidRPr="00B72430">
                          <w:rPr>
                            <w:color w:val="000000"/>
                            <w:sz w:val="14"/>
                            <w:szCs w:val="20"/>
                            <w:rtl/>
                            <w:lang w:bidi="ar-EG"/>
                          </w:rPr>
                          <w:t xml:space="preserve"> </w:t>
                        </w:r>
                        <w:r w:rsidRPr="00B72430">
                          <w:rPr>
                            <w:color w:val="000000"/>
                            <w:sz w:val="14"/>
                            <w:szCs w:val="20"/>
                            <w:lang w:bidi="ar-EG"/>
                          </w:rPr>
                          <w:t>FGD</w:t>
                        </w:r>
                        <w:r w:rsidRPr="00B72430">
                          <w:rPr>
                            <w:color w:val="000000"/>
                            <w:sz w:val="14"/>
                            <w:szCs w:val="20"/>
                            <w:rtl/>
                            <w:lang w:bidi="ar-EG"/>
                          </w:rPr>
                          <w:t xml:space="preserve"> </w:t>
                        </w:r>
                        <w:r w:rsidRPr="00942AEA">
                          <w:rPr>
                            <w:rFonts w:ascii="Traditional Arabic" w:hAnsi="Traditional Arabic" w:cs="Traditional Arabic"/>
                            <w:color w:val="000000"/>
                            <w:sz w:val="14"/>
                            <w:szCs w:val="20"/>
                            <w:rtl/>
                            <w:lang w:bidi="ar-EG"/>
                          </w:rPr>
                          <w:t>الرطب والقاع المتحرك من الكوك النشط.</w:t>
                        </w:r>
                      </w:p>
                    </w:txbxContent>
                  </v:textbox>
                </v:shape>
                <v:shape id="Text Box 137" o:spid="_x0000_s1059" type="#_x0000_t202" style="position:absolute;left:7436;top:11982;width:913;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WMsUA&#10;AADcAAAADwAAAGRycy9kb3ducmV2LnhtbESPzW7CMBCE70i8g7WVegOnhL+mOFFVCdQr0APHbbwk&#10;aeN1Gpsk5enrSkgcRzPzjWaTDaYWHbWusqzgaRqBIM6trrhQ8HHcTtYgnEfWWFsmBb/kIEvHow0m&#10;2va8p+7gCxEg7BJUUHrfJFK6vCSDbmob4uCdbWvQB9kWUrfYB7ip5SyKltJgxWGhxIbeSsq/Dxej&#10;YMXP19M6nqM7/5z07niNvz4dK/X4MLy+gPA0+Hv41n7XCharGP7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pYyxQAAANwAAAAPAAAAAAAAAAAAAAAAAJgCAABkcnMv&#10;ZG93bnJldi54bWxQSwUGAAAAAAQABAD1AAAAigMAAAAA&#10;" fillcolor="#a7d3ff" stroked="f">
                  <v:textbox inset="0,0,0,0">
                    <w:txbxContent>
                      <w:p w:rsidR="0093783C" w:rsidRPr="00942AEA" w:rsidRDefault="0093783C" w:rsidP="00335E4B">
                        <w:pPr>
                          <w:spacing w:line="200" w:lineRule="exact"/>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إزالة الكبريت من غاز المدخنة</w:t>
                        </w:r>
                      </w:p>
                      <w:p w:rsidR="0093783C" w:rsidRPr="00320700" w:rsidRDefault="0093783C" w:rsidP="00335E4B">
                        <w:pPr>
                          <w:spacing w:line="200" w:lineRule="exact"/>
                          <w:jc w:val="center"/>
                          <w:rPr>
                            <w:color w:val="000000"/>
                            <w:szCs w:val="20"/>
                            <w:rtl/>
                            <w:lang w:bidi="ar-EG"/>
                          </w:rPr>
                        </w:pPr>
                        <w:r w:rsidRPr="00942AEA">
                          <w:rPr>
                            <w:rFonts w:ascii="Traditional Arabic" w:hAnsi="Traditional Arabic" w:cs="Traditional Arabic"/>
                            <w:color w:val="000000"/>
                            <w:szCs w:val="20"/>
                            <w:vertAlign w:val="superscript"/>
                            <w:rtl/>
                            <w:lang w:bidi="ar-EG"/>
                          </w:rPr>
                          <w:t>2</w:t>
                        </w:r>
                        <w:r>
                          <w:rPr>
                            <w:color w:val="000000"/>
                            <w:sz w:val="14"/>
                            <w:szCs w:val="14"/>
                            <w:lang w:bidi="ar-EG"/>
                          </w:rPr>
                          <w:t>(F</w:t>
                        </w:r>
                        <w:r w:rsidRPr="00FE5926">
                          <w:rPr>
                            <w:color w:val="000000"/>
                            <w:sz w:val="14"/>
                            <w:szCs w:val="14"/>
                            <w:lang w:bidi="ar-EG"/>
                          </w:rPr>
                          <w:t>GD</w:t>
                        </w:r>
                        <w:r>
                          <w:rPr>
                            <w:color w:val="000000"/>
                            <w:sz w:val="14"/>
                            <w:szCs w:val="14"/>
                            <w:lang w:bidi="ar-EG"/>
                          </w:rPr>
                          <w:t>)</w:t>
                        </w:r>
                      </w:p>
                    </w:txbxContent>
                  </v:textbox>
                </v:shape>
                <v:shape id="Text Box 138" o:spid="_x0000_s1060" type="#_x0000_t202" style="position:absolute;left:5720;top:11982;width:124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ORsMA&#10;AADcAAAADwAAAGRycy9kb3ducmV2LnhtbESPS4vCQBCE74L/YWhhbzrxrdFRRNjFq4+DxzbTJtFM&#10;T8zMavTXO8LCHouq+oqaL2tTiDtVLresoNuJQBAnVuecKjjsv9sTEM4jaywsk4InOVgumo05xto+&#10;eEv3nU9FgLCLUUHmfRlL6ZKMDLqOLYmDd7aVQR9klUpd4SPATSF7UTSSBnMOCxmWtM4oue5+jYIx&#10;T1/HSX+A7nw76p/9q385OVbqq1WvZiA81f4//NfeaAXD8QA+Z8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MORsMAAADcAAAADwAAAAAAAAAAAAAAAACYAgAAZHJzL2Rv&#10;d25yZXYueG1sUEsFBgAAAAAEAAQA9QAAAIgDAAAAAA==&#10;" fillcolor="#a7d3ff" stroked="f">
                  <v:textbox inset="0,0,0,0">
                    <w:txbxContent>
                      <w:p w:rsidR="0093783C" w:rsidRPr="00942AEA" w:rsidRDefault="0093783C" w:rsidP="00335E4B">
                        <w:pPr>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ترسيب كهروستاتيكي</w:t>
                        </w:r>
                        <w:r w:rsidRPr="00942AEA">
                          <w:rPr>
                            <w:rFonts w:ascii="Traditional Arabic" w:hAnsi="Traditional Arabic" w:cs="Traditional Arabic"/>
                            <w:color w:val="000000"/>
                            <w:szCs w:val="20"/>
                            <w:vertAlign w:val="superscript"/>
                            <w:rtl/>
                            <w:lang w:bidi="ar-EG"/>
                          </w:rPr>
                          <w:t>1</w:t>
                        </w:r>
                      </w:p>
                    </w:txbxContent>
                  </v:textbox>
                </v:shape>
                <v:shape id="Text Box 139" o:spid="_x0000_s1061" type="#_x0000_t202" style="position:absolute;left:3447;top:11871;width:10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3cUA&#10;AADcAAAADwAAAGRycy9kb3ducmV2LnhtbESPzW7CMBCE75X6DtZW4lacNoXQgEEIqVWv/Bw4buMl&#10;CY3XaWySNE+PKyFxHM3MN5rFqjeVaKlxpWUFL+MIBHFmdcm5gsP+43kGwnlkjZVlUvBHDlbLx4cF&#10;ptp2vKV253MRIOxSVFB4X6dSuqwgg25sa+LgnWxj0AfZ5FI32AW4qeRrFE2lwZLDQoE1bQrKfnYX&#10;oyDh9+E4i9/QnX6P+nM/xOdvx0qNnvr1HISn3t/Dt/aXVjBJJvB/Jh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6vdxQAAANwAAAAPAAAAAAAAAAAAAAAAAJgCAABkcnMv&#10;ZG93bnJldi54bWxQSwUGAAAAAAQABAD1AAAAigMAAAAA&#10;" fillcolor="#a7d3ff" stroked="f">
                  <v:textbox inset="0,0,0,0">
                    <w:txbxContent>
                      <w:p w:rsidR="0093783C" w:rsidRPr="00942AEA" w:rsidRDefault="0093783C" w:rsidP="00335E4B">
                        <w:pPr>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اختزال حفزي انتقائي</w:t>
                        </w:r>
                      </w:p>
                    </w:txbxContent>
                  </v:textbox>
                </v:shape>
                <v:shape id="Text Box 140" o:spid="_x0000_s1062" type="#_x0000_t202" style="position:absolute;left:8586;top:13211;width:96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UgMUA&#10;AADcAAAADwAAAGRycy9kb3ducmV2LnhtbESPT4vCMBTE7wt+h/CEvSyarmCVahRXV9jDevAPnh/N&#10;sy02LyWJtn77jSDscZiZ3zDzZWdqcSfnK8sKPocJCOLc6ooLBafjdjAF4QOyxtoyKXiQh+Wi9zbH&#10;TNuW93Q/hEJECPsMFZQhNJmUPi/JoB/ahjh6F+sMhihdIbXDNsJNLUdJkkqDFceFEhtal5RfDzej&#10;IN24W7vn9cfm9P2Lu6YYnb8eZ6Xe+91qBiJQF/7Dr/aPVjCep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1SAxQAAANwAAAAPAAAAAAAAAAAAAAAAAJgCAABkcnMv&#10;ZG93bnJldi54bWxQSwUGAAAAAAQABAD1AAAAigMAAAAA&#10;" stroked="f">
                  <v:textbox inset="0,0,0,0">
                    <w:txbxContent>
                      <w:p w:rsidR="0093783C" w:rsidRPr="00942AEA" w:rsidRDefault="0093783C" w:rsidP="00335E4B">
                        <w:pPr>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المدخنة</w:t>
                        </w:r>
                      </w:p>
                    </w:txbxContent>
                  </v:textbox>
                </v:shape>
                <v:shape id="Text Box 141" o:spid="_x0000_s1063" type="#_x0000_t202" style="position:absolute;left:4440;top:13225;width:90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xG8UA&#10;AADcAAAADwAAAGRycy9kb3ducmV2LnhtbESPS4vCQBCE7wv+h6GFvSzrZAUfZB3FJ3hwDz7w3GTa&#10;JJjpCTOjif/eEYQ9FlX1FTWZtaYSd3K+tKzgp5eAIM6sLjlXcDpuvscgfEDWWFkmBQ/yMJt2PiaY&#10;atvwnu6HkIsIYZ+igiKEOpXSZwUZ9D1bE0fvYp3BEKXLpXbYRLipZD9JhtJgyXGhwJqWBWXXw80o&#10;GK7crdnz8mt1Wu/wr87758XjrNRnt53/ggjUhv/wu73VCgajEbzOx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EbxQAAANwAAAAPAAAAAAAAAAAAAAAAAJgCAABkcnMv&#10;ZG93bnJldi54bWxQSwUGAAAAAAQABAD1AAAAigMAAAAA&#10;" stroked="f">
                  <v:textbox inset="0,0,0,0">
                    <w:txbxContent>
                      <w:p w:rsidR="0093783C" w:rsidRPr="00942AEA" w:rsidRDefault="0093783C" w:rsidP="00335E4B">
                        <w:pPr>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مسخِّن هواء</w:t>
                        </w:r>
                      </w:p>
                    </w:txbxContent>
                  </v:textbox>
                </v:shape>
                <v:shape id="Text Box 142" o:spid="_x0000_s1064" type="#_x0000_t202" style="position:absolute;left:1923;top:11774;width:113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lacMA&#10;AADcAAAADwAAAGRycy9kb3ducmV2LnhtbERPz2vCMBS+D/wfwhN2GZpOmJNqLFoVdtgO1uL50by1&#10;Zc1LSaKt//1yGOz48f3eZKPpxJ2cby0reJ0nIIgrq1uuFZSX02wFwgdkjZ1lUvAgD9l28rTBVNuB&#10;z3QvQi1iCPsUFTQh9KmUvmrIoJ/bnjhy39YZDBG6WmqHQww3nVwkyVIabDk2NNhT3lD1U9yMguXB&#10;3YYz5y+H8viJX329uO4fV6Wep+NuDSLQGP7Ff+4PreDtP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lacMAAADcAAAADwAAAAAAAAAAAAAAAACYAgAAZHJzL2Rv&#10;d25yZXYueG1sUEsFBgAAAAAEAAQA9QAAAIgDAAAAAA==&#10;" stroked="f">
                  <v:textbox inset="0,0,0,0">
                    <w:txbxContent>
                      <w:p w:rsidR="0093783C" w:rsidRPr="00942AEA" w:rsidRDefault="0093783C" w:rsidP="00335E4B">
                        <w:pPr>
                          <w:spacing w:line="240" w:lineRule="exact"/>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مرجَل يعمل بحرق الفحم</w:t>
                        </w:r>
                      </w:p>
                    </w:txbxContent>
                  </v:textbox>
                </v:shape>
              </v:group>
            </w:pict>
          </mc:Fallback>
        </mc:AlternateContent>
      </w:r>
      <w:r>
        <w:rPr>
          <w:rFonts w:eastAsia="SimSun" w:cs="Traditional Arabic"/>
          <w:noProof/>
          <w:sz w:val="20"/>
          <w:szCs w:val="22"/>
          <w:lang w:val="en-GB" w:eastAsia="zh-CN"/>
        </w:rPr>
        <w:drawing>
          <wp:inline distT="0" distB="0" distL="0" distR="0" wp14:anchorId="0127E721" wp14:editId="72DA8D8A">
            <wp:extent cx="6035675" cy="26885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5675" cy="2688590"/>
                    </a:xfrm>
                    <a:prstGeom prst="rect">
                      <a:avLst/>
                    </a:prstGeom>
                    <a:noFill/>
                    <a:ln>
                      <a:noFill/>
                    </a:ln>
                  </pic:spPr>
                </pic:pic>
              </a:graphicData>
            </a:graphic>
          </wp:inline>
        </w:drawing>
      </w:r>
      <w:r w:rsidRPr="00335E4B">
        <w:rPr>
          <w:rFonts w:cs="Traditional Arabic"/>
          <w:b/>
          <w:bCs/>
          <w:sz w:val="26"/>
          <w:szCs w:val="26"/>
          <w:rtl/>
          <w:lang w:bidi="ar-EG"/>
        </w:rPr>
        <w:t>الشكل 3- رسم تخطيطي لتشكيلة نمطية من منشآت طاقة تعمل بحرق الفحم في اليابان (إيتو وآخرون، 2006) (منقَّح)</w:t>
      </w:r>
    </w:p>
    <w:p w:rsidR="00335E4B" w:rsidRPr="00335E4B" w:rsidRDefault="00335E4B" w:rsidP="00335E4B">
      <w:pPr>
        <w:tabs>
          <w:tab w:val="left" w:pos="663"/>
          <w:tab w:val="left" w:pos="1117"/>
          <w:tab w:val="left" w:pos="2230"/>
          <w:tab w:val="center" w:pos="5468"/>
        </w:tabs>
        <w:spacing w:after="120" w:line="380" w:lineRule="exact"/>
        <w:jc w:val="both"/>
        <w:rPr>
          <w:rFonts w:cs="Traditional Arabic"/>
          <w:sz w:val="20"/>
          <w:szCs w:val="30"/>
          <w:rtl/>
          <w:lang w:bidi="ar-EG"/>
        </w:rPr>
      </w:pPr>
      <w:r w:rsidRPr="00335E4B">
        <w:rPr>
          <w:rFonts w:cs="Traditional Arabic"/>
          <w:sz w:val="20"/>
          <w:szCs w:val="30"/>
          <w:rtl/>
          <w:lang w:bidi="ar-EG"/>
        </w:rPr>
        <w:t xml:space="preserve">ويمكن أن يتحقق مستوى مرتفع من المنافع المشتركة لإزالة الزئبق بجمع الاختزال الحفزي الانتقائي والمرسبات الكهروستاتيكية </w:t>
      </w:r>
      <w:r w:rsidRPr="00335E4B">
        <w:rPr>
          <w:rFonts w:cs="Traditional Arabic" w:hint="cs"/>
          <w:sz w:val="20"/>
          <w:szCs w:val="30"/>
          <w:rtl/>
          <w:lang w:bidi="ar-EG"/>
        </w:rPr>
        <w:t>في ا</w:t>
      </w:r>
      <w:r w:rsidRPr="00335E4B">
        <w:rPr>
          <w:rFonts w:cs="Traditional Arabic"/>
          <w:sz w:val="20"/>
          <w:szCs w:val="30"/>
          <w:rtl/>
          <w:lang w:bidi="ar-EG"/>
        </w:rPr>
        <w:t xml:space="preserve">لجانب البارد </w:t>
      </w:r>
      <w:r w:rsidRPr="00335E4B">
        <w:rPr>
          <w:rFonts w:cs="Times New Roman"/>
          <w:sz w:val="20"/>
          <w:szCs w:val="20"/>
          <w:rtl/>
          <w:lang w:bidi="ar-EG"/>
        </w:rPr>
        <w:t>(</w:t>
      </w:r>
      <w:r w:rsidRPr="00335E4B">
        <w:rPr>
          <w:rFonts w:cs="Times New Roman"/>
          <w:sz w:val="20"/>
          <w:szCs w:val="20"/>
          <w:lang w:bidi="ar-EG"/>
        </w:rPr>
        <w:t>ESPc</w:t>
      </w:r>
      <w:r w:rsidRPr="00335E4B">
        <w:rPr>
          <w:rFonts w:cs="Times New Roman"/>
          <w:sz w:val="20"/>
          <w:szCs w:val="20"/>
          <w:rtl/>
          <w:lang w:bidi="ar-EG"/>
        </w:rPr>
        <w:t>)</w:t>
      </w:r>
      <w:r w:rsidRPr="00335E4B">
        <w:rPr>
          <w:rFonts w:cs="Traditional Arabic"/>
          <w:sz w:val="20"/>
          <w:szCs w:val="30"/>
          <w:rtl/>
          <w:lang w:bidi="ar-EG"/>
        </w:rPr>
        <w:t xml:space="preserve"> وأجهزة </w:t>
      </w:r>
      <w:r w:rsidRPr="00335E4B">
        <w:rPr>
          <w:rFonts w:cs="Traditional Arabic" w:hint="cs"/>
          <w:sz w:val="20"/>
          <w:szCs w:val="30"/>
          <w:rtl/>
          <w:lang w:bidi="ar-EG"/>
        </w:rPr>
        <w:t>ال</w:t>
      </w:r>
      <w:r w:rsidRPr="00335E4B">
        <w:rPr>
          <w:rFonts w:cs="Traditional Arabic"/>
          <w:sz w:val="20"/>
          <w:szCs w:val="30"/>
          <w:rtl/>
          <w:lang w:bidi="ar-EG"/>
        </w:rPr>
        <w:t xml:space="preserve">تنظيف </w:t>
      </w:r>
      <w:r w:rsidRPr="00335E4B">
        <w:rPr>
          <w:rFonts w:cs="Traditional Arabic" w:hint="cs"/>
          <w:sz w:val="20"/>
          <w:szCs w:val="30"/>
          <w:rtl/>
          <w:lang w:bidi="ar-EG"/>
        </w:rPr>
        <w:t>ل</w:t>
      </w:r>
      <w:r w:rsidRPr="00335E4B">
        <w:rPr>
          <w:rFonts w:cs="Traditional Arabic"/>
          <w:sz w:val="20"/>
          <w:szCs w:val="30"/>
          <w:rtl/>
          <w:lang w:bidi="ar-EG"/>
        </w:rPr>
        <w:t xml:space="preserve">إزالة الكبريت من غاز المدخنة </w:t>
      </w:r>
      <w:r w:rsidRPr="00335E4B">
        <w:rPr>
          <w:rFonts w:cs="Times New Roman"/>
          <w:sz w:val="20"/>
          <w:szCs w:val="20"/>
          <w:rtl/>
          <w:lang w:bidi="ar-EG"/>
        </w:rPr>
        <w:t>(</w:t>
      </w:r>
      <w:r w:rsidRPr="00335E4B">
        <w:rPr>
          <w:rFonts w:cs="Times New Roman"/>
          <w:sz w:val="20"/>
          <w:szCs w:val="20"/>
          <w:lang w:bidi="ar-EG"/>
        </w:rPr>
        <w:t>FGD</w:t>
      </w:r>
      <w:r w:rsidRPr="00335E4B">
        <w:rPr>
          <w:rFonts w:cs="Times New Roman"/>
          <w:sz w:val="20"/>
          <w:szCs w:val="20"/>
          <w:rtl/>
          <w:lang w:bidi="ar-EG"/>
        </w:rPr>
        <w:t>)</w:t>
      </w:r>
      <w:r w:rsidRPr="00335E4B">
        <w:rPr>
          <w:rFonts w:cs="Traditional Arabic"/>
          <w:sz w:val="20"/>
          <w:szCs w:val="30"/>
          <w:rtl/>
          <w:lang w:bidi="ar-EG"/>
        </w:rPr>
        <w:t xml:space="preserve">. والجمع بين هذه التقنيات أمر نمطي تماماً في المنشآت المتقدمة للطاقة التي تعمل بحرق الفحم في بعض البلدان ويستعمل على نطاق واسع في اليابان على سبيل المثال، كما يتضح في الشكل 4. والجمع بين </w:t>
      </w:r>
      <w:r w:rsidRPr="00335E4B">
        <w:rPr>
          <w:rFonts w:cs="Traditional Arabic" w:hint="cs"/>
          <w:sz w:val="20"/>
          <w:szCs w:val="30"/>
          <w:rtl/>
          <w:lang w:bidi="ar-EG"/>
        </w:rPr>
        <w:t>الاختزال الحفزي الانتقائي والمرسب الكهروستاتيكي وإزالة الكبريت من غاز المدخنة</w:t>
      </w:r>
      <w:r w:rsidRPr="00335E4B">
        <w:rPr>
          <w:rFonts w:cs="Traditional Arabic"/>
          <w:sz w:val="20"/>
          <w:szCs w:val="30"/>
          <w:rtl/>
          <w:lang w:bidi="ar-EG"/>
        </w:rPr>
        <w:t xml:space="preserve"> كما يتضح من هذه الأمثلة يمكن أن يحقق كفاءة إزالة تبلغ 50-90 في المائة في حالة أكاسيد النيتروجين وأكثر من 99 في المائة في حالة الجسيمات الدقيقة العالقة و76-98 في المائة في حالة ثنائي أكسيد الكربون، إلى جانب كفاءة عالية </w:t>
      </w:r>
      <w:r w:rsidRPr="00335E4B">
        <w:rPr>
          <w:rFonts w:cs="Traditional Arabic" w:hint="cs"/>
          <w:sz w:val="20"/>
          <w:szCs w:val="30"/>
          <w:rtl/>
          <w:lang w:bidi="ar-EG"/>
        </w:rPr>
        <w:t>ل</w:t>
      </w:r>
      <w:r w:rsidRPr="00335E4B">
        <w:rPr>
          <w:rFonts w:cs="Traditional Arabic"/>
          <w:sz w:val="20"/>
          <w:szCs w:val="30"/>
          <w:rtl/>
          <w:lang w:bidi="ar-EG"/>
        </w:rPr>
        <w:t xml:space="preserve">إزالة </w:t>
      </w:r>
      <w:r w:rsidRPr="00335E4B">
        <w:rPr>
          <w:rFonts w:cs="Traditional Arabic" w:hint="cs"/>
          <w:sz w:val="20"/>
          <w:szCs w:val="30"/>
          <w:rtl/>
          <w:lang w:bidi="ar-EG"/>
        </w:rPr>
        <w:t>ا</w:t>
      </w:r>
      <w:r w:rsidRPr="00335E4B">
        <w:rPr>
          <w:rFonts w:cs="Traditional Arabic"/>
          <w:sz w:val="20"/>
          <w:szCs w:val="30"/>
          <w:rtl/>
          <w:lang w:bidi="ar-EG"/>
        </w:rPr>
        <w:t>لزئبق بمتوسط 74 في المائة، ويؤدي ذلك إلى 1</w:t>
      </w:r>
      <w:r w:rsidRPr="00335E4B">
        <w:rPr>
          <w:rFonts w:cs="Traditional Arabic" w:hint="cs"/>
          <w:sz w:val="20"/>
          <w:szCs w:val="30"/>
          <w:rtl/>
          <w:lang w:bidi="ar-EG"/>
        </w:rPr>
        <w:t>,</w:t>
      </w:r>
      <w:r w:rsidRPr="00335E4B">
        <w:rPr>
          <w:rFonts w:cs="Traditional Arabic"/>
          <w:sz w:val="20"/>
          <w:szCs w:val="30"/>
          <w:rtl/>
          <w:lang w:bidi="ar-EG"/>
        </w:rPr>
        <w:t xml:space="preserve">2 </w:t>
      </w:r>
      <w:r w:rsidRPr="00335E4B">
        <w:rPr>
          <w:rFonts w:cs="Traditional Arabic" w:hint="cs"/>
          <w:sz w:val="20"/>
          <w:szCs w:val="30"/>
          <w:rtl/>
          <w:lang w:bidi="ar-EG"/>
        </w:rPr>
        <w:t>ميكروغرام</w:t>
      </w:r>
      <w:r w:rsidRPr="00335E4B">
        <w:rPr>
          <w:rFonts w:cs="Traditional Arabic"/>
          <w:sz w:val="20"/>
          <w:szCs w:val="30"/>
          <w:rtl/>
          <w:lang w:bidi="ar-EG"/>
        </w:rPr>
        <w:t>/م</w:t>
      </w:r>
      <w:r w:rsidRPr="00335E4B">
        <w:rPr>
          <w:rFonts w:cs="Traditional Arabic"/>
          <w:sz w:val="20"/>
          <w:szCs w:val="30"/>
          <w:vertAlign w:val="superscript"/>
          <w:rtl/>
          <w:lang w:bidi="ar-EG"/>
        </w:rPr>
        <w:t>3</w:t>
      </w:r>
      <w:r w:rsidRPr="00335E4B">
        <w:rPr>
          <w:rFonts w:cs="Traditional Arabic"/>
          <w:sz w:val="20"/>
          <w:szCs w:val="30"/>
          <w:rtl/>
          <w:lang w:bidi="ar-EG"/>
        </w:rPr>
        <w:t xml:space="preserve"> من تركيز الزئبق في غاز المدخنة في هذا المثال. وبالإضافة إلى ذلك، فإن الجمع بين</w:t>
      </w:r>
      <w:r w:rsidRPr="00335E4B">
        <w:rPr>
          <w:rFonts w:cs="Traditional Arabic" w:hint="cs"/>
          <w:sz w:val="20"/>
          <w:szCs w:val="30"/>
          <w:rtl/>
          <w:lang w:bidi="ar-EG"/>
        </w:rPr>
        <w:t xml:space="preserve"> الاختزال الحفزي الانتقائي والمرسب الكهروستاتيكي بدرجة حرارة شديدة الانخفاض</w:t>
      </w:r>
      <w:r w:rsidRPr="00335E4B">
        <w:rPr>
          <w:rFonts w:cs="Traditional Arabic"/>
          <w:sz w:val="20"/>
          <w:szCs w:val="30"/>
          <w:rtl/>
          <w:lang w:bidi="ar-EG"/>
        </w:rPr>
        <w:t>، الذي تبلغ درجة حرارة تشغيله 90 درجة م</w:t>
      </w:r>
      <w:r w:rsidRPr="00335E4B">
        <w:rPr>
          <w:rFonts w:cs="Traditional Arabic" w:hint="cs"/>
          <w:sz w:val="20"/>
          <w:szCs w:val="30"/>
          <w:rtl/>
          <w:lang w:bidi="ar-EG"/>
        </w:rPr>
        <w:t>ئ</w:t>
      </w:r>
      <w:r w:rsidRPr="00335E4B">
        <w:rPr>
          <w:rFonts w:cs="Traditional Arabic"/>
          <w:sz w:val="20"/>
          <w:szCs w:val="30"/>
          <w:rtl/>
          <w:lang w:bidi="ar-EG"/>
        </w:rPr>
        <w:t xml:space="preserve">وية </w:t>
      </w:r>
      <w:r w:rsidRPr="00335E4B">
        <w:rPr>
          <w:rFonts w:cs="Traditional Arabic" w:hint="cs"/>
          <w:sz w:val="20"/>
          <w:szCs w:val="30"/>
          <w:rtl/>
          <w:lang w:bidi="ar-EG"/>
        </w:rPr>
        <w:t>بالإضافة إلى التنظيف</w:t>
      </w:r>
      <w:r w:rsidRPr="00335E4B">
        <w:rPr>
          <w:rFonts w:cs="Traditional Arabic"/>
          <w:sz w:val="20"/>
          <w:szCs w:val="30"/>
          <w:rtl/>
          <w:lang w:bidi="ar-EG"/>
        </w:rPr>
        <w:t xml:space="preserve"> الرطب </w:t>
      </w:r>
      <w:r w:rsidRPr="00335E4B">
        <w:rPr>
          <w:rFonts w:cs="Traditional Arabic" w:hint="cs"/>
          <w:sz w:val="20"/>
          <w:szCs w:val="30"/>
          <w:rtl/>
          <w:lang w:bidi="ar-EG"/>
        </w:rPr>
        <w:t xml:space="preserve">لإزالة الكبريت </w:t>
      </w:r>
      <w:r w:rsidRPr="00335E4B">
        <w:rPr>
          <w:rFonts w:cs="Traditional Arabic"/>
          <w:sz w:val="20"/>
          <w:szCs w:val="30"/>
          <w:rtl/>
          <w:lang w:bidi="ar-EG"/>
        </w:rPr>
        <w:t>يمكن أن يحقق كفاءة إزالة للزئبق بمستوى مرتفع إلى حد كبير يصل إلى 87 في المائة، مما يؤدي إلى 0</w:t>
      </w:r>
      <w:r w:rsidRPr="00335E4B">
        <w:rPr>
          <w:rFonts w:cs="Traditional Arabic" w:hint="cs"/>
          <w:sz w:val="20"/>
          <w:szCs w:val="30"/>
          <w:rtl/>
          <w:lang w:bidi="ar-EG"/>
        </w:rPr>
        <w:t>,</w:t>
      </w:r>
      <w:r w:rsidRPr="00335E4B">
        <w:rPr>
          <w:rFonts w:cs="Traditional Arabic"/>
          <w:sz w:val="20"/>
          <w:szCs w:val="30"/>
          <w:rtl/>
          <w:lang w:bidi="ar-EG"/>
        </w:rPr>
        <w:t xml:space="preserve">88 </w:t>
      </w:r>
      <w:r w:rsidRPr="00335E4B">
        <w:rPr>
          <w:rFonts w:cs="Traditional Arabic" w:hint="cs"/>
          <w:sz w:val="20"/>
          <w:szCs w:val="30"/>
          <w:rtl/>
          <w:lang w:bidi="ar-EG"/>
        </w:rPr>
        <w:t>ميكروغرام</w:t>
      </w:r>
      <w:r w:rsidRPr="00335E4B">
        <w:rPr>
          <w:rFonts w:cs="Traditional Arabic"/>
          <w:sz w:val="20"/>
          <w:szCs w:val="30"/>
          <w:rtl/>
          <w:lang w:bidi="ar-EG"/>
        </w:rPr>
        <w:t>/م</w:t>
      </w:r>
      <w:r w:rsidRPr="00335E4B">
        <w:rPr>
          <w:rFonts w:cs="Traditional Arabic"/>
          <w:sz w:val="20"/>
          <w:szCs w:val="30"/>
          <w:vertAlign w:val="superscript"/>
          <w:rtl/>
          <w:lang w:bidi="ar-EG"/>
        </w:rPr>
        <w:t>3</w:t>
      </w:r>
      <w:r w:rsidRPr="00335E4B">
        <w:rPr>
          <w:rFonts w:cs="Traditional Arabic"/>
          <w:sz w:val="20"/>
          <w:szCs w:val="30"/>
          <w:rtl/>
          <w:lang w:bidi="ar-EG"/>
        </w:rPr>
        <w:t xml:space="preserve"> من تركيز الزئبق في غاز المدخنة في هذه الحالة بالتحديد. والمرسب الكهروستاتيكي بدرجة حرارة </w:t>
      </w:r>
      <w:r w:rsidRPr="00335E4B">
        <w:rPr>
          <w:rFonts w:cs="Traditional Arabic" w:hint="cs"/>
          <w:sz w:val="20"/>
          <w:szCs w:val="30"/>
          <w:rtl/>
          <w:lang w:bidi="ar-EG"/>
        </w:rPr>
        <w:t>شديدة الانخفاض،</w:t>
      </w:r>
      <w:r w:rsidRPr="00335E4B">
        <w:rPr>
          <w:rFonts w:cs="Traditional Arabic"/>
          <w:sz w:val="20"/>
          <w:szCs w:val="30"/>
          <w:rtl/>
          <w:lang w:bidi="ar-EG"/>
        </w:rPr>
        <w:t xml:space="preserve"> </w:t>
      </w:r>
      <w:r w:rsidRPr="00335E4B">
        <w:rPr>
          <w:rFonts w:cs="Traditional Arabic" w:hint="cs"/>
          <w:sz w:val="20"/>
          <w:szCs w:val="30"/>
          <w:rtl/>
          <w:lang w:bidi="ar-EG"/>
        </w:rPr>
        <w:t>الذي ي</w:t>
      </w:r>
      <w:r w:rsidRPr="00335E4B">
        <w:rPr>
          <w:rFonts w:cs="Traditional Arabic"/>
          <w:sz w:val="20"/>
          <w:szCs w:val="30"/>
          <w:rtl/>
          <w:lang w:bidi="ar-EG"/>
        </w:rPr>
        <w:t xml:space="preserve">تطلب تبريد غاز المدخنة، </w:t>
      </w:r>
      <w:r w:rsidRPr="00335E4B">
        <w:rPr>
          <w:rFonts w:cs="Traditional Arabic" w:hint="cs"/>
          <w:sz w:val="20"/>
          <w:szCs w:val="30"/>
          <w:rtl/>
          <w:lang w:bidi="ar-EG"/>
        </w:rPr>
        <w:t>ي</w:t>
      </w:r>
      <w:r w:rsidRPr="00335E4B">
        <w:rPr>
          <w:rFonts w:cs="Traditional Arabic"/>
          <w:sz w:val="20"/>
          <w:szCs w:val="30"/>
          <w:rtl/>
          <w:lang w:bidi="ar-EG"/>
        </w:rPr>
        <w:t xml:space="preserve">حسِّن ضبط الجسيمات من خلال تقليل حجم الغاز وتخفيض مقاومة الرماد بسبب تكثِّف </w:t>
      </w:r>
      <w:r w:rsidRPr="00335E4B">
        <w:rPr>
          <w:rFonts w:cs="Traditional Arabic" w:hint="cs"/>
          <w:sz w:val="20"/>
          <w:szCs w:val="30"/>
          <w:rtl/>
          <w:lang w:bidi="ar-EG"/>
        </w:rPr>
        <w:t xml:space="preserve">ثلاثي </w:t>
      </w:r>
      <w:r w:rsidRPr="00335E4B">
        <w:rPr>
          <w:rFonts w:cs="Traditional Arabic"/>
          <w:sz w:val="20"/>
          <w:szCs w:val="30"/>
          <w:rtl/>
          <w:lang w:bidi="ar-EG"/>
        </w:rPr>
        <w:t>أكسيد الكبريت وا</w:t>
      </w:r>
      <w:r w:rsidRPr="00335E4B">
        <w:rPr>
          <w:rFonts w:cs="Traditional Arabic" w:hint="cs"/>
          <w:sz w:val="20"/>
          <w:szCs w:val="30"/>
          <w:rtl/>
          <w:lang w:bidi="ar-EG"/>
        </w:rPr>
        <w:t>م</w:t>
      </w:r>
      <w:r w:rsidRPr="00335E4B">
        <w:rPr>
          <w:rFonts w:cs="Traditional Arabic"/>
          <w:sz w:val="20"/>
          <w:szCs w:val="30"/>
          <w:rtl/>
          <w:lang w:bidi="ar-EG"/>
        </w:rPr>
        <w:t xml:space="preserve">تزاز الرطوبة للرماد المتطاير، وزيادة </w:t>
      </w:r>
      <w:r w:rsidRPr="00335E4B">
        <w:rPr>
          <w:rFonts w:cs="Traditional Arabic" w:hint="cs"/>
          <w:sz w:val="20"/>
          <w:szCs w:val="30"/>
          <w:rtl/>
          <w:lang w:bidi="ar-EG"/>
        </w:rPr>
        <w:t xml:space="preserve">الرطوبة للرماد المتطاير، كما يزيد امتصاص </w:t>
      </w:r>
      <w:r w:rsidRPr="00335E4B">
        <w:rPr>
          <w:rFonts w:cs="Traditional Arabic"/>
          <w:sz w:val="20"/>
          <w:szCs w:val="30"/>
          <w:rtl/>
          <w:lang w:bidi="ar-EG"/>
        </w:rPr>
        <w:t xml:space="preserve">الزئبق </w:t>
      </w:r>
      <w:r w:rsidRPr="00335E4B">
        <w:rPr>
          <w:rFonts w:cs="Traditional Arabic" w:hint="cs"/>
          <w:sz w:val="20"/>
          <w:szCs w:val="30"/>
          <w:rtl/>
          <w:lang w:bidi="ar-EG"/>
        </w:rPr>
        <w:t xml:space="preserve">في </w:t>
      </w:r>
      <w:r w:rsidRPr="00335E4B">
        <w:rPr>
          <w:rFonts w:cs="Traditional Arabic"/>
          <w:sz w:val="20"/>
          <w:szCs w:val="30"/>
          <w:rtl/>
          <w:lang w:bidi="ar-EG"/>
        </w:rPr>
        <w:t xml:space="preserve">الرماد المتطاير بسبب انخفاض درجة حرارة غاز المدخنة. ويؤدي ذلك أيضاً إلى تجنب التكاليف المصاحبة لإعادة تسخين غاز المدخنة أو عمليات التعديل الرجعي </w:t>
      </w:r>
      <w:r w:rsidRPr="00335E4B">
        <w:rPr>
          <w:rFonts w:cs="Traditional Arabic" w:hint="cs"/>
          <w:sz w:val="20"/>
          <w:szCs w:val="30"/>
          <w:rtl/>
          <w:lang w:bidi="ar-EG"/>
        </w:rPr>
        <w:t xml:space="preserve">التي يتطلبها </w:t>
      </w:r>
      <w:r w:rsidRPr="00335E4B">
        <w:rPr>
          <w:rFonts w:cs="Traditional Arabic"/>
          <w:sz w:val="20"/>
          <w:szCs w:val="30"/>
          <w:rtl/>
          <w:lang w:bidi="ar-EG"/>
        </w:rPr>
        <w:t>أنبوب المدخنة</w:t>
      </w:r>
      <w:r w:rsidRPr="00335E4B">
        <w:rPr>
          <w:rFonts w:cs="Traditional Arabic" w:hint="cs"/>
          <w:sz w:val="20"/>
          <w:szCs w:val="30"/>
          <w:rtl/>
          <w:lang w:bidi="ar-EG"/>
        </w:rPr>
        <w:t xml:space="preserve"> الرطب</w:t>
      </w:r>
      <w:r w:rsidRPr="00335E4B">
        <w:rPr>
          <w:rFonts w:cs="Traditional Arabic"/>
          <w:sz w:val="20"/>
          <w:szCs w:val="30"/>
          <w:rtl/>
          <w:lang w:bidi="ar-EG"/>
        </w:rPr>
        <w:t xml:space="preserve">. وفي الحالات التي لا تتطلب إعادة تسخين عادم </w:t>
      </w:r>
      <w:r w:rsidRPr="00335E4B">
        <w:rPr>
          <w:rFonts w:cs="Traditional Arabic" w:hint="cs"/>
          <w:sz w:val="20"/>
          <w:szCs w:val="30"/>
          <w:rtl/>
          <w:lang w:bidi="ar-EG"/>
        </w:rPr>
        <w:t>التنظيف</w:t>
      </w:r>
      <w:r w:rsidRPr="00335E4B">
        <w:rPr>
          <w:rFonts w:cs="Traditional Arabic"/>
          <w:sz w:val="20"/>
          <w:szCs w:val="30"/>
          <w:rtl/>
          <w:lang w:bidi="ar-EG"/>
        </w:rPr>
        <w:t xml:space="preserve"> الرطب </w:t>
      </w:r>
      <w:r w:rsidRPr="00335E4B">
        <w:rPr>
          <w:rFonts w:cs="Traditional Arabic" w:hint="cs"/>
          <w:sz w:val="20"/>
          <w:szCs w:val="30"/>
          <w:rtl/>
          <w:lang w:bidi="ar-EG"/>
        </w:rPr>
        <w:t>لإزالة الكبريت فإ</w:t>
      </w:r>
      <w:r w:rsidRPr="00335E4B">
        <w:rPr>
          <w:rFonts w:cs="Traditional Arabic"/>
          <w:sz w:val="20"/>
          <w:szCs w:val="30"/>
          <w:rtl/>
          <w:lang w:bidi="ar-EG"/>
        </w:rPr>
        <w:t xml:space="preserve">ن الحرارة المستعادة يمكن استخدامها في </w:t>
      </w:r>
      <w:r w:rsidRPr="00335E4B">
        <w:rPr>
          <w:rFonts w:cs="Traditional Arabic" w:hint="cs"/>
          <w:sz w:val="20"/>
          <w:szCs w:val="30"/>
          <w:rtl/>
          <w:lang w:bidi="ar-EG"/>
        </w:rPr>
        <w:t>المرجَل</w:t>
      </w:r>
      <w:r w:rsidRPr="00335E4B">
        <w:rPr>
          <w:rFonts w:cs="Traditional Arabic"/>
          <w:sz w:val="20"/>
          <w:szCs w:val="30"/>
          <w:rtl/>
          <w:lang w:bidi="ar-EG"/>
        </w:rPr>
        <w:t xml:space="preserve"> أو التوربين البخاري لتحسين كفاءة الوحدة، مما يؤدي إلى زيادة صافي الناتج (</w:t>
      </w:r>
      <w:r w:rsidRPr="00335E4B">
        <w:rPr>
          <w:rFonts w:cs="Traditional Arabic" w:hint="cs"/>
          <w:sz w:val="20"/>
          <w:szCs w:val="30"/>
          <w:rtl/>
          <w:lang w:bidi="ar-EG"/>
        </w:rPr>
        <w:t>ن</w:t>
      </w:r>
      <w:r w:rsidRPr="00335E4B">
        <w:rPr>
          <w:rFonts w:cs="Traditional Arabic"/>
          <w:sz w:val="20"/>
          <w:szCs w:val="30"/>
          <w:rtl/>
          <w:lang w:bidi="ar-EG"/>
        </w:rPr>
        <w:t>اكاياما وآخرون، 2006، وأيواتسوكي وآخرون، 2008).</w:t>
      </w:r>
    </w:p>
    <w:p w:rsidR="00335E4B" w:rsidRPr="00335E4B" w:rsidRDefault="00335E4B" w:rsidP="00335E4B">
      <w:pPr>
        <w:tabs>
          <w:tab w:val="left" w:pos="663"/>
          <w:tab w:val="left" w:pos="1117"/>
          <w:tab w:val="left" w:pos="2230"/>
          <w:tab w:val="center" w:pos="5468"/>
        </w:tabs>
        <w:spacing w:after="120" w:line="380" w:lineRule="exact"/>
        <w:jc w:val="both"/>
        <w:rPr>
          <w:rFonts w:cs="Traditional Arabic"/>
          <w:sz w:val="20"/>
          <w:szCs w:val="30"/>
          <w:lang w:bidi="ar-EG"/>
        </w:rPr>
      </w:pPr>
      <w:r w:rsidRPr="00335E4B">
        <w:rPr>
          <w:rFonts w:cs="Traditional Arabic" w:hint="cs"/>
          <w:sz w:val="20"/>
          <w:szCs w:val="30"/>
          <w:rtl/>
          <w:lang w:bidi="ar-EG"/>
        </w:rPr>
        <w:t>ويظهر</w:t>
      </w:r>
      <w:r w:rsidRPr="00335E4B">
        <w:rPr>
          <w:rFonts w:cs="Traditional Arabic"/>
          <w:sz w:val="20"/>
          <w:szCs w:val="30"/>
          <w:rtl/>
          <w:lang w:bidi="ar-EG"/>
        </w:rPr>
        <w:t xml:space="preserve"> الشكل 4 </w:t>
      </w:r>
      <w:r w:rsidRPr="00335E4B">
        <w:rPr>
          <w:rFonts w:cs="Traditional Arabic" w:hint="cs"/>
          <w:sz w:val="20"/>
          <w:szCs w:val="30"/>
          <w:rtl/>
          <w:lang w:bidi="ar-EG"/>
        </w:rPr>
        <w:t>اتساع نطاق تركيزات الزئبق</w:t>
      </w:r>
      <w:r w:rsidRPr="00335E4B">
        <w:rPr>
          <w:rFonts w:cs="Traditional Arabic"/>
          <w:sz w:val="20"/>
          <w:szCs w:val="30"/>
          <w:rtl/>
          <w:lang w:bidi="ar-EG"/>
        </w:rPr>
        <w:t xml:space="preserve">. ويرجع ذلك إلى أن هذه الوحدات تشمل وحدات أقدم أو أصغر </w:t>
      </w:r>
      <w:r w:rsidRPr="00335E4B">
        <w:rPr>
          <w:rFonts w:cs="Traditional Arabic" w:hint="cs"/>
          <w:sz w:val="20"/>
          <w:szCs w:val="30"/>
          <w:rtl/>
          <w:lang w:bidi="ar-EG"/>
        </w:rPr>
        <w:t>تعطي</w:t>
      </w:r>
      <w:r w:rsidRPr="00335E4B">
        <w:rPr>
          <w:rFonts w:cs="Traditional Arabic"/>
          <w:sz w:val="20"/>
          <w:szCs w:val="30"/>
          <w:rtl/>
          <w:lang w:bidi="ar-EG"/>
        </w:rPr>
        <w:t xml:space="preserve"> التركيزات الأعلى. ومن ناحية أخرى، فإن الوحدتين اللت</w:t>
      </w:r>
      <w:r w:rsidRPr="00335E4B">
        <w:rPr>
          <w:rFonts w:cs="Traditional Arabic" w:hint="cs"/>
          <w:sz w:val="20"/>
          <w:szCs w:val="30"/>
          <w:rtl/>
          <w:lang w:bidi="ar-EG"/>
        </w:rPr>
        <w:t>ي</w:t>
      </w:r>
      <w:r w:rsidRPr="00335E4B">
        <w:rPr>
          <w:rFonts w:cs="Traditional Arabic"/>
          <w:sz w:val="20"/>
          <w:szCs w:val="30"/>
          <w:rtl/>
          <w:lang w:bidi="ar-EG"/>
        </w:rPr>
        <w:t xml:space="preserve">ن تعملان </w:t>
      </w:r>
      <w:r w:rsidRPr="00335E4B">
        <w:rPr>
          <w:rFonts w:cs="Traditional Arabic" w:hint="cs"/>
          <w:sz w:val="20"/>
          <w:szCs w:val="30"/>
          <w:rtl/>
          <w:lang w:bidi="ar-EG"/>
        </w:rPr>
        <w:t>بطبقة</w:t>
      </w:r>
      <w:r w:rsidRPr="00335E4B">
        <w:rPr>
          <w:rFonts w:cs="Traditional Arabic"/>
          <w:sz w:val="20"/>
          <w:szCs w:val="30"/>
          <w:rtl/>
          <w:lang w:bidi="ar-EG"/>
        </w:rPr>
        <w:t xml:space="preserve"> متحرك</w:t>
      </w:r>
      <w:r w:rsidRPr="00335E4B">
        <w:rPr>
          <w:rFonts w:cs="Traditional Arabic" w:hint="cs"/>
          <w:sz w:val="20"/>
          <w:szCs w:val="30"/>
          <w:rtl/>
          <w:lang w:bidi="ar-EG"/>
        </w:rPr>
        <w:t>ة</w:t>
      </w:r>
      <w:r w:rsidRPr="00335E4B">
        <w:rPr>
          <w:rFonts w:cs="Traditional Arabic"/>
          <w:sz w:val="20"/>
          <w:szCs w:val="30"/>
          <w:rtl/>
          <w:lang w:bidi="ar-EG"/>
        </w:rPr>
        <w:t xml:space="preserve"> </w:t>
      </w:r>
      <w:r w:rsidRPr="00335E4B">
        <w:rPr>
          <w:rFonts w:cs="Traditional Arabic" w:hint="cs"/>
          <w:sz w:val="20"/>
          <w:szCs w:val="30"/>
          <w:rtl/>
          <w:lang w:bidi="ar-EG"/>
        </w:rPr>
        <w:t>من ا</w:t>
      </w:r>
      <w:r w:rsidRPr="00335E4B">
        <w:rPr>
          <w:rFonts w:cs="Traditional Arabic"/>
          <w:sz w:val="20"/>
          <w:szCs w:val="30"/>
          <w:rtl/>
          <w:lang w:bidi="ar-EG"/>
        </w:rPr>
        <w:t xml:space="preserve">لكوك النشط (بيترز، 2010)، </w:t>
      </w:r>
      <w:r w:rsidRPr="00335E4B">
        <w:rPr>
          <w:rFonts w:cs="Traditional Arabic" w:hint="cs"/>
          <w:sz w:val="20"/>
          <w:szCs w:val="30"/>
          <w:rtl/>
          <w:lang w:bidi="ar-EG"/>
        </w:rPr>
        <w:t xml:space="preserve">وهي جهاز التنظيف الجاف </w:t>
      </w:r>
      <w:r w:rsidRPr="00335E4B">
        <w:rPr>
          <w:rFonts w:cs="Traditional Arabic"/>
          <w:sz w:val="20"/>
          <w:szCs w:val="30"/>
          <w:rtl/>
          <w:lang w:bidi="ar-EG"/>
        </w:rPr>
        <w:t xml:space="preserve">لإزالة </w:t>
      </w:r>
      <w:r w:rsidRPr="00335E4B">
        <w:rPr>
          <w:rFonts w:cs="Traditional Arabic" w:hint="cs"/>
          <w:sz w:val="20"/>
          <w:szCs w:val="30"/>
          <w:rtl/>
          <w:lang w:bidi="ar-EG"/>
        </w:rPr>
        <w:t>ا</w:t>
      </w:r>
      <w:r w:rsidRPr="00335E4B">
        <w:rPr>
          <w:rFonts w:cs="Traditional Arabic"/>
          <w:sz w:val="20"/>
          <w:szCs w:val="30"/>
          <w:rtl/>
          <w:lang w:bidi="ar-EG"/>
        </w:rPr>
        <w:t xml:space="preserve">لكبريت من غاز المدخنة، يوضح أداءً أكثر ارتفاعاً عن </w:t>
      </w:r>
      <w:r w:rsidRPr="00335E4B">
        <w:rPr>
          <w:rFonts w:cs="Traditional Arabic" w:hint="cs"/>
          <w:sz w:val="20"/>
          <w:szCs w:val="30"/>
          <w:rtl/>
          <w:lang w:bidi="ar-EG"/>
        </w:rPr>
        <w:t>جهاز التنظيف الرطب ل</w:t>
      </w:r>
      <w:r w:rsidRPr="00335E4B">
        <w:rPr>
          <w:rFonts w:cs="Traditional Arabic"/>
          <w:sz w:val="20"/>
          <w:szCs w:val="30"/>
          <w:rtl/>
          <w:lang w:bidi="ar-EG"/>
        </w:rPr>
        <w:t xml:space="preserve">إزالة الكبريت. والأداء في هذه الحالة أكثر ارتفاعاً عن المجموعة التي تشمل المرسب الكهروستاتيكي بدرجة حرارة </w:t>
      </w:r>
      <w:r w:rsidRPr="00335E4B">
        <w:rPr>
          <w:rFonts w:cs="Traditional Arabic" w:hint="cs"/>
          <w:sz w:val="20"/>
          <w:szCs w:val="30"/>
          <w:rtl/>
          <w:lang w:bidi="ar-EG"/>
        </w:rPr>
        <w:t>شديدة الانخفاض</w:t>
      </w:r>
      <w:r w:rsidRPr="00335E4B">
        <w:rPr>
          <w:rFonts w:cs="Traditional Arabic"/>
          <w:sz w:val="20"/>
          <w:szCs w:val="30"/>
          <w:rtl/>
          <w:lang w:bidi="ar-EG"/>
        </w:rPr>
        <w:t xml:space="preserve"> </w:t>
      </w:r>
      <w:r w:rsidRPr="00335E4B">
        <w:rPr>
          <w:rFonts w:cs="Traditional Arabic" w:hint="cs"/>
          <w:sz w:val="20"/>
          <w:szCs w:val="30"/>
          <w:rtl/>
          <w:lang w:bidi="ar-EG"/>
        </w:rPr>
        <w:t>وجهاز التنظيف الرطب لإزالة</w:t>
      </w:r>
      <w:r w:rsidRPr="00335E4B">
        <w:rPr>
          <w:rFonts w:cs="Traditional Arabic"/>
          <w:sz w:val="20"/>
          <w:szCs w:val="30"/>
          <w:rtl/>
          <w:lang w:bidi="ar-EG"/>
        </w:rPr>
        <w:t xml:space="preserve"> </w:t>
      </w:r>
      <w:r w:rsidRPr="00335E4B">
        <w:rPr>
          <w:rFonts w:cs="Traditional Arabic" w:hint="cs"/>
          <w:sz w:val="20"/>
          <w:szCs w:val="30"/>
          <w:rtl/>
          <w:lang w:bidi="ar-EG"/>
        </w:rPr>
        <w:t>ا</w:t>
      </w:r>
      <w:r w:rsidRPr="00335E4B">
        <w:rPr>
          <w:rFonts w:cs="Traditional Arabic"/>
          <w:sz w:val="20"/>
          <w:szCs w:val="30"/>
          <w:rtl/>
          <w:lang w:bidi="ar-EG"/>
        </w:rPr>
        <w:t>لكبريت من غاز المدخنة (معهد البحوث المركزي لصناعة الطاقة الكهربائية واتحاد شركات الطاقة الكهربائية في اليابان، 2012).</w:t>
      </w:r>
    </w:p>
    <w:p w:rsidR="00335E4B" w:rsidRPr="00335E4B" w:rsidRDefault="00335E4B" w:rsidP="00335E4B">
      <w:pPr>
        <w:tabs>
          <w:tab w:val="left" w:pos="663"/>
          <w:tab w:val="left" w:pos="1117"/>
          <w:tab w:val="left" w:pos="2230"/>
          <w:tab w:val="center" w:pos="5468"/>
        </w:tabs>
        <w:bidi w:val="0"/>
        <w:spacing w:after="120"/>
        <w:jc w:val="center"/>
        <w:rPr>
          <w:rFonts w:eastAsia="SimSun" w:cs="Traditional Arabic"/>
          <w:noProof/>
          <w:sz w:val="20"/>
          <w:szCs w:val="22"/>
        </w:rPr>
      </w:pPr>
      <w:r>
        <w:rPr>
          <w:rFonts w:cs="Traditional Arabic"/>
          <w:noProof/>
          <w:sz w:val="20"/>
          <w:szCs w:val="30"/>
          <w:lang w:val="en-GB" w:eastAsia="zh-CN"/>
        </w:rPr>
        <mc:AlternateContent>
          <mc:Choice Requires="wpg">
            <w:drawing>
              <wp:anchor distT="0" distB="0" distL="114300" distR="114300" simplePos="0" relativeHeight="251670528" behindDoc="0" locked="0" layoutInCell="1" allowOverlap="1" wp14:anchorId="4574DBF2" wp14:editId="2F26BF09">
                <wp:simplePos x="0" y="0"/>
                <wp:positionH relativeFrom="column">
                  <wp:posOffset>1214105</wp:posOffset>
                </wp:positionH>
                <wp:positionV relativeFrom="paragraph">
                  <wp:posOffset>48117</wp:posOffset>
                </wp:positionV>
                <wp:extent cx="3274060" cy="2538095"/>
                <wp:effectExtent l="0" t="0" r="254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4060" cy="2538095"/>
                          <a:chOff x="3015" y="10532"/>
                          <a:chExt cx="5156" cy="3997"/>
                        </a:xfrm>
                      </wpg:grpSpPr>
                      <wps:wsp>
                        <wps:cNvPr id="561" name="Text Box 144"/>
                        <wps:cNvSpPr txBox="1">
                          <a:spLocks noChangeArrowheads="1"/>
                        </wps:cNvSpPr>
                        <wps:spPr bwMode="auto">
                          <a:xfrm>
                            <a:off x="6209" y="12411"/>
                            <a:ext cx="1438" cy="463"/>
                          </a:xfrm>
                          <a:prstGeom prst="rect">
                            <a:avLst/>
                          </a:prstGeom>
                          <a:solidFill>
                            <a:srgbClr val="FFFFFF"/>
                          </a:solidFill>
                          <a:ln w="9525">
                            <a:solidFill>
                              <a:srgbClr val="000000"/>
                            </a:solidFill>
                            <a:miter lim="800000"/>
                            <a:headEnd/>
                            <a:tailEnd/>
                          </a:ln>
                        </wps:spPr>
                        <wps:txbx>
                          <w:txbxContent>
                            <w:p w:rsidR="00670B40" w:rsidRPr="00942AEA" w:rsidRDefault="00670B40" w:rsidP="00335E4B">
                              <w:pPr>
                                <w:rPr>
                                  <w:rFonts w:ascii="Traditional Arabic" w:hAnsi="Traditional Arabic" w:cs="Traditional Arabic"/>
                                  <w:color w:val="000000"/>
                                  <w:sz w:val="18"/>
                                  <w:szCs w:val="24"/>
                                  <w:lang w:bidi="ar-EG"/>
                                </w:rPr>
                              </w:pPr>
                              <w:r w:rsidRPr="00942AEA">
                                <w:rPr>
                                  <w:rFonts w:ascii="Traditional Arabic" w:hAnsi="Traditional Arabic" w:cs="Traditional Arabic"/>
                                  <w:color w:val="000000"/>
                                  <w:sz w:val="18"/>
                                  <w:szCs w:val="24"/>
                                  <w:rtl/>
                                  <w:lang w:bidi="ar-EG"/>
                                </w:rPr>
                                <w:t>انحراف معياري: 1,1</w:t>
                              </w:r>
                            </w:p>
                          </w:txbxContent>
                        </wps:txbx>
                        <wps:bodyPr rot="0" vert="horz" wrap="square" lIns="18000" tIns="10800" rIns="18000" bIns="10800" anchor="t" anchorCtr="0" upright="1">
                          <a:noAutofit/>
                        </wps:bodyPr>
                      </wps:wsp>
                      <wps:wsp>
                        <wps:cNvPr id="562" name="Text Box 145"/>
                        <wps:cNvSpPr txBox="1">
                          <a:spLocks noChangeArrowheads="1"/>
                        </wps:cNvSpPr>
                        <wps:spPr bwMode="auto">
                          <a:xfrm>
                            <a:off x="4583" y="11392"/>
                            <a:ext cx="1438" cy="463"/>
                          </a:xfrm>
                          <a:prstGeom prst="rect">
                            <a:avLst/>
                          </a:prstGeom>
                          <a:solidFill>
                            <a:srgbClr val="FFFFFF"/>
                          </a:solidFill>
                          <a:ln w="9525">
                            <a:solidFill>
                              <a:srgbClr val="000000"/>
                            </a:solidFill>
                            <a:miter lim="800000"/>
                            <a:headEnd/>
                            <a:tailEnd/>
                          </a:ln>
                        </wps:spPr>
                        <wps:txbx>
                          <w:txbxContent>
                            <w:p w:rsidR="00670B40" w:rsidRPr="00942AEA" w:rsidRDefault="00670B40" w:rsidP="00335E4B">
                              <w:pPr>
                                <w:rPr>
                                  <w:rFonts w:ascii="Traditional Arabic" w:hAnsi="Traditional Arabic" w:cs="Traditional Arabic"/>
                                  <w:color w:val="000000"/>
                                  <w:sz w:val="18"/>
                                  <w:szCs w:val="24"/>
                                  <w:lang w:bidi="ar-EG"/>
                                </w:rPr>
                              </w:pPr>
                              <w:r w:rsidRPr="00942AEA">
                                <w:rPr>
                                  <w:rFonts w:ascii="Traditional Arabic" w:hAnsi="Traditional Arabic" w:cs="Traditional Arabic"/>
                                  <w:color w:val="000000"/>
                                  <w:sz w:val="18"/>
                                  <w:szCs w:val="24"/>
                                  <w:rtl/>
                                  <w:lang w:bidi="ar-EG"/>
                                </w:rPr>
                                <w:t>انحراف معياري: 1,5</w:t>
                              </w:r>
                            </w:p>
                          </w:txbxContent>
                        </wps:txbx>
                        <wps:bodyPr rot="0" vert="horz" wrap="square" lIns="18000" tIns="10800" rIns="18000" bIns="10800" anchor="t" anchorCtr="0" upright="1">
                          <a:noAutofit/>
                        </wps:bodyPr>
                      </wps:wsp>
                      <wps:wsp>
                        <wps:cNvPr id="563" name="Text Box 146"/>
                        <wps:cNvSpPr txBox="1">
                          <a:spLocks noChangeArrowheads="1"/>
                        </wps:cNvSpPr>
                        <wps:spPr bwMode="auto">
                          <a:xfrm>
                            <a:off x="3015" y="10926"/>
                            <a:ext cx="567" cy="3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942AEA" w:rsidRDefault="00670B40" w:rsidP="00335E4B">
                              <w:pPr>
                                <w:jc w:val="center"/>
                                <w:rPr>
                                  <w:rFonts w:ascii="Traditional Arabic" w:hAnsi="Traditional Arabic" w:cs="Traditional Arabic"/>
                                  <w:color w:val="000000"/>
                                  <w:sz w:val="18"/>
                                  <w:szCs w:val="24"/>
                                  <w:lang w:bidi="ar-EG"/>
                                </w:rPr>
                              </w:pPr>
                              <w:r w:rsidRPr="00942AEA">
                                <w:rPr>
                                  <w:rFonts w:ascii="Traditional Arabic" w:hAnsi="Traditional Arabic" w:cs="Traditional Arabic"/>
                                  <w:color w:val="000000"/>
                                  <w:sz w:val="18"/>
                                  <w:szCs w:val="24"/>
                                  <w:rtl/>
                                  <w:lang w:bidi="ar-EG"/>
                                </w:rPr>
                                <w:t>تركيز الزئبق في غاز أنبوب المدخنة (ميكروغرام/م</w:t>
                              </w:r>
                              <w:r w:rsidRPr="00942AEA">
                                <w:rPr>
                                  <w:rFonts w:ascii="Traditional Arabic" w:hAnsi="Traditional Arabic" w:cs="Traditional Arabic"/>
                                  <w:color w:val="000000"/>
                                  <w:sz w:val="18"/>
                                  <w:szCs w:val="24"/>
                                  <w:vertAlign w:val="superscript"/>
                                  <w:rtl/>
                                  <w:lang w:bidi="ar-EG"/>
                                </w:rPr>
                                <w:t>3</w:t>
                              </w:r>
                              <w:r w:rsidRPr="00942AEA">
                                <w:rPr>
                                  <w:rFonts w:ascii="Traditional Arabic" w:hAnsi="Traditional Arabic" w:cs="Traditional Arabic"/>
                                  <w:color w:val="000000"/>
                                  <w:sz w:val="18"/>
                                  <w:szCs w:val="24"/>
                                  <w:rtl/>
                                  <w:lang w:bidi="ar-EG"/>
                                </w:rPr>
                                <w:t>)</w:t>
                              </w:r>
                            </w:p>
                          </w:txbxContent>
                        </wps:txbx>
                        <wps:bodyPr rot="0" vert="vert270" wrap="square" lIns="18000" tIns="10800" rIns="18000" bIns="10800" anchor="t" anchorCtr="0" upright="1">
                          <a:noAutofit/>
                        </wps:bodyPr>
                      </wps:wsp>
                      <wps:wsp>
                        <wps:cNvPr id="564" name="Text Box 147"/>
                        <wps:cNvSpPr txBox="1">
                          <a:spLocks noChangeArrowheads="1"/>
                        </wps:cNvSpPr>
                        <wps:spPr bwMode="auto">
                          <a:xfrm>
                            <a:off x="7207" y="10544"/>
                            <a:ext cx="964"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942AEA" w:rsidRDefault="00670B40" w:rsidP="00335E4B">
                              <w:pPr>
                                <w:spacing w:line="180" w:lineRule="exact"/>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الأقصى</w:t>
                              </w:r>
                            </w:p>
                          </w:txbxContent>
                        </wps:txbx>
                        <wps:bodyPr rot="0" vert="horz" wrap="square" lIns="18000" tIns="10800" rIns="18000" bIns="10800" anchor="t" anchorCtr="0" upright="1">
                          <a:noAutofit/>
                        </wps:bodyPr>
                      </wps:wsp>
                      <wps:wsp>
                        <wps:cNvPr id="565" name="Text Box 148"/>
                        <wps:cNvSpPr txBox="1">
                          <a:spLocks noChangeArrowheads="1"/>
                        </wps:cNvSpPr>
                        <wps:spPr bwMode="auto">
                          <a:xfrm>
                            <a:off x="6391" y="10544"/>
                            <a:ext cx="850"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942AEA" w:rsidRDefault="00670B40" w:rsidP="00335E4B">
                              <w:pPr>
                                <w:spacing w:line="180" w:lineRule="exact"/>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المتوسط</w:t>
                              </w:r>
                            </w:p>
                          </w:txbxContent>
                        </wps:txbx>
                        <wps:bodyPr rot="0" vert="horz" wrap="square" lIns="18000" tIns="10800" rIns="18000" bIns="10800" anchor="t" anchorCtr="0" upright="1">
                          <a:noAutofit/>
                        </wps:bodyPr>
                      </wps:wsp>
                      <wps:wsp>
                        <wps:cNvPr id="566" name="Text Box 149"/>
                        <wps:cNvSpPr txBox="1">
                          <a:spLocks noChangeArrowheads="1"/>
                        </wps:cNvSpPr>
                        <wps:spPr bwMode="auto">
                          <a:xfrm>
                            <a:off x="5497" y="10532"/>
                            <a:ext cx="907"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942AEA" w:rsidRDefault="00670B40" w:rsidP="00335E4B">
                              <w:pPr>
                                <w:spacing w:line="180" w:lineRule="exact"/>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أدنى</w:t>
                              </w:r>
                            </w:p>
                          </w:txbxContent>
                        </wps:txbx>
                        <wps:bodyPr rot="0" vert="horz" wrap="square" lIns="18000" tIns="10800" rIns="18000" bIns="10800" anchor="t" anchorCtr="0" upright="1">
                          <a:noAutofit/>
                        </wps:bodyPr>
                      </wps:wsp>
                      <wps:wsp>
                        <wps:cNvPr id="567" name="Text Box 150"/>
                        <wps:cNvSpPr txBox="1">
                          <a:spLocks noChangeArrowheads="1"/>
                        </wps:cNvSpPr>
                        <wps:spPr bwMode="auto">
                          <a:xfrm>
                            <a:off x="3809" y="13772"/>
                            <a:ext cx="1650" cy="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942AEA" w:rsidRDefault="00670B40" w:rsidP="00335E4B">
                              <w:pPr>
                                <w:spacing w:line="180" w:lineRule="exact"/>
                                <w:jc w:val="center"/>
                                <w:rPr>
                                  <w:rFonts w:ascii="Traditional Arabic" w:hAnsi="Traditional Arabic" w:cs="Traditional Arabic"/>
                                  <w:color w:val="000000"/>
                                  <w:sz w:val="24"/>
                                  <w:szCs w:val="24"/>
                                  <w:rtl/>
                                  <w:lang w:bidi="ar-EG"/>
                                </w:rPr>
                              </w:pPr>
                              <w:r w:rsidRPr="00942AEA">
                                <w:rPr>
                                  <w:rFonts w:ascii="Traditional Arabic" w:hAnsi="Traditional Arabic" w:cs="Traditional Arabic"/>
                                  <w:color w:val="000000"/>
                                  <w:sz w:val="24"/>
                                  <w:szCs w:val="24"/>
                                  <w:rtl/>
                                  <w:lang w:bidi="ar-EG"/>
                                </w:rPr>
                                <w:t>46 وحدة</w:t>
                              </w:r>
                            </w:p>
                            <w:p w:rsidR="00670B40" w:rsidRPr="00942AEA" w:rsidRDefault="00670B40" w:rsidP="00335E4B">
                              <w:pPr>
                                <w:spacing w:line="180" w:lineRule="exact"/>
                                <w:jc w:val="center"/>
                                <w:rPr>
                                  <w:rFonts w:ascii="Traditional Arabic" w:hAnsi="Traditional Arabic" w:cs="Traditional Arabic"/>
                                  <w:color w:val="000000"/>
                                  <w:sz w:val="24"/>
                                  <w:szCs w:val="24"/>
                                  <w:lang w:bidi="ar-EG"/>
                                </w:rPr>
                              </w:pPr>
                              <w:r w:rsidRPr="00942AEA">
                                <w:rPr>
                                  <w:rFonts w:ascii="Traditional Arabic" w:hAnsi="Traditional Arabic" w:cs="Traditional Arabic"/>
                                  <w:color w:val="000000"/>
                                  <w:sz w:val="24"/>
                                  <w:szCs w:val="24"/>
                                  <w:rtl/>
                                  <w:lang w:bidi="ar-EG"/>
                                </w:rPr>
                                <w:t>الإزالة الرطبة للكبريت: 44، الإزالة الجافة: 2</w:t>
                              </w:r>
                            </w:p>
                          </w:txbxContent>
                        </wps:txbx>
                        <wps:bodyPr rot="0" vert="horz" wrap="square" lIns="18000" tIns="10800" rIns="18000" bIns="10800" anchor="t" anchorCtr="0" upright="1">
                          <a:noAutofit/>
                        </wps:bodyPr>
                      </wps:wsp>
                      <wps:wsp>
                        <wps:cNvPr id="568" name="Text Box 151"/>
                        <wps:cNvSpPr txBox="1">
                          <a:spLocks noChangeArrowheads="1"/>
                        </wps:cNvSpPr>
                        <wps:spPr bwMode="auto">
                          <a:xfrm>
                            <a:off x="5424" y="13830"/>
                            <a:ext cx="1650" cy="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942AEA" w:rsidRDefault="00670B40" w:rsidP="00335E4B">
                              <w:pPr>
                                <w:spacing w:line="180" w:lineRule="exact"/>
                                <w:jc w:val="center"/>
                                <w:rPr>
                                  <w:rFonts w:ascii="Traditional Arabic" w:hAnsi="Traditional Arabic" w:cs="Traditional Arabic"/>
                                  <w:color w:val="000000"/>
                                  <w:sz w:val="24"/>
                                  <w:szCs w:val="24"/>
                                  <w:rtl/>
                                  <w:lang w:bidi="ar-EG"/>
                                </w:rPr>
                              </w:pPr>
                              <w:r w:rsidRPr="00942AEA">
                                <w:rPr>
                                  <w:rFonts w:ascii="Traditional Arabic" w:hAnsi="Traditional Arabic" w:cs="Traditional Arabic"/>
                                  <w:color w:val="000000"/>
                                  <w:sz w:val="24"/>
                                  <w:szCs w:val="24"/>
                                  <w:rtl/>
                                  <w:lang w:bidi="ar-EG"/>
                                </w:rPr>
                                <w:t>15 وحدة</w:t>
                              </w:r>
                            </w:p>
                            <w:p w:rsidR="00670B40" w:rsidRPr="00942AEA" w:rsidRDefault="00670B40" w:rsidP="00335E4B">
                              <w:pPr>
                                <w:spacing w:line="180" w:lineRule="exact"/>
                                <w:jc w:val="center"/>
                                <w:rPr>
                                  <w:rFonts w:ascii="Traditional Arabic" w:hAnsi="Traditional Arabic" w:cs="Traditional Arabic"/>
                                  <w:color w:val="000000"/>
                                  <w:sz w:val="24"/>
                                  <w:szCs w:val="24"/>
                                  <w:lang w:bidi="ar-EG"/>
                                </w:rPr>
                              </w:pPr>
                              <w:r w:rsidRPr="00942AEA">
                                <w:rPr>
                                  <w:rFonts w:ascii="Traditional Arabic" w:hAnsi="Traditional Arabic" w:cs="Traditional Arabic"/>
                                  <w:color w:val="000000"/>
                                  <w:sz w:val="24"/>
                                  <w:szCs w:val="24"/>
                                  <w:rtl/>
                                  <w:lang w:bidi="ar-EG"/>
                                </w:rPr>
                                <w:t>(إزالة الكبريت الرطبة في كل الحالات)</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0" o:spid="_x0000_s1065" style="position:absolute;left:0;text-align:left;margin-left:95.6pt;margin-top:3.8pt;width:257.8pt;height:199.85pt;z-index:251670528" coordorigin="3015,10532" coordsize="5156,3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">
                <v:shape id="Text Box 144" o:spid="_x0000_s1066" type="#_x0000_t202" style="position:absolute;left:6209;top:12411;width:143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bQsUA&#10;AADcAAAADwAAAGRycy9kb3ducmV2LnhtbESPT2sCMRTE70K/Q3gFb5pVUcu6UUqhtDdZtZTenpu3&#10;f+jmZZuk6/rtTaHgcZiZ3zDZbjCt6Mn5xrKC2TQBQVxY3XCl4HR8nTyB8AFZY2uZFFzJw277MMow&#10;1fbCOfWHUIkIYZ+igjqELpXSFzUZ9FPbEUevtM5giNJVUju8RLhp5TxJVtJgw3Ghxo5eaiq+D79G&#10;weLUr/35I0f3U+b2+JW/zff6U6nx4/C8ARFoCPfwf/tdK1iuZvB3Jh4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1tCxQAAANwAAAAPAAAAAAAAAAAAAAAAAJgCAABkcnMv&#10;ZG93bnJldi54bWxQSwUGAAAAAAQABAD1AAAAigMAAAAA&#10;">
                  <v:textbox inset=".5mm,.3mm,.5mm,.3mm">
                    <w:txbxContent>
                      <w:p w:rsidR="0093783C" w:rsidRPr="00942AEA" w:rsidRDefault="0093783C" w:rsidP="00335E4B">
                        <w:pPr>
                          <w:rPr>
                            <w:rFonts w:ascii="Traditional Arabic" w:hAnsi="Traditional Arabic" w:cs="Traditional Arabic"/>
                            <w:color w:val="000000"/>
                            <w:sz w:val="18"/>
                            <w:szCs w:val="24"/>
                            <w:lang w:bidi="ar-EG"/>
                          </w:rPr>
                        </w:pPr>
                        <w:r w:rsidRPr="00942AEA">
                          <w:rPr>
                            <w:rFonts w:ascii="Traditional Arabic" w:hAnsi="Traditional Arabic" w:cs="Traditional Arabic"/>
                            <w:color w:val="000000"/>
                            <w:sz w:val="18"/>
                            <w:szCs w:val="24"/>
                            <w:rtl/>
                            <w:lang w:bidi="ar-EG"/>
                          </w:rPr>
                          <w:t>انحراف معياري: 1,1</w:t>
                        </w:r>
                      </w:p>
                    </w:txbxContent>
                  </v:textbox>
                </v:shape>
                <v:shape id="Text Box 145" o:spid="_x0000_s1067" type="#_x0000_t202" style="position:absolute;left:4583;top:11392;width:143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FNcUA&#10;AADcAAAADwAAAGRycy9kb3ducmV2LnhtbESPT2vCQBTE7wW/w/IK3uqmkapEV5FCaW8l/kG8PbPP&#10;JJh9m+5uY/z2bqHgcZiZ3zCLVW8a0ZHztWUFr6MEBHFhdc2lgt3242UGwgdkjY1lUnAjD6vl4GmB&#10;mbZXzqnbhFJECPsMFVQhtJmUvqjIoB/Zljh6Z+sMhihdKbXDa4SbRqZJMpEGa44LFbb0XlFx2fwa&#10;BeNdN/WnfY7u55zb7TH/TL/1Qanhc7+egwjUh0f4v/2lFbxNUvg7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cU1xQAAANwAAAAPAAAAAAAAAAAAAAAAAJgCAABkcnMv&#10;ZG93bnJldi54bWxQSwUGAAAAAAQABAD1AAAAigMAAAAA&#10;">
                  <v:textbox inset=".5mm,.3mm,.5mm,.3mm">
                    <w:txbxContent>
                      <w:p w:rsidR="0093783C" w:rsidRPr="00942AEA" w:rsidRDefault="0093783C" w:rsidP="00335E4B">
                        <w:pPr>
                          <w:rPr>
                            <w:rFonts w:ascii="Traditional Arabic" w:hAnsi="Traditional Arabic" w:cs="Traditional Arabic"/>
                            <w:color w:val="000000"/>
                            <w:sz w:val="18"/>
                            <w:szCs w:val="24"/>
                            <w:lang w:bidi="ar-EG"/>
                          </w:rPr>
                        </w:pPr>
                        <w:r w:rsidRPr="00942AEA">
                          <w:rPr>
                            <w:rFonts w:ascii="Traditional Arabic" w:hAnsi="Traditional Arabic" w:cs="Traditional Arabic"/>
                            <w:color w:val="000000"/>
                            <w:sz w:val="18"/>
                            <w:szCs w:val="24"/>
                            <w:rtl/>
                            <w:lang w:bidi="ar-EG"/>
                          </w:rPr>
                          <w:t>انحراف معياري: 1,5</w:t>
                        </w:r>
                      </w:p>
                    </w:txbxContent>
                  </v:textbox>
                </v:shape>
                <v:shape id="Text Box 146" o:spid="_x0000_s1068" type="#_x0000_t202" style="position:absolute;left:3015;top:10926;width:567;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RGsQA&#10;AADcAAAADwAAAGRycy9kb3ducmV2LnhtbESPQWsCMRSE70L/Q3gFb5rVUi1bo0hBKAgF11Wvj83r&#10;bnDzsiRR139vhEKPw8x8wyxWvW3FlXwwjhVMxhkI4sppw7WCcr8ZfYAIEVlj65gU3CnAavkyWGCu&#10;3Y13dC1iLRKEQ44Kmhi7XMpQNWQxjF1HnLxf5y3GJH0ttcdbgttWTrNsJi0aTgsNdvTVUHUuLlbB&#10;qdzcD5PzcXv8OW3tem4KX6BRavjarz9BROrjf/iv/a0VvM/e4Hk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0RrEAAAA3AAAAA8AAAAAAAAAAAAAAAAAmAIAAGRycy9k&#10;b3ducmV2LnhtbFBLBQYAAAAABAAEAPUAAACJAwAAAAA=&#10;" stroked="f">
                  <v:textbox style="layout-flow:vertical;mso-layout-flow-alt:bottom-to-top" inset=".5mm,.3mm,.5mm,.3mm">
                    <w:txbxContent>
                      <w:p w:rsidR="0093783C" w:rsidRPr="00942AEA" w:rsidRDefault="0093783C" w:rsidP="00335E4B">
                        <w:pPr>
                          <w:jc w:val="center"/>
                          <w:rPr>
                            <w:rFonts w:ascii="Traditional Arabic" w:hAnsi="Traditional Arabic" w:cs="Traditional Arabic"/>
                            <w:color w:val="000000"/>
                            <w:sz w:val="18"/>
                            <w:szCs w:val="24"/>
                            <w:lang w:bidi="ar-EG"/>
                          </w:rPr>
                        </w:pPr>
                        <w:r w:rsidRPr="00942AEA">
                          <w:rPr>
                            <w:rFonts w:ascii="Traditional Arabic" w:hAnsi="Traditional Arabic" w:cs="Traditional Arabic"/>
                            <w:color w:val="000000"/>
                            <w:sz w:val="18"/>
                            <w:szCs w:val="24"/>
                            <w:rtl/>
                            <w:lang w:bidi="ar-EG"/>
                          </w:rPr>
                          <w:t>تركيز الزئبق في غاز أنبوب المدخنة (ميكروغرام/م</w:t>
                        </w:r>
                        <w:r w:rsidRPr="00942AEA">
                          <w:rPr>
                            <w:rFonts w:ascii="Traditional Arabic" w:hAnsi="Traditional Arabic" w:cs="Traditional Arabic"/>
                            <w:color w:val="000000"/>
                            <w:sz w:val="18"/>
                            <w:szCs w:val="24"/>
                            <w:vertAlign w:val="superscript"/>
                            <w:rtl/>
                            <w:lang w:bidi="ar-EG"/>
                          </w:rPr>
                          <w:t>3</w:t>
                        </w:r>
                        <w:r w:rsidRPr="00942AEA">
                          <w:rPr>
                            <w:rFonts w:ascii="Traditional Arabic" w:hAnsi="Traditional Arabic" w:cs="Traditional Arabic"/>
                            <w:color w:val="000000"/>
                            <w:sz w:val="18"/>
                            <w:szCs w:val="24"/>
                            <w:rtl/>
                            <w:lang w:bidi="ar-EG"/>
                          </w:rPr>
                          <w:t>)</w:t>
                        </w:r>
                      </w:p>
                    </w:txbxContent>
                  </v:textbox>
                </v:shape>
                <v:shape id="Text Box 147" o:spid="_x0000_s1069" type="#_x0000_t202" style="position:absolute;left:7207;top:10544;width:96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xw8EA&#10;AADcAAAADwAAAGRycy9kb3ducmV2LnhtbESPQWvCQBSE70L/w/IK3nRjtSKpq2iJ4LUqnh/ZZzY1&#10;723Irhr/fbdQ6HGYmW+Y5brnRt2pC7UXA5NxBoqk9LaWysDpuBstQIWIYrHxQgaeFGC9ehksMbf+&#10;IV90P8RKJYiEHA24GNtc61A6Ygxj35Ik7+I7xphkV2nb4SPBudFvWTbXjLWkBYctfToqr4cbGyjC&#10;92U2KfY85fqMmt3V3raFMcPXfvMBKlIf/8N/7b018D6fwe+ZdAT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XMcPBAAAA3AAAAA8AAAAAAAAAAAAAAAAAmAIAAGRycy9kb3du&#10;cmV2LnhtbFBLBQYAAAAABAAEAPUAAACGAwAAAAA=&#10;" stroked="f">
                  <v:textbox inset=".5mm,.3mm,.5mm,.3mm">
                    <w:txbxContent>
                      <w:p w:rsidR="0093783C" w:rsidRPr="00942AEA" w:rsidRDefault="0093783C" w:rsidP="00335E4B">
                        <w:pPr>
                          <w:spacing w:line="180" w:lineRule="exact"/>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الأقصى</w:t>
                        </w:r>
                      </w:p>
                    </w:txbxContent>
                  </v:textbox>
                </v:shape>
                <v:shape id="Text Box 148" o:spid="_x0000_s1070" type="#_x0000_t202" style="position:absolute;left:6391;top:10544;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WMEA&#10;AADcAAAADwAAAGRycy9kb3ducmV2LnhtbESPQWvCQBSE74X+h+UVvNWNtYqkrqIlgldt8fzIPrOp&#10;eW9DdtX477uC4HGYmW+Y+bLnRl2oC7UXA6NhBoqk9LaWysDvz+Z9BipEFIuNFzJwowDLxevLHHPr&#10;r7Kjyz5WKkEk5GjAxdjmWofSEWMY+pYkeUffMcYku0rbDq8Jzo3+yLKpZqwlLThs6dtRedqf2UAR&#10;/o6fo2LLY64PqNmd7HldGDN461dfoCL18Rl+tLfWwGQ6gfuZdAT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lFjBAAAA3AAAAA8AAAAAAAAAAAAAAAAAmAIAAGRycy9kb3du&#10;cmV2LnhtbFBLBQYAAAAABAAEAPUAAACGAwAAAAA=&#10;" stroked="f">
                  <v:textbox inset=".5mm,.3mm,.5mm,.3mm">
                    <w:txbxContent>
                      <w:p w:rsidR="0093783C" w:rsidRPr="00942AEA" w:rsidRDefault="0093783C" w:rsidP="00335E4B">
                        <w:pPr>
                          <w:spacing w:line="180" w:lineRule="exact"/>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المتوسط</w:t>
                        </w:r>
                      </w:p>
                    </w:txbxContent>
                  </v:textbox>
                </v:shape>
                <v:shape id="Text Box 149" o:spid="_x0000_s1071" type="#_x0000_t202" style="position:absolute;left:5497;top:10532;width:907;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KL8IA&#10;AADcAAAADwAAAGRycy9kb3ducmV2LnhtbESPQWvCQBSE70L/w/KE3sxGW0NJXaWWFLxWS8+P7DMb&#10;zXsbsqum/75bKHgcZuYbZrUZuVNXGkLrxcA8y0GR1N620hj4OnzMXkCFiGKx80IGfijAZv0wWWFp&#10;/U0+6bqPjUoQCSUacDH2pdahdsQYMt+TJO/oB8aY5NBoO+AtwbnTizwvNGMracFhT++O6vP+wgaq&#10;cDo+z6sdP3H7jZrd2V62lTGP0/HtFVSkMd7D/+2dNbAsCvg7k4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QovwgAAANwAAAAPAAAAAAAAAAAAAAAAAJgCAABkcnMvZG93&#10;bnJldi54bWxQSwUGAAAAAAQABAD1AAAAhwMAAAAA&#10;" stroked="f">
                  <v:textbox inset=".5mm,.3mm,.5mm,.3mm">
                    <w:txbxContent>
                      <w:p w:rsidR="0093783C" w:rsidRPr="00942AEA" w:rsidRDefault="0093783C" w:rsidP="00335E4B">
                        <w:pPr>
                          <w:spacing w:line="180" w:lineRule="exact"/>
                          <w:jc w:val="center"/>
                          <w:rPr>
                            <w:rFonts w:ascii="Traditional Arabic" w:hAnsi="Traditional Arabic" w:cs="Traditional Arabic"/>
                            <w:color w:val="000000"/>
                            <w:szCs w:val="20"/>
                            <w:lang w:bidi="ar-EG"/>
                          </w:rPr>
                        </w:pPr>
                        <w:r w:rsidRPr="00942AEA">
                          <w:rPr>
                            <w:rFonts w:ascii="Traditional Arabic" w:hAnsi="Traditional Arabic" w:cs="Traditional Arabic"/>
                            <w:color w:val="000000"/>
                            <w:szCs w:val="20"/>
                            <w:rtl/>
                            <w:lang w:bidi="ar-EG"/>
                          </w:rPr>
                          <w:t>أدنى</w:t>
                        </w:r>
                      </w:p>
                    </w:txbxContent>
                  </v:textbox>
                </v:shape>
                <v:shape id="Text Box 150" o:spid="_x0000_s1072" type="#_x0000_t202" style="position:absolute;left:3809;top:13772;width:1650;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vtMIA&#10;AADcAAAADwAAAGRycy9kb3ducmV2LnhtbESPQWvCQBSE7wX/w/IEb3VjtbakrmIlgtfa0vMj+8xG&#10;896G7Krx37tCocdhZr5hFqueG3WhLtReDEzGGSiS0ttaKgM/39vnd1AholhsvJCBGwVYLQdPC8yt&#10;v8oXXfaxUgkiIUcDLsY21zqUjhjD2LckyTv4jjEm2VXadnhNcG70S5bNNWMtacFhSxtH5Wl/ZgNF&#10;OB5mk2LHU65/UbM72fNnYcxo2K8/QEXq43/4r72zBl7nb/A4k4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a+0wgAAANwAAAAPAAAAAAAAAAAAAAAAAJgCAABkcnMvZG93&#10;bnJldi54bWxQSwUGAAAAAAQABAD1AAAAhwMAAAAA&#10;" stroked="f">
                  <v:textbox inset=".5mm,.3mm,.5mm,.3mm">
                    <w:txbxContent>
                      <w:p w:rsidR="0093783C" w:rsidRPr="00942AEA" w:rsidRDefault="0093783C" w:rsidP="00335E4B">
                        <w:pPr>
                          <w:spacing w:line="180" w:lineRule="exact"/>
                          <w:jc w:val="center"/>
                          <w:rPr>
                            <w:rFonts w:ascii="Traditional Arabic" w:hAnsi="Traditional Arabic" w:cs="Traditional Arabic"/>
                            <w:color w:val="000000"/>
                            <w:sz w:val="24"/>
                            <w:szCs w:val="24"/>
                            <w:rtl/>
                            <w:lang w:bidi="ar-EG"/>
                          </w:rPr>
                        </w:pPr>
                        <w:r w:rsidRPr="00942AEA">
                          <w:rPr>
                            <w:rFonts w:ascii="Traditional Arabic" w:hAnsi="Traditional Arabic" w:cs="Traditional Arabic"/>
                            <w:color w:val="000000"/>
                            <w:sz w:val="24"/>
                            <w:szCs w:val="24"/>
                            <w:rtl/>
                            <w:lang w:bidi="ar-EG"/>
                          </w:rPr>
                          <w:t>46 وحدة</w:t>
                        </w:r>
                      </w:p>
                      <w:p w:rsidR="0093783C" w:rsidRPr="00942AEA" w:rsidRDefault="0093783C" w:rsidP="00335E4B">
                        <w:pPr>
                          <w:spacing w:line="180" w:lineRule="exact"/>
                          <w:jc w:val="center"/>
                          <w:rPr>
                            <w:rFonts w:ascii="Traditional Arabic" w:hAnsi="Traditional Arabic" w:cs="Traditional Arabic"/>
                            <w:color w:val="000000"/>
                            <w:sz w:val="24"/>
                            <w:szCs w:val="24"/>
                            <w:lang w:bidi="ar-EG"/>
                          </w:rPr>
                        </w:pPr>
                        <w:r w:rsidRPr="00942AEA">
                          <w:rPr>
                            <w:rFonts w:ascii="Traditional Arabic" w:hAnsi="Traditional Arabic" w:cs="Traditional Arabic"/>
                            <w:color w:val="000000"/>
                            <w:sz w:val="24"/>
                            <w:szCs w:val="24"/>
                            <w:rtl/>
                            <w:lang w:bidi="ar-EG"/>
                          </w:rPr>
                          <w:t>الإزالة الرطبة للكبريت: 44، الإزالة الجافة: 2</w:t>
                        </w:r>
                      </w:p>
                    </w:txbxContent>
                  </v:textbox>
                </v:shape>
                <v:shape id="Text Box 151" o:spid="_x0000_s1073" type="#_x0000_t202" style="position:absolute;left:5424;top:13830;width:1650;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7xr4A&#10;AADcAAAADwAAAGRycy9kb3ducmV2LnhtbERPTWvCQBC9F/wPywje6kZtRaKrqKTgtbZ4HrJjNpqZ&#10;DdlV03/fPQgeH+97tem5UXfqQu3FwGScgSIpva2lMvD78/W+ABUiisXGCxn4owCb9eBthbn1D/mm&#10;+zFWKoVIyNGAi7HNtQ6lI8Yw9i1J4s6+Y4wJdpW2HT5SODd6mmVzzVhLanDY0t5ReT3e2EARLueP&#10;SXHgGdcn1Oyu9rYrjBkN++0SVKQ+vsRP98Ea+JyntelMOgJ6/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aO8a+AAAA3AAAAA8AAAAAAAAAAAAAAAAAmAIAAGRycy9kb3ducmV2&#10;LnhtbFBLBQYAAAAABAAEAPUAAACDAwAAAAA=&#10;" stroked="f">
                  <v:textbox inset=".5mm,.3mm,.5mm,.3mm">
                    <w:txbxContent>
                      <w:p w:rsidR="0093783C" w:rsidRPr="00942AEA" w:rsidRDefault="0093783C" w:rsidP="00335E4B">
                        <w:pPr>
                          <w:spacing w:line="180" w:lineRule="exact"/>
                          <w:jc w:val="center"/>
                          <w:rPr>
                            <w:rFonts w:ascii="Traditional Arabic" w:hAnsi="Traditional Arabic" w:cs="Traditional Arabic"/>
                            <w:color w:val="000000"/>
                            <w:sz w:val="24"/>
                            <w:szCs w:val="24"/>
                            <w:rtl/>
                            <w:lang w:bidi="ar-EG"/>
                          </w:rPr>
                        </w:pPr>
                        <w:r w:rsidRPr="00942AEA">
                          <w:rPr>
                            <w:rFonts w:ascii="Traditional Arabic" w:hAnsi="Traditional Arabic" w:cs="Traditional Arabic"/>
                            <w:color w:val="000000"/>
                            <w:sz w:val="24"/>
                            <w:szCs w:val="24"/>
                            <w:rtl/>
                            <w:lang w:bidi="ar-EG"/>
                          </w:rPr>
                          <w:t>15 وحدة</w:t>
                        </w:r>
                      </w:p>
                      <w:p w:rsidR="0093783C" w:rsidRPr="00942AEA" w:rsidRDefault="0093783C" w:rsidP="00335E4B">
                        <w:pPr>
                          <w:spacing w:line="180" w:lineRule="exact"/>
                          <w:jc w:val="center"/>
                          <w:rPr>
                            <w:rFonts w:ascii="Traditional Arabic" w:hAnsi="Traditional Arabic" w:cs="Traditional Arabic"/>
                            <w:color w:val="000000"/>
                            <w:sz w:val="24"/>
                            <w:szCs w:val="24"/>
                            <w:lang w:bidi="ar-EG"/>
                          </w:rPr>
                        </w:pPr>
                        <w:r w:rsidRPr="00942AEA">
                          <w:rPr>
                            <w:rFonts w:ascii="Traditional Arabic" w:hAnsi="Traditional Arabic" w:cs="Traditional Arabic"/>
                            <w:color w:val="000000"/>
                            <w:sz w:val="24"/>
                            <w:szCs w:val="24"/>
                            <w:rtl/>
                            <w:lang w:bidi="ar-EG"/>
                          </w:rPr>
                          <w:t>(إزالة الكبريت الرطبة في كل الحالات)</w:t>
                        </w:r>
                      </w:p>
                    </w:txbxContent>
                  </v:textbox>
                </v:shape>
              </v:group>
            </w:pict>
          </mc:Fallback>
        </mc:AlternateContent>
      </w:r>
      <w:r>
        <w:rPr>
          <w:rFonts w:eastAsia="SimSun" w:cs="Traditional Arabic"/>
          <w:noProof/>
          <w:sz w:val="20"/>
          <w:szCs w:val="22"/>
          <w:lang w:val="en-GB" w:eastAsia="zh-CN"/>
        </w:rPr>
        <w:drawing>
          <wp:inline distT="0" distB="0" distL="0" distR="0" wp14:anchorId="7C7B9A3A" wp14:editId="2CD89ABB">
            <wp:extent cx="3359785" cy="25082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l="1979" t="3682" r="1979"/>
                    <a:stretch>
                      <a:fillRect/>
                    </a:stretch>
                  </pic:blipFill>
                  <pic:spPr bwMode="auto">
                    <a:xfrm>
                      <a:off x="0" y="0"/>
                      <a:ext cx="3359785" cy="2508250"/>
                    </a:xfrm>
                    <a:prstGeom prst="rect">
                      <a:avLst/>
                    </a:prstGeom>
                    <a:noFill/>
                    <a:ln>
                      <a:noFill/>
                    </a:ln>
                  </pic:spPr>
                </pic:pic>
              </a:graphicData>
            </a:graphic>
          </wp:inline>
        </w:drawing>
      </w:r>
    </w:p>
    <w:p w:rsidR="00335E4B" w:rsidRPr="00335E4B" w:rsidRDefault="00335E4B" w:rsidP="00335E4B">
      <w:pPr>
        <w:spacing w:before="120" w:line="320" w:lineRule="exact"/>
        <w:jc w:val="lowKashida"/>
        <w:rPr>
          <w:rFonts w:cs="Traditional Arabic"/>
          <w:sz w:val="20"/>
          <w:szCs w:val="30"/>
          <w:rtl/>
          <w:lang w:bidi="ar-EG"/>
        </w:rPr>
      </w:pPr>
      <w:r w:rsidRPr="00335E4B">
        <w:rPr>
          <w:rFonts w:cs="Traditional Arabic"/>
          <w:i/>
          <w:iCs/>
          <w:sz w:val="16"/>
          <w:szCs w:val="26"/>
          <w:rtl/>
          <w:lang w:bidi="ar-EG"/>
        </w:rPr>
        <w:t>ملحوظة:</w:t>
      </w:r>
      <w:r w:rsidRPr="00335E4B">
        <w:rPr>
          <w:rFonts w:cs="Traditional Arabic"/>
          <w:sz w:val="16"/>
          <w:szCs w:val="26"/>
          <w:rtl/>
          <w:lang w:bidi="ar-EG"/>
        </w:rPr>
        <w:t xml:space="preserve"> </w:t>
      </w:r>
      <w:r w:rsidRPr="00335E4B">
        <w:rPr>
          <w:rFonts w:cs="Traditional Arabic" w:hint="cs"/>
          <w:sz w:val="16"/>
          <w:szCs w:val="26"/>
          <w:rtl/>
          <w:lang w:bidi="ar-EG"/>
        </w:rPr>
        <w:t>المرسب</w:t>
      </w:r>
      <w:r w:rsidRPr="00335E4B">
        <w:rPr>
          <w:rFonts w:cs="Traditional Arabic"/>
          <w:sz w:val="16"/>
          <w:szCs w:val="26"/>
          <w:rtl/>
          <w:lang w:bidi="ar-EG"/>
        </w:rPr>
        <w:t xml:space="preserve"> الكهروستاتيكي في </w:t>
      </w:r>
      <w:r w:rsidRPr="00335E4B">
        <w:rPr>
          <w:rFonts w:cs="Traditional Arabic" w:hint="cs"/>
          <w:sz w:val="16"/>
          <w:szCs w:val="26"/>
          <w:rtl/>
          <w:lang w:bidi="ar-EG"/>
        </w:rPr>
        <w:t xml:space="preserve">مجموعة </w:t>
      </w:r>
      <w:r w:rsidRPr="00335E4B">
        <w:rPr>
          <w:rFonts w:cs="Traditional Arabic"/>
          <w:sz w:val="18"/>
          <w:szCs w:val="16"/>
        </w:rPr>
        <w:t>SCE</w:t>
      </w:r>
      <w:r w:rsidRPr="00335E4B">
        <w:rPr>
          <w:rFonts w:cs="Traditional Arabic"/>
          <w:sz w:val="18"/>
          <w:szCs w:val="16"/>
          <w:rtl/>
        </w:rPr>
        <w:t>+</w:t>
      </w:r>
      <w:r w:rsidRPr="00335E4B">
        <w:rPr>
          <w:rFonts w:cs="Traditional Arabic"/>
          <w:sz w:val="18"/>
          <w:szCs w:val="16"/>
        </w:rPr>
        <w:t>ESP</w:t>
      </w:r>
      <w:r w:rsidRPr="00335E4B">
        <w:rPr>
          <w:rFonts w:cs="Traditional Arabic"/>
          <w:sz w:val="18"/>
          <w:szCs w:val="16"/>
          <w:rtl/>
        </w:rPr>
        <w:t>+</w:t>
      </w:r>
      <w:r w:rsidRPr="00335E4B">
        <w:rPr>
          <w:rFonts w:cs="Traditional Arabic"/>
          <w:sz w:val="18"/>
          <w:szCs w:val="16"/>
        </w:rPr>
        <w:t>FGD</w:t>
      </w:r>
      <w:r w:rsidRPr="00335E4B">
        <w:rPr>
          <w:rFonts w:cs="Traditional Arabic"/>
          <w:sz w:val="16"/>
          <w:szCs w:val="26"/>
          <w:rtl/>
          <w:lang w:bidi="ar-EG"/>
        </w:rPr>
        <w:t xml:space="preserve"> يشمل </w:t>
      </w:r>
      <w:r w:rsidRPr="00335E4B">
        <w:rPr>
          <w:rFonts w:cs="Traditional Arabic"/>
          <w:sz w:val="16"/>
          <w:szCs w:val="26"/>
          <w:lang w:bidi="ar-EG"/>
        </w:rPr>
        <w:t>ESPh</w:t>
      </w:r>
      <w:r w:rsidRPr="00335E4B">
        <w:rPr>
          <w:rFonts w:cs="Traditional Arabic"/>
          <w:sz w:val="16"/>
          <w:szCs w:val="26"/>
          <w:rtl/>
          <w:lang w:bidi="ar-EG"/>
        </w:rPr>
        <w:t xml:space="preserve"> يشمل </w:t>
      </w:r>
      <w:r w:rsidRPr="00335E4B">
        <w:rPr>
          <w:rFonts w:cs="Traditional Arabic"/>
          <w:sz w:val="16"/>
          <w:szCs w:val="26"/>
          <w:lang w:bidi="ar-EG"/>
        </w:rPr>
        <w:t>ESPh</w:t>
      </w:r>
      <w:r w:rsidRPr="00335E4B">
        <w:rPr>
          <w:rFonts w:cs="Traditional Arabic"/>
          <w:sz w:val="16"/>
          <w:szCs w:val="26"/>
          <w:rtl/>
          <w:lang w:bidi="ar-EG"/>
        </w:rPr>
        <w:t xml:space="preserve">، </w:t>
      </w:r>
      <w:r w:rsidRPr="00335E4B">
        <w:rPr>
          <w:rFonts w:cs="Traditional Arabic"/>
          <w:sz w:val="16"/>
          <w:szCs w:val="26"/>
          <w:lang w:bidi="ar-EG"/>
        </w:rPr>
        <w:t>ESPc</w:t>
      </w:r>
      <w:r w:rsidRPr="00335E4B">
        <w:rPr>
          <w:rFonts w:cs="Traditional Arabic"/>
          <w:sz w:val="16"/>
          <w:szCs w:val="26"/>
          <w:rtl/>
          <w:lang w:bidi="ar-EG"/>
        </w:rPr>
        <w:t xml:space="preserve"> و</w:t>
      </w:r>
      <w:r w:rsidRPr="00335E4B">
        <w:rPr>
          <w:rFonts w:cs="Traditional Arabic"/>
          <w:sz w:val="16"/>
          <w:szCs w:val="26"/>
          <w:lang w:bidi="ar-EG"/>
        </w:rPr>
        <w:t>LLT-ESP</w:t>
      </w:r>
    </w:p>
    <w:p w:rsidR="00335E4B" w:rsidRPr="00335E4B" w:rsidRDefault="00335E4B" w:rsidP="00335E4B">
      <w:pPr>
        <w:spacing w:after="120" w:line="320" w:lineRule="exact"/>
        <w:jc w:val="lowKashida"/>
        <w:rPr>
          <w:rFonts w:cs="Traditional Arabic"/>
          <w:sz w:val="16"/>
          <w:szCs w:val="26"/>
          <w:rtl/>
          <w:lang w:bidi="ar-EG"/>
        </w:rPr>
      </w:pPr>
      <w:r w:rsidRPr="00335E4B">
        <w:rPr>
          <w:rFonts w:cs="Traditional Arabic"/>
          <w:sz w:val="16"/>
          <w:szCs w:val="26"/>
          <w:rtl/>
          <w:lang w:bidi="ar-EG"/>
        </w:rPr>
        <w:t xml:space="preserve">درجة حرارة التشغيل في </w:t>
      </w:r>
      <w:r w:rsidRPr="00335E4B">
        <w:rPr>
          <w:rFonts w:cs="Traditional Arabic"/>
          <w:sz w:val="16"/>
          <w:szCs w:val="26"/>
          <w:lang w:bidi="ar-EG"/>
        </w:rPr>
        <w:t>ESPh</w:t>
      </w:r>
      <w:r w:rsidRPr="00335E4B">
        <w:rPr>
          <w:rFonts w:cs="Traditional Arabic"/>
          <w:sz w:val="16"/>
          <w:szCs w:val="26"/>
          <w:rtl/>
          <w:lang w:bidi="ar-EG"/>
        </w:rPr>
        <w:t xml:space="preserve"> تبلغ 300-400 درجة مئوية و130-180 درجة مئوية في </w:t>
      </w:r>
      <w:r w:rsidRPr="00335E4B">
        <w:rPr>
          <w:rFonts w:cs="Traditional Arabic"/>
          <w:sz w:val="16"/>
          <w:szCs w:val="26"/>
          <w:lang w:bidi="ar-EG"/>
        </w:rPr>
        <w:t>ESPc</w:t>
      </w:r>
      <w:r w:rsidRPr="00335E4B">
        <w:rPr>
          <w:rFonts w:cs="Traditional Arabic"/>
          <w:sz w:val="16"/>
          <w:szCs w:val="26"/>
          <w:rtl/>
          <w:lang w:bidi="ar-EG"/>
        </w:rPr>
        <w:t xml:space="preserve"> و90-100 درجة مئوية في </w:t>
      </w:r>
      <w:r w:rsidRPr="00335E4B">
        <w:rPr>
          <w:rFonts w:cs="Traditional Arabic"/>
          <w:sz w:val="16"/>
          <w:szCs w:val="26"/>
          <w:lang w:bidi="ar-EG"/>
        </w:rPr>
        <w:t>LLT-ESP</w:t>
      </w:r>
    </w:p>
    <w:p w:rsidR="00335E4B" w:rsidRPr="00335E4B" w:rsidRDefault="00335E4B" w:rsidP="00335E4B">
      <w:pPr>
        <w:keepNext/>
        <w:spacing w:after="120" w:line="340" w:lineRule="exact"/>
        <w:jc w:val="both"/>
        <w:outlineLvl w:val="2"/>
        <w:rPr>
          <w:rFonts w:ascii="Times New Roman Bold" w:hAnsi="Times New Roman Bold" w:cs="Traditional Arabic"/>
          <w:b/>
          <w:bCs/>
          <w:sz w:val="18"/>
          <w:rtl/>
          <w:lang w:bidi="ar-EG"/>
        </w:rPr>
      </w:pPr>
      <w:bookmarkStart w:id="511" w:name="_Toc440527759"/>
      <w:bookmarkStart w:id="512" w:name="_Toc440550460"/>
      <w:bookmarkStart w:id="513" w:name="_Toc441577717"/>
      <w:bookmarkStart w:id="514" w:name="_Toc441577896"/>
      <w:bookmarkStart w:id="515" w:name="_Toc441579122"/>
      <w:bookmarkStart w:id="516" w:name="_Toc441580730"/>
      <w:bookmarkStart w:id="517" w:name="_Toc441585861"/>
      <w:bookmarkStart w:id="518" w:name="_Toc441586197"/>
      <w:bookmarkStart w:id="519" w:name="_Toc441586647"/>
      <w:bookmarkStart w:id="520" w:name="_Toc441586826"/>
      <w:bookmarkStart w:id="521" w:name="_Toc441666675"/>
      <w:bookmarkStart w:id="522" w:name="_Toc441673736"/>
      <w:r w:rsidRPr="00335E4B">
        <w:rPr>
          <w:rFonts w:ascii="Times New Roman Bold" w:hAnsi="Times New Roman Bold" w:cs="Traditional Arabic"/>
          <w:b/>
          <w:bCs/>
          <w:sz w:val="18"/>
          <w:rtl/>
          <w:lang w:bidi="ar-EG"/>
        </w:rPr>
        <w:t xml:space="preserve">الشكل 4 - تركيز الزئبق في غاز المدخنة من منشآت الطاقة التي تعمل بحرق الفحم باستعمال مجموعة </w:t>
      </w:r>
      <w:r w:rsidRPr="00335E4B">
        <w:rPr>
          <w:rFonts w:ascii="Times New Roman Bold" w:hAnsi="Times New Roman Bold" w:cs="Traditional Arabic"/>
          <w:b/>
          <w:bCs/>
          <w:sz w:val="18"/>
          <w:lang w:bidi="ar-EG"/>
        </w:rPr>
        <w:t>SCR</w:t>
      </w:r>
      <w:r w:rsidRPr="00335E4B">
        <w:rPr>
          <w:rFonts w:ascii="Times New Roman Bold" w:hAnsi="Times New Roman Bold" w:cs="Traditional Arabic"/>
          <w:b/>
          <w:bCs/>
          <w:sz w:val="18"/>
          <w:rtl/>
          <w:lang w:bidi="ar-EG"/>
        </w:rPr>
        <w:t>+</w:t>
      </w:r>
      <w:r w:rsidRPr="00335E4B">
        <w:rPr>
          <w:rFonts w:ascii="Times New Roman Bold" w:hAnsi="Times New Roman Bold" w:cs="Traditional Arabic"/>
          <w:b/>
          <w:bCs/>
          <w:sz w:val="18"/>
          <w:lang w:bidi="ar-EG"/>
        </w:rPr>
        <w:t>ESP</w:t>
      </w:r>
      <w:r w:rsidRPr="00335E4B">
        <w:rPr>
          <w:rFonts w:ascii="Times New Roman Bold" w:hAnsi="Times New Roman Bold" w:cs="Traditional Arabic"/>
          <w:b/>
          <w:bCs/>
          <w:sz w:val="18"/>
          <w:rtl/>
          <w:lang w:bidi="ar-EG"/>
        </w:rPr>
        <w:t>+</w:t>
      </w:r>
      <w:r w:rsidRPr="00335E4B">
        <w:rPr>
          <w:rFonts w:ascii="Times New Roman Bold" w:hAnsi="Times New Roman Bold" w:cs="Traditional Arabic"/>
          <w:b/>
          <w:bCs/>
          <w:sz w:val="18"/>
          <w:lang w:bidi="ar-EG"/>
        </w:rPr>
        <w:t>FGD</w:t>
      </w:r>
      <w:r w:rsidRPr="00335E4B">
        <w:rPr>
          <w:rFonts w:ascii="Times New Roman Bold" w:hAnsi="Times New Roman Bold" w:cs="Traditional Arabic"/>
          <w:b/>
          <w:bCs/>
          <w:sz w:val="18"/>
          <w:rtl/>
          <w:lang w:bidi="ar-EG"/>
        </w:rPr>
        <w:t xml:space="preserve"> ومجموعة </w:t>
      </w:r>
      <w:r w:rsidRPr="00335E4B">
        <w:rPr>
          <w:rFonts w:ascii="Times New Roman Bold" w:hAnsi="Times New Roman Bold" w:cs="Traditional Arabic"/>
          <w:b/>
          <w:bCs/>
          <w:sz w:val="18"/>
          <w:lang w:bidi="ar-EG"/>
        </w:rPr>
        <w:t>SCR</w:t>
      </w:r>
      <w:r w:rsidRPr="00335E4B">
        <w:rPr>
          <w:rFonts w:ascii="Times New Roman Bold" w:hAnsi="Times New Roman Bold" w:cs="Traditional Arabic"/>
          <w:b/>
          <w:bCs/>
          <w:sz w:val="18"/>
          <w:rtl/>
          <w:lang w:bidi="ar-EG"/>
        </w:rPr>
        <w:t>+</w:t>
      </w:r>
      <w:r w:rsidRPr="00335E4B">
        <w:rPr>
          <w:rFonts w:ascii="Times New Roman Bold" w:hAnsi="Times New Roman Bold" w:cs="Traditional Arabic"/>
          <w:b/>
          <w:bCs/>
          <w:sz w:val="18"/>
          <w:lang w:bidi="ar-EG"/>
        </w:rPr>
        <w:t>LLT-ESP</w:t>
      </w:r>
      <w:r w:rsidRPr="00335E4B">
        <w:rPr>
          <w:rFonts w:ascii="Times New Roman Bold" w:hAnsi="Times New Roman Bold" w:cs="Traditional Arabic"/>
          <w:b/>
          <w:bCs/>
          <w:sz w:val="18"/>
          <w:rtl/>
          <w:lang w:bidi="ar-EG"/>
        </w:rPr>
        <w:t>+</w:t>
      </w:r>
      <w:r w:rsidRPr="00335E4B">
        <w:rPr>
          <w:rFonts w:ascii="Times New Roman Bold" w:hAnsi="Times New Roman Bold" w:cs="Traditional Arabic"/>
          <w:b/>
          <w:bCs/>
          <w:sz w:val="18"/>
          <w:lang w:bidi="ar-EG"/>
        </w:rPr>
        <w:t>FGD</w:t>
      </w:r>
      <w:bookmarkEnd w:id="511"/>
      <w:bookmarkEnd w:id="512"/>
      <w:bookmarkEnd w:id="513"/>
      <w:bookmarkEnd w:id="514"/>
      <w:bookmarkEnd w:id="515"/>
      <w:bookmarkEnd w:id="516"/>
      <w:bookmarkEnd w:id="517"/>
      <w:bookmarkEnd w:id="518"/>
      <w:bookmarkEnd w:id="519"/>
      <w:bookmarkEnd w:id="520"/>
      <w:bookmarkEnd w:id="521"/>
      <w:bookmarkEnd w:id="522"/>
    </w:p>
    <w:p w:rsidR="00335E4B" w:rsidRPr="00335E4B" w:rsidRDefault="00335E4B" w:rsidP="00335E4B">
      <w:pPr>
        <w:spacing w:after="120" w:line="380" w:lineRule="exact"/>
        <w:jc w:val="both"/>
        <w:rPr>
          <w:rFonts w:cs="Traditional Arabic"/>
          <w:sz w:val="20"/>
          <w:szCs w:val="30"/>
          <w:rtl/>
          <w:lang w:bidi="ar-EG"/>
        </w:rPr>
      </w:pPr>
      <w:r w:rsidRPr="00335E4B">
        <w:rPr>
          <w:rFonts w:cs="Traditional Arabic"/>
          <w:sz w:val="20"/>
          <w:szCs w:val="30"/>
          <w:rtl/>
          <w:lang w:bidi="ar-EG"/>
        </w:rPr>
        <w:t>ويلخص الجدول 3 كفاءة إزالة الزئبق لأجهزة ضبط تلوث الهواء في منشآت حرق الفحم في الصين. ويتضح من الجدول</w:t>
      </w:r>
      <w:r w:rsidRPr="00335E4B">
        <w:rPr>
          <w:rFonts w:cs="Traditional Arabic" w:hint="cs"/>
          <w:sz w:val="20"/>
          <w:szCs w:val="30"/>
          <w:rtl/>
          <w:lang w:bidi="ar-EG"/>
        </w:rPr>
        <w:t xml:space="preserve"> أنه</w:t>
      </w:r>
      <w:r w:rsidRPr="00335E4B">
        <w:rPr>
          <w:rFonts w:cs="Traditional Arabic"/>
          <w:sz w:val="20"/>
          <w:szCs w:val="30"/>
          <w:rtl/>
          <w:lang w:bidi="ar-EG"/>
        </w:rPr>
        <w:t xml:space="preserve"> في بعض الحالات يحقق الجمع بين المرسبات الكهروستاتيكية والإزالة الرطبة للكبريت من غاز المدخنة كفاءة في إزالة الزئبق تصل إلى 88 في المائة. والجمع بين الاختزال الحفزي الانتقائي </w:t>
      </w:r>
      <w:r w:rsidRPr="00335E4B">
        <w:rPr>
          <w:rFonts w:cs="Traditional Arabic" w:hint="cs"/>
          <w:sz w:val="20"/>
          <w:szCs w:val="30"/>
          <w:rtl/>
          <w:lang w:bidi="ar-EG"/>
        </w:rPr>
        <w:t>والمرسبات</w:t>
      </w:r>
      <w:r w:rsidRPr="00335E4B">
        <w:rPr>
          <w:rFonts w:cs="Traditional Arabic"/>
          <w:sz w:val="20"/>
          <w:szCs w:val="30"/>
          <w:rtl/>
          <w:lang w:bidi="ar-EG"/>
        </w:rPr>
        <w:t xml:space="preserve"> الكهروستاتيكية والإزالة الرطبة للكبريت، وهي مجموعة تستعمل بصورة واسعة في منشآت الطاقة العاملة بحرق الفحم في الصين، يمكن أن يحقق كفاءة أكبر لإزالة الغاز، تصل على سبيل المثال إلى 95 في المائة. ولوحظ أيضاً </w:t>
      </w:r>
      <w:r w:rsidRPr="00335E4B">
        <w:rPr>
          <w:rFonts w:cs="Traditional Arabic" w:hint="cs"/>
          <w:sz w:val="20"/>
          <w:szCs w:val="30"/>
          <w:rtl/>
          <w:lang w:bidi="ar-EG"/>
        </w:rPr>
        <w:t xml:space="preserve">ارتفاع </w:t>
      </w:r>
      <w:r w:rsidRPr="00335E4B">
        <w:rPr>
          <w:rFonts w:cs="Traditional Arabic"/>
          <w:sz w:val="20"/>
          <w:szCs w:val="30"/>
          <w:rtl/>
          <w:lang w:bidi="ar-EG"/>
        </w:rPr>
        <w:t>كفاءة إزالة الزئبق في حالة الجمع بين الاختزال الحف</w:t>
      </w:r>
      <w:r w:rsidRPr="00335E4B">
        <w:rPr>
          <w:rFonts w:cs="Traditional Arabic" w:hint="cs"/>
          <w:sz w:val="20"/>
          <w:szCs w:val="30"/>
          <w:rtl/>
          <w:lang w:bidi="ar-EG"/>
        </w:rPr>
        <w:t>ز</w:t>
      </w:r>
      <w:r w:rsidRPr="00335E4B">
        <w:rPr>
          <w:rFonts w:cs="Traditional Arabic"/>
          <w:sz w:val="20"/>
          <w:szCs w:val="30"/>
          <w:rtl/>
          <w:lang w:bidi="ar-EG"/>
        </w:rPr>
        <w:t xml:space="preserve">ي الانتقائي </w:t>
      </w:r>
      <w:r w:rsidRPr="00335E4B">
        <w:rPr>
          <w:rFonts w:cs="Traditional Arabic" w:hint="cs"/>
          <w:sz w:val="20"/>
          <w:szCs w:val="30"/>
          <w:rtl/>
          <w:lang w:bidi="ar-EG"/>
        </w:rPr>
        <w:t>والمرشحات</w:t>
      </w:r>
      <w:r w:rsidRPr="00335E4B">
        <w:rPr>
          <w:rFonts w:cs="Traditional Arabic"/>
          <w:sz w:val="20"/>
          <w:szCs w:val="30"/>
          <w:rtl/>
          <w:lang w:bidi="ar-EG"/>
        </w:rPr>
        <w:t xml:space="preserve"> النسيجية و</w:t>
      </w:r>
      <w:r w:rsidRPr="00335E4B">
        <w:rPr>
          <w:rFonts w:cs="Traditional Arabic" w:hint="cs"/>
          <w:sz w:val="20"/>
          <w:szCs w:val="30"/>
          <w:rtl/>
          <w:lang w:bidi="ar-EG"/>
        </w:rPr>
        <w:t>التنظيف الرطب</w:t>
      </w:r>
      <w:r w:rsidRPr="00335E4B">
        <w:rPr>
          <w:rFonts w:cs="Traditional Arabic"/>
          <w:sz w:val="20"/>
          <w:szCs w:val="30"/>
          <w:rtl/>
          <w:lang w:bidi="ar-EG"/>
        </w:rPr>
        <w:t xml:space="preserve"> </w:t>
      </w:r>
      <w:r w:rsidRPr="00335E4B">
        <w:rPr>
          <w:rFonts w:cs="Traditional Arabic" w:hint="cs"/>
          <w:sz w:val="20"/>
          <w:szCs w:val="30"/>
          <w:rtl/>
          <w:lang w:bidi="ar-EG"/>
        </w:rPr>
        <w:t>لإزالة ا</w:t>
      </w:r>
      <w:r w:rsidRPr="00335E4B">
        <w:rPr>
          <w:rFonts w:cs="Traditional Arabic"/>
          <w:sz w:val="20"/>
          <w:szCs w:val="30"/>
          <w:rtl/>
          <w:lang w:bidi="ar-EG"/>
        </w:rPr>
        <w:t>لكبريت من غاز المدخنة.</w:t>
      </w:r>
    </w:p>
    <w:p w:rsidR="00335E4B" w:rsidRPr="00335E4B" w:rsidRDefault="00335E4B" w:rsidP="00335E4B">
      <w:pPr>
        <w:keepNext/>
        <w:spacing w:before="120" w:line="360" w:lineRule="exact"/>
        <w:jc w:val="both"/>
        <w:outlineLvl w:val="0"/>
        <w:rPr>
          <w:rFonts w:cs="Traditional Arabic"/>
          <w:b/>
          <w:bCs/>
          <w:sz w:val="20"/>
          <w:szCs w:val="30"/>
          <w:rtl/>
          <w:lang w:bidi="ar-EG"/>
        </w:rPr>
      </w:pPr>
      <w:bookmarkStart w:id="523" w:name="_Toc440527760"/>
      <w:bookmarkStart w:id="524" w:name="_Toc440550461"/>
      <w:bookmarkStart w:id="525" w:name="_Toc441577718"/>
      <w:bookmarkStart w:id="526" w:name="_Toc441577897"/>
      <w:bookmarkStart w:id="527" w:name="_Toc441579123"/>
      <w:bookmarkStart w:id="528" w:name="_Toc441580731"/>
      <w:bookmarkStart w:id="529" w:name="_Toc441585862"/>
      <w:bookmarkStart w:id="530" w:name="_Toc441586198"/>
      <w:bookmarkStart w:id="531" w:name="_Toc441586648"/>
      <w:bookmarkStart w:id="532" w:name="_Toc441586827"/>
      <w:bookmarkStart w:id="533" w:name="_Toc441666676"/>
      <w:bookmarkStart w:id="534" w:name="_Toc441673737"/>
      <w:r w:rsidRPr="00335E4B">
        <w:rPr>
          <w:rFonts w:cs="Traditional Arabic"/>
          <w:b/>
          <w:bCs/>
          <w:sz w:val="20"/>
          <w:szCs w:val="30"/>
          <w:rtl/>
          <w:lang w:bidi="ar-EG"/>
        </w:rPr>
        <w:t>الجدول 3 - كفاءة إزالة الزئبق حسب المجموعات النمطية لأجهزة ضبط تلوث الهواء في الصين (بالنسب المئوية) جانغ وآخرون، 2015)</w:t>
      </w:r>
      <w:bookmarkEnd w:id="523"/>
      <w:bookmarkEnd w:id="524"/>
      <w:bookmarkEnd w:id="525"/>
      <w:bookmarkEnd w:id="526"/>
      <w:bookmarkEnd w:id="527"/>
      <w:bookmarkEnd w:id="528"/>
      <w:bookmarkEnd w:id="529"/>
      <w:bookmarkEnd w:id="530"/>
      <w:bookmarkEnd w:id="531"/>
      <w:bookmarkEnd w:id="532"/>
      <w:bookmarkEnd w:id="533"/>
      <w:bookmarkEnd w:id="534"/>
    </w:p>
    <w:tbl>
      <w:tblPr>
        <w:bidiVisual/>
        <w:tblW w:w="5000" w:type="pct"/>
        <w:tblBorders>
          <w:top w:val="single" w:sz="4" w:space="0" w:color="auto"/>
          <w:bottom w:val="single" w:sz="4" w:space="0" w:color="auto"/>
        </w:tblBorders>
        <w:tblCellMar>
          <w:top w:w="28" w:type="dxa"/>
          <w:left w:w="28" w:type="dxa"/>
          <w:bottom w:w="28" w:type="dxa"/>
          <w:right w:w="28" w:type="dxa"/>
        </w:tblCellMar>
        <w:tblLook w:val="0020" w:firstRow="1" w:lastRow="0" w:firstColumn="0" w:lastColumn="0" w:noHBand="0" w:noVBand="0"/>
      </w:tblPr>
      <w:tblGrid>
        <w:gridCol w:w="3137"/>
        <w:gridCol w:w="932"/>
        <w:gridCol w:w="1179"/>
        <w:gridCol w:w="1179"/>
        <w:gridCol w:w="1513"/>
        <w:gridCol w:w="1612"/>
      </w:tblGrid>
      <w:tr w:rsidR="00335E4B" w:rsidRPr="00335E4B" w:rsidTr="00D002D1">
        <w:trPr>
          <w:trHeight w:val="20"/>
        </w:trPr>
        <w:tc>
          <w:tcPr>
            <w:tcW w:w="1642" w:type="pct"/>
            <w:tcBorders>
              <w:top w:val="single" w:sz="4" w:space="0" w:color="auto"/>
              <w:bottom w:val="single" w:sz="4" w:space="0" w:color="auto"/>
            </w:tcBorders>
            <w:vAlign w:val="center"/>
          </w:tcPr>
          <w:p w:rsidR="00335E4B" w:rsidRPr="00335E4B" w:rsidRDefault="00335E4B" w:rsidP="00335E4B">
            <w:pPr>
              <w:spacing w:line="280" w:lineRule="exact"/>
              <w:jc w:val="both"/>
              <w:rPr>
                <w:rFonts w:eastAsia="SimSun" w:cs="Traditional Arabic"/>
                <w:b/>
                <w:bCs/>
                <w:sz w:val="20"/>
                <w:szCs w:val="26"/>
                <w:lang w:bidi="ar-EG"/>
              </w:rPr>
            </w:pPr>
            <w:r w:rsidRPr="00335E4B">
              <w:rPr>
                <w:rFonts w:cs="Traditional Arabic"/>
                <w:b/>
                <w:bCs/>
                <w:sz w:val="20"/>
                <w:szCs w:val="26"/>
                <w:rtl/>
                <w:lang w:bidi="ar-EG"/>
              </w:rPr>
              <w:t>مجموعة أجهزة ضبط تلوث الهواء</w:t>
            </w:r>
          </w:p>
        </w:tc>
        <w:tc>
          <w:tcPr>
            <w:tcW w:w="488" w:type="pct"/>
            <w:tcBorders>
              <w:top w:val="single" w:sz="4" w:space="0" w:color="auto"/>
              <w:bottom w:val="single" w:sz="4" w:space="0" w:color="auto"/>
            </w:tcBorders>
            <w:vAlign w:val="center"/>
          </w:tcPr>
          <w:p w:rsidR="00335E4B" w:rsidRPr="00335E4B" w:rsidRDefault="00335E4B" w:rsidP="00335E4B">
            <w:pPr>
              <w:spacing w:line="280" w:lineRule="exact"/>
              <w:jc w:val="both"/>
              <w:rPr>
                <w:rFonts w:eastAsia="SimSun" w:cs="Traditional Arabic"/>
                <w:b/>
                <w:bCs/>
                <w:sz w:val="20"/>
                <w:szCs w:val="26"/>
              </w:rPr>
            </w:pPr>
            <w:r w:rsidRPr="00335E4B">
              <w:rPr>
                <w:rFonts w:cs="Traditional Arabic"/>
                <w:b/>
                <w:bCs/>
                <w:sz w:val="20"/>
                <w:szCs w:val="26"/>
                <w:rtl/>
              </w:rPr>
              <w:t>المتوسط</w:t>
            </w:r>
          </w:p>
        </w:tc>
        <w:tc>
          <w:tcPr>
            <w:tcW w:w="617" w:type="pct"/>
            <w:tcBorders>
              <w:top w:val="single" w:sz="4" w:space="0" w:color="auto"/>
              <w:bottom w:val="single" w:sz="4" w:space="0" w:color="auto"/>
            </w:tcBorders>
            <w:vAlign w:val="center"/>
          </w:tcPr>
          <w:p w:rsidR="00335E4B" w:rsidRPr="00335E4B" w:rsidRDefault="00335E4B" w:rsidP="00335E4B">
            <w:pPr>
              <w:spacing w:line="280" w:lineRule="exact"/>
              <w:jc w:val="both"/>
              <w:rPr>
                <w:rFonts w:eastAsia="SimSun" w:cs="Traditional Arabic"/>
                <w:b/>
                <w:bCs/>
                <w:sz w:val="20"/>
                <w:szCs w:val="26"/>
              </w:rPr>
            </w:pPr>
            <w:r w:rsidRPr="00335E4B">
              <w:rPr>
                <w:rFonts w:cs="Traditional Arabic"/>
                <w:b/>
                <w:bCs/>
                <w:sz w:val="20"/>
                <w:szCs w:val="26"/>
                <w:rtl/>
              </w:rPr>
              <w:t>الحد الأدنى</w:t>
            </w:r>
          </w:p>
        </w:tc>
        <w:tc>
          <w:tcPr>
            <w:tcW w:w="617" w:type="pct"/>
            <w:tcBorders>
              <w:top w:val="single" w:sz="4" w:space="0" w:color="auto"/>
              <w:bottom w:val="single" w:sz="4" w:space="0" w:color="auto"/>
            </w:tcBorders>
            <w:vAlign w:val="center"/>
          </w:tcPr>
          <w:p w:rsidR="00335E4B" w:rsidRPr="00335E4B" w:rsidRDefault="00335E4B" w:rsidP="00335E4B">
            <w:pPr>
              <w:spacing w:line="280" w:lineRule="exact"/>
              <w:jc w:val="both"/>
              <w:rPr>
                <w:rFonts w:eastAsia="SimSun" w:cs="Traditional Arabic"/>
                <w:b/>
                <w:bCs/>
                <w:sz w:val="20"/>
                <w:szCs w:val="26"/>
              </w:rPr>
            </w:pPr>
            <w:r w:rsidRPr="00335E4B">
              <w:rPr>
                <w:rFonts w:cs="Traditional Arabic"/>
                <w:b/>
                <w:bCs/>
                <w:sz w:val="20"/>
                <w:szCs w:val="26"/>
                <w:rtl/>
              </w:rPr>
              <w:t>الحد الأقصى</w:t>
            </w:r>
          </w:p>
        </w:tc>
        <w:tc>
          <w:tcPr>
            <w:tcW w:w="792" w:type="pct"/>
            <w:tcBorders>
              <w:top w:val="single" w:sz="4" w:space="0" w:color="auto"/>
              <w:bottom w:val="single" w:sz="4" w:space="0" w:color="auto"/>
            </w:tcBorders>
            <w:vAlign w:val="center"/>
          </w:tcPr>
          <w:p w:rsidR="00335E4B" w:rsidRPr="00335E4B" w:rsidRDefault="00335E4B" w:rsidP="00335E4B">
            <w:pPr>
              <w:spacing w:line="280" w:lineRule="exact"/>
              <w:jc w:val="both"/>
              <w:rPr>
                <w:rFonts w:eastAsia="SimSun" w:cs="Traditional Arabic"/>
                <w:b/>
                <w:bCs/>
                <w:sz w:val="20"/>
                <w:szCs w:val="26"/>
              </w:rPr>
            </w:pPr>
            <w:r w:rsidRPr="00335E4B">
              <w:rPr>
                <w:rFonts w:cs="Traditional Arabic"/>
                <w:b/>
                <w:bCs/>
                <w:sz w:val="20"/>
                <w:szCs w:val="26"/>
                <w:rtl/>
              </w:rPr>
              <w:t>الانحراف المعياري</w:t>
            </w:r>
          </w:p>
        </w:tc>
        <w:tc>
          <w:tcPr>
            <w:tcW w:w="845" w:type="pct"/>
            <w:tcBorders>
              <w:top w:val="single" w:sz="4" w:space="0" w:color="auto"/>
              <w:bottom w:val="single" w:sz="4" w:space="0" w:color="auto"/>
            </w:tcBorders>
            <w:vAlign w:val="center"/>
          </w:tcPr>
          <w:p w:rsidR="00335E4B" w:rsidRPr="00335E4B" w:rsidRDefault="00335E4B" w:rsidP="00335E4B">
            <w:pPr>
              <w:spacing w:line="280" w:lineRule="exact"/>
              <w:jc w:val="both"/>
              <w:rPr>
                <w:rFonts w:eastAsia="SimSun" w:cs="Traditional Arabic"/>
                <w:b/>
                <w:bCs/>
                <w:sz w:val="20"/>
                <w:szCs w:val="26"/>
              </w:rPr>
            </w:pPr>
            <w:r w:rsidRPr="00335E4B">
              <w:rPr>
                <w:rFonts w:cs="Traditional Arabic"/>
                <w:b/>
                <w:bCs/>
                <w:sz w:val="20"/>
                <w:szCs w:val="26"/>
                <w:rtl/>
              </w:rPr>
              <w:t>عدد الاختبارات</w:t>
            </w:r>
          </w:p>
        </w:tc>
      </w:tr>
      <w:tr w:rsidR="00335E4B" w:rsidRPr="00335E4B" w:rsidTr="00D002D1">
        <w:trPr>
          <w:trHeight w:val="20"/>
        </w:trPr>
        <w:tc>
          <w:tcPr>
            <w:tcW w:w="1642" w:type="pct"/>
            <w:tcBorders>
              <w:top w:val="single" w:sz="4" w:space="0" w:color="auto"/>
              <w:bottom w:val="nil"/>
            </w:tcBorders>
            <w:vAlign w:val="center"/>
          </w:tcPr>
          <w:p w:rsidR="00335E4B" w:rsidRPr="00335E4B" w:rsidRDefault="00335E4B" w:rsidP="00335E4B">
            <w:pPr>
              <w:spacing w:line="280" w:lineRule="exact"/>
              <w:jc w:val="both"/>
              <w:rPr>
                <w:rFonts w:eastAsia="SimSun" w:cs="Traditional Arabic"/>
                <w:sz w:val="20"/>
                <w:szCs w:val="26"/>
                <w:lang w:eastAsia="zh-CN"/>
              </w:rPr>
            </w:pPr>
            <w:r w:rsidRPr="00335E4B">
              <w:rPr>
                <w:rFonts w:cs="Traditional Arabic"/>
                <w:sz w:val="20"/>
                <w:szCs w:val="26"/>
                <w:rtl/>
                <w:lang w:bidi="ar-EG"/>
              </w:rPr>
              <w:t xml:space="preserve">التنظيف الرطب للجسيمات العالقة </w:t>
            </w:r>
          </w:p>
        </w:tc>
        <w:tc>
          <w:tcPr>
            <w:tcW w:w="488" w:type="pct"/>
            <w:tcBorders>
              <w:top w:val="single" w:sz="4" w:space="0" w:color="auto"/>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23</w:t>
            </w:r>
          </w:p>
        </w:tc>
        <w:tc>
          <w:tcPr>
            <w:tcW w:w="617" w:type="pct"/>
            <w:tcBorders>
              <w:top w:val="single" w:sz="4" w:space="0" w:color="auto"/>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7</w:t>
            </w:r>
          </w:p>
        </w:tc>
        <w:tc>
          <w:tcPr>
            <w:tcW w:w="617" w:type="pct"/>
            <w:tcBorders>
              <w:top w:val="single" w:sz="4" w:space="0" w:color="auto"/>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59</w:t>
            </w:r>
          </w:p>
        </w:tc>
        <w:tc>
          <w:tcPr>
            <w:tcW w:w="792" w:type="pct"/>
            <w:tcBorders>
              <w:top w:val="single" w:sz="4" w:space="0" w:color="auto"/>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18</w:t>
            </w:r>
          </w:p>
        </w:tc>
        <w:tc>
          <w:tcPr>
            <w:tcW w:w="845" w:type="pct"/>
            <w:tcBorders>
              <w:top w:val="single" w:sz="4" w:space="0" w:color="auto"/>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8</w:t>
            </w:r>
          </w:p>
        </w:tc>
      </w:tr>
      <w:tr w:rsidR="00335E4B" w:rsidRPr="00335E4B" w:rsidTr="00D002D1">
        <w:trPr>
          <w:trHeight w:val="20"/>
        </w:trPr>
        <w:tc>
          <w:tcPr>
            <w:tcW w:w="1642"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 xml:space="preserve">المرسِّبات الكهروستاتيكية </w:t>
            </w:r>
            <w:r w:rsidRPr="00335E4B">
              <w:rPr>
                <w:rFonts w:cs="Traditional Arabic" w:hint="cs"/>
                <w:sz w:val="20"/>
                <w:szCs w:val="26"/>
                <w:rtl/>
              </w:rPr>
              <w:t xml:space="preserve">في الجانب </w:t>
            </w:r>
            <w:r w:rsidRPr="00335E4B">
              <w:rPr>
                <w:rFonts w:cs="Traditional Arabic"/>
                <w:sz w:val="20"/>
                <w:szCs w:val="26"/>
                <w:rtl/>
              </w:rPr>
              <w:t>البارد</w:t>
            </w:r>
          </w:p>
        </w:tc>
        <w:tc>
          <w:tcPr>
            <w:tcW w:w="488"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29</w:t>
            </w:r>
          </w:p>
        </w:tc>
        <w:tc>
          <w:tcPr>
            <w:tcW w:w="617"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1</w:t>
            </w:r>
          </w:p>
        </w:tc>
        <w:tc>
          <w:tcPr>
            <w:tcW w:w="617"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83</w:t>
            </w:r>
          </w:p>
        </w:tc>
        <w:tc>
          <w:tcPr>
            <w:tcW w:w="792"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19</w:t>
            </w:r>
          </w:p>
        </w:tc>
        <w:tc>
          <w:tcPr>
            <w:tcW w:w="845"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64</w:t>
            </w:r>
          </w:p>
        </w:tc>
      </w:tr>
      <w:tr w:rsidR="00335E4B" w:rsidRPr="00335E4B" w:rsidTr="00D002D1">
        <w:trPr>
          <w:trHeight w:val="20"/>
        </w:trPr>
        <w:tc>
          <w:tcPr>
            <w:tcW w:w="1642"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المرشحات النسيجية</w:t>
            </w:r>
          </w:p>
        </w:tc>
        <w:tc>
          <w:tcPr>
            <w:tcW w:w="488"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67</w:t>
            </w:r>
          </w:p>
        </w:tc>
        <w:tc>
          <w:tcPr>
            <w:tcW w:w="617"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9</w:t>
            </w:r>
          </w:p>
        </w:tc>
        <w:tc>
          <w:tcPr>
            <w:tcW w:w="617"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92</w:t>
            </w:r>
          </w:p>
        </w:tc>
        <w:tc>
          <w:tcPr>
            <w:tcW w:w="792"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30</w:t>
            </w:r>
          </w:p>
        </w:tc>
        <w:tc>
          <w:tcPr>
            <w:tcW w:w="845"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10</w:t>
            </w:r>
          </w:p>
        </w:tc>
      </w:tr>
      <w:tr w:rsidR="00335E4B" w:rsidRPr="00335E4B" w:rsidTr="00D002D1">
        <w:trPr>
          <w:trHeight w:val="20"/>
        </w:trPr>
        <w:tc>
          <w:tcPr>
            <w:tcW w:w="1642"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lang w:bidi="ar-EG"/>
              </w:rPr>
            </w:pPr>
            <w:r w:rsidRPr="00335E4B">
              <w:rPr>
                <w:rFonts w:cs="Traditional Arabic"/>
                <w:sz w:val="20"/>
                <w:szCs w:val="26"/>
                <w:rtl/>
              </w:rPr>
              <w:t xml:space="preserve">المرسبات الكهروستاتيكية </w:t>
            </w:r>
            <w:r w:rsidRPr="00335E4B">
              <w:rPr>
                <w:rFonts w:cs="Traditional Arabic" w:hint="cs"/>
                <w:sz w:val="20"/>
                <w:szCs w:val="26"/>
                <w:rtl/>
              </w:rPr>
              <w:t xml:space="preserve">في الجانب </w:t>
            </w:r>
            <w:r w:rsidRPr="00335E4B">
              <w:rPr>
                <w:rFonts w:cs="Traditional Arabic"/>
                <w:sz w:val="20"/>
                <w:szCs w:val="26"/>
                <w:rtl/>
              </w:rPr>
              <w:t xml:space="preserve">البارد + التنظيف </w:t>
            </w:r>
            <w:r w:rsidRPr="00335E4B">
              <w:rPr>
                <w:rFonts w:cs="Traditional Arabic" w:hint="cs"/>
                <w:sz w:val="20"/>
                <w:szCs w:val="26"/>
                <w:rtl/>
              </w:rPr>
              <w:t>الرطب</w:t>
            </w:r>
            <w:r w:rsidRPr="00335E4B">
              <w:rPr>
                <w:rFonts w:cs="Traditional Arabic"/>
                <w:sz w:val="20"/>
                <w:szCs w:val="26"/>
                <w:rtl/>
              </w:rPr>
              <w:t xml:space="preserve"> </w:t>
            </w:r>
            <w:r w:rsidRPr="00335E4B">
              <w:rPr>
                <w:rFonts w:cs="Traditional Arabic" w:hint="cs"/>
                <w:sz w:val="20"/>
                <w:szCs w:val="26"/>
                <w:rtl/>
              </w:rPr>
              <w:t>لإزالة ا</w:t>
            </w:r>
            <w:r w:rsidRPr="00335E4B">
              <w:rPr>
                <w:rFonts w:cs="Traditional Arabic"/>
                <w:sz w:val="20"/>
                <w:szCs w:val="26"/>
                <w:rtl/>
              </w:rPr>
              <w:t xml:space="preserve">لكبريت من غاز المدخنة </w:t>
            </w:r>
          </w:p>
        </w:tc>
        <w:tc>
          <w:tcPr>
            <w:tcW w:w="488"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62</w:t>
            </w:r>
          </w:p>
        </w:tc>
        <w:tc>
          <w:tcPr>
            <w:tcW w:w="617"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13</w:t>
            </w:r>
          </w:p>
        </w:tc>
        <w:tc>
          <w:tcPr>
            <w:tcW w:w="617"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88</w:t>
            </w:r>
          </w:p>
        </w:tc>
        <w:tc>
          <w:tcPr>
            <w:tcW w:w="792"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22</w:t>
            </w:r>
          </w:p>
        </w:tc>
        <w:tc>
          <w:tcPr>
            <w:tcW w:w="845"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19</w:t>
            </w:r>
          </w:p>
        </w:tc>
      </w:tr>
      <w:tr w:rsidR="00335E4B" w:rsidRPr="00335E4B" w:rsidTr="00D002D1">
        <w:trPr>
          <w:trHeight w:val="20"/>
        </w:trPr>
        <w:tc>
          <w:tcPr>
            <w:tcW w:w="1642"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 xml:space="preserve">المرشحات النسيجية + التنظيف </w:t>
            </w:r>
            <w:r w:rsidRPr="00335E4B">
              <w:rPr>
                <w:rFonts w:cs="Traditional Arabic" w:hint="cs"/>
                <w:sz w:val="20"/>
                <w:szCs w:val="26"/>
                <w:rtl/>
              </w:rPr>
              <w:t>الرطب</w:t>
            </w:r>
            <w:r w:rsidRPr="00335E4B">
              <w:rPr>
                <w:rFonts w:cs="Traditional Arabic"/>
                <w:sz w:val="20"/>
                <w:szCs w:val="26"/>
                <w:rtl/>
              </w:rPr>
              <w:t xml:space="preserve"> </w:t>
            </w:r>
            <w:r w:rsidRPr="00335E4B">
              <w:rPr>
                <w:rFonts w:cs="Traditional Arabic" w:hint="cs"/>
                <w:sz w:val="20"/>
                <w:szCs w:val="26"/>
                <w:rtl/>
              </w:rPr>
              <w:t>لإزالة ا</w:t>
            </w:r>
            <w:r w:rsidRPr="00335E4B">
              <w:rPr>
                <w:rFonts w:cs="Traditional Arabic"/>
                <w:sz w:val="20"/>
                <w:szCs w:val="26"/>
                <w:rtl/>
              </w:rPr>
              <w:t>لكبريت من غاز المدخنة</w:t>
            </w:r>
          </w:p>
        </w:tc>
        <w:tc>
          <w:tcPr>
            <w:tcW w:w="488"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86</w:t>
            </w:r>
          </w:p>
        </w:tc>
        <w:tc>
          <w:tcPr>
            <w:tcW w:w="617"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77</w:t>
            </w:r>
          </w:p>
        </w:tc>
        <w:tc>
          <w:tcPr>
            <w:tcW w:w="617"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97</w:t>
            </w:r>
          </w:p>
        </w:tc>
        <w:tc>
          <w:tcPr>
            <w:tcW w:w="792"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10</w:t>
            </w:r>
          </w:p>
        </w:tc>
        <w:tc>
          <w:tcPr>
            <w:tcW w:w="845"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3</w:t>
            </w:r>
          </w:p>
        </w:tc>
      </w:tr>
      <w:tr w:rsidR="00335E4B" w:rsidRPr="00335E4B" w:rsidTr="00D002D1">
        <w:trPr>
          <w:trHeight w:val="20"/>
        </w:trPr>
        <w:tc>
          <w:tcPr>
            <w:tcW w:w="1642"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 xml:space="preserve">الاختزال الحفزي الانتقائي + المرسبات الكهروستاتيكية + التنظيف </w:t>
            </w:r>
            <w:r w:rsidRPr="00335E4B">
              <w:rPr>
                <w:rFonts w:cs="Traditional Arabic" w:hint="cs"/>
                <w:sz w:val="20"/>
                <w:szCs w:val="26"/>
                <w:rtl/>
              </w:rPr>
              <w:t>الرطب</w:t>
            </w:r>
            <w:r w:rsidRPr="00335E4B">
              <w:rPr>
                <w:rFonts w:cs="Traditional Arabic"/>
                <w:sz w:val="20"/>
                <w:szCs w:val="26"/>
                <w:rtl/>
              </w:rPr>
              <w:t xml:space="preserve"> </w:t>
            </w:r>
            <w:r w:rsidRPr="00335E4B">
              <w:rPr>
                <w:rFonts w:cs="Traditional Arabic" w:hint="cs"/>
                <w:sz w:val="20"/>
                <w:szCs w:val="26"/>
                <w:rtl/>
              </w:rPr>
              <w:t>لإزالة ا</w:t>
            </w:r>
            <w:r w:rsidRPr="00335E4B">
              <w:rPr>
                <w:rFonts w:cs="Traditional Arabic"/>
                <w:sz w:val="20"/>
                <w:szCs w:val="26"/>
                <w:rtl/>
              </w:rPr>
              <w:t>لكبريت من غاز المدخنة</w:t>
            </w:r>
          </w:p>
        </w:tc>
        <w:tc>
          <w:tcPr>
            <w:tcW w:w="488"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69</w:t>
            </w:r>
          </w:p>
        </w:tc>
        <w:tc>
          <w:tcPr>
            <w:tcW w:w="617"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36</w:t>
            </w:r>
          </w:p>
        </w:tc>
        <w:tc>
          <w:tcPr>
            <w:tcW w:w="617"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95</w:t>
            </w:r>
          </w:p>
        </w:tc>
        <w:tc>
          <w:tcPr>
            <w:tcW w:w="792"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24</w:t>
            </w:r>
          </w:p>
        </w:tc>
        <w:tc>
          <w:tcPr>
            <w:tcW w:w="845"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4</w:t>
            </w:r>
          </w:p>
        </w:tc>
      </w:tr>
      <w:tr w:rsidR="00335E4B" w:rsidRPr="00335E4B" w:rsidTr="00D002D1">
        <w:trPr>
          <w:trHeight w:val="20"/>
        </w:trPr>
        <w:tc>
          <w:tcPr>
            <w:tcW w:w="1642"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 xml:space="preserve">الاختزال الحفزي الانتقائي + المرشحات النسيجية + التنظيف </w:t>
            </w:r>
            <w:r w:rsidRPr="00335E4B">
              <w:rPr>
                <w:rFonts w:cs="Traditional Arabic" w:hint="cs"/>
                <w:sz w:val="20"/>
                <w:szCs w:val="26"/>
                <w:rtl/>
              </w:rPr>
              <w:t>الرطب</w:t>
            </w:r>
            <w:r w:rsidRPr="00335E4B">
              <w:rPr>
                <w:rFonts w:cs="Traditional Arabic"/>
                <w:sz w:val="20"/>
                <w:szCs w:val="26"/>
                <w:rtl/>
              </w:rPr>
              <w:t xml:space="preserve"> </w:t>
            </w:r>
            <w:r w:rsidRPr="00335E4B">
              <w:rPr>
                <w:rFonts w:cs="Traditional Arabic" w:hint="cs"/>
                <w:sz w:val="20"/>
                <w:szCs w:val="26"/>
                <w:rtl/>
              </w:rPr>
              <w:t>لإزالة ا</w:t>
            </w:r>
            <w:r w:rsidRPr="00335E4B">
              <w:rPr>
                <w:rFonts w:cs="Traditional Arabic"/>
                <w:sz w:val="20"/>
                <w:szCs w:val="26"/>
                <w:rtl/>
              </w:rPr>
              <w:t>لكبريت من غاز المدخنة</w:t>
            </w:r>
          </w:p>
        </w:tc>
        <w:tc>
          <w:tcPr>
            <w:tcW w:w="488"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93</w:t>
            </w:r>
          </w:p>
        </w:tc>
        <w:tc>
          <w:tcPr>
            <w:tcW w:w="617"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86</w:t>
            </w:r>
          </w:p>
        </w:tc>
        <w:tc>
          <w:tcPr>
            <w:tcW w:w="617"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99</w:t>
            </w:r>
          </w:p>
        </w:tc>
        <w:tc>
          <w:tcPr>
            <w:tcW w:w="792"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9</w:t>
            </w:r>
          </w:p>
        </w:tc>
        <w:tc>
          <w:tcPr>
            <w:tcW w:w="845" w:type="pct"/>
            <w:tcBorders>
              <w:top w:val="nil"/>
              <w:bottom w:val="nil"/>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2</w:t>
            </w:r>
          </w:p>
        </w:tc>
      </w:tr>
      <w:tr w:rsidR="00335E4B" w:rsidRPr="00335E4B" w:rsidTr="00D002D1">
        <w:trPr>
          <w:trHeight w:val="20"/>
        </w:trPr>
        <w:tc>
          <w:tcPr>
            <w:tcW w:w="1642" w:type="pct"/>
            <w:tcBorders>
              <w:top w:val="nil"/>
              <w:bottom w:val="single" w:sz="4" w:space="0" w:color="auto"/>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 xml:space="preserve">المرسبات الكهروستاتيكية الباردة + القاعدة المسيَّلة الدائرية - التنظيف </w:t>
            </w:r>
            <w:r w:rsidRPr="00335E4B">
              <w:rPr>
                <w:rFonts w:cs="Traditional Arabic" w:hint="cs"/>
                <w:sz w:val="20"/>
                <w:szCs w:val="26"/>
                <w:rtl/>
              </w:rPr>
              <w:t>الرطب لإزالة ا</w:t>
            </w:r>
            <w:r w:rsidRPr="00335E4B">
              <w:rPr>
                <w:rFonts w:cs="Traditional Arabic"/>
                <w:sz w:val="20"/>
                <w:szCs w:val="26"/>
                <w:rtl/>
              </w:rPr>
              <w:t xml:space="preserve">لكبريت </w:t>
            </w:r>
            <w:r w:rsidRPr="00335E4B">
              <w:rPr>
                <w:rFonts w:cs="Traditional Arabic" w:hint="cs"/>
                <w:sz w:val="20"/>
                <w:szCs w:val="26"/>
                <w:rtl/>
              </w:rPr>
              <w:t xml:space="preserve">من غاز المدخنة </w:t>
            </w:r>
            <w:r w:rsidRPr="00335E4B">
              <w:rPr>
                <w:rFonts w:cs="Traditional Arabic"/>
                <w:sz w:val="20"/>
                <w:szCs w:val="26"/>
                <w:rtl/>
              </w:rPr>
              <w:t>+ المرشحات النسيجية</w:t>
            </w:r>
          </w:p>
        </w:tc>
        <w:tc>
          <w:tcPr>
            <w:tcW w:w="488" w:type="pct"/>
            <w:tcBorders>
              <w:top w:val="nil"/>
              <w:bottom w:val="single" w:sz="4" w:space="0" w:color="auto"/>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68</w:t>
            </w:r>
          </w:p>
        </w:tc>
        <w:tc>
          <w:tcPr>
            <w:tcW w:w="617" w:type="pct"/>
            <w:tcBorders>
              <w:top w:val="nil"/>
              <w:bottom w:val="single" w:sz="4" w:space="0" w:color="auto"/>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68</w:t>
            </w:r>
          </w:p>
        </w:tc>
        <w:tc>
          <w:tcPr>
            <w:tcW w:w="617" w:type="pct"/>
            <w:tcBorders>
              <w:top w:val="nil"/>
              <w:bottom w:val="single" w:sz="4" w:space="0" w:color="auto"/>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68</w:t>
            </w:r>
          </w:p>
        </w:tc>
        <w:tc>
          <w:tcPr>
            <w:tcW w:w="792" w:type="pct"/>
            <w:tcBorders>
              <w:top w:val="nil"/>
              <w:bottom w:val="single" w:sz="4" w:space="0" w:color="auto"/>
            </w:tcBorders>
            <w:vAlign w:val="center"/>
          </w:tcPr>
          <w:p w:rsidR="00335E4B" w:rsidRPr="00335E4B" w:rsidRDefault="00335E4B" w:rsidP="00335E4B">
            <w:pPr>
              <w:spacing w:line="280" w:lineRule="exact"/>
              <w:jc w:val="both"/>
              <w:rPr>
                <w:rFonts w:eastAsia="SimSun" w:cs="Traditional Arabic"/>
                <w:sz w:val="20"/>
                <w:szCs w:val="26"/>
              </w:rPr>
            </w:pPr>
          </w:p>
        </w:tc>
        <w:tc>
          <w:tcPr>
            <w:tcW w:w="845" w:type="pct"/>
            <w:tcBorders>
              <w:top w:val="nil"/>
              <w:bottom w:val="single" w:sz="4" w:space="0" w:color="auto"/>
            </w:tcBorders>
            <w:vAlign w:val="center"/>
          </w:tcPr>
          <w:p w:rsidR="00335E4B" w:rsidRPr="00335E4B" w:rsidRDefault="00335E4B" w:rsidP="00335E4B">
            <w:pPr>
              <w:spacing w:line="280" w:lineRule="exact"/>
              <w:jc w:val="both"/>
              <w:rPr>
                <w:rFonts w:eastAsia="SimSun" w:cs="Traditional Arabic"/>
                <w:sz w:val="20"/>
                <w:szCs w:val="26"/>
              </w:rPr>
            </w:pPr>
            <w:r w:rsidRPr="00335E4B">
              <w:rPr>
                <w:rFonts w:cs="Traditional Arabic"/>
                <w:sz w:val="20"/>
                <w:szCs w:val="26"/>
                <w:rtl/>
              </w:rPr>
              <w:t>1</w:t>
            </w:r>
          </w:p>
        </w:tc>
      </w:tr>
    </w:tbl>
    <w:p w:rsidR="00335E4B" w:rsidRPr="00335E4B" w:rsidRDefault="00335E4B" w:rsidP="00335E4B">
      <w:pPr>
        <w:spacing w:before="120" w:after="120" w:line="320" w:lineRule="exact"/>
        <w:jc w:val="both"/>
        <w:rPr>
          <w:rFonts w:cs="Traditional Arabic"/>
          <w:sz w:val="20"/>
          <w:szCs w:val="30"/>
          <w:rtl/>
          <w:lang w:bidi="ar-EG"/>
        </w:rPr>
      </w:pPr>
      <w:r w:rsidRPr="00335E4B">
        <w:rPr>
          <w:rFonts w:cs="Traditional Arabic"/>
          <w:sz w:val="26"/>
          <w:szCs w:val="26"/>
          <w:rtl/>
          <w:lang w:bidi="ar-EG"/>
        </w:rPr>
        <w:t xml:space="preserve">ويوضح الجدول 4 أدناه قيم قياس انبعاثات الزئبق لمختلف منشآت الطاقة العاملة بحرق الفحم، التي تم التوصل إليها من خلال المنافع المشتركة لوسائل ضبط التلوث. والأمثلة المختارة في هذا الجدول توضِّح أن تقنيات </w:t>
      </w:r>
      <w:r w:rsidRPr="00335E4B">
        <w:rPr>
          <w:rFonts w:cs="Traditional Arabic" w:hint="cs"/>
          <w:sz w:val="26"/>
          <w:szCs w:val="26"/>
          <w:rtl/>
          <w:lang w:bidi="ar-EG"/>
        </w:rPr>
        <w:t>ال</w:t>
      </w:r>
      <w:r w:rsidRPr="00335E4B">
        <w:rPr>
          <w:rFonts w:cs="Traditional Arabic"/>
          <w:sz w:val="26"/>
          <w:szCs w:val="26"/>
          <w:rtl/>
          <w:lang w:bidi="ar-EG"/>
        </w:rPr>
        <w:t>ضبط</w:t>
      </w:r>
      <w:r w:rsidRPr="00335E4B">
        <w:rPr>
          <w:rFonts w:cs="Traditional Arabic" w:hint="cs"/>
          <w:sz w:val="26"/>
          <w:szCs w:val="26"/>
          <w:rtl/>
          <w:lang w:bidi="ar-EG"/>
        </w:rPr>
        <w:t xml:space="preserve"> ذات</w:t>
      </w:r>
      <w:r w:rsidRPr="00335E4B">
        <w:rPr>
          <w:rFonts w:cs="Traditional Arabic"/>
          <w:sz w:val="26"/>
          <w:szCs w:val="26"/>
          <w:rtl/>
          <w:lang w:bidi="ar-EG"/>
        </w:rPr>
        <w:t xml:space="preserve"> المنافع المشتركة تحقق في بعض الحالات تركيزات منخفضة من الزئبق في غاز المدخنة</w:t>
      </w:r>
      <w:r w:rsidRPr="00335E4B">
        <w:rPr>
          <w:rFonts w:cs="Traditional Arabic"/>
          <w:sz w:val="20"/>
          <w:szCs w:val="30"/>
          <w:rtl/>
          <w:lang w:bidi="ar-EG"/>
        </w:rPr>
        <w:t>.</w:t>
      </w:r>
    </w:p>
    <w:p w:rsidR="00335E4B" w:rsidRPr="00335E4B" w:rsidRDefault="00335E4B" w:rsidP="00335E4B">
      <w:pPr>
        <w:keepNext/>
        <w:spacing w:before="120" w:after="120" w:line="360" w:lineRule="exact"/>
        <w:jc w:val="both"/>
        <w:outlineLvl w:val="0"/>
        <w:rPr>
          <w:rFonts w:cs="Traditional Arabic"/>
          <w:b/>
          <w:bCs/>
          <w:sz w:val="20"/>
          <w:szCs w:val="30"/>
          <w:rtl/>
          <w:lang w:bidi="ar-EG"/>
        </w:rPr>
      </w:pPr>
      <w:bookmarkStart w:id="535" w:name="_Toc440527761"/>
      <w:bookmarkStart w:id="536" w:name="_Toc440550462"/>
      <w:bookmarkStart w:id="537" w:name="_Toc441577719"/>
      <w:bookmarkStart w:id="538" w:name="_Toc441577898"/>
      <w:bookmarkStart w:id="539" w:name="_Toc441579124"/>
      <w:bookmarkStart w:id="540" w:name="_Toc441580732"/>
      <w:bookmarkStart w:id="541" w:name="_Toc441585863"/>
      <w:bookmarkStart w:id="542" w:name="_Toc441586199"/>
      <w:bookmarkStart w:id="543" w:name="_Toc441586649"/>
      <w:bookmarkStart w:id="544" w:name="_Toc441586828"/>
      <w:bookmarkStart w:id="545" w:name="_Toc441666677"/>
      <w:bookmarkStart w:id="546" w:name="_Toc441673738"/>
      <w:r w:rsidRPr="00335E4B">
        <w:rPr>
          <w:rFonts w:cs="Traditional Arabic"/>
          <w:b/>
          <w:bCs/>
          <w:sz w:val="20"/>
          <w:szCs w:val="30"/>
          <w:rtl/>
          <w:lang w:bidi="ar-EG"/>
        </w:rPr>
        <w:t>الجدول 4 - مستويات الانبعاثات المتحققة من خلال تقنيات المنافع المشتركة (بيانات جمعها الفريق العامل للزئبق الصفري، 2015)</w:t>
      </w:r>
      <w:bookmarkEnd w:id="535"/>
      <w:bookmarkEnd w:id="536"/>
      <w:bookmarkEnd w:id="537"/>
      <w:bookmarkEnd w:id="538"/>
      <w:bookmarkEnd w:id="539"/>
      <w:bookmarkEnd w:id="540"/>
      <w:bookmarkEnd w:id="541"/>
      <w:bookmarkEnd w:id="542"/>
      <w:bookmarkEnd w:id="543"/>
      <w:bookmarkEnd w:id="544"/>
      <w:bookmarkEnd w:id="545"/>
      <w:bookmarkEnd w:id="546"/>
    </w:p>
    <w:tbl>
      <w:tblPr>
        <w:bidiVisual/>
        <w:tblW w:w="4889"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265"/>
        <w:gridCol w:w="1132"/>
        <w:gridCol w:w="2125"/>
        <w:gridCol w:w="1274"/>
        <w:gridCol w:w="1700"/>
      </w:tblGrid>
      <w:tr w:rsidR="00335E4B" w:rsidRPr="00335E4B" w:rsidTr="00D002D1">
        <w:trPr>
          <w:trHeight w:val="497"/>
          <w:tblHeader/>
        </w:trPr>
        <w:tc>
          <w:tcPr>
            <w:tcW w:w="1719"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335E4B" w:rsidRPr="00335E4B" w:rsidRDefault="00335E4B" w:rsidP="00335E4B">
            <w:pPr>
              <w:spacing w:line="280" w:lineRule="exact"/>
              <w:jc w:val="both"/>
              <w:rPr>
                <w:rFonts w:eastAsia="SimSun" w:cs="Traditional Arabic"/>
                <w:b/>
                <w:bCs/>
                <w:sz w:val="18"/>
                <w:szCs w:val="26"/>
              </w:rPr>
            </w:pPr>
            <w:r w:rsidRPr="00335E4B">
              <w:rPr>
                <w:rFonts w:cs="Traditional Arabic"/>
                <w:b/>
                <w:bCs/>
                <w:sz w:val="18"/>
                <w:szCs w:val="26"/>
                <w:rtl/>
              </w:rPr>
              <w:t>المنشأة</w:t>
            </w:r>
          </w:p>
        </w:tc>
        <w:tc>
          <w:tcPr>
            <w:tcW w:w="596"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335E4B" w:rsidRPr="00335E4B" w:rsidRDefault="00335E4B" w:rsidP="00335E4B">
            <w:pPr>
              <w:spacing w:line="280" w:lineRule="exact"/>
              <w:jc w:val="center"/>
              <w:rPr>
                <w:rFonts w:eastAsia="SimSun" w:cs="Traditional Arabic"/>
                <w:b/>
                <w:bCs/>
                <w:sz w:val="18"/>
                <w:szCs w:val="26"/>
                <w:lang w:eastAsia="zh-CN"/>
              </w:rPr>
            </w:pPr>
            <w:r w:rsidRPr="00335E4B">
              <w:rPr>
                <w:rFonts w:cs="Traditional Arabic"/>
                <w:b/>
                <w:bCs/>
                <w:sz w:val="18"/>
                <w:szCs w:val="26"/>
                <w:rtl/>
                <w:lang w:eastAsia="zh-CN"/>
              </w:rPr>
              <w:t>نوع الفحم</w:t>
            </w:r>
          </w:p>
        </w:tc>
        <w:tc>
          <w:tcPr>
            <w:tcW w:w="1119"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335E4B" w:rsidRPr="00335E4B" w:rsidRDefault="00335E4B" w:rsidP="00335E4B">
            <w:pPr>
              <w:spacing w:line="280" w:lineRule="exact"/>
              <w:jc w:val="center"/>
              <w:rPr>
                <w:rFonts w:eastAsia="SimSun" w:cs="Traditional Arabic"/>
                <w:b/>
                <w:bCs/>
                <w:sz w:val="18"/>
                <w:szCs w:val="26"/>
                <w:lang w:eastAsia="zh-CN"/>
              </w:rPr>
            </w:pPr>
            <w:r w:rsidRPr="00335E4B">
              <w:rPr>
                <w:rFonts w:cs="Traditional Arabic"/>
                <w:b/>
                <w:bCs/>
                <w:sz w:val="18"/>
                <w:szCs w:val="26"/>
                <w:rtl/>
                <w:lang w:eastAsia="zh-CN"/>
              </w:rPr>
              <w:t>مستوى الانبعاثات (مغ/متر عادي</w:t>
            </w:r>
            <w:r w:rsidRPr="00335E4B">
              <w:rPr>
                <w:rFonts w:cs="Traditional Arabic"/>
                <w:b/>
                <w:bCs/>
                <w:sz w:val="18"/>
                <w:szCs w:val="26"/>
                <w:vertAlign w:val="superscript"/>
                <w:rtl/>
                <w:lang w:eastAsia="zh-CN"/>
              </w:rPr>
              <w:t>3</w:t>
            </w:r>
            <w:r w:rsidRPr="00335E4B">
              <w:rPr>
                <w:rFonts w:cs="Traditional Arabic"/>
                <w:b/>
                <w:bCs/>
                <w:sz w:val="18"/>
                <w:szCs w:val="26"/>
                <w:rtl/>
                <w:lang w:eastAsia="zh-CN"/>
              </w:rPr>
              <w:t xml:space="preserve">) (التسوية إلى 6% من محتوى </w:t>
            </w:r>
            <w:r w:rsidRPr="00335E4B">
              <w:rPr>
                <w:rFonts w:eastAsia="SimSun" w:cs="Traditional Arabic"/>
                <w:sz w:val="18"/>
                <w:szCs w:val="26"/>
                <w:lang w:eastAsia="zh-CN"/>
              </w:rPr>
              <w:t>O</w:t>
            </w:r>
            <w:r w:rsidRPr="00335E4B">
              <w:rPr>
                <w:rFonts w:eastAsia="SimSun" w:cs="Traditional Arabic"/>
                <w:sz w:val="18"/>
                <w:szCs w:val="26"/>
                <w:vertAlign w:val="subscript"/>
                <w:lang w:eastAsia="zh-CN"/>
              </w:rPr>
              <w:t>2</w:t>
            </w:r>
            <w:r w:rsidRPr="00335E4B">
              <w:rPr>
                <w:rFonts w:cs="Traditional Arabic"/>
                <w:b/>
                <w:bCs/>
                <w:sz w:val="18"/>
                <w:szCs w:val="26"/>
                <w:rtl/>
                <w:lang w:eastAsia="zh-CN"/>
              </w:rPr>
              <w:t>)</w:t>
            </w:r>
          </w:p>
        </w:tc>
        <w:tc>
          <w:tcPr>
            <w:tcW w:w="671"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335E4B" w:rsidRPr="00335E4B" w:rsidRDefault="00335E4B" w:rsidP="00335E4B">
            <w:pPr>
              <w:spacing w:line="280" w:lineRule="exact"/>
              <w:jc w:val="center"/>
              <w:rPr>
                <w:rFonts w:eastAsia="SimSun" w:cs="Traditional Arabic"/>
                <w:b/>
                <w:bCs/>
                <w:sz w:val="18"/>
                <w:szCs w:val="26"/>
              </w:rPr>
            </w:pPr>
            <w:r w:rsidRPr="00335E4B">
              <w:rPr>
                <w:rFonts w:cs="Traditional Arabic"/>
                <w:b/>
                <w:bCs/>
                <w:sz w:val="18"/>
                <w:szCs w:val="26"/>
                <w:rtl/>
              </w:rPr>
              <w:t xml:space="preserve">حجم </w:t>
            </w:r>
            <w:r w:rsidRPr="00335E4B">
              <w:rPr>
                <w:rFonts w:cs="Traditional Arabic" w:hint="cs"/>
                <w:b/>
                <w:bCs/>
                <w:sz w:val="18"/>
                <w:szCs w:val="26"/>
                <w:rtl/>
              </w:rPr>
              <w:t>المرجَل</w:t>
            </w:r>
            <w:r w:rsidRPr="00335E4B">
              <w:rPr>
                <w:rFonts w:cs="Traditional Arabic"/>
                <w:b/>
                <w:bCs/>
                <w:sz w:val="18"/>
                <w:szCs w:val="26"/>
                <w:rtl/>
              </w:rPr>
              <w:t xml:space="preserve"> (ميغاواط حراري)</w:t>
            </w:r>
          </w:p>
        </w:tc>
        <w:tc>
          <w:tcPr>
            <w:tcW w:w="895"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335E4B" w:rsidRPr="00335E4B" w:rsidRDefault="00335E4B" w:rsidP="00335E4B">
            <w:pPr>
              <w:spacing w:line="280" w:lineRule="exact"/>
              <w:jc w:val="center"/>
              <w:rPr>
                <w:rFonts w:eastAsia="SimSun" w:cs="Traditional Arabic"/>
                <w:b/>
                <w:bCs/>
                <w:sz w:val="18"/>
                <w:szCs w:val="26"/>
                <w:lang w:eastAsia="zh-CN"/>
              </w:rPr>
            </w:pPr>
            <w:r w:rsidRPr="00335E4B">
              <w:rPr>
                <w:rFonts w:cs="Traditional Arabic"/>
                <w:b/>
                <w:bCs/>
                <w:sz w:val="18"/>
                <w:szCs w:val="26"/>
                <w:rtl/>
                <w:lang w:eastAsia="zh-CN"/>
              </w:rPr>
              <w:t>تقنية معالجة غاز المدخنة</w:t>
            </w:r>
          </w:p>
        </w:tc>
      </w:tr>
      <w:tr w:rsidR="00335E4B" w:rsidRPr="00335E4B" w:rsidTr="00D002D1">
        <w:tc>
          <w:tcPr>
            <w:tcW w:w="17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cs="Traditional Arabic"/>
                <w:sz w:val="18"/>
                <w:szCs w:val="26"/>
                <w:lang w:eastAsia="zh-CN" w:bidi="ar-EG"/>
              </w:rPr>
            </w:pPr>
            <w:r w:rsidRPr="00335E4B">
              <w:rPr>
                <w:rFonts w:eastAsia="SimSun" w:cs="Traditional Arabic"/>
                <w:sz w:val="18"/>
                <w:szCs w:val="26"/>
              </w:rPr>
              <w:t xml:space="preserve"> Federico II </w:t>
            </w:r>
            <w:r w:rsidRPr="00335E4B">
              <w:rPr>
                <w:rFonts w:cs="Traditional Arabic"/>
                <w:sz w:val="18"/>
                <w:szCs w:val="26"/>
                <w:rtl/>
                <w:lang w:eastAsia="zh-CN" w:bidi="ar-EG"/>
              </w:rPr>
              <w:t>-</w:t>
            </w:r>
            <w:r w:rsidRPr="00335E4B">
              <w:rPr>
                <w:rFonts w:cs="Traditional Arabic"/>
                <w:sz w:val="18"/>
                <w:szCs w:val="26"/>
                <w:lang w:eastAsia="zh-CN" w:bidi="ar-EG"/>
              </w:rPr>
              <w:t xml:space="preserve"> </w:t>
            </w:r>
            <w:r w:rsidRPr="00335E4B">
              <w:rPr>
                <w:rFonts w:cs="Traditional Arabic"/>
                <w:sz w:val="18"/>
                <w:szCs w:val="26"/>
                <w:rtl/>
                <w:lang w:eastAsia="zh-CN" w:bidi="ar-EG"/>
              </w:rPr>
              <w:t>برينديسي، إيطاليا</w:t>
            </w:r>
          </w:p>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eastAsia="SimSun" w:cs="Traditional Arabic"/>
                <w:sz w:val="18"/>
                <w:szCs w:val="26"/>
                <w:lang w:eastAsia="zh-CN"/>
              </w:rPr>
            </w:pPr>
            <w:r w:rsidRPr="00335E4B">
              <w:rPr>
                <w:rFonts w:cs="Traditional Arabic"/>
                <w:sz w:val="18"/>
                <w:szCs w:val="26"/>
                <w:rtl/>
                <w:lang w:eastAsia="zh-CN"/>
              </w:rPr>
              <w:t>فحم صلب</w:t>
            </w:r>
          </w:p>
        </w:tc>
        <w:tc>
          <w:tcPr>
            <w:tcW w:w="11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457"/>
              <w:jc w:val="both"/>
              <w:rPr>
                <w:rFonts w:eastAsia="SimSun" w:cs="Traditional Arabic"/>
                <w:sz w:val="18"/>
                <w:szCs w:val="26"/>
              </w:rPr>
            </w:pPr>
            <w:r w:rsidRPr="00335E4B">
              <w:rPr>
                <w:rFonts w:cs="Traditional Arabic"/>
                <w:sz w:val="18"/>
                <w:szCs w:val="26"/>
                <w:rtl/>
              </w:rPr>
              <w:t>0</w:t>
            </w:r>
            <w:r w:rsidRPr="00335E4B">
              <w:rPr>
                <w:rFonts w:cs="Traditional Arabic" w:hint="cs"/>
                <w:sz w:val="18"/>
                <w:szCs w:val="26"/>
                <w:rtl/>
              </w:rPr>
              <w:t>,</w:t>
            </w:r>
            <w:r w:rsidRPr="00335E4B">
              <w:rPr>
                <w:rFonts w:cs="Traditional Arabic"/>
                <w:sz w:val="18"/>
                <w:szCs w:val="26"/>
                <w:rtl/>
              </w:rPr>
              <w:t>69</w:t>
            </w:r>
          </w:p>
        </w:tc>
        <w:tc>
          <w:tcPr>
            <w:tcW w:w="6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317"/>
              <w:jc w:val="both"/>
              <w:rPr>
                <w:rFonts w:eastAsia="SimSun" w:cs="Traditional Arabic"/>
                <w:sz w:val="18"/>
                <w:szCs w:val="26"/>
              </w:rPr>
            </w:pPr>
            <w:r w:rsidRPr="00335E4B">
              <w:rPr>
                <w:rFonts w:cs="Traditional Arabic"/>
                <w:sz w:val="18"/>
                <w:szCs w:val="26"/>
                <w:rtl/>
              </w:rPr>
              <w:t>700 1</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bidi w:val="0"/>
              <w:spacing w:line="280" w:lineRule="exact"/>
              <w:jc w:val="both"/>
              <w:rPr>
                <w:rFonts w:eastAsia="SimSun" w:cs="Traditional Arabic"/>
                <w:sz w:val="18"/>
                <w:szCs w:val="26"/>
              </w:rPr>
            </w:pPr>
            <w:r w:rsidRPr="00335E4B">
              <w:rPr>
                <w:rFonts w:eastAsia="SimSun" w:cs="Traditional Arabic"/>
                <w:sz w:val="18"/>
                <w:szCs w:val="26"/>
              </w:rPr>
              <w:t>ESP+SCR+wFGD</w:t>
            </w:r>
          </w:p>
        </w:tc>
      </w:tr>
      <w:tr w:rsidR="00335E4B" w:rsidRPr="00335E4B" w:rsidTr="00D002D1">
        <w:tc>
          <w:tcPr>
            <w:tcW w:w="17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cs="Traditional Arabic"/>
                <w:sz w:val="18"/>
                <w:szCs w:val="26"/>
                <w:lang w:bidi="ar-EG"/>
              </w:rPr>
            </w:pPr>
            <w:r w:rsidRPr="00335E4B">
              <w:rPr>
                <w:rFonts w:eastAsia="SimSun" w:cs="Traditional Arabic"/>
                <w:sz w:val="18"/>
                <w:szCs w:val="26"/>
              </w:rPr>
              <w:t>Torrevaldaliga Nord</w:t>
            </w:r>
            <w:r w:rsidRPr="00335E4B">
              <w:rPr>
                <w:rFonts w:cs="Traditional Arabic"/>
                <w:sz w:val="18"/>
                <w:szCs w:val="26"/>
                <w:rtl/>
                <w:lang w:eastAsia="zh-CN" w:bidi="ar-EG"/>
              </w:rPr>
              <w:t>، إيطاليا</w:t>
            </w:r>
          </w:p>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eastAsia="SimSun" w:cs="Traditional Arabic"/>
                <w:sz w:val="18"/>
                <w:szCs w:val="26"/>
                <w:lang w:eastAsia="zh-CN"/>
              </w:rPr>
            </w:pPr>
            <w:r w:rsidRPr="00335E4B">
              <w:rPr>
                <w:rFonts w:cs="Traditional Arabic"/>
                <w:sz w:val="18"/>
                <w:szCs w:val="26"/>
                <w:rtl/>
                <w:lang w:eastAsia="zh-CN"/>
              </w:rPr>
              <w:t>فحم صلب</w:t>
            </w:r>
          </w:p>
        </w:tc>
        <w:tc>
          <w:tcPr>
            <w:tcW w:w="11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457"/>
              <w:jc w:val="both"/>
              <w:rPr>
                <w:rFonts w:eastAsia="SimSun" w:cs="Traditional Arabic"/>
                <w:sz w:val="18"/>
                <w:szCs w:val="26"/>
                <w:lang w:eastAsia="zh-CN"/>
              </w:rPr>
            </w:pPr>
            <w:r w:rsidRPr="00335E4B">
              <w:rPr>
                <w:rFonts w:cs="Traditional Arabic"/>
                <w:sz w:val="18"/>
                <w:szCs w:val="26"/>
                <w:rtl/>
              </w:rPr>
              <w:t>0</w:t>
            </w:r>
            <w:r w:rsidRPr="00335E4B">
              <w:rPr>
                <w:rFonts w:cs="Traditional Arabic" w:hint="cs"/>
                <w:sz w:val="18"/>
                <w:szCs w:val="26"/>
                <w:rtl/>
              </w:rPr>
              <w:t>,</w:t>
            </w:r>
            <w:r w:rsidRPr="00335E4B">
              <w:rPr>
                <w:rFonts w:cs="Traditional Arabic"/>
                <w:sz w:val="18"/>
                <w:szCs w:val="26"/>
                <w:rtl/>
              </w:rPr>
              <w:t>99</w:t>
            </w:r>
          </w:p>
        </w:tc>
        <w:tc>
          <w:tcPr>
            <w:tcW w:w="6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317"/>
              <w:jc w:val="both"/>
              <w:rPr>
                <w:rFonts w:eastAsia="SimSun" w:cs="Traditional Arabic"/>
                <w:sz w:val="18"/>
                <w:szCs w:val="26"/>
              </w:rPr>
            </w:pPr>
            <w:r w:rsidRPr="00335E4B">
              <w:rPr>
                <w:rFonts w:cs="Traditional Arabic"/>
                <w:sz w:val="18"/>
                <w:szCs w:val="26"/>
                <w:rtl/>
              </w:rPr>
              <w:t>420 1</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bidi w:val="0"/>
              <w:spacing w:line="280" w:lineRule="exact"/>
              <w:jc w:val="both"/>
              <w:rPr>
                <w:rFonts w:eastAsia="SimSun" w:cs="Traditional Arabic"/>
                <w:sz w:val="18"/>
                <w:szCs w:val="26"/>
              </w:rPr>
            </w:pPr>
            <w:r w:rsidRPr="00335E4B">
              <w:rPr>
                <w:rFonts w:eastAsia="SimSun" w:cs="Traditional Arabic"/>
                <w:sz w:val="18"/>
                <w:szCs w:val="26"/>
              </w:rPr>
              <w:t>FF+SCR+wFGD</w:t>
            </w:r>
          </w:p>
        </w:tc>
      </w:tr>
      <w:tr w:rsidR="00335E4B" w:rsidRPr="00335E4B" w:rsidTr="00D002D1">
        <w:tc>
          <w:tcPr>
            <w:tcW w:w="17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cs="Traditional Arabic"/>
                <w:sz w:val="18"/>
                <w:szCs w:val="26"/>
                <w:lang w:val="it-IT" w:bidi="ar-EG"/>
              </w:rPr>
            </w:pPr>
            <w:r w:rsidRPr="00335E4B">
              <w:rPr>
                <w:rFonts w:eastAsia="SimSun" w:cs="Traditional Arabic"/>
                <w:sz w:val="18"/>
                <w:szCs w:val="26"/>
                <w:lang w:val="it-IT"/>
              </w:rPr>
              <w:t>Impianto termoelettrico di Fusina</w:t>
            </w:r>
            <w:r w:rsidRPr="00335E4B">
              <w:rPr>
                <w:rFonts w:cs="Traditional Arabic"/>
                <w:sz w:val="18"/>
                <w:szCs w:val="26"/>
                <w:rtl/>
                <w:lang w:val="it-IT" w:bidi="ar-EG"/>
              </w:rPr>
              <w:t>، إيطاليا</w:t>
            </w:r>
          </w:p>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eastAsia="SimSun" w:cs="Traditional Arabic"/>
                <w:sz w:val="18"/>
                <w:szCs w:val="26"/>
                <w:lang w:eastAsia="zh-CN"/>
              </w:rPr>
            </w:pPr>
            <w:r w:rsidRPr="00335E4B">
              <w:rPr>
                <w:rFonts w:cs="Traditional Arabic"/>
                <w:sz w:val="18"/>
                <w:szCs w:val="26"/>
                <w:rtl/>
                <w:lang w:eastAsia="zh-CN"/>
              </w:rPr>
              <w:t>فحم صلب</w:t>
            </w:r>
          </w:p>
        </w:tc>
        <w:tc>
          <w:tcPr>
            <w:tcW w:w="11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457"/>
              <w:jc w:val="both"/>
              <w:rPr>
                <w:rFonts w:eastAsia="SimSun" w:cs="Traditional Arabic"/>
                <w:sz w:val="18"/>
                <w:szCs w:val="26"/>
              </w:rPr>
            </w:pPr>
            <w:r w:rsidRPr="00335E4B">
              <w:rPr>
                <w:rFonts w:cs="Traditional Arabic"/>
                <w:sz w:val="18"/>
                <w:szCs w:val="26"/>
                <w:rtl/>
              </w:rPr>
              <w:t>0</w:t>
            </w:r>
            <w:r w:rsidRPr="00335E4B">
              <w:rPr>
                <w:rFonts w:cs="Traditional Arabic" w:hint="cs"/>
                <w:sz w:val="18"/>
                <w:szCs w:val="26"/>
                <w:rtl/>
              </w:rPr>
              <w:t>,</w:t>
            </w:r>
            <w:r w:rsidRPr="00335E4B">
              <w:rPr>
                <w:rFonts w:cs="Traditional Arabic"/>
                <w:sz w:val="18"/>
                <w:szCs w:val="26"/>
                <w:rtl/>
              </w:rPr>
              <w:t>8</w:t>
            </w:r>
          </w:p>
        </w:tc>
        <w:tc>
          <w:tcPr>
            <w:tcW w:w="6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317"/>
              <w:jc w:val="both"/>
              <w:rPr>
                <w:rFonts w:eastAsia="SimSun" w:cs="Traditional Arabic"/>
                <w:sz w:val="18"/>
                <w:szCs w:val="26"/>
              </w:rPr>
            </w:pPr>
            <w:r w:rsidRPr="00335E4B">
              <w:rPr>
                <w:rFonts w:cs="Traditional Arabic"/>
                <w:sz w:val="18"/>
                <w:szCs w:val="26"/>
                <w:rtl/>
              </w:rPr>
              <w:t>431</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bidi w:val="0"/>
              <w:spacing w:line="280" w:lineRule="exact"/>
              <w:jc w:val="both"/>
              <w:rPr>
                <w:rFonts w:eastAsia="SimSun" w:cs="Traditional Arabic"/>
                <w:sz w:val="18"/>
                <w:szCs w:val="26"/>
              </w:rPr>
            </w:pPr>
            <w:r w:rsidRPr="00335E4B">
              <w:rPr>
                <w:rFonts w:eastAsia="SimSun" w:cs="Traditional Arabic"/>
                <w:sz w:val="18"/>
                <w:szCs w:val="26"/>
              </w:rPr>
              <w:t>FF+SCR+wFGD</w:t>
            </w:r>
          </w:p>
        </w:tc>
      </w:tr>
      <w:tr w:rsidR="00335E4B" w:rsidRPr="00335E4B" w:rsidTr="00D002D1">
        <w:tc>
          <w:tcPr>
            <w:tcW w:w="17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cs="Traditional Arabic"/>
                <w:sz w:val="18"/>
                <w:szCs w:val="26"/>
                <w:lang w:eastAsia="zh-CN" w:bidi="ar-EG"/>
              </w:rPr>
            </w:pPr>
            <w:r w:rsidRPr="00335E4B">
              <w:rPr>
                <w:rFonts w:eastAsia="SimSun" w:cs="Traditional Arabic"/>
                <w:sz w:val="18"/>
                <w:szCs w:val="26"/>
              </w:rPr>
              <w:t>Heyden</w:t>
            </w:r>
            <w:r w:rsidRPr="00335E4B">
              <w:rPr>
                <w:rFonts w:cs="Traditional Arabic"/>
                <w:sz w:val="18"/>
                <w:szCs w:val="26"/>
                <w:rtl/>
                <w:lang w:eastAsia="zh-CN" w:bidi="ar-EG"/>
              </w:rPr>
              <w:t>، ألمانيا</w:t>
            </w:r>
          </w:p>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eastAsia="SimSun" w:cs="Traditional Arabic"/>
                <w:sz w:val="18"/>
                <w:szCs w:val="26"/>
                <w:lang w:eastAsia="zh-CN"/>
              </w:rPr>
            </w:pPr>
            <w:r w:rsidRPr="00335E4B">
              <w:rPr>
                <w:rFonts w:cs="Traditional Arabic"/>
                <w:sz w:val="18"/>
                <w:szCs w:val="26"/>
                <w:rtl/>
                <w:lang w:eastAsia="zh-CN"/>
              </w:rPr>
              <w:t>فحم صلب</w:t>
            </w:r>
          </w:p>
        </w:tc>
        <w:tc>
          <w:tcPr>
            <w:tcW w:w="11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457"/>
              <w:jc w:val="both"/>
              <w:rPr>
                <w:rFonts w:eastAsia="SimSun" w:cs="Traditional Arabic"/>
                <w:sz w:val="18"/>
                <w:szCs w:val="26"/>
              </w:rPr>
            </w:pPr>
            <w:r w:rsidRPr="00335E4B">
              <w:rPr>
                <w:rFonts w:cs="Traditional Arabic"/>
                <w:sz w:val="18"/>
                <w:szCs w:val="26"/>
                <w:rtl/>
              </w:rPr>
              <w:t>0</w:t>
            </w:r>
            <w:r w:rsidRPr="00335E4B">
              <w:rPr>
                <w:rFonts w:cs="Traditional Arabic" w:hint="cs"/>
                <w:sz w:val="18"/>
                <w:szCs w:val="26"/>
                <w:rtl/>
              </w:rPr>
              <w:t>,</w:t>
            </w:r>
            <w:r w:rsidRPr="00335E4B">
              <w:rPr>
                <w:rFonts w:cs="Traditional Arabic"/>
                <w:sz w:val="18"/>
                <w:szCs w:val="26"/>
                <w:rtl/>
              </w:rPr>
              <w:t>5</w:t>
            </w:r>
          </w:p>
        </w:tc>
        <w:tc>
          <w:tcPr>
            <w:tcW w:w="6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317"/>
              <w:jc w:val="both"/>
              <w:rPr>
                <w:rFonts w:eastAsia="SimSun" w:cs="Traditional Arabic"/>
                <w:sz w:val="18"/>
                <w:szCs w:val="26"/>
              </w:rPr>
            </w:pPr>
            <w:r w:rsidRPr="00335E4B">
              <w:rPr>
                <w:rFonts w:cs="Traditional Arabic"/>
                <w:sz w:val="18"/>
                <w:szCs w:val="26"/>
                <w:rtl/>
              </w:rPr>
              <w:t>150 2</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bidi w:val="0"/>
              <w:spacing w:line="280" w:lineRule="exact"/>
              <w:jc w:val="both"/>
              <w:rPr>
                <w:rFonts w:eastAsia="SimSun" w:cs="Traditional Arabic"/>
                <w:sz w:val="18"/>
                <w:szCs w:val="26"/>
              </w:rPr>
            </w:pPr>
            <w:r w:rsidRPr="00335E4B">
              <w:rPr>
                <w:rFonts w:eastAsia="SimSun" w:cs="Traditional Arabic"/>
                <w:sz w:val="18"/>
                <w:szCs w:val="26"/>
              </w:rPr>
              <w:t>ESP+SCR+wFGD</w:t>
            </w:r>
          </w:p>
        </w:tc>
      </w:tr>
      <w:tr w:rsidR="00335E4B" w:rsidRPr="00335E4B" w:rsidTr="00D002D1">
        <w:tc>
          <w:tcPr>
            <w:tcW w:w="17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cs="Traditional Arabic"/>
                <w:sz w:val="18"/>
                <w:szCs w:val="26"/>
                <w:lang w:bidi="ar-EG"/>
              </w:rPr>
            </w:pPr>
            <w:r w:rsidRPr="00335E4B">
              <w:rPr>
                <w:rFonts w:eastAsia="SimSun" w:cs="Traditional Arabic"/>
                <w:sz w:val="18"/>
                <w:szCs w:val="26"/>
              </w:rPr>
              <w:t>FHKW Mellach</w:t>
            </w:r>
            <w:r w:rsidRPr="00335E4B">
              <w:rPr>
                <w:rFonts w:cs="Traditional Arabic"/>
                <w:sz w:val="18"/>
                <w:szCs w:val="26"/>
                <w:rtl/>
                <w:lang w:bidi="ar-EG"/>
              </w:rPr>
              <w:t>، النمسا</w:t>
            </w:r>
          </w:p>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eastAsia="SimSun" w:cs="Traditional Arabic"/>
                <w:sz w:val="18"/>
                <w:szCs w:val="26"/>
                <w:lang w:eastAsia="zh-CN"/>
              </w:rPr>
            </w:pPr>
            <w:r w:rsidRPr="00335E4B">
              <w:rPr>
                <w:rFonts w:cs="Traditional Arabic"/>
                <w:sz w:val="18"/>
                <w:szCs w:val="26"/>
                <w:rtl/>
                <w:lang w:eastAsia="zh-CN"/>
              </w:rPr>
              <w:t>فحم صلب</w:t>
            </w:r>
          </w:p>
        </w:tc>
        <w:tc>
          <w:tcPr>
            <w:tcW w:w="11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457"/>
              <w:jc w:val="both"/>
              <w:rPr>
                <w:rFonts w:eastAsia="SimSun" w:cs="Traditional Arabic"/>
                <w:sz w:val="18"/>
                <w:szCs w:val="26"/>
              </w:rPr>
            </w:pPr>
            <w:r w:rsidRPr="00335E4B">
              <w:rPr>
                <w:rFonts w:cs="Traditional Arabic"/>
                <w:sz w:val="18"/>
                <w:szCs w:val="26"/>
                <w:rtl/>
              </w:rPr>
              <w:t>0</w:t>
            </w:r>
            <w:r w:rsidRPr="00335E4B">
              <w:rPr>
                <w:rFonts w:cs="Traditional Arabic" w:hint="cs"/>
                <w:sz w:val="18"/>
                <w:szCs w:val="26"/>
                <w:rtl/>
              </w:rPr>
              <w:t>,</w:t>
            </w:r>
            <w:r w:rsidRPr="00335E4B">
              <w:rPr>
                <w:rFonts w:cs="Traditional Arabic"/>
                <w:sz w:val="18"/>
                <w:szCs w:val="26"/>
                <w:rtl/>
              </w:rPr>
              <w:t>5</w:t>
            </w:r>
          </w:p>
        </w:tc>
        <w:tc>
          <w:tcPr>
            <w:tcW w:w="6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317"/>
              <w:jc w:val="both"/>
              <w:rPr>
                <w:rFonts w:eastAsia="SimSun" w:cs="Traditional Arabic"/>
                <w:sz w:val="18"/>
                <w:szCs w:val="26"/>
              </w:rPr>
            </w:pPr>
            <w:r w:rsidRPr="00335E4B">
              <w:rPr>
                <w:rFonts w:cs="Traditional Arabic"/>
                <w:sz w:val="18"/>
                <w:szCs w:val="26"/>
                <w:rtl/>
              </w:rPr>
              <w:t>543</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bidi w:val="0"/>
              <w:spacing w:line="280" w:lineRule="exact"/>
              <w:jc w:val="both"/>
              <w:rPr>
                <w:rFonts w:eastAsia="SimSun" w:cs="Traditional Arabic"/>
                <w:sz w:val="18"/>
                <w:szCs w:val="26"/>
                <w:lang w:bidi="ar-EG"/>
              </w:rPr>
            </w:pPr>
            <w:r w:rsidRPr="00335E4B">
              <w:rPr>
                <w:rFonts w:eastAsia="SimSun" w:cs="Traditional Arabic"/>
                <w:sz w:val="18"/>
                <w:szCs w:val="26"/>
              </w:rPr>
              <w:t>FF+SCR+wFGD</w:t>
            </w:r>
          </w:p>
        </w:tc>
      </w:tr>
      <w:tr w:rsidR="00335E4B" w:rsidRPr="00335E4B" w:rsidTr="00D002D1">
        <w:tc>
          <w:tcPr>
            <w:tcW w:w="17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cs="Traditional Arabic"/>
                <w:sz w:val="18"/>
                <w:szCs w:val="26"/>
                <w:lang w:val="de-CH" w:bidi="ar-EG"/>
              </w:rPr>
            </w:pPr>
            <w:r w:rsidRPr="00335E4B">
              <w:rPr>
                <w:rFonts w:eastAsia="SimSun" w:cs="Traditional Arabic"/>
                <w:sz w:val="18"/>
                <w:szCs w:val="26"/>
                <w:lang w:val="de-CH"/>
              </w:rPr>
              <w:t>Brindisi BR III &amp; BR II</w:t>
            </w:r>
            <w:r w:rsidRPr="00335E4B">
              <w:rPr>
                <w:rFonts w:cs="Traditional Arabic"/>
                <w:sz w:val="18"/>
                <w:szCs w:val="26"/>
                <w:rtl/>
                <w:lang w:val="de-CH" w:bidi="ar-EG"/>
              </w:rPr>
              <w:t>، إيطاليا</w:t>
            </w:r>
          </w:p>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eastAsia="SimSun" w:cs="Traditional Arabic"/>
                <w:sz w:val="18"/>
                <w:szCs w:val="26"/>
                <w:lang w:eastAsia="zh-CN"/>
              </w:rPr>
            </w:pPr>
            <w:r w:rsidRPr="00335E4B">
              <w:rPr>
                <w:rFonts w:cs="Traditional Arabic"/>
                <w:sz w:val="18"/>
                <w:szCs w:val="26"/>
                <w:rtl/>
                <w:lang w:eastAsia="zh-CN"/>
              </w:rPr>
              <w:t>فحم صلب</w:t>
            </w:r>
          </w:p>
        </w:tc>
        <w:tc>
          <w:tcPr>
            <w:tcW w:w="11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457"/>
              <w:jc w:val="both"/>
              <w:rPr>
                <w:rFonts w:eastAsia="SimSun" w:cs="Traditional Arabic"/>
                <w:sz w:val="18"/>
                <w:szCs w:val="26"/>
              </w:rPr>
            </w:pPr>
            <w:r w:rsidRPr="00335E4B">
              <w:rPr>
                <w:rFonts w:cs="Traditional Arabic"/>
                <w:sz w:val="18"/>
                <w:szCs w:val="26"/>
                <w:rtl/>
              </w:rPr>
              <w:t>0</w:t>
            </w:r>
            <w:r w:rsidRPr="00335E4B">
              <w:rPr>
                <w:rFonts w:cs="Traditional Arabic" w:hint="cs"/>
                <w:sz w:val="18"/>
                <w:szCs w:val="26"/>
                <w:rtl/>
              </w:rPr>
              <w:t>,</w:t>
            </w:r>
            <w:r w:rsidRPr="00335E4B">
              <w:rPr>
                <w:rFonts w:cs="Traditional Arabic"/>
                <w:sz w:val="18"/>
                <w:szCs w:val="26"/>
                <w:rtl/>
              </w:rPr>
              <w:t>5</w:t>
            </w:r>
          </w:p>
        </w:tc>
        <w:tc>
          <w:tcPr>
            <w:tcW w:w="6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317"/>
              <w:jc w:val="both"/>
              <w:rPr>
                <w:rFonts w:eastAsia="SimSun" w:cs="Traditional Arabic"/>
                <w:sz w:val="18"/>
                <w:szCs w:val="26"/>
              </w:rPr>
            </w:pPr>
            <w:r w:rsidRPr="00335E4B">
              <w:rPr>
                <w:rFonts w:cs="Traditional Arabic"/>
                <w:sz w:val="18"/>
                <w:szCs w:val="26"/>
                <w:rtl/>
              </w:rPr>
              <w:t>857</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bidi w:val="0"/>
              <w:spacing w:line="280" w:lineRule="exact"/>
              <w:jc w:val="both"/>
              <w:rPr>
                <w:rFonts w:eastAsia="SimSun" w:cs="Traditional Arabic"/>
                <w:sz w:val="18"/>
                <w:szCs w:val="26"/>
              </w:rPr>
            </w:pPr>
            <w:r w:rsidRPr="00335E4B">
              <w:rPr>
                <w:rFonts w:eastAsia="SimSun" w:cs="Traditional Arabic"/>
                <w:sz w:val="18"/>
                <w:szCs w:val="26"/>
              </w:rPr>
              <w:t>ESP+SCR</w:t>
            </w:r>
          </w:p>
        </w:tc>
      </w:tr>
      <w:tr w:rsidR="00335E4B" w:rsidRPr="00335E4B" w:rsidTr="00D002D1">
        <w:tc>
          <w:tcPr>
            <w:tcW w:w="17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cs="Traditional Arabic"/>
                <w:sz w:val="18"/>
                <w:szCs w:val="26"/>
                <w:lang w:bidi="ar-EG"/>
              </w:rPr>
            </w:pPr>
            <w:r w:rsidRPr="00335E4B">
              <w:rPr>
                <w:rFonts w:eastAsia="SimSun" w:cs="Traditional Arabic"/>
                <w:sz w:val="18"/>
                <w:szCs w:val="26"/>
              </w:rPr>
              <w:t>Krefeld, Currenta</w:t>
            </w:r>
            <w:r w:rsidRPr="00335E4B">
              <w:rPr>
                <w:rFonts w:cs="Traditional Arabic"/>
                <w:sz w:val="18"/>
                <w:szCs w:val="26"/>
                <w:rtl/>
                <w:lang w:bidi="ar-EG"/>
              </w:rPr>
              <w:t>، ألمانيا (</w:t>
            </w:r>
            <w:r w:rsidRPr="00335E4B">
              <w:rPr>
                <w:rFonts w:cs="Traditional Arabic" w:hint="cs"/>
                <w:sz w:val="18"/>
                <w:szCs w:val="26"/>
                <w:rtl/>
                <w:lang w:bidi="ar-EG"/>
              </w:rPr>
              <w:t>مرجل صناعي</w:t>
            </w:r>
            <w:r w:rsidRPr="00335E4B">
              <w:rPr>
                <w:rFonts w:cs="Traditional Arabic"/>
                <w:sz w:val="18"/>
                <w:szCs w:val="26"/>
                <w:rtl/>
                <w:lang w:bidi="ar-EG"/>
              </w:rPr>
              <w:t>)</w:t>
            </w:r>
          </w:p>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eastAsia="SimSun" w:cs="Traditional Arabic"/>
                <w:sz w:val="18"/>
                <w:szCs w:val="26"/>
                <w:lang w:eastAsia="zh-CN"/>
              </w:rPr>
            </w:pPr>
            <w:r w:rsidRPr="00335E4B">
              <w:rPr>
                <w:rFonts w:cs="Traditional Arabic"/>
                <w:sz w:val="18"/>
                <w:szCs w:val="26"/>
                <w:rtl/>
                <w:lang w:eastAsia="zh-CN"/>
              </w:rPr>
              <w:t>فحم صلب</w:t>
            </w:r>
          </w:p>
        </w:tc>
        <w:tc>
          <w:tcPr>
            <w:tcW w:w="11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457"/>
              <w:jc w:val="both"/>
              <w:rPr>
                <w:rFonts w:eastAsia="SimSun" w:cs="Traditional Arabic"/>
                <w:sz w:val="18"/>
                <w:szCs w:val="26"/>
                <w:lang w:eastAsia="zh-CN"/>
              </w:rPr>
            </w:pPr>
            <w:r w:rsidRPr="00335E4B">
              <w:rPr>
                <w:rFonts w:cs="Traditional Arabic"/>
                <w:sz w:val="18"/>
                <w:szCs w:val="26"/>
                <w:rtl/>
              </w:rPr>
              <w:t>0</w:t>
            </w:r>
            <w:r w:rsidRPr="00335E4B">
              <w:rPr>
                <w:rFonts w:cs="Traditional Arabic" w:hint="cs"/>
                <w:sz w:val="18"/>
                <w:szCs w:val="26"/>
                <w:rtl/>
              </w:rPr>
              <w:t>,</w:t>
            </w:r>
            <w:r w:rsidRPr="00335E4B">
              <w:rPr>
                <w:rFonts w:cs="Traditional Arabic"/>
                <w:sz w:val="18"/>
                <w:szCs w:val="26"/>
                <w:rtl/>
              </w:rPr>
              <w:t>2</w:t>
            </w:r>
          </w:p>
        </w:tc>
        <w:tc>
          <w:tcPr>
            <w:tcW w:w="6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317"/>
              <w:jc w:val="both"/>
              <w:rPr>
                <w:rFonts w:eastAsia="SimSun" w:cs="Traditional Arabic"/>
                <w:sz w:val="18"/>
                <w:szCs w:val="26"/>
              </w:rPr>
            </w:pPr>
            <w:r w:rsidRPr="00335E4B">
              <w:rPr>
                <w:rFonts w:cs="Traditional Arabic"/>
                <w:sz w:val="18"/>
                <w:szCs w:val="26"/>
                <w:rtl/>
              </w:rPr>
              <w:t>105</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bidi w:val="0"/>
              <w:spacing w:line="280" w:lineRule="exact"/>
              <w:jc w:val="both"/>
              <w:rPr>
                <w:rFonts w:eastAsia="SimSun" w:cs="Traditional Arabic"/>
                <w:sz w:val="18"/>
                <w:szCs w:val="26"/>
                <w:lang w:eastAsia="zh-CN"/>
              </w:rPr>
            </w:pPr>
            <w:r w:rsidRPr="00335E4B">
              <w:rPr>
                <w:rFonts w:eastAsia="SimSun" w:cs="Traditional Arabic"/>
                <w:sz w:val="18"/>
                <w:szCs w:val="26"/>
              </w:rPr>
              <w:t>FF</w:t>
            </w:r>
          </w:p>
        </w:tc>
      </w:tr>
      <w:tr w:rsidR="00335E4B" w:rsidRPr="00335E4B" w:rsidTr="00D002D1">
        <w:tc>
          <w:tcPr>
            <w:tcW w:w="17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cs="Traditional Arabic"/>
                <w:sz w:val="18"/>
                <w:szCs w:val="26"/>
                <w:lang w:eastAsia="zh-CN" w:bidi="ar-EG"/>
              </w:rPr>
            </w:pPr>
            <w:r w:rsidRPr="00335E4B">
              <w:rPr>
                <w:rFonts w:eastAsia="SimSun" w:cs="Traditional Arabic"/>
                <w:sz w:val="18"/>
                <w:szCs w:val="26"/>
              </w:rPr>
              <w:t>Salem Harbour</w:t>
            </w:r>
            <w:r w:rsidRPr="00335E4B">
              <w:rPr>
                <w:rFonts w:cs="Traditional Arabic"/>
                <w:sz w:val="18"/>
                <w:szCs w:val="26"/>
                <w:rtl/>
                <w:lang w:eastAsia="zh-CN" w:bidi="ar-EG"/>
              </w:rPr>
              <w:t>، الولايات المتحدة الأمريكية</w:t>
            </w:r>
          </w:p>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eastAsia="SimSun" w:cs="Traditional Arabic"/>
                <w:sz w:val="18"/>
                <w:szCs w:val="26"/>
                <w:lang w:eastAsia="zh-CN"/>
              </w:rPr>
            </w:pPr>
            <w:r w:rsidRPr="00335E4B">
              <w:rPr>
                <w:rFonts w:cs="Traditional Arabic"/>
                <w:sz w:val="18"/>
                <w:szCs w:val="26"/>
                <w:rtl/>
                <w:lang w:eastAsia="zh-CN"/>
              </w:rPr>
              <w:t>فحم صلب</w:t>
            </w:r>
          </w:p>
        </w:tc>
        <w:tc>
          <w:tcPr>
            <w:tcW w:w="11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457"/>
              <w:jc w:val="both"/>
              <w:rPr>
                <w:rFonts w:eastAsia="SimSun" w:cs="Traditional Arabic"/>
                <w:sz w:val="18"/>
                <w:szCs w:val="26"/>
              </w:rPr>
            </w:pPr>
            <w:r w:rsidRPr="00335E4B">
              <w:rPr>
                <w:rFonts w:cs="Traditional Arabic"/>
                <w:sz w:val="18"/>
                <w:szCs w:val="26"/>
                <w:rtl/>
              </w:rPr>
              <w:t>0</w:t>
            </w:r>
            <w:r w:rsidRPr="00335E4B">
              <w:rPr>
                <w:rFonts w:cs="Traditional Arabic" w:hint="cs"/>
                <w:sz w:val="18"/>
                <w:szCs w:val="26"/>
                <w:rtl/>
              </w:rPr>
              <w:t>,</w:t>
            </w:r>
            <w:r w:rsidRPr="00335E4B">
              <w:rPr>
                <w:rFonts w:cs="Traditional Arabic"/>
                <w:sz w:val="18"/>
                <w:szCs w:val="26"/>
                <w:rtl/>
              </w:rPr>
              <w:t>2 – 0</w:t>
            </w:r>
            <w:r w:rsidRPr="00335E4B">
              <w:rPr>
                <w:rFonts w:cs="Traditional Arabic" w:hint="cs"/>
                <w:sz w:val="18"/>
                <w:szCs w:val="26"/>
                <w:rtl/>
              </w:rPr>
              <w:t>,</w:t>
            </w:r>
            <w:r w:rsidRPr="00335E4B">
              <w:rPr>
                <w:rFonts w:cs="Traditional Arabic"/>
                <w:sz w:val="18"/>
                <w:szCs w:val="26"/>
                <w:rtl/>
              </w:rPr>
              <w:t>4</w:t>
            </w:r>
          </w:p>
        </w:tc>
        <w:tc>
          <w:tcPr>
            <w:tcW w:w="6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317"/>
              <w:jc w:val="both"/>
              <w:rPr>
                <w:rFonts w:eastAsia="SimSun" w:cs="Traditional Arabic"/>
                <w:sz w:val="18"/>
                <w:szCs w:val="26"/>
                <w:lang w:eastAsia="zh-CN"/>
              </w:rPr>
            </w:pPr>
            <w:r w:rsidRPr="00335E4B">
              <w:rPr>
                <w:rFonts w:cs="Traditional Arabic"/>
                <w:sz w:val="18"/>
                <w:szCs w:val="26"/>
                <w:rtl/>
                <w:lang w:eastAsia="zh-CN"/>
              </w:rPr>
              <w:t>300</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bidi w:val="0"/>
              <w:spacing w:line="280" w:lineRule="exact"/>
              <w:jc w:val="both"/>
              <w:rPr>
                <w:rFonts w:eastAsia="SimSun" w:cs="Traditional Arabic"/>
                <w:sz w:val="18"/>
                <w:szCs w:val="26"/>
                <w:lang w:eastAsia="zh-CN"/>
              </w:rPr>
            </w:pPr>
            <w:r w:rsidRPr="00335E4B">
              <w:rPr>
                <w:rFonts w:eastAsia="SimSun" w:cs="Traditional Arabic"/>
                <w:sz w:val="18"/>
                <w:szCs w:val="26"/>
                <w:lang w:eastAsia="zh-CN"/>
              </w:rPr>
              <w:t>ESP</w:t>
            </w:r>
          </w:p>
        </w:tc>
      </w:tr>
      <w:tr w:rsidR="00335E4B" w:rsidRPr="00335E4B" w:rsidTr="00D002D1">
        <w:tc>
          <w:tcPr>
            <w:tcW w:w="17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eastAsia="SimSun" w:cs="Traditional Arabic"/>
                <w:sz w:val="18"/>
                <w:szCs w:val="26"/>
                <w:lang w:eastAsia="zh-CN"/>
              </w:rPr>
            </w:pPr>
            <w:r w:rsidRPr="00335E4B">
              <w:rPr>
                <w:rFonts w:eastAsia="SimSun" w:cs="Traditional Arabic"/>
                <w:sz w:val="18"/>
                <w:szCs w:val="26"/>
              </w:rPr>
              <w:t>Power plant Tusimice</w:t>
            </w:r>
            <w:r w:rsidRPr="00335E4B">
              <w:rPr>
                <w:rFonts w:cs="Traditional Arabic"/>
                <w:sz w:val="18"/>
                <w:szCs w:val="26"/>
                <w:rtl/>
                <w:lang w:bidi="ar-EG"/>
              </w:rPr>
              <w:t>،</w:t>
            </w:r>
            <w:r w:rsidRPr="00335E4B">
              <w:rPr>
                <w:rFonts w:cs="Traditional Arabic"/>
                <w:sz w:val="18"/>
                <w:szCs w:val="26"/>
                <w:rtl/>
                <w:lang w:eastAsia="zh-CN"/>
              </w:rPr>
              <w:t xml:space="preserve"> الجمهورية التشيكية</w:t>
            </w:r>
          </w:p>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eastAsia="SimSun" w:cs="Traditional Arabic"/>
                <w:sz w:val="18"/>
                <w:szCs w:val="26"/>
                <w:lang w:eastAsia="zh-CN" w:bidi="ar-EG"/>
              </w:rPr>
            </w:pPr>
            <w:r w:rsidRPr="00335E4B">
              <w:rPr>
                <w:rFonts w:cs="Traditional Arabic"/>
                <w:sz w:val="18"/>
                <w:szCs w:val="26"/>
                <w:rtl/>
                <w:lang w:eastAsia="zh-CN"/>
              </w:rPr>
              <w:t>لغنيت</w:t>
            </w:r>
          </w:p>
        </w:tc>
        <w:tc>
          <w:tcPr>
            <w:tcW w:w="11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457"/>
              <w:jc w:val="both"/>
              <w:rPr>
                <w:rFonts w:eastAsia="SimSun" w:cs="Traditional Arabic"/>
                <w:sz w:val="18"/>
                <w:szCs w:val="26"/>
              </w:rPr>
            </w:pPr>
            <w:r w:rsidRPr="00335E4B">
              <w:rPr>
                <w:rFonts w:cs="Traditional Arabic"/>
                <w:sz w:val="18"/>
                <w:szCs w:val="26"/>
                <w:rtl/>
              </w:rPr>
              <w:t>2</w:t>
            </w:r>
            <w:r w:rsidRPr="00335E4B">
              <w:rPr>
                <w:rFonts w:cs="Traditional Arabic" w:hint="cs"/>
                <w:sz w:val="18"/>
                <w:szCs w:val="26"/>
                <w:rtl/>
              </w:rPr>
              <w:t>,</w:t>
            </w:r>
            <w:r w:rsidRPr="00335E4B">
              <w:rPr>
                <w:rFonts w:cs="Traditional Arabic"/>
                <w:sz w:val="18"/>
                <w:szCs w:val="26"/>
                <w:rtl/>
              </w:rPr>
              <w:t>6</w:t>
            </w:r>
          </w:p>
        </w:tc>
        <w:tc>
          <w:tcPr>
            <w:tcW w:w="6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317"/>
              <w:jc w:val="both"/>
              <w:rPr>
                <w:rFonts w:cs="Traditional Arabic"/>
                <w:sz w:val="18"/>
                <w:szCs w:val="26"/>
                <w:lang w:eastAsia="zh-CN" w:bidi="ar-EG"/>
              </w:rPr>
            </w:pPr>
            <w:r w:rsidRPr="00335E4B">
              <w:rPr>
                <w:rFonts w:cs="Traditional Arabic"/>
                <w:sz w:val="18"/>
                <w:szCs w:val="26"/>
                <w:rtl/>
              </w:rPr>
              <w:t>890</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bidi w:val="0"/>
              <w:spacing w:line="280" w:lineRule="exact"/>
              <w:jc w:val="both"/>
              <w:rPr>
                <w:rFonts w:cs="Traditional Arabic"/>
                <w:sz w:val="18"/>
                <w:szCs w:val="26"/>
                <w:lang w:eastAsia="zh-CN" w:bidi="ar-EG"/>
              </w:rPr>
            </w:pPr>
            <w:r w:rsidRPr="00335E4B">
              <w:rPr>
                <w:rFonts w:eastAsia="SimSun" w:cs="Traditional Arabic"/>
                <w:sz w:val="18"/>
                <w:szCs w:val="26"/>
              </w:rPr>
              <w:t>ESP+wFGD</w:t>
            </w:r>
          </w:p>
        </w:tc>
      </w:tr>
      <w:tr w:rsidR="00335E4B" w:rsidRPr="00335E4B" w:rsidTr="00D002D1">
        <w:tc>
          <w:tcPr>
            <w:tcW w:w="17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cs="Traditional Arabic"/>
                <w:sz w:val="18"/>
                <w:szCs w:val="26"/>
                <w:lang w:bidi="ar-EG"/>
              </w:rPr>
            </w:pPr>
            <w:r w:rsidRPr="00335E4B">
              <w:rPr>
                <w:rFonts w:eastAsia="SimSun" w:cs="Traditional Arabic"/>
                <w:sz w:val="18"/>
                <w:szCs w:val="26"/>
              </w:rPr>
              <w:t>Neurath, A and F</w:t>
            </w:r>
            <w:r w:rsidRPr="00335E4B">
              <w:rPr>
                <w:rFonts w:cs="Traditional Arabic"/>
                <w:sz w:val="18"/>
                <w:szCs w:val="26"/>
                <w:rtl/>
                <w:lang w:bidi="ar-EG"/>
              </w:rPr>
              <w:t>، ألمانيا</w:t>
            </w:r>
          </w:p>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eastAsia="SimSun" w:cs="Traditional Arabic"/>
                <w:sz w:val="18"/>
                <w:szCs w:val="26"/>
              </w:rPr>
            </w:pPr>
            <w:r w:rsidRPr="00335E4B">
              <w:rPr>
                <w:rFonts w:cs="Traditional Arabic"/>
                <w:sz w:val="18"/>
                <w:szCs w:val="26"/>
                <w:rtl/>
                <w:lang w:eastAsia="zh-CN"/>
              </w:rPr>
              <w:t>لغنيت</w:t>
            </w:r>
          </w:p>
        </w:tc>
        <w:tc>
          <w:tcPr>
            <w:tcW w:w="11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457"/>
              <w:jc w:val="both"/>
              <w:rPr>
                <w:rFonts w:eastAsia="SimSun" w:cs="Traditional Arabic"/>
                <w:sz w:val="18"/>
                <w:szCs w:val="26"/>
              </w:rPr>
            </w:pPr>
            <w:r w:rsidRPr="00335E4B">
              <w:rPr>
                <w:rFonts w:cs="Traditional Arabic"/>
                <w:sz w:val="18"/>
                <w:szCs w:val="26"/>
                <w:rtl/>
              </w:rPr>
              <w:t>3</w:t>
            </w:r>
            <w:r w:rsidRPr="00335E4B">
              <w:rPr>
                <w:rFonts w:cs="Traditional Arabic" w:hint="cs"/>
                <w:sz w:val="18"/>
                <w:szCs w:val="26"/>
                <w:rtl/>
              </w:rPr>
              <w:t>,</w:t>
            </w:r>
            <w:r w:rsidRPr="00335E4B">
              <w:rPr>
                <w:rFonts w:cs="Traditional Arabic"/>
                <w:sz w:val="18"/>
                <w:szCs w:val="26"/>
                <w:rtl/>
              </w:rPr>
              <w:t>0</w:t>
            </w:r>
          </w:p>
        </w:tc>
        <w:tc>
          <w:tcPr>
            <w:tcW w:w="6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317"/>
              <w:jc w:val="both"/>
              <w:rPr>
                <w:rFonts w:eastAsia="SimSun" w:cs="Traditional Arabic"/>
                <w:sz w:val="18"/>
                <w:szCs w:val="26"/>
                <w:lang w:eastAsia="zh-CN"/>
              </w:rPr>
            </w:pPr>
            <w:r w:rsidRPr="00335E4B">
              <w:rPr>
                <w:rFonts w:cs="Traditional Arabic"/>
                <w:sz w:val="18"/>
                <w:szCs w:val="26"/>
                <w:rtl/>
              </w:rPr>
              <w:t>855</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bidi w:val="0"/>
              <w:spacing w:line="280" w:lineRule="exact"/>
              <w:jc w:val="both"/>
              <w:rPr>
                <w:rFonts w:eastAsia="SimSun" w:cs="Traditional Arabic"/>
                <w:sz w:val="18"/>
                <w:szCs w:val="26"/>
                <w:lang w:eastAsia="zh-CN"/>
              </w:rPr>
            </w:pPr>
            <w:r w:rsidRPr="00335E4B">
              <w:rPr>
                <w:rFonts w:eastAsia="SimSun" w:cs="Traditional Arabic"/>
                <w:sz w:val="18"/>
                <w:szCs w:val="26"/>
              </w:rPr>
              <w:t>ESP+wFGD</w:t>
            </w:r>
          </w:p>
        </w:tc>
      </w:tr>
      <w:tr w:rsidR="00335E4B" w:rsidRPr="00335E4B" w:rsidTr="00D002D1">
        <w:tc>
          <w:tcPr>
            <w:tcW w:w="17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cs="Traditional Arabic"/>
                <w:sz w:val="18"/>
                <w:szCs w:val="26"/>
                <w:lang w:eastAsia="zh-CN" w:bidi="ar-EG"/>
              </w:rPr>
            </w:pPr>
            <w:r w:rsidRPr="00335E4B">
              <w:rPr>
                <w:rFonts w:eastAsia="SimSun" w:cs="Traditional Arabic"/>
                <w:sz w:val="18"/>
                <w:szCs w:val="26"/>
              </w:rPr>
              <w:t>Teplarna Tabor</w:t>
            </w:r>
            <w:r w:rsidRPr="00335E4B">
              <w:rPr>
                <w:rFonts w:cs="Traditional Arabic"/>
                <w:sz w:val="18"/>
                <w:szCs w:val="26"/>
                <w:rtl/>
                <w:lang w:eastAsia="zh-CN" w:bidi="ar-EG"/>
              </w:rPr>
              <w:t>، الجمهورية التشيكية</w:t>
            </w:r>
          </w:p>
        </w:tc>
        <w:tc>
          <w:tcPr>
            <w:tcW w:w="5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jc w:val="both"/>
              <w:rPr>
                <w:rFonts w:eastAsia="SimSun" w:cs="Traditional Arabic"/>
                <w:sz w:val="18"/>
                <w:szCs w:val="26"/>
              </w:rPr>
            </w:pPr>
            <w:r w:rsidRPr="00335E4B">
              <w:rPr>
                <w:rFonts w:cs="Traditional Arabic"/>
                <w:sz w:val="18"/>
                <w:szCs w:val="26"/>
                <w:rtl/>
                <w:lang w:eastAsia="zh-CN"/>
              </w:rPr>
              <w:t>لغنيت</w:t>
            </w:r>
          </w:p>
        </w:tc>
        <w:tc>
          <w:tcPr>
            <w:tcW w:w="11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457"/>
              <w:jc w:val="both"/>
              <w:rPr>
                <w:rFonts w:eastAsia="SimSun" w:cs="Traditional Arabic"/>
                <w:sz w:val="18"/>
                <w:szCs w:val="26"/>
              </w:rPr>
            </w:pPr>
            <w:r w:rsidRPr="00335E4B">
              <w:rPr>
                <w:rFonts w:cs="Traditional Arabic"/>
                <w:sz w:val="18"/>
                <w:szCs w:val="26"/>
                <w:rtl/>
              </w:rPr>
              <w:t>3</w:t>
            </w:r>
            <w:r w:rsidRPr="00335E4B">
              <w:rPr>
                <w:rFonts w:cs="Traditional Arabic" w:hint="cs"/>
                <w:sz w:val="18"/>
                <w:szCs w:val="26"/>
                <w:rtl/>
              </w:rPr>
              <w:t>,</w:t>
            </w:r>
            <w:r w:rsidRPr="00335E4B">
              <w:rPr>
                <w:rFonts w:cs="Traditional Arabic"/>
                <w:sz w:val="18"/>
                <w:szCs w:val="26"/>
                <w:rtl/>
              </w:rPr>
              <w:t>3</w:t>
            </w:r>
          </w:p>
        </w:tc>
        <w:tc>
          <w:tcPr>
            <w:tcW w:w="6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spacing w:line="280" w:lineRule="exact"/>
              <w:ind w:left="317"/>
              <w:jc w:val="both"/>
              <w:rPr>
                <w:rFonts w:eastAsia="SimSun" w:cs="Traditional Arabic"/>
                <w:sz w:val="18"/>
                <w:szCs w:val="26"/>
                <w:lang w:eastAsia="zh-CN"/>
              </w:rPr>
            </w:pPr>
            <w:r w:rsidRPr="00335E4B">
              <w:rPr>
                <w:rFonts w:cs="Traditional Arabic"/>
                <w:sz w:val="18"/>
                <w:szCs w:val="26"/>
                <w:rtl/>
              </w:rPr>
              <w:t>199</w:t>
            </w:r>
          </w:p>
        </w:tc>
        <w:tc>
          <w:tcPr>
            <w:tcW w:w="8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bidi w:val="0"/>
              <w:spacing w:line="280" w:lineRule="exact"/>
              <w:jc w:val="both"/>
              <w:rPr>
                <w:rFonts w:eastAsia="SimSun" w:cs="Traditional Arabic"/>
                <w:sz w:val="18"/>
                <w:szCs w:val="26"/>
                <w:lang w:eastAsia="zh-CN"/>
              </w:rPr>
            </w:pPr>
            <w:r w:rsidRPr="00335E4B">
              <w:rPr>
                <w:rFonts w:eastAsia="SimSun" w:cs="Traditional Arabic"/>
                <w:sz w:val="18"/>
                <w:szCs w:val="26"/>
              </w:rPr>
              <w:t>ESP</w:t>
            </w:r>
          </w:p>
        </w:tc>
      </w:tr>
    </w:tbl>
    <w:p w:rsidR="00335E4B" w:rsidRPr="00335E4B" w:rsidRDefault="00335E4B" w:rsidP="00335E4B">
      <w:pPr>
        <w:tabs>
          <w:tab w:val="left" w:pos="663"/>
          <w:tab w:val="left" w:pos="1117"/>
          <w:tab w:val="left" w:pos="2230"/>
          <w:tab w:val="center" w:pos="5468"/>
        </w:tabs>
        <w:spacing w:before="120" w:after="40" w:line="280" w:lineRule="exact"/>
        <w:jc w:val="both"/>
        <w:rPr>
          <w:rFonts w:cs="Traditional Arabic"/>
          <w:sz w:val="16"/>
          <w:szCs w:val="26"/>
          <w:rtl/>
          <w:lang w:bidi="ar-EG"/>
        </w:rPr>
      </w:pPr>
      <w:r w:rsidRPr="00335E4B">
        <w:rPr>
          <w:rFonts w:cs="Traditional Arabic"/>
          <w:sz w:val="16"/>
          <w:szCs w:val="26"/>
          <w:rtl/>
          <w:lang w:bidi="ar-EG"/>
        </w:rPr>
        <w:t xml:space="preserve">ملحوظة: تستند جميع القيم إلى عينات دورية باستثناء </w:t>
      </w:r>
      <w:r w:rsidRPr="00335E4B">
        <w:rPr>
          <w:rFonts w:eastAsia="SimSun" w:cs="Traditional Arabic"/>
          <w:sz w:val="18"/>
          <w:szCs w:val="18"/>
          <w:lang w:eastAsia="zh-CN"/>
        </w:rPr>
        <w:t>Salem Harbour</w:t>
      </w:r>
      <w:r w:rsidRPr="00335E4B">
        <w:rPr>
          <w:rFonts w:cs="Traditional Arabic"/>
          <w:sz w:val="16"/>
          <w:szCs w:val="26"/>
          <w:rtl/>
          <w:lang w:bidi="ar-EG"/>
        </w:rPr>
        <w:t xml:space="preserve">، التي تستند قيمتها إلى رصد مستمر للانبعاثات. والبيانات الواردة هي </w:t>
      </w:r>
      <w:r w:rsidRPr="00335E4B">
        <w:rPr>
          <w:rFonts w:cs="Traditional Arabic" w:hint="cs"/>
          <w:sz w:val="16"/>
          <w:szCs w:val="26"/>
          <w:rtl/>
          <w:lang w:bidi="ar-EG"/>
        </w:rPr>
        <w:t xml:space="preserve">عن </w:t>
      </w:r>
      <w:r w:rsidRPr="00335E4B">
        <w:rPr>
          <w:rFonts w:cs="Traditional Arabic"/>
          <w:sz w:val="16"/>
          <w:szCs w:val="26"/>
          <w:rtl/>
          <w:lang w:bidi="ar-EG"/>
        </w:rPr>
        <w:t>سنة 2010.</w:t>
      </w:r>
    </w:p>
    <w:p w:rsidR="00335E4B" w:rsidRPr="00335E4B" w:rsidRDefault="00335E4B" w:rsidP="00335E4B">
      <w:pPr>
        <w:keepNext/>
        <w:spacing w:before="120" w:after="120" w:line="400" w:lineRule="exact"/>
        <w:ind w:left="992" w:hanging="992"/>
        <w:jc w:val="both"/>
        <w:outlineLvl w:val="0"/>
        <w:rPr>
          <w:rFonts w:cs="Traditional Arabic"/>
          <w:b/>
          <w:bCs/>
          <w:sz w:val="30"/>
          <w:szCs w:val="30"/>
          <w:rtl/>
        </w:rPr>
      </w:pPr>
      <w:bookmarkStart w:id="547" w:name="_Toc440456839"/>
      <w:bookmarkStart w:id="548" w:name="_Toc440526907"/>
      <w:bookmarkStart w:id="549" w:name="_Toc440527762"/>
      <w:bookmarkStart w:id="550" w:name="_Toc440550463"/>
      <w:bookmarkStart w:id="551" w:name="_Toc441577720"/>
      <w:bookmarkStart w:id="552" w:name="_Toc441577899"/>
      <w:bookmarkStart w:id="553" w:name="_Toc441579125"/>
      <w:bookmarkStart w:id="554" w:name="_Toc441580733"/>
      <w:bookmarkStart w:id="555" w:name="_Toc441585864"/>
      <w:bookmarkStart w:id="556" w:name="_Toc441586200"/>
      <w:bookmarkStart w:id="557" w:name="_Toc441586650"/>
      <w:bookmarkStart w:id="558" w:name="_Toc441586829"/>
      <w:bookmarkStart w:id="559" w:name="_Toc441666678"/>
      <w:bookmarkStart w:id="560" w:name="_Toc441673739"/>
      <w:r w:rsidRPr="00335E4B">
        <w:rPr>
          <w:rFonts w:cs="Traditional Arabic"/>
          <w:b/>
          <w:bCs/>
          <w:sz w:val="30"/>
          <w:szCs w:val="30"/>
          <w:rtl/>
        </w:rPr>
        <w:t>أجهزة ضبط الجسيمات</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rsidR="00335E4B" w:rsidRPr="00335E4B" w:rsidRDefault="00335E4B" w:rsidP="00335E4B">
      <w:pPr>
        <w:tabs>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يوجد نوعان رئيسيان من أجهزة ضبط الجسيمات وتشمل المرسبات الكهروستاتيكية والمرشحات النسيجية. وتستخدم أجهزة التنظيف </w:t>
      </w:r>
      <w:r w:rsidRPr="00335E4B">
        <w:rPr>
          <w:rFonts w:cs="Traditional Arabic" w:hint="cs"/>
          <w:sz w:val="20"/>
          <w:szCs w:val="30"/>
          <w:rtl/>
          <w:lang w:bidi="ar-EG"/>
        </w:rPr>
        <w:t>الرطب</w:t>
      </w:r>
      <w:r w:rsidRPr="00335E4B">
        <w:rPr>
          <w:rFonts w:cs="Traditional Arabic"/>
          <w:sz w:val="20"/>
          <w:szCs w:val="30"/>
          <w:rtl/>
          <w:lang w:bidi="ar-EG"/>
        </w:rPr>
        <w:t xml:space="preserve"> للجسيمات أيضاً في المراجل العاملة بحرق الفحم.</w:t>
      </w:r>
    </w:p>
    <w:p w:rsidR="00335E4B" w:rsidRPr="00335E4B" w:rsidRDefault="00335E4B" w:rsidP="00335E4B">
      <w:pPr>
        <w:tabs>
          <w:tab w:val="left" w:pos="1274"/>
          <w:tab w:val="center" w:pos="5468"/>
        </w:tabs>
        <w:spacing w:after="120" w:line="400" w:lineRule="exact"/>
        <w:jc w:val="both"/>
        <w:rPr>
          <w:rFonts w:cs="Traditional Arabic"/>
          <w:b/>
          <w:bCs/>
          <w:sz w:val="20"/>
          <w:szCs w:val="30"/>
          <w:rtl/>
          <w:lang w:bidi="ar-EG"/>
        </w:rPr>
      </w:pPr>
      <w:r w:rsidRPr="00335E4B">
        <w:rPr>
          <w:rFonts w:cs="Traditional Arabic"/>
          <w:b/>
          <w:bCs/>
          <w:sz w:val="20"/>
          <w:szCs w:val="30"/>
          <w:rtl/>
          <w:lang w:bidi="ar-EG"/>
        </w:rPr>
        <w:t>المرسبات الكهروستاتيكية</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تُصمَّم المرسبات الكهروستاتيكية نمطياً لتحقيق أكثر من 99 في المائة من الكفاءة في جمع الجسيمات، رهناً بمختلف العوامل المعروضة في القسم التمهيدي. وكفاءة جمع الجسيمات في </w:t>
      </w:r>
      <w:r w:rsidRPr="00335E4B">
        <w:rPr>
          <w:rFonts w:cs="Traditional Arabic" w:hint="cs"/>
          <w:sz w:val="20"/>
          <w:szCs w:val="30"/>
          <w:rtl/>
          <w:lang w:bidi="ar-EG"/>
        </w:rPr>
        <w:t>المرسبات</w:t>
      </w:r>
      <w:r w:rsidRPr="00335E4B">
        <w:rPr>
          <w:rFonts w:cs="Traditional Arabic"/>
          <w:sz w:val="20"/>
          <w:szCs w:val="30"/>
          <w:rtl/>
          <w:lang w:bidi="ar-EG"/>
        </w:rPr>
        <w:t xml:space="preserve"> الكهروستاتيكية تُمثل أيضاً دالة على المحتوى الكبريتي في الفحم، الذي يؤثر على مقاومة الرماد المتطاير. فال</w:t>
      </w:r>
      <w:r w:rsidRPr="00335E4B">
        <w:rPr>
          <w:rFonts w:cs="Traditional Arabic" w:hint="cs"/>
          <w:sz w:val="20"/>
          <w:szCs w:val="30"/>
          <w:rtl/>
          <w:lang w:bidi="ar-EG"/>
        </w:rPr>
        <w:t>ف</w:t>
      </w:r>
      <w:r w:rsidRPr="00335E4B">
        <w:rPr>
          <w:rFonts w:cs="Traditional Arabic"/>
          <w:sz w:val="20"/>
          <w:szCs w:val="30"/>
          <w:rtl/>
          <w:lang w:bidi="ar-EG"/>
        </w:rPr>
        <w:t>حم الذي يحتوي على مقادير متوسطة إلى مرتفعة من الكبريت ينتج رماداً متطايراً يسهل جمعه. أما الفحم الذي يحتوي على كبريت منخفض فينتج رماداً متطايراً بمقاومة أعلى وتزداد صعوبة جمعه. و</w:t>
      </w:r>
      <w:r w:rsidRPr="00335E4B">
        <w:rPr>
          <w:rFonts w:cs="Traditional Arabic" w:hint="cs"/>
          <w:sz w:val="20"/>
          <w:szCs w:val="30"/>
          <w:rtl/>
          <w:lang w:bidi="ar-EG"/>
        </w:rPr>
        <w:t xml:space="preserve">يمكن أيضاً تغيير </w:t>
      </w:r>
      <w:r w:rsidRPr="00335E4B">
        <w:rPr>
          <w:rFonts w:cs="Traditional Arabic"/>
          <w:sz w:val="20"/>
          <w:szCs w:val="30"/>
          <w:rtl/>
          <w:lang w:bidi="ar-EG"/>
        </w:rPr>
        <w:t>مقا</w:t>
      </w:r>
      <w:r w:rsidRPr="00335E4B">
        <w:rPr>
          <w:rFonts w:cs="Traditional Arabic" w:hint="cs"/>
          <w:sz w:val="20"/>
          <w:szCs w:val="30"/>
          <w:rtl/>
          <w:lang w:bidi="ar-EG"/>
        </w:rPr>
        <w:t>و</w:t>
      </w:r>
      <w:r w:rsidRPr="00335E4B">
        <w:rPr>
          <w:rFonts w:cs="Traditional Arabic"/>
          <w:sz w:val="20"/>
          <w:szCs w:val="30"/>
          <w:rtl/>
          <w:lang w:bidi="ar-EG"/>
        </w:rPr>
        <w:t xml:space="preserve">مة الرماد المتطاير من خلال تقليل درجة الحرارة في المرسبات أو بتكييف </w:t>
      </w:r>
      <w:r w:rsidRPr="00335E4B">
        <w:rPr>
          <w:rFonts w:cs="Traditional Arabic" w:hint="cs"/>
          <w:sz w:val="20"/>
          <w:szCs w:val="30"/>
          <w:rtl/>
          <w:lang w:bidi="ar-EG"/>
        </w:rPr>
        <w:t>ا</w:t>
      </w:r>
      <w:r w:rsidRPr="00335E4B">
        <w:rPr>
          <w:rFonts w:cs="Traditional Arabic"/>
          <w:sz w:val="20"/>
          <w:szCs w:val="30"/>
          <w:rtl/>
          <w:lang w:bidi="ar-EG"/>
        </w:rPr>
        <w:t>لجسيمات</w:t>
      </w:r>
      <w:r w:rsidRPr="00335E4B">
        <w:rPr>
          <w:rFonts w:cs="Traditional Arabic" w:hint="cs"/>
          <w:sz w:val="20"/>
          <w:szCs w:val="30"/>
          <w:rtl/>
          <w:lang w:bidi="ar-EG"/>
        </w:rPr>
        <w:t xml:space="preserve"> قبل دخولها </w:t>
      </w:r>
      <w:r w:rsidRPr="00335E4B">
        <w:rPr>
          <w:rFonts w:cs="Traditional Arabic"/>
          <w:sz w:val="20"/>
          <w:szCs w:val="30"/>
          <w:rtl/>
          <w:lang w:bidi="ar-EG"/>
        </w:rPr>
        <w:t>في المرسب بثلاثي أكسيد الكبريت (</w:t>
      </w:r>
      <w:r w:rsidRPr="00335E4B">
        <w:rPr>
          <w:rFonts w:eastAsia="SimSun" w:cs="Traditional Arabic"/>
          <w:sz w:val="20"/>
          <w:szCs w:val="22"/>
        </w:rPr>
        <w:t>SO</w:t>
      </w:r>
      <w:r w:rsidRPr="00335E4B">
        <w:rPr>
          <w:rFonts w:eastAsia="SimSun" w:cs="Traditional Arabic"/>
          <w:sz w:val="20"/>
          <w:szCs w:val="22"/>
          <w:vertAlign w:val="subscript"/>
        </w:rPr>
        <w:t>3</w:t>
      </w:r>
      <w:r w:rsidRPr="00335E4B">
        <w:rPr>
          <w:rFonts w:cs="Traditional Arabic"/>
          <w:sz w:val="20"/>
          <w:szCs w:val="30"/>
          <w:rtl/>
          <w:lang w:bidi="ar-EG"/>
        </w:rPr>
        <w:t>) أو حامض الكبريت (</w:t>
      </w:r>
      <w:r w:rsidRPr="00335E4B">
        <w:rPr>
          <w:rFonts w:eastAsia="SimSun" w:cs="Traditional Arabic"/>
          <w:sz w:val="20"/>
          <w:szCs w:val="22"/>
        </w:rPr>
        <w:t>H</w:t>
      </w:r>
      <w:r w:rsidRPr="00335E4B">
        <w:rPr>
          <w:rFonts w:eastAsia="SimSun" w:cs="Traditional Arabic"/>
          <w:sz w:val="20"/>
          <w:szCs w:val="22"/>
          <w:vertAlign w:val="subscript"/>
        </w:rPr>
        <w:t>2</w:t>
      </w:r>
      <w:r w:rsidRPr="00335E4B">
        <w:rPr>
          <w:rFonts w:eastAsia="SimSun" w:cs="Traditional Arabic"/>
          <w:sz w:val="20"/>
          <w:szCs w:val="22"/>
        </w:rPr>
        <w:t>SO</w:t>
      </w:r>
      <w:r w:rsidRPr="00335E4B">
        <w:rPr>
          <w:rFonts w:eastAsia="SimSun" w:cs="Traditional Arabic"/>
          <w:sz w:val="20"/>
          <w:szCs w:val="22"/>
          <w:vertAlign w:val="subscript"/>
        </w:rPr>
        <w:t>4</w:t>
      </w:r>
      <w:r w:rsidRPr="00335E4B">
        <w:rPr>
          <w:rFonts w:cs="Traditional Arabic"/>
          <w:sz w:val="20"/>
          <w:szCs w:val="30"/>
          <w:rtl/>
          <w:lang w:bidi="ar-EG"/>
        </w:rPr>
        <w:t>)</w:t>
      </w:r>
      <w:r w:rsidRPr="00335E4B">
        <w:rPr>
          <w:rFonts w:cs="Traditional Arabic" w:hint="cs"/>
          <w:sz w:val="20"/>
          <w:szCs w:val="30"/>
          <w:rtl/>
          <w:lang w:bidi="ar-EG"/>
        </w:rPr>
        <w:t xml:space="preserve"> أو الماء</w:t>
      </w:r>
      <w:r w:rsidRPr="00335E4B">
        <w:rPr>
          <w:rFonts w:cs="Traditional Arabic"/>
          <w:sz w:val="20"/>
          <w:szCs w:val="30"/>
          <w:rtl/>
          <w:lang w:bidi="ar-EG"/>
        </w:rPr>
        <w:t xml:space="preserve"> أو الصوديوم أو النشادر (</w:t>
      </w:r>
      <w:r w:rsidRPr="00335E4B">
        <w:rPr>
          <w:rFonts w:eastAsia="SimSun" w:cs="Traditional Arabic"/>
          <w:sz w:val="20"/>
          <w:szCs w:val="22"/>
        </w:rPr>
        <w:t>NH</w:t>
      </w:r>
      <w:r w:rsidRPr="00335E4B">
        <w:rPr>
          <w:rFonts w:eastAsia="SimSun" w:cs="Traditional Arabic"/>
          <w:sz w:val="20"/>
          <w:szCs w:val="22"/>
          <w:vertAlign w:val="subscript"/>
        </w:rPr>
        <w:t>3</w:t>
      </w:r>
      <w:r w:rsidRPr="00335E4B">
        <w:rPr>
          <w:rFonts w:cs="Traditional Arabic"/>
          <w:sz w:val="20"/>
          <w:szCs w:val="30"/>
          <w:rtl/>
          <w:lang w:bidi="ar-EG"/>
        </w:rPr>
        <w:t xml:space="preserve">). </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وبالنسبة </w:t>
      </w:r>
      <w:r w:rsidRPr="00335E4B">
        <w:rPr>
          <w:rFonts w:cs="Traditional Arabic" w:hint="cs"/>
          <w:sz w:val="20"/>
          <w:szCs w:val="30"/>
          <w:rtl/>
          <w:lang w:bidi="ar-EG"/>
        </w:rPr>
        <w:t xml:space="preserve">لأي </w:t>
      </w:r>
      <w:r w:rsidRPr="00335E4B">
        <w:rPr>
          <w:rFonts w:cs="Traditional Arabic"/>
          <w:sz w:val="20"/>
          <w:szCs w:val="30"/>
          <w:rtl/>
          <w:lang w:bidi="ar-EG"/>
        </w:rPr>
        <w:t xml:space="preserve">رماد متطاير من </w:t>
      </w:r>
      <w:r w:rsidRPr="00335E4B">
        <w:rPr>
          <w:rFonts w:cs="Traditional Arabic" w:hint="cs"/>
          <w:sz w:val="20"/>
          <w:szCs w:val="30"/>
          <w:rtl/>
          <w:lang w:bidi="ar-EG"/>
        </w:rPr>
        <w:t>ال</w:t>
      </w:r>
      <w:r w:rsidRPr="00335E4B">
        <w:rPr>
          <w:rFonts w:cs="Traditional Arabic"/>
          <w:sz w:val="20"/>
          <w:szCs w:val="30"/>
          <w:rtl/>
          <w:lang w:bidi="ar-EG"/>
        </w:rPr>
        <w:t xml:space="preserve">فحم تكون كفاءة جمع الجسيمات في المرسب دالة على حجم الجسيمات. فالجسيمات التي تزيد عن 1 </w:t>
      </w:r>
      <w:r w:rsidRPr="00335E4B">
        <w:rPr>
          <w:rFonts w:cs="Traditional Arabic" w:hint="cs"/>
          <w:sz w:val="20"/>
          <w:szCs w:val="30"/>
          <w:rtl/>
          <w:lang w:bidi="ar-EG"/>
        </w:rPr>
        <w:t>ميكرومتر</w:t>
      </w:r>
      <w:r w:rsidRPr="00335E4B">
        <w:rPr>
          <w:rFonts w:cs="Traditional Arabic"/>
          <w:sz w:val="20"/>
          <w:szCs w:val="30"/>
          <w:rtl/>
          <w:lang w:bidi="ar-EG"/>
        </w:rPr>
        <w:t xml:space="preserve"> - 8 </w:t>
      </w:r>
      <w:r w:rsidRPr="00335E4B">
        <w:rPr>
          <w:rFonts w:cs="Traditional Arabic" w:hint="cs"/>
          <w:sz w:val="20"/>
          <w:szCs w:val="30"/>
          <w:rtl/>
          <w:lang w:bidi="ar-EG"/>
        </w:rPr>
        <w:t>ميكرومتر</w:t>
      </w:r>
      <w:r w:rsidRPr="00335E4B">
        <w:rPr>
          <w:rFonts w:cs="Traditional Arabic"/>
          <w:sz w:val="20"/>
          <w:szCs w:val="30"/>
          <w:rtl/>
          <w:lang w:bidi="ar-EG"/>
        </w:rPr>
        <w:t xml:space="preserve"> يتم جمعها نمطياً بكفاءات تبلغ 95 إلى 99</w:t>
      </w:r>
      <w:r w:rsidRPr="00335E4B">
        <w:rPr>
          <w:rFonts w:cs="Traditional Arabic" w:hint="cs"/>
          <w:sz w:val="20"/>
          <w:szCs w:val="30"/>
          <w:rtl/>
          <w:lang w:bidi="ar-EG"/>
        </w:rPr>
        <w:t>,</w:t>
      </w:r>
      <w:r w:rsidRPr="00335E4B">
        <w:rPr>
          <w:rFonts w:cs="Traditional Arabic"/>
          <w:sz w:val="20"/>
          <w:szCs w:val="30"/>
          <w:rtl/>
          <w:lang w:bidi="ar-EG"/>
        </w:rPr>
        <w:t xml:space="preserve">9 في المائة. ولكن الجسيمات التي </w:t>
      </w:r>
      <w:r w:rsidRPr="00335E4B">
        <w:rPr>
          <w:rFonts w:cs="Traditional Arabic" w:hint="cs"/>
          <w:sz w:val="20"/>
          <w:szCs w:val="30"/>
          <w:rtl/>
          <w:lang w:bidi="ar-EG"/>
        </w:rPr>
        <w:t>يقترب حجمها</w:t>
      </w:r>
      <w:r w:rsidRPr="00335E4B">
        <w:rPr>
          <w:rFonts w:cs="Traditional Arabic"/>
          <w:sz w:val="20"/>
          <w:szCs w:val="30"/>
          <w:rtl/>
          <w:lang w:bidi="ar-EG"/>
        </w:rPr>
        <w:t xml:space="preserve"> من 0</w:t>
      </w:r>
      <w:r w:rsidRPr="00335E4B">
        <w:rPr>
          <w:rFonts w:cs="Traditional Arabic" w:hint="cs"/>
          <w:sz w:val="20"/>
          <w:szCs w:val="30"/>
          <w:rtl/>
          <w:lang w:bidi="ar-EG"/>
        </w:rPr>
        <w:t>,</w:t>
      </w:r>
      <w:r w:rsidRPr="00335E4B">
        <w:rPr>
          <w:rFonts w:cs="Traditional Arabic"/>
          <w:sz w:val="20"/>
          <w:szCs w:val="30"/>
          <w:rtl/>
          <w:lang w:bidi="ar-EG"/>
        </w:rPr>
        <w:t xml:space="preserve">3 </w:t>
      </w:r>
      <w:r w:rsidRPr="00335E4B">
        <w:rPr>
          <w:rFonts w:cs="Traditional Arabic" w:hint="cs"/>
          <w:sz w:val="20"/>
          <w:szCs w:val="30"/>
          <w:rtl/>
          <w:lang w:bidi="ar-EG"/>
        </w:rPr>
        <w:t>ميكرومتر</w:t>
      </w:r>
      <w:r w:rsidRPr="00335E4B">
        <w:rPr>
          <w:rFonts w:cs="Traditional Arabic"/>
          <w:sz w:val="20"/>
          <w:szCs w:val="30"/>
          <w:rtl/>
          <w:lang w:bidi="ar-EG"/>
        </w:rPr>
        <w:t xml:space="preserve"> </w:t>
      </w:r>
      <w:r w:rsidRPr="00335E4B">
        <w:rPr>
          <w:rFonts w:cs="Traditional Arabic" w:hint="cs"/>
          <w:sz w:val="20"/>
          <w:szCs w:val="30"/>
          <w:rtl/>
          <w:lang w:bidi="ar-EG"/>
        </w:rPr>
        <w:t>تدخل</w:t>
      </w:r>
      <w:r w:rsidRPr="00335E4B">
        <w:rPr>
          <w:rFonts w:cs="Traditional Arabic"/>
          <w:sz w:val="20"/>
          <w:szCs w:val="30"/>
          <w:rtl/>
          <w:lang w:bidi="ar-EG"/>
        </w:rPr>
        <w:t xml:space="preserve"> في منطقة تحميل سيئة تقلل كفاءة الجمع لتصل إلى 80-95 في المائة (لوليس، 1996). </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ويمكن استعمال المرسب الكهروستاتيكي في أحد موقعين في نظام </w:t>
      </w:r>
      <w:r w:rsidRPr="00335E4B">
        <w:rPr>
          <w:rFonts w:cs="Traditional Arabic" w:hint="cs"/>
          <w:sz w:val="20"/>
          <w:szCs w:val="30"/>
          <w:rtl/>
          <w:lang w:bidi="ar-EG"/>
        </w:rPr>
        <w:t>المرجَل</w:t>
      </w:r>
      <w:r w:rsidRPr="00335E4B">
        <w:rPr>
          <w:rFonts w:cs="Traditional Arabic"/>
          <w:sz w:val="20"/>
          <w:szCs w:val="30"/>
          <w:rtl/>
          <w:lang w:bidi="ar-EG"/>
        </w:rPr>
        <w:t xml:space="preserve">: ما يسمى مرسب ”الجانب البارد“ </w:t>
      </w:r>
      <w:r w:rsidRPr="00335E4B">
        <w:rPr>
          <w:rFonts w:cs="Times New Roman"/>
          <w:sz w:val="20"/>
          <w:szCs w:val="20"/>
          <w:rtl/>
          <w:lang w:bidi="ar-EG"/>
        </w:rPr>
        <w:t>(</w:t>
      </w:r>
      <w:r w:rsidRPr="00335E4B">
        <w:rPr>
          <w:rFonts w:eastAsia="SimSun" w:cs="Times New Roman"/>
          <w:sz w:val="20"/>
          <w:szCs w:val="20"/>
        </w:rPr>
        <w:t>ESPc</w:t>
      </w:r>
      <w:r w:rsidRPr="00335E4B">
        <w:rPr>
          <w:rFonts w:cs="Times New Roman"/>
          <w:sz w:val="20"/>
          <w:szCs w:val="20"/>
          <w:rtl/>
          <w:lang w:bidi="ar-EG"/>
        </w:rPr>
        <w:t>)</w:t>
      </w:r>
      <w:r w:rsidRPr="00335E4B">
        <w:rPr>
          <w:rFonts w:cs="Traditional Arabic"/>
          <w:sz w:val="20"/>
          <w:szCs w:val="30"/>
          <w:rtl/>
          <w:lang w:bidi="ar-EG"/>
        </w:rPr>
        <w:t xml:space="preserve"> ومرسب ”الجانب الساخن“ </w:t>
      </w:r>
      <w:r w:rsidRPr="00335E4B">
        <w:rPr>
          <w:rFonts w:cs="Times New Roman"/>
          <w:sz w:val="20"/>
          <w:szCs w:val="20"/>
          <w:rtl/>
          <w:lang w:bidi="ar-EG"/>
        </w:rPr>
        <w:t>(</w:t>
      </w:r>
      <w:r w:rsidRPr="00335E4B">
        <w:rPr>
          <w:rFonts w:eastAsia="SimSun" w:cs="Times New Roman"/>
          <w:sz w:val="20"/>
          <w:szCs w:val="20"/>
        </w:rPr>
        <w:t>ESPh</w:t>
      </w:r>
      <w:r w:rsidRPr="00335E4B">
        <w:rPr>
          <w:rFonts w:cs="Times New Roman"/>
          <w:sz w:val="20"/>
          <w:szCs w:val="20"/>
          <w:rtl/>
          <w:lang w:bidi="ar-EG"/>
        </w:rPr>
        <w:t>)</w:t>
      </w:r>
      <w:r w:rsidRPr="00335E4B">
        <w:rPr>
          <w:rFonts w:cs="Traditional Arabic"/>
          <w:sz w:val="20"/>
          <w:szCs w:val="30"/>
          <w:rtl/>
          <w:lang w:bidi="ar-EG"/>
        </w:rPr>
        <w:t xml:space="preserve">. ويتم تركيب مرسب الجانب البارد في </w:t>
      </w:r>
      <w:r w:rsidRPr="00335E4B">
        <w:rPr>
          <w:rFonts w:cs="Traditional Arabic" w:hint="cs"/>
          <w:sz w:val="20"/>
          <w:szCs w:val="30"/>
          <w:rtl/>
          <w:lang w:bidi="ar-EG"/>
        </w:rPr>
        <w:t>ا</w:t>
      </w:r>
      <w:r w:rsidRPr="00335E4B">
        <w:rPr>
          <w:rFonts w:cs="Traditional Arabic"/>
          <w:sz w:val="20"/>
          <w:szCs w:val="30"/>
          <w:rtl/>
          <w:lang w:bidi="ar-EG"/>
        </w:rPr>
        <w:t xml:space="preserve">تجاه </w:t>
      </w:r>
      <w:r w:rsidRPr="00335E4B">
        <w:rPr>
          <w:rFonts w:cs="Traditional Arabic" w:hint="cs"/>
          <w:sz w:val="20"/>
          <w:szCs w:val="30"/>
          <w:rtl/>
          <w:lang w:bidi="ar-EG"/>
        </w:rPr>
        <w:t xml:space="preserve">خروج </w:t>
      </w:r>
      <w:r w:rsidRPr="00335E4B">
        <w:rPr>
          <w:rFonts w:cs="Traditional Arabic"/>
          <w:sz w:val="20"/>
          <w:szCs w:val="30"/>
          <w:rtl/>
          <w:lang w:bidi="ar-EG"/>
        </w:rPr>
        <w:t xml:space="preserve">مسخِّن الهواء (درجة حرارة غاز المدخنة تتراوح بين 130 درجة مئوية و180 درجة مئوية). ويتم تركيب مرسب الجانب الساخن في </w:t>
      </w:r>
      <w:r w:rsidRPr="00335E4B">
        <w:rPr>
          <w:rFonts w:cs="Traditional Arabic" w:hint="cs"/>
          <w:sz w:val="20"/>
          <w:szCs w:val="30"/>
          <w:rtl/>
          <w:lang w:bidi="ar-EG"/>
        </w:rPr>
        <w:t>المنبع</w:t>
      </w:r>
      <w:r w:rsidRPr="00335E4B">
        <w:rPr>
          <w:rFonts w:cs="Traditional Arabic"/>
          <w:sz w:val="20"/>
          <w:szCs w:val="30"/>
          <w:rtl/>
          <w:lang w:bidi="ar-EG"/>
        </w:rPr>
        <w:t xml:space="preserve"> لمسخِّن الهواء (تتراوح درجة حرارة غاز المدخنة بين 300 درجة مئوية و400 درجة مئوية) ويمكِّن ذلك من الاستفادة من انخفاض مقاومة الرماد المتطاير في درجات الحرارة الأعلى. ويتسم ذلك بأهمية خاصة في الوحدات التي تعمل بحرق فحم منخفض الكبريت، مما يؤدي إلى رماد متطاير بمقاومة كهربائية أعلى. والمرسب الكهروستاتيكي </w:t>
      </w:r>
      <w:r w:rsidRPr="00335E4B">
        <w:rPr>
          <w:rFonts w:cs="Traditional Arabic" w:hint="cs"/>
          <w:sz w:val="20"/>
          <w:szCs w:val="30"/>
          <w:rtl/>
          <w:lang w:bidi="ar-EG"/>
        </w:rPr>
        <w:t>الرطب</w:t>
      </w:r>
      <w:r w:rsidRPr="00335E4B">
        <w:rPr>
          <w:rFonts w:cs="Traditional Arabic"/>
          <w:sz w:val="20"/>
          <w:szCs w:val="30"/>
          <w:rtl/>
          <w:lang w:bidi="ar-EG"/>
        </w:rPr>
        <w:t xml:space="preserve"> هو نوع جديد من المرسبات ويتسم بكفاءة أعلى لجمع الجسيمات</w:t>
      </w:r>
      <w:r w:rsidRPr="00335E4B">
        <w:rPr>
          <w:rFonts w:cs="Traditional Arabic" w:hint="cs"/>
          <w:sz w:val="20"/>
          <w:szCs w:val="30"/>
          <w:rtl/>
          <w:lang w:bidi="ar-EG"/>
        </w:rPr>
        <w:t xml:space="preserve"> الدقيقة</w:t>
      </w:r>
      <w:r w:rsidRPr="00335E4B">
        <w:rPr>
          <w:rFonts w:cs="Traditional Arabic"/>
          <w:sz w:val="20"/>
          <w:szCs w:val="30"/>
          <w:rtl/>
          <w:lang w:bidi="ar-EG"/>
        </w:rPr>
        <w:t xml:space="preserve"> (ألتمان وآخرون، 2001 وستايل وآخرون، 2003). ولكن لم يتم بعد القيام بقياسات في الموقع بشأن إزالة </w:t>
      </w:r>
      <w:r w:rsidRPr="00335E4B">
        <w:rPr>
          <w:rFonts w:cs="Traditional Arabic" w:hint="cs"/>
          <w:sz w:val="20"/>
          <w:szCs w:val="30"/>
          <w:rtl/>
          <w:lang w:bidi="ar-EG"/>
        </w:rPr>
        <w:t>الزئبق</w:t>
      </w:r>
      <w:r w:rsidRPr="00335E4B">
        <w:rPr>
          <w:rFonts w:cs="Traditional Arabic"/>
          <w:sz w:val="20"/>
          <w:szCs w:val="30"/>
          <w:rtl/>
          <w:lang w:bidi="ar-EG"/>
        </w:rPr>
        <w:t xml:space="preserve"> داخل المرسب </w:t>
      </w:r>
      <w:r w:rsidRPr="00335E4B">
        <w:rPr>
          <w:rFonts w:cs="Traditional Arabic" w:hint="cs"/>
          <w:sz w:val="20"/>
          <w:szCs w:val="30"/>
          <w:rtl/>
          <w:lang w:bidi="ar-EG"/>
        </w:rPr>
        <w:t>الرطب</w:t>
      </w:r>
      <w:r w:rsidRPr="00335E4B">
        <w:rPr>
          <w:rFonts w:cs="Traditional Arabic"/>
          <w:sz w:val="20"/>
          <w:szCs w:val="30"/>
          <w:rtl/>
          <w:lang w:bidi="ar-EG"/>
        </w:rPr>
        <w:t xml:space="preserve">. </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و</w:t>
      </w:r>
      <w:r w:rsidRPr="00335E4B">
        <w:rPr>
          <w:rFonts w:cs="Traditional Arabic"/>
          <w:sz w:val="20"/>
          <w:szCs w:val="30"/>
          <w:rtl/>
          <w:lang w:bidi="ar-EG"/>
        </w:rPr>
        <w:t xml:space="preserve">لوحظت مستويات متباينة من إزالة الزئبق في المرسبات الكهروستاتيكية. ويتوقف مستوى إزالة الزئبق </w:t>
      </w:r>
      <w:r w:rsidRPr="00335E4B">
        <w:rPr>
          <w:rFonts w:cs="Traditional Arabic" w:hint="cs"/>
          <w:sz w:val="20"/>
          <w:szCs w:val="30"/>
          <w:rtl/>
          <w:lang w:bidi="ar-EG"/>
        </w:rPr>
        <w:t>على ما</w:t>
      </w:r>
      <w:r w:rsidRPr="00335E4B">
        <w:rPr>
          <w:rFonts w:cs="Traditional Arabic"/>
          <w:sz w:val="20"/>
          <w:szCs w:val="30"/>
          <w:rtl/>
          <w:lang w:bidi="ar-EG"/>
        </w:rPr>
        <w:t xml:space="preserve"> إن كان المرسب الكهروستاتيكي في الجانب البارد أو في الجانب الساخن، و</w:t>
      </w:r>
      <w:r w:rsidRPr="00335E4B">
        <w:rPr>
          <w:rFonts w:cs="Traditional Arabic" w:hint="cs"/>
          <w:sz w:val="20"/>
          <w:szCs w:val="30"/>
          <w:rtl/>
          <w:lang w:bidi="ar-EG"/>
        </w:rPr>
        <w:t xml:space="preserve">على </w:t>
      </w:r>
      <w:r w:rsidRPr="00335E4B">
        <w:rPr>
          <w:rFonts w:cs="Traditional Arabic"/>
          <w:sz w:val="20"/>
          <w:szCs w:val="30"/>
          <w:rtl/>
          <w:lang w:bidi="ar-EG"/>
        </w:rPr>
        <w:t xml:space="preserve">نوع الفحم المحروق، ونوع </w:t>
      </w:r>
      <w:r w:rsidRPr="00335E4B">
        <w:rPr>
          <w:rFonts w:cs="Traditional Arabic" w:hint="cs"/>
          <w:sz w:val="20"/>
          <w:szCs w:val="30"/>
          <w:rtl/>
          <w:lang w:bidi="ar-EG"/>
        </w:rPr>
        <w:t>المرجَل</w:t>
      </w:r>
      <w:r w:rsidRPr="00335E4B">
        <w:rPr>
          <w:rFonts w:cs="Traditional Arabic"/>
          <w:sz w:val="20"/>
          <w:szCs w:val="30"/>
          <w:rtl/>
          <w:lang w:bidi="ar-EG"/>
        </w:rPr>
        <w:t xml:space="preserve">، وعوامل أخرى مثل محتوى الكبريت في الفحم ومستوى الكربون غير المحروق في الرماد المتطاير. والمرسب في الجانب الساخن يكون عموماً أقل فعالية في إزالة الزئبق عن المرسب المقام في الجانب البارد. وعلى سبيل المثال، </w:t>
      </w:r>
      <w:r w:rsidRPr="00335E4B">
        <w:rPr>
          <w:rFonts w:cs="Traditional Arabic" w:hint="cs"/>
          <w:sz w:val="20"/>
          <w:szCs w:val="30"/>
          <w:rtl/>
          <w:lang w:bidi="ar-EG"/>
        </w:rPr>
        <w:t>فعلى الرغم من</w:t>
      </w:r>
      <w:r w:rsidRPr="00335E4B">
        <w:rPr>
          <w:rFonts w:cs="Traditional Arabic"/>
          <w:sz w:val="20"/>
          <w:szCs w:val="30"/>
          <w:rtl/>
          <w:lang w:bidi="ar-EG"/>
        </w:rPr>
        <w:t xml:space="preserve"> أن مستوى إزالة الزئبق المُبلًّغ عنه</w:t>
      </w:r>
      <w:r w:rsidRPr="00335E4B">
        <w:rPr>
          <w:rFonts w:cs="Traditional Arabic" w:hint="cs"/>
          <w:sz w:val="20"/>
          <w:szCs w:val="30"/>
          <w:rtl/>
          <w:lang w:bidi="ar-EG"/>
        </w:rPr>
        <w:t>ا</w:t>
      </w:r>
      <w:r w:rsidRPr="00335E4B">
        <w:rPr>
          <w:rFonts w:cs="Traditional Arabic"/>
          <w:sz w:val="20"/>
          <w:szCs w:val="30"/>
          <w:rtl/>
          <w:lang w:bidi="ar-EG"/>
        </w:rPr>
        <w:t xml:space="preserve"> </w:t>
      </w:r>
      <w:r w:rsidRPr="00335E4B">
        <w:rPr>
          <w:rFonts w:cs="Traditional Arabic" w:hint="cs"/>
          <w:sz w:val="20"/>
          <w:szCs w:val="30"/>
          <w:rtl/>
          <w:lang w:bidi="ar-EG"/>
        </w:rPr>
        <w:t>باستعمال</w:t>
      </w:r>
      <w:r w:rsidRPr="00335E4B">
        <w:rPr>
          <w:rFonts w:cs="Traditional Arabic"/>
          <w:sz w:val="20"/>
          <w:szCs w:val="30"/>
          <w:rtl/>
          <w:lang w:bidi="ar-EG"/>
        </w:rPr>
        <w:t xml:space="preserve"> مرسب كهروستاتيكي يعمل على الفحم القيري </w:t>
      </w:r>
      <w:r w:rsidRPr="00335E4B">
        <w:rPr>
          <w:rFonts w:cs="Traditional Arabic" w:hint="cs"/>
          <w:sz w:val="20"/>
          <w:szCs w:val="30"/>
          <w:rtl/>
          <w:lang w:bidi="ar-EG"/>
        </w:rPr>
        <w:t>تبلغ</w:t>
      </w:r>
      <w:r w:rsidRPr="00335E4B">
        <w:rPr>
          <w:rFonts w:cs="Traditional Arabic"/>
          <w:sz w:val="20"/>
          <w:szCs w:val="30"/>
          <w:rtl/>
          <w:lang w:bidi="ar-EG"/>
        </w:rPr>
        <w:t xml:space="preserve"> 30 في المائة فإن </w:t>
      </w:r>
      <w:r w:rsidRPr="00335E4B">
        <w:rPr>
          <w:rFonts w:cs="Traditional Arabic" w:hint="cs"/>
          <w:sz w:val="20"/>
          <w:szCs w:val="30"/>
          <w:rtl/>
          <w:lang w:bidi="ar-EG"/>
        </w:rPr>
        <w:t>نطاق</w:t>
      </w:r>
      <w:r w:rsidRPr="00335E4B">
        <w:rPr>
          <w:rFonts w:cs="Traditional Arabic"/>
          <w:sz w:val="20"/>
          <w:szCs w:val="30"/>
          <w:rtl/>
          <w:lang w:bidi="ar-EG"/>
        </w:rPr>
        <w:t xml:space="preserve"> الإزالة المقاسة </w:t>
      </w:r>
      <w:r w:rsidRPr="00335E4B">
        <w:rPr>
          <w:rFonts w:cs="Traditional Arabic" w:hint="cs"/>
          <w:sz w:val="20"/>
          <w:szCs w:val="30"/>
          <w:rtl/>
          <w:lang w:bidi="ar-EG"/>
        </w:rPr>
        <w:t>ي</w:t>
      </w:r>
      <w:r w:rsidRPr="00335E4B">
        <w:rPr>
          <w:rFonts w:cs="Traditional Arabic"/>
          <w:sz w:val="20"/>
          <w:szCs w:val="30"/>
          <w:rtl/>
          <w:lang w:bidi="ar-EG"/>
        </w:rPr>
        <w:t xml:space="preserve">تراوح بين صفر إلى حوالي 60 في المائة (وكالة حماية البيئة في الولايات المتحدة، 2001). وقد يكون </w:t>
      </w:r>
      <w:r w:rsidRPr="00335E4B">
        <w:rPr>
          <w:rFonts w:cs="Traditional Arabic" w:hint="cs"/>
          <w:sz w:val="20"/>
          <w:szCs w:val="30"/>
          <w:rtl/>
          <w:lang w:bidi="ar-EG"/>
        </w:rPr>
        <w:t>ال</w:t>
      </w:r>
      <w:r w:rsidRPr="00335E4B">
        <w:rPr>
          <w:rFonts w:cs="Traditional Arabic"/>
          <w:sz w:val="20"/>
          <w:szCs w:val="30"/>
          <w:rtl/>
          <w:lang w:bidi="ar-EG"/>
        </w:rPr>
        <w:t xml:space="preserve">مدى المقاس </w:t>
      </w:r>
      <w:r w:rsidRPr="00335E4B">
        <w:rPr>
          <w:rFonts w:cs="Traditional Arabic" w:hint="cs"/>
          <w:sz w:val="20"/>
          <w:szCs w:val="30"/>
          <w:rtl/>
          <w:lang w:bidi="ar-EG"/>
        </w:rPr>
        <w:t>ل</w:t>
      </w:r>
      <w:r w:rsidRPr="00335E4B">
        <w:rPr>
          <w:rFonts w:cs="Traditional Arabic"/>
          <w:sz w:val="20"/>
          <w:szCs w:val="30"/>
          <w:rtl/>
          <w:lang w:bidi="ar-EG"/>
        </w:rPr>
        <w:t xml:space="preserve">إزالة الزئبق، وخاصة </w:t>
      </w:r>
      <w:r w:rsidRPr="00335E4B">
        <w:rPr>
          <w:rFonts w:cs="Traditional Arabic" w:hint="cs"/>
          <w:sz w:val="20"/>
          <w:szCs w:val="30"/>
          <w:rtl/>
          <w:lang w:bidi="ar-EG"/>
        </w:rPr>
        <w:t>في حالة ا</w:t>
      </w:r>
      <w:r w:rsidRPr="00335E4B">
        <w:rPr>
          <w:rFonts w:cs="Traditional Arabic"/>
          <w:sz w:val="20"/>
          <w:szCs w:val="30"/>
          <w:rtl/>
          <w:lang w:bidi="ar-EG"/>
        </w:rPr>
        <w:t>لمرسب الكهروستاتيكي، دالة على إمكانية تحسين التقاط الزئبق نتيجة زيادة كفاءة أداة تجميع الجسيمات. ومن المهم أن نفهم أداء جمع الجسيمات في أي جهاز نظراً لأن ذلك يؤثر بدوره على قدرة الجهاز على تقليل انبعاثات الزئبق.</w:t>
      </w:r>
    </w:p>
    <w:p w:rsidR="00335E4B" w:rsidRPr="00335E4B" w:rsidRDefault="00335E4B" w:rsidP="00335E4B">
      <w:pPr>
        <w:spacing w:after="120" w:line="400" w:lineRule="exact"/>
        <w:jc w:val="both"/>
        <w:rPr>
          <w:rFonts w:cs="Traditional Arabic"/>
          <w:sz w:val="16"/>
          <w:szCs w:val="30"/>
          <w:rtl/>
          <w:lang w:bidi="ar-EG"/>
        </w:rPr>
      </w:pPr>
      <w:r w:rsidRPr="00335E4B">
        <w:rPr>
          <w:rFonts w:cs="Traditional Arabic"/>
          <w:sz w:val="20"/>
          <w:szCs w:val="30"/>
          <w:rtl/>
          <w:lang w:bidi="ar-EG"/>
        </w:rPr>
        <w:t xml:space="preserve">وتشير النمذجة الأساسية لإزالة الزئبق في المرسبات الكهروستاتيكية إلى أن </w:t>
      </w:r>
      <w:r w:rsidRPr="00335E4B">
        <w:rPr>
          <w:rFonts w:cs="Traditional Arabic" w:hint="cs"/>
          <w:sz w:val="20"/>
          <w:szCs w:val="30"/>
          <w:rtl/>
          <w:lang w:bidi="ar-EG"/>
        </w:rPr>
        <w:t>تقييدات</w:t>
      </w:r>
      <w:r w:rsidRPr="00335E4B">
        <w:rPr>
          <w:rFonts w:cs="Traditional Arabic"/>
          <w:sz w:val="20"/>
          <w:szCs w:val="30"/>
          <w:rtl/>
          <w:lang w:bidi="ar-EG"/>
        </w:rPr>
        <w:t xml:space="preserve"> </w:t>
      </w:r>
      <w:r w:rsidRPr="00335E4B">
        <w:rPr>
          <w:rFonts w:cs="Traditional Arabic" w:hint="cs"/>
          <w:sz w:val="20"/>
          <w:szCs w:val="30"/>
          <w:rtl/>
          <w:lang w:bidi="ar-EG"/>
        </w:rPr>
        <w:t xml:space="preserve">انتقال </w:t>
      </w:r>
      <w:r w:rsidRPr="00335E4B">
        <w:rPr>
          <w:rFonts w:cs="Traditional Arabic"/>
          <w:sz w:val="20"/>
          <w:szCs w:val="30"/>
          <w:rtl/>
          <w:lang w:bidi="ar-EG"/>
        </w:rPr>
        <w:t>ال</w:t>
      </w:r>
      <w:r w:rsidRPr="00335E4B">
        <w:rPr>
          <w:rFonts w:cs="Traditional Arabic" w:hint="cs"/>
          <w:sz w:val="20"/>
          <w:szCs w:val="30"/>
          <w:rtl/>
          <w:lang w:bidi="ar-EG"/>
        </w:rPr>
        <w:t>ك</w:t>
      </w:r>
      <w:r w:rsidRPr="00335E4B">
        <w:rPr>
          <w:rFonts w:cs="Traditional Arabic"/>
          <w:sz w:val="20"/>
          <w:szCs w:val="30"/>
          <w:rtl/>
          <w:lang w:bidi="ar-EG"/>
        </w:rPr>
        <w:t>تلة</w:t>
      </w:r>
      <w:r w:rsidRPr="00335E4B">
        <w:rPr>
          <w:rFonts w:cs="Traditional Arabic" w:hint="cs"/>
          <w:sz w:val="20"/>
          <w:szCs w:val="30"/>
          <w:rtl/>
          <w:lang w:bidi="ar-EG"/>
        </w:rPr>
        <w:t xml:space="preserve"> قد تؤدي</w:t>
      </w:r>
      <w:r w:rsidRPr="00335E4B">
        <w:rPr>
          <w:rFonts w:cs="Traditional Arabic"/>
          <w:sz w:val="20"/>
          <w:szCs w:val="30"/>
          <w:rtl/>
          <w:lang w:bidi="ar-EG"/>
        </w:rPr>
        <w:t xml:space="preserve">، حتى في </w:t>
      </w:r>
      <w:r w:rsidRPr="00335E4B">
        <w:rPr>
          <w:rFonts w:cs="Traditional Arabic" w:hint="cs"/>
          <w:sz w:val="20"/>
          <w:szCs w:val="30"/>
          <w:rtl/>
          <w:lang w:bidi="ar-EG"/>
        </w:rPr>
        <w:t>ال</w:t>
      </w:r>
      <w:r w:rsidRPr="00335E4B">
        <w:rPr>
          <w:rFonts w:cs="Traditional Arabic"/>
          <w:sz w:val="20"/>
          <w:szCs w:val="30"/>
          <w:rtl/>
          <w:lang w:bidi="ar-EG"/>
        </w:rPr>
        <w:t xml:space="preserve">ظروف </w:t>
      </w:r>
      <w:r w:rsidRPr="00335E4B">
        <w:rPr>
          <w:rFonts w:cs="Traditional Arabic" w:hint="cs"/>
          <w:sz w:val="20"/>
          <w:szCs w:val="30"/>
          <w:rtl/>
          <w:lang w:bidi="ar-EG"/>
        </w:rPr>
        <w:t>ال</w:t>
      </w:r>
      <w:r w:rsidRPr="00335E4B">
        <w:rPr>
          <w:rFonts w:cs="Traditional Arabic"/>
          <w:sz w:val="20"/>
          <w:szCs w:val="30"/>
          <w:rtl/>
          <w:lang w:bidi="ar-EG"/>
        </w:rPr>
        <w:t xml:space="preserve">مثالية، </w:t>
      </w:r>
      <w:r w:rsidRPr="00335E4B">
        <w:rPr>
          <w:rFonts w:cs="Traditional Arabic" w:hint="cs"/>
          <w:sz w:val="20"/>
          <w:szCs w:val="30"/>
          <w:rtl/>
          <w:lang w:bidi="ar-EG"/>
        </w:rPr>
        <w:t xml:space="preserve">إلى تقييد </w:t>
      </w:r>
      <w:r w:rsidRPr="00335E4B">
        <w:rPr>
          <w:rFonts w:cs="Traditional Arabic"/>
          <w:sz w:val="20"/>
          <w:szCs w:val="30"/>
          <w:rtl/>
          <w:lang w:bidi="ar-EG"/>
        </w:rPr>
        <w:t xml:space="preserve">إمكانية التقاط الزئبق بالجسيمات </w:t>
      </w:r>
      <w:r w:rsidRPr="00335E4B">
        <w:rPr>
          <w:rFonts w:cs="Traditional Arabic" w:hint="cs"/>
          <w:sz w:val="20"/>
          <w:szCs w:val="30"/>
          <w:rtl/>
          <w:lang w:bidi="ar-EG"/>
        </w:rPr>
        <w:t>المتجمعة</w:t>
      </w:r>
      <w:r w:rsidRPr="00335E4B">
        <w:rPr>
          <w:rFonts w:cs="Traditional Arabic"/>
          <w:sz w:val="20"/>
          <w:szCs w:val="30"/>
          <w:rtl/>
          <w:lang w:bidi="ar-EG"/>
        </w:rPr>
        <w:t xml:space="preserve"> على الإلكترودات في المرسب الكهروستاتيكي (كلاك، 2006 وكلاك، 2009). فالمرسبات تقوم بإزالة الزئبق العالق بالجسيمات (</w:t>
      </w:r>
      <w:r w:rsidRPr="00335E4B">
        <w:rPr>
          <w:rFonts w:eastAsia="SimSun" w:cs="Traditional Arabic"/>
          <w:sz w:val="20"/>
          <w:szCs w:val="22"/>
        </w:rPr>
        <w:t>Hg</w:t>
      </w:r>
      <w:r w:rsidRPr="00335E4B">
        <w:rPr>
          <w:rFonts w:eastAsia="SimSun" w:cs="Traditional Arabic"/>
          <w:sz w:val="20"/>
          <w:szCs w:val="22"/>
          <w:vertAlign w:val="subscript"/>
        </w:rPr>
        <w:t>P</w:t>
      </w:r>
      <w:r w:rsidRPr="00335E4B">
        <w:rPr>
          <w:rFonts w:cs="Traditional Arabic"/>
          <w:sz w:val="20"/>
          <w:szCs w:val="30"/>
          <w:rtl/>
          <w:lang w:bidi="ar-EG"/>
        </w:rPr>
        <w:t>) فقط في عملية جمع الجسيمات. و</w:t>
      </w:r>
      <w:r w:rsidRPr="00335E4B">
        <w:rPr>
          <w:rFonts w:cs="Traditional Arabic" w:hint="cs"/>
          <w:sz w:val="20"/>
          <w:szCs w:val="30"/>
          <w:rtl/>
          <w:lang w:bidi="ar-EG"/>
        </w:rPr>
        <w:t>هذا الزئبق العالق</w:t>
      </w:r>
      <w:r w:rsidRPr="00335E4B">
        <w:rPr>
          <w:rFonts w:cs="Traditional Arabic"/>
          <w:sz w:val="20"/>
          <w:szCs w:val="30"/>
          <w:rtl/>
          <w:lang w:bidi="ar-EG"/>
        </w:rPr>
        <w:t xml:space="preserve"> </w:t>
      </w:r>
      <w:r w:rsidRPr="00335E4B">
        <w:rPr>
          <w:rFonts w:cs="Traditional Arabic" w:hint="cs"/>
          <w:sz w:val="20"/>
          <w:szCs w:val="30"/>
          <w:rtl/>
          <w:lang w:bidi="ar-EG"/>
        </w:rPr>
        <w:t xml:space="preserve">يرتبط </w:t>
      </w:r>
      <w:r w:rsidRPr="00335E4B">
        <w:rPr>
          <w:rFonts w:cs="Traditional Arabic"/>
          <w:sz w:val="20"/>
          <w:szCs w:val="30"/>
          <w:rtl/>
          <w:lang w:bidi="ar-EG"/>
        </w:rPr>
        <w:t>تفضيلياً بالكربون غير المحروق. وقدرة امتزاز الزئبق في الجزئيات غير العضوية (الرماد المتطاير) هي قدرة منخفضة نمطياً بالمقارنة بالكربون غير المحروق في الرماد المتطاير. وقد لوحظت علاقة بين كمية الكربون غير المحروق وإزالة الزئبق عبر المرسبات الكهروستاتيكية في حالة الرماد المتطاير من الفحم القيري (سنيور وجونسون، 2008). ويتضح هذا السلوك في الشكل 5 الذي يوضح النسبة المئوية للالتقاط (النسبة المئوية للزئبق الداخل إلى المرسب) كدالة على مقدار الكربون غير المحروق. وفي الشكل 5، يتم التعبير عن الزئبق غير المحروق باعتباره فاقداً مقاساً عند الاشتعال (</w:t>
      </w:r>
      <w:r w:rsidRPr="00335E4B">
        <w:rPr>
          <w:rFonts w:cs="Traditional Arabic"/>
          <w:sz w:val="20"/>
          <w:szCs w:val="30"/>
          <w:lang w:bidi="ar-EG"/>
        </w:rPr>
        <w:t>LOI</w:t>
      </w:r>
      <w:r w:rsidRPr="00335E4B">
        <w:rPr>
          <w:rFonts w:cs="Traditional Arabic"/>
          <w:sz w:val="20"/>
          <w:szCs w:val="30"/>
          <w:rtl/>
          <w:lang w:bidi="ar-EG"/>
        </w:rPr>
        <w:t xml:space="preserve">). </w:t>
      </w:r>
      <w:r w:rsidRPr="00335E4B">
        <w:rPr>
          <w:rFonts w:cs="Traditional Arabic" w:hint="cs"/>
          <w:sz w:val="20"/>
          <w:szCs w:val="30"/>
          <w:rtl/>
          <w:lang w:bidi="ar-EG"/>
        </w:rPr>
        <w:t xml:space="preserve">وكما نرى فإن الشكل يبين </w:t>
      </w:r>
      <w:r w:rsidRPr="00335E4B">
        <w:rPr>
          <w:rFonts w:cs="Traditional Arabic"/>
          <w:sz w:val="20"/>
          <w:szCs w:val="30"/>
          <w:rtl/>
          <w:lang w:bidi="ar-EG"/>
        </w:rPr>
        <w:t xml:space="preserve">أن التقاط الزئبق يتراوح بين 20 و40 في المائة في مرسِّب يلتقط رماداً متطايراً يحتوي على حوالي 5 في المائة من الكربون غير المحروق. ومع ارتفاع محتوى الكربون غير المحروق، يمكن أن </w:t>
      </w:r>
      <w:r w:rsidRPr="00335E4B">
        <w:rPr>
          <w:rFonts w:cs="Traditional Arabic" w:hint="cs"/>
          <w:sz w:val="20"/>
          <w:szCs w:val="30"/>
          <w:rtl/>
          <w:lang w:bidi="ar-EG"/>
        </w:rPr>
        <w:t xml:space="preserve">نرى أن </w:t>
      </w:r>
      <w:r w:rsidRPr="00335E4B">
        <w:rPr>
          <w:rFonts w:cs="Traditional Arabic"/>
          <w:sz w:val="20"/>
          <w:szCs w:val="30"/>
          <w:rtl/>
          <w:lang w:bidi="ar-EG"/>
        </w:rPr>
        <w:t xml:space="preserve">التقاط الزئبق </w:t>
      </w:r>
      <w:r w:rsidRPr="00335E4B">
        <w:rPr>
          <w:rFonts w:cs="Traditional Arabic" w:hint="cs"/>
          <w:sz w:val="20"/>
          <w:szCs w:val="30"/>
          <w:rtl/>
          <w:lang w:bidi="ar-EG"/>
        </w:rPr>
        <w:t xml:space="preserve">يصل إلى </w:t>
      </w:r>
      <w:r w:rsidRPr="00335E4B">
        <w:rPr>
          <w:rFonts w:cs="Traditional Arabic"/>
          <w:sz w:val="20"/>
          <w:szCs w:val="30"/>
          <w:rtl/>
          <w:lang w:bidi="ar-EG"/>
        </w:rPr>
        <w:t>نسبة 80 في المائة؛ وهو ما يحتمل أن يكون دالة على الهالوجينات الموجودة (فوستين وآخرون، 2003).</w:t>
      </w:r>
    </w:p>
    <w:p w:rsidR="00335E4B" w:rsidRPr="00335E4B" w:rsidRDefault="00335E4B" w:rsidP="00335E4B">
      <w:pPr>
        <w:tabs>
          <w:tab w:val="left" w:pos="663"/>
          <w:tab w:val="left" w:pos="1117"/>
          <w:tab w:val="left" w:pos="2230"/>
          <w:tab w:val="center" w:pos="5468"/>
        </w:tabs>
        <w:bidi w:val="0"/>
        <w:spacing w:after="120" w:line="400" w:lineRule="exact"/>
        <w:jc w:val="lowKashida"/>
        <w:rPr>
          <w:rFonts w:cs="Traditional Arabic"/>
          <w:sz w:val="16"/>
          <w:szCs w:val="30"/>
          <w:rtl/>
          <w:lang w:bidi="ar-EG"/>
        </w:rPr>
      </w:pPr>
      <w:r>
        <w:rPr>
          <w:rFonts w:cs="Traditional Arabic"/>
          <w:noProof/>
          <w:sz w:val="16"/>
          <w:szCs w:val="30"/>
          <w:lang w:val="en-GB" w:eastAsia="zh-CN"/>
        </w:rPr>
        <mc:AlternateContent>
          <mc:Choice Requires="wpg">
            <w:drawing>
              <wp:anchor distT="0" distB="0" distL="114300" distR="114300" simplePos="0" relativeHeight="251671552" behindDoc="0" locked="0" layoutInCell="1" allowOverlap="1" wp14:anchorId="0CB4D4EC" wp14:editId="1059252C">
                <wp:simplePos x="0" y="0"/>
                <wp:positionH relativeFrom="column">
                  <wp:posOffset>1086936</wp:posOffset>
                </wp:positionH>
                <wp:positionV relativeFrom="paragraph">
                  <wp:posOffset>239351</wp:posOffset>
                </wp:positionV>
                <wp:extent cx="3662680" cy="2515235"/>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2680" cy="2515235"/>
                          <a:chOff x="4070" y="7431"/>
                          <a:chExt cx="5768" cy="3961"/>
                        </a:xfrm>
                      </wpg:grpSpPr>
                      <wps:wsp>
                        <wps:cNvPr id="554" name="Text Box 153"/>
                        <wps:cNvSpPr txBox="1">
                          <a:spLocks noChangeArrowheads="1"/>
                        </wps:cNvSpPr>
                        <wps:spPr bwMode="auto">
                          <a:xfrm>
                            <a:off x="8307" y="7464"/>
                            <a:ext cx="1531" cy="1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1254C4" w:rsidRDefault="00670B40" w:rsidP="00335E4B">
                              <w:pPr>
                                <w:spacing w:line="220" w:lineRule="exact"/>
                                <w:rPr>
                                  <w:rFonts w:ascii="Traditional Arabic" w:hAnsi="Traditional Arabic" w:cs="Traditional Arabic"/>
                                  <w:color w:val="000000"/>
                                  <w:sz w:val="18"/>
                                  <w:szCs w:val="18"/>
                                  <w:rtl/>
                                  <w:lang w:bidi="ar-EG"/>
                                </w:rPr>
                              </w:pPr>
                              <w:r w:rsidRPr="001254C4">
                                <w:rPr>
                                  <w:rFonts w:ascii="Traditional Arabic" w:hAnsi="Traditional Arabic" w:cs="Traditional Arabic"/>
                                  <w:color w:val="000000"/>
                                  <w:sz w:val="18"/>
                                  <w:szCs w:val="18"/>
                                  <w:rtl/>
                                  <w:lang w:bidi="ar-EG"/>
                                </w:rPr>
                                <w:t>دي فيتو وآخرون</w:t>
                              </w:r>
                            </w:p>
                            <w:p w:rsidR="00670B40" w:rsidRPr="001254C4" w:rsidRDefault="00670B40" w:rsidP="00335E4B">
                              <w:pPr>
                                <w:spacing w:line="220" w:lineRule="exact"/>
                                <w:rPr>
                                  <w:rFonts w:ascii="Traditional Arabic" w:hAnsi="Traditional Arabic" w:cs="Traditional Arabic"/>
                                  <w:color w:val="000000"/>
                                  <w:sz w:val="18"/>
                                  <w:szCs w:val="18"/>
                                  <w:rtl/>
                                  <w:lang w:bidi="ar-EG"/>
                                </w:rPr>
                              </w:pPr>
                              <w:r w:rsidRPr="001254C4">
                                <w:rPr>
                                  <w:rFonts w:ascii="Traditional Arabic" w:hAnsi="Traditional Arabic" w:cs="Traditional Arabic"/>
                                  <w:color w:val="000000"/>
                                  <w:sz w:val="18"/>
                                  <w:szCs w:val="18"/>
                                  <w:rtl/>
                                  <w:lang w:bidi="ar-EG"/>
                                </w:rPr>
                                <w:t>سيوستروم وآخرون</w:t>
                              </w:r>
                            </w:p>
                            <w:p w:rsidR="00670B40" w:rsidRPr="001254C4" w:rsidRDefault="00670B40" w:rsidP="00335E4B">
                              <w:pPr>
                                <w:spacing w:line="220" w:lineRule="exact"/>
                                <w:rPr>
                                  <w:rFonts w:ascii="Traditional Arabic" w:hAnsi="Traditional Arabic" w:cs="Traditional Arabic"/>
                                  <w:color w:val="000000"/>
                                  <w:sz w:val="18"/>
                                  <w:szCs w:val="18"/>
                                  <w:rtl/>
                                  <w:lang w:bidi="ar-EG"/>
                                </w:rPr>
                              </w:pPr>
                              <w:r w:rsidRPr="001254C4">
                                <w:rPr>
                                  <w:rFonts w:ascii="Traditional Arabic" w:hAnsi="Traditional Arabic" w:cs="Traditional Arabic"/>
                                  <w:color w:val="000000"/>
                                  <w:sz w:val="18"/>
                                  <w:szCs w:val="18"/>
                                  <w:rtl/>
                                  <w:lang w:bidi="ar-EG"/>
                                </w:rPr>
                                <w:t>المنشأة جيم</w:t>
                              </w:r>
                            </w:p>
                            <w:p w:rsidR="00670B40" w:rsidRPr="001254C4" w:rsidRDefault="00670B40" w:rsidP="00335E4B">
                              <w:pPr>
                                <w:spacing w:line="220" w:lineRule="exact"/>
                                <w:rPr>
                                  <w:rFonts w:ascii="Traditional Arabic" w:hAnsi="Traditional Arabic" w:cs="Traditional Arabic"/>
                                  <w:color w:val="000000"/>
                                  <w:sz w:val="18"/>
                                  <w:szCs w:val="18"/>
                                  <w:rtl/>
                                  <w:lang w:bidi="ar-EG"/>
                                </w:rPr>
                              </w:pPr>
                              <w:r w:rsidRPr="001254C4">
                                <w:rPr>
                                  <w:rFonts w:ascii="Traditional Arabic" w:hAnsi="Traditional Arabic" w:cs="Traditional Arabic"/>
                                  <w:color w:val="000000"/>
                                  <w:sz w:val="18"/>
                                  <w:szCs w:val="18"/>
                                  <w:rtl/>
                                  <w:lang w:bidi="ar-EG"/>
                                </w:rPr>
                                <w:t>المنشأة دال</w:t>
                              </w:r>
                            </w:p>
                            <w:p w:rsidR="00670B40" w:rsidRPr="001254C4" w:rsidRDefault="00670B40" w:rsidP="00335E4B">
                              <w:pPr>
                                <w:spacing w:line="220" w:lineRule="exact"/>
                                <w:rPr>
                                  <w:rFonts w:ascii="Traditional Arabic" w:hAnsi="Traditional Arabic" w:cs="Traditional Arabic"/>
                                  <w:color w:val="000000"/>
                                  <w:sz w:val="18"/>
                                  <w:szCs w:val="18"/>
                                  <w:rtl/>
                                  <w:lang w:bidi="ar-EG"/>
                                </w:rPr>
                              </w:pPr>
                              <w:r w:rsidRPr="001254C4">
                                <w:rPr>
                                  <w:rFonts w:ascii="Traditional Arabic" w:hAnsi="Traditional Arabic" w:cs="Traditional Arabic"/>
                                  <w:color w:val="000000"/>
                                  <w:sz w:val="18"/>
                                  <w:szCs w:val="18"/>
                                  <w:rtl/>
                                  <w:lang w:bidi="ar-EG"/>
                                </w:rPr>
                                <w:t>المنشأة هاء</w:t>
                              </w:r>
                            </w:p>
                            <w:p w:rsidR="00670B40" w:rsidRPr="002A35ED" w:rsidRDefault="00670B40" w:rsidP="00335E4B">
                              <w:pPr>
                                <w:spacing w:line="220" w:lineRule="exact"/>
                                <w:rPr>
                                  <w:color w:val="000000"/>
                                  <w:sz w:val="16"/>
                                  <w:szCs w:val="16"/>
                                  <w:lang w:bidi="ar-EG"/>
                                </w:rPr>
                              </w:pPr>
                              <w:r w:rsidRPr="001254C4">
                                <w:rPr>
                                  <w:rFonts w:ascii="Traditional Arabic" w:hAnsi="Traditional Arabic" w:cs="Traditional Arabic"/>
                                  <w:color w:val="000000"/>
                                  <w:sz w:val="18"/>
                                  <w:szCs w:val="18"/>
                                  <w:rtl/>
                                  <w:lang w:bidi="ar-EG"/>
                                </w:rPr>
                                <w:t>معدل حسب بيانات</w:t>
                              </w:r>
                              <w:r w:rsidRPr="00DB48A0">
                                <w:rPr>
                                  <w:color w:val="000000"/>
                                  <w:sz w:val="18"/>
                                  <w:szCs w:val="18"/>
                                  <w:rtl/>
                                  <w:lang w:bidi="ar-EG"/>
                                </w:rPr>
                                <w:t xml:space="preserve"> </w:t>
                              </w:r>
                              <w:r w:rsidRPr="002A35ED">
                                <w:rPr>
                                  <w:color w:val="000000"/>
                                  <w:sz w:val="12"/>
                                  <w:szCs w:val="12"/>
                                  <w:lang w:bidi="ar-EG"/>
                                </w:rPr>
                                <w:t>PC/CESP</w:t>
                              </w:r>
                            </w:p>
                          </w:txbxContent>
                        </wps:txbx>
                        <wps:bodyPr rot="0" vert="horz" wrap="square" lIns="0" tIns="0" rIns="0" bIns="0" anchor="t" anchorCtr="0" upright="1">
                          <a:noAutofit/>
                        </wps:bodyPr>
                      </wps:wsp>
                      <wps:wsp>
                        <wps:cNvPr id="555" name="Text Box 154"/>
                        <wps:cNvSpPr txBox="1">
                          <a:spLocks noChangeArrowheads="1"/>
                        </wps:cNvSpPr>
                        <wps:spPr bwMode="auto">
                          <a:xfrm>
                            <a:off x="8516" y="9528"/>
                            <a:ext cx="107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1254C4" w:rsidRDefault="00670B40" w:rsidP="00335E4B">
                              <w:pPr>
                                <w:spacing w:line="180" w:lineRule="exact"/>
                                <w:ind w:left="87"/>
                                <w:rPr>
                                  <w:rFonts w:ascii="Traditional Arabic" w:hAnsi="Traditional Arabic" w:cs="Traditional Arabic"/>
                                  <w:color w:val="000000"/>
                                  <w:szCs w:val="20"/>
                                  <w:lang w:bidi="ar-EG"/>
                                </w:rPr>
                              </w:pPr>
                              <w:r w:rsidRPr="001254C4">
                                <w:rPr>
                                  <w:rFonts w:ascii="Traditional Arabic" w:hAnsi="Traditional Arabic" w:cs="Traditional Arabic"/>
                                  <w:color w:val="000000"/>
                                  <w:szCs w:val="20"/>
                                  <w:rtl/>
                                  <w:lang w:bidi="ar-EG"/>
                                </w:rPr>
                                <w:t>وقاد</w:t>
                              </w:r>
                            </w:p>
                          </w:txbxContent>
                        </wps:txbx>
                        <wps:bodyPr rot="0" vert="horz" wrap="square" lIns="0" tIns="0" rIns="0" bIns="0" anchor="t" anchorCtr="0" upright="1">
                          <a:noAutofit/>
                        </wps:bodyPr>
                      </wps:wsp>
                      <wps:wsp>
                        <wps:cNvPr id="556" name="Text Box 155"/>
                        <wps:cNvSpPr txBox="1">
                          <a:spLocks noChangeArrowheads="1"/>
                        </wps:cNvSpPr>
                        <wps:spPr bwMode="auto">
                          <a:xfrm>
                            <a:off x="7919" y="10223"/>
                            <a:ext cx="1368"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1254C4" w:rsidRDefault="00670B40" w:rsidP="00335E4B">
                              <w:pPr>
                                <w:spacing w:line="180" w:lineRule="exact"/>
                                <w:jc w:val="center"/>
                                <w:rPr>
                                  <w:rFonts w:ascii="Traditional Arabic" w:hAnsi="Traditional Arabic" w:cs="Traditional Arabic"/>
                                  <w:color w:val="000000"/>
                                  <w:szCs w:val="20"/>
                                  <w:lang w:bidi="ar-EG"/>
                                </w:rPr>
                              </w:pPr>
                              <w:r w:rsidRPr="001254C4">
                                <w:rPr>
                                  <w:rFonts w:ascii="Traditional Arabic" w:hAnsi="Traditional Arabic" w:cs="Traditional Arabic"/>
                                  <w:color w:val="000000"/>
                                  <w:szCs w:val="20"/>
                                  <w:rtl/>
                                  <w:lang w:bidi="ar-EG"/>
                                </w:rPr>
                                <w:t>إعصاري</w:t>
                              </w:r>
                            </w:p>
                          </w:txbxContent>
                        </wps:txbx>
                        <wps:bodyPr rot="0" vert="horz" wrap="square" lIns="0" tIns="0" rIns="0" bIns="0" anchor="t" anchorCtr="0" upright="1">
                          <a:noAutofit/>
                        </wps:bodyPr>
                      </wps:wsp>
                      <wps:wsp>
                        <wps:cNvPr id="557" name="Text Box 156"/>
                        <wps:cNvSpPr txBox="1">
                          <a:spLocks noChangeArrowheads="1"/>
                        </wps:cNvSpPr>
                        <wps:spPr bwMode="auto">
                          <a:xfrm>
                            <a:off x="5907" y="10274"/>
                            <a:ext cx="1361"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1254C4" w:rsidRDefault="00670B40" w:rsidP="00335E4B">
                              <w:pPr>
                                <w:spacing w:line="180" w:lineRule="exact"/>
                                <w:jc w:val="center"/>
                                <w:rPr>
                                  <w:rFonts w:ascii="Traditional Arabic" w:hAnsi="Traditional Arabic" w:cs="Traditional Arabic"/>
                                  <w:color w:val="000000"/>
                                  <w:szCs w:val="20"/>
                                  <w:lang w:bidi="ar-EG"/>
                                </w:rPr>
                              </w:pPr>
                              <w:r w:rsidRPr="001254C4">
                                <w:rPr>
                                  <w:rFonts w:ascii="Traditional Arabic" w:hAnsi="Traditional Arabic" w:cs="Traditional Arabic"/>
                                  <w:color w:val="000000"/>
                                  <w:szCs w:val="20"/>
                                  <w:rtl/>
                                  <w:lang w:bidi="ar-EG"/>
                                </w:rPr>
                                <w:t>مرسَّب في الجانب الساخن</w:t>
                              </w:r>
                            </w:p>
                          </w:txbxContent>
                        </wps:txbx>
                        <wps:bodyPr rot="0" vert="horz" wrap="square" lIns="0" tIns="0" rIns="0" bIns="0" anchor="t" anchorCtr="0" upright="1">
                          <a:noAutofit/>
                        </wps:bodyPr>
                      </wps:wsp>
                      <wps:wsp>
                        <wps:cNvPr id="558" name="Text Box 157"/>
                        <wps:cNvSpPr txBox="1">
                          <a:spLocks noChangeArrowheads="1"/>
                        </wps:cNvSpPr>
                        <wps:spPr bwMode="auto">
                          <a:xfrm>
                            <a:off x="4070" y="7431"/>
                            <a:ext cx="342" cy="30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E536AB" w:rsidRDefault="00670B40" w:rsidP="00335E4B">
                              <w:pPr>
                                <w:spacing w:line="180" w:lineRule="exact"/>
                                <w:jc w:val="center"/>
                                <w:rPr>
                                  <w:rFonts w:ascii="Times New Roman Bold" w:hAnsi="Times New Roman Bold"/>
                                  <w:b/>
                                  <w:bCs/>
                                  <w:color w:val="000000"/>
                                  <w:sz w:val="16"/>
                                  <w:szCs w:val="20"/>
                                  <w:rtl/>
                                  <w:lang w:bidi="ar-EG"/>
                                </w:rPr>
                              </w:pPr>
                              <w:r w:rsidRPr="001254C4">
                                <w:rPr>
                                  <w:rFonts w:ascii="Traditional Arabic" w:hAnsi="Traditional Arabic" w:cs="Traditional Arabic"/>
                                  <w:b/>
                                  <w:bCs/>
                                  <w:color w:val="000000"/>
                                  <w:sz w:val="16"/>
                                  <w:szCs w:val="20"/>
                                  <w:rtl/>
                                  <w:lang w:bidi="ar-EG"/>
                                </w:rPr>
                                <w:t>نسبة مئوية من إزالة</w:t>
                              </w:r>
                              <w:r w:rsidRPr="00E536AB">
                                <w:rPr>
                                  <w:rFonts w:ascii="Times New Roman Bold" w:hAnsi="Times New Roman Bold"/>
                                  <w:b/>
                                  <w:bCs/>
                                  <w:color w:val="000000"/>
                                  <w:sz w:val="16"/>
                                  <w:szCs w:val="20"/>
                                  <w:rtl/>
                                  <w:lang w:bidi="ar-EG"/>
                                </w:rPr>
                                <w:t xml:space="preserve"> </w:t>
                              </w:r>
                              <w:r w:rsidRPr="00E536AB">
                                <w:rPr>
                                  <w:rFonts w:ascii="Times New Roman Bold" w:hAnsi="Times New Roman Bold"/>
                                  <w:b/>
                                  <w:bCs/>
                                  <w:color w:val="000000"/>
                                  <w:sz w:val="14"/>
                                  <w:szCs w:val="18"/>
                                  <w:lang w:bidi="ar-EG"/>
                                </w:rPr>
                                <w:t>Hg</w:t>
                              </w:r>
                              <w:r w:rsidRPr="00E536AB">
                                <w:rPr>
                                  <w:rFonts w:ascii="Times New Roman Bold" w:hAnsi="Times New Roman Bold"/>
                                  <w:b/>
                                  <w:bCs/>
                                  <w:color w:val="000000"/>
                                  <w:sz w:val="16"/>
                                  <w:szCs w:val="20"/>
                                  <w:rtl/>
                                  <w:lang w:bidi="ar-EG"/>
                                </w:rPr>
                                <w:t xml:space="preserve"> </w:t>
                              </w:r>
                              <w:r w:rsidRPr="001254C4">
                                <w:rPr>
                                  <w:rFonts w:ascii="Traditional Arabic" w:hAnsi="Traditional Arabic" w:cs="Traditional Arabic"/>
                                  <w:b/>
                                  <w:bCs/>
                                  <w:color w:val="000000"/>
                                  <w:sz w:val="16"/>
                                  <w:szCs w:val="20"/>
                                  <w:rtl/>
                                  <w:lang w:bidi="ar-EG"/>
                                </w:rPr>
                                <w:t>عبر مرسب كهروستاتيكي</w:t>
                              </w:r>
                            </w:p>
                          </w:txbxContent>
                        </wps:txbx>
                        <wps:bodyPr rot="0" vert="vert270" wrap="square" lIns="0" tIns="0" rIns="0" bIns="0" anchor="t" anchorCtr="0" upright="1">
                          <a:noAutofit/>
                        </wps:bodyPr>
                      </wps:wsp>
                      <wps:wsp>
                        <wps:cNvPr id="559" name="Text Box 158"/>
                        <wps:cNvSpPr txBox="1">
                          <a:spLocks noChangeArrowheads="1"/>
                        </wps:cNvSpPr>
                        <wps:spPr bwMode="auto">
                          <a:xfrm>
                            <a:off x="6122" y="11159"/>
                            <a:ext cx="3078"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2A35ED" w:rsidRDefault="00670B40" w:rsidP="00335E4B">
                              <w:pPr>
                                <w:spacing w:line="180" w:lineRule="exact"/>
                                <w:jc w:val="center"/>
                                <w:rPr>
                                  <w:color w:val="000000"/>
                                  <w:sz w:val="18"/>
                                  <w:szCs w:val="18"/>
                                  <w:rtl/>
                                  <w:lang w:bidi="ar-EG"/>
                                </w:rPr>
                              </w:pPr>
                              <w:r w:rsidRPr="001254C4">
                                <w:rPr>
                                  <w:rFonts w:ascii="Traditional Arabic" w:hAnsi="Traditional Arabic" w:cs="Traditional Arabic"/>
                                  <w:color w:val="000000"/>
                                  <w:sz w:val="24"/>
                                  <w:szCs w:val="24"/>
                                  <w:rtl/>
                                  <w:lang w:bidi="ar-EG"/>
                                </w:rPr>
                                <w:t>النسبة المئوية للفاقد عند الاشتعال (</w:t>
                              </w:r>
                              <w:r w:rsidRPr="002A35ED">
                                <w:rPr>
                                  <w:color w:val="000000"/>
                                  <w:sz w:val="18"/>
                                  <w:szCs w:val="18"/>
                                  <w:lang w:bidi="ar-EG"/>
                                </w:rPr>
                                <w:t>LOI</w:t>
                              </w:r>
                              <w:r w:rsidRPr="001254C4">
                                <w:rPr>
                                  <w:rFonts w:ascii="Traditional Arabic" w:hAnsi="Traditional Arabic" w:cs="Traditional Arabic"/>
                                  <w:color w:val="000000"/>
                                  <w:sz w:val="18"/>
                                  <w:szCs w:val="18"/>
                                  <w:rtl/>
                                  <w:lang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3" o:spid="_x0000_s1074" style="position:absolute;left:0;text-align:left;margin-left:85.6pt;margin-top:18.85pt;width:288.4pt;height:198.05pt;z-index:251671552" coordorigin="4070,7431" coordsize="5768,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">
                <v:shape id="Text Box 153" o:spid="_x0000_s1075" type="#_x0000_t202" style="position:absolute;left:8307;top:7464;width:1531;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zDMQA&#10;AADcAAAADwAAAGRycy9kb3ducmV2LnhtbESPzYvCMBTE7wv+D+EJe1nWdEVFukbxEzy4Bz/w/Gie&#10;bbF5KUm09b83grDHYWZ+w0xmranEnZwvLSv46SUgiDOrS84VnI6b7zEIH5A1VpZJwYM8zKadjwmm&#10;2ja8p/sh5CJC2KeooAihTqX0WUEGfc/WxNG7WGcwROlyqR02EW4q2U+SkTRYclwosKZlQdn1cDMK&#10;Rit3a/a8/Fqd1jv8q/P+efE4K/XZbee/IAK14T/8bm+1guFw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MwzEAAAA3AAAAA8AAAAAAAAAAAAAAAAAmAIAAGRycy9k&#10;b3ducmV2LnhtbFBLBQYAAAAABAAEAPUAAACJAwAAAAA=&#10;" stroked="f">
                  <v:textbox inset="0,0,0,0">
                    <w:txbxContent>
                      <w:p w:rsidR="00670B40" w:rsidRPr="001254C4" w:rsidRDefault="00670B40" w:rsidP="00335E4B">
                        <w:pPr>
                          <w:spacing w:line="220" w:lineRule="exact"/>
                          <w:rPr>
                            <w:rFonts w:ascii="Traditional Arabic" w:hAnsi="Traditional Arabic" w:cs="Traditional Arabic"/>
                            <w:color w:val="000000"/>
                            <w:sz w:val="18"/>
                            <w:szCs w:val="18"/>
                            <w:rtl/>
                            <w:lang w:bidi="ar-EG"/>
                          </w:rPr>
                        </w:pPr>
                        <w:r w:rsidRPr="001254C4">
                          <w:rPr>
                            <w:rFonts w:ascii="Traditional Arabic" w:hAnsi="Traditional Arabic" w:cs="Traditional Arabic"/>
                            <w:color w:val="000000"/>
                            <w:sz w:val="18"/>
                            <w:szCs w:val="18"/>
                            <w:rtl/>
                            <w:lang w:bidi="ar-EG"/>
                          </w:rPr>
                          <w:t>دي فيتو وآخرون</w:t>
                        </w:r>
                      </w:p>
                      <w:p w:rsidR="00670B40" w:rsidRPr="001254C4" w:rsidRDefault="00670B40" w:rsidP="00335E4B">
                        <w:pPr>
                          <w:spacing w:line="220" w:lineRule="exact"/>
                          <w:rPr>
                            <w:rFonts w:ascii="Traditional Arabic" w:hAnsi="Traditional Arabic" w:cs="Traditional Arabic"/>
                            <w:color w:val="000000"/>
                            <w:sz w:val="18"/>
                            <w:szCs w:val="18"/>
                            <w:rtl/>
                            <w:lang w:bidi="ar-EG"/>
                          </w:rPr>
                        </w:pPr>
                        <w:r w:rsidRPr="001254C4">
                          <w:rPr>
                            <w:rFonts w:ascii="Traditional Arabic" w:hAnsi="Traditional Arabic" w:cs="Traditional Arabic"/>
                            <w:color w:val="000000"/>
                            <w:sz w:val="18"/>
                            <w:szCs w:val="18"/>
                            <w:rtl/>
                            <w:lang w:bidi="ar-EG"/>
                          </w:rPr>
                          <w:t>سيوستروم وآخرون</w:t>
                        </w:r>
                      </w:p>
                      <w:p w:rsidR="00670B40" w:rsidRPr="001254C4" w:rsidRDefault="00670B40" w:rsidP="00335E4B">
                        <w:pPr>
                          <w:spacing w:line="220" w:lineRule="exact"/>
                          <w:rPr>
                            <w:rFonts w:ascii="Traditional Arabic" w:hAnsi="Traditional Arabic" w:cs="Traditional Arabic"/>
                            <w:color w:val="000000"/>
                            <w:sz w:val="18"/>
                            <w:szCs w:val="18"/>
                            <w:rtl/>
                            <w:lang w:bidi="ar-EG"/>
                          </w:rPr>
                        </w:pPr>
                        <w:r w:rsidRPr="001254C4">
                          <w:rPr>
                            <w:rFonts w:ascii="Traditional Arabic" w:hAnsi="Traditional Arabic" w:cs="Traditional Arabic"/>
                            <w:color w:val="000000"/>
                            <w:sz w:val="18"/>
                            <w:szCs w:val="18"/>
                            <w:rtl/>
                            <w:lang w:bidi="ar-EG"/>
                          </w:rPr>
                          <w:t>المنشأة جيم</w:t>
                        </w:r>
                      </w:p>
                      <w:p w:rsidR="00670B40" w:rsidRPr="001254C4" w:rsidRDefault="00670B40" w:rsidP="00335E4B">
                        <w:pPr>
                          <w:spacing w:line="220" w:lineRule="exact"/>
                          <w:rPr>
                            <w:rFonts w:ascii="Traditional Arabic" w:hAnsi="Traditional Arabic" w:cs="Traditional Arabic"/>
                            <w:color w:val="000000"/>
                            <w:sz w:val="18"/>
                            <w:szCs w:val="18"/>
                            <w:rtl/>
                            <w:lang w:bidi="ar-EG"/>
                          </w:rPr>
                        </w:pPr>
                        <w:r w:rsidRPr="001254C4">
                          <w:rPr>
                            <w:rFonts w:ascii="Traditional Arabic" w:hAnsi="Traditional Arabic" w:cs="Traditional Arabic"/>
                            <w:color w:val="000000"/>
                            <w:sz w:val="18"/>
                            <w:szCs w:val="18"/>
                            <w:rtl/>
                            <w:lang w:bidi="ar-EG"/>
                          </w:rPr>
                          <w:t>المنشأة دال</w:t>
                        </w:r>
                      </w:p>
                      <w:p w:rsidR="00670B40" w:rsidRPr="001254C4" w:rsidRDefault="00670B40" w:rsidP="00335E4B">
                        <w:pPr>
                          <w:spacing w:line="220" w:lineRule="exact"/>
                          <w:rPr>
                            <w:rFonts w:ascii="Traditional Arabic" w:hAnsi="Traditional Arabic" w:cs="Traditional Arabic"/>
                            <w:color w:val="000000"/>
                            <w:sz w:val="18"/>
                            <w:szCs w:val="18"/>
                            <w:rtl/>
                            <w:lang w:bidi="ar-EG"/>
                          </w:rPr>
                        </w:pPr>
                        <w:r w:rsidRPr="001254C4">
                          <w:rPr>
                            <w:rFonts w:ascii="Traditional Arabic" w:hAnsi="Traditional Arabic" w:cs="Traditional Arabic"/>
                            <w:color w:val="000000"/>
                            <w:sz w:val="18"/>
                            <w:szCs w:val="18"/>
                            <w:rtl/>
                            <w:lang w:bidi="ar-EG"/>
                          </w:rPr>
                          <w:t>المنشأة هاء</w:t>
                        </w:r>
                      </w:p>
                      <w:p w:rsidR="00670B40" w:rsidRPr="002A35ED" w:rsidRDefault="00670B40" w:rsidP="00335E4B">
                        <w:pPr>
                          <w:spacing w:line="220" w:lineRule="exact"/>
                          <w:rPr>
                            <w:color w:val="000000"/>
                            <w:sz w:val="16"/>
                            <w:szCs w:val="16"/>
                            <w:lang w:bidi="ar-EG"/>
                          </w:rPr>
                        </w:pPr>
                        <w:r w:rsidRPr="001254C4">
                          <w:rPr>
                            <w:rFonts w:ascii="Traditional Arabic" w:hAnsi="Traditional Arabic" w:cs="Traditional Arabic"/>
                            <w:color w:val="000000"/>
                            <w:sz w:val="18"/>
                            <w:szCs w:val="18"/>
                            <w:rtl/>
                            <w:lang w:bidi="ar-EG"/>
                          </w:rPr>
                          <w:t>معدل حسب بيانات</w:t>
                        </w:r>
                        <w:r w:rsidRPr="00DB48A0">
                          <w:rPr>
                            <w:color w:val="000000"/>
                            <w:sz w:val="18"/>
                            <w:szCs w:val="18"/>
                            <w:rtl/>
                            <w:lang w:bidi="ar-EG"/>
                          </w:rPr>
                          <w:t xml:space="preserve"> </w:t>
                        </w:r>
                        <w:r w:rsidRPr="002A35ED">
                          <w:rPr>
                            <w:color w:val="000000"/>
                            <w:sz w:val="12"/>
                            <w:szCs w:val="12"/>
                            <w:lang w:bidi="ar-EG"/>
                          </w:rPr>
                          <w:t>PC/CESP</w:t>
                        </w:r>
                      </w:p>
                    </w:txbxContent>
                  </v:textbox>
                </v:shape>
                <v:shape id="Text Box 154" o:spid="_x0000_s1076" type="#_x0000_t202" style="position:absolute;left:8516;top:9528;width:107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Wl8QA&#10;AADcAAAADwAAAGRycy9kb3ducmV2LnhtbESPzYvCMBTE7wv+D+EJXhZNFSpSjeIn7GH34AeeH82z&#10;LTYvJYm2/vdmYWGPw8z8hlmsOlOLJzlfWVYwHiUgiHOrKy4UXM6H4QyED8gaa8uk4EUeVsvexwIz&#10;bVs+0vMUChEh7DNUUIbQZFL6vCSDfmQb4ujdrDMYonSF1A7bCDe1nCTJVBqsOC6U2NC2pPx+ehgF&#10;0517tEfefu4u+2/8aYrJdfO6KjXod+s5iEBd+A//tb+0gjR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lpfEAAAA3AAAAA8AAAAAAAAAAAAAAAAAmAIAAGRycy9k&#10;b3ducmV2LnhtbFBLBQYAAAAABAAEAPUAAACJAwAAAAA=&#10;" stroked="f">
                  <v:textbox inset="0,0,0,0">
                    <w:txbxContent>
                      <w:p w:rsidR="00670B40" w:rsidRPr="001254C4" w:rsidRDefault="00670B40" w:rsidP="00335E4B">
                        <w:pPr>
                          <w:spacing w:line="180" w:lineRule="exact"/>
                          <w:ind w:left="87"/>
                          <w:rPr>
                            <w:rFonts w:ascii="Traditional Arabic" w:hAnsi="Traditional Arabic" w:cs="Traditional Arabic"/>
                            <w:color w:val="000000"/>
                            <w:szCs w:val="20"/>
                            <w:lang w:bidi="ar-EG"/>
                          </w:rPr>
                        </w:pPr>
                        <w:r w:rsidRPr="001254C4">
                          <w:rPr>
                            <w:rFonts w:ascii="Traditional Arabic" w:hAnsi="Traditional Arabic" w:cs="Traditional Arabic"/>
                            <w:color w:val="000000"/>
                            <w:szCs w:val="20"/>
                            <w:rtl/>
                            <w:lang w:bidi="ar-EG"/>
                          </w:rPr>
                          <w:t>وقاد</w:t>
                        </w:r>
                      </w:p>
                    </w:txbxContent>
                  </v:textbox>
                </v:shape>
                <v:shape id="Text Box 155" o:spid="_x0000_s1077" type="#_x0000_t202" style="position:absolute;left:7919;top:10223;width:136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I4MQA&#10;AADcAAAADwAAAGRycy9kb3ducmV2LnhtbESPzYvCMBTE7wv+D+EJXhZNFSxSjeIn7GH34AeeH82z&#10;LTYvJYm2/vdmYWGPw8z8hlmsOlOLJzlfWVYwHiUgiHOrKy4UXM6H4QyED8gaa8uk4EUeVsvexwIz&#10;bVs+0vMUChEh7DNUUIbQZFL6vCSDfmQb4ujdrDMYonSF1A7bCDe1nCRJKg1WHBdKbGhbUn4/PYyC&#10;dOce7ZG3n7vL/ht/mmJy3byuSg363XoOIlAX/sN/7S+tYDp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ODEAAAA3AAAAA8AAAAAAAAAAAAAAAAAmAIAAGRycy9k&#10;b3ducmV2LnhtbFBLBQYAAAAABAAEAPUAAACJAwAAAAA=&#10;" stroked="f">
                  <v:textbox inset="0,0,0,0">
                    <w:txbxContent>
                      <w:p w:rsidR="00670B40" w:rsidRPr="001254C4" w:rsidRDefault="00670B40" w:rsidP="00335E4B">
                        <w:pPr>
                          <w:spacing w:line="180" w:lineRule="exact"/>
                          <w:jc w:val="center"/>
                          <w:rPr>
                            <w:rFonts w:ascii="Traditional Arabic" w:hAnsi="Traditional Arabic" w:cs="Traditional Arabic"/>
                            <w:color w:val="000000"/>
                            <w:szCs w:val="20"/>
                            <w:lang w:bidi="ar-EG"/>
                          </w:rPr>
                        </w:pPr>
                        <w:r w:rsidRPr="001254C4">
                          <w:rPr>
                            <w:rFonts w:ascii="Traditional Arabic" w:hAnsi="Traditional Arabic" w:cs="Traditional Arabic"/>
                            <w:color w:val="000000"/>
                            <w:szCs w:val="20"/>
                            <w:rtl/>
                            <w:lang w:bidi="ar-EG"/>
                          </w:rPr>
                          <w:t>إعصاري</w:t>
                        </w:r>
                      </w:p>
                    </w:txbxContent>
                  </v:textbox>
                </v:shape>
                <v:shape id="Text Box 156" o:spid="_x0000_s1078" type="#_x0000_t202" style="position:absolute;left:5907;top:10274;width:136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te8QA&#10;AADcAAAADwAAAGRycy9kb3ducmV2LnhtbESPQYvCMBSE78L+h/AWvIimCupSjbKru+BBD7ri+dE8&#10;22LzUpJo6783guBxmJlvmPmyNZW4kfOlZQXDQQKCOLO65FzB8f+v/wXCB2SNlWVScCcPy8VHZ46p&#10;tg3v6XYIuYgQ9ikqKEKoUyl9VpBBP7A1cfTO1hkMUbpcaodNhJtKjpJkIg2WHBcKrGlVUHY5XI2C&#10;ydpdmz2veuvj7xZ3dT46/dxPSnU/2+8ZiEBteIdf7Y1WMB5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rXvEAAAA3AAAAA8AAAAAAAAAAAAAAAAAmAIAAGRycy9k&#10;b3ducmV2LnhtbFBLBQYAAAAABAAEAPUAAACJAwAAAAA=&#10;" stroked="f">
                  <v:textbox inset="0,0,0,0">
                    <w:txbxContent>
                      <w:p w:rsidR="00670B40" w:rsidRPr="001254C4" w:rsidRDefault="00670B40" w:rsidP="00335E4B">
                        <w:pPr>
                          <w:spacing w:line="180" w:lineRule="exact"/>
                          <w:jc w:val="center"/>
                          <w:rPr>
                            <w:rFonts w:ascii="Traditional Arabic" w:hAnsi="Traditional Arabic" w:cs="Traditional Arabic"/>
                            <w:color w:val="000000"/>
                            <w:szCs w:val="20"/>
                            <w:lang w:bidi="ar-EG"/>
                          </w:rPr>
                        </w:pPr>
                        <w:r w:rsidRPr="001254C4">
                          <w:rPr>
                            <w:rFonts w:ascii="Traditional Arabic" w:hAnsi="Traditional Arabic" w:cs="Traditional Arabic"/>
                            <w:color w:val="000000"/>
                            <w:szCs w:val="20"/>
                            <w:rtl/>
                            <w:lang w:bidi="ar-EG"/>
                          </w:rPr>
                          <w:t>مرسَّب في الجانب الساخن</w:t>
                        </w:r>
                      </w:p>
                    </w:txbxContent>
                  </v:textbox>
                </v:shape>
                <v:shape id="Text Box 157" o:spid="_x0000_s1079" type="#_x0000_t202" style="position:absolute;left:4070;top:7431;width:342;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fib8A&#10;AADcAAAADwAAAGRycy9kb3ducmV2LnhtbERPTYvCMBC9L/gfwgh7WTRVrEhtKkVQvNp68Dg0Y1ts&#10;JqWJtf77zWFhj4/3nR4m04mRBtdaVrBaRiCIK6tbrhXcytNiB8J5ZI2dZVLwIQeHbPaVYqLtm680&#10;Fr4WIYRdggoa7/tESlc1ZNAtbU8cuIcdDPoAh1rqAd8h3HRyHUVbabDl0NBgT8eGqmfxMgqm2BaX&#10;3pX5FleP4mf093NebpT6nk/5HoSnyf+L/9wXrSCOw9pwJhwBm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5p+JvwAAANwAAAAPAAAAAAAAAAAAAAAAAJgCAABkcnMvZG93bnJl&#10;di54bWxQSwUGAAAAAAQABAD1AAAAhAMAAAAA&#10;" stroked="f">
                  <v:textbox style="layout-flow:vertical;mso-layout-flow-alt:bottom-to-top" inset="0,0,0,0">
                    <w:txbxContent>
                      <w:p w:rsidR="00670B40" w:rsidRPr="00E536AB" w:rsidRDefault="00670B40" w:rsidP="00335E4B">
                        <w:pPr>
                          <w:spacing w:line="180" w:lineRule="exact"/>
                          <w:jc w:val="center"/>
                          <w:rPr>
                            <w:rFonts w:ascii="Times New Roman Bold" w:hAnsi="Times New Roman Bold"/>
                            <w:b/>
                            <w:bCs/>
                            <w:color w:val="000000"/>
                            <w:sz w:val="16"/>
                            <w:szCs w:val="20"/>
                            <w:rtl/>
                            <w:lang w:bidi="ar-EG"/>
                          </w:rPr>
                        </w:pPr>
                        <w:r w:rsidRPr="001254C4">
                          <w:rPr>
                            <w:rFonts w:ascii="Traditional Arabic" w:hAnsi="Traditional Arabic" w:cs="Traditional Arabic"/>
                            <w:b/>
                            <w:bCs/>
                            <w:color w:val="000000"/>
                            <w:sz w:val="16"/>
                            <w:szCs w:val="20"/>
                            <w:rtl/>
                            <w:lang w:bidi="ar-EG"/>
                          </w:rPr>
                          <w:t>نسبة مئوية من إزالة</w:t>
                        </w:r>
                        <w:r w:rsidRPr="00E536AB">
                          <w:rPr>
                            <w:rFonts w:ascii="Times New Roman Bold" w:hAnsi="Times New Roman Bold"/>
                            <w:b/>
                            <w:bCs/>
                            <w:color w:val="000000"/>
                            <w:sz w:val="16"/>
                            <w:szCs w:val="20"/>
                            <w:rtl/>
                            <w:lang w:bidi="ar-EG"/>
                          </w:rPr>
                          <w:t xml:space="preserve"> </w:t>
                        </w:r>
                        <w:r w:rsidRPr="00E536AB">
                          <w:rPr>
                            <w:rFonts w:ascii="Times New Roman Bold" w:hAnsi="Times New Roman Bold"/>
                            <w:b/>
                            <w:bCs/>
                            <w:color w:val="000000"/>
                            <w:sz w:val="14"/>
                            <w:szCs w:val="18"/>
                            <w:lang w:bidi="ar-EG"/>
                          </w:rPr>
                          <w:t>Hg</w:t>
                        </w:r>
                        <w:r w:rsidRPr="00E536AB">
                          <w:rPr>
                            <w:rFonts w:ascii="Times New Roman Bold" w:hAnsi="Times New Roman Bold"/>
                            <w:b/>
                            <w:bCs/>
                            <w:color w:val="000000"/>
                            <w:sz w:val="16"/>
                            <w:szCs w:val="20"/>
                            <w:rtl/>
                            <w:lang w:bidi="ar-EG"/>
                          </w:rPr>
                          <w:t xml:space="preserve"> </w:t>
                        </w:r>
                        <w:r w:rsidRPr="001254C4">
                          <w:rPr>
                            <w:rFonts w:ascii="Traditional Arabic" w:hAnsi="Traditional Arabic" w:cs="Traditional Arabic"/>
                            <w:b/>
                            <w:bCs/>
                            <w:color w:val="000000"/>
                            <w:sz w:val="16"/>
                            <w:szCs w:val="20"/>
                            <w:rtl/>
                            <w:lang w:bidi="ar-EG"/>
                          </w:rPr>
                          <w:t>عبر مرسب كهروستاتيكي</w:t>
                        </w:r>
                      </w:p>
                    </w:txbxContent>
                  </v:textbox>
                </v:shape>
                <v:shape id="Text Box 158" o:spid="_x0000_s1080" type="#_x0000_t202" style="position:absolute;left:6122;top:11159;width:307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cksQA&#10;AADcAAAADwAAAGRycy9kb3ducmV2LnhtbESPQYvCMBSE78L+h/AWvIimCopbjbKru+BBD7ri+dE8&#10;22LzUpJo6783guBxmJlvmPmyNZW4kfOlZQXDQQKCOLO65FzB8f+vPwXhA7LGyjIpuJOH5eKjM8dU&#10;24b3dDuEXEQI+xQVFCHUqZQ+K8igH9iaOHpn6wyGKF0utcMmwk0lR0kykQZLjgsF1rQqKLscrkbB&#10;ZO2uzZ5XvfXxd4u7Oh+dfu4npbqf7fcMRKA2vMOv9kYrGI+/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nJLEAAAA3AAAAA8AAAAAAAAAAAAAAAAAmAIAAGRycy9k&#10;b3ducmV2LnhtbFBLBQYAAAAABAAEAPUAAACJAwAAAAA=&#10;" stroked="f">
                  <v:textbox inset="0,0,0,0">
                    <w:txbxContent>
                      <w:p w:rsidR="00670B40" w:rsidRPr="002A35ED" w:rsidRDefault="00670B40" w:rsidP="00335E4B">
                        <w:pPr>
                          <w:spacing w:line="180" w:lineRule="exact"/>
                          <w:jc w:val="center"/>
                          <w:rPr>
                            <w:color w:val="000000"/>
                            <w:sz w:val="18"/>
                            <w:szCs w:val="18"/>
                            <w:rtl/>
                            <w:lang w:bidi="ar-EG"/>
                          </w:rPr>
                        </w:pPr>
                        <w:r w:rsidRPr="001254C4">
                          <w:rPr>
                            <w:rFonts w:ascii="Traditional Arabic" w:hAnsi="Traditional Arabic" w:cs="Traditional Arabic"/>
                            <w:color w:val="000000"/>
                            <w:sz w:val="24"/>
                            <w:szCs w:val="24"/>
                            <w:rtl/>
                            <w:lang w:bidi="ar-EG"/>
                          </w:rPr>
                          <w:t>النسبة المئوية للفاقد عند الاشتعال (</w:t>
                        </w:r>
                        <w:r w:rsidRPr="002A35ED">
                          <w:rPr>
                            <w:color w:val="000000"/>
                            <w:sz w:val="18"/>
                            <w:szCs w:val="18"/>
                            <w:lang w:bidi="ar-EG"/>
                          </w:rPr>
                          <w:t>LOI</w:t>
                        </w:r>
                        <w:r w:rsidRPr="001254C4">
                          <w:rPr>
                            <w:rFonts w:ascii="Traditional Arabic" w:hAnsi="Traditional Arabic" w:cs="Traditional Arabic"/>
                            <w:color w:val="000000"/>
                            <w:sz w:val="18"/>
                            <w:szCs w:val="18"/>
                            <w:rtl/>
                            <w:lang w:bidi="ar-EG"/>
                          </w:rPr>
                          <w:t>)</w:t>
                        </w:r>
                      </w:p>
                    </w:txbxContent>
                  </v:textbox>
                </v:shape>
              </v:group>
            </w:pict>
          </mc:Fallback>
        </mc:AlternateContent>
      </w:r>
      <w:r>
        <w:rPr>
          <w:rFonts w:cs="Traditional Arabic"/>
          <w:noProof/>
          <w:sz w:val="16"/>
          <w:szCs w:val="30"/>
          <w:lang w:val="en-GB" w:eastAsia="zh-CN"/>
        </w:rPr>
        <w:drawing>
          <wp:anchor distT="0" distB="0" distL="114300" distR="114300" simplePos="0" relativeHeight="251672576" behindDoc="1" locked="0" layoutInCell="1" allowOverlap="1" wp14:anchorId="46F3CEBE" wp14:editId="124F2CFD">
            <wp:simplePos x="0" y="0"/>
            <wp:positionH relativeFrom="column">
              <wp:posOffset>1017270</wp:posOffset>
            </wp:positionH>
            <wp:positionV relativeFrom="paragraph">
              <wp:posOffset>64135</wp:posOffset>
            </wp:positionV>
            <wp:extent cx="4194810" cy="2691765"/>
            <wp:effectExtent l="0" t="0" r="0" b="0"/>
            <wp:wrapTight wrapText="bothSides">
              <wp:wrapPolygon edited="0">
                <wp:start x="0" y="0"/>
                <wp:lineTo x="0" y="21401"/>
                <wp:lineTo x="21482" y="21401"/>
                <wp:lineTo x="21482" y="0"/>
                <wp:lineTo x="0" y="0"/>
              </wp:wrapPolygon>
            </wp:wrapTight>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4810" cy="2691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E4B" w:rsidRPr="00335E4B" w:rsidRDefault="00335E4B" w:rsidP="00335E4B">
      <w:pPr>
        <w:tabs>
          <w:tab w:val="left" w:pos="663"/>
          <w:tab w:val="left" w:pos="1117"/>
          <w:tab w:val="left" w:pos="2230"/>
          <w:tab w:val="center" w:pos="5468"/>
        </w:tabs>
        <w:bidi w:val="0"/>
        <w:spacing w:after="120"/>
        <w:jc w:val="lowKashida"/>
        <w:rPr>
          <w:rFonts w:cs="Traditional Arabic"/>
          <w:sz w:val="16"/>
          <w:szCs w:val="30"/>
          <w:rtl/>
          <w:lang w:bidi="ar-EG"/>
        </w:rPr>
      </w:pPr>
    </w:p>
    <w:p w:rsidR="00335E4B" w:rsidRPr="00335E4B" w:rsidRDefault="00335E4B" w:rsidP="00335E4B">
      <w:pPr>
        <w:tabs>
          <w:tab w:val="left" w:pos="663"/>
          <w:tab w:val="left" w:pos="1117"/>
          <w:tab w:val="left" w:pos="2230"/>
          <w:tab w:val="center" w:pos="5468"/>
        </w:tabs>
        <w:bidi w:val="0"/>
        <w:spacing w:after="120" w:line="400" w:lineRule="exact"/>
        <w:jc w:val="lowKashida"/>
        <w:rPr>
          <w:rFonts w:cs="Traditional Arabic"/>
          <w:b/>
          <w:bCs/>
          <w:sz w:val="16"/>
          <w:szCs w:val="30"/>
          <w:lang w:bidi="ar-EG"/>
        </w:rPr>
      </w:pPr>
    </w:p>
    <w:p w:rsidR="00335E4B" w:rsidRPr="00335E4B" w:rsidRDefault="00335E4B" w:rsidP="00335E4B">
      <w:pPr>
        <w:tabs>
          <w:tab w:val="left" w:pos="663"/>
          <w:tab w:val="left" w:pos="1117"/>
          <w:tab w:val="left" w:pos="2230"/>
          <w:tab w:val="center" w:pos="5468"/>
        </w:tabs>
        <w:bidi w:val="0"/>
        <w:spacing w:after="120" w:line="400" w:lineRule="exact"/>
        <w:jc w:val="lowKashida"/>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bidi w:val="0"/>
        <w:spacing w:after="120" w:line="400" w:lineRule="exact"/>
        <w:jc w:val="lowKashida"/>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bidi w:val="0"/>
        <w:spacing w:after="120" w:line="400" w:lineRule="exact"/>
        <w:jc w:val="lowKashida"/>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bidi w:val="0"/>
        <w:spacing w:after="120" w:line="400" w:lineRule="exact"/>
        <w:jc w:val="lowKashida"/>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bidi w:val="0"/>
        <w:spacing w:after="120" w:line="400" w:lineRule="exact"/>
        <w:jc w:val="lowKashida"/>
        <w:rPr>
          <w:rFonts w:cs="Traditional Arabic"/>
          <w:b/>
          <w:bCs/>
          <w:sz w:val="20"/>
          <w:szCs w:val="30"/>
          <w:lang w:bidi="ar-EG"/>
        </w:rPr>
      </w:pPr>
    </w:p>
    <w:p w:rsidR="00335E4B" w:rsidRPr="00335E4B" w:rsidRDefault="00335E4B" w:rsidP="00335E4B">
      <w:pPr>
        <w:keepNext/>
        <w:spacing w:before="360" w:after="120" w:line="400" w:lineRule="exact"/>
        <w:jc w:val="both"/>
        <w:outlineLvl w:val="2"/>
        <w:rPr>
          <w:rFonts w:cs="Traditional Arabic"/>
          <w:b/>
          <w:bCs/>
          <w:sz w:val="20"/>
          <w:szCs w:val="30"/>
          <w:rtl/>
          <w:lang w:bidi="ar-EG"/>
        </w:rPr>
      </w:pPr>
      <w:bookmarkStart w:id="561" w:name="_Toc440527763"/>
      <w:bookmarkStart w:id="562" w:name="_Toc440550464"/>
      <w:bookmarkStart w:id="563" w:name="_Toc441577721"/>
      <w:bookmarkStart w:id="564" w:name="_Toc441577900"/>
      <w:bookmarkStart w:id="565" w:name="_Toc441579126"/>
      <w:bookmarkStart w:id="566" w:name="_Toc441580734"/>
      <w:bookmarkStart w:id="567" w:name="_Toc441585865"/>
      <w:bookmarkStart w:id="568" w:name="_Toc441586201"/>
      <w:bookmarkStart w:id="569" w:name="_Toc441586651"/>
      <w:bookmarkStart w:id="570" w:name="_Toc441586830"/>
      <w:bookmarkStart w:id="571" w:name="_Toc441666679"/>
      <w:bookmarkStart w:id="572" w:name="_Toc441673740"/>
      <w:r w:rsidRPr="00335E4B">
        <w:rPr>
          <w:rFonts w:cs="Traditional Arabic"/>
          <w:b/>
          <w:bCs/>
          <w:sz w:val="20"/>
          <w:szCs w:val="30"/>
          <w:rtl/>
          <w:lang w:bidi="ar-EG"/>
        </w:rPr>
        <w:t xml:space="preserve">الشكل 5 </w:t>
      </w:r>
      <w:r w:rsidRPr="00335E4B">
        <w:rPr>
          <w:rFonts w:cs="Traditional Arabic" w:hint="cs"/>
          <w:b/>
          <w:bCs/>
          <w:sz w:val="20"/>
          <w:szCs w:val="30"/>
          <w:rtl/>
          <w:lang w:bidi="ar-EG"/>
        </w:rPr>
        <w:t xml:space="preserve">- </w:t>
      </w:r>
      <w:r w:rsidRPr="00335E4B">
        <w:rPr>
          <w:rFonts w:cs="Traditional Arabic"/>
          <w:b/>
          <w:bCs/>
          <w:sz w:val="20"/>
          <w:szCs w:val="30"/>
          <w:rtl/>
          <w:lang w:bidi="ar-EG"/>
        </w:rPr>
        <w:t>إزالة الزئبق بالمرسب الكهروستاتيكي كدالة على مقدار الكربون غير المحروق (النسبة المئوية للفاقد عند ا</w:t>
      </w:r>
      <w:r w:rsidRPr="00335E4B">
        <w:rPr>
          <w:rFonts w:cs="Traditional Arabic" w:hint="cs"/>
          <w:b/>
          <w:bCs/>
          <w:sz w:val="20"/>
          <w:szCs w:val="30"/>
          <w:rtl/>
          <w:lang w:bidi="ar-EG"/>
        </w:rPr>
        <w:t>لاشتع</w:t>
      </w:r>
      <w:r w:rsidRPr="00335E4B">
        <w:rPr>
          <w:rFonts w:cs="Traditional Arabic"/>
          <w:b/>
          <w:bCs/>
          <w:sz w:val="20"/>
          <w:szCs w:val="30"/>
          <w:rtl/>
          <w:lang w:bidi="ar-EG"/>
        </w:rPr>
        <w:t>ال) في الرماد المتطاير (سنيور وجونسون، 2008)</w:t>
      </w:r>
      <w:bookmarkEnd w:id="561"/>
      <w:bookmarkEnd w:id="562"/>
      <w:bookmarkEnd w:id="563"/>
      <w:bookmarkEnd w:id="564"/>
      <w:bookmarkEnd w:id="565"/>
      <w:bookmarkEnd w:id="566"/>
      <w:bookmarkEnd w:id="567"/>
      <w:bookmarkEnd w:id="568"/>
      <w:bookmarkEnd w:id="569"/>
      <w:bookmarkEnd w:id="570"/>
      <w:bookmarkEnd w:id="571"/>
      <w:bookmarkEnd w:id="572"/>
    </w:p>
    <w:p w:rsidR="00335E4B" w:rsidRPr="00335E4B" w:rsidRDefault="00335E4B" w:rsidP="00335E4B">
      <w:pPr>
        <w:tabs>
          <w:tab w:val="left" w:pos="663"/>
          <w:tab w:val="left" w:pos="1117"/>
          <w:tab w:val="left" w:pos="2230"/>
          <w:tab w:val="center" w:pos="5468"/>
        </w:tabs>
        <w:spacing w:after="120" w:line="360" w:lineRule="exact"/>
        <w:jc w:val="both"/>
        <w:rPr>
          <w:rFonts w:cs="Traditional Arabic"/>
          <w:sz w:val="20"/>
          <w:szCs w:val="30"/>
          <w:rtl/>
          <w:lang w:bidi="ar-EG"/>
        </w:rPr>
      </w:pPr>
      <w:r w:rsidRPr="00335E4B">
        <w:rPr>
          <w:rFonts w:cs="Traditional Arabic"/>
          <w:sz w:val="20"/>
          <w:szCs w:val="30"/>
          <w:rtl/>
          <w:lang w:bidi="ar-EG"/>
        </w:rPr>
        <w:t xml:space="preserve">وبالإضافة إلى مقدار الكربون غير المحروق، </w:t>
      </w:r>
      <w:r w:rsidRPr="00335E4B">
        <w:rPr>
          <w:rFonts w:cs="Traditional Arabic" w:hint="cs"/>
          <w:sz w:val="20"/>
          <w:szCs w:val="30"/>
          <w:rtl/>
          <w:lang w:bidi="ar-EG"/>
        </w:rPr>
        <w:t>فإن</w:t>
      </w:r>
      <w:r w:rsidRPr="00335E4B">
        <w:rPr>
          <w:rFonts w:cs="Traditional Arabic"/>
          <w:sz w:val="20"/>
          <w:szCs w:val="30"/>
          <w:rtl/>
          <w:lang w:bidi="ar-EG"/>
        </w:rPr>
        <w:t xml:space="preserve"> خصائص الكربون غير المحروق، مثل مساحة السطح وحجم الجسيمات والمسامية والتركيب الكيميائي </w:t>
      </w:r>
      <w:r w:rsidRPr="00335E4B">
        <w:rPr>
          <w:rFonts w:cs="Traditional Arabic" w:hint="cs"/>
          <w:sz w:val="20"/>
          <w:szCs w:val="30"/>
          <w:rtl/>
          <w:lang w:bidi="ar-EG"/>
        </w:rPr>
        <w:t xml:space="preserve">قد تؤثر </w:t>
      </w:r>
      <w:r w:rsidRPr="00335E4B">
        <w:rPr>
          <w:rFonts w:cs="Traditional Arabic"/>
          <w:sz w:val="20"/>
          <w:szCs w:val="30"/>
          <w:rtl/>
          <w:lang w:bidi="ar-EG"/>
        </w:rPr>
        <w:t xml:space="preserve">على مقدار الزئبق الملتقط في </w:t>
      </w:r>
      <w:r w:rsidRPr="00335E4B">
        <w:rPr>
          <w:rFonts w:cs="Traditional Arabic" w:hint="cs"/>
          <w:sz w:val="20"/>
          <w:szCs w:val="30"/>
          <w:rtl/>
          <w:lang w:bidi="ar-EG"/>
        </w:rPr>
        <w:t>ال</w:t>
      </w:r>
      <w:r w:rsidRPr="00335E4B">
        <w:rPr>
          <w:rFonts w:cs="Traditional Arabic"/>
          <w:sz w:val="20"/>
          <w:szCs w:val="30"/>
          <w:rtl/>
          <w:lang w:bidi="ar-EG"/>
        </w:rPr>
        <w:t xml:space="preserve">مرسب </w:t>
      </w:r>
      <w:r w:rsidRPr="00335E4B">
        <w:rPr>
          <w:rFonts w:cs="Traditional Arabic" w:hint="cs"/>
          <w:sz w:val="20"/>
          <w:szCs w:val="30"/>
          <w:rtl/>
          <w:lang w:bidi="ar-EG"/>
        </w:rPr>
        <w:t>ال</w:t>
      </w:r>
      <w:r w:rsidRPr="00335E4B">
        <w:rPr>
          <w:rFonts w:cs="Traditional Arabic"/>
          <w:sz w:val="20"/>
          <w:szCs w:val="30"/>
          <w:rtl/>
          <w:lang w:bidi="ar-EG"/>
        </w:rPr>
        <w:t xml:space="preserve">كهروستاتيكي (لو وآخرون، 2007). وتوصلت هذه الدراسة إلى أنه في حين محتوى الكربون غير المحروق في الرماد المتطاير </w:t>
      </w:r>
      <w:r w:rsidRPr="00335E4B">
        <w:rPr>
          <w:rFonts w:cs="Traditional Arabic" w:hint="cs"/>
          <w:sz w:val="20"/>
          <w:szCs w:val="30"/>
          <w:rtl/>
          <w:lang w:bidi="ar-EG"/>
        </w:rPr>
        <w:t>يتناقص</w:t>
      </w:r>
      <w:r w:rsidRPr="00335E4B">
        <w:rPr>
          <w:rFonts w:cs="Traditional Arabic"/>
          <w:sz w:val="20"/>
          <w:szCs w:val="30"/>
          <w:rtl/>
          <w:lang w:bidi="ar-EG"/>
        </w:rPr>
        <w:t xml:space="preserve"> مع انخفاض حجم الجسيمات فإن محتوى الزئبق من الكربون غير المحروق </w:t>
      </w:r>
      <w:r w:rsidRPr="00335E4B">
        <w:rPr>
          <w:rFonts w:cs="Traditional Arabic" w:hint="cs"/>
          <w:sz w:val="20"/>
          <w:szCs w:val="30"/>
          <w:rtl/>
          <w:lang w:bidi="ar-EG"/>
        </w:rPr>
        <w:t>ي</w:t>
      </w:r>
      <w:r w:rsidRPr="00335E4B">
        <w:rPr>
          <w:rFonts w:cs="Traditional Arabic"/>
          <w:sz w:val="20"/>
          <w:szCs w:val="30"/>
          <w:rtl/>
          <w:lang w:bidi="ar-EG"/>
        </w:rPr>
        <w:t xml:space="preserve">تزايد عموماً مع انخفاض حجم الجسيمات. وبالإضافة إلى ذلك، تبيَّن أن حجم الجسيمات في الكربون غير المحروق كان عاملاً كبيراً يؤثر على امتزاز الزئبق. وهكذا فإن زيادة كفاءة المرسب والزيادة الناتجة عن ذلك في التقاط الرماد المتطاير الدقيق والكربون غير المحروق الدقيق سيسبب على الأرجح انخفاضاً في انبعاثات الزئبق. ولكن ينبغي أن يلاحظ أن معظم كتلة الكربون غير المحروق هي في الجسيمات الكبيرة جداً. </w:t>
      </w:r>
    </w:p>
    <w:p w:rsidR="00335E4B" w:rsidRPr="00335E4B" w:rsidRDefault="00335E4B" w:rsidP="00335E4B">
      <w:pPr>
        <w:tabs>
          <w:tab w:val="left" w:pos="663"/>
          <w:tab w:val="left" w:pos="1117"/>
          <w:tab w:val="left" w:pos="2230"/>
          <w:tab w:val="center" w:pos="5468"/>
        </w:tabs>
        <w:spacing w:after="120" w:line="360" w:lineRule="exact"/>
        <w:jc w:val="both"/>
        <w:rPr>
          <w:rFonts w:cs="Traditional Arabic"/>
          <w:sz w:val="20"/>
          <w:szCs w:val="30"/>
          <w:rtl/>
          <w:lang w:bidi="ar-EG"/>
        </w:rPr>
      </w:pPr>
      <w:r w:rsidRPr="00335E4B">
        <w:rPr>
          <w:rFonts w:cs="Traditional Arabic"/>
          <w:sz w:val="20"/>
          <w:szCs w:val="30"/>
          <w:rtl/>
          <w:lang w:bidi="ar-EG"/>
        </w:rPr>
        <w:t>وهناك عوامل أخرى تحكم مقدار الزئبق الملتقط في الرماد المتطاير (و</w:t>
      </w:r>
      <w:r w:rsidRPr="00335E4B">
        <w:rPr>
          <w:rFonts w:cs="Traditional Arabic" w:hint="cs"/>
          <w:sz w:val="20"/>
          <w:szCs w:val="30"/>
          <w:rtl/>
          <w:lang w:bidi="ar-EG"/>
        </w:rPr>
        <w:t xml:space="preserve">الذي </w:t>
      </w:r>
      <w:r w:rsidRPr="00335E4B">
        <w:rPr>
          <w:rFonts w:cs="Traditional Arabic"/>
          <w:sz w:val="20"/>
          <w:szCs w:val="30"/>
          <w:rtl/>
          <w:lang w:bidi="ar-EG"/>
        </w:rPr>
        <w:t>تتم إزالته بعد ذلك من غاز المدخنة) وهي نوع المرسب المستعمل (مرسب في الجانب البارد أو الجانب الساخن) واستعمال ثلاثي أكسيد الكربون كعامل في تكييف غاز المدخنة</w:t>
      </w:r>
      <w:r w:rsidRPr="00335E4B">
        <w:rPr>
          <w:rFonts w:cs="Traditional Arabic" w:hint="cs"/>
          <w:sz w:val="20"/>
          <w:szCs w:val="30"/>
          <w:rtl/>
          <w:lang w:bidi="ar-EG"/>
        </w:rPr>
        <w:t>،</w:t>
      </w:r>
      <w:r w:rsidRPr="00335E4B">
        <w:rPr>
          <w:rFonts w:cs="Traditional Arabic"/>
          <w:sz w:val="20"/>
          <w:szCs w:val="30"/>
          <w:rtl/>
          <w:lang w:bidi="ar-EG"/>
        </w:rPr>
        <w:t xml:space="preserve"> ونوع الفحم. ويلاحظ ارتفاع التقاط الزئبق نمطياً في المرسبات المقامة على المراجل التي تعمل بحرق فحم </w:t>
      </w:r>
      <w:r w:rsidRPr="00335E4B">
        <w:rPr>
          <w:rFonts w:cs="Traditional Arabic" w:hint="cs"/>
          <w:sz w:val="20"/>
          <w:szCs w:val="30"/>
          <w:rtl/>
          <w:lang w:bidi="ar-EG"/>
        </w:rPr>
        <w:t>يتسم ب</w:t>
      </w:r>
      <w:r w:rsidRPr="00335E4B">
        <w:rPr>
          <w:rFonts w:cs="Traditional Arabic"/>
          <w:sz w:val="20"/>
          <w:szCs w:val="30"/>
          <w:rtl/>
          <w:lang w:bidi="ar-EG"/>
        </w:rPr>
        <w:t xml:space="preserve">محتويات أعلى من الهالوجين وينتج مستويات أعلى من الكربون غير المحروق في غاز المدخنة. ويدعم </w:t>
      </w:r>
      <w:r w:rsidRPr="00335E4B">
        <w:rPr>
          <w:rFonts w:cs="Traditional Arabic" w:hint="cs"/>
          <w:sz w:val="20"/>
          <w:szCs w:val="30"/>
          <w:rtl/>
          <w:lang w:bidi="ar-EG"/>
        </w:rPr>
        <w:t>هذان العاملان</w:t>
      </w:r>
      <w:r w:rsidRPr="00335E4B">
        <w:rPr>
          <w:rFonts w:cs="Traditional Arabic"/>
          <w:sz w:val="20"/>
          <w:szCs w:val="30"/>
          <w:rtl/>
          <w:lang w:bidi="ar-EG"/>
        </w:rPr>
        <w:t xml:space="preserve"> تشكيل الزئبق المؤكسد والزئبق العالق بالجسيمات، وهما أكثر سهولة في الالتقاط في المرسب الكهروستاتيكي عن الزئبق النقي. وينشأ عن ذلك أنه إذا أمكن تحسين أداء المرسب فسيكون من الممكن إزالة مقدار إضافي من الزئبق من غاز المدخنة. وستكون كمية هذا الزئبق الإضافي المزال دالة على مقدار الجسيمات التي تمت إزالتها بالمرسب الكهروستاتيكي. و</w:t>
      </w:r>
      <w:r w:rsidRPr="00335E4B">
        <w:rPr>
          <w:rFonts w:cs="Traditional Arabic" w:hint="cs"/>
          <w:sz w:val="20"/>
          <w:szCs w:val="30"/>
          <w:rtl/>
          <w:lang w:bidi="ar-EG"/>
        </w:rPr>
        <w:t xml:space="preserve">يمكن استخدام </w:t>
      </w:r>
      <w:r w:rsidRPr="00335E4B">
        <w:rPr>
          <w:rFonts w:cs="Traditional Arabic"/>
          <w:sz w:val="20"/>
          <w:szCs w:val="30"/>
          <w:rtl/>
          <w:lang w:bidi="ar-EG"/>
        </w:rPr>
        <w:t>النُهج المنخفضة التكلفة مثل التوازي الدقيق للصفائح وتعديل نمط الط</w:t>
      </w:r>
      <w:r w:rsidRPr="00335E4B">
        <w:rPr>
          <w:rFonts w:cs="Traditional Arabic" w:hint="cs"/>
          <w:sz w:val="20"/>
          <w:szCs w:val="30"/>
          <w:rtl/>
          <w:lang w:bidi="ar-EG"/>
        </w:rPr>
        <w:t>َّ</w:t>
      </w:r>
      <w:r w:rsidRPr="00335E4B">
        <w:rPr>
          <w:rFonts w:cs="Traditional Arabic"/>
          <w:sz w:val="20"/>
          <w:szCs w:val="30"/>
          <w:rtl/>
          <w:lang w:bidi="ar-EG"/>
        </w:rPr>
        <w:t xml:space="preserve">رق، وإزالة التسريبات الداخلية، بين نُهج أخرى، </w:t>
      </w:r>
      <w:r w:rsidRPr="00335E4B">
        <w:rPr>
          <w:rFonts w:cs="Traditional Arabic" w:hint="cs"/>
          <w:sz w:val="20"/>
          <w:szCs w:val="30"/>
          <w:rtl/>
          <w:lang w:bidi="ar-EG"/>
        </w:rPr>
        <w:t xml:space="preserve">من أجل </w:t>
      </w:r>
      <w:r w:rsidRPr="00335E4B">
        <w:rPr>
          <w:rFonts w:cs="Traditional Arabic"/>
          <w:sz w:val="20"/>
          <w:szCs w:val="30"/>
          <w:rtl/>
          <w:lang w:bidi="ar-EG"/>
        </w:rPr>
        <w:t>تحسين كفاءة جمع الجسيمات في المرسبات (زيكوف وآخرون، 2004؛ داي ولايمن، 2008). ودرجات الحرارة المنخفضة في نظام جهاز الضبط (أقل من 150 درجة مئوية) تُعزِّز أيضاً ضبط الزئبق</w:t>
      </w:r>
      <w:r w:rsidRPr="00335E4B">
        <w:rPr>
          <w:rFonts w:cs="Traditional Arabic" w:hint="cs"/>
          <w:sz w:val="20"/>
          <w:szCs w:val="30"/>
          <w:rtl/>
          <w:lang w:bidi="ar-EG"/>
        </w:rPr>
        <w:t>،</w:t>
      </w:r>
      <w:r w:rsidRPr="00335E4B">
        <w:rPr>
          <w:rFonts w:cs="Traditional Arabic"/>
          <w:sz w:val="20"/>
          <w:szCs w:val="30"/>
          <w:rtl/>
          <w:lang w:bidi="ar-EG"/>
        </w:rPr>
        <w:t xml:space="preserve"> </w:t>
      </w:r>
      <w:r w:rsidRPr="00335E4B">
        <w:rPr>
          <w:rFonts w:cs="Traditional Arabic" w:hint="cs"/>
          <w:sz w:val="20"/>
          <w:szCs w:val="30"/>
          <w:rtl/>
          <w:lang w:bidi="ar-EG"/>
        </w:rPr>
        <w:t>وقد استخدمت المرسبات</w:t>
      </w:r>
      <w:r w:rsidRPr="00335E4B">
        <w:rPr>
          <w:rFonts w:cs="Traditional Arabic"/>
          <w:sz w:val="20"/>
          <w:szCs w:val="30"/>
          <w:rtl/>
          <w:lang w:bidi="ar-EG"/>
        </w:rPr>
        <w:t xml:space="preserve"> ذات درجة </w:t>
      </w:r>
      <w:r w:rsidRPr="00335E4B">
        <w:rPr>
          <w:rFonts w:cs="Traditional Arabic" w:hint="cs"/>
          <w:sz w:val="20"/>
          <w:szCs w:val="30"/>
          <w:rtl/>
          <w:lang w:bidi="ar-EG"/>
        </w:rPr>
        <w:t>ال</w:t>
      </w:r>
      <w:r w:rsidRPr="00335E4B">
        <w:rPr>
          <w:rFonts w:cs="Traditional Arabic"/>
          <w:sz w:val="20"/>
          <w:szCs w:val="30"/>
          <w:rtl/>
          <w:lang w:bidi="ar-EG"/>
        </w:rPr>
        <w:t xml:space="preserve">حرارة </w:t>
      </w:r>
      <w:r w:rsidRPr="00335E4B">
        <w:rPr>
          <w:rFonts w:cs="Traditional Arabic" w:hint="cs"/>
          <w:sz w:val="20"/>
          <w:szCs w:val="30"/>
          <w:rtl/>
          <w:lang w:bidi="ar-EG"/>
        </w:rPr>
        <w:t xml:space="preserve">شديدة الانخفاض </w:t>
      </w:r>
      <w:r w:rsidRPr="00335E4B">
        <w:rPr>
          <w:rFonts w:cs="Traditional Arabic"/>
          <w:sz w:val="20"/>
          <w:szCs w:val="30"/>
          <w:rtl/>
          <w:lang w:bidi="ar-EG"/>
        </w:rPr>
        <w:t>أيضاً في اليابان لتحقيق كفاءة عالية في إزالة التراب والزئبق (معهد البحوث المركزي لصناعة الطاقة الكهربائية واتحاد شركات الطاقة الكهربائية في اليابان، 2012).</w:t>
      </w:r>
    </w:p>
    <w:p w:rsidR="00335E4B" w:rsidRPr="00335E4B" w:rsidRDefault="00335E4B" w:rsidP="00335E4B">
      <w:pPr>
        <w:tabs>
          <w:tab w:val="left" w:pos="663"/>
          <w:tab w:val="left" w:pos="1117"/>
          <w:tab w:val="left" w:pos="2230"/>
          <w:tab w:val="center" w:pos="5468"/>
        </w:tabs>
        <w:spacing w:after="120" w:line="360" w:lineRule="exact"/>
        <w:jc w:val="both"/>
        <w:rPr>
          <w:rFonts w:cs="Traditional Arabic"/>
          <w:sz w:val="20"/>
          <w:szCs w:val="30"/>
          <w:rtl/>
          <w:lang w:bidi="ar-EG"/>
        </w:rPr>
      </w:pPr>
      <w:r w:rsidRPr="00335E4B">
        <w:rPr>
          <w:rFonts w:cs="Traditional Arabic"/>
          <w:sz w:val="20"/>
          <w:szCs w:val="30"/>
          <w:rtl/>
          <w:lang w:bidi="ar-EG"/>
        </w:rPr>
        <w:t xml:space="preserve">وينبغي أن يلاحظ أن الآثار الإيجابية </w:t>
      </w:r>
      <w:r w:rsidRPr="00335E4B">
        <w:rPr>
          <w:rFonts w:cs="Traditional Arabic" w:hint="cs"/>
          <w:sz w:val="20"/>
          <w:szCs w:val="30"/>
          <w:rtl/>
          <w:lang w:bidi="ar-EG"/>
        </w:rPr>
        <w:t>لثلاثي</w:t>
      </w:r>
      <w:r w:rsidRPr="00335E4B">
        <w:rPr>
          <w:rFonts w:cs="Traditional Arabic"/>
          <w:sz w:val="20"/>
          <w:szCs w:val="30"/>
          <w:rtl/>
          <w:lang w:bidi="ar-EG"/>
        </w:rPr>
        <w:t xml:space="preserve"> أكسيد الكبريت على التقاط الجسيمات قد </w:t>
      </w:r>
      <w:r w:rsidRPr="00335E4B">
        <w:rPr>
          <w:rFonts w:cs="Traditional Arabic" w:hint="cs"/>
          <w:sz w:val="20"/>
          <w:szCs w:val="30"/>
          <w:rtl/>
          <w:lang w:bidi="ar-EG"/>
        </w:rPr>
        <w:t>يقابلها</w:t>
      </w:r>
      <w:r w:rsidRPr="00335E4B">
        <w:rPr>
          <w:rFonts w:cs="Traditional Arabic"/>
          <w:sz w:val="20"/>
          <w:szCs w:val="30"/>
          <w:rtl/>
          <w:lang w:bidi="ar-EG"/>
        </w:rPr>
        <w:t xml:space="preserve"> جزئياً </w:t>
      </w:r>
      <w:r w:rsidRPr="00335E4B">
        <w:rPr>
          <w:rFonts w:cs="Traditional Arabic" w:hint="cs"/>
          <w:sz w:val="20"/>
          <w:szCs w:val="30"/>
          <w:rtl/>
          <w:lang w:bidi="ar-EG"/>
        </w:rPr>
        <w:t>تنافس</w:t>
      </w:r>
      <w:r w:rsidRPr="00335E4B">
        <w:rPr>
          <w:rFonts w:cs="Traditional Arabic"/>
          <w:sz w:val="20"/>
          <w:szCs w:val="30"/>
          <w:rtl/>
          <w:lang w:bidi="ar-EG"/>
        </w:rPr>
        <w:t xml:space="preserve"> </w:t>
      </w:r>
      <w:r w:rsidRPr="00335E4B">
        <w:rPr>
          <w:rFonts w:cs="Traditional Arabic" w:hint="cs"/>
          <w:sz w:val="20"/>
          <w:szCs w:val="30"/>
          <w:rtl/>
          <w:lang w:bidi="ar-EG"/>
        </w:rPr>
        <w:t>ثلاثي</w:t>
      </w:r>
      <w:r w:rsidRPr="00335E4B">
        <w:rPr>
          <w:rFonts w:cs="Traditional Arabic"/>
          <w:sz w:val="20"/>
          <w:szCs w:val="30"/>
          <w:rtl/>
          <w:lang w:bidi="ar-EG"/>
        </w:rPr>
        <w:t xml:space="preserve"> أكسيد الكبريت مع الزئبق </w:t>
      </w:r>
      <w:r w:rsidRPr="00335E4B">
        <w:rPr>
          <w:rFonts w:cs="Traditional Arabic" w:hint="cs"/>
          <w:sz w:val="20"/>
          <w:szCs w:val="30"/>
          <w:rtl/>
          <w:lang w:bidi="ar-EG"/>
        </w:rPr>
        <w:t>على</w:t>
      </w:r>
      <w:r w:rsidRPr="00335E4B">
        <w:rPr>
          <w:rFonts w:cs="Traditional Arabic"/>
          <w:sz w:val="20"/>
          <w:szCs w:val="30"/>
          <w:rtl/>
          <w:lang w:bidi="ar-EG"/>
        </w:rPr>
        <w:t xml:space="preserve"> الامتصاص في الرماد المتطاير. </w:t>
      </w:r>
    </w:p>
    <w:p w:rsidR="00335E4B" w:rsidRPr="00335E4B" w:rsidRDefault="00335E4B" w:rsidP="00335E4B">
      <w:pPr>
        <w:tabs>
          <w:tab w:val="left" w:pos="1274"/>
          <w:tab w:val="center" w:pos="5468"/>
        </w:tabs>
        <w:spacing w:after="120" w:line="360" w:lineRule="exact"/>
        <w:jc w:val="both"/>
        <w:rPr>
          <w:rFonts w:cs="Traditional Arabic"/>
          <w:b/>
          <w:bCs/>
          <w:sz w:val="20"/>
          <w:szCs w:val="30"/>
          <w:rtl/>
          <w:lang w:bidi="ar-EG"/>
        </w:rPr>
      </w:pPr>
      <w:r w:rsidRPr="00335E4B">
        <w:rPr>
          <w:rFonts w:cs="Traditional Arabic"/>
          <w:b/>
          <w:bCs/>
          <w:sz w:val="20"/>
          <w:szCs w:val="30"/>
          <w:rtl/>
          <w:lang w:bidi="ar-EG"/>
        </w:rPr>
        <w:t>المرشحات النسيجية</w:t>
      </w:r>
    </w:p>
    <w:p w:rsidR="00335E4B" w:rsidRPr="00335E4B" w:rsidRDefault="00335E4B" w:rsidP="00335E4B">
      <w:pPr>
        <w:tabs>
          <w:tab w:val="left" w:pos="663"/>
          <w:tab w:val="left" w:pos="1117"/>
          <w:tab w:val="left" w:pos="2230"/>
          <w:tab w:val="center" w:pos="5468"/>
        </w:tabs>
        <w:spacing w:after="120" w:line="360" w:lineRule="exact"/>
        <w:jc w:val="both"/>
        <w:rPr>
          <w:rFonts w:cs="Traditional Arabic"/>
          <w:sz w:val="20"/>
          <w:szCs w:val="30"/>
          <w:rtl/>
          <w:lang w:bidi="ar-EG"/>
        </w:rPr>
      </w:pPr>
      <w:r w:rsidRPr="00335E4B">
        <w:rPr>
          <w:rFonts w:cs="Traditional Arabic"/>
          <w:sz w:val="20"/>
          <w:szCs w:val="30"/>
          <w:rtl/>
          <w:lang w:bidi="ar-EG"/>
        </w:rPr>
        <w:t xml:space="preserve">توفِّر المرشحات النسيجية كفاءة عالية في إزالة الجسيمات الدقيقة بالمقارنة </w:t>
      </w:r>
      <w:r w:rsidRPr="00335E4B">
        <w:rPr>
          <w:rFonts w:cs="Traditional Arabic" w:hint="cs"/>
          <w:sz w:val="20"/>
          <w:szCs w:val="30"/>
          <w:rtl/>
          <w:lang w:bidi="ar-EG"/>
        </w:rPr>
        <w:t xml:space="preserve">مع </w:t>
      </w:r>
      <w:r w:rsidRPr="00335E4B">
        <w:rPr>
          <w:rFonts w:cs="Traditional Arabic"/>
          <w:sz w:val="20"/>
          <w:szCs w:val="30"/>
          <w:rtl/>
          <w:lang w:bidi="ar-EG"/>
        </w:rPr>
        <w:t xml:space="preserve">المرسبات الكهروستاتيكية </w:t>
      </w:r>
      <w:r w:rsidRPr="00335E4B">
        <w:rPr>
          <w:rFonts w:cs="Traditional Arabic" w:hint="cs"/>
          <w:sz w:val="20"/>
          <w:szCs w:val="30"/>
          <w:rtl/>
          <w:lang w:bidi="ar-EG"/>
        </w:rPr>
        <w:t>ولا سيما بالنسبة ل</w:t>
      </w:r>
      <w:r w:rsidRPr="00335E4B">
        <w:rPr>
          <w:rFonts w:cs="Traditional Arabic"/>
          <w:sz w:val="20"/>
          <w:szCs w:val="30"/>
          <w:rtl/>
          <w:lang w:bidi="ar-EG"/>
        </w:rPr>
        <w:t>لجزيئات دون الميكرونية.</w:t>
      </w:r>
    </w:p>
    <w:p w:rsidR="00335E4B" w:rsidRPr="00335E4B" w:rsidRDefault="00335E4B" w:rsidP="00335E4B">
      <w:pPr>
        <w:tabs>
          <w:tab w:val="left" w:pos="663"/>
          <w:tab w:val="left" w:pos="1117"/>
          <w:tab w:val="left" w:pos="2230"/>
          <w:tab w:val="center" w:pos="5468"/>
        </w:tabs>
        <w:spacing w:after="120" w:line="360" w:lineRule="exact"/>
        <w:jc w:val="both"/>
        <w:rPr>
          <w:rFonts w:cs="Traditional Arabic"/>
          <w:sz w:val="20"/>
          <w:szCs w:val="30"/>
          <w:rtl/>
          <w:lang w:bidi="ar-EG"/>
        </w:rPr>
      </w:pPr>
      <w:r w:rsidRPr="00335E4B">
        <w:rPr>
          <w:rFonts w:cs="Traditional Arabic"/>
          <w:sz w:val="20"/>
          <w:szCs w:val="30"/>
          <w:rtl/>
          <w:lang w:bidi="ar-EG"/>
        </w:rPr>
        <w:t>ولوحظ</w:t>
      </w:r>
      <w:r w:rsidRPr="00335E4B">
        <w:rPr>
          <w:rFonts w:cs="Traditional Arabic" w:hint="cs"/>
          <w:sz w:val="20"/>
          <w:szCs w:val="30"/>
          <w:rtl/>
          <w:lang w:bidi="ar-EG"/>
        </w:rPr>
        <w:t xml:space="preserve"> أن إزالة الزئبق </w:t>
      </w:r>
      <w:r w:rsidRPr="00335E4B">
        <w:rPr>
          <w:rFonts w:cs="Traditional Arabic"/>
          <w:sz w:val="20"/>
          <w:szCs w:val="30"/>
          <w:rtl/>
          <w:lang w:bidi="ar-EG"/>
        </w:rPr>
        <w:t xml:space="preserve">في </w:t>
      </w:r>
      <w:r w:rsidRPr="00335E4B">
        <w:rPr>
          <w:rFonts w:cs="Traditional Arabic" w:hint="cs"/>
          <w:sz w:val="20"/>
          <w:szCs w:val="30"/>
          <w:rtl/>
          <w:lang w:bidi="ar-EG"/>
        </w:rPr>
        <w:t>المرشحات</w:t>
      </w:r>
      <w:r w:rsidRPr="00335E4B">
        <w:rPr>
          <w:rFonts w:cs="Traditional Arabic"/>
          <w:sz w:val="20"/>
          <w:szCs w:val="30"/>
          <w:rtl/>
          <w:lang w:bidi="ar-EG"/>
        </w:rPr>
        <w:t xml:space="preserve"> النسيجية </w:t>
      </w:r>
      <w:r w:rsidRPr="00335E4B">
        <w:rPr>
          <w:rFonts w:cs="Traditional Arabic" w:hint="cs"/>
          <w:sz w:val="20"/>
          <w:szCs w:val="30"/>
          <w:rtl/>
          <w:lang w:bidi="ar-EG"/>
        </w:rPr>
        <w:t xml:space="preserve">أعلي </w:t>
      </w:r>
      <w:r w:rsidRPr="00335E4B">
        <w:rPr>
          <w:rFonts w:cs="Traditional Arabic"/>
          <w:sz w:val="20"/>
          <w:szCs w:val="30"/>
          <w:rtl/>
          <w:lang w:bidi="ar-EG"/>
        </w:rPr>
        <w:t xml:space="preserve">عموماً </w:t>
      </w:r>
      <w:r w:rsidRPr="00335E4B">
        <w:rPr>
          <w:rFonts w:cs="Traditional Arabic" w:hint="cs"/>
          <w:sz w:val="20"/>
          <w:szCs w:val="30"/>
          <w:rtl/>
          <w:lang w:bidi="ar-EG"/>
        </w:rPr>
        <w:t>منها في</w:t>
      </w:r>
      <w:r w:rsidRPr="00335E4B">
        <w:rPr>
          <w:rFonts w:cs="Traditional Arabic"/>
          <w:sz w:val="20"/>
          <w:szCs w:val="30"/>
          <w:rtl/>
          <w:lang w:bidi="ar-EG"/>
        </w:rPr>
        <w:t xml:space="preserve"> المرسبات الكهروستاتيكية. والمرشحات النسيجية أكثر فعالية في إزالة الجسيمات الدقيقة (الجسيمات دون الميكرونية</w:t>
      </w:r>
      <w:r w:rsidRPr="00335E4B">
        <w:rPr>
          <w:rFonts w:cs="Traditional Arabic" w:hint="cs"/>
          <w:sz w:val="20"/>
          <w:szCs w:val="30"/>
          <w:rtl/>
          <w:lang w:bidi="ar-EG"/>
        </w:rPr>
        <w:t>، وهو الأمر الأكثر أهمية</w:t>
      </w:r>
      <w:r w:rsidRPr="00335E4B">
        <w:rPr>
          <w:rFonts w:cs="Traditional Arabic"/>
          <w:sz w:val="20"/>
          <w:szCs w:val="30"/>
          <w:rtl/>
          <w:lang w:bidi="ar-EG"/>
        </w:rPr>
        <w:t xml:space="preserve">) </w:t>
      </w:r>
      <w:r w:rsidRPr="00335E4B">
        <w:rPr>
          <w:rFonts w:cs="Traditional Arabic" w:hint="cs"/>
          <w:sz w:val="20"/>
          <w:szCs w:val="30"/>
          <w:rtl/>
          <w:lang w:bidi="ar-EG"/>
        </w:rPr>
        <w:t>من</w:t>
      </w:r>
      <w:r w:rsidRPr="00335E4B">
        <w:rPr>
          <w:rFonts w:cs="Traditional Arabic"/>
          <w:sz w:val="20"/>
          <w:szCs w:val="30"/>
          <w:rtl/>
          <w:lang w:bidi="ar-EG"/>
        </w:rPr>
        <w:t xml:space="preserve"> المرسبات الكهروستاتيكية، وهي تتجه عموماً إلى إزالة قدر أكبر من زئبق </w:t>
      </w:r>
      <w:r w:rsidRPr="00335E4B">
        <w:rPr>
          <w:rFonts w:cs="Traditional Arabic" w:hint="cs"/>
          <w:sz w:val="20"/>
          <w:szCs w:val="30"/>
          <w:rtl/>
          <w:lang w:bidi="ar-EG"/>
        </w:rPr>
        <w:t>ال</w:t>
      </w:r>
      <w:r w:rsidRPr="00335E4B">
        <w:rPr>
          <w:rFonts w:cs="Traditional Arabic"/>
          <w:sz w:val="20"/>
          <w:szCs w:val="30"/>
          <w:rtl/>
          <w:lang w:bidi="ar-EG"/>
        </w:rPr>
        <w:t xml:space="preserve">طور الغازي </w:t>
      </w:r>
      <w:r w:rsidRPr="00335E4B">
        <w:rPr>
          <w:rFonts w:cs="Traditional Arabic" w:hint="cs"/>
          <w:sz w:val="20"/>
          <w:szCs w:val="30"/>
          <w:rtl/>
          <w:lang w:bidi="ar-EG"/>
        </w:rPr>
        <w:t>عما</w:t>
      </w:r>
      <w:r w:rsidRPr="00335E4B">
        <w:rPr>
          <w:rFonts w:cs="Traditional Arabic"/>
          <w:sz w:val="20"/>
          <w:szCs w:val="30"/>
          <w:rtl/>
          <w:lang w:bidi="ar-EG"/>
        </w:rPr>
        <w:t xml:space="preserve"> </w:t>
      </w:r>
      <w:r w:rsidRPr="00335E4B">
        <w:rPr>
          <w:rFonts w:cs="Traditional Arabic" w:hint="cs"/>
          <w:sz w:val="20"/>
          <w:szCs w:val="30"/>
          <w:rtl/>
          <w:lang w:bidi="ar-EG"/>
        </w:rPr>
        <w:t xml:space="preserve">تزيله </w:t>
      </w:r>
      <w:r w:rsidRPr="00335E4B">
        <w:rPr>
          <w:rFonts w:cs="Traditional Arabic"/>
          <w:sz w:val="20"/>
          <w:szCs w:val="30"/>
          <w:rtl/>
          <w:lang w:bidi="ar-EG"/>
        </w:rPr>
        <w:t xml:space="preserve">المرسبات. وبالإضافة إلى طول وقت الاتصال فإن المرشحات النسيجية توفِّر اتصالاً أفضل (حيث يخترق الغاز كُسب الفلتر) </w:t>
      </w:r>
      <w:r w:rsidRPr="00335E4B">
        <w:rPr>
          <w:rFonts w:cs="Traditional Arabic" w:hint="cs"/>
          <w:sz w:val="20"/>
          <w:szCs w:val="30"/>
          <w:rtl/>
          <w:lang w:bidi="ar-EG"/>
        </w:rPr>
        <w:t>من</w:t>
      </w:r>
      <w:r w:rsidRPr="00335E4B">
        <w:rPr>
          <w:rFonts w:cs="Traditional Arabic"/>
          <w:sz w:val="20"/>
          <w:szCs w:val="30"/>
          <w:rtl/>
          <w:lang w:bidi="ar-EG"/>
        </w:rPr>
        <w:t xml:space="preserve"> المرسبات (حيث يمر الغاز على س</w:t>
      </w:r>
      <w:r w:rsidRPr="00335E4B">
        <w:rPr>
          <w:rFonts w:cs="Traditional Arabic" w:hint="cs"/>
          <w:sz w:val="20"/>
          <w:szCs w:val="30"/>
          <w:rtl/>
          <w:lang w:bidi="ar-EG"/>
        </w:rPr>
        <w:t>ط</w:t>
      </w:r>
      <w:r w:rsidRPr="00335E4B">
        <w:rPr>
          <w:rFonts w:cs="Traditional Arabic"/>
          <w:sz w:val="20"/>
          <w:szCs w:val="30"/>
          <w:rtl/>
          <w:lang w:bidi="ar-EG"/>
        </w:rPr>
        <w:t xml:space="preserve">ح الكُسب). ونتيجة </w:t>
      </w:r>
      <w:r w:rsidRPr="00335E4B">
        <w:rPr>
          <w:rFonts w:cs="Traditional Arabic" w:hint="cs"/>
          <w:sz w:val="20"/>
          <w:szCs w:val="30"/>
          <w:rtl/>
          <w:lang w:bidi="ar-EG"/>
        </w:rPr>
        <w:t>ل</w:t>
      </w:r>
      <w:r w:rsidRPr="00335E4B">
        <w:rPr>
          <w:rFonts w:cs="Traditional Arabic"/>
          <w:sz w:val="20"/>
          <w:szCs w:val="30"/>
          <w:rtl/>
          <w:lang w:bidi="ar-EG"/>
        </w:rPr>
        <w:t xml:space="preserve">ذلك </w:t>
      </w:r>
      <w:r w:rsidRPr="00335E4B">
        <w:rPr>
          <w:rFonts w:cs="Traditional Arabic" w:hint="cs"/>
          <w:sz w:val="20"/>
          <w:szCs w:val="30"/>
          <w:rtl/>
          <w:lang w:bidi="ar-EG"/>
        </w:rPr>
        <w:t>تترجح</w:t>
      </w:r>
      <w:r w:rsidRPr="00335E4B">
        <w:rPr>
          <w:rFonts w:cs="Traditional Arabic"/>
          <w:sz w:val="20"/>
          <w:szCs w:val="30"/>
          <w:rtl/>
          <w:lang w:bidi="ar-EG"/>
        </w:rPr>
        <w:t xml:space="preserve"> أكسدة الزئبق النقي الغاز</w:t>
      </w:r>
      <w:r w:rsidRPr="00335E4B">
        <w:rPr>
          <w:rFonts w:cs="Traditional Arabic" w:hint="cs"/>
          <w:sz w:val="20"/>
          <w:szCs w:val="30"/>
          <w:rtl/>
          <w:lang w:bidi="ar-EG"/>
        </w:rPr>
        <w:t>ي</w:t>
      </w:r>
      <w:r w:rsidRPr="00335E4B">
        <w:rPr>
          <w:rFonts w:cs="Traditional Arabic"/>
          <w:sz w:val="20"/>
          <w:szCs w:val="30"/>
          <w:rtl/>
          <w:lang w:bidi="ar-EG"/>
        </w:rPr>
        <w:t xml:space="preserve"> وتحويله إلى شكل يمكن التقاطه في حالة استعمال الفلتر النسيجي. وعلى سبيل المثال، أظهرت دراسة قارنت بين التقاط الزئبق في المرسبات الكهروستاتيكية والمرشحات النسيجية في منشآت الطاقة التي تعمل بحرق الفحم في الصين نسبة التقاط تتراوح من 1 إلى 33 في المائة في المرسبات وبين 9 و92 في المائة في المرشحات (جانغ وآخرون، 2015). ويبلغ متوسط كفاءات إزالة الزئبق في المرسبات والمرشحات في منشآت الطاقة الصينية العاملة بحرق الفحم 29 في المائة و67 في المائة على التوالي (جانغ وآخرون، 2015). </w:t>
      </w:r>
    </w:p>
    <w:p w:rsidR="00335E4B" w:rsidRPr="00335E4B" w:rsidRDefault="00335E4B" w:rsidP="00335E4B">
      <w:pPr>
        <w:tabs>
          <w:tab w:val="left" w:pos="663"/>
          <w:tab w:val="left" w:pos="1117"/>
          <w:tab w:val="left" w:pos="2230"/>
          <w:tab w:val="center" w:pos="5468"/>
        </w:tabs>
        <w:spacing w:after="120" w:line="360" w:lineRule="exact"/>
        <w:jc w:val="both"/>
        <w:rPr>
          <w:rFonts w:cs="Traditional Arabic"/>
          <w:sz w:val="20"/>
          <w:szCs w:val="30"/>
          <w:rtl/>
          <w:lang w:bidi="ar-EG"/>
        </w:rPr>
      </w:pPr>
      <w:r w:rsidRPr="00335E4B">
        <w:rPr>
          <w:rFonts w:cs="Traditional Arabic"/>
          <w:sz w:val="20"/>
          <w:szCs w:val="30"/>
          <w:rtl/>
          <w:lang w:bidi="ar-EG"/>
        </w:rPr>
        <w:t xml:space="preserve">ويمكن أيضاً أن تتكامل المرشحات النسيجية مع المرسبات الكهروستاتيكية لتصبح مرسبات-مرشحات، وهو ما يجري استخدامه في الصين </w:t>
      </w:r>
      <w:r w:rsidRPr="00335E4B">
        <w:rPr>
          <w:rFonts w:cs="Traditional Arabic" w:hint="cs"/>
          <w:sz w:val="20"/>
          <w:szCs w:val="30"/>
          <w:rtl/>
          <w:lang w:bidi="ar-EG"/>
        </w:rPr>
        <w:t>على</w:t>
      </w:r>
      <w:r w:rsidRPr="00335E4B">
        <w:rPr>
          <w:rFonts w:cs="Traditional Arabic"/>
          <w:sz w:val="20"/>
          <w:szCs w:val="30"/>
          <w:rtl/>
          <w:lang w:bidi="ar-EG"/>
        </w:rPr>
        <w:t xml:space="preserve"> </w:t>
      </w:r>
      <w:r w:rsidRPr="00335E4B">
        <w:rPr>
          <w:rFonts w:cs="Traditional Arabic" w:hint="cs"/>
          <w:sz w:val="20"/>
          <w:szCs w:val="30"/>
          <w:rtl/>
          <w:lang w:bidi="ar-EG"/>
        </w:rPr>
        <w:t>نطاق</w:t>
      </w:r>
      <w:r w:rsidRPr="00335E4B">
        <w:rPr>
          <w:rFonts w:cs="Traditional Arabic"/>
          <w:sz w:val="20"/>
          <w:szCs w:val="30"/>
          <w:rtl/>
          <w:lang w:bidi="ar-EG"/>
        </w:rPr>
        <w:t xml:space="preserve"> </w:t>
      </w:r>
      <w:r w:rsidRPr="00335E4B">
        <w:rPr>
          <w:rFonts w:cs="Traditional Arabic" w:hint="cs"/>
          <w:sz w:val="20"/>
          <w:szCs w:val="30"/>
          <w:rtl/>
          <w:lang w:bidi="ar-EG"/>
        </w:rPr>
        <w:t>مشابه</w:t>
      </w:r>
      <w:r w:rsidRPr="00335E4B">
        <w:rPr>
          <w:rFonts w:cs="Traditional Arabic"/>
          <w:sz w:val="20"/>
          <w:szCs w:val="30"/>
          <w:rtl/>
          <w:lang w:bidi="ar-EG"/>
        </w:rPr>
        <w:t xml:space="preserve"> </w:t>
      </w:r>
      <w:r w:rsidRPr="00335E4B">
        <w:rPr>
          <w:rFonts w:cs="Traditional Arabic" w:hint="cs"/>
          <w:sz w:val="20"/>
          <w:szCs w:val="30"/>
          <w:rtl/>
          <w:lang w:bidi="ar-EG"/>
        </w:rPr>
        <w:t>لنطاق</w:t>
      </w:r>
      <w:r w:rsidRPr="00335E4B">
        <w:rPr>
          <w:rFonts w:cs="Traditional Arabic"/>
          <w:sz w:val="20"/>
          <w:szCs w:val="30"/>
          <w:rtl/>
          <w:lang w:bidi="ar-EG"/>
        </w:rPr>
        <w:t xml:space="preserve"> استخدام المرشحات النسيجية. وتبلغ كفاءة إزالة الزئبق في المرسبات-المرشحات درجة </w:t>
      </w:r>
      <w:r w:rsidRPr="00335E4B">
        <w:rPr>
          <w:rFonts w:cs="Traditional Arabic" w:hint="cs"/>
          <w:sz w:val="20"/>
          <w:szCs w:val="30"/>
          <w:rtl/>
          <w:lang w:bidi="ar-EG"/>
        </w:rPr>
        <w:t xml:space="preserve">متوسطة </w:t>
      </w:r>
      <w:r w:rsidRPr="00335E4B">
        <w:rPr>
          <w:rFonts w:cs="Traditional Arabic"/>
          <w:sz w:val="20"/>
          <w:szCs w:val="30"/>
          <w:rtl/>
          <w:lang w:bidi="ar-EG"/>
        </w:rPr>
        <w:t>بين كفاءة المرسبات وكفاءة المرشحات. ويمكن تحقيق إزالة الزئبق بنسبة 43 في المائة في المتوسط عند استعمال المرسبات-المرشحات (جانغ، 2015).</w:t>
      </w:r>
    </w:p>
    <w:p w:rsidR="00335E4B" w:rsidRPr="00335E4B" w:rsidRDefault="00335E4B" w:rsidP="00335E4B">
      <w:pPr>
        <w:tabs>
          <w:tab w:val="left" w:pos="1274"/>
          <w:tab w:val="center" w:pos="5468"/>
        </w:tabs>
        <w:spacing w:after="120" w:line="360" w:lineRule="exact"/>
        <w:jc w:val="both"/>
        <w:rPr>
          <w:rFonts w:cs="Traditional Arabic"/>
          <w:b/>
          <w:bCs/>
          <w:sz w:val="20"/>
          <w:szCs w:val="30"/>
          <w:rtl/>
          <w:lang w:bidi="ar-EG"/>
        </w:rPr>
      </w:pPr>
      <w:r w:rsidRPr="00335E4B">
        <w:rPr>
          <w:rFonts w:cs="Traditional Arabic"/>
          <w:b/>
          <w:bCs/>
          <w:sz w:val="20"/>
          <w:szCs w:val="30"/>
          <w:rtl/>
          <w:lang w:bidi="ar-EG"/>
        </w:rPr>
        <w:t>أجهزة التنظيف الرطب للجسيمات</w:t>
      </w:r>
    </w:p>
    <w:p w:rsidR="00335E4B" w:rsidRPr="00335E4B" w:rsidRDefault="00335E4B" w:rsidP="00335E4B">
      <w:pPr>
        <w:tabs>
          <w:tab w:val="left" w:pos="663"/>
          <w:tab w:val="left" w:pos="1117"/>
          <w:tab w:val="left" w:pos="2230"/>
          <w:tab w:val="center" w:pos="5468"/>
        </w:tabs>
        <w:spacing w:after="120" w:line="360" w:lineRule="exact"/>
        <w:jc w:val="both"/>
        <w:rPr>
          <w:rFonts w:cs="Traditional Arabic"/>
          <w:sz w:val="20"/>
          <w:szCs w:val="30"/>
          <w:rtl/>
          <w:lang w:bidi="ar-EG"/>
        </w:rPr>
      </w:pPr>
      <w:r w:rsidRPr="00335E4B">
        <w:rPr>
          <w:rFonts w:cs="Traditional Arabic"/>
          <w:sz w:val="20"/>
          <w:szCs w:val="30"/>
          <w:rtl/>
          <w:lang w:bidi="ar-EG"/>
        </w:rPr>
        <w:t xml:space="preserve">معظم المراجل الصناعية الصغيرة والمتوسطة الحجم في الصين مجهَّزة بأجهزة تنظيف رطب للجسيمات من أجل تقليل انبعاثات الجسيمات. </w:t>
      </w:r>
      <w:r w:rsidRPr="00335E4B">
        <w:rPr>
          <w:rFonts w:cs="Traditional Arabic" w:hint="cs"/>
          <w:sz w:val="20"/>
          <w:szCs w:val="30"/>
          <w:rtl/>
          <w:lang w:bidi="ar-EG"/>
        </w:rPr>
        <w:t xml:space="preserve">وتتشابه العمليات الكيميائية في </w:t>
      </w:r>
      <w:r w:rsidRPr="00335E4B">
        <w:rPr>
          <w:rFonts w:cs="Traditional Arabic"/>
          <w:sz w:val="20"/>
          <w:szCs w:val="30"/>
          <w:rtl/>
          <w:lang w:bidi="ar-EG"/>
        </w:rPr>
        <w:t xml:space="preserve">نظام جهاز التنظيف الرطب للجسيمات </w:t>
      </w:r>
      <w:r w:rsidRPr="00335E4B">
        <w:rPr>
          <w:rFonts w:cs="Traditional Arabic" w:hint="cs"/>
          <w:sz w:val="20"/>
          <w:szCs w:val="30"/>
          <w:rtl/>
          <w:lang w:bidi="ar-EG"/>
        </w:rPr>
        <w:t xml:space="preserve">مع نظيرتها في </w:t>
      </w:r>
      <w:r w:rsidRPr="00335E4B">
        <w:rPr>
          <w:rFonts w:cs="Traditional Arabic"/>
          <w:sz w:val="20"/>
          <w:szCs w:val="30"/>
          <w:rtl/>
          <w:lang w:bidi="ar-EG"/>
        </w:rPr>
        <w:t xml:space="preserve">التنظيف الرطب للكبريت من غاز المدخنة. ولكن أجهزة التنظيف الرطب </w:t>
      </w:r>
      <w:r w:rsidRPr="00335E4B">
        <w:rPr>
          <w:rFonts w:cs="Traditional Arabic" w:hint="cs"/>
          <w:sz w:val="20"/>
          <w:szCs w:val="30"/>
          <w:rtl/>
          <w:lang w:bidi="ar-EG"/>
        </w:rPr>
        <w:t xml:space="preserve">التقليدية </w:t>
      </w:r>
      <w:r w:rsidRPr="00335E4B">
        <w:rPr>
          <w:rFonts w:cs="Traditional Arabic"/>
          <w:sz w:val="20"/>
          <w:szCs w:val="30"/>
          <w:rtl/>
          <w:lang w:bidi="ar-EG"/>
        </w:rPr>
        <w:t xml:space="preserve">للجسيمات تستعمل الماء فقط كمادة ماصة، </w:t>
      </w:r>
      <w:r w:rsidRPr="00335E4B">
        <w:rPr>
          <w:rFonts w:cs="Traditional Arabic" w:hint="cs"/>
          <w:sz w:val="20"/>
          <w:szCs w:val="30"/>
          <w:rtl/>
          <w:lang w:bidi="ar-EG"/>
        </w:rPr>
        <w:t>مما يجعل</w:t>
      </w:r>
      <w:r w:rsidRPr="00335E4B">
        <w:rPr>
          <w:rFonts w:cs="Traditional Arabic"/>
          <w:sz w:val="20"/>
          <w:szCs w:val="30"/>
          <w:rtl/>
          <w:lang w:bidi="ar-EG"/>
        </w:rPr>
        <w:t xml:space="preserve"> إعادة انبعاث الزئبق النقي كبيرة. وأوضحت القياسات في الموقع كفاءة إزالة الزئبق بمتوسط يبلغ 23 في المائة (بين 7 و59 في المائة) </w:t>
      </w:r>
      <w:r w:rsidRPr="00335E4B">
        <w:rPr>
          <w:rFonts w:cs="Traditional Arabic" w:hint="cs"/>
          <w:sz w:val="20"/>
          <w:szCs w:val="30"/>
          <w:rtl/>
          <w:lang w:bidi="ar-EG"/>
        </w:rPr>
        <w:t>عند استعمال</w:t>
      </w:r>
      <w:r w:rsidRPr="00335E4B">
        <w:rPr>
          <w:rFonts w:cs="Traditional Arabic"/>
          <w:sz w:val="20"/>
          <w:szCs w:val="30"/>
          <w:rtl/>
          <w:lang w:bidi="ar-EG"/>
        </w:rPr>
        <w:t xml:space="preserve"> أجهزة التنظيف الرطب للجسيمات في المراجل الصناعية العاملة بحرق الفحم في الصين.</w:t>
      </w:r>
    </w:p>
    <w:p w:rsidR="00335E4B" w:rsidRPr="00335E4B" w:rsidRDefault="00335E4B" w:rsidP="00335E4B">
      <w:pPr>
        <w:tabs>
          <w:tab w:val="left" w:pos="663"/>
          <w:tab w:val="left" w:pos="1117"/>
          <w:tab w:val="left" w:pos="2230"/>
          <w:tab w:val="center" w:pos="5468"/>
        </w:tabs>
        <w:spacing w:after="120" w:line="360" w:lineRule="exact"/>
        <w:jc w:val="both"/>
        <w:rPr>
          <w:rFonts w:cs="Traditional Arabic"/>
          <w:sz w:val="20"/>
          <w:szCs w:val="30"/>
          <w:rtl/>
          <w:lang w:bidi="ar-EG"/>
        </w:rPr>
      </w:pPr>
      <w:r w:rsidRPr="00335E4B">
        <w:rPr>
          <w:rFonts w:cs="Traditional Arabic"/>
          <w:sz w:val="20"/>
          <w:szCs w:val="30"/>
          <w:rtl/>
          <w:lang w:bidi="ar-EG"/>
        </w:rPr>
        <w:t xml:space="preserve">وأجهزة التنظيف الرخامية المتكاملة </w:t>
      </w:r>
      <w:r w:rsidRPr="001254C4">
        <w:rPr>
          <w:rFonts w:asciiTheme="majorBidi" w:hAnsiTheme="majorBidi" w:cstheme="majorBidi"/>
          <w:sz w:val="20"/>
          <w:szCs w:val="20"/>
          <w:rtl/>
          <w:lang w:bidi="ar-EG"/>
        </w:rPr>
        <w:t>(</w:t>
      </w:r>
      <w:r w:rsidRPr="001254C4">
        <w:rPr>
          <w:rFonts w:asciiTheme="majorBidi" w:hAnsiTheme="majorBidi" w:cstheme="majorBidi"/>
          <w:sz w:val="20"/>
          <w:szCs w:val="20"/>
          <w:lang w:bidi="ar-EG"/>
        </w:rPr>
        <w:t>IMS</w:t>
      </w:r>
      <w:r w:rsidRPr="001254C4">
        <w:rPr>
          <w:rFonts w:asciiTheme="majorBidi" w:hAnsiTheme="majorBidi" w:cstheme="majorBidi"/>
          <w:sz w:val="20"/>
          <w:szCs w:val="20"/>
          <w:rtl/>
          <w:lang w:bidi="ar-EG"/>
        </w:rPr>
        <w:t>)</w:t>
      </w:r>
      <w:r w:rsidRPr="00335E4B">
        <w:rPr>
          <w:rFonts w:cs="Traditional Arabic"/>
          <w:sz w:val="20"/>
          <w:szCs w:val="30"/>
          <w:rtl/>
          <w:lang w:bidi="ar-EG"/>
        </w:rPr>
        <w:t xml:space="preserve"> هي نوع خاص من أجهزة التنظيف الرطب للجسيمات للإزالة المتزامنة للجسيمات وثنائي أكسيد الكبريت، وتستعمل على نطاق يتزايد اتساعاً في منشآت الطاقة بحرق الفحم في الصين لأنها اقتصادية من الناحية التكنولوجية. وتستعمل أجهزة التنظيف الرخامية </w:t>
      </w:r>
      <w:r w:rsidRPr="00335E4B">
        <w:rPr>
          <w:rFonts w:cs="Traditional Arabic" w:hint="cs"/>
          <w:sz w:val="20"/>
          <w:szCs w:val="30"/>
          <w:rtl/>
          <w:lang w:bidi="ar-EG"/>
        </w:rPr>
        <w:t>محلولاً</w:t>
      </w:r>
      <w:r w:rsidRPr="00335E4B">
        <w:rPr>
          <w:rFonts w:cs="Traditional Arabic"/>
          <w:sz w:val="20"/>
          <w:szCs w:val="30"/>
          <w:rtl/>
          <w:lang w:bidi="ar-EG"/>
        </w:rPr>
        <w:t xml:space="preserve"> قلوي</w:t>
      </w:r>
      <w:r w:rsidRPr="00335E4B">
        <w:rPr>
          <w:rFonts w:cs="Traditional Arabic" w:hint="cs"/>
          <w:sz w:val="20"/>
          <w:szCs w:val="30"/>
          <w:rtl/>
          <w:lang w:bidi="ar-EG"/>
        </w:rPr>
        <w:t>اً</w:t>
      </w:r>
      <w:r w:rsidRPr="00335E4B">
        <w:rPr>
          <w:rFonts w:cs="Traditional Arabic"/>
          <w:sz w:val="20"/>
          <w:szCs w:val="30"/>
          <w:rtl/>
          <w:lang w:bidi="ar-EG"/>
        </w:rPr>
        <w:t xml:space="preserve"> كمادة ماصة، وهو أكثر فعالية في التقاط الزئبق المؤكسد، ويشبه التنظيف </w:t>
      </w:r>
      <w:r w:rsidRPr="00335E4B">
        <w:rPr>
          <w:rFonts w:cs="Traditional Arabic" w:hint="cs"/>
          <w:sz w:val="20"/>
          <w:szCs w:val="30"/>
          <w:rtl/>
          <w:lang w:bidi="ar-EG"/>
        </w:rPr>
        <w:t>الرطب</w:t>
      </w:r>
      <w:r w:rsidRPr="00335E4B">
        <w:rPr>
          <w:rFonts w:cs="Traditional Arabic"/>
          <w:sz w:val="20"/>
          <w:szCs w:val="30"/>
          <w:rtl/>
          <w:lang w:bidi="ar-EG"/>
        </w:rPr>
        <w:t xml:space="preserve"> للكبريت. وكفاءة أجهزة التنظيف الرخامية في إزالة الزئبق يمكن أن تكون أعلى من أجهزة التنظيف </w:t>
      </w:r>
      <w:r w:rsidRPr="00335E4B">
        <w:rPr>
          <w:rFonts w:cs="Traditional Arabic" w:hint="cs"/>
          <w:sz w:val="20"/>
          <w:szCs w:val="30"/>
          <w:rtl/>
          <w:lang w:bidi="ar-EG"/>
        </w:rPr>
        <w:t>الرطب</w:t>
      </w:r>
      <w:r w:rsidRPr="00335E4B">
        <w:rPr>
          <w:rFonts w:cs="Traditional Arabic"/>
          <w:sz w:val="20"/>
          <w:szCs w:val="30"/>
          <w:rtl/>
          <w:lang w:bidi="ar-EG"/>
        </w:rPr>
        <w:t xml:space="preserve"> التقليدية للجسيمات نتيجة قدرتها على ضبط ثنائي أكسيد الكبريت، ولكن لم </w:t>
      </w:r>
      <w:r w:rsidRPr="00335E4B">
        <w:rPr>
          <w:rFonts w:cs="Traditional Arabic" w:hint="cs"/>
          <w:sz w:val="20"/>
          <w:szCs w:val="30"/>
          <w:rtl/>
          <w:lang w:bidi="ar-EG"/>
        </w:rPr>
        <w:t xml:space="preserve">تجرَ بعد </w:t>
      </w:r>
      <w:r w:rsidRPr="00335E4B">
        <w:rPr>
          <w:rFonts w:cs="Traditional Arabic"/>
          <w:sz w:val="20"/>
          <w:szCs w:val="30"/>
          <w:rtl/>
          <w:lang w:bidi="ar-EG"/>
        </w:rPr>
        <w:t>قياسات في الموقع.</w:t>
      </w:r>
    </w:p>
    <w:p w:rsidR="00335E4B" w:rsidRPr="00335E4B" w:rsidRDefault="00335E4B" w:rsidP="00335E4B">
      <w:pPr>
        <w:tabs>
          <w:tab w:val="center" w:pos="5468"/>
        </w:tabs>
        <w:spacing w:after="120" w:line="400" w:lineRule="exact"/>
        <w:jc w:val="both"/>
        <w:rPr>
          <w:rFonts w:cs="Traditional Arabic"/>
          <w:i/>
          <w:iCs/>
          <w:sz w:val="20"/>
          <w:szCs w:val="30"/>
          <w:rtl/>
          <w:lang w:bidi="ar-EG"/>
        </w:rPr>
      </w:pPr>
      <w:r w:rsidRPr="00335E4B">
        <w:rPr>
          <w:rFonts w:cs="Traditional Arabic"/>
          <w:i/>
          <w:iCs/>
          <w:sz w:val="20"/>
          <w:szCs w:val="30"/>
          <w:rtl/>
          <w:lang w:bidi="ar-EG"/>
        </w:rPr>
        <w:t xml:space="preserve">التأثيرات </w:t>
      </w:r>
      <w:r w:rsidRPr="00335E4B">
        <w:rPr>
          <w:rFonts w:cs="Traditional Arabic" w:hint="cs"/>
          <w:i/>
          <w:iCs/>
          <w:sz w:val="20"/>
          <w:szCs w:val="30"/>
          <w:rtl/>
          <w:lang w:bidi="ar-EG"/>
        </w:rPr>
        <w:t>عبر</w:t>
      </w:r>
      <w:r w:rsidRPr="00335E4B">
        <w:rPr>
          <w:rFonts w:cs="Traditional Arabic"/>
          <w:i/>
          <w:iCs/>
          <w:sz w:val="20"/>
          <w:szCs w:val="30"/>
          <w:rtl/>
          <w:lang w:bidi="ar-EG"/>
        </w:rPr>
        <w:t xml:space="preserve"> الوسائط لأجهزة ضبط الجسيمات</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توجد آثار محتملة </w:t>
      </w:r>
      <w:r w:rsidRPr="00335E4B">
        <w:rPr>
          <w:rFonts w:cs="Traditional Arabic" w:hint="cs"/>
          <w:sz w:val="20"/>
          <w:szCs w:val="30"/>
          <w:rtl/>
          <w:lang w:bidi="ar-EG"/>
        </w:rPr>
        <w:t>عبر</w:t>
      </w:r>
      <w:r w:rsidRPr="00335E4B">
        <w:rPr>
          <w:rFonts w:cs="Traditional Arabic"/>
          <w:sz w:val="20"/>
          <w:szCs w:val="30"/>
          <w:rtl/>
          <w:lang w:bidi="ar-EG"/>
        </w:rPr>
        <w:t xml:space="preserve"> الوسائط تنطبق على أجهزة ضبط الجسيمات. ويمكن أن يعاد انبعاث الزئبق في الرماد المتطاير إذا تم تسخين الرماد المتطاير </w:t>
      </w:r>
      <w:r w:rsidRPr="00335E4B">
        <w:rPr>
          <w:rFonts w:cs="Traditional Arabic" w:hint="cs"/>
          <w:sz w:val="20"/>
          <w:szCs w:val="30"/>
          <w:rtl/>
          <w:lang w:bidi="ar-EG"/>
        </w:rPr>
        <w:t xml:space="preserve">المتجمِّع </w:t>
      </w:r>
      <w:r w:rsidRPr="00335E4B">
        <w:rPr>
          <w:rFonts w:cs="Traditional Arabic"/>
          <w:sz w:val="20"/>
          <w:szCs w:val="30"/>
          <w:rtl/>
          <w:lang w:bidi="ar-EG"/>
        </w:rPr>
        <w:t xml:space="preserve">في أجهزة ضبط الجسيمات أثناء إعادة الاستخدام. وعلى سبيل المثال، يمكن إطلاق الزئبق </w:t>
      </w:r>
      <w:r w:rsidRPr="00335E4B">
        <w:rPr>
          <w:rFonts w:cs="Traditional Arabic" w:hint="cs"/>
          <w:sz w:val="20"/>
          <w:szCs w:val="30"/>
          <w:rtl/>
          <w:lang w:bidi="ar-EG"/>
        </w:rPr>
        <w:t>العالق ب</w:t>
      </w:r>
      <w:r w:rsidRPr="00335E4B">
        <w:rPr>
          <w:rFonts w:cs="Traditional Arabic"/>
          <w:sz w:val="20"/>
          <w:szCs w:val="30"/>
          <w:rtl/>
          <w:lang w:bidi="ar-EG"/>
        </w:rPr>
        <w:t>الرماد المتطاير في الهواء إذا استخدم كمادة خام في فرن ال</w:t>
      </w:r>
      <w:r w:rsidRPr="00335E4B">
        <w:rPr>
          <w:rFonts w:cs="Traditional Arabic" w:hint="cs"/>
          <w:sz w:val="20"/>
          <w:szCs w:val="30"/>
          <w:rtl/>
          <w:lang w:bidi="ar-EG"/>
        </w:rPr>
        <w:t>إ</w:t>
      </w:r>
      <w:r w:rsidRPr="00335E4B">
        <w:rPr>
          <w:rFonts w:cs="Traditional Arabic"/>
          <w:sz w:val="20"/>
          <w:szCs w:val="30"/>
          <w:rtl/>
          <w:lang w:bidi="ar-EG"/>
        </w:rPr>
        <w:t xml:space="preserve">سمنت. وهناك أيضاً احتمال </w:t>
      </w:r>
      <w:r w:rsidRPr="00335E4B">
        <w:rPr>
          <w:rFonts w:cs="Traditional Arabic" w:hint="cs"/>
          <w:sz w:val="20"/>
          <w:szCs w:val="30"/>
          <w:rtl/>
          <w:lang w:bidi="ar-EG"/>
        </w:rPr>
        <w:t>أن يرشح</w:t>
      </w:r>
      <w:r w:rsidRPr="00335E4B">
        <w:rPr>
          <w:rFonts w:cs="Traditional Arabic"/>
          <w:sz w:val="20"/>
          <w:szCs w:val="30"/>
          <w:rtl/>
          <w:lang w:bidi="ar-EG"/>
        </w:rPr>
        <w:t xml:space="preserve"> الزئبق من الرماد المتطاير </w:t>
      </w:r>
      <w:r w:rsidRPr="00335E4B">
        <w:rPr>
          <w:rFonts w:cs="Traditional Arabic" w:hint="cs"/>
          <w:sz w:val="20"/>
          <w:szCs w:val="30"/>
          <w:rtl/>
          <w:lang w:bidi="ar-EG"/>
        </w:rPr>
        <w:t xml:space="preserve">إلى </w:t>
      </w:r>
      <w:r w:rsidRPr="00335E4B">
        <w:rPr>
          <w:rFonts w:cs="Traditional Arabic"/>
          <w:sz w:val="20"/>
          <w:szCs w:val="30"/>
          <w:rtl/>
          <w:lang w:bidi="ar-EG"/>
        </w:rPr>
        <w:t xml:space="preserve">المياه </w:t>
      </w:r>
      <w:r w:rsidRPr="00335E4B">
        <w:rPr>
          <w:rFonts w:cs="Traditional Arabic" w:hint="cs"/>
          <w:sz w:val="20"/>
          <w:szCs w:val="30"/>
          <w:rtl/>
          <w:lang w:bidi="ar-EG"/>
        </w:rPr>
        <w:t>الجوفية</w:t>
      </w:r>
      <w:r w:rsidRPr="00335E4B">
        <w:rPr>
          <w:rFonts w:cs="Traditional Arabic"/>
          <w:sz w:val="20"/>
          <w:szCs w:val="30"/>
          <w:rtl/>
          <w:lang w:bidi="ar-EG"/>
        </w:rPr>
        <w:t xml:space="preserve">. </w:t>
      </w:r>
      <w:r w:rsidRPr="00335E4B">
        <w:rPr>
          <w:rFonts w:cs="Traditional Arabic" w:hint="cs"/>
          <w:sz w:val="20"/>
          <w:szCs w:val="30"/>
          <w:rtl/>
          <w:lang w:bidi="ar-EG"/>
        </w:rPr>
        <w:t>وتلزم ال</w:t>
      </w:r>
      <w:r w:rsidRPr="00335E4B">
        <w:rPr>
          <w:rFonts w:cs="Traditional Arabic"/>
          <w:sz w:val="20"/>
          <w:szCs w:val="30"/>
          <w:rtl/>
          <w:lang w:bidi="ar-EG"/>
        </w:rPr>
        <w:t xml:space="preserve">إدارة </w:t>
      </w:r>
      <w:r w:rsidRPr="00335E4B">
        <w:rPr>
          <w:rFonts w:cs="Traditional Arabic" w:hint="cs"/>
          <w:sz w:val="20"/>
          <w:szCs w:val="30"/>
          <w:rtl/>
          <w:lang w:bidi="ar-EG"/>
        </w:rPr>
        <w:t>ال</w:t>
      </w:r>
      <w:r w:rsidRPr="00335E4B">
        <w:rPr>
          <w:rFonts w:cs="Traditional Arabic"/>
          <w:sz w:val="20"/>
          <w:szCs w:val="30"/>
          <w:rtl/>
          <w:lang w:bidi="ar-EG"/>
        </w:rPr>
        <w:t xml:space="preserve">سليمة للرماد المتطاير </w:t>
      </w:r>
      <w:r w:rsidRPr="00335E4B">
        <w:rPr>
          <w:rFonts w:cs="Traditional Arabic" w:hint="cs"/>
          <w:sz w:val="20"/>
          <w:szCs w:val="30"/>
          <w:rtl/>
          <w:lang w:bidi="ar-EG"/>
        </w:rPr>
        <w:t>المتجمِّع</w:t>
      </w:r>
      <w:r w:rsidRPr="00335E4B">
        <w:rPr>
          <w:rFonts w:cs="Traditional Arabic"/>
          <w:sz w:val="20"/>
          <w:szCs w:val="30"/>
          <w:rtl/>
          <w:lang w:bidi="ar-EG"/>
        </w:rPr>
        <w:t xml:space="preserve"> في أجهزة ضبط الجسيمات.</w:t>
      </w:r>
    </w:p>
    <w:p w:rsidR="00335E4B" w:rsidRPr="00335E4B" w:rsidRDefault="00335E4B" w:rsidP="00335E4B">
      <w:pPr>
        <w:keepNext/>
        <w:spacing w:before="120" w:after="120" w:line="400" w:lineRule="exact"/>
        <w:ind w:left="992" w:hanging="992"/>
        <w:jc w:val="both"/>
        <w:outlineLvl w:val="0"/>
        <w:rPr>
          <w:rFonts w:cs="Traditional Arabic"/>
          <w:b/>
          <w:bCs/>
          <w:sz w:val="30"/>
          <w:szCs w:val="30"/>
          <w:rtl/>
        </w:rPr>
      </w:pPr>
      <w:bookmarkStart w:id="573" w:name="_Toc440456840"/>
      <w:bookmarkStart w:id="574" w:name="_Toc440526909"/>
      <w:bookmarkStart w:id="575" w:name="_Toc440527764"/>
      <w:bookmarkStart w:id="576" w:name="_Toc440550465"/>
      <w:bookmarkStart w:id="577" w:name="_Toc441577722"/>
      <w:bookmarkStart w:id="578" w:name="_Toc441577901"/>
      <w:bookmarkStart w:id="579" w:name="_Toc441579127"/>
      <w:bookmarkStart w:id="580" w:name="_Toc441580735"/>
      <w:bookmarkStart w:id="581" w:name="_Toc441585866"/>
      <w:bookmarkStart w:id="582" w:name="_Toc441586202"/>
      <w:bookmarkStart w:id="583" w:name="_Toc441586652"/>
      <w:bookmarkStart w:id="584" w:name="_Toc441586831"/>
      <w:bookmarkStart w:id="585" w:name="_Toc441666680"/>
      <w:bookmarkStart w:id="586" w:name="_Toc441673741"/>
      <w:r w:rsidRPr="00335E4B">
        <w:rPr>
          <w:rFonts w:cs="Traditional Arabic"/>
          <w:b/>
          <w:bCs/>
          <w:sz w:val="30"/>
          <w:szCs w:val="30"/>
          <w:rtl/>
        </w:rPr>
        <w:t>أجهزة ضبط ثنائي أكسيد الكبريت</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ترد أدناه تقني</w:t>
      </w:r>
      <w:r w:rsidRPr="00335E4B">
        <w:rPr>
          <w:rFonts w:cs="Traditional Arabic" w:hint="cs"/>
          <w:sz w:val="20"/>
          <w:szCs w:val="30"/>
          <w:rtl/>
          <w:lang w:bidi="ar-EG"/>
        </w:rPr>
        <w:t>ت</w:t>
      </w:r>
      <w:r w:rsidRPr="00335E4B">
        <w:rPr>
          <w:rFonts w:cs="Traditional Arabic"/>
          <w:sz w:val="20"/>
          <w:szCs w:val="30"/>
          <w:rtl/>
          <w:lang w:bidi="ar-EG"/>
        </w:rPr>
        <w:t>ا</w:t>
      </w:r>
      <w:r w:rsidRPr="00335E4B">
        <w:rPr>
          <w:rFonts w:cs="Traditional Arabic" w:hint="cs"/>
          <w:sz w:val="20"/>
          <w:szCs w:val="30"/>
          <w:rtl/>
          <w:lang w:bidi="ar-EG"/>
        </w:rPr>
        <w:t>ن</w:t>
      </w:r>
      <w:r w:rsidRPr="00335E4B">
        <w:rPr>
          <w:rFonts w:cs="Traditional Arabic"/>
          <w:sz w:val="20"/>
          <w:szCs w:val="30"/>
          <w:rtl/>
          <w:lang w:bidi="ar-EG"/>
        </w:rPr>
        <w:t xml:space="preserve"> رئيسيتان تستعملان لتخفيض انبعاثات ثنائي أكسيد الكبريت: الأولى هي </w:t>
      </w:r>
      <w:r w:rsidRPr="00335E4B">
        <w:rPr>
          <w:rFonts w:cs="Traditional Arabic" w:hint="cs"/>
          <w:sz w:val="20"/>
          <w:szCs w:val="30"/>
          <w:rtl/>
          <w:lang w:bidi="ar-EG"/>
        </w:rPr>
        <w:t>التنظيف الرطب لإزالة</w:t>
      </w:r>
      <w:r w:rsidRPr="00335E4B">
        <w:rPr>
          <w:rFonts w:cs="Traditional Arabic"/>
          <w:sz w:val="20"/>
          <w:szCs w:val="30"/>
          <w:rtl/>
          <w:lang w:bidi="ar-EG"/>
        </w:rPr>
        <w:t xml:space="preserve"> </w:t>
      </w:r>
      <w:r w:rsidRPr="00335E4B">
        <w:rPr>
          <w:rFonts w:cs="Traditional Arabic" w:hint="cs"/>
          <w:sz w:val="20"/>
          <w:szCs w:val="30"/>
          <w:rtl/>
          <w:lang w:bidi="ar-EG"/>
        </w:rPr>
        <w:t>ا</w:t>
      </w:r>
      <w:r w:rsidRPr="00335E4B">
        <w:rPr>
          <w:rFonts w:cs="Traditional Arabic"/>
          <w:sz w:val="20"/>
          <w:szCs w:val="30"/>
          <w:rtl/>
          <w:lang w:bidi="ar-EG"/>
        </w:rPr>
        <w:t xml:space="preserve">لكبريت من </w:t>
      </w:r>
      <w:r w:rsidRPr="00335E4B">
        <w:rPr>
          <w:rFonts w:cs="Traditional Arabic" w:hint="cs"/>
          <w:sz w:val="20"/>
          <w:szCs w:val="30"/>
          <w:rtl/>
          <w:lang w:bidi="ar-EG"/>
        </w:rPr>
        <w:t>غاز</w:t>
      </w:r>
      <w:r w:rsidRPr="00335E4B">
        <w:rPr>
          <w:rFonts w:cs="Traditional Arabic"/>
          <w:sz w:val="20"/>
          <w:szCs w:val="30"/>
          <w:rtl/>
          <w:lang w:bidi="ar-EG"/>
        </w:rPr>
        <w:t xml:space="preserve"> المدخنة والثانية هي </w:t>
      </w:r>
      <w:r w:rsidRPr="00335E4B">
        <w:rPr>
          <w:rFonts w:cs="Traditional Arabic" w:hint="cs"/>
          <w:sz w:val="20"/>
          <w:szCs w:val="30"/>
          <w:rtl/>
          <w:lang w:bidi="ar-EG"/>
        </w:rPr>
        <w:t xml:space="preserve">التنظيف </w:t>
      </w:r>
      <w:r w:rsidRPr="00335E4B">
        <w:rPr>
          <w:rFonts w:cs="Traditional Arabic"/>
          <w:sz w:val="20"/>
          <w:szCs w:val="30"/>
          <w:rtl/>
          <w:lang w:bidi="ar-EG"/>
        </w:rPr>
        <w:t xml:space="preserve">الجاف </w:t>
      </w:r>
      <w:r w:rsidRPr="00335E4B">
        <w:rPr>
          <w:rFonts w:cs="Traditional Arabic" w:hint="cs"/>
          <w:sz w:val="20"/>
          <w:szCs w:val="30"/>
          <w:rtl/>
          <w:lang w:bidi="ar-EG"/>
        </w:rPr>
        <w:t>لإزالة ا</w:t>
      </w:r>
      <w:r w:rsidRPr="00335E4B">
        <w:rPr>
          <w:rFonts w:cs="Traditional Arabic"/>
          <w:sz w:val="20"/>
          <w:szCs w:val="30"/>
          <w:rtl/>
          <w:lang w:bidi="ar-EG"/>
        </w:rPr>
        <w:t>لكبريت من غاز المدخنة، أو جهاز التنظيف الجاف.</w:t>
      </w:r>
    </w:p>
    <w:p w:rsidR="00335E4B" w:rsidRPr="00335E4B" w:rsidRDefault="00335E4B" w:rsidP="00335E4B">
      <w:pPr>
        <w:tabs>
          <w:tab w:val="left" w:pos="663"/>
          <w:tab w:val="left" w:pos="1274"/>
          <w:tab w:val="left" w:pos="2230"/>
          <w:tab w:val="center" w:pos="5468"/>
        </w:tabs>
        <w:spacing w:after="120" w:line="400" w:lineRule="exact"/>
        <w:jc w:val="both"/>
        <w:rPr>
          <w:rFonts w:cs="Traditional Arabic"/>
          <w:b/>
          <w:bCs/>
          <w:sz w:val="20"/>
          <w:szCs w:val="30"/>
          <w:rtl/>
          <w:lang w:bidi="ar-EG"/>
        </w:rPr>
      </w:pPr>
      <w:r w:rsidRPr="00335E4B">
        <w:rPr>
          <w:rFonts w:cs="Traditional Arabic" w:hint="cs"/>
          <w:b/>
          <w:bCs/>
          <w:sz w:val="20"/>
          <w:szCs w:val="30"/>
          <w:rtl/>
          <w:lang w:bidi="ar-EG"/>
        </w:rPr>
        <w:t xml:space="preserve">التنظيف الرطب </w:t>
      </w:r>
      <w:r w:rsidRPr="00335E4B">
        <w:rPr>
          <w:rFonts w:cs="Traditional Arabic"/>
          <w:b/>
          <w:bCs/>
          <w:sz w:val="20"/>
          <w:szCs w:val="30"/>
          <w:rtl/>
          <w:lang w:bidi="ar-EG"/>
        </w:rPr>
        <w:t xml:space="preserve">لإزالة </w:t>
      </w:r>
      <w:r w:rsidRPr="00335E4B">
        <w:rPr>
          <w:rFonts w:cs="Traditional Arabic" w:hint="cs"/>
          <w:b/>
          <w:bCs/>
          <w:sz w:val="20"/>
          <w:szCs w:val="30"/>
          <w:rtl/>
          <w:lang w:bidi="ar-EG"/>
        </w:rPr>
        <w:t>ا</w:t>
      </w:r>
      <w:r w:rsidRPr="00335E4B">
        <w:rPr>
          <w:rFonts w:cs="Traditional Arabic"/>
          <w:b/>
          <w:bCs/>
          <w:sz w:val="20"/>
          <w:szCs w:val="30"/>
          <w:rtl/>
          <w:lang w:bidi="ar-EG"/>
        </w:rPr>
        <w:t xml:space="preserve">لكبريت </w:t>
      </w:r>
      <w:r w:rsidRPr="00335E4B">
        <w:rPr>
          <w:rFonts w:cs="Traditional Arabic" w:hint="cs"/>
          <w:b/>
          <w:bCs/>
          <w:sz w:val="20"/>
          <w:szCs w:val="30"/>
          <w:rtl/>
          <w:lang w:bidi="ar-EG"/>
        </w:rPr>
        <w:t xml:space="preserve">من </w:t>
      </w:r>
      <w:r w:rsidRPr="00335E4B">
        <w:rPr>
          <w:rFonts w:cs="Traditional Arabic"/>
          <w:b/>
          <w:bCs/>
          <w:sz w:val="20"/>
          <w:szCs w:val="30"/>
          <w:rtl/>
          <w:lang w:bidi="ar-EG"/>
        </w:rPr>
        <w:t>غاز المدخنة</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في المنشآت المجهَّزة </w:t>
      </w:r>
      <w:r w:rsidRPr="00335E4B">
        <w:rPr>
          <w:rFonts w:cs="Traditional Arabic" w:hint="cs"/>
          <w:sz w:val="20"/>
          <w:szCs w:val="30"/>
          <w:rtl/>
          <w:lang w:bidi="ar-EG"/>
        </w:rPr>
        <w:t>بالتنظيف الرطب لإزالة ا</w:t>
      </w:r>
      <w:r w:rsidRPr="00335E4B">
        <w:rPr>
          <w:rFonts w:cs="Traditional Arabic"/>
          <w:sz w:val="20"/>
          <w:szCs w:val="30"/>
          <w:rtl/>
          <w:lang w:bidi="ar-EG"/>
        </w:rPr>
        <w:t xml:space="preserve">لكبريت من غاز المدخنة يمكن زيادة مقدار </w:t>
      </w:r>
      <w:r w:rsidRPr="00335E4B">
        <w:rPr>
          <w:rFonts w:cs="Traditional Arabic" w:hint="cs"/>
          <w:sz w:val="20"/>
          <w:szCs w:val="30"/>
          <w:rtl/>
          <w:lang w:bidi="ar-EG"/>
        </w:rPr>
        <w:t>المنافع</w:t>
      </w:r>
      <w:r w:rsidRPr="00335E4B">
        <w:rPr>
          <w:rFonts w:cs="Traditional Arabic"/>
          <w:sz w:val="20"/>
          <w:szCs w:val="30"/>
          <w:rtl/>
          <w:lang w:bidi="ar-EG"/>
        </w:rPr>
        <w:t xml:space="preserve"> المشتركة للإزالة من خلال زيادة جزء الزئبق المؤكسد في </w:t>
      </w:r>
      <w:r w:rsidRPr="00335E4B">
        <w:rPr>
          <w:rFonts w:cs="Traditional Arabic" w:hint="cs"/>
          <w:sz w:val="20"/>
          <w:szCs w:val="30"/>
          <w:rtl/>
          <w:lang w:bidi="ar-EG"/>
        </w:rPr>
        <w:t xml:space="preserve">محتوى </w:t>
      </w:r>
      <w:r w:rsidRPr="00335E4B">
        <w:rPr>
          <w:rFonts w:cs="Traditional Arabic"/>
          <w:sz w:val="20"/>
          <w:szCs w:val="30"/>
          <w:rtl/>
          <w:lang w:bidi="ar-EG"/>
        </w:rPr>
        <w:t>الزئبق</w:t>
      </w:r>
      <w:r w:rsidRPr="00335E4B">
        <w:rPr>
          <w:rFonts w:cs="Traditional Arabic" w:hint="cs"/>
          <w:sz w:val="20"/>
          <w:szCs w:val="30"/>
          <w:rtl/>
          <w:lang w:bidi="ar-EG"/>
        </w:rPr>
        <w:t xml:space="preserve"> الكلي لغاز المدخنة</w:t>
      </w:r>
      <w:r w:rsidRPr="00335E4B">
        <w:rPr>
          <w:rFonts w:cs="Traditional Arabic"/>
          <w:sz w:val="20"/>
          <w:szCs w:val="30"/>
          <w:rtl/>
          <w:lang w:bidi="ar-EG"/>
        </w:rPr>
        <w:t xml:space="preserve"> أو من خلال تحسين فعالية ضبط الجسيمات (سلوس، 2009). ويمكن تحقيق زيادة جزء الزئبق المؤكسد بإضافة مركبات كيميائية (عوامل مؤكسدة) أو بأكسدة الزئبق على العوامل الحفَّ</w:t>
      </w:r>
      <w:r w:rsidRPr="00335E4B">
        <w:rPr>
          <w:rFonts w:cs="Traditional Arabic" w:hint="cs"/>
          <w:sz w:val="20"/>
          <w:szCs w:val="30"/>
          <w:rtl/>
          <w:lang w:bidi="ar-EG"/>
        </w:rPr>
        <w:t>ا</w:t>
      </w:r>
      <w:r w:rsidRPr="00335E4B">
        <w:rPr>
          <w:rFonts w:cs="Traditional Arabic"/>
          <w:sz w:val="20"/>
          <w:szCs w:val="30"/>
          <w:rtl/>
          <w:lang w:bidi="ar-EG"/>
        </w:rPr>
        <w:t xml:space="preserve">زة (أمار وآخرون، 2010). ويمكن أن يوضع العامل الحفَّاز في غاز المدخنة لغرض وحيد وهو أكسدة الزئبق أو يمكن إقامته لغرض آخر (مثلاً لضبط انبعاثات أكاسيد النيتروجين) وبالتالي توفير منافع مشتركة. وتشغيل التنظيف </w:t>
      </w:r>
      <w:r w:rsidRPr="00335E4B">
        <w:rPr>
          <w:rFonts w:cs="Traditional Arabic" w:hint="cs"/>
          <w:sz w:val="20"/>
          <w:szCs w:val="30"/>
          <w:rtl/>
          <w:lang w:bidi="ar-EG"/>
        </w:rPr>
        <w:t>الرطب</w:t>
      </w:r>
      <w:r w:rsidRPr="00335E4B">
        <w:rPr>
          <w:rFonts w:cs="Traditional Arabic"/>
          <w:sz w:val="20"/>
          <w:szCs w:val="30"/>
          <w:rtl/>
          <w:lang w:bidi="ar-EG"/>
        </w:rPr>
        <w:t xml:space="preserve"> لإزالة </w:t>
      </w:r>
      <w:r w:rsidRPr="00335E4B">
        <w:rPr>
          <w:rFonts w:cs="Traditional Arabic" w:hint="cs"/>
          <w:sz w:val="20"/>
          <w:szCs w:val="30"/>
          <w:rtl/>
          <w:lang w:bidi="ar-EG"/>
        </w:rPr>
        <w:t>الكبريت</w:t>
      </w:r>
      <w:r w:rsidRPr="00335E4B">
        <w:rPr>
          <w:rFonts w:cs="Traditional Arabic"/>
          <w:sz w:val="20"/>
          <w:szCs w:val="30"/>
          <w:rtl/>
          <w:lang w:bidi="ar-EG"/>
        </w:rPr>
        <w:t xml:space="preserve"> يتطلب إنشاء جهاز لضبط الجسيمات </w:t>
      </w:r>
      <w:r w:rsidRPr="00335E4B">
        <w:rPr>
          <w:rFonts w:cs="Traditional Arabic" w:hint="cs"/>
          <w:sz w:val="20"/>
          <w:szCs w:val="30"/>
          <w:rtl/>
          <w:lang w:bidi="ar-EG"/>
        </w:rPr>
        <w:t>عند منبع</w:t>
      </w:r>
      <w:r w:rsidRPr="00335E4B">
        <w:rPr>
          <w:rFonts w:cs="Traditional Arabic"/>
          <w:sz w:val="20"/>
          <w:szCs w:val="30"/>
          <w:rtl/>
          <w:lang w:bidi="ar-EG"/>
        </w:rPr>
        <w:t xml:space="preserve"> جهاز التنظيف </w:t>
      </w:r>
      <w:r w:rsidRPr="00335E4B">
        <w:rPr>
          <w:rFonts w:cs="Traditional Arabic" w:hint="cs"/>
          <w:sz w:val="20"/>
          <w:szCs w:val="30"/>
          <w:rtl/>
          <w:lang w:bidi="ar-EG"/>
        </w:rPr>
        <w:t>الرطب</w:t>
      </w:r>
      <w:r w:rsidRPr="00335E4B">
        <w:rPr>
          <w:rFonts w:cs="Traditional Arabic"/>
          <w:sz w:val="20"/>
          <w:szCs w:val="30"/>
          <w:rtl/>
          <w:lang w:bidi="ar-EG"/>
        </w:rPr>
        <w:t xml:space="preserve"> لإزالة الكبريت من غاز المدخنة (سريفاستافا ويوسفتس، 2001).</w:t>
      </w:r>
    </w:p>
    <w:p w:rsidR="00335E4B" w:rsidRPr="00335E4B" w:rsidRDefault="00335E4B" w:rsidP="00C30591">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وكما ذكرنا من قبل، تتسم المركبات الغازية للزئبق المؤكسد عموماً بأنها قابلة للذوبان في الماء، ولهذا فإنه من المتوقع أن </w:t>
      </w:r>
      <w:r w:rsidRPr="00335E4B">
        <w:rPr>
          <w:rFonts w:cs="Traditional Arabic" w:hint="cs"/>
          <w:sz w:val="20"/>
          <w:szCs w:val="30"/>
          <w:rtl/>
          <w:lang w:bidi="ar-EG"/>
        </w:rPr>
        <w:t xml:space="preserve">تستطيع </w:t>
      </w:r>
      <w:r w:rsidRPr="00335E4B">
        <w:rPr>
          <w:rFonts w:cs="Traditional Arabic"/>
          <w:sz w:val="20"/>
          <w:szCs w:val="30"/>
          <w:rtl/>
          <w:lang w:bidi="ar-EG"/>
        </w:rPr>
        <w:t xml:space="preserve">نُظم </w:t>
      </w:r>
      <w:r w:rsidRPr="00335E4B">
        <w:rPr>
          <w:rFonts w:cs="Traditional Arabic" w:hint="cs"/>
          <w:sz w:val="20"/>
          <w:szCs w:val="30"/>
          <w:rtl/>
          <w:lang w:bidi="ar-EG"/>
        </w:rPr>
        <w:t>ال</w:t>
      </w:r>
      <w:r w:rsidRPr="00335E4B">
        <w:rPr>
          <w:rFonts w:cs="Traditional Arabic"/>
          <w:sz w:val="20"/>
          <w:szCs w:val="30"/>
          <w:rtl/>
          <w:lang w:bidi="ar-EG"/>
        </w:rPr>
        <w:t xml:space="preserve">تنظيف </w:t>
      </w:r>
      <w:r w:rsidRPr="00335E4B">
        <w:rPr>
          <w:rFonts w:cs="Traditional Arabic" w:hint="cs"/>
          <w:sz w:val="20"/>
          <w:szCs w:val="30"/>
          <w:rtl/>
          <w:lang w:bidi="ar-EG"/>
        </w:rPr>
        <w:t>الرطب</w:t>
      </w:r>
      <w:r w:rsidRPr="00335E4B">
        <w:rPr>
          <w:rFonts w:cs="Traditional Arabic"/>
          <w:sz w:val="20"/>
          <w:szCs w:val="30"/>
          <w:rtl/>
          <w:lang w:bidi="ar-EG"/>
        </w:rPr>
        <w:t xml:space="preserve"> لإزالة الكبريت </w:t>
      </w:r>
      <w:r w:rsidRPr="00335E4B">
        <w:rPr>
          <w:rFonts w:cs="Traditional Arabic" w:hint="cs"/>
          <w:sz w:val="20"/>
          <w:szCs w:val="30"/>
          <w:rtl/>
          <w:lang w:bidi="ar-EG"/>
        </w:rPr>
        <w:t>التقاطها</w:t>
      </w:r>
      <w:r w:rsidRPr="00335E4B">
        <w:rPr>
          <w:rFonts w:cs="Traditional Arabic"/>
          <w:sz w:val="20"/>
          <w:szCs w:val="30"/>
          <w:rtl/>
          <w:lang w:bidi="ar-EG"/>
        </w:rPr>
        <w:t xml:space="preserve"> بكفاءة (ريدينغر وآخرون، 1999؛ وديفيتو وروسنهوفر 1999). ولكن الزئبق النقي الغازي </w:t>
      </w:r>
      <w:r w:rsidRPr="00335E4B">
        <w:rPr>
          <w:rFonts w:cs="Traditional Arabic" w:hint="cs"/>
          <w:sz w:val="20"/>
          <w:szCs w:val="30"/>
          <w:rtl/>
          <w:lang w:bidi="ar-EG"/>
        </w:rPr>
        <w:t xml:space="preserve">غير </w:t>
      </w:r>
      <w:r w:rsidRPr="00335E4B">
        <w:rPr>
          <w:rFonts w:cs="Traditional Arabic"/>
          <w:sz w:val="20"/>
          <w:szCs w:val="30"/>
          <w:rtl/>
          <w:lang w:bidi="ar-EG"/>
        </w:rPr>
        <w:t xml:space="preserve">قابل للذوبان في الماء وبالتالي لا يمتص في حمأة التنظيف </w:t>
      </w:r>
      <w:r w:rsidRPr="00335E4B">
        <w:rPr>
          <w:rFonts w:cs="Traditional Arabic" w:hint="cs"/>
          <w:sz w:val="20"/>
          <w:szCs w:val="30"/>
          <w:rtl/>
          <w:lang w:bidi="ar-EG"/>
        </w:rPr>
        <w:t xml:space="preserve">الرطب </w:t>
      </w:r>
      <w:r w:rsidRPr="00335E4B">
        <w:rPr>
          <w:rFonts w:cs="Traditional Arabic"/>
          <w:sz w:val="20"/>
          <w:szCs w:val="30"/>
          <w:rtl/>
          <w:lang w:bidi="ar-EG"/>
        </w:rPr>
        <w:t xml:space="preserve">لإزالة الكبريت. ويتضح من البيانات المأخوذة من المرافق الفعلية أنه يمكن أن نتوقع التقاط الزئبق المؤكسد بمتوسط 75 في المائة بين (67 و93 في المائة) في نُظم التنظيف </w:t>
      </w:r>
      <w:r w:rsidRPr="00335E4B">
        <w:rPr>
          <w:rFonts w:cs="Traditional Arabic" w:hint="cs"/>
          <w:sz w:val="20"/>
          <w:szCs w:val="30"/>
          <w:rtl/>
          <w:lang w:bidi="ar-EG"/>
        </w:rPr>
        <w:t>الرطب</w:t>
      </w:r>
      <w:r w:rsidRPr="00335E4B">
        <w:rPr>
          <w:rFonts w:cs="Traditional Arabic"/>
          <w:sz w:val="20"/>
          <w:szCs w:val="30"/>
          <w:rtl/>
          <w:lang w:bidi="ar-EG"/>
        </w:rPr>
        <w:t xml:space="preserve"> لإزالة الكبريت من غاز المدخنة على أساس الكالسيوم (شين وآخرون، 2007؛ وكيم وآخرون، 2009؛ ووانغ وآخرون، 2010؛ وسلوس، 2015)، رغم وجود حالات حدث فيها قياس التقاط أقل بكثير نتيجة </w:t>
      </w:r>
      <w:r w:rsidRPr="00335E4B">
        <w:rPr>
          <w:rFonts w:cs="Traditional Arabic" w:hint="cs"/>
          <w:sz w:val="20"/>
          <w:szCs w:val="30"/>
          <w:rtl/>
          <w:lang w:bidi="ar-EG"/>
        </w:rPr>
        <w:t xml:space="preserve">توازن </w:t>
      </w:r>
      <w:r w:rsidRPr="00335E4B">
        <w:rPr>
          <w:rFonts w:cs="Traditional Arabic"/>
          <w:sz w:val="20"/>
          <w:szCs w:val="30"/>
          <w:rtl/>
          <w:lang w:bidi="ar-EG"/>
        </w:rPr>
        <w:t>كيميا</w:t>
      </w:r>
      <w:r w:rsidRPr="00335E4B">
        <w:rPr>
          <w:rFonts w:cs="Traditional Arabic" w:hint="cs"/>
          <w:sz w:val="20"/>
          <w:szCs w:val="30"/>
          <w:rtl/>
          <w:lang w:bidi="ar-EG"/>
        </w:rPr>
        <w:t>ئي</w:t>
      </w:r>
      <w:r w:rsidRPr="00335E4B">
        <w:rPr>
          <w:rFonts w:cs="Traditional Arabic"/>
          <w:sz w:val="20"/>
          <w:szCs w:val="30"/>
          <w:rtl/>
          <w:lang w:bidi="ar-EG"/>
        </w:rPr>
        <w:t xml:space="preserve"> غير موات في جهاز التنظيف (مكسا وفوجي وارا، 2004).</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وقد تم إثبات أن الزئبق المؤكسد قد يتم اختزاله في بعض الظروف إلى زئبق أوَّلي في أجهزة التنظيف </w:t>
      </w:r>
      <w:r w:rsidRPr="00335E4B">
        <w:rPr>
          <w:rFonts w:cs="Traditional Arabic" w:hint="cs"/>
          <w:sz w:val="20"/>
          <w:szCs w:val="30"/>
          <w:rtl/>
          <w:lang w:bidi="ar-EG"/>
        </w:rPr>
        <w:t>الرطب</w:t>
      </w:r>
      <w:r w:rsidRPr="00335E4B">
        <w:rPr>
          <w:rFonts w:cs="Traditional Arabic"/>
          <w:sz w:val="20"/>
          <w:szCs w:val="30"/>
          <w:rtl/>
          <w:lang w:bidi="ar-EG"/>
        </w:rPr>
        <w:t xml:space="preserve"> لإزالة الكبريت من غاز المدخنة، ويمكن بعد ذلك إعادة انبعاثه (مولان وآخرون، 2003). وهكذا فإن الوصول إلى </w:t>
      </w:r>
      <w:r w:rsidRPr="00335E4B">
        <w:rPr>
          <w:rFonts w:cs="Traditional Arabic" w:hint="cs"/>
          <w:sz w:val="20"/>
          <w:szCs w:val="30"/>
          <w:rtl/>
          <w:lang w:bidi="ar-EG"/>
        </w:rPr>
        <w:t>ال</w:t>
      </w:r>
      <w:r w:rsidRPr="00335E4B">
        <w:rPr>
          <w:rFonts w:cs="Traditional Arabic"/>
          <w:sz w:val="20"/>
          <w:szCs w:val="30"/>
          <w:rtl/>
          <w:lang w:bidi="ar-EG"/>
        </w:rPr>
        <w:t xml:space="preserve">استراتيجية المثلى </w:t>
      </w:r>
      <w:r w:rsidRPr="00335E4B">
        <w:rPr>
          <w:rFonts w:cs="Traditional Arabic" w:hint="cs"/>
          <w:sz w:val="20"/>
          <w:szCs w:val="30"/>
          <w:rtl/>
          <w:lang w:bidi="ar-EG"/>
        </w:rPr>
        <w:t>ل</w:t>
      </w:r>
      <w:r w:rsidRPr="00335E4B">
        <w:rPr>
          <w:rFonts w:cs="Traditional Arabic"/>
          <w:sz w:val="20"/>
          <w:szCs w:val="30"/>
          <w:rtl/>
          <w:lang w:bidi="ar-EG"/>
        </w:rPr>
        <w:t xml:space="preserve">لمنافع المشتركة </w:t>
      </w:r>
      <w:r w:rsidRPr="00335E4B">
        <w:rPr>
          <w:rFonts w:cs="Traditional Arabic" w:hint="cs"/>
          <w:sz w:val="20"/>
          <w:szCs w:val="30"/>
          <w:rtl/>
          <w:lang w:bidi="ar-EG"/>
        </w:rPr>
        <w:t>ي</w:t>
      </w:r>
      <w:r w:rsidRPr="00335E4B">
        <w:rPr>
          <w:rFonts w:cs="Traditional Arabic"/>
          <w:sz w:val="20"/>
          <w:szCs w:val="30"/>
          <w:rtl/>
          <w:lang w:bidi="ar-EG"/>
        </w:rPr>
        <w:t>عني في بعض الأحيان</w:t>
      </w:r>
      <w:r w:rsidRPr="00335E4B">
        <w:rPr>
          <w:rFonts w:cs="Traditional Arabic" w:hint="cs"/>
          <w:sz w:val="20"/>
          <w:szCs w:val="30"/>
          <w:rtl/>
          <w:lang w:bidi="ar-EG"/>
        </w:rPr>
        <w:t xml:space="preserve"> الحفاظ</w:t>
      </w:r>
      <w:r w:rsidRPr="00335E4B">
        <w:rPr>
          <w:rFonts w:cs="Traditional Arabic"/>
          <w:sz w:val="20"/>
          <w:szCs w:val="30"/>
          <w:rtl/>
          <w:lang w:bidi="ar-EG"/>
        </w:rPr>
        <w:t xml:space="preserve">، في حالة التنظيف </w:t>
      </w:r>
      <w:r w:rsidRPr="00335E4B">
        <w:rPr>
          <w:rFonts w:cs="Traditional Arabic" w:hint="cs"/>
          <w:sz w:val="20"/>
          <w:szCs w:val="30"/>
          <w:rtl/>
          <w:lang w:bidi="ar-EG"/>
        </w:rPr>
        <w:t>الرطب</w:t>
      </w:r>
      <w:r w:rsidRPr="00335E4B">
        <w:rPr>
          <w:rFonts w:cs="Traditional Arabic"/>
          <w:sz w:val="20"/>
          <w:szCs w:val="30"/>
          <w:rtl/>
          <w:lang w:bidi="ar-EG"/>
        </w:rPr>
        <w:t xml:space="preserve"> لإزالة الكبريت، على </w:t>
      </w:r>
      <w:r w:rsidRPr="00335E4B">
        <w:rPr>
          <w:rFonts w:cs="Traditional Arabic" w:hint="cs"/>
          <w:sz w:val="20"/>
          <w:szCs w:val="30"/>
          <w:rtl/>
          <w:lang w:bidi="ar-EG"/>
        </w:rPr>
        <w:t>كمية</w:t>
      </w:r>
      <w:r w:rsidRPr="00335E4B">
        <w:rPr>
          <w:rFonts w:cs="Traditional Arabic"/>
          <w:sz w:val="20"/>
          <w:szCs w:val="30"/>
          <w:rtl/>
          <w:lang w:bidi="ar-EG"/>
        </w:rPr>
        <w:t xml:space="preserve"> الزئبق المؤكسد في النظام من أجل منع إعادة انبعاث الزئبق. وقد تحدث إعادة انبعاث الزئبق عند امتصاص الزئبق المؤكسد في حمأة التنظيف </w:t>
      </w:r>
      <w:r w:rsidRPr="00335E4B">
        <w:rPr>
          <w:rFonts w:cs="Traditional Arabic" w:hint="cs"/>
          <w:sz w:val="20"/>
          <w:szCs w:val="30"/>
          <w:rtl/>
          <w:lang w:bidi="ar-EG"/>
        </w:rPr>
        <w:t>الرطب</w:t>
      </w:r>
      <w:r w:rsidRPr="00335E4B">
        <w:rPr>
          <w:rFonts w:cs="Traditional Arabic"/>
          <w:sz w:val="20"/>
          <w:szCs w:val="30"/>
          <w:rtl/>
          <w:lang w:bidi="ar-EG"/>
        </w:rPr>
        <w:t xml:space="preserve"> لإزالة الكبريت، وتحويله إلى زئبق أوَّلي، ونقله بعد ذلك إلى الطور الغازي للخروج من جهاز التنظيف.</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والأثر الصافي لإعادة الانبعاث </w:t>
      </w:r>
      <w:r w:rsidRPr="00335E4B">
        <w:rPr>
          <w:rFonts w:cs="Traditional Arabic" w:hint="cs"/>
          <w:sz w:val="20"/>
          <w:szCs w:val="30"/>
          <w:rtl/>
          <w:lang w:bidi="ar-EG"/>
        </w:rPr>
        <w:t>هو</w:t>
      </w:r>
      <w:r w:rsidRPr="00335E4B">
        <w:rPr>
          <w:rFonts w:cs="Traditional Arabic"/>
          <w:sz w:val="20"/>
          <w:szCs w:val="30"/>
          <w:rtl/>
          <w:lang w:bidi="ar-EG"/>
        </w:rPr>
        <w:t xml:space="preserve"> </w:t>
      </w:r>
      <w:r w:rsidRPr="00335E4B">
        <w:rPr>
          <w:rFonts w:cs="Traditional Arabic" w:hint="cs"/>
          <w:sz w:val="20"/>
          <w:szCs w:val="30"/>
          <w:rtl/>
          <w:lang w:bidi="ar-EG"/>
        </w:rPr>
        <w:t>انخفاض مستوى</w:t>
      </w:r>
      <w:r w:rsidRPr="00335E4B">
        <w:rPr>
          <w:rFonts w:cs="Traditional Arabic"/>
          <w:sz w:val="20"/>
          <w:szCs w:val="30"/>
          <w:rtl/>
          <w:lang w:bidi="ar-EG"/>
        </w:rPr>
        <w:t xml:space="preserve"> إزالة الزئبق بواسطة التنظيف </w:t>
      </w:r>
      <w:r w:rsidRPr="00335E4B">
        <w:rPr>
          <w:rFonts w:cs="Traditional Arabic" w:hint="cs"/>
          <w:sz w:val="20"/>
          <w:szCs w:val="30"/>
          <w:rtl/>
          <w:lang w:bidi="ar-EG"/>
        </w:rPr>
        <w:t>الرطب</w:t>
      </w:r>
      <w:r w:rsidRPr="00335E4B">
        <w:rPr>
          <w:rFonts w:cs="Traditional Arabic"/>
          <w:sz w:val="20"/>
          <w:szCs w:val="30"/>
          <w:rtl/>
          <w:lang w:bidi="ar-EG"/>
        </w:rPr>
        <w:t xml:space="preserve"> لإزالة الكبريت من غاز المدخنة. و</w:t>
      </w:r>
      <w:r w:rsidRPr="00335E4B">
        <w:rPr>
          <w:rFonts w:cs="Traditional Arabic" w:hint="cs"/>
          <w:sz w:val="20"/>
          <w:szCs w:val="30"/>
          <w:rtl/>
          <w:lang w:bidi="ar-EG"/>
        </w:rPr>
        <w:t xml:space="preserve">يتوقف </w:t>
      </w:r>
      <w:r w:rsidRPr="00335E4B">
        <w:rPr>
          <w:rFonts w:cs="Traditional Arabic"/>
          <w:sz w:val="20"/>
          <w:szCs w:val="30"/>
          <w:rtl/>
          <w:lang w:bidi="ar-EG"/>
        </w:rPr>
        <w:t xml:space="preserve">حدوث ومدى إعادة انبعاث الزئبق من التنظيف </w:t>
      </w:r>
      <w:r w:rsidRPr="00335E4B">
        <w:rPr>
          <w:rFonts w:cs="Traditional Arabic" w:hint="cs"/>
          <w:sz w:val="20"/>
          <w:szCs w:val="30"/>
          <w:rtl/>
          <w:lang w:bidi="ar-EG"/>
        </w:rPr>
        <w:t>الرطب</w:t>
      </w:r>
      <w:r w:rsidRPr="00335E4B">
        <w:rPr>
          <w:rFonts w:cs="Traditional Arabic"/>
          <w:sz w:val="20"/>
          <w:szCs w:val="30"/>
          <w:rtl/>
          <w:lang w:bidi="ar-EG"/>
        </w:rPr>
        <w:t xml:space="preserve"> لإزالة الكبريت على </w:t>
      </w:r>
      <w:r w:rsidRPr="00335E4B">
        <w:rPr>
          <w:rFonts w:cs="Traditional Arabic" w:hint="cs"/>
          <w:sz w:val="20"/>
          <w:szCs w:val="30"/>
          <w:rtl/>
          <w:lang w:bidi="ar-EG"/>
        </w:rPr>
        <w:t>الخواص ال</w:t>
      </w:r>
      <w:r w:rsidRPr="00335E4B">
        <w:rPr>
          <w:rFonts w:cs="Traditional Arabic"/>
          <w:sz w:val="20"/>
          <w:szCs w:val="30"/>
          <w:rtl/>
          <w:lang w:bidi="ar-EG"/>
        </w:rPr>
        <w:t xml:space="preserve">كيميائية </w:t>
      </w:r>
      <w:r w:rsidRPr="00335E4B">
        <w:rPr>
          <w:rFonts w:cs="Traditional Arabic" w:hint="cs"/>
          <w:sz w:val="20"/>
          <w:szCs w:val="30"/>
          <w:rtl/>
          <w:lang w:bidi="ar-EG"/>
        </w:rPr>
        <w:t>لل</w:t>
      </w:r>
      <w:r w:rsidRPr="00335E4B">
        <w:rPr>
          <w:rFonts w:cs="Traditional Arabic"/>
          <w:sz w:val="20"/>
          <w:szCs w:val="30"/>
          <w:rtl/>
          <w:lang w:bidi="ar-EG"/>
        </w:rPr>
        <w:t xml:space="preserve">تنظيف </w:t>
      </w:r>
      <w:r w:rsidRPr="00335E4B">
        <w:rPr>
          <w:rFonts w:cs="Traditional Arabic" w:hint="cs"/>
          <w:sz w:val="20"/>
          <w:szCs w:val="30"/>
          <w:rtl/>
          <w:lang w:bidi="ar-EG"/>
        </w:rPr>
        <w:t>الرطب</w:t>
      </w:r>
      <w:r w:rsidRPr="00335E4B">
        <w:rPr>
          <w:rFonts w:cs="Traditional Arabic"/>
          <w:sz w:val="20"/>
          <w:szCs w:val="30"/>
          <w:rtl/>
          <w:lang w:bidi="ar-EG"/>
        </w:rPr>
        <w:t xml:space="preserve"> لإزالة الكبريت (ريننغر وآخرون، 2004). ويبدو أيضاً أن هناك إمكانية متزايدة لإعادة انبعاث الزئبق في التنظيف الرطب لإزالة الكبريت مع حدوث تركيزات كبيرة للزئبق في مرحلة السيولة (شانغ وآخرون، 2008). وفي بعض الحالات، يتعيَّن إضافة عوامل كيميائية أو كربون منشَّط إلى سائل التنظيف الرطب لإزالة الكبريت من أجل ضبط إعادة الانبعاث.</w:t>
      </w:r>
    </w:p>
    <w:p w:rsidR="00335E4B" w:rsidRPr="00335E4B" w:rsidRDefault="00335E4B" w:rsidP="007F54B7">
      <w:pPr>
        <w:tabs>
          <w:tab w:val="left" w:pos="1274"/>
          <w:tab w:val="center" w:pos="5468"/>
        </w:tabs>
        <w:spacing w:after="120" w:line="400" w:lineRule="exact"/>
        <w:jc w:val="both"/>
        <w:rPr>
          <w:rFonts w:cs="Traditional Arabic"/>
          <w:b/>
          <w:bCs/>
          <w:sz w:val="20"/>
          <w:szCs w:val="30"/>
          <w:rtl/>
          <w:lang w:bidi="ar-EG"/>
        </w:rPr>
      </w:pPr>
      <w:r w:rsidRPr="00335E4B">
        <w:rPr>
          <w:rFonts w:cs="Traditional Arabic"/>
          <w:b/>
          <w:bCs/>
          <w:sz w:val="20"/>
          <w:szCs w:val="30"/>
          <w:rtl/>
          <w:lang w:bidi="ar-EG"/>
        </w:rPr>
        <w:t>التنظيف الجاف لإزالة الكبريت من غاز المدخنة</w:t>
      </w:r>
    </w:p>
    <w:p w:rsidR="00335E4B" w:rsidRPr="00335E4B" w:rsidRDefault="00335E4B" w:rsidP="00335E4B">
      <w:pPr>
        <w:tabs>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تستعمل مجففات الرش نمطياً لضبط انبعاثات ثنائي أكسيد الكبريت من </w:t>
      </w:r>
      <w:r w:rsidRPr="00335E4B">
        <w:rPr>
          <w:rFonts w:cs="Traditional Arabic" w:hint="cs"/>
          <w:sz w:val="20"/>
          <w:szCs w:val="30"/>
          <w:rtl/>
          <w:lang w:bidi="ar-EG"/>
        </w:rPr>
        <w:t>ال</w:t>
      </w:r>
      <w:r w:rsidRPr="00335E4B">
        <w:rPr>
          <w:rFonts w:cs="Traditional Arabic"/>
          <w:sz w:val="20"/>
          <w:szCs w:val="30"/>
          <w:rtl/>
          <w:lang w:bidi="ar-EG"/>
        </w:rPr>
        <w:t xml:space="preserve">مصادر </w:t>
      </w:r>
      <w:r w:rsidRPr="00335E4B">
        <w:rPr>
          <w:rFonts w:cs="Traditional Arabic" w:hint="cs"/>
          <w:sz w:val="20"/>
          <w:szCs w:val="30"/>
          <w:rtl/>
          <w:lang w:bidi="ar-EG"/>
        </w:rPr>
        <w:t xml:space="preserve">التي </w:t>
      </w:r>
      <w:r w:rsidRPr="00335E4B">
        <w:rPr>
          <w:rFonts w:cs="Traditional Arabic"/>
          <w:sz w:val="20"/>
          <w:szCs w:val="30"/>
          <w:rtl/>
          <w:lang w:bidi="ar-EG"/>
        </w:rPr>
        <w:t xml:space="preserve">تحرق </w:t>
      </w:r>
      <w:r w:rsidRPr="00335E4B">
        <w:rPr>
          <w:rFonts w:cs="Traditional Arabic" w:hint="cs"/>
          <w:sz w:val="20"/>
          <w:szCs w:val="30"/>
          <w:rtl/>
          <w:lang w:bidi="ar-EG"/>
        </w:rPr>
        <w:t>ال</w:t>
      </w:r>
      <w:r w:rsidRPr="00335E4B">
        <w:rPr>
          <w:rFonts w:cs="Traditional Arabic"/>
          <w:sz w:val="20"/>
          <w:szCs w:val="30"/>
          <w:rtl/>
          <w:lang w:bidi="ar-EG"/>
        </w:rPr>
        <w:t xml:space="preserve">فحم </w:t>
      </w:r>
      <w:r w:rsidRPr="00335E4B">
        <w:rPr>
          <w:rFonts w:cs="Traditional Arabic" w:hint="cs"/>
          <w:sz w:val="20"/>
          <w:szCs w:val="30"/>
          <w:rtl/>
          <w:lang w:bidi="ar-EG"/>
        </w:rPr>
        <w:t>المحتوي</w:t>
      </w:r>
      <w:r w:rsidRPr="00335E4B">
        <w:rPr>
          <w:rFonts w:cs="Traditional Arabic"/>
          <w:sz w:val="20"/>
          <w:szCs w:val="30"/>
          <w:rtl/>
          <w:lang w:bidi="ar-EG"/>
        </w:rPr>
        <w:t xml:space="preserve"> على </w:t>
      </w:r>
      <w:r w:rsidRPr="00335E4B">
        <w:rPr>
          <w:rFonts w:cs="Traditional Arabic" w:hint="cs"/>
          <w:sz w:val="20"/>
          <w:szCs w:val="30"/>
          <w:rtl/>
          <w:lang w:bidi="ar-EG"/>
        </w:rPr>
        <w:t>درجات منخفضة إلى متوسطة من ال</w:t>
      </w:r>
      <w:r w:rsidRPr="00335E4B">
        <w:rPr>
          <w:rFonts w:cs="Traditional Arabic"/>
          <w:sz w:val="20"/>
          <w:szCs w:val="30"/>
          <w:rtl/>
          <w:lang w:bidi="ar-EG"/>
        </w:rPr>
        <w:t>كبريت، أو</w:t>
      </w:r>
      <w:r w:rsidRPr="00335E4B">
        <w:rPr>
          <w:rFonts w:cs="Traditional Arabic" w:hint="cs"/>
          <w:sz w:val="20"/>
          <w:szCs w:val="30"/>
          <w:rtl/>
          <w:lang w:bidi="ar-EG"/>
        </w:rPr>
        <w:t xml:space="preserve"> في</w:t>
      </w:r>
      <w:r w:rsidRPr="00335E4B">
        <w:rPr>
          <w:rFonts w:cs="Traditional Arabic"/>
          <w:sz w:val="20"/>
          <w:szCs w:val="30"/>
          <w:rtl/>
          <w:lang w:bidi="ar-EG"/>
        </w:rPr>
        <w:t xml:space="preserve"> المنشآت الأصغر التي تعمل بحرق الفحم. ويمكن إزالة ما يصل إلى </w:t>
      </w:r>
      <w:r w:rsidRPr="00335E4B">
        <w:rPr>
          <w:rFonts w:cs="Traditional Arabic" w:hint="cs"/>
          <w:sz w:val="20"/>
          <w:szCs w:val="30"/>
          <w:rtl/>
          <w:lang w:bidi="ar-EG"/>
        </w:rPr>
        <w:t>نحو</w:t>
      </w:r>
      <w:r w:rsidRPr="00335E4B">
        <w:rPr>
          <w:rFonts w:cs="Traditional Arabic"/>
          <w:sz w:val="20"/>
          <w:szCs w:val="30"/>
          <w:rtl/>
          <w:lang w:bidi="ar-EG"/>
        </w:rPr>
        <w:t xml:space="preserve"> 95 في المائة من الزئبق </w:t>
      </w:r>
      <w:r w:rsidRPr="00335E4B">
        <w:rPr>
          <w:rFonts w:cs="Traditional Arabic" w:hint="cs"/>
          <w:sz w:val="20"/>
          <w:szCs w:val="30"/>
          <w:rtl/>
          <w:lang w:bidi="ar-EG"/>
        </w:rPr>
        <w:t>باستخدام</w:t>
      </w:r>
      <w:r w:rsidRPr="00335E4B">
        <w:rPr>
          <w:rFonts w:cs="Traditional Arabic"/>
          <w:sz w:val="20"/>
          <w:szCs w:val="30"/>
          <w:rtl/>
          <w:lang w:bidi="ar-EG"/>
        </w:rPr>
        <w:t xml:space="preserve"> مجموعات </w:t>
      </w:r>
      <w:r w:rsidRPr="00335E4B">
        <w:rPr>
          <w:rFonts w:cs="Traditional Arabic" w:hint="cs"/>
          <w:sz w:val="20"/>
          <w:szCs w:val="30"/>
          <w:rtl/>
          <w:lang w:bidi="ar-EG"/>
        </w:rPr>
        <w:t>تتألف من</w:t>
      </w:r>
      <w:r w:rsidRPr="00335E4B">
        <w:rPr>
          <w:rFonts w:cs="Traditional Arabic"/>
          <w:sz w:val="20"/>
          <w:szCs w:val="30"/>
          <w:rtl/>
          <w:lang w:bidi="ar-EG"/>
        </w:rPr>
        <w:t xml:space="preserve"> </w:t>
      </w:r>
      <w:r w:rsidRPr="00335E4B">
        <w:rPr>
          <w:rFonts w:cs="Traditional Arabic" w:hint="cs"/>
          <w:sz w:val="20"/>
          <w:szCs w:val="30"/>
          <w:rtl/>
        </w:rPr>
        <w:t xml:space="preserve">أجهزة امتصاص التجفيف </w:t>
      </w:r>
      <w:r w:rsidRPr="00335E4B">
        <w:rPr>
          <w:rFonts w:cs="Traditional Arabic" w:hint="cs"/>
          <w:sz w:val="20"/>
          <w:szCs w:val="30"/>
          <w:rtl/>
          <w:lang w:bidi="ar-EG"/>
        </w:rPr>
        <w:t>ب</w:t>
      </w:r>
      <w:r w:rsidRPr="00335E4B">
        <w:rPr>
          <w:rFonts w:cs="Traditional Arabic"/>
          <w:sz w:val="20"/>
          <w:szCs w:val="30"/>
          <w:rtl/>
          <w:lang w:bidi="ar-EG"/>
        </w:rPr>
        <w:t xml:space="preserve">الرش والمرشحات النسيجية في المراجل العاملة بحرق الفحم القيري. ولكن يلاحظ </w:t>
      </w:r>
      <w:r w:rsidRPr="00335E4B">
        <w:rPr>
          <w:rFonts w:cs="Traditional Arabic" w:hint="cs"/>
          <w:sz w:val="20"/>
          <w:szCs w:val="30"/>
          <w:rtl/>
          <w:lang w:bidi="ar-EG"/>
        </w:rPr>
        <w:t>التقاط</w:t>
      </w:r>
      <w:r w:rsidRPr="00335E4B">
        <w:rPr>
          <w:rFonts w:cs="Traditional Arabic"/>
          <w:sz w:val="20"/>
          <w:szCs w:val="30"/>
          <w:rtl/>
          <w:lang w:bidi="ar-EG"/>
        </w:rPr>
        <w:t xml:space="preserve"> للزئبق بدرجة أقل كثيراً (حوالي 25 في المائة) في الوحدات العاملة بأجهزة </w:t>
      </w:r>
      <w:r w:rsidRPr="00335E4B">
        <w:rPr>
          <w:rFonts w:cs="Traditional Arabic" w:hint="cs"/>
          <w:sz w:val="20"/>
          <w:szCs w:val="30"/>
          <w:rtl/>
          <w:lang w:bidi="ar-EG"/>
        </w:rPr>
        <w:t>امتصاص التجفيف</w:t>
      </w:r>
      <w:r w:rsidRPr="00335E4B">
        <w:rPr>
          <w:rFonts w:cs="Traditional Arabic"/>
          <w:sz w:val="20"/>
          <w:szCs w:val="30"/>
          <w:rtl/>
          <w:lang w:bidi="ar-EG"/>
        </w:rPr>
        <w:t xml:space="preserve"> </w:t>
      </w:r>
      <w:r w:rsidRPr="00335E4B">
        <w:rPr>
          <w:rFonts w:cs="Traditional Arabic" w:hint="cs"/>
          <w:sz w:val="20"/>
          <w:szCs w:val="30"/>
          <w:rtl/>
          <w:lang w:bidi="ar-EG"/>
        </w:rPr>
        <w:t>ب</w:t>
      </w:r>
      <w:r w:rsidRPr="00335E4B">
        <w:rPr>
          <w:rFonts w:cs="Traditional Arabic"/>
          <w:sz w:val="20"/>
          <w:szCs w:val="30"/>
          <w:rtl/>
          <w:lang w:bidi="ar-EG"/>
        </w:rPr>
        <w:t xml:space="preserve">الرش والمرشحات النسيجية في المراجل العاملة بحرق اللغنيت أو غيره من أنواع الفحم المنخفضة الجودة ذات محتوى الكلور المنخفض (سنيور، 2000). وتنظيف أنواع الهالوجين في أجهزة </w:t>
      </w:r>
      <w:r w:rsidRPr="00335E4B">
        <w:rPr>
          <w:rFonts w:cs="Traditional Arabic" w:hint="cs"/>
          <w:sz w:val="20"/>
          <w:szCs w:val="30"/>
          <w:rtl/>
          <w:lang w:bidi="ar-EG"/>
        </w:rPr>
        <w:t>امتصاص التجفيف</w:t>
      </w:r>
      <w:r w:rsidRPr="00335E4B">
        <w:rPr>
          <w:rFonts w:cs="Traditional Arabic"/>
          <w:sz w:val="20"/>
          <w:szCs w:val="30"/>
          <w:rtl/>
          <w:lang w:bidi="ar-EG"/>
        </w:rPr>
        <w:t xml:space="preserve"> </w:t>
      </w:r>
      <w:r w:rsidRPr="00335E4B">
        <w:rPr>
          <w:rFonts w:cs="Traditional Arabic" w:hint="cs"/>
          <w:sz w:val="20"/>
          <w:szCs w:val="30"/>
          <w:rtl/>
          <w:lang w:bidi="ar-EG"/>
        </w:rPr>
        <w:t>ب</w:t>
      </w:r>
      <w:r w:rsidRPr="00335E4B">
        <w:rPr>
          <w:rFonts w:cs="Traditional Arabic"/>
          <w:sz w:val="20"/>
          <w:szCs w:val="30"/>
          <w:rtl/>
          <w:lang w:bidi="ar-EG"/>
        </w:rPr>
        <w:t>الرش قد يجعل عملية الأكسدة وما يليها من التقاط الزئبق (</w:t>
      </w:r>
      <w:r w:rsidRPr="00335E4B">
        <w:rPr>
          <w:rFonts w:cs="Traditional Arabic" w:hint="cs"/>
          <w:sz w:val="20"/>
          <w:szCs w:val="30"/>
          <w:rtl/>
          <w:lang w:bidi="ar-EG"/>
        </w:rPr>
        <w:t>معظمه</w:t>
      </w:r>
      <w:r w:rsidRPr="00335E4B">
        <w:rPr>
          <w:rFonts w:cs="Traditional Arabic"/>
          <w:sz w:val="20"/>
          <w:szCs w:val="30"/>
          <w:rtl/>
          <w:lang w:bidi="ar-EG"/>
        </w:rPr>
        <w:t xml:space="preserve"> في شكل زئبق أوَّلي من هذه الأنواع من الفحم) </w:t>
      </w:r>
      <w:r w:rsidRPr="00335E4B">
        <w:rPr>
          <w:rFonts w:cs="Traditional Arabic" w:hint="cs"/>
          <w:sz w:val="20"/>
          <w:szCs w:val="30"/>
          <w:rtl/>
          <w:lang w:bidi="ar-EG"/>
        </w:rPr>
        <w:t>عند مخرج</w:t>
      </w:r>
      <w:r w:rsidRPr="00335E4B">
        <w:rPr>
          <w:rFonts w:cs="Traditional Arabic"/>
          <w:sz w:val="20"/>
          <w:szCs w:val="30"/>
          <w:rtl/>
          <w:lang w:bidi="ar-EG"/>
        </w:rPr>
        <w:t xml:space="preserve"> </w:t>
      </w:r>
      <w:r w:rsidRPr="00335E4B">
        <w:rPr>
          <w:rFonts w:cs="Traditional Arabic" w:hint="cs"/>
          <w:sz w:val="20"/>
          <w:szCs w:val="30"/>
          <w:rtl/>
          <w:lang w:bidi="ar-EG"/>
        </w:rPr>
        <w:t>ا</w:t>
      </w:r>
      <w:r w:rsidRPr="00335E4B">
        <w:rPr>
          <w:rFonts w:cs="Traditional Arabic"/>
          <w:sz w:val="20"/>
          <w:szCs w:val="30"/>
          <w:rtl/>
          <w:lang w:bidi="ar-EG"/>
        </w:rPr>
        <w:t xml:space="preserve">لمرشح النسيجي أقل فعالية. وأحياناً، يكون التقاط الزئبق من الفحم المنخفض </w:t>
      </w:r>
      <w:r w:rsidRPr="00335E4B">
        <w:rPr>
          <w:rFonts w:cs="Traditional Arabic" w:hint="cs"/>
          <w:sz w:val="20"/>
          <w:szCs w:val="30"/>
          <w:rtl/>
          <w:lang w:bidi="ar-EG"/>
        </w:rPr>
        <w:t>ال</w:t>
      </w:r>
      <w:r w:rsidRPr="00335E4B">
        <w:rPr>
          <w:rFonts w:cs="Traditional Arabic"/>
          <w:sz w:val="20"/>
          <w:szCs w:val="30"/>
          <w:rtl/>
          <w:lang w:bidi="ar-EG"/>
        </w:rPr>
        <w:t xml:space="preserve">جودة بواسطة المرشحات النسيجية وحدها أعلى مما يتحقق في الجمع بين أجهزة </w:t>
      </w:r>
      <w:r w:rsidRPr="00335E4B">
        <w:rPr>
          <w:rFonts w:cs="Traditional Arabic" w:hint="cs"/>
          <w:sz w:val="20"/>
          <w:szCs w:val="30"/>
          <w:rtl/>
          <w:lang w:bidi="ar-EG"/>
        </w:rPr>
        <w:t>امتصاص التجفيف ب</w:t>
      </w:r>
      <w:r w:rsidRPr="00335E4B">
        <w:rPr>
          <w:rFonts w:cs="Traditional Arabic"/>
          <w:sz w:val="20"/>
          <w:szCs w:val="30"/>
          <w:rtl/>
          <w:lang w:bidi="ar-EG"/>
        </w:rPr>
        <w:t>الرش والمرشحات النسيجية (سريفستافا وآخرون، 2006).</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وهناك تكنولوجيا لأجهزة التنظيف الجاف لإزالة الكبريت تزايد استعمالها في </w:t>
      </w:r>
      <w:r w:rsidRPr="00335E4B">
        <w:rPr>
          <w:rFonts w:cs="Traditional Arabic" w:hint="cs"/>
          <w:sz w:val="20"/>
          <w:szCs w:val="30"/>
          <w:rtl/>
          <w:lang w:bidi="ar-EG"/>
        </w:rPr>
        <w:t>الآونة</w:t>
      </w:r>
      <w:r w:rsidRPr="00335E4B">
        <w:rPr>
          <w:rFonts w:cs="Traditional Arabic"/>
          <w:sz w:val="20"/>
          <w:szCs w:val="30"/>
          <w:rtl/>
          <w:lang w:bidi="ar-EG"/>
        </w:rPr>
        <w:t xml:space="preserve"> الأخيرة في منشآت حرق الفحم، وهي أجهزة التنظيف الجاف الدوارة. وكما يحدث في حالة أجهزة </w:t>
      </w:r>
      <w:r w:rsidRPr="00335E4B">
        <w:rPr>
          <w:rFonts w:cs="Traditional Arabic" w:hint="cs"/>
          <w:sz w:val="20"/>
          <w:szCs w:val="30"/>
          <w:rtl/>
          <w:lang w:bidi="ar-EG"/>
        </w:rPr>
        <w:t>امتصاص التجفيف</w:t>
      </w:r>
      <w:r w:rsidRPr="00335E4B">
        <w:rPr>
          <w:rFonts w:cs="Traditional Arabic"/>
          <w:sz w:val="20"/>
          <w:szCs w:val="30"/>
          <w:rtl/>
          <w:lang w:bidi="ar-EG"/>
        </w:rPr>
        <w:t xml:space="preserve"> بالرش فإن أجهزة التنظيف الجاف الدوارة تحتوي على غرفة تفاعل ومرشح نسيجي لالتقاط المنتجات الثانوية والرماد. و</w:t>
      </w:r>
      <w:r w:rsidRPr="00335E4B">
        <w:rPr>
          <w:rFonts w:cs="Traditional Arabic" w:hint="cs"/>
          <w:sz w:val="20"/>
          <w:szCs w:val="30"/>
          <w:rtl/>
          <w:lang w:bidi="ar-EG"/>
        </w:rPr>
        <w:t>ال</w:t>
      </w:r>
      <w:r w:rsidRPr="00335E4B">
        <w:rPr>
          <w:rFonts w:cs="Traditional Arabic"/>
          <w:sz w:val="20"/>
          <w:szCs w:val="30"/>
          <w:rtl/>
          <w:lang w:bidi="ar-EG"/>
        </w:rPr>
        <w:t xml:space="preserve">صفة </w:t>
      </w:r>
      <w:r w:rsidRPr="00335E4B">
        <w:rPr>
          <w:rFonts w:cs="Traditional Arabic" w:hint="cs"/>
          <w:sz w:val="20"/>
          <w:szCs w:val="30"/>
          <w:rtl/>
          <w:lang w:bidi="ar-EG"/>
        </w:rPr>
        <w:t>التي تميز</w:t>
      </w:r>
      <w:r w:rsidRPr="00335E4B">
        <w:rPr>
          <w:rFonts w:cs="Traditional Arabic"/>
          <w:sz w:val="20"/>
          <w:szCs w:val="30"/>
          <w:rtl/>
          <w:lang w:bidi="ar-EG"/>
        </w:rPr>
        <w:t xml:space="preserve"> أجهزة التنظيف الجاف الدوارة هي </w:t>
      </w:r>
      <w:r w:rsidRPr="00335E4B">
        <w:rPr>
          <w:rFonts w:cs="Traditional Arabic" w:hint="cs"/>
          <w:sz w:val="20"/>
          <w:szCs w:val="30"/>
          <w:rtl/>
          <w:lang w:bidi="ar-EG"/>
        </w:rPr>
        <w:t xml:space="preserve">أن </w:t>
      </w:r>
      <w:r w:rsidRPr="00335E4B">
        <w:rPr>
          <w:rFonts w:cs="Traditional Arabic"/>
          <w:sz w:val="20"/>
          <w:szCs w:val="30"/>
          <w:rtl/>
          <w:lang w:bidi="ar-EG"/>
        </w:rPr>
        <w:t xml:space="preserve">مواد التفاعل </w:t>
      </w:r>
      <w:r w:rsidRPr="00335E4B">
        <w:rPr>
          <w:rFonts w:cs="Traditional Arabic" w:hint="cs"/>
          <w:sz w:val="20"/>
          <w:szCs w:val="30"/>
          <w:rtl/>
          <w:lang w:bidi="ar-EG"/>
        </w:rPr>
        <w:t xml:space="preserve">التي </w:t>
      </w:r>
      <w:r w:rsidRPr="00335E4B">
        <w:rPr>
          <w:rFonts w:cs="Traditional Arabic"/>
          <w:sz w:val="20"/>
          <w:szCs w:val="30"/>
          <w:rtl/>
          <w:lang w:bidi="ar-EG"/>
        </w:rPr>
        <w:t xml:space="preserve">تدخل إلى غرفة التفاعل يتم تحويلها إلى سائل في غرفة التفاعل قبل أن تمر إلى المرشح النسيجي. ويستخدم رش المياه على </w:t>
      </w:r>
      <w:r w:rsidRPr="00335E4B">
        <w:rPr>
          <w:rFonts w:cs="Traditional Arabic" w:hint="cs"/>
          <w:sz w:val="20"/>
          <w:szCs w:val="30"/>
          <w:rtl/>
          <w:lang w:bidi="ar-EG"/>
        </w:rPr>
        <w:t>أرضية</w:t>
      </w:r>
      <w:r w:rsidRPr="00335E4B">
        <w:rPr>
          <w:rFonts w:cs="Traditional Arabic"/>
          <w:sz w:val="20"/>
          <w:szCs w:val="30"/>
          <w:rtl/>
          <w:lang w:bidi="ar-EG"/>
        </w:rPr>
        <w:t xml:space="preserve"> غرفة التفاعل من أجل ضبط درجة حرارة المفاعل. ومواد </w:t>
      </w:r>
      <w:r w:rsidRPr="00335E4B">
        <w:rPr>
          <w:rFonts w:cs="Traditional Arabic" w:hint="cs"/>
          <w:sz w:val="20"/>
          <w:szCs w:val="30"/>
          <w:rtl/>
          <w:lang w:bidi="ar-EG"/>
        </w:rPr>
        <w:t>ال</w:t>
      </w:r>
      <w:r w:rsidRPr="00335E4B">
        <w:rPr>
          <w:rFonts w:cs="Traditional Arabic"/>
          <w:sz w:val="20"/>
          <w:szCs w:val="30"/>
          <w:rtl/>
          <w:lang w:bidi="ar-EG"/>
        </w:rPr>
        <w:t xml:space="preserve">تفاعل هي الجير الرطب ومواد صلبة أعيد تدويرها من المرشح النسيجي. ويوجد في أجهزة التنظيف الجاف الدوارة تركيزات صلبة تزيد عن ما يوجد في أجهزة </w:t>
      </w:r>
      <w:r w:rsidRPr="00335E4B">
        <w:rPr>
          <w:rFonts w:cs="Traditional Arabic" w:hint="cs"/>
          <w:sz w:val="20"/>
          <w:szCs w:val="30"/>
          <w:rtl/>
          <w:lang w:bidi="ar-EG"/>
        </w:rPr>
        <w:t>امتصاص التجفيف</w:t>
      </w:r>
      <w:r w:rsidRPr="00335E4B">
        <w:rPr>
          <w:rFonts w:cs="Traditional Arabic"/>
          <w:sz w:val="20"/>
          <w:szCs w:val="30"/>
          <w:rtl/>
          <w:lang w:bidi="ar-EG"/>
        </w:rPr>
        <w:t xml:space="preserve"> بالرش </w:t>
      </w:r>
      <w:r w:rsidRPr="00335E4B">
        <w:rPr>
          <w:rFonts w:cs="Traditional Arabic" w:hint="cs"/>
          <w:sz w:val="20"/>
          <w:szCs w:val="30"/>
          <w:rtl/>
          <w:lang w:bidi="ar-EG"/>
        </w:rPr>
        <w:t>الأمر الذي</w:t>
      </w:r>
      <w:r w:rsidRPr="00335E4B">
        <w:rPr>
          <w:rFonts w:cs="Traditional Arabic"/>
          <w:sz w:val="20"/>
          <w:szCs w:val="30"/>
          <w:rtl/>
          <w:lang w:bidi="ar-EG"/>
        </w:rPr>
        <w:t xml:space="preserve"> </w:t>
      </w:r>
      <w:r w:rsidRPr="00335E4B">
        <w:rPr>
          <w:rFonts w:cs="Traditional Arabic" w:hint="cs"/>
          <w:sz w:val="20"/>
          <w:szCs w:val="30"/>
          <w:rtl/>
          <w:lang w:bidi="ar-EG"/>
        </w:rPr>
        <w:t>يحقق</w:t>
      </w:r>
      <w:r w:rsidRPr="00335E4B">
        <w:rPr>
          <w:rFonts w:cs="Traditional Arabic"/>
          <w:sz w:val="20"/>
          <w:szCs w:val="30"/>
          <w:rtl/>
          <w:lang w:bidi="ar-EG"/>
        </w:rPr>
        <w:t xml:space="preserve"> تخفيضات لثنائي أكسيد الكربون </w:t>
      </w:r>
      <w:r w:rsidRPr="00335E4B">
        <w:rPr>
          <w:rFonts w:cs="Traditional Arabic" w:hint="cs"/>
          <w:sz w:val="20"/>
          <w:szCs w:val="30"/>
          <w:rtl/>
          <w:lang w:bidi="ar-EG"/>
        </w:rPr>
        <w:t xml:space="preserve">بنسب </w:t>
      </w:r>
      <w:r w:rsidRPr="00335E4B">
        <w:rPr>
          <w:rFonts w:cs="Traditional Arabic"/>
          <w:sz w:val="20"/>
          <w:szCs w:val="30"/>
          <w:rtl/>
          <w:lang w:bidi="ar-EG"/>
        </w:rPr>
        <w:t xml:space="preserve">تصل إلى 98 في المائة، </w:t>
      </w:r>
      <w:r w:rsidRPr="00335E4B">
        <w:rPr>
          <w:rFonts w:cs="Traditional Arabic" w:hint="cs"/>
          <w:sz w:val="20"/>
          <w:szCs w:val="30"/>
          <w:rtl/>
          <w:lang w:bidi="ar-EG"/>
        </w:rPr>
        <w:t>بال</w:t>
      </w:r>
      <w:r w:rsidRPr="00335E4B">
        <w:rPr>
          <w:rFonts w:cs="Traditional Arabic"/>
          <w:sz w:val="20"/>
          <w:szCs w:val="30"/>
          <w:rtl/>
          <w:lang w:bidi="ar-EG"/>
        </w:rPr>
        <w:t xml:space="preserve">مقارنة </w:t>
      </w:r>
      <w:r w:rsidRPr="00335E4B">
        <w:rPr>
          <w:rFonts w:cs="Traditional Arabic" w:hint="cs"/>
          <w:sz w:val="20"/>
          <w:szCs w:val="30"/>
          <w:rtl/>
          <w:lang w:bidi="ar-EG"/>
        </w:rPr>
        <w:t xml:space="preserve">مع </w:t>
      </w:r>
      <w:r w:rsidRPr="00335E4B">
        <w:rPr>
          <w:rFonts w:cs="Traditional Arabic"/>
          <w:sz w:val="20"/>
          <w:szCs w:val="30"/>
          <w:rtl/>
          <w:lang w:bidi="ar-EG"/>
        </w:rPr>
        <w:t xml:space="preserve">تخفيض حده الأقصى 95 في المائة تحققه أجهزة </w:t>
      </w:r>
      <w:r w:rsidRPr="00335E4B">
        <w:rPr>
          <w:rFonts w:cs="Traditional Arabic" w:hint="cs"/>
          <w:sz w:val="20"/>
          <w:szCs w:val="30"/>
          <w:rtl/>
          <w:lang w:bidi="ar-EG"/>
        </w:rPr>
        <w:t>امتصاص التجفيف</w:t>
      </w:r>
      <w:r w:rsidRPr="00335E4B">
        <w:rPr>
          <w:rFonts w:cs="Traditional Arabic"/>
          <w:sz w:val="20"/>
          <w:szCs w:val="30"/>
          <w:rtl/>
          <w:lang w:bidi="ar-EG"/>
        </w:rPr>
        <w:t xml:space="preserve"> بالرش. وبالإضافة إلى ذلك فإن أجهزة التنظيف الدوارة يمكن أن تعالج غاز المدخنة </w:t>
      </w:r>
      <w:r w:rsidRPr="00335E4B">
        <w:rPr>
          <w:rFonts w:cs="Traditional Arabic" w:hint="cs"/>
          <w:sz w:val="20"/>
          <w:szCs w:val="30"/>
          <w:rtl/>
          <w:lang w:bidi="ar-EG"/>
        </w:rPr>
        <w:t xml:space="preserve">الناتج عن </w:t>
      </w:r>
      <w:r w:rsidRPr="00335E4B">
        <w:rPr>
          <w:rFonts w:cs="Traditional Arabic"/>
          <w:sz w:val="20"/>
          <w:szCs w:val="30"/>
          <w:rtl/>
          <w:lang w:bidi="ar-EG"/>
        </w:rPr>
        <w:t xml:space="preserve">فحم </w:t>
      </w:r>
      <w:r w:rsidRPr="00335E4B">
        <w:rPr>
          <w:rFonts w:cs="Traditional Arabic" w:hint="cs"/>
          <w:sz w:val="20"/>
          <w:szCs w:val="30"/>
          <w:rtl/>
          <w:lang w:bidi="ar-EG"/>
        </w:rPr>
        <w:t xml:space="preserve">يحتوي نسبة </w:t>
      </w:r>
      <w:r w:rsidRPr="00335E4B">
        <w:rPr>
          <w:rFonts w:cs="Traditional Arabic"/>
          <w:sz w:val="20"/>
          <w:szCs w:val="30"/>
          <w:rtl/>
          <w:lang w:bidi="ar-EG"/>
        </w:rPr>
        <w:t xml:space="preserve">كبريت </w:t>
      </w:r>
      <w:r w:rsidRPr="00335E4B">
        <w:rPr>
          <w:rFonts w:cs="Traditional Arabic" w:hint="cs"/>
          <w:sz w:val="20"/>
          <w:szCs w:val="30"/>
          <w:rtl/>
          <w:lang w:bidi="ar-EG"/>
        </w:rPr>
        <w:t>أعلى من تلك التي تعالج</w:t>
      </w:r>
      <w:r w:rsidRPr="00335E4B">
        <w:rPr>
          <w:rFonts w:cs="Traditional Arabic"/>
          <w:sz w:val="20"/>
          <w:szCs w:val="30"/>
          <w:rtl/>
          <w:lang w:bidi="ar-EG"/>
        </w:rPr>
        <w:t>ه</w:t>
      </w:r>
      <w:r w:rsidRPr="00335E4B">
        <w:rPr>
          <w:rFonts w:cs="Traditional Arabic" w:hint="cs"/>
          <w:sz w:val="20"/>
          <w:szCs w:val="30"/>
          <w:rtl/>
          <w:lang w:bidi="ar-EG"/>
        </w:rPr>
        <w:t>ا</w:t>
      </w:r>
      <w:r w:rsidRPr="00335E4B">
        <w:rPr>
          <w:rFonts w:cs="Traditional Arabic"/>
          <w:sz w:val="20"/>
          <w:szCs w:val="30"/>
          <w:rtl/>
          <w:lang w:bidi="ar-EG"/>
        </w:rPr>
        <w:t xml:space="preserve"> أجهزة </w:t>
      </w:r>
      <w:r w:rsidRPr="00335E4B">
        <w:rPr>
          <w:rFonts w:cs="Traditional Arabic" w:hint="cs"/>
          <w:sz w:val="20"/>
          <w:szCs w:val="30"/>
          <w:rtl/>
          <w:lang w:bidi="ar-EG"/>
        </w:rPr>
        <w:t>امتصاص التجفيف</w:t>
      </w:r>
      <w:r w:rsidRPr="00335E4B">
        <w:rPr>
          <w:rFonts w:cs="Traditional Arabic"/>
          <w:sz w:val="20"/>
          <w:szCs w:val="30"/>
          <w:rtl/>
          <w:lang w:bidi="ar-EG"/>
        </w:rPr>
        <w:t xml:space="preserve"> بالرش لأن التقاط ثنائي أكسيد الكبريت لا </w:t>
      </w:r>
      <w:r w:rsidRPr="00335E4B">
        <w:rPr>
          <w:rFonts w:cs="Traditional Arabic" w:hint="cs"/>
          <w:sz w:val="20"/>
          <w:szCs w:val="30"/>
          <w:rtl/>
          <w:lang w:bidi="ar-EG"/>
        </w:rPr>
        <w:t>تحدده حسابات التكافؤ الكيميائي</w:t>
      </w:r>
      <w:r w:rsidRPr="00335E4B">
        <w:rPr>
          <w:rFonts w:cs="Traditional Arabic"/>
          <w:sz w:val="20"/>
          <w:szCs w:val="30"/>
          <w:rtl/>
          <w:lang w:bidi="ar-EG"/>
        </w:rPr>
        <w:t xml:space="preserve"> للحمأة (إيك، 2009).</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والتقاط الزئبق في أجهزة التنظيف </w:t>
      </w:r>
      <w:r w:rsidRPr="00335E4B">
        <w:rPr>
          <w:rFonts w:cs="Traditional Arabic" w:hint="cs"/>
          <w:sz w:val="20"/>
          <w:szCs w:val="30"/>
          <w:rtl/>
          <w:lang w:bidi="ar-EG"/>
        </w:rPr>
        <w:t>الدوارة في سياق</w:t>
      </w:r>
      <w:r w:rsidRPr="00335E4B">
        <w:rPr>
          <w:rFonts w:cs="Traditional Arabic"/>
          <w:sz w:val="20"/>
          <w:szCs w:val="30"/>
          <w:rtl/>
          <w:lang w:bidi="ar-EG"/>
        </w:rPr>
        <w:t xml:space="preserve"> </w:t>
      </w:r>
      <w:r w:rsidRPr="00335E4B">
        <w:rPr>
          <w:rFonts w:cs="Traditional Arabic" w:hint="cs"/>
          <w:sz w:val="20"/>
          <w:szCs w:val="30"/>
          <w:rtl/>
          <w:lang w:bidi="ar-EG"/>
        </w:rPr>
        <w:t>ال</w:t>
      </w:r>
      <w:r w:rsidRPr="00335E4B">
        <w:rPr>
          <w:rFonts w:cs="Traditional Arabic"/>
          <w:sz w:val="20"/>
          <w:szCs w:val="30"/>
          <w:rtl/>
          <w:lang w:bidi="ar-EG"/>
        </w:rPr>
        <w:t xml:space="preserve">منفعة </w:t>
      </w:r>
      <w:r w:rsidRPr="00335E4B">
        <w:rPr>
          <w:rFonts w:cs="Traditional Arabic" w:hint="cs"/>
          <w:sz w:val="20"/>
          <w:szCs w:val="30"/>
          <w:rtl/>
          <w:lang w:bidi="ar-EG"/>
        </w:rPr>
        <w:t>ال</w:t>
      </w:r>
      <w:r w:rsidRPr="00335E4B">
        <w:rPr>
          <w:rFonts w:cs="Traditional Arabic"/>
          <w:sz w:val="20"/>
          <w:szCs w:val="30"/>
          <w:rtl/>
          <w:lang w:bidi="ar-EG"/>
        </w:rPr>
        <w:t xml:space="preserve">مشتركة </w:t>
      </w:r>
      <w:r w:rsidRPr="00335E4B">
        <w:rPr>
          <w:rFonts w:cs="Traditional Arabic" w:hint="cs"/>
          <w:sz w:val="20"/>
          <w:szCs w:val="30"/>
          <w:rtl/>
          <w:lang w:bidi="ar-EG"/>
        </w:rPr>
        <w:t>يشابه من حيث الحجم</w:t>
      </w:r>
      <w:r w:rsidRPr="00335E4B">
        <w:rPr>
          <w:rFonts w:cs="Traditional Arabic"/>
          <w:sz w:val="20"/>
          <w:szCs w:val="30"/>
          <w:rtl/>
          <w:lang w:bidi="ar-EG"/>
        </w:rPr>
        <w:t xml:space="preserve"> </w:t>
      </w:r>
      <w:r w:rsidRPr="00335E4B">
        <w:rPr>
          <w:rFonts w:cs="Traditional Arabic" w:hint="cs"/>
          <w:sz w:val="20"/>
          <w:szCs w:val="30"/>
          <w:rtl/>
          <w:lang w:bidi="ar-EG"/>
        </w:rPr>
        <w:t xml:space="preserve">التقاطه في </w:t>
      </w:r>
      <w:r w:rsidRPr="00335E4B">
        <w:rPr>
          <w:rFonts w:cs="Traditional Arabic"/>
          <w:sz w:val="20"/>
          <w:szCs w:val="30"/>
          <w:rtl/>
          <w:lang w:bidi="ar-EG"/>
        </w:rPr>
        <w:t xml:space="preserve">منظفات أجهزة </w:t>
      </w:r>
      <w:r w:rsidRPr="00335E4B">
        <w:rPr>
          <w:rFonts w:cs="Traditional Arabic" w:hint="cs"/>
          <w:sz w:val="20"/>
          <w:szCs w:val="30"/>
          <w:rtl/>
          <w:lang w:bidi="ar-EG"/>
        </w:rPr>
        <w:t>امتصاص التجفيف</w:t>
      </w:r>
      <w:r w:rsidRPr="00335E4B">
        <w:rPr>
          <w:rFonts w:cs="Traditional Arabic"/>
          <w:sz w:val="20"/>
          <w:szCs w:val="30"/>
          <w:rtl/>
          <w:lang w:bidi="ar-EG"/>
        </w:rPr>
        <w:t xml:space="preserve"> بالرش التي تحقق قدر</w:t>
      </w:r>
      <w:r w:rsidRPr="00335E4B">
        <w:rPr>
          <w:rFonts w:cs="Traditional Arabic" w:hint="cs"/>
          <w:sz w:val="20"/>
          <w:szCs w:val="30"/>
          <w:rtl/>
          <w:lang w:bidi="ar-EG"/>
        </w:rPr>
        <w:t>اً</w:t>
      </w:r>
      <w:r w:rsidRPr="00335E4B">
        <w:rPr>
          <w:rFonts w:cs="Traditional Arabic"/>
          <w:sz w:val="20"/>
          <w:szCs w:val="30"/>
          <w:rtl/>
          <w:lang w:bidi="ar-EG"/>
        </w:rPr>
        <w:t xml:space="preserve"> كبير</w:t>
      </w:r>
      <w:r w:rsidRPr="00335E4B">
        <w:rPr>
          <w:rFonts w:cs="Traditional Arabic" w:hint="cs"/>
          <w:sz w:val="20"/>
          <w:szCs w:val="30"/>
          <w:rtl/>
          <w:lang w:bidi="ar-EG"/>
        </w:rPr>
        <w:t>اً</w:t>
      </w:r>
      <w:r w:rsidRPr="00335E4B">
        <w:rPr>
          <w:rFonts w:cs="Traditional Arabic"/>
          <w:sz w:val="20"/>
          <w:szCs w:val="30"/>
          <w:rtl/>
          <w:lang w:bidi="ar-EG"/>
        </w:rPr>
        <w:t xml:space="preserve"> من التقاط الزئبق المؤكسد. وبناءً على ذلك، يمكن تحقيق درجة أعلى بكثير من المنافع المشتركة لالتقاط الزئبق في حالة أنواع الفحم المرتفعة الكلور عما يحدث في حالة أنواع الفحم المنخفضة الكلور (بابكوك باور، 2012). </w:t>
      </w:r>
    </w:p>
    <w:p w:rsidR="00335E4B" w:rsidRPr="00335E4B" w:rsidRDefault="00335E4B" w:rsidP="006F7165">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i/>
          <w:iCs/>
          <w:sz w:val="20"/>
          <w:szCs w:val="30"/>
          <w:rtl/>
        </w:rPr>
        <w:t>آثار أجهزة ضبط ث</w:t>
      </w:r>
      <w:r w:rsidRPr="00335E4B">
        <w:rPr>
          <w:rFonts w:cs="Traditional Arabic" w:hint="cs"/>
          <w:i/>
          <w:iCs/>
          <w:sz w:val="20"/>
          <w:szCs w:val="30"/>
          <w:rtl/>
        </w:rPr>
        <w:t>ن</w:t>
      </w:r>
      <w:r w:rsidRPr="00335E4B">
        <w:rPr>
          <w:rFonts w:cs="Traditional Arabic"/>
          <w:i/>
          <w:iCs/>
          <w:sz w:val="20"/>
          <w:szCs w:val="30"/>
          <w:rtl/>
        </w:rPr>
        <w:t>ا</w:t>
      </w:r>
      <w:r w:rsidRPr="00335E4B">
        <w:rPr>
          <w:rFonts w:cs="Traditional Arabic" w:hint="cs"/>
          <w:i/>
          <w:iCs/>
          <w:sz w:val="20"/>
          <w:szCs w:val="30"/>
          <w:rtl/>
        </w:rPr>
        <w:t>ئ</w:t>
      </w:r>
      <w:r w:rsidRPr="00335E4B">
        <w:rPr>
          <w:rFonts w:cs="Traditional Arabic"/>
          <w:i/>
          <w:iCs/>
          <w:sz w:val="20"/>
          <w:szCs w:val="30"/>
          <w:rtl/>
        </w:rPr>
        <w:t xml:space="preserve">ي أكسيد الكبريت الشاملة لعدة </w:t>
      </w:r>
      <w:r w:rsidR="006F7165" w:rsidRPr="006F7165">
        <w:rPr>
          <w:rFonts w:cs="Traditional Arabic"/>
          <w:i/>
          <w:iCs/>
          <w:sz w:val="20"/>
          <w:szCs w:val="30"/>
          <w:rtl/>
        </w:rPr>
        <w:t>أوساط</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hint="cs"/>
          <w:sz w:val="20"/>
          <w:szCs w:val="30"/>
          <w:rtl/>
        </w:rPr>
        <w:t xml:space="preserve">في </w:t>
      </w:r>
      <w:r w:rsidRPr="00335E4B">
        <w:rPr>
          <w:rFonts w:cs="Traditional Arabic"/>
          <w:sz w:val="20"/>
          <w:szCs w:val="30"/>
          <w:rtl/>
        </w:rPr>
        <w:t xml:space="preserve">نظام التنظيف الرطب لإزالة الكبريت من غاز المدخنة يتطلّب الاحتفاظ بالزئبق من خلال نظام التنظيف الرطب معالجة عالية الجودة لمياه الفضلات والحمأة للتأكد من أن </w:t>
      </w:r>
      <w:r w:rsidRPr="00335E4B">
        <w:rPr>
          <w:rFonts w:cs="Traditional Arabic" w:hint="cs"/>
          <w:sz w:val="20"/>
          <w:szCs w:val="30"/>
          <w:rtl/>
        </w:rPr>
        <w:t xml:space="preserve">التأثير لن يقتصر على مجرد انتقال </w:t>
      </w:r>
      <w:r w:rsidRPr="00335E4B">
        <w:rPr>
          <w:rFonts w:cs="Traditional Arabic"/>
          <w:sz w:val="20"/>
          <w:szCs w:val="30"/>
          <w:rtl/>
        </w:rPr>
        <w:t>الزئبق من الهواء إلى الماء</w:t>
      </w:r>
      <w:r w:rsidRPr="00335E4B">
        <w:rPr>
          <w:rFonts w:cs="Traditional Arabic" w:hint="cs"/>
          <w:sz w:val="20"/>
          <w:szCs w:val="30"/>
          <w:rtl/>
        </w:rPr>
        <w:t>.</w:t>
      </w:r>
      <w:r w:rsidRPr="00335E4B">
        <w:rPr>
          <w:rFonts w:cs="Traditional Arabic"/>
          <w:sz w:val="20"/>
          <w:szCs w:val="30"/>
          <w:rtl/>
        </w:rPr>
        <w:t xml:space="preserve"> </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ولدى استخدام جبس </w:t>
      </w:r>
      <w:r w:rsidRPr="00335E4B">
        <w:rPr>
          <w:rFonts w:cs="Traditional Arabic" w:hint="cs"/>
          <w:sz w:val="20"/>
          <w:szCs w:val="30"/>
          <w:rtl/>
        </w:rPr>
        <w:t>إزالة</w:t>
      </w:r>
      <w:r w:rsidRPr="00335E4B">
        <w:rPr>
          <w:rFonts w:cs="Traditional Arabic"/>
          <w:sz w:val="20"/>
          <w:szCs w:val="30"/>
          <w:rtl/>
        </w:rPr>
        <w:t xml:space="preserve"> الكبريت لإنتاج ألواح التبطين، </w:t>
      </w:r>
      <w:r w:rsidRPr="00335E4B">
        <w:rPr>
          <w:rFonts w:cs="Traditional Arabic" w:hint="cs"/>
          <w:sz w:val="20"/>
          <w:szCs w:val="30"/>
          <w:rtl/>
        </w:rPr>
        <w:t>ينشأ</w:t>
      </w:r>
      <w:r w:rsidRPr="00335E4B">
        <w:rPr>
          <w:rFonts w:cs="Traditional Arabic"/>
          <w:sz w:val="20"/>
          <w:szCs w:val="30"/>
          <w:rtl/>
        </w:rPr>
        <w:t xml:space="preserve"> احتمال إعادة انبعاث الزئبق الذي يحتويه هذا الجبس. ولدى استخدام نظام امتصاص التجفيف بالرش مع المرشَّح النسيجي </w:t>
      </w:r>
      <w:r w:rsidRPr="00335E4B">
        <w:rPr>
          <w:rFonts w:cs="Traditional Arabic" w:hint="cs"/>
          <w:sz w:val="20"/>
          <w:szCs w:val="30"/>
          <w:rtl/>
        </w:rPr>
        <w:t>ينشأ</w:t>
      </w:r>
      <w:r w:rsidRPr="00335E4B">
        <w:rPr>
          <w:rFonts w:cs="Traditional Arabic"/>
          <w:sz w:val="20"/>
          <w:szCs w:val="30"/>
          <w:rtl/>
        </w:rPr>
        <w:t xml:space="preserve"> احتمال نَضّ الزئبق من الرماد المتطاير المتجمِّع في المرشِّح </w:t>
      </w:r>
      <w:r w:rsidRPr="00335E4B">
        <w:rPr>
          <w:rFonts w:cs="Traditional Arabic" w:hint="cs"/>
          <w:sz w:val="20"/>
          <w:szCs w:val="30"/>
          <w:rtl/>
        </w:rPr>
        <w:t>إلى</w:t>
      </w:r>
      <w:r w:rsidRPr="00335E4B">
        <w:rPr>
          <w:rFonts w:cs="Traditional Arabic"/>
          <w:sz w:val="20"/>
          <w:szCs w:val="30"/>
          <w:rtl/>
        </w:rPr>
        <w:t xml:space="preserve"> المياه الجوفية. ولذلك تقوم الحاجة إلى الإدارة السليمة بيئياً للرماد المتجمّع في المرشّحات النسيجية.</w:t>
      </w:r>
    </w:p>
    <w:p w:rsidR="00335E4B" w:rsidRPr="00335E4B" w:rsidRDefault="00335E4B" w:rsidP="006F7165">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i/>
          <w:iCs/>
          <w:sz w:val="20"/>
          <w:szCs w:val="30"/>
          <w:rtl/>
        </w:rPr>
        <w:t xml:space="preserve">آثار أجهزة ضبط ثاني أكسيد الكبريت الشاملة لعدة </w:t>
      </w:r>
      <w:r w:rsidR="006F7165" w:rsidRPr="006F7165">
        <w:rPr>
          <w:rFonts w:cs="Traditional Arabic"/>
          <w:i/>
          <w:iCs/>
          <w:sz w:val="20"/>
          <w:szCs w:val="30"/>
          <w:rtl/>
        </w:rPr>
        <w:t xml:space="preserve">أوساط </w:t>
      </w:r>
      <w:r w:rsidRPr="00335E4B">
        <w:rPr>
          <w:rFonts w:cs="Traditional Arabic"/>
          <w:i/>
          <w:iCs/>
          <w:sz w:val="20"/>
          <w:szCs w:val="30"/>
          <w:rtl/>
        </w:rPr>
        <w:t>(غير المتصلة بالزئبق)</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يؤدّي تشغيل نظام إزالة الكبريت من غاز المدخنة عموماً إلى زيادة استهلاك الطاقة، وهذه الزيادة تبلغ نمطياً 5 في المائة.</w:t>
      </w:r>
    </w:p>
    <w:p w:rsidR="00335E4B" w:rsidRPr="00335E4B" w:rsidRDefault="00335E4B" w:rsidP="00335E4B">
      <w:pPr>
        <w:keepNext/>
        <w:spacing w:before="120" w:after="120" w:line="400" w:lineRule="exact"/>
        <w:ind w:left="992" w:hanging="992"/>
        <w:jc w:val="both"/>
        <w:outlineLvl w:val="0"/>
        <w:rPr>
          <w:rFonts w:cs="Traditional Arabic"/>
          <w:b/>
          <w:bCs/>
          <w:sz w:val="30"/>
          <w:szCs w:val="30"/>
          <w:rtl/>
        </w:rPr>
      </w:pPr>
      <w:bookmarkStart w:id="587" w:name="_Toc440456841"/>
      <w:bookmarkStart w:id="588" w:name="_Toc440526910"/>
      <w:bookmarkStart w:id="589" w:name="_Toc440527765"/>
      <w:bookmarkStart w:id="590" w:name="_Toc440550466"/>
      <w:bookmarkStart w:id="591" w:name="_Toc441577723"/>
      <w:bookmarkStart w:id="592" w:name="_Toc441577902"/>
      <w:bookmarkStart w:id="593" w:name="_Toc441579128"/>
      <w:bookmarkStart w:id="594" w:name="_Toc441580736"/>
      <w:bookmarkStart w:id="595" w:name="_Toc441585867"/>
      <w:bookmarkStart w:id="596" w:name="_Toc441586203"/>
      <w:bookmarkStart w:id="597" w:name="_Toc441586653"/>
      <w:bookmarkStart w:id="598" w:name="_Toc441586832"/>
      <w:bookmarkStart w:id="599" w:name="_Toc441666681"/>
      <w:bookmarkStart w:id="600" w:name="_Toc441673742"/>
      <w:r w:rsidRPr="00335E4B">
        <w:rPr>
          <w:rFonts w:cs="Traditional Arabic"/>
          <w:b/>
          <w:bCs/>
          <w:sz w:val="30"/>
          <w:szCs w:val="30"/>
          <w:rtl/>
        </w:rPr>
        <w:t>الاختزال الحفزي الانتقائي لضبط أكاسيد النيتروجين</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صُمِّ</w:t>
      </w:r>
      <w:r w:rsidRPr="00335E4B">
        <w:rPr>
          <w:rFonts w:cs="Traditional Arabic" w:hint="cs"/>
          <w:sz w:val="20"/>
          <w:szCs w:val="30"/>
          <w:rtl/>
        </w:rPr>
        <w:t>م</w:t>
      </w:r>
      <w:r w:rsidRPr="00335E4B">
        <w:rPr>
          <w:rFonts w:cs="Traditional Arabic"/>
          <w:sz w:val="20"/>
          <w:szCs w:val="30"/>
          <w:rtl/>
        </w:rPr>
        <w:t>ت تكنولوجيا الاختزال الحفزي الانتقائي</w:t>
      </w:r>
      <w:r w:rsidRPr="00335E4B">
        <w:rPr>
          <w:rFonts w:cs="Traditional Arabic" w:hint="cs"/>
          <w:sz w:val="20"/>
          <w:szCs w:val="30"/>
          <w:rtl/>
        </w:rPr>
        <w:t>،</w:t>
      </w:r>
      <w:r w:rsidRPr="00335E4B">
        <w:rPr>
          <w:rFonts w:cs="Traditional Arabic"/>
          <w:sz w:val="20"/>
          <w:szCs w:val="30"/>
          <w:rtl/>
        </w:rPr>
        <w:t xml:space="preserve"> </w:t>
      </w:r>
      <w:r w:rsidRPr="00335E4B">
        <w:rPr>
          <w:rFonts w:cs="Traditional Arabic" w:hint="cs"/>
          <w:sz w:val="20"/>
          <w:szCs w:val="30"/>
          <w:rtl/>
        </w:rPr>
        <w:t xml:space="preserve">من أجل </w:t>
      </w:r>
      <w:r w:rsidRPr="00335E4B">
        <w:rPr>
          <w:rFonts w:cs="Traditional Arabic"/>
          <w:sz w:val="20"/>
          <w:szCs w:val="30"/>
          <w:rtl/>
        </w:rPr>
        <w:t xml:space="preserve">تقليل أكاسيد النيتروجين من خلال </w:t>
      </w:r>
      <w:r w:rsidRPr="00335E4B">
        <w:rPr>
          <w:rFonts w:cs="Traditional Arabic" w:hint="cs"/>
          <w:sz w:val="20"/>
          <w:szCs w:val="30"/>
          <w:rtl/>
        </w:rPr>
        <w:t>ال</w:t>
      </w:r>
      <w:r w:rsidRPr="00335E4B">
        <w:rPr>
          <w:rFonts w:cs="Traditional Arabic"/>
          <w:sz w:val="20"/>
          <w:szCs w:val="30"/>
          <w:rtl/>
        </w:rPr>
        <w:t xml:space="preserve">تفاعل </w:t>
      </w:r>
      <w:r w:rsidRPr="00335E4B">
        <w:rPr>
          <w:rFonts w:cs="Traditional Arabic" w:hint="cs"/>
          <w:sz w:val="20"/>
          <w:szCs w:val="30"/>
          <w:rtl/>
        </w:rPr>
        <w:t>ال</w:t>
      </w:r>
      <w:r w:rsidRPr="00335E4B">
        <w:rPr>
          <w:rFonts w:cs="Traditional Arabic"/>
          <w:sz w:val="20"/>
          <w:szCs w:val="30"/>
          <w:rtl/>
        </w:rPr>
        <w:t xml:space="preserve">معزَّز حفزياً </w:t>
      </w:r>
      <w:r w:rsidRPr="00335E4B">
        <w:rPr>
          <w:rFonts w:cs="Traditional Arabic" w:hint="cs"/>
          <w:sz w:val="20"/>
          <w:szCs w:val="30"/>
          <w:rtl/>
        </w:rPr>
        <w:t>ل</w:t>
      </w:r>
      <w:r w:rsidRPr="00335E4B">
        <w:rPr>
          <w:rFonts w:cs="Traditional Arabic"/>
          <w:sz w:val="20"/>
          <w:szCs w:val="30"/>
          <w:rtl/>
        </w:rPr>
        <w:t xml:space="preserve">أكاسيد النيتروجين مع غاز النشادر </w:t>
      </w:r>
      <w:r w:rsidRPr="001254C4">
        <w:rPr>
          <w:rFonts w:asciiTheme="majorBidi" w:hAnsiTheme="majorBidi" w:cstheme="majorBidi"/>
          <w:sz w:val="20"/>
          <w:szCs w:val="20"/>
          <w:rtl/>
        </w:rPr>
        <w:t>(</w:t>
      </w:r>
      <w:r w:rsidRPr="001254C4">
        <w:rPr>
          <w:rFonts w:asciiTheme="majorBidi" w:hAnsiTheme="majorBidi" w:cstheme="majorBidi"/>
          <w:sz w:val="20"/>
          <w:szCs w:val="20"/>
        </w:rPr>
        <w:t>NH</w:t>
      </w:r>
      <w:r w:rsidRPr="001254C4">
        <w:rPr>
          <w:rFonts w:asciiTheme="majorBidi" w:hAnsiTheme="majorBidi" w:cstheme="majorBidi"/>
          <w:sz w:val="20"/>
          <w:szCs w:val="20"/>
          <w:vertAlign w:val="subscript"/>
        </w:rPr>
        <w:t>3</w:t>
      </w:r>
      <w:r w:rsidRPr="001254C4">
        <w:rPr>
          <w:rFonts w:asciiTheme="majorBidi" w:hAnsiTheme="majorBidi" w:cstheme="majorBidi"/>
          <w:sz w:val="20"/>
          <w:szCs w:val="20"/>
          <w:rtl/>
        </w:rPr>
        <w:t>)</w:t>
      </w:r>
      <w:r w:rsidRPr="00335E4B">
        <w:rPr>
          <w:rFonts w:cs="Traditional Arabic"/>
          <w:sz w:val="20"/>
          <w:szCs w:val="30"/>
          <w:rtl/>
        </w:rPr>
        <w:t>، مما يؤدّي إلى اختزال أكاسيد النيتروجين إلى الماء والنيتروجين. ويحدث هذا التفاعل على سطح الحفّاز، الذي يوضَع في أ</w:t>
      </w:r>
      <w:r w:rsidRPr="00335E4B">
        <w:rPr>
          <w:rFonts w:cs="Traditional Arabic" w:hint="cs"/>
          <w:sz w:val="20"/>
          <w:szCs w:val="30"/>
          <w:rtl/>
        </w:rPr>
        <w:t>ن</w:t>
      </w:r>
      <w:r w:rsidRPr="00335E4B">
        <w:rPr>
          <w:rFonts w:cs="Traditional Arabic"/>
          <w:sz w:val="20"/>
          <w:szCs w:val="30"/>
          <w:rtl/>
        </w:rPr>
        <w:t xml:space="preserve">بوب تفاعل. وفي ظروف معيَّنة، </w:t>
      </w:r>
      <w:r w:rsidRPr="00335E4B">
        <w:rPr>
          <w:rFonts w:cs="Traditional Arabic" w:hint="cs"/>
          <w:sz w:val="20"/>
          <w:szCs w:val="30"/>
          <w:rtl/>
        </w:rPr>
        <w:t>تبيَّن</w:t>
      </w:r>
      <w:r w:rsidRPr="00335E4B">
        <w:rPr>
          <w:rFonts w:cs="Traditional Arabic"/>
          <w:sz w:val="20"/>
          <w:szCs w:val="30"/>
          <w:rtl/>
        </w:rPr>
        <w:t xml:space="preserve"> </w:t>
      </w:r>
      <w:r w:rsidRPr="00335E4B">
        <w:rPr>
          <w:rFonts w:cs="Traditional Arabic" w:hint="cs"/>
          <w:sz w:val="20"/>
          <w:szCs w:val="30"/>
          <w:rtl/>
        </w:rPr>
        <w:t xml:space="preserve">أن </w:t>
      </w:r>
      <w:r w:rsidRPr="00335E4B">
        <w:rPr>
          <w:rFonts w:cs="Traditional Arabic"/>
          <w:sz w:val="20"/>
          <w:szCs w:val="30"/>
          <w:rtl/>
        </w:rPr>
        <w:t>حفّازات الاختزال الحفزي الانتقائي تغيِّر تنوُّع</w:t>
      </w:r>
      <w:r w:rsidRPr="00335E4B">
        <w:rPr>
          <w:rFonts w:cs="Traditional Arabic" w:hint="cs"/>
          <w:sz w:val="20"/>
          <w:szCs w:val="30"/>
          <w:rtl/>
        </w:rPr>
        <w:t>ات</w:t>
      </w:r>
      <w:r w:rsidRPr="00335E4B">
        <w:rPr>
          <w:rFonts w:cs="Traditional Arabic"/>
          <w:sz w:val="20"/>
          <w:szCs w:val="30"/>
          <w:rtl/>
        </w:rPr>
        <w:t xml:space="preserve"> الزئبق </w:t>
      </w:r>
      <w:r w:rsidRPr="00335E4B">
        <w:rPr>
          <w:rFonts w:cs="Traditional Arabic" w:hint="cs"/>
          <w:sz w:val="20"/>
          <w:szCs w:val="30"/>
          <w:rtl/>
        </w:rPr>
        <w:t xml:space="preserve">حيث تدعم أكسدة </w:t>
      </w:r>
      <w:r w:rsidRPr="00335E4B">
        <w:rPr>
          <w:rFonts w:cs="Traditional Arabic"/>
          <w:sz w:val="20"/>
          <w:szCs w:val="30"/>
          <w:rtl/>
        </w:rPr>
        <w:t>الزئبق النقي إلى زئبق مؤك</w:t>
      </w:r>
      <w:r w:rsidRPr="00335E4B">
        <w:rPr>
          <w:rFonts w:cs="Traditional Arabic" w:hint="cs"/>
          <w:sz w:val="20"/>
          <w:szCs w:val="30"/>
          <w:rtl/>
        </w:rPr>
        <w:t>سَ</w:t>
      </w:r>
      <w:r w:rsidRPr="00335E4B">
        <w:rPr>
          <w:rFonts w:cs="Traditional Arabic"/>
          <w:sz w:val="20"/>
          <w:szCs w:val="30"/>
          <w:rtl/>
        </w:rPr>
        <w:t xml:space="preserve">د، وخاصة </w:t>
      </w:r>
      <w:r w:rsidRPr="00335E4B">
        <w:rPr>
          <w:rFonts w:cs="Traditional Arabic" w:hint="cs"/>
          <w:sz w:val="20"/>
          <w:szCs w:val="30"/>
          <w:rtl/>
        </w:rPr>
        <w:t xml:space="preserve">في </w:t>
      </w:r>
      <w:r w:rsidRPr="00335E4B">
        <w:rPr>
          <w:rFonts w:cs="Traditional Arabic"/>
          <w:sz w:val="20"/>
          <w:szCs w:val="30"/>
          <w:rtl/>
        </w:rPr>
        <w:t>حالة الفحم المرتفع الكلور. وينبغي أن يلاحَظ أن الاختزال الحفزي الانتقائي نفسه لا</w:t>
      </w:r>
      <w:r w:rsidRPr="00335E4B">
        <w:rPr>
          <w:rFonts w:cs="Traditional Arabic" w:hint="cs"/>
          <w:sz w:val="20"/>
          <w:szCs w:val="30"/>
          <w:rtl/>
        </w:rPr>
        <w:t xml:space="preserve"> </w:t>
      </w:r>
      <w:r w:rsidRPr="00335E4B">
        <w:rPr>
          <w:rFonts w:cs="Traditional Arabic"/>
          <w:sz w:val="20"/>
          <w:szCs w:val="30"/>
          <w:rtl/>
        </w:rPr>
        <w:t>يزيل الزئبق. وبدلاً من ذلك، فإن هذا الاختزال يؤدّي، من خلال زيادة مقدار الزئبق المؤكسَد، إلى تحسين التقاط الزئبق في أجهزة ضبط الجسيمات وأنظمة التنظيف الرطب لإزالة الكبريت من غاز المدخنة، مما يؤدّي إلى تعزيز إزالة الزئبق (شو، 2004؛ فافال وآخرون، 2013).</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ونظراً لأن </w:t>
      </w:r>
      <w:r w:rsidRPr="00335E4B">
        <w:rPr>
          <w:rFonts w:cs="Traditional Arabic" w:hint="cs"/>
          <w:sz w:val="20"/>
          <w:szCs w:val="30"/>
          <w:rtl/>
        </w:rPr>
        <w:t>الـمُعامِلات</w:t>
      </w:r>
      <w:r w:rsidRPr="00335E4B">
        <w:rPr>
          <w:rFonts w:cs="Traditional Arabic"/>
          <w:sz w:val="20"/>
          <w:szCs w:val="30"/>
          <w:rtl/>
        </w:rPr>
        <w:t xml:space="preserve"> التشغيلية للاختزال الحفزي الانتقائي (مثل درجة الحرارة وتركيز غاز النشادر في غاز المدخنة </w:t>
      </w:r>
      <w:r w:rsidRPr="00335E4B">
        <w:rPr>
          <w:rFonts w:cs="Traditional Arabic" w:hint="cs"/>
          <w:sz w:val="20"/>
          <w:szCs w:val="30"/>
          <w:rtl/>
        </w:rPr>
        <w:t>و</w:t>
      </w:r>
      <w:r w:rsidRPr="00335E4B">
        <w:rPr>
          <w:rFonts w:cs="Traditional Arabic"/>
          <w:sz w:val="20"/>
          <w:szCs w:val="30"/>
          <w:rtl/>
        </w:rPr>
        <w:t xml:space="preserve">حجم قاعدة الحفّاز وعمر الحفّاز) ستتحدّد عموماً بموجب استراتيجية ضبط أكاسيد النيتروجين، فإن </w:t>
      </w:r>
      <w:r w:rsidRPr="00335E4B">
        <w:rPr>
          <w:rFonts w:cs="Traditional Arabic" w:hint="cs"/>
          <w:sz w:val="20"/>
          <w:szCs w:val="30"/>
          <w:rtl/>
        </w:rPr>
        <w:t>الـمُعامل</w:t>
      </w:r>
      <w:r w:rsidRPr="00335E4B">
        <w:rPr>
          <w:rFonts w:cs="Traditional Arabic"/>
          <w:sz w:val="20"/>
          <w:szCs w:val="30"/>
          <w:rtl/>
        </w:rPr>
        <w:t xml:space="preserve"> </w:t>
      </w:r>
      <w:r w:rsidRPr="00335E4B">
        <w:rPr>
          <w:rFonts w:cs="Traditional Arabic" w:hint="cs"/>
          <w:sz w:val="20"/>
          <w:szCs w:val="30"/>
          <w:rtl/>
        </w:rPr>
        <w:t>الذي ي</w:t>
      </w:r>
      <w:r w:rsidRPr="00335E4B">
        <w:rPr>
          <w:rFonts w:cs="Traditional Arabic"/>
          <w:sz w:val="20"/>
          <w:szCs w:val="30"/>
          <w:rtl/>
        </w:rPr>
        <w:t xml:space="preserve">نطوي على أفضل احتمال للوصول إلى الإزالة المُثلى للزئبق </w:t>
      </w:r>
      <w:r w:rsidRPr="00335E4B">
        <w:rPr>
          <w:rFonts w:cs="Traditional Arabic" w:hint="cs"/>
          <w:sz w:val="20"/>
          <w:szCs w:val="30"/>
          <w:rtl/>
        </w:rPr>
        <w:t>هو</w:t>
      </w:r>
      <w:r w:rsidRPr="00335E4B">
        <w:rPr>
          <w:rFonts w:cs="Traditional Arabic"/>
          <w:sz w:val="20"/>
          <w:szCs w:val="30"/>
          <w:rtl/>
        </w:rPr>
        <w:t xml:space="preserve"> محتوى الكلور في الفحم. وكما يرد في القسم</w:t>
      </w:r>
      <w:r w:rsidRPr="00335E4B">
        <w:rPr>
          <w:rFonts w:cs="Traditional Arabic" w:hint="cs"/>
          <w:sz w:val="20"/>
          <w:szCs w:val="30"/>
          <w:rtl/>
        </w:rPr>
        <w:t xml:space="preserve"> الوارد أدناه</w:t>
      </w:r>
      <w:r w:rsidRPr="00335E4B">
        <w:rPr>
          <w:rFonts w:cs="Traditional Arabic"/>
          <w:sz w:val="20"/>
          <w:szCs w:val="30"/>
          <w:rtl/>
        </w:rPr>
        <w:t xml:space="preserve"> المتعلّق بخلط الفحم </w:t>
      </w:r>
      <w:r w:rsidRPr="00335E4B">
        <w:rPr>
          <w:rFonts w:cs="Traditional Arabic" w:hint="cs"/>
          <w:sz w:val="20"/>
          <w:szCs w:val="30"/>
          <w:rtl/>
        </w:rPr>
        <w:t>و</w:t>
      </w:r>
      <w:r w:rsidRPr="00335E4B">
        <w:rPr>
          <w:rFonts w:cs="Traditional Arabic"/>
          <w:sz w:val="20"/>
          <w:szCs w:val="30"/>
          <w:rtl/>
        </w:rPr>
        <w:t>الذي يستند إلى بيانات من الولايات المتحدة، فإن أكسدة الزئبق النقي إلى زئبق مؤكسَد تزيد في حالة الفحم القيري عنها في حالة الفحم دون القيري. وهكذا فإن الحدّ الأقصى من المنافع المشتَركة للأنظمة الحالية للاختزال الحفزي الانتقائي قد تتحقّق من خلال الخلط الصحيح للفحم أو من خلال</w:t>
      </w:r>
      <w:r w:rsidRPr="00335E4B">
        <w:rPr>
          <w:rFonts w:cs="Traditional Arabic" w:hint="cs"/>
          <w:sz w:val="20"/>
          <w:szCs w:val="30"/>
          <w:rtl/>
        </w:rPr>
        <w:t xml:space="preserve"> إضافية</w:t>
      </w:r>
      <w:r w:rsidRPr="00335E4B">
        <w:rPr>
          <w:rFonts w:cs="Traditional Arabic"/>
          <w:sz w:val="20"/>
          <w:szCs w:val="30"/>
          <w:rtl/>
        </w:rPr>
        <w:t xml:space="preserve"> البروم</w:t>
      </w:r>
      <w:r w:rsidRPr="00335E4B">
        <w:rPr>
          <w:rFonts w:cs="Traditional Arabic" w:hint="cs"/>
          <w:sz w:val="20"/>
          <w:szCs w:val="30"/>
          <w:rtl/>
        </w:rPr>
        <w:t>يد</w:t>
      </w:r>
      <w:r w:rsidRPr="00335E4B">
        <w:rPr>
          <w:rFonts w:cs="Traditional Arabic"/>
          <w:sz w:val="20"/>
          <w:szCs w:val="30"/>
          <w:rtl/>
        </w:rPr>
        <w:t xml:space="preserve"> (فوستين وآخرون، 2006). ويجري تصميم حفّازات الاختزال الحفزي الانتقائي للوصول إلى الحدّ الأمثل من كلا إزالة أكاسيد النيتروجين وأكسدة الزئبق.</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واستخدام الاختزال الحفزي الانتقائي يزيد من مدى أكسدة الزئبق والتقاطه، وخاصة مع زيادة جزء الفحم القيري في الخليط الذي يجمع بين نوعي الفحم القيري ودون القيري. وأثبتت دراسة ميدانية في منشأة مرافق كبيرة تعمل بحرق خليط من الفحم بنسبة 60 في المائة من الفحم دون القيري </w:t>
      </w:r>
      <w:r w:rsidRPr="00335E4B">
        <w:rPr>
          <w:rFonts w:cs="Traditional Arabic" w:hint="cs"/>
          <w:sz w:val="20"/>
          <w:szCs w:val="30"/>
          <w:rtl/>
        </w:rPr>
        <w:t>إلى</w:t>
      </w:r>
      <w:r w:rsidRPr="00335E4B">
        <w:rPr>
          <w:rFonts w:cs="Traditional Arabic"/>
          <w:sz w:val="20"/>
          <w:szCs w:val="30"/>
          <w:rtl/>
        </w:rPr>
        <w:t xml:space="preserve"> 40 في المائة من الفحم القيري في </w:t>
      </w:r>
      <w:r w:rsidRPr="00335E4B">
        <w:rPr>
          <w:rFonts w:cs="Traditional Arabic" w:hint="cs"/>
          <w:sz w:val="20"/>
          <w:szCs w:val="30"/>
          <w:rtl/>
        </w:rPr>
        <w:t>مرجَلين</w:t>
      </w:r>
      <w:r w:rsidRPr="00335E4B">
        <w:rPr>
          <w:rFonts w:cs="Traditional Arabic"/>
          <w:sz w:val="20"/>
          <w:szCs w:val="30"/>
          <w:rtl/>
        </w:rPr>
        <w:t xml:space="preserve"> متشابهين (واحد منه</w:t>
      </w:r>
      <w:r w:rsidRPr="00335E4B">
        <w:rPr>
          <w:rFonts w:cs="Traditional Arabic" w:hint="cs"/>
          <w:sz w:val="20"/>
          <w:szCs w:val="30"/>
          <w:rtl/>
        </w:rPr>
        <w:t>م</w:t>
      </w:r>
      <w:r w:rsidRPr="00335E4B">
        <w:rPr>
          <w:rFonts w:cs="Traditional Arabic"/>
          <w:sz w:val="20"/>
          <w:szCs w:val="30"/>
          <w:rtl/>
        </w:rPr>
        <w:t xml:space="preserve">ا </w:t>
      </w:r>
      <w:r w:rsidRPr="00335E4B">
        <w:rPr>
          <w:rFonts w:cs="Traditional Arabic" w:hint="cs"/>
          <w:sz w:val="20"/>
          <w:szCs w:val="30"/>
          <w:rtl/>
        </w:rPr>
        <w:t>ي</w:t>
      </w:r>
      <w:r w:rsidRPr="00335E4B">
        <w:rPr>
          <w:rFonts w:cs="Traditional Arabic"/>
          <w:sz w:val="20"/>
          <w:szCs w:val="30"/>
          <w:rtl/>
        </w:rPr>
        <w:t xml:space="preserve">عمل بنظام الاختزال الحفزي الانتقائي </w:t>
      </w:r>
      <w:r w:rsidRPr="00335E4B">
        <w:rPr>
          <w:rFonts w:cs="Traditional Arabic" w:hint="cs"/>
          <w:sz w:val="20"/>
          <w:szCs w:val="30"/>
          <w:rtl/>
        </w:rPr>
        <w:t>والآخر</w:t>
      </w:r>
      <w:r w:rsidRPr="00335E4B">
        <w:rPr>
          <w:rFonts w:cs="Traditional Arabic"/>
          <w:sz w:val="20"/>
          <w:szCs w:val="30"/>
          <w:rtl/>
        </w:rPr>
        <w:t xml:space="preserve"> لا </w:t>
      </w:r>
      <w:r w:rsidRPr="00335E4B">
        <w:rPr>
          <w:rFonts w:cs="Traditional Arabic" w:hint="cs"/>
          <w:sz w:val="20"/>
          <w:szCs w:val="30"/>
          <w:rtl/>
        </w:rPr>
        <w:t>ي</w:t>
      </w:r>
      <w:r w:rsidRPr="00335E4B">
        <w:rPr>
          <w:rFonts w:cs="Traditional Arabic"/>
          <w:sz w:val="20"/>
          <w:szCs w:val="30"/>
          <w:rtl/>
        </w:rPr>
        <w:t xml:space="preserve">عمل به) وجود زيادة في نسبة الزئبق المؤكسَد من 63 في المائة في حالة عدم وجود الاختزال الحفزي الانتقائي لتصل إلى 97 في المائة في حالة وجود هذا الاختزال. وعموماً، ترتفع أكسدة الزئبق في نظم الاختزال الحفزي الانتقائي مع زيادة النسبة المئوية للفحم القيري </w:t>
      </w:r>
      <w:r w:rsidRPr="00335E4B">
        <w:rPr>
          <w:rFonts w:cs="Traditional Arabic" w:hint="cs"/>
          <w:sz w:val="20"/>
          <w:szCs w:val="30"/>
          <w:rtl/>
        </w:rPr>
        <w:t xml:space="preserve">في </w:t>
      </w:r>
      <w:r w:rsidRPr="00335E4B">
        <w:rPr>
          <w:rFonts w:cs="Traditional Arabic"/>
          <w:sz w:val="20"/>
          <w:szCs w:val="30"/>
          <w:rtl/>
        </w:rPr>
        <w:t xml:space="preserve">أي خليط </w:t>
      </w:r>
      <w:r w:rsidRPr="00335E4B">
        <w:rPr>
          <w:rFonts w:cs="Traditional Arabic" w:hint="cs"/>
          <w:sz w:val="20"/>
          <w:szCs w:val="30"/>
          <w:rtl/>
        </w:rPr>
        <w:t xml:space="preserve">من </w:t>
      </w:r>
      <w:r w:rsidRPr="00335E4B">
        <w:rPr>
          <w:rFonts w:cs="Traditional Arabic"/>
          <w:sz w:val="20"/>
          <w:szCs w:val="30"/>
          <w:rtl/>
        </w:rPr>
        <w:t>الفحم القيري ودون القيري. وعلى سبيل المثال، في حالة خليط من الفحم بنسبة 65 من الفحم دون القيري إلى 35 من الفحم القيري كان</w:t>
      </w:r>
      <w:r w:rsidRPr="00335E4B">
        <w:rPr>
          <w:rFonts w:cs="Traditional Arabic" w:hint="cs"/>
          <w:sz w:val="20"/>
          <w:szCs w:val="30"/>
          <w:rtl/>
        </w:rPr>
        <w:t xml:space="preserve"> الارتفاع بمقدار </w:t>
      </w:r>
      <w:r w:rsidRPr="00335E4B">
        <w:rPr>
          <w:rFonts w:cs="Traditional Arabic"/>
          <w:sz w:val="20"/>
          <w:szCs w:val="30"/>
          <w:rtl/>
        </w:rPr>
        <w:t xml:space="preserve">49 </w:t>
      </w:r>
      <w:r w:rsidRPr="00335E4B">
        <w:rPr>
          <w:rFonts w:cs="Traditional Arabic" w:hint="cs"/>
          <w:sz w:val="20"/>
          <w:szCs w:val="30"/>
          <w:rtl/>
        </w:rPr>
        <w:t>نقطة مئوية</w:t>
      </w:r>
      <w:r w:rsidRPr="00335E4B">
        <w:rPr>
          <w:rFonts w:cs="Traditional Arabic"/>
          <w:sz w:val="20"/>
          <w:szCs w:val="30"/>
          <w:rtl/>
        </w:rPr>
        <w:t xml:space="preserve"> (من 13 إلى 62 في المائة). ولكن </w:t>
      </w:r>
      <w:r w:rsidRPr="00335E4B">
        <w:rPr>
          <w:rFonts w:cs="Traditional Arabic" w:hint="cs"/>
          <w:sz w:val="20"/>
          <w:szCs w:val="30"/>
          <w:rtl/>
        </w:rPr>
        <w:t xml:space="preserve">في </w:t>
      </w:r>
      <w:r w:rsidRPr="00335E4B">
        <w:rPr>
          <w:rFonts w:cs="Traditional Arabic"/>
          <w:sz w:val="20"/>
          <w:szCs w:val="30"/>
          <w:rtl/>
        </w:rPr>
        <w:t xml:space="preserve">حالة خليط بنسبة </w:t>
      </w:r>
      <w:r w:rsidRPr="00335E4B">
        <w:rPr>
          <w:rFonts w:cs="Traditional Arabic" w:hint="cs"/>
          <w:sz w:val="20"/>
          <w:szCs w:val="30"/>
          <w:rtl/>
        </w:rPr>
        <w:t>21</w:t>
      </w:r>
      <w:r w:rsidRPr="00335E4B">
        <w:rPr>
          <w:rFonts w:cs="Traditional Arabic"/>
          <w:sz w:val="20"/>
          <w:szCs w:val="30"/>
          <w:rtl/>
        </w:rPr>
        <w:t>:</w:t>
      </w:r>
      <w:r w:rsidRPr="00335E4B">
        <w:rPr>
          <w:rFonts w:cs="Traditional Arabic" w:hint="cs"/>
          <w:sz w:val="20"/>
          <w:szCs w:val="30"/>
          <w:rtl/>
        </w:rPr>
        <w:t>79</w:t>
      </w:r>
      <w:r w:rsidRPr="00335E4B">
        <w:rPr>
          <w:rFonts w:cs="Traditional Arabic"/>
          <w:sz w:val="20"/>
          <w:szCs w:val="30"/>
          <w:rtl/>
        </w:rPr>
        <w:t xml:space="preserve">، كانت الزيادة 14 </w:t>
      </w:r>
      <w:r w:rsidRPr="00335E4B">
        <w:rPr>
          <w:rFonts w:cs="Traditional Arabic" w:hint="cs"/>
          <w:sz w:val="20"/>
          <w:szCs w:val="30"/>
          <w:rtl/>
        </w:rPr>
        <w:t>نقطة مئوية</w:t>
      </w:r>
      <w:r w:rsidRPr="00335E4B">
        <w:rPr>
          <w:rFonts w:cs="Traditional Arabic"/>
          <w:sz w:val="20"/>
          <w:szCs w:val="30"/>
          <w:rtl/>
        </w:rPr>
        <w:t xml:space="preserve"> فقط</w:t>
      </w:r>
      <w:r w:rsidRPr="00335E4B">
        <w:rPr>
          <w:rFonts w:cs="Traditional Arabic" w:hint="cs"/>
          <w:sz w:val="20"/>
          <w:szCs w:val="30"/>
          <w:rtl/>
        </w:rPr>
        <w:t xml:space="preserve">، (أي </w:t>
      </w:r>
      <w:r w:rsidRPr="00335E4B">
        <w:rPr>
          <w:rFonts w:cs="Traditional Arabic"/>
          <w:sz w:val="20"/>
          <w:szCs w:val="30"/>
          <w:rtl/>
        </w:rPr>
        <w:t xml:space="preserve">من </w:t>
      </w:r>
      <w:r w:rsidRPr="00335E4B">
        <w:rPr>
          <w:rFonts w:cs="Traditional Arabic" w:hint="cs"/>
          <w:sz w:val="20"/>
          <w:szCs w:val="30"/>
          <w:rtl/>
        </w:rPr>
        <w:t>6 إلى 20</w:t>
      </w:r>
      <w:r w:rsidRPr="00335E4B">
        <w:rPr>
          <w:rFonts w:cs="Traditional Arabic"/>
          <w:sz w:val="20"/>
          <w:szCs w:val="30"/>
          <w:rtl/>
        </w:rPr>
        <w:t xml:space="preserve"> في المائة) (سير و</w:t>
      </w:r>
      <w:r w:rsidRPr="00335E4B">
        <w:rPr>
          <w:rFonts w:cs="Traditional Arabic" w:hint="cs"/>
          <w:sz w:val="20"/>
          <w:szCs w:val="30"/>
          <w:rtl/>
        </w:rPr>
        <w:t>آ</w:t>
      </w:r>
      <w:r w:rsidRPr="00335E4B">
        <w:rPr>
          <w:rFonts w:cs="Traditional Arabic"/>
          <w:sz w:val="20"/>
          <w:szCs w:val="30"/>
          <w:rtl/>
        </w:rPr>
        <w:t>خرون، 2008).</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rPr>
        <w:t>ومن الممكن أن يحقق</w:t>
      </w:r>
      <w:r w:rsidRPr="00335E4B">
        <w:rPr>
          <w:rFonts w:cs="Traditional Arabic"/>
          <w:sz w:val="20"/>
          <w:szCs w:val="30"/>
          <w:rtl/>
        </w:rPr>
        <w:t xml:space="preserve"> الفحم دون القيري غير المخلوط في وحدة لا تعمل بنظام الاختزال الحفزي الانتقائي نسبة تتراوح </w:t>
      </w:r>
      <w:r w:rsidRPr="00335E4B">
        <w:rPr>
          <w:rFonts w:cs="Traditional Arabic" w:hint="cs"/>
          <w:sz w:val="20"/>
          <w:szCs w:val="30"/>
          <w:rtl/>
        </w:rPr>
        <w:t>بين</w:t>
      </w:r>
      <w:r w:rsidRPr="00335E4B">
        <w:rPr>
          <w:rFonts w:cs="Traditional Arabic"/>
          <w:sz w:val="20"/>
          <w:szCs w:val="30"/>
          <w:rtl/>
        </w:rPr>
        <w:t xml:space="preserve"> صفر</w:t>
      </w:r>
      <w:r w:rsidRPr="00335E4B">
        <w:rPr>
          <w:rFonts w:cs="Traditional Arabic" w:hint="cs"/>
          <w:sz w:val="20"/>
          <w:szCs w:val="30"/>
          <w:rtl/>
        </w:rPr>
        <w:t xml:space="preserve"> و</w:t>
      </w:r>
      <w:r w:rsidRPr="00335E4B">
        <w:rPr>
          <w:rFonts w:cs="Traditional Arabic"/>
          <w:sz w:val="20"/>
          <w:szCs w:val="30"/>
          <w:rtl/>
        </w:rPr>
        <w:t xml:space="preserve">40 في المائة من الزئبق المؤكسّد (معهد شركات الهواء النظيف، 2010). وفي دراسة ميدانية أخرى، أظهرت الاختبارات </w:t>
      </w:r>
      <w:r w:rsidRPr="00335E4B">
        <w:rPr>
          <w:rFonts w:cs="Traditional Arabic" w:hint="cs"/>
          <w:sz w:val="20"/>
          <w:szCs w:val="30"/>
          <w:rtl/>
        </w:rPr>
        <w:t>التي أجريت</w:t>
      </w:r>
      <w:r w:rsidRPr="00335E4B">
        <w:rPr>
          <w:rFonts w:cs="Traditional Arabic"/>
          <w:sz w:val="20"/>
          <w:szCs w:val="30"/>
          <w:rtl/>
        </w:rPr>
        <w:t xml:space="preserve"> في ثلاث منشآت تعمل بحرق الفحم القيري</w:t>
      </w:r>
      <w:r w:rsidRPr="00335E4B">
        <w:rPr>
          <w:rFonts w:cs="Traditional Arabic" w:hint="cs"/>
          <w:sz w:val="20"/>
          <w:szCs w:val="30"/>
          <w:rtl/>
        </w:rPr>
        <w:t>،</w:t>
      </w:r>
      <w:r w:rsidRPr="00335E4B">
        <w:rPr>
          <w:rFonts w:cs="Traditional Arabic"/>
          <w:sz w:val="20"/>
          <w:szCs w:val="30"/>
          <w:rtl/>
        </w:rPr>
        <w:t xml:space="preserve"> </w:t>
      </w:r>
      <w:r w:rsidRPr="00335E4B">
        <w:rPr>
          <w:rFonts w:cs="Traditional Arabic" w:hint="cs"/>
          <w:sz w:val="20"/>
          <w:szCs w:val="30"/>
          <w:rtl/>
        </w:rPr>
        <w:t>أكسدة</w:t>
      </w:r>
      <w:r w:rsidRPr="00335E4B">
        <w:rPr>
          <w:rFonts w:cs="Traditional Arabic"/>
          <w:sz w:val="20"/>
          <w:szCs w:val="30"/>
          <w:rtl/>
        </w:rPr>
        <w:t xml:space="preserve"> للزئبق عبر الاختزال </w:t>
      </w:r>
      <w:r w:rsidRPr="00335E4B">
        <w:rPr>
          <w:rFonts w:cs="Traditional Arabic" w:hint="cs"/>
          <w:sz w:val="20"/>
          <w:szCs w:val="30"/>
          <w:rtl/>
        </w:rPr>
        <w:t>الحفزي</w:t>
      </w:r>
      <w:r w:rsidRPr="00335E4B">
        <w:rPr>
          <w:rFonts w:cs="Traditional Arabic"/>
          <w:sz w:val="20"/>
          <w:szCs w:val="30"/>
          <w:rtl/>
        </w:rPr>
        <w:t xml:space="preserve"> الانتقائي، </w:t>
      </w:r>
      <w:r w:rsidRPr="00335E4B">
        <w:rPr>
          <w:rFonts w:cs="Traditional Arabic" w:hint="cs"/>
          <w:sz w:val="20"/>
          <w:szCs w:val="30"/>
          <w:rtl/>
        </w:rPr>
        <w:t>بنسبة تصل</w:t>
      </w:r>
      <w:r w:rsidRPr="00335E4B">
        <w:rPr>
          <w:rFonts w:cs="Traditional Arabic"/>
          <w:sz w:val="20"/>
          <w:szCs w:val="30"/>
          <w:rtl/>
        </w:rPr>
        <w:t xml:space="preserve"> إلى 90 في المائة وأكثر. وكانت إزالة الزئبق الناتجة عن ذلك في أجهزة التنظيف الرطب</w:t>
      </w:r>
      <w:r w:rsidRPr="00335E4B">
        <w:rPr>
          <w:rFonts w:cs="Traditional Arabic" w:hint="cs"/>
          <w:sz w:val="20"/>
          <w:szCs w:val="30"/>
          <w:rtl/>
        </w:rPr>
        <w:t xml:space="preserve"> التالية</w:t>
      </w:r>
      <w:r w:rsidRPr="00335E4B">
        <w:rPr>
          <w:rFonts w:cs="Traditional Arabic"/>
          <w:sz w:val="20"/>
          <w:szCs w:val="30"/>
          <w:rtl/>
        </w:rPr>
        <w:t xml:space="preserve"> تتراوح من</w:t>
      </w:r>
      <w:r w:rsidRPr="00335E4B">
        <w:rPr>
          <w:rFonts w:cs="Traditional Arabic" w:hint="cs"/>
          <w:sz w:val="20"/>
          <w:szCs w:val="30"/>
          <w:rtl/>
        </w:rPr>
        <w:t xml:space="preserve"> 92 إلى 84</w:t>
      </w:r>
      <w:r w:rsidRPr="00335E4B">
        <w:rPr>
          <w:rFonts w:cs="Traditional Arabic"/>
          <w:sz w:val="20"/>
          <w:szCs w:val="30"/>
          <w:rtl/>
        </w:rPr>
        <w:t xml:space="preserve"> في المائة مع تشغيل نظام الاختزال الحفزي الانتقائي مقارنة بنسبة 43-51 في المائة بدون تشغيل هذا الاختزال. ولكن المنشآت العاملة بحرق الفحم دون القيري أظهرت تغيُّراً ضئيلاً في تنوُّع</w:t>
      </w:r>
      <w:r w:rsidRPr="00335E4B">
        <w:rPr>
          <w:rFonts w:cs="Traditional Arabic" w:hint="cs"/>
          <w:sz w:val="20"/>
          <w:szCs w:val="30"/>
          <w:rtl/>
        </w:rPr>
        <w:t>ات</w:t>
      </w:r>
      <w:r w:rsidRPr="00335E4B">
        <w:rPr>
          <w:rFonts w:cs="Traditional Arabic"/>
          <w:sz w:val="20"/>
          <w:szCs w:val="30"/>
          <w:rtl/>
        </w:rPr>
        <w:t xml:space="preserve"> الزئبق عبر مفاعلات الاختزال الحفزي الانتقائي (لاودال، </w:t>
      </w:r>
      <w:r w:rsidRPr="00335E4B">
        <w:rPr>
          <w:rFonts w:cs="Traditional Arabic"/>
          <w:sz w:val="20"/>
          <w:szCs w:val="30"/>
          <w:rtl/>
          <w:lang w:bidi="ar-EG"/>
        </w:rPr>
        <w:t>2002).</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وأظهرت القياسات الموقعية في منشآت الطاقة العاملة بحرق الفحم في الصين </w:t>
      </w:r>
      <w:r w:rsidRPr="00335E4B">
        <w:rPr>
          <w:rFonts w:cs="Traditional Arabic" w:hint="cs"/>
          <w:sz w:val="20"/>
          <w:szCs w:val="30"/>
          <w:rtl/>
        </w:rPr>
        <w:t>أ</w:t>
      </w:r>
      <w:r w:rsidRPr="00335E4B">
        <w:rPr>
          <w:rFonts w:cs="Traditional Arabic"/>
          <w:sz w:val="20"/>
          <w:szCs w:val="30"/>
          <w:rtl/>
        </w:rPr>
        <w:t xml:space="preserve">ن معدّل أكسدة الزئبق النقي داخل نظام الاختزال الحفزي الانتقائي كانت في نطاق 34-85 في المائة، وتأثّرت </w:t>
      </w:r>
      <w:r w:rsidRPr="00335E4B">
        <w:rPr>
          <w:rFonts w:cs="Traditional Arabic" w:hint="cs"/>
          <w:sz w:val="20"/>
          <w:szCs w:val="30"/>
          <w:rtl/>
        </w:rPr>
        <w:t>بمحتوى</w:t>
      </w:r>
      <w:r w:rsidRPr="00335E4B">
        <w:rPr>
          <w:rFonts w:cs="Traditional Arabic"/>
          <w:sz w:val="20"/>
          <w:szCs w:val="30"/>
          <w:rtl/>
        </w:rPr>
        <w:t xml:space="preserve"> الزئبق</w:t>
      </w:r>
      <w:r w:rsidRPr="00335E4B">
        <w:rPr>
          <w:rFonts w:cs="Traditional Arabic" w:hint="cs"/>
          <w:sz w:val="20"/>
          <w:szCs w:val="30"/>
          <w:rtl/>
        </w:rPr>
        <w:t xml:space="preserve"> الكلي</w:t>
      </w:r>
      <w:r w:rsidRPr="00335E4B">
        <w:rPr>
          <w:rFonts w:cs="Traditional Arabic"/>
          <w:sz w:val="20"/>
          <w:szCs w:val="30"/>
          <w:rtl/>
        </w:rPr>
        <w:t xml:space="preserve"> </w:t>
      </w:r>
      <w:r w:rsidRPr="00335E4B">
        <w:rPr>
          <w:rFonts w:cs="Traditional Arabic" w:hint="cs"/>
          <w:sz w:val="20"/>
          <w:szCs w:val="30"/>
          <w:rtl/>
        </w:rPr>
        <w:t>و</w:t>
      </w:r>
      <w:r w:rsidRPr="00335E4B">
        <w:rPr>
          <w:rFonts w:cs="Traditional Arabic"/>
          <w:sz w:val="20"/>
          <w:szCs w:val="30"/>
          <w:rtl/>
        </w:rPr>
        <w:t>الكلور في الفحم ومعدل حقن غاز النشادر في نظام الاختزال الحفزي الانتقائي (جانغ وآخرون، 2013)</w:t>
      </w:r>
      <w:r w:rsidRPr="00335E4B">
        <w:rPr>
          <w:rFonts w:cs="Traditional Arabic" w:hint="cs"/>
          <w:sz w:val="20"/>
          <w:szCs w:val="30"/>
          <w:rtl/>
        </w:rPr>
        <w:t>.</w:t>
      </w:r>
    </w:p>
    <w:p w:rsidR="00335E4B" w:rsidRPr="00335E4B" w:rsidRDefault="00335E4B" w:rsidP="00335E4B">
      <w:pPr>
        <w:spacing w:after="120" w:line="360" w:lineRule="exact"/>
        <w:jc w:val="both"/>
        <w:rPr>
          <w:rFonts w:cs="Traditional Arabic"/>
          <w:i/>
          <w:iCs/>
          <w:sz w:val="20"/>
          <w:szCs w:val="30"/>
          <w:rtl/>
          <w:lang w:bidi="ar-EG"/>
        </w:rPr>
      </w:pPr>
      <w:r w:rsidRPr="00335E4B">
        <w:rPr>
          <w:rFonts w:cs="Traditional Arabic"/>
          <w:i/>
          <w:iCs/>
          <w:sz w:val="20"/>
          <w:szCs w:val="30"/>
          <w:rtl/>
          <w:lang w:bidi="ar-EG"/>
        </w:rPr>
        <w:t>آثار أجهزة ضبط أكاسيد النيتروجين الشاملة لعدة أوساط</w:t>
      </w:r>
    </w:p>
    <w:p w:rsidR="00335E4B" w:rsidRPr="00335E4B" w:rsidRDefault="00335E4B" w:rsidP="001254C4">
      <w:pPr>
        <w:spacing w:line="360" w:lineRule="exact"/>
        <w:jc w:val="both"/>
        <w:rPr>
          <w:rFonts w:cs="Traditional Arabic"/>
          <w:sz w:val="20"/>
          <w:szCs w:val="30"/>
          <w:rtl/>
          <w:lang w:bidi="ar-EG"/>
        </w:rPr>
      </w:pPr>
      <w:r w:rsidRPr="00335E4B">
        <w:rPr>
          <w:rFonts w:cs="Traditional Arabic"/>
          <w:sz w:val="20"/>
          <w:szCs w:val="30"/>
          <w:rtl/>
          <w:lang w:bidi="ar-EG"/>
        </w:rPr>
        <w:t xml:space="preserve">مع أكسدة الزئبق باستخدام الاختزال الحفزي الانتقائي ينشأ احتمال لزيادة محتوى الزئبق في الرماد المتطاير والجبس الناجم عن </w:t>
      </w:r>
      <w:r w:rsidRPr="00335E4B">
        <w:rPr>
          <w:rFonts w:cs="Traditional Arabic" w:hint="cs"/>
          <w:sz w:val="20"/>
          <w:szCs w:val="30"/>
          <w:rtl/>
        </w:rPr>
        <w:t>إزالة</w:t>
      </w:r>
      <w:r w:rsidRPr="00335E4B">
        <w:rPr>
          <w:rFonts w:cs="Traditional Arabic"/>
          <w:sz w:val="20"/>
          <w:szCs w:val="30"/>
          <w:rtl/>
          <w:lang w:bidi="ar-EG"/>
        </w:rPr>
        <w:t xml:space="preserve"> الكبريت من غاز المداخن. والحفاز المستخدم في عملية الاختزال قد يكون خطراً بطبيعته. وحفاز عملية الاختزال ينبغي </w:t>
      </w:r>
      <w:r w:rsidRPr="00335E4B">
        <w:rPr>
          <w:rFonts w:cs="Traditional Arabic" w:hint="cs"/>
          <w:sz w:val="20"/>
          <w:szCs w:val="30"/>
          <w:rtl/>
          <w:lang w:bidi="ar-EG"/>
        </w:rPr>
        <w:t xml:space="preserve">إعادة </w:t>
      </w:r>
      <w:r w:rsidRPr="00335E4B">
        <w:rPr>
          <w:rFonts w:cs="Traditional Arabic"/>
          <w:sz w:val="20"/>
          <w:szCs w:val="30"/>
          <w:rtl/>
          <w:lang w:bidi="ar-EG"/>
        </w:rPr>
        <w:t>توليده أو التخلص منه بطريقة سليمة بيئياً.</w:t>
      </w:r>
    </w:p>
    <w:p w:rsidR="00335E4B" w:rsidRPr="00335E4B" w:rsidRDefault="00335E4B" w:rsidP="006F7165">
      <w:pPr>
        <w:spacing w:after="120" w:line="360" w:lineRule="exact"/>
        <w:jc w:val="both"/>
        <w:rPr>
          <w:rFonts w:cs="Traditional Arabic"/>
          <w:sz w:val="20"/>
          <w:szCs w:val="30"/>
          <w:rtl/>
          <w:lang w:bidi="ar-EG"/>
        </w:rPr>
      </w:pPr>
      <w:r w:rsidRPr="00335E4B">
        <w:rPr>
          <w:rFonts w:cs="Traditional Arabic"/>
          <w:i/>
          <w:iCs/>
          <w:sz w:val="20"/>
          <w:szCs w:val="30"/>
          <w:rtl/>
          <w:lang w:bidi="ar-EG"/>
        </w:rPr>
        <w:t xml:space="preserve">آثار أجهزة ضبط أكاسيد النيتروجين الشاملة لعدة </w:t>
      </w:r>
      <w:r w:rsidR="006F7165" w:rsidRPr="006F7165">
        <w:rPr>
          <w:rFonts w:cs="Traditional Arabic"/>
          <w:i/>
          <w:iCs/>
          <w:sz w:val="20"/>
          <w:szCs w:val="30"/>
          <w:rtl/>
          <w:lang w:bidi="ar-EG"/>
        </w:rPr>
        <w:t xml:space="preserve">أوساط </w:t>
      </w:r>
      <w:r w:rsidRPr="00335E4B">
        <w:rPr>
          <w:rFonts w:cs="Traditional Arabic"/>
          <w:i/>
          <w:iCs/>
          <w:sz w:val="20"/>
          <w:szCs w:val="30"/>
          <w:rtl/>
          <w:lang w:bidi="ar-EG"/>
        </w:rPr>
        <w:t>(غير المتصلة بالزئبق)</w:t>
      </w:r>
    </w:p>
    <w:p w:rsidR="00335E4B" w:rsidRPr="00335E4B" w:rsidRDefault="00335E4B" w:rsidP="001254C4">
      <w:pPr>
        <w:spacing w:after="120" w:line="360" w:lineRule="exact"/>
        <w:jc w:val="both"/>
        <w:rPr>
          <w:rFonts w:cs="Traditional Arabic"/>
          <w:sz w:val="20"/>
          <w:szCs w:val="30"/>
          <w:rtl/>
          <w:lang w:bidi="ar-EG"/>
        </w:rPr>
      </w:pPr>
      <w:r w:rsidRPr="00335E4B">
        <w:rPr>
          <w:rFonts w:cs="Traditional Arabic"/>
          <w:sz w:val="20"/>
          <w:szCs w:val="30"/>
          <w:rtl/>
          <w:lang w:bidi="ar-EG"/>
        </w:rPr>
        <w:t>يؤدي تشغيل نظام الاختزال الحفزي الانتقائي عموماً إلى زيادة استهلاك الطاقة وهذه الزيادة تبلغ نمطياً 3 في المائة.</w:t>
      </w:r>
    </w:p>
    <w:p w:rsidR="00335E4B" w:rsidRPr="00335E4B" w:rsidRDefault="00335E4B" w:rsidP="00335E4B">
      <w:pPr>
        <w:keepNext/>
        <w:spacing w:before="120" w:after="120" w:line="400" w:lineRule="exact"/>
        <w:ind w:left="992" w:hanging="992"/>
        <w:jc w:val="both"/>
        <w:outlineLvl w:val="0"/>
        <w:rPr>
          <w:rFonts w:cs="Traditional Arabic"/>
          <w:b/>
          <w:bCs/>
          <w:sz w:val="30"/>
          <w:szCs w:val="30"/>
          <w:rtl/>
        </w:rPr>
      </w:pPr>
      <w:bookmarkStart w:id="601" w:name="_Toc440456842"/>
      <w:bookmarkStart w:id="602" w:name="_Toc440526911"/>
      <w:bookmarkStart w:id="603" w:name="_Toc440527766"/>
      <w:bookmarkStart w:id="604" w:name="_Toc440550467"/>
      <w:bookmarkStart w:id="605" w:name="_Toc441577724"/>
      <w:bookmarkStart w:id="606" w:name="_Toc441577903"/>
      <w:bookmarkStart w:id="607" w:name="_Toc441579129"/>
      <w:bookmarkStart w:id="608" w:name="_Toc441580737"/>
      <w:bookmarkStart w:id="609" w:name="_Toc441585868"/>
      <w:bookmarkStart w:id="610" w:name="_Toc441586204"/>
      <w:bookmarkStart w:id="611" w:name="_Toc441586654"/>
      <w:bookmarkStart w:id="612" w:name="_Toc441586833"/>
      <w:bookmarkStart w:id="613" w:name="_Toc441666682"/>
      <w:bookmarkStart w:id="614" w:name="_Toc441673743"/>
      <w:r w:rsidRPr="00335E4B">
        <w:rPr>
          <w:rFonts w:cs="Traditional Arabic"/>
          <w:b/>
          <w:bCs/>
          <w:sz w:val="30"/>
          <w:szCs w:val="30"/>
          <w:rtl/>
        </w:rPr>
        <w:t xml:space="preserve">تقنيات تعزيز </w:t>
      </w:r>
      <w:r w:rsidRPr="00335E4B">
        <w:rPr>
          <w:rFonts w:cs="Traditional Arabic" w:hint="cs"/>
          <w:b/>
          <w:bCs/>
          <w:sz w:val="30"/>
          <w:szCs w:val="30"/>
          <w:rtl/>
        </w:rPr>
        <w:t>ال</w:t>
      </w:r>
      <w:r w:rsidRPr="00335E4B">
        <w:rPr>
          <w:rFonts w:cs="Traditional Arabic"/>
          <w:b/>
          <w:bCs/>
          <w:sz w:val="30"/>
          <w:szCs w:val="30"/>
          <w:rtl/>
        </w:rPr>
        <w:t xml:space="preserve">منافع </w:t>
      </w:r>
      <w:r w:rsidRPr="00335E4B">
        <w:rPr>
          <w:rFonts w:cs="Traditional Arabic" w:hint="cs"/>
          <w:b/>
          <w:bCs/>
          <w:sz w:val="30"/>
          <w:szCs w:val="30"/>
          <w:rtl/>
        </w:rPr>
        <w:t>ال</w:t>
      </w:r>
      <w:r w:rsidRPr="00335E4B">
        <w:rPr>
          <w:rFonts w:cs="Traditional Arabic"/>
          <w:b/>
          <w:bCs/>
          <w:sz w:val="30"/>
          <w:szCs w:val="30"/>
          <w:rtl/>
        </w:rPr>
        <w:t>مشتركة</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يمكن تحقيق تعزيز </w:t>
      </w:r>
      <w:r w:rsidRPr="00335E4B">
        <w:rPr>
          <w:rFonts w:cs="Traditional Arabic" w:hint="cs"/>
          <w:sz w:val="20"/>
          <w:szCs w:val="30"/>
          <w:rtl/>
          <w:lang w:bidi="ar-EG"/>
        </w:rPr>
        <w:t>ال</w:t>
      </w:r>
      <w:r w:rsidRPr="00335E4B">
        <w:rPr>
          <w:rFonts w:cs="Traditional Arabic"/>
          <w:sz w:val="20"/>
          <w:szCs w:val="30"/>
          <w:rtl/>
          <w:lang w:bidi="ar-EG"/>
        </w:rPr>
        <w:t xml:space="preserve">منافع </w:t>
      </w:r>
      <w:r w:rsidRPr="00335E4B">
        <w:rPr>
          <w:rFonts w:cs="Traditional Arabic" w:hint="cs"/>
          <w:sz w:val="20"/>
          <w:szCs w:val="30"/>
          <w:rtl/>
          <w:lang w:bidi="ar-EG"/>
        </w:rPr>
        <w:t>ال</w:t>
      </w:r>
      <w:r w:rsidRPr="00335E4B">
        <w:rPr>
          <w:rFonts w:cs="Traditional Arabic"/>
          <w:sz w:val="20"/>
          <w:szCs w:val="30"/>
          <w:rtl/>
          <w:lang w:bidi="ar-EG"/>
        </w:rPr>
        <w:t>مشتركة من خلال خلط الفحم أو مضافات الفحم أو بعدد من التقنيات الأخرى التي يرد وصفها أدناه.</w:t>
      </w:r>
    </w:p>
    <w:p w:rsidR="00335E4B" w:rsidRPr="00335E4B" w:rsidRDefault="00335E4B" w:rsidP="00335E4B">
      <w:pPr>
        <w:keepNext/>
        <w:spacing w:before="120" w:after="120" w:line="400" w:lineRule="exact"/>
        <w:ind w:left="992" w:hanging="992"/>
        <w:jc w:val="both"/>
        <w:outlineLvl w:val="0"/>
        <w:rPr>
          <w:rFonts w:cs="Traditional Arabic"/>
          <w:b/>
          <w:bCs/>
          <w:sz w:val="30"/>
          <w:szCs w:val="30"/>
          <w:rtl/>
        </w:rPr>
      </w:pPr>
      <w:bookmarkStart w:id="615" w:name="_Toc440456843"/>
      <w:bookmarkStart w:id="616" w:name="_Toc440526912"/>
      <w:bookmarkStart w:id="617" w:name="_Toc440527767"/>
      <w:bookmarkStart w:id="618" w:name="_Toc440550468"/>
      <w:bookmarkStart w:id="619" w:name="_Toc441577725"/>
      <w:bookmarkStart w:id="620" w:name="_Toc441577904"/>
      <w:bookmarkStart w:id="621" w:name="_Toc441579130"/>
      <w:bookmarkStart w:id="622" w:name="_Toc441580738"/>
      <w:bookmarkStart w:id="623" w:name="_Toc441585869"/>
      <w:bookmarkStart w:id="624" w:name="_Toc441586205"/>
      <w:bookmarkStart w:id="625" w:name="_Toc441586655"/>
      <w:bookmarkStart w:id="626" w:name="_Toc441586834"/>
      <w:bookmarkStart w:id="627" w:name="_Toc441666683"/>
      <w:bookmarkStart w:id="628" w:name="_Toc441673744"/>
      <w:r w:rsidRPr="00335E4B">
        <w:rPr>
          <w:rFonts w:cs="Traditional Arabic"/>
          <w:b/>
          <w:bCs/>
          <w:sz w:val="30"/>
          <w:szCs w:val="30"/>
          <w:rtl/>
        </w:rPr>
        <w:t>خلط الفحم</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rsidR="00335E4B" w:rsidRPr="00335E4B" w:rsidRDefault="00335E4B" w:rsidP="00335E4B">
      <w:pPr>
        <w:tabs>
          <w:tab w:val="left" w:pos="663"/>
          <w:tab w:val="left" w:pos="1117"/>
          <w:tab w:val="left" w:pos="2230"/>
          <w:tab w:val="center" w:pos="5468"/>
        </w:tabs>
        <w:spacing w:after="120" w:line="380" w:lineRule="exact"/>
        <w:jc w:val="both"/>
        <w:rPr>
          <w:rFonts w:cs="Traditional Arabic"/>
          <w:sz w:val="20"/>
          <w:szCs w:val="30"/>
          <w:rtl/>
          <w:lang w:bidi="ar-EG"/>
        </w:rPr>
      </w:pPr>
      <w:r w:rsidRPr="00335E4B">
        <w:rPr>
          <w:rFonts w:cs="Traditional Arabic"/>
          <w:sz w:val="20"/>
          <w:szCs w:val="30"/>
          <w:rtl/>
          <w:lang w:bidi="ar-EG"/>
        </w:rPr>
        <w:t xml:space="preserve">يستعمل خلط الفحم (أو </w:t>
      </w:r>
      <w:r w:rsidRPr="00335E4B">
        <w:rPr>
          <w:rFonts w:cs="Traditional Arabic" w:hint="cs"/>
          <w:sz w:val="20"/>
          <w:szCs w:val="30"/>
          <w:rtl/>
          <w:lang w:bidi="ar-EG"/>
        </w:rPr>
        <w:t>تبديله</w:t>
      </w:r>
      <w:r w:rsidRPr="00335E4B">
        <w:rPr>
          <w:rFonts w:cs="Traditional Arabic"/>
          <w:sz w:val="20"/>
          <w:szCs w:val="30"/>
          <w:rtl/>
          <w:lang w:bidi="ar-EG"/>
        </w:rPr>
        <w:t xml:space="preserve">) في منشآت الطاقة في إطار استراتيجية </w:t>
      </w:r>
      <w:r w:rsidRPr="00335E4B">
        <w:rPr>
          <w:rFonts w:cs="Traditional Arabic" w:hint="cs"/>
          <w:sz w:val="20"/>
          <w:szCs w:val="30"/>
          <w:rtl/>
          <w:lang w:bidi="ar-EG"/>
        </w:rPr>
        <w:t>تهدف إلى تلبية ح</w:t>
      </w:r>
      <w:r w:rsidRPr="00335E4B">
        <w:rPr>
          <w:rFonts w:cs="Traditional Arabic"/>
          <w:sz w:val="20"/>
          <w:szCs w:val="30"/>
          <w:rtl/>
          <w:lang w:bidi="ar-EG"/>
        </w:rPr>
        <w:t>دود انبعاثات ثاني أكسيد الكبريت</w:t>
      </w:r>
      <w:r w:rsidRPr="00335E4B">
        <w:rPr>
          <w:rFonts w:cs="Traditional Arabic" w:hint="cs"/>
          <w:sz w:val="20"/>
          <w:szCs w:val="30"/>
          <w:rtl/>
          <w:lang w:bidi="ar-EG"/>
        </w:rPr>
        <w:t xml:space="preserve"> </w:t>
      </w:r>
      <w:r w:rsidRPr="001254C4">
        <w:rPr>
          <w:rFonts w:asciiTheme="majorBidi" w:hAnsiTheme="majorBidi" w:cstheme="majorBidi"/>
          <w:sz w:val="20"/>
          <w:szCs w:val="20"/>
          <w:rtl/>
          <w:lang w:bidi="ar-EG"/>
        </w:rPr>
        <w:t>(</w:t>
      </w:r>
      <w:r w:rsidRPr="001254C4">
        <w:rPr>
          <w:rFonts w:asciiTheme="majorBidi" w:hAnsiTheme="majorBidi" w:cstheme="majorBidi"/>
          <w:sz w:val="20"/>
          <w:szCs w:val="20"/>
          <w:lang w:bidi="ar-EG"/>
        </w:rPr>
        <w:t>SO</w:t>
      </w:r>
      <w:r w:rsidRPr="001254C4">
        <w:rPr>
          <w:rFonts w:asciiTheme="majorBidi" w:hAnsiTheme="majorBidi" w:cstheme="majorBidi"/>
          <w:sz w:val="20"/>
          <w:szCs w:val="20"/>
          <w:vertAlign w:val="subscript"/>
          <w:lang w:bidi="ar-EG"/>
        </w:rPr>
        <w:t>2</w:t>
      </w:r>
      <w:r w:rsidRPr="001254C4">
        <w:rPr>
          <w:rFonts w:asciiTheme="majorBidi" w:hAnsiTheme="majorBidi" w:cstheme="majorBidi"/>
          <w:sz w:val="20"/>
          <w:szCs w:val="20"/>
          <w:rtl/>
          <w:lang w:bidi="ar-EG"/>
        </w:rPr>
        <w:t>)</w:t>
      </w:r>
      <w:r w:rsidRPr="00335E4B">
        <w:rPr>
          <w:rFonts w:cs="Traditional Arabic"/>
          <w:sz w:val="20"/>
          <w:szCs w:val="30"/>
          <w:rtl/>
          <w:lang w:bidi="ar-EG"/>
        </w:rPr>
        <w:t xml:space="preserve"> بطريقة تحقق منافع مشتركة</w:t>
      </w:r>
      <w:r w:rsidRPr="00335E4B">
        <w:rPr>
          <w:rFonts w:cs="Traditional Arabic" w:hint="cs"/>
          <w:sz w:val="20"/>
          <w:szCs w:val="30"/>
          <w:rtl/>
          <w:lang w:bidi="ar-EG"/>
        </w:rPr>
        <w:t>،</w:t>
      </w:r>
      <w:r w:rsidRPr="00335E4B">
        <w:rPr>
          <w:rFonts w:cs="Traditional Arabic"/>
          <w:sz w:val="20"/>
          <w:szCs w:val="30"/>
          <w:rtl/>
          <w:lang w:bidi="ar-EG"/>
        </w:rPr>
        <w:t xml:space="preserve"> شريطة أن يكون خلط الفحم متوافقاً مع تصميم منشأة الطاقة. ونمطياً، يتم خلط أنواع الفحم القيري المرتفعة الكبريت بأنواع فحم دون قيري منخفضة الكبريت لتخفيض انبعاثات ثاني أكسيد الكبريت. ومن الآثار الجانبية غير المرغوبة لهذه الاستراتيجية </w:t>
      </w:r>
      <w:r w:rsidRPr="00335E4B">
        <w:rPr>
          <w:rFonts w:cs="Traditional Arabic" w:hint="cs"/>
          <w:sz w:val="20"/>
          <w:szCs w:val="30"/>
          <w:rtl/>
          <w:lang w:bidi="ar-EG"/>
        </w:rPr>
        <w:t>الرامية إلى</w:t>
      </w:r>
      <w:r w:rsidRPr="00335E4B">
        <w:rPr>
          <w:rFonts w:cs="Traditional Arabic"/>
          <w:sz w:val="20"/>
          <w:szCs w:val="30"/>
          <w:rtl/>
          <w:lang w:bidi="ar-EG"/>
        </w:rPr>
        <w:t xml:space="preserve"> ضبط انبعاثات ثاني أكسيد الكبريت أن تنوع</w:t>
      </w:r>
      <w:r w:rsidRPr="00335E4B">
        <w:rPr>
          <w:rFonts w:cs="Traditional Arabic" w:hint="cs"/>
          <w:sz w:val="20"/>
          <w:szCs w:val="30"/>
          <w:rtl/>
          <w:lang w:bidi="ar-EG"/>
        </w:rPr>
        <w:t>ات</w:t>
      </w:r>
      <w:r w:rsidRPr="00335E4B">
        <w:rPr>
          <w:rFonts w:cs="Traditional Arabic"/>
          <w:sz w:val="20"/>
          <w:szCs w:val="30"/>
          <w:rtl/>
          <w:lang w:bidi="ar-EG"/>
        </w:rPr>
        <w:t xml:space="preserve"> الزئبق قد </w:t>
      </w:r>
      <w:r w:rsidRPr="00335E4B">
        <w:rPr>
          <w:rFonts w:cs="Traditional Arabic" w:hint="cs"/>
          <w:sz w:val="20"/>
          <w:szCs w:val="30"/>
          <w:rtl/>
          <w:lang w:bidi="ar-EG"/>
        </w:rPr>
        <w:t>ت</w:t>
      </w:r>
      <w:r w:rsidRPr="00335E4B">
        <w:rPr>
          <w:rFonts w:cs="Traditional Arabic"/>
          <w:sz w:val="20"/>
          <w:szCs w:val="30"/>
          <w:rtl/>
          <w:lang w:bidi="ar-EG"/>
        </w:rPr>
        <w:t xml:space="preserve">تغيَّر وبذلك تقل كمية الزئبق المؤكسد وتزيد كمية الزئبق النقي، وهو ما يضر بالتقاط الزئبق في </w:t>
      </w:r>
      <w:r w:rsidRPr="00335E4B">
        <w:rPr>
          <w:rFonts w:cs="Traditional Arabic" w:hint="cs"/>
          <w:sz w:val="20"/>
          <w:szCs w:val="30"/>
          <w:rtl/>
          <w:lang w:bidi="ar-EG"/>
        </w:rPr>
        <w:t>نُظم</w:t>
      </w:r>
      <w:r w:rsidRPr="00335E4B">
        <w:rPr>
          <w:rFonts w:cs="Traditional Arabic"/>
          <w:sz w:val="20"/>
          <w:szCs w:val="30"/>
          <w:rtl/>
          <w:lang w:bidi="ar-EG"/>
        </w:rPr>
        <w:t xml:space="preserve"> </w:t>
      </w:r>
      <w:r w:rsidRPr="00335E4B">
        <w:rPr>
          <w:rFonts w:cs="Traditional Arabic" w:hint="cs"/>
          <w:sz w:val="20"/>
          <w:szCs w:val="30"/>
          <w:rtl/>
          <w:lang w:bidi="ar-EG"/>
        </w:rPr>
        <w:t>إزالة</w:t>
      </w:r>
      <w:r w:rsidRPr="00335E4B">
        <w:rPr>
          <w:rFonts w:cs="Traditional Arabic"/>
          <w:sz w:val="20"/>
          <w:szCs w:val="30"/>
          <w:rtl/>
          <w:lang w:bidi="ar-EG"/>
        </w:rPr>
        <w:t xml:space="preserve"> الكبريت من غاز المدخنة </w:t>
      </w:r>
      <w:r w:rsidRPr="00335E4B">
        <w:rPr>
          <w:rFonts w:cs="Traditional Arabic" w:hint="cs"/>
          <w:sz w:val="20"/>
          <w:szCs w:val="30"/>
          <w:rtl/>
          <w:lang w:bidi="ar-EG"/>
        </w:rPr>
        <w:t>الواقعة في المرحلة التالية</w:t>
      </w:r>
      <w:r w:rsidRPr="00335E4B">
        <w:rPr>
          <w:rFonts w:cs="Traditional Arabic"/>
          <w:sz w:val="20"/>
          <w:szCs w:val="30"/>
          <w:rtl/>
          <w:lang w:bidi="ar-EG"/>
        </w:rPr>
        <w:t xml:space="preserve">. ولكن خلط </w:t>
      </w:r>
      <w:r w:rsidRPr="00335E4B">
        <w:rPr>
          <w:rFonts w:cs="Traditional Arabic" w:hint="cs"/>
          <w:sz w:val="20"/>
          <w:szCs w:val="30"/>
          <w:rtl/>
          <w:lang w:bidi="ar-EG"/>
        </w:rPr>
        <w:t>الفحم</w:t>
      </w:r>
      <w:r w:rsidRPr="00335E4B">
        <w:rPr>
          <w:rFonts w:cs="Traditional Arabic"/>
          <w:sz w:val="20"/>
          <w:szCs w:val="30"/>
          <w:rtl/>
          <w:lang w:bidi="ar-EG"/>
        </w:rPr>
        <w:t xml:space="preserve"> قد يستخدم </w:t>
      </w:r>
      <w:r w:rsidRPr="00335E4B">
        <w:rPr>
          <w:rFonts w:cs="Traditional Arabic" w:hint="cs"/>
          <w:sz w:val="20"/>
          <w:szCs w:val="30"/>
          <w:rtl/>
          <w:lang w:bidi="ar-EG"/>
        </w:rPr>
        <w:t xml:space="preserve">أيضاً </w:t>
      </w:r>
      <w:r w:rsidRPr="00335E4B">
        <w:rPr>
          <w:rFonts w:cs="Traditional Arabic"/>
          <w:sz w:val="20"/>
          <w:szCs w:val="30"/>
          <w:rtl/>
          <w:lang w:bidi="ar-EG"/>
        </w:rPr>
        <w:t xml:space="preserve">لزيادة كمية الزئبق المؤكسد في غاز المدخنة. </w:t>
      </w:r>
      <w:r w:rsidRPr="00335E4B">
        <w:rPr>
          <w:rFonts w:cs="Traditional Arabic" w:hint="cs"/>
          <w:sz w:val="20"/>
          <w:szCs w:val="30"/>
          <w:rtl/>
          <w:lang w:bidi="ar-EG"/>
        </w:rPr>
        <w:t>وب</w:t>
      </w:r>
      <w:r w:rsidRPr="00335E4B">
        <w:rPr>
          <w:rFonts w:cs="Traditional Arabic"/>
          <w:sz w:val="20"/>
          <w:szCs w:val="30"/>
          <w:rtl/>
          <w:lang w:bidi="ar-EG"/>
        </w:rPr>
        <w:t>الإضافة إلى المحتوى من الزئبق</w:t>
      </w:r>
      <w:r w:rsidRPr="00335E4B">
        <w:rPr>
          <w:rFonts w:cs="Traditional Arabic" w:hint="cs"/>
          <w:sz w:val="20"/>
          <w:szCs w:val="30"/>
          <w:rtl/>
          <w:lang w:bidi="ar-EG"/>
        </w:rPr>
        <w:t>،</w:t>
      </w:r>
      <w:r w:rsidRPr="00335E4B">
        <w:rPr>
          <w:rFonts w:cs="Traditional Arabic"/>
          <w:sz w:val="20"/>
          <w:szCs w:val="30"/>
          <w:rtl/>
          <w:lang w:bidi="ar-EG"/>
        </w:rPr>
        <w:t xml:space="preserve"> </w:t>
      </w:r>
      <w:r w:rsidRPr="00335E4B">
        <w:rPr>
          <w:rFonts w:cs="Traditional Arabic" w:hint="cs"/>
          <w:sz w:val="20"/>
          <w:szCs w:val="30"/>
          <w:rtl/>
          <w:lang w:bidi="ar-EG"/>
        </w:rPr>
        <w:t>فإن</w:t>
      </w:r>
      <w:r w:rsidRPr="00335E4B">
        <w:rPr>
          <w:rFonts w:cs="Traditional Arabic"/>
          <w:sz w:val="20"/>
          <w:szCs w:val="30"/>
          <w:rtl/>
          <w:lang w:bidi="ar-EG"/>
        </w:rPr>
        <w:t xml:space="preserve"> بعض خصائص الفحم، مثل المحتوى من الكلور والبروم أو </w:t>
      </w:r>
      <w:r w:rsidRPr="00335E4B">
        <w:rPr>
          <w:rFonts w:cs="Traditional Arabic" w:hint="cs"/>
          <w:sz w:val="20"/>
          <w:szCs w:val="30"/>
          <w:rtl/>
          <w:lang w:bidi="ar-EG"/>
        </w:rPr>
        <w:t xml:space="preserve">المحتوى </w:t>
      </w:r>
      <w:r w:rsidRPr="00335E4B">
        <w:rPr>
          <w:rFonts w:cs="Traditional Arabic"/>
          <w:sz w:val="20"/>
          <w:szCs w:val="30"/>
          <w:rtl/>
          <w:lang w:bidi="ar-EG"/>
        </w:rPr>
        <w:t xml:space="preserve">القلوي، </w:t>
      </w:r>
      <w:r w:rsidRPr="00335E4B">
        <w:rPr>
          <w:rFonts w:cs="Traditional Arabic" w:hint="cs"/>
          <w:sz w:val="20"/>
          <w:szCs w:val="30"/>
          <w:rtl/>
          <w:lang w:bidi="ar-EG"/>
        </w:rPr>
        <w:t>تتسم بال</w:t>
      </w:r>
      <w:r w:rsidRPr="00335E4B">
        <w:rPr>
          <w:rFonts w:cs="Traditional Arabic"/>
          <w:sz w:val="20"/>
          <w:szCs w:val="30"/>
          <w:rtl/>
          <w:lang w:bidi="ar-EG"/>
        </w:rPr>
        <w:t xml:space="preserve">أهمية </w:t>
      </w:r>
      <w:r w:rsidRPr="00335E4B">
        <w:rPr>
          <w:rFonts w:cs="Traditional Arabic" w:hint="cs"/>
          <w:sz w:val="20"/>
          <w:szCs w:val="30"/>
          <w:rtl/>
          <w:lang w:bidi="ar-EG"/>
        </w:rPr>
        <w:t xml:space="preserve">من ناحية </w:t>
      </w:r>
      <w:r w:rsidRPr="00335E4B">
        <w:rPr>
          <w:rFonts w:cs="Traditional Arabic"/>
          <w:sz w:val="20"/>
          <w:szCs w:val="30"/>
          <w:rtl/>
          <w:lang w:bidi="ar-EG"/>
        </w:rPr>
        <w:t xml:space="preserve">إزالة الزئبق وينبغي أن تكون معروفة. والفحم القيري ينتج نمطياً جزءاً أكبر من الزئبق المؤكسد في غاز المدخنة عما ينتجه الفحم دون القيري. ونظراً لأن الزئبق المؤكسد قابل للذوبان في الماء فإنه أكثر سهولة </w:t>
      </w:r>
      <w:r w:rsidRPr="00335E4B">
        <w:rPr>
          <w:rFonts w:cs="Traditional Arabic" w:hint="cs"/>
          <w:sz w:val="20"/>
          <w:szCs w:val="30"/>
          <w:rtl/>
          <w:lang w:bidi="ar-EG"/>
        </w:rPr>
        <w:t>ل</w:t>
      </w:r>
      <w:r w:rsidRPr="00335E4B">
        <w:rPr>
          <w:rFonts w:cs="Traditional Arabic"/>
          <w:sz w:val="20"/>
          <w:szCs w:val="30"/>
          <w:rtl/>
          <w:lang w:bidi="ar-EG"/>
        </w:rPr>
        <w:t xml:space="preserve">لالتقاط في نُظم </w:t>
      </w:r>
      <w:r w:rsidRPr="00335E4B">
        <w:rPr>
          <w:rFonts w:cs="Traditional Arabic" w:hint="cs"/>
          <w:sz w:val="20"/>
          <w:szCs w:val="30"/>
          <w:rtl/>
          <w:lang w:bidi="ar-EG"/>
        </w:rPr>
        <w:t>التنظيف الرطب لإزالة</w:t>
      </w:r>
      <w:r w:rsidRPr="00335E4B">
        <w:rPr>
          <w:rFonts w:cs="Traditional Arabic"/>
          <w:sz w:val="20"/>
          <w:szCs w:val="30"/>
          <w:rtl/>
          <w:lang w:bidi="ar-EG"/>
        </w:rPr>
        <w:t xml:space="preserve"> </w:t>
      </w:r>
      <w:r w:rsidRPr="00335E4B">
        <w:rPr>
          <w:rFonts w:cs="Traditional Arabic" w:hint="cs"/>
          <w:sz w:val="20"/>
          <w:szCs w:val="30"/>
          <w:rtl/>
          <w:lang w:bidi="ar-EG"/>
        </w:rPr>
        <w:t>ا</w:t>
      </w:r>
      <w:r w:rsidRPr="00335E4B">
        <w:rPr>
          <w:rFonts w:cs="Traditional Arabic"/>
          <w:sz w:val="20"/>
          <w:szCs w:val="30"/>
          <w:rtl/>
          <w:lang w:bidi="ar-EG"/>
        </w:rPr>
        <w:t xml:space="preserve">لكبريت من غاز المدخنة. وبالتالي فإن كفاءة التقاط الزئبق في نُظم </w:t>
      </w:r>
      <w:r w:rsidRPr="00335E4B">
        <w:rPr>
          <w:rFonts w:cs="Traditional Arabic" w:hint="cs"/>
          <w:sz w:val="20"/>
          <w:szCs w:val="30"/>
          <w:rtl/>
          <w:lang w:bidi="ar-EG"/>
        </w:rPr>
        <w:t>التنظيف الرطب لإزالة</w:t>
      </w:r>
      <w:r w:rsidRPr="00335E4B">
        <w:rPr>
          <w:rFonts w:cs="Traditional Arabic"/>
          <w:sz w:val="20"/>
          <w:szCs w:val="30"/>
          <w:rtl/>
          <w:lang w:bidi="ar-EG"/>
        </w:rPr>
        <w:t xml:space="preserve"> </w:t>
      </w:r>
      <w:r w:rsidRPr="00335E4B">
        <w:rPr>
          <w:rFonts w:cs="Traditional Arabic" w:hint="cs"/>
          <w:sz w:val="20"/>
          <w:szCs w:val="30"/>
          <w:rtl/>
          <w:lang w:bidi="ar-EG"/>
        </w:rPr>
        <w:t>ا</w:t>
      </w:r>
      <w:r w:rsidRPr="00335E4B">
        <w:rPr>
          <w:rFonts w:cs="Traditional Arabic"/>
          <w:sz w:val="20"/>
          <w:szCs w:val="30"/>
          <w:rtl/>
          <w:lang w:bidi="ar-EG"/>
        </w:rPr>
        <w:t xml:space="preserve">لكبريت من غاز المدخنة تتوقف إلى حد كبير على جزء الزئبق المؤكسد في مدخل نظام </w:t>
      </w:r>
      <w:r w:rsidRPr="00335E4B">
        <w:rPr>
          <w:rFonts w:cs="Traditional Arabic" w:hint="cs"/>
          <w:sz w:val="20"/>
          <w:szCs w:val="30"/>
          <w:rtl/>
          <w:lang w:bidi="ar-EG"/>
        </w:rPr>
        <w:t>التنظيف الرطب</w:t>
      </w:r>
      <w:r w:rsidRPr="00335E4B">
        <w:rPr>
          <w:rFonts w:cs="Traditional Arabic"/>
          <w:sz w:val="20"/>
          <w:szCs w:val="30"/>
          <w:rtl/>
          <w:lang w:bidi="ar-EG"/>
        </w:rPr>
        <w:t xml:space="preserve"> (ميلار وآخرون، 2006). </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ويناقش أدناه مثال لخلط الفحم </w:t>
      </w:r>
      <w:r w:rsidRPr="00335E4B">
        <w:rPr>
          <w:rFonts w:cs="Traditional Arabic" w:hint="cs"/>
          <w:sz w:val="20"/>
          <w:szCs w:val="30"/>
          <w:rtl/>
          <w:lang w:bidi="ar-EG"/>
        </w:rPr>
        <w:t>المستخدم</w:t>
      </w:r>
      <w:r w:rsidRPr="00335E4B">
        <w:rPr>
          <w:rFonts w:cs="Traditional Arabic"/>
          <w:sz w:val="20"/>
          <w:szCs w:val="30"/>
          <w:rtl/>
          <w:lang w:bidi="ar-EG"/>
        </w:rPr>
        <w:t xml:space="preserve"> لتحسين إزالة الزئبق </w:t>
      </w:r>
      <w:r w:rsidRPr="00335E4B">
        <w:rPr>
          <w:rFonts w:cs="Traditional Arabic" w:hint="cs"/>
          <w:sz w:val="20"/>
          <w:szCs w:val="30"/>
          <w:rtl/>
          <w:lang w:bidi="ar-EG"/>
        </w:rPr>
        <w:t>في</w:t>
      </w:r>
      <w:r w:rsidRPr="00335E4B">
        <w:rPr>
          <w:rFonts w:cs="Traditional Arabic"/>
          <w:sz w:val="20"/>
          <w:szCs w:val="30"/>
          <w:rtl/>
          <w:lang w:bidi="ar-EG"/>
        </w:rPr>
        <w:t xml:space="preserve"> معدات ضبط تلوث الهواء</w:t>
      </w:r>
      <w:r w:rsidRPr="00335E4B">
        <w:rPr>
          <w:rFonts w:cs="Traditional Arabic" w:hint="cs"/>
          <w:sz w:val="20"/>
          <w:szCs w:val="30"/>
          <w:rtl/>
          <w:lang w:bidi="ar-EG"/>
        </w:rPr>
        <w:t xml:space="preserve"> الواقعة في المرحلة التالية</w:t>
      </w:r>
      <w:r w:rsidRPr="00335E4B">
        <w:rPr>
          <w:rFonts w:cs="Traditional Arabic"/>
          <w:sz w:val="20"/>
          <w:szCs w:val="30"/>
          <w:rtl/>
          <w:lang w:bidi="ar-EG"/>
        </w:rPr>
        <w:t xml:space="preserve">. </w:t>
      </w:r>
      <w:r w:rsidRPr="00335E4B">
        <w:rPr>
          <w:rFonts w:cs="Traditional Arabic" w:hint="cs"/>
          <w:sz w:val="20"/>
          <w:szCs w:val="30"/>
          <w:rtl/>
          <w:lang w:bidi="ar-EG"/>
        </w:rPr>
        <w:t>و</w:t>
      </w:r>
      <w:r w:rsidRPr="00335E4B">
        <w:rPr>
          <w:rFonts w:cs="Traditional Arabic"/>
          <w:sz w:val="20"/>
          <w:szCs w:val="30"/>
          <w:rtl/>
          <w:lang w:bidi="ar-EG"/>
        </w:rPr>
        <w:t>يوضح الجدول (برنامج الأمم المتحدة للبيئة، 2010) بيانات بشأن خصائص الفحم دون القيري النمطي (من ولاية وي</w:t>
      </w:r>
      <w:r w:rsidRPr="00335E4B">
        <w:rPr>
          <w:rFonts w:cs="Traditional Arabic" w:hint="cs"/>
          <w:sz w:val="20"/>
          <w:szCs w:val="30"/>
          <w:rtl/>
          <w:lang w:bidi="ar-EG"/>
        </w:rPr>
        <w:t>و</w:t>
      </w:r>
      <w:r w:rsidRPr="00335E4B">
        <w:rPr>
          <w:rFonts w:cs="Traditional Arabic"/>
          <w:sz w:val="20"/>
          <w:szCs w:val="30"/>
          <w:rtl/>
          <w:lang w:bidi="ar-EG"/>
        </w:rPr>
        <w:t>منغ، الولايات المتحدة) والفحم القيري (من ولاية إيلينوي، الولايات المتحدة). وينبغي أن يلاحظ أن الخصائص التي يتضمنها الجدول 5 ترد لأغراض التوضيح فقط وستتباين حسب مصدر الفحم.</w:t>
      </w:r>
    </w:p>
    <w:p w:rsidR="00335E4B" w:rsidRPr="00335E4B" w:rsidRDefault="00335E4B" w:rsidP="00335E4B">
      <w:pPr>
        <w:keepNext/>
        <w:spacing w:before="120" w:after="120" w:line="360" w:lineRule="exact"/>
        <w:jc w:val="both"/>
        <w:outlineLvl w:val="0"/>
        <w:rPr>
          <w:rFonts w:cs="Traditional Arabic"/>
          <w:b/>
          <w:bCs/>
          <w:sz w:val="20"/>
          <w:szCs w:val="30"/>
          <w:rtl/>
          <w:lang w:bidi="ar-EG"/>
        </w:rPr>
      </w:pPr>
      <w:bookmarkStart w:id="629" w:name="_Toc440527768"/>
      <w:bookmarkStart w:id="630" w:name="_Toc440550469"/>
      <w:bookmarkStart w:id="631" w:name="_Toc441577726"/>
      <w:bookmarkStart w:id="632" w:name="_Toc441577905"/>
      <w:bookmarkStart w:id="633" w:name="_Toc441579131"/>
      <w:bookmarkStart w:id="634" w:name="_Toc441580739"/>
      <w:bookmarkStart w:id="635" w:name="_Toc441585870"/>
      <w:bookmarkStart w:id="636" w:name="_Toc441586206"/>
      <w:bookmarkStart w:id="637" w:name="_Toc441586656"/>
      <w:bookmarkStart w:id="638" w:name="_Toc441586835"/>
      <w:bookmarkStart w:id="639" w:name="_Toc441666684"/>
      <w:bookmarkStart w:id="640" w:name="_Toc441673745"/>
      <w:r w:rsidRPr="00335E4B">
        <w:rPr>
          <w:rFonts w:cs="Traditional Arabic"/>
          <w:b/>
          <w:bCs/>
          <w:sz w:val="20"/>
          <w:szCs w:val="30"/>
          <w:rtl/>
          <w:lang w:bidi="ar-EG"/>
        </w:rPr>
        <w:t>الجدول 5 - مقارنة خصائص الفحم دون القيري والفحم القيري</w:t>
      </w:r>
      <w:bookmarkEnd w:id="629"/>
      <w:bookmarkEnd w:id="630"/>
      <w:bookmarkEnd w:id="631"/>
      <w:bookmarkEnd w:id="632"/>
      <w:bookmarkEnd w:id="633"/>
      <w:bookmarkEnd w:id="634"/>
      <w:bookmarkEnd w:id="635"/>
      <w:bookmarkEnd w:id="636"/>
      <w:bookmarkEnd w:id="637"/>
      <w:bookmarkEnd w:id="638"/>
      <w:bookmarkEnd w:id="639"/>
      <w:bookmarkEnd w:id="640"/>
    </w:p>
    <w:tbl>
      <w:tblPr>
        <w:bidiVisual/>
        <w:tblW w:w="5000" w:type="pct"/>
        <w:tblBorders>
          <w:top w:val="single" w:sz="12" w:space="0" w:color="auto"/>
          <w:bottom w:val="single" w:sz="12" w:space="0" w:color="auto"/>
        </w:tblBorders>
        <w:tblCellMar>
          <w:top w:w="28" w:type="dxa"/>
          <w:left w:w="85" w:type="dxa"/>
          <w:right w:w="85" w:type="dxa"/>
        </w:tblCellMar>
        <w:tblLook w:val="00A0" w:firstRow="1" w:lastRow="0" w:firstColumn="1" w:lastColumn="0" w:noHBand="0" w:noVBand="0"/>
      </w:tblPr>
      <w:tblGrid>
        <w:gridCol w:w="3149"/>
        <w:gridCol w:w="3149"/>
        <w:gridCol w:w="3368"/>
      </w:tblGrid>
      <w:tr w:rsidR="00335E4B" w:rsidRPr="00335E4B" w:rsidTr="00D002D1">
        <w:tc>
          <w:tcPr>
            <w:tcW w:w="1629" w:type="pct"/>
            <w:tcBorders>
              <w:top w:val="single" w:sz="4" w:space="0" w:color="auto"/>
              <w:bottom w:val="single" w:sz="4" w:space="0" w:color="auto"/>
            </w:tcBorders>
            <w:vAlign w:val="center"/>
          </w:tcPr>
          <w:p w:rsidR="00335E4B" w:rsidRPr="00335E4B" w:rsidRDefault="00335E4B" w:rsidP="00335E4B">
            <w:pPr>
              <w:spacing w:line="280" w:lineRule="exact"/>
              <w:jc w:val="both"/>
              <w:rPr>
                <w:rFonts w:eastAsia="SimSun" w:cs="Traditional Arabic"/>
                <w:b/>
                <w:bCs/>
                <w:sz w:val="18"/>
                <w:szCs w:val="26"/>
              </w:rPr>
            </w:pPr>
            <w:r w:rsidRPr="00335E4B">
              <w:rPr>
                <w:rFonts w:cs="Traditional Arabic"/>
                <w:b/>
                <w:bCs/>
                <w:sz w:val="18"/>
                <w:szCs w:val="26"/>
                <w:rtl/>
              </w:rPr>
              <w:t>المحتوى</w:t>
            </w:r>
          </w:p>
        </w:tc>
        <w:tc>
          <w:tcPr>
            <w:tcW w:w="1629" w:type="pct"/>
            <w:tcBorders>
              <w:top w:val="single" w:sz="4" w:space="0" w:color="auto"/>
              <w:bottom w:val="single" w:sz="4" w:space="0" w:color="auto"/>
            </w:tcBorders>
            <w:vAlign w:val="center"/>
          </w:tcPr>
          <w:p w:rsidR="00335E4B" w:rsidRPr="00335E4B" w:rsidRDefault="00335E4B" w:rsidP="00335E4B">
            <w:pPr>
              <w:spacing w:line="280" w:lineRule="exact"/>
              <w:jc w:val="both"/>
              <w:rPr>
                <w:rFonts w:cs="Traditional Arabic"/>
                <w:b/>
                <w:bCs/>
                <w:sz w:val="18"/>
                <w:szCs w:val="26"/>
                <w:rtl/>
              </w:rPr>
            </w:pPr>
            <w:r w:rsidRPr="00335E4B">
              <w:rPr>
                <w:rFonts w:cs="Traditional Arabic"/>
                <w:b/>
                <w:bCs/>
                <w:sz w:val="18"/>
                <w:szCs w:val="26"/>
                <w:rtl/>
              </w:rPr>
              <w:t>الفحم دون القيري</w:t>
            </w:r>
          </w:p>
          <w:p w:rsidR="00335E4B" w:rsidRPr="00335E4B" w:rsidRDefault="00335E4B" w:rsidP="00335E4B">
            <w:pPr>
              <w:spacing w:line="280" w:lineRule="exact"/>
              <w:jc w:val="both"/>
              <w:rPr>
                <w:rFonts w:eastAsia="SimSun" w:cs="Traditional Arabic"/>
                <w:b/>
                <w:bCs/>
                <w:sz w:val="18"/>
                <w:szCs w:val="26"/>
              </w:rPr>
            </w:pPr>
            <w:r w:rsidRPr="00335E4B">
              <w:rPr>
                <w:rFonts w:cs="Traditional Arabic"/>
                <w:b/>
                <w:bCs/>
                <w:sz w:val="18"/>
                <w:szCs w:val="26"/>
                <w:rtl/>
              </w:rPr>
              <w:t>النسبة المئوية من الوزن</w:t>
            </w:r>
          </w:p>
        </w:tc>
        <w:tc>
          <w:tcPr>
            <w:tcW w:w="1742" w:type="pct"/>
            <w:tcBorders>
              <w:top w:val="single" w:sz="4" w:space="0" w:color="auto"/>
              <w:bottom w:val="single" w:sz="4" w:space="0" w:color="auto"/>
            </w:tcBorders>
            <w:vAlign w:val="center"/>
          </w:tcPr>
          <w:p w:rsidR="00335E4B" w:rsidRPr="00335E4B" w:rsidRDefault="00335E4B" w:rsidP="00335E4B">
            <w:pPr>
              <w:spacing w:line="280" w:lineRule="exact"/>
              <w:jc w:val="both"/>
              <w:rPr>
                <w:rFonts w:cs="Traditional Arabic"/>
                <w:b/>
                <w:bCs/>
                <w:sz w:val="18"/>
                <w:szCs w:val="26"/>
                <w:rtl/>
              </w:rPr>
            </w:pPr>
            <w:r w:rsidRPr="00335E4B">
              <w:rPr>
                <w:rFonts w:cs="Traditional Arabic"/>
                <w:b/>
                <w:bCs/>
                <w:sz w:val="18"/>
                <w:szCs w:val="26"/>
                <w:rtl/>
              </w:rPr>
              <w:t xml:space="preserve">الفحم القيري </w:t>
            </w:r>
          </w:p>
          <w:p w:rsidR="00335E4B" w:rsidRPr="00335E4B" w:rsidRDefault="00335E4B" w:rsidP="00335E4B">
            <w:pPr>
              <w:spacing w:line="280" w:lineRule="exact"/>
              <w:jc w:val="both"/>
              <w:rPr>
                <w:rFonts w:eastAsia="SimSun" w:cs="Traditional Arabic"/>
                <w:b/>
                <w:bCs/>
                <w:sz w:val="18"/>
                <w:szCs w:val="26"/>
              </w:rPr>
            </w:pPr>
            <w:r w:rsidRPr="00335E4B">
              <w:rPr>
                <w:rFonts w:cs="Traditional Arabic"/>
                <w:b/>
                <w:bCs/>
                <w:sz w:val="18"/>
                <w:szCs w:val="26"/>
                <w:rtl/>
              </w:rPr>
              <w:t>النسبة المئوية من الوزن</w:t>
            </w:r>
          </w:p>
        </w:tc>
      </w:tr>
      <w:tr w:rsidR="00335E4B" w:rsidRPr="00335E4B" w:rsidTr="00D002D1">
        <w:tc>
          <w:tcPr>
            <w:tcW w:w="1629" w:type="pct"/>
            <w:tcBorders>
              <w:top w:val="single" w:sz="4" w:space="0" w:color="auto"/>
            </w:tcBorders>
            <w:vAlign w:val="center"/>
          </w:tcPr>
          <w:p w:rsidR="00335E4B" w:rsidRPr="00335E4B" w:rsidRDefault="00335E4B" w:rsidP="00335E4B">
            <w:pPr>
              <w:spacing w:line="280" w:lineRule="exact"/>
              <w:jc w:val="both"/>
              <w:rPr>
                <w:rFonts w:eastAsia="SimSun" w:cs="Traditional Arabic"/>
                <w:sz w:val="18"/>
                <w:szCs w:val="26"/>
              </w:rPr>
            </w:pPr>
            <w:r w:rsidRPr="00335E4B">
              <w:rPr>
                <w:rFonts w:cs="Traditional Arabic" w:hint="cs"/>
                <w:sz w:val="18"/>
                <w:szCs w:val="26"/>
                <w:rtl/>
              </w:rPr>
              <w:t>ال</w:t>
            </w:r>
            <w:r w:rsidRPr="00335E4B">
              <w:rPr>
                <w:rFonts w:cs="Traditional Arabic"/>
                <w:sz w:val="18"/>
                <w:szCs w:val="26"/>
                <w:rtl/>
              </w:rPr>
              <w:t>بروم</w:t>
            </w:r>
            <w:r w:rsidRPr="00335E4B">
              <w:rPr>
                <w:rFonts w:cs="Traditional Arabic"/>
                <w:sz w:val="18"/>
                <w:szCs w:val="26"/>
                <w:vertAlign w:val="superscript"/>
                <w:rtl/>
              </w:rPr>
              <w:t>أ</w:t>
            </w:r>
          </w:p>
        </w:tc>
        <w:tc>
          <w:tcPr>
            <w:tcW w:w="1629" w:type="pct"/>
            <w:tcBorders>
              <w:top w:val="single" w:sz="4" w:space="0" w:color="auto"/>
            </w:tcBorders>
            <w:vAlign w:val="center"/>
          </w:tcPr>
          <w:p w:rsidR="00335E4B" w:rsidRPr="00335E4B" w:rsidRDefault="00335E4B" w:rsidP="00335E4B">
            <w:pPr>
              <w:spacing w:line="280" w:lineRule="exact"/>
              <w:jc w:val="both"/>
              <w:rPr>
                <w:rFonts w:eastAsia="SimSun" w:cs="Traditional Arabic"/>
                <w:sz w:val="18"/>
                <w:szCs w:val="26"/>
                <w:rtl/>
              </w:rPr>
            </w:pPr>
            <w:r w:rsidRPr="00335E4B">
              <w:rPr>
                <w:rFonts w:eastAsia="SimSun" w:cs="Traditional Arabic"/>
                <w:sz w:val="18"/>
                <w:szCs w:val="26"/>
                <w:rtl/>
              </w:rPr>
              <w:t>0</w:t>
            </w:r>
            <w:r w:rsidRPr="00335E4B">
              <w:rPr>
                <w:rFonts w:eastAsia="SimSun" w:cs="Traditional Arabic" w:hint="cs"/>
                <w:sz w:val="18"/>
                <w:szCs w:val="26"/>
                <w:rtl/>
              </w:rPr>
              <w:t>,</w:t>
            </w:r>
            <w:r w:rsidRPr="00335E4B">
              <w:rPr>
                <w:rFonts w:eastAsia="SimSun" w:cs="Traditional Arabic"/>
                <w:sz w:val="18"/>
                <w:szCs w:val="26"/>
                <w:rtl/>
              </w:rPr>
              <w:t>0006</w:t>
            </w:r>
          </w:p>
        </w:tc>
        <w:tc>
          <w:tcPr>
            <w:tcW w:w="1742" w:type="pct"/>
            <w:tcBorders>
              <w:top w:val="single" w:sz="4" w:space="0" w:color="auto"/>
            </w:tcBorders>
            <w:vAlign w:val="center"/>
          </w:tcPr>
          <w:p w:rsidR="00335E4B" w:rsidRPr="00335E4B" w:rsidRDefault="00335E4B" w:rsidP="00335E4B">
            <w:pPr>
              <w:spacing w:line="280" w:lineRule="exact"/>
              <w:jc w:val="both"/>
              <w:rPr>
                <w:rFonts w:eastAsia="SimSun" w:cs="Traditional Arabic"/>
                <w:sz w:val="18"/>
                <w:szCs w:val="26"/>
                <w:rtl/>
              </w:rPr>
            </w:pPr>
            <w:r w:rsidRPr="00335E4B">
              <w:rPr>
                <w:rFonts w:eastAsia="SimSun" w:cs="Traditional Arabic"/>
                <w:sz w:val="18"/>
                <w:szCs w:val="26"/>
                <w:rtl/>
              </w:rPr>
              <w:t>0</w:t>
            </w:r>
            <w:r w:rsidRPr="00335E4B">
              <w:rPr>
                <w:rFonts w:eastAsia="SimSun" w:cs="Traditional Arabic" w:hint="cs"/>
                <w:sz w:val="18"/>
                <w:szCs w:val="26"/>
                <w:rtl/>
              </w:rPr>
              <w:t>,</w:t>
            </w:r>
            <w:r w:rsidRPr="00335E4B">
              <w:rPr>
                <w:rFonts w:eastAsia="SimSun" w:cs="Traditional Arabic"/>
                <w:sz w:val="18"/>
                <w:szCs w:val="26"/>
                <w:rtl/>
              </w:rPr>
              <w:t>02</w:t>
            </w:r>
          </w:p>
        </w:tc>
      </w:tr>
      <w:tr w:rsidR="00335E4B" w:rsidRPr="00335E4B" w:rsidTr="00D002D1">
        <w:tc>
          <w:tcPr>
            <w:tcW w:w="1629" w:type="pct"/>
            <w:vAlign w:val="center"/>
          </w:tcPr>
          <w:p w:rsidR="00335E4B" w:rsidRPr="00335E4B" w:rsidRDefault="00335E4B" w:rsidP="00335E4B">
            <w:pPr>
              <w:spacing w:line="280" w:lineRule="exact"/>
              <w:jc w:val="both"/>
              <w:rPr>
                <w:rFonts w:eastAsia="SimSun" w:cs="Traditional Arabic"/>
                <w:sz w:val="18"/>
                <w:szCs w:val="26"/>
              </w:rPr>
            </w:pPr>
            <w:r w:rsidRPr="00335E4B">
              <w:rPr>
                <w:rFonts w:cs="Traditional Arabic" w:hint="cs"/>
                <w:sz w:val="18"/>
                <w:szCs w:val="26"/>
                <w:rtl/>
              </w:rPr>
              <w:t>الكلور</w:t>
            </w:r>
            <w:r w:rsidRPr="00335E4B">
              <w:rPr>
                <w:rFonts w:cs="Traditional Arabic"/>
                <w:sz w:val="18"/>
                <w:szCs w:val="26"/>
                <w:vertAlign w:val="superscript"/>
                <w:rtl/>
              </w:rPr>
              <w:t>أ</w:t>
            </w:r>
          </w:p>
        </w:tc>
        <w:tc>
          <w:tcPr>
            <w:tcW w:w="1629" w:type="pct"/>
            <w:vAlign w:val="center"/>
          </w:tcPr>
          <w:p w:rsidR="00335E4B" w:rsidRPr="00335E4B" w:rsidRDefault="00335E4B" w:rsidP="00335E4B">
            <w:pPr>
              <w:spacing w:line="280" w:lineRule="exact"/>
              <w:jc w:val="both"/>
              <w:rPr>
                <w:rFonts w:eastAsia="SimSun" w:cs="Traditional Arabic"/>
                <w:sz w:val="18"/>
                <w:szCs w:val="26"/>
                <w:rtl/>
              </w:rPr>
            </w:pPr>
            <w:r w:rsidRPr="00335E4B">
              <w:rPr>
                <w:rFonts w:eastAsia="SimSun" w:cs="Traditional Arabic"/>
                <w:sz w:val="18"/>
                <w:szCs w:val="26"/>
                <w:rtl/>
              </w:rPr>
              <w:t>0</w:t>
            </w:r>
            <w:r w:rsidRPr="00335E4B">
              <w:rPr>
                <w:rFonts w:eastAsia="SimSun" w:cs="Traditional Arabic" w:hint="cs"/>
                <w:sz w:val="18"/>
                <w:szCs w:val="26"/>
                <w:rtl/>
              </w:rPr>
              <w:t>,</w:t>
            </w:r>
            <w:r w:rsidRPr="00335E4B">
              <w:rPr>
                <w:rFonts w:eastAsia="SimSun" w:cs="Traditional Arabic"/>
                <w:sz w:val="18"/>
                <w:szCs w:val="26"/>
                <w:rtl/>
              </w:rPr>
              <w:t>003</w:t>
            </w:r>
          </w:p>
        </w:tc>
        <w:tc>
          <w:tcPr>
            <w:tcW w:w="1742" w:type="pct"/>
            <w:vAlign w:val="center"/>
          </w:tcPr>
          <w:p w:rsidR="00335E4B" w:rsidRPr="00335E4B" w:rsidRDefault="00335E4B" w:rsidP="00335E4B">
            <w:pPr>
              <w:spacing w:line="280" w:lineRule="exact"/>
              <w:jc w:val="both"/>
              <w:rPr>
                <w:rFonts w:eastAsia="SimSun" w:cs="Traditional Arabic"/>
                <w:sz w:val="18"/>
                <w:szCs w:val="26"/>
                <w:rtl/>
              </w:rPr>
            </w:pPr>
            <w:r w:rsidRPr="00335E4B">
              <w:rPr>
                <w:rFonts w:eastAsia="SimSun" w:cs="Traditional Arabic"/>
                <w:sz w:val="18"/>
                <w:szCs w:val="26"/>
                <w:rtl/>
              </w:rPr>
              <w:t>0</w:t>
            </w:r>
            <w:r w:rsidRPr="00335E4B">
              <w:rPr>
                <w:rFonts w:eastAsia="SimSun" w:cs="Traditional Arabic" w:hint="cs"/>
                <w:sz w:val="18"/>
                <w:szCs w:val="26"/>
                <w:rtl/>
              </w:rPr>
              <w:t>,</w:t>
            </w:r>
            <w:r w:rsidRPr="00335E4B">
              <w:rPr>
                <w:rFonts w:eastAsia="SimSun" w:cs="Traditional Arabic"/>
                <w:sz w:val="18"/>
                <w:szCs w:val="26"/>
                <w:rtl/>
              </w:rPr>
              <w:t>100</w:t>
            </w:r>
          </w:p>
        </w:tc>
      </w:tr>
      <w:tr w:rsidR="00335E4B" w:rsidRPr="00335E4B" w:rsidTr="00D002D1">
        <w:tc>
          <w:tcPr>
            <w:tcW w:w="1629" w:type="pct"/>
            <w:vAlign w:val="center"/>
          </w:tcPr>
          <w:p w:rsidR="00335E4B" w:rsidRPr="00335E4B" w:rsidRDefault="00335E4B" w:rsidP="00335E4B">
            <w:pPr>
              <w:spacing w:line="280" w:lineRule="exact"/>
              <w:jc w:val="both"/>
              <w:rPr>
                <w:rFonts w:eastAsia="SimSun" w:cs="Traditional Arabic"/>
                <w:sz w:val="18"/>
                <w:szCs w:val="26"/>
              </w:rPr>
            </w:pPr>
            <w:r w:rsidRPr="00335E4B">
              <w:rPr>
                <w:rFonts w:cs="Traditional Arabic"/>
                <w:sz w:val="18"/>
                <w:szCs w:val="26"/>
                <w:rtl/>
              </w:rPr>
              <w:t>الكبريت</w:t>
            </w:r>
            <w:r w:rsidRPr="00335E4B">
              <w:rPr>
                <w:rFonts w:cs="Traditional Arabic"/>
                <w:sz w:val="18"/>
                <w:szCs w:val="26"/>
                <w:vertAlign w:val="superscript"/>
                <w:rtl/>
              </w:rPr>
              <w:t>أ</w:t>
            </w:r>
          </w:p>
        </w:tc>
        <w:tc>
          <w:tcPr>
            <w:tcW w:w="1629" w:type="pct"/>
            <w:vAlign w:val="center"/>
          </w:tcPr>
          <w:p w:rsidR="00335E4B" w:rsidRPr="00335E4B" w:rsidRDefault="00335E4B" w:rsidP="00335E4B">
            <w:pPr>
              <w:spacing w:line="280" w:lineRule="exact"/>
              <w:jc w:val="both"/>
              <w:rPr>
                <w:rFonts w:eastAsia="SimSun" w:cs="Traditional Arabic"/>
                <w:sz w:val="18"/>
                <w:szCs w:val="26"/>
                <w:rtl/>
              </w:rPr>
            </w:pPr>
            <w:r w:rsidRPr="00335E4B">
              <w:rPr>
                <w:rFonts w:eastAsia="SimSun" w:cs="Traditional Arabic"/>
                <w:sz w:val="18"/>
                <w:szCs w:val="26"/>
                <w:rtl/>
              </w:rPr>
              <w:t>0</w:t>
            </w:r>
            <w:r w:rsidRPr="00335E4B">
              <w:rPr>
                <w:rFonts w:eastAsia="SimSun" w:cs="Traditional Arabic" w:hint="cs"/>
                <w:sz w:val="18"/>
                <w:szCs w:val="26"/>
                <w:rtl/>
              </w:rPr>
              <w:t>,</w:t>
            </w:r>
            <w:r w:rsidRPr="00335E4B">
              <w:rPr>
                <w:rFonts w:eastAsia="SimSun" w:cs="Traditional Arabic"/>
                <w:sz w:val="18"/>
                <w:szCs w:val="26"/>
                <w:rtl/>
              </w:rPr>
              <w:t>37</w:t>
            </w:r>
          </w:p>
        </w:tc>
        <w:tc>
          <w:tcPr>
            <w:tcW w:w="1742" w:type="pct"/>
            <w:vAlign w:val="center"/>
          </w:tcPr>
          <w:p w:rsidR="00335E4B" w:rsidRPr="00335E4B" w:rsidRDefault="00335E4B" w:rsidP="00335E4B">
            <w:pPr>
              <w:spacing w:line="280" w:lineRule="exact"/>
              <w:jc w:val="both"/>
              <w:rPr>
                <w:rFonts w:eastAsia="SimSun" w:cs="Traditional Arabic"/>
                <w:sz w:val="18"/>
                <w:szCs w:val="26"/>
                <w:rtl/>
              </w:rPr>
            </w:pPr>
            <w:r w:rsidRPr="00335E4B">
              <w:rPr>
                <w:rFonts w:eastAsia="SimSun" w:cs="Traditional Arabic"/>
                <w:sz w:val="18"/>
                <w:szCs w:val="26"/>
                <w:rtl/>
              </w:rPr>
              <w:t>4</w:t>
            </w:r>
            <w:r w:rsidRPr="00335E4B">
              <w:rPr>
                <w:rFonts w:eastAsia="SimSun" w:cs="Traditional Arabic" w:hint="cs"/>
                <w:sz w:val="18"/>
                <w:szCs w:val="26"/>
                <w:rtl/>
              </w:rPr>
              <w:t>,</w:t>
            </w:r>
            <w:r w:rsidRPr="00335E4B">
              <w:rPr>
                <w:rFonts w:eastAsia="SimSun" w:cs="Traditional Arabic"/>
                <w:sz w:val="18"/>
                <w:szCs w:val="26"/>
                <w:rtl/>
              </w:rPr>
              <w:t>00</w:t>
            </w:r>
          </w:p>
        </w:tc>
      </w:tr>
      <w:tr w:rsidR="00335E4B" w:rsidRPr="00335E4B" w:rsidTr="00D002D1">
        <w:tc>
          <w:tcPr>
            <w:tcW w:w="1629" w:type="pct"/>
            <w:vAlign w:val="center"/>
          </w:tcPr>
          <w:p w:rsidR="00335E4B" w:rsidRPr="00335E4B" w:rsidRDefault="00335E4B" w:rsidP="00335E4B">
            <w:pPr>
              <w:spacing w:line="280" w:lineRule="exact"/>
              <w:jc w:val="both"/>
              <w:rPr>
                <w:rFonts w:cs="Traditional Arabic"/>
                <w:sz w:val="18"/>
                <w:szCs w:val="26"/>
                <w:lang w:bidi="ar-EG"/>
              </w:rPr>
            </w:pPr>
            <w:r w:rsidRPr="00335E4B">
              <w:rPr>
                <w:rFonts w:cs="Traditional Arabic"/>
                <w:sz w:val="18"/>
                <w:szCs w:val="26"/>
                <w:rtl/>
              </w:rPr>
              <w:t>أكسيد الكالسيوم (</w:t>
            </w:r>
            <w:r w:rsidRPr="00335E4B">
              <w:rPr>
                <w:rFonts w:eastAsia="SimSun" w:cs="Traditional Arabic"/>
                <w:sz w:val="18"/>
                <w:szCs w:val="26"/>
              </w:rPr>
              <w:t>CaO</w:t>
            </w:r>
            <w:r w:rsidRPr="00335E4B">
              <w:rPr>
                <w:rFonts w:cs="Traditional Arabic"/>
                <w:sz w:val="18"/>
                <w:szCs w:val="26"/>
                <w:rtl/>
                <w:lang w:bidi="ar-EG"/>
              </w:rPr>
              <w:t>)</w:t>
            </w:r>
          </w:p>
        </w:tc>
        <w:tc>
          <w:tcPr>
            <w:tcW w:w="1629" w:type="pct"/>
            <w:vAlign w:val="center"/>
          </w:tcPr>
          <w:p w:rsidR="00335E4B" w:rsidRPr="00335E4B" w:rsidRDefault="00335E4B" w:rsidP="00335E4B">
            <w:pPr>
              <w:spacing w:line="280" w:lineRule="exact"/>
              <w:jc w:val="both"/>
              <w:rPr>
                <w:rFonts w:eastAsia="SimSun" w:cs="Traditional Arabic"/>
                <w:sz w:val="18"/>
                <w:szCs w:val="26"/>
                <w:rtl/>
              </w:rPr>
            </w:pPr>
            <w:r w:rsidRPr="00335E4B">
              <w:rPr>
                <w:rFonts w:eastAsia="SimSun" w:cs="Traditional Arabic"/>
                <w:sz w:val="18"/>
                <w:szCs w:val="26"/>
                <w:rtl/>
              </w:rPr>
              <w:t>26</w:t>
            </w:r>
            <w:r w:rsidRPr="00335E4B">
              <w:rPr>
                <w:rFonts w:eastAsia="SimSun" w:cs="Traditional Arabic" w:hint="cs"/>
                <w:sz w:val="18"/>
                <w:szCs w:val="26"/>
                <w:rtl/>
              </w:rPr>
              <w:t>,</w:t>
            </w:r>
            <w:r w:rsidRPr="00335E4B">
              <w:rPr>
                <w:rFonts w:eastAsia="SimSun" w:cs="Traditional Arabic"/>
                <w:sz w:val="18"/>
                <w:szCs w:val="26"/>
                <w:rtl/>
              </w:rPr>
              <w:t>67</w:t>
            </w:r>
          </w:p>
        </w:tc>
        <w:tc>
          <w:tcPr>
            <w:tcW w:w="1742" w:type="pct"/>
            <w:vAlign w:val="center"/>
          </w:tcPr>
          <w:p w:rsidR="00335E4B" w:rsidRPr="00335E4B" w:rsidRDefault="00335E4B" w:rsidP="00335E4B">
            <w:pPr>
              <w:spacing w:line="280" w:lineRule="exact"/>
              <w:jc w:val="both"/>
              <w:rPr>
                <w:rFonts w:eastAsia="SimSun" w:cs="Traditional Arabic"/>
                <w:sz w:val="18"/>
                <w:szCs w:val="26"/>
                <w:rtl/>
              </w:rPr>
            </w:pPr>
            <w:r w:rsidRPr="00335E4B">
              <w:rPr>
                <w:rFonts w:eastAsia="SimSun" w:cs="Traditional Arabic"/>
                <w:sz w:val="18"/>
                <w:szCs w:val="26"/>
                <w:rtl/>
              </w:rPr>
              <w:t>3</w:t>
            </w:r>
            <w:r w:rsidRPr="00335E4B">
              <w:rPr>
                <w:rFonts w:eastAsia="SimSun" w:cs="Traditional Arabic" w:hint="cs"/>
                <w:sz w:val="18"/>
                <w:szCs w:val="26"/>
                <w:rtl/>
              </w:rPr>
              <w:t>,</w:t>
            </w:r>
            <w:r w:rsidRPr="00335E4B">
              <w:rPr>
                <w:rFonts w:eastAsia="SimSun" w:cs="Traditional Arabic"/>
                <w:sz w:val="18"/>
                <w:szCs w:val="26"/>
                <w:rtl/>
              </w:rPr>
              <w:t>43</w:t>
            </w:r>
          </w:p>
        </w:tc>
      </w:tr>
      <w:tr w:rsidR="00335E4B" w:rsidRPr="00335E4B" w:rsidTr="00D002D1">
        <w:tc>
          <w:tcPr>
            <w:tcW w:w="1629" w:type="pct"/>
            <w:vAlign w:val="center"/>
          </w:tcPr>
          <w:p w:rsidR="00335E4B" w:rsidRPr="00335E4B" w:rsidRDefault="00335E4B" w:rsidP="00335E4B">
            <w:pPr>
              <w:spacing w:line="280" w:lineRule="exact"/>
              <w:jc w:val="both"/>
              <w:rPr>
                <w:rFonts w:cs="Traditional Arabic"/>
                <w:sz w:val="18"/>
                <w:szCs w:val="26"/>
                <w:lang w:bidi="ar-EG"/>
              </w:rPr>
            </w:pPr>
            <w:r w:rsidRPr="00335E4B">
              <w:rPr>
                <w:rFonts w:cs="Traditional Arabic"/>
                <w:sz w:val="18"/>
                <w:szCs w:val="26"/>
                <w:rtl/>
              </w:rPr>
              <w:t>أكسيد المغنيسيوم (</w:t>
            </w:r>
            <w:r w:rsidRPr="00335E4B">
              <w:rPr>
                <w:rFonts w:eastAsia="SimSun" w:cs="Traditional Arabic"/>
                <w:sz w:val="18"/>
                <w:szCs w:val="26"/>
              </w:rPr>
              <w:t>MgO</w:t>
            </w:r>
            <w:r w:rsidRPr="00335E4B">
              <w:rPr>
                <w:rFonts w:cs="Traditional Arabic"/>
                <w:sz w:val="18"/>
                <w:szCs w:val="26"/>
                <w:rtl/>
                <w:lang w:bidi="ar-EG"/>
              </w:rPr>
              <w:t>)</w:t>
            </w:r>
          </w:p>
        </w:tc>
        <w:tc>
          <w:tcPr>
            <w:tcW w:w="1629" w:type="pct"/>
            <w:vAlign w:val="center"/>
          </w:tcPr>
          <w:p w:rsidR="00335E4B" w:rsidRPr="00335E4B" w:rsidRDefault="00335E4B" w:rsidP="00335E4B">
            <w:pPr>
              <w:spacing w:line="280" w:lineRule="exact"/>
              <w:jc w:val="both"/>
              <w:rPr>
                <w:rFonts w:eastAsia="SimSun" w:cs="Traditional Arabic"/>
                <w:sz w:val="18"/>
                <w:szCs w:val="26"/>
                <w:rtl/>
              </w:rPr>
            </w:pPr>
            <w:r w:rsidRPr="00335E4B">
              <w:rPr>
                <w:rFonts w:eastAsia="SimSun" w:cs="Traditional Arabic"/>
                <w:sz w:val="18"/>
                <w:szCs w:val="26"/>
                <w:rtl/>
              </w:rPr>
              <w:t>5</w:t>
            </w:r>
            <w:r w:rsidRPr="00335E4B">
              <w:rPr>
                <w:rFonts w:eastAsia="SimSun" w:cs="Traditional Arabic" w:hint="cs"/>
                <w:sz w:val="18"/>
                <w:szCs w:val="26"/>
                <w:rtl/>
              </w:rPr>
              <w:t>,</w:t>
            </w:r>
            <w:r w:rsidRPr="00335E4B">
              <w:rPr>
                <w:rFonts w:eastAsia="SimSun" w:cs="Traditional Arabic"/>
                <w:sz w:val="18"/>
                <w:szCs w:val="26"/>
                <w:rtl/>
              </w:rPr>
              <w:t>30</w:t>
            </w:r>
          </w:p>
        </w:tc>
        <w:tc>
          <w:tcPr>
            <w:tcW w:w="1742" w:type="pct"/>
            <w:vAlign w:val="center"/>
          </w:tcPr>
          <w:p w:rsidR="00335E4B" w:rsidRPr="00335E4B" w:rsidRDefault="00335E4B" w:rsidP="00335E4B">
            <w:pPr>
              <w:spacing w:line="280" w:lineRule="exact"/>
              <w:jc w:val="both"/>
              <w:rPr>
                <w:rFonts w:eastAsia="SimSun" w:cs="Traditional Arabic"/>
                <w:sz w:val="18"/>
                <w:szCs w:val="26"/>
                <w:rtl/>
              </w:rPr>
            </w:pPr>
            <w:r w:rsidRPr="00335E4B">
              <w:rPr>
                <w:rFonts w:eastAsia="SimSun" w:cs="Traditional Arabic"/>
                <w:sz w:val="18"/>
                <w:szCs w:val="26"/>
                <w:rtl/>
              </w:rPr>
              <w:t>3</w:t>
            </w:r>
            <w:r w:rsidRPr="00335E4B">
              <w:rPr>
                <w:rFonts w:eastAsia="SimSun" w:cs="Traditional Arabic" w:hint="cs"/>
                <w:sz w:val="18"/>
                <w:szCs w:val="26"/>
                <w:rtl/>
              </w:rPr>
              <w:t>,</w:t>
            </w:r>
            <w:r w:rsidRPr="00335E4B">
              <w:rPr>
                <w:rFonts w:eastAsia="SimSun" w:cs="Traditional Arabic"/>
                <w:sz w:val="18"/>
                <w:szCs w:val="26"/>
                <w:rtl/>
              </w:rPr>
              <w:t>07</w:t>
            </w:r>
          </w:p>
        </w:tc>
      </w:tr>
      <w:tr w:rsidR="00335E4B" w:rsidRPr="00335E4B" w:rsidTr="00D002D1">
        <w:tc>
          <w:tcPr>
            <w:tcW w:w="1629" w:type="pct"/>
            <w:vAlign w:val="center"/>
          </w:tcPr>
          <w:p w:rsidR="00335E4B" w:rsidRPr="00335E4B" w:rsidRDefault="00335E4B" w:rsidP="00335E4B">
            <w:pPr>
              <w:spacing w:line="280" w:lineRule="exact"/>
              <w:jc w:val="both"/>
              <w:rPr>
                <w:rFonts w:cs="Traditional Arabic"/>
                <w:sz w:val="18"/>
                <w:szCs w:val="26"/>
                <w:lang w:bidi="ar-EG"/>
              </w:rPr>
            </w:pPr>
            <w:r w:rsidRPr="00335E4B">
              <w:rPr>
                <w:rFonts w:cs="Traditional Arabic"/>
                <w:sz w:val="18"/>
                <w:szCs w:val="26"/>
                <w:rtl/>
              </w:rPr>
              <w:t>أكسيد الصوديوم (</w:t>
            </w:r>
            <w:r w:rsidRPr="00335E4B">
              <w:rPr>
                <w:rFonts w:eastAsia="SimSun" w:cs="Traditional Arabic"/>
                <w:sz w:val="18"/>
                <w:szCs w:val="22"/>
              </w:rPr>
              <w:t>Na</w:t>
            </w:r>
            <w:r w:rsidRPr="00335E4B">
              <w:rPr>
                <w:rFonts w:eastAsia="SimSun" w:cs="Traditional Arabic"/>
                <w:sz w:val="18"/>
                <w:szCs w:val="22"/>
                <w:vertAlign w:val="subscript"/>
              </w:rPr>
              <w:t>2</w:t>
            </w:r>
            <w:r w:rsidRPr="00335E4B">
              <w:rPr>
                <w:rFonts w:eastAsia="SimSun" w:cs="Traditional Arabic"/>
                <w:sz w:val="18"/>
                <w:szCs w:val="22"/>
              </w:rPr>
              <w:t>O</w:t>
            </w:r>
            <w:r w:rsidRPr="00335E4B">
              <w:rPr>
                <w:rFonts w:cs="Traditional Arabic"/>
                <w:sz w:val="18"/>
                <w:szCs w:val="26"/>
                <w:rtl/>
              </w:rPr>
              <w:t>)</w:t>
            </w:r>
          </w:p>
        </w:tc>
        <w:tc>
          <w:tcPr>
            <w:tcW w:w="1629" w:type="pct"/>
            <w:vAlign w:val="center"/>
          </w:tcPr>
          <w:p w:rsidR="00335E4B" w:rsidRPr="00335E4B" w:rsidRDefault="00335E4B" w:rsidP="00335E4B">
            <w:pPr>
              <w:spacing w:line="280" w:lineRule="exact"/>
              <w:jc w:val="both"/>
              <w:rPr>
                <w:rFonts w:eastAsia="SimSun" w:cs="Traditional Arabic"/>
                <w:sz w:val="18"/>
                <w:szCs w:val="26"/>
                <w:rtl/>
              </w:rPr>
            </w:pPr>
            <w:r w:rsidRPr="00335E4B">
              <w:rPr>
                <w:rFonts w:eastAsia="SimSun" w:cs="Traditional Arabic"/>
                <w:sz w:val="18"/>
                <w:szCs w:val="26"/>
                <w:rtl/>
              </w:rPr>
              <w:t>1</w:t>
            </w:r>
            <w:r w:rsidRPr="00335E4B">
              <w:rPr>
                <w:rFonts w:eastAsia="SimSun" w:cs="Traditional Arabic" w:hint="cs"/>
                <w:sz w:val="18"/>
                <w:szCs w:val="26"/>
                <w:rtl/>
              </w:rPr>
              <w:t>,</w:t>
            </w:r>
            <w:r w:rsidRPr="00335E4B">
              <w:rPr>
                <w:rFonts w:eastAsia="SimSun" w:cs="Traditional Arabic"/>
                <w:sz w:val="18"/>
                <w:szCs w:val="26"/>
                <w:rtl/>
              </w:rPr>
              <w:t>68</w:t>
            </w:r>
          </w:p>
        </w:tc>
        <w:tc>
          <w:tcPr>
            <w:tcW w:w="1742" w:type="pct"/>
            <w:vAlign w:val="center"/>
          </w:tcPr>
          <w:p w:rsidR="00335E4B" w:rsidRPr="00335E4B" w:rsidRDefault="00335E4B" w:rsidP="00335E4B">
            <w:pPr>
              <w:spacing w:line="280" w:lineRule="exact"/>
              <w:jc w:val="both"/>
              <w:rPr>
                <w:rFonts w:eastAsia="SimSun" w:cs="Traditional Arabic"/>
                <w:sz w:val="18"/>
                <w:szCs w:val="26"/>
                <w:rtl/>
              </w:rPr>
            </w:pPr>
            <w:r w:rsidRPr="00335E4B">
              <w:rPr>
                <w:rFonts w:eastAsia="SimSun" w:cs="Traditional Arabic"/>
                <w:sz w:val="18"/>
                <w:szCs w:val="26"/>
                <w:rtl/>
              </w:rPr>
              <w:t>0</w:t>
            </w:r>
            <w:r w:rsidRPr="00335E4B">
              <w:rPr>
                <w:rFonts w:eastAsia="SimSun" w:cs="Traditional Arabic" w:hint="cs"/>
                <w:sz w:val="18"/>
                <w:szCs w:val="26"/>
                <w:rtl/>
              </w:rPr>
              <w:t>,</w:t>
            </w:r>
            <w:r w:rsidRPr="00335E4B">
              <w:rPr>
                <w:rFonts w:eastAsia="SimSun" w:cs="Traditional Arabic"/>
                <w:sz w:val="18"/>
                <w:szCs w:val="26"/>
                <w:rtl/>
              </w:rPr>
              <w:t>60</w:t>
            </w:r>
          </w:p>
        </w:tc>
      </w:tr>
      <w:tr w:rsidR="00335E4B" w:rsidRPr="00335E4B" w:rsidTr="00D002D1">
        <w:tc>
          <w:tcPr>
            <w:tcW w:w="1629" w:type="pct"/>
            <w:tcBorders>
              <w:bottom w:val="single" w:sz="4" w:space="0" w:color="auto"/>
            </w:tcBorders>
            <w:vAlign w:val="center"/>
          </w:tcPr>
          <w:p w:rsidR="00335E4B" w:rsidRPr="00335E4B" w:rsidRDefault="00335E4B" w:rsidP="00335E4B">
            <w:pPr>
              <w:spacing w:line="280" w:lineRule="exact"/>
              <w:jc w:val="both"/>
              <w:rPr>
                <w:rFonts w:cs="Traditional Arabic"/>
                <w:sz w:val="18"/>
                <w:szCs w:val="26"/>
                <w:lang w:bidi="ar-EG"/>
              </w:rPr>
            </w:pPr>
            <w:r w:rsidRPr="00335E4B">
              <w:rPr>
                <w:rFonts w:cs="Traditional Arabic"/>
                <w:sz w:val="18"/>
                <w:szCs w:val="26"/>
                <w:rtl/>
              </w:rPr>
              <w:t>الزئبق (</w:t>
            </w:r>
            <w:r w:rsidRPr="00335E4B">
              <w:rPr>
                <w:rFonts w:eastAsia="SimSun" w:cs="Traditional Arabic"/>
                <w:sz w:val="18"/>
                <w:szCs w:val="26"/>
              </w:rPr>
              <w:t>Hg</w:t>
            </w:r>
            <w:r w:rsidRPr="00335E4B">
              <w:rPr>
                <w:rFonts w:cs="Traditional Arabic"/>
                <w:sz w:val="18"/>
                <w:szCs w:val="26"/>
                <w:rtl/>
                <w:lang w:bidi="ar-EG"/>
              </w:rPr>
              <w:t>) جزء من المليون</w:t>
            </w:r>
          </w:p>
        </w:tc>
        <w:tc>
          <w:tcPr>
            <w:tcW w:w="1629" w:type="pct"/>
            <w:tcBorders>
              <w:bottom w:val="single" w:sz="4" w:space="0" w:color="auto"/>
            </w:tcBorders>
            <w:vAlign w:val="center"/>
          </w:tcPr>
          <w:p w:rsidR="00335E4B" w:rsidRPr="00335E4B" w:rsidRDefault="00335E4B" w:rsidP="00335E4B">
            <w:pPr>
              <w:spacing w:line="280" w:lineRule="exact"/>
              <w:jc w:val="both"/>
              <w:rPr>
                <w:rFonts w:eastAsia="SimSun" w:cs="Traditional Arabic"/>
                <w:sz w:val="18"/>
                <w:szCs w:val="26"/>
                <w:rtl/>
              </w:rPr>
            </w:pPr>
            <w:r w:rsidRPr="00335E4B">
              <w:rPr>
                <w:rFonts w:eastAsia="SimSun" w:cs="Traditional Arabic"/>
                <w:sz w:val="18"/>
                <w:szCs w:val="26"/>
                <w:rtl/>
              </w:rPr>
              <w:t>0</w:t>
            </w:r>
            <w:r w:rsidRPr="00335E4B">
              <w:rPr>
                <w:rFonts w:eastAsia="SimSun" w:cs="Traditional Arabic" w:hint="cs"/>
                <w:sz w:val="18"/>
                <w:szCs w:val="26"/>
                <w:rtl/>
              </w:rPr>
              <w:t>,</w:t>
            </w:r>
            <w:r w:rsidRPr="00335E4B">
              <w:rPr>
                <w:rFonts w:eastAsia="SimSun" w:cs="Traditional Arabic"/>
                <w:sz w:val="18"/>
                <w:szCs w:val="26"/>
                <w:rtl/>
              </w:rPr>
              <w:t>1</w:t>
            </w:r>
          </w:p>
        </w:tc>
        <w:tc>
          <w:tcPr>
            <w:tcW w:w="1742" w:type="pct"/>
            <w:tcBorders>
              <w:bottom w:val="single" w:sz="4" w:space="0" w:color="auto"/>
            </w:tcBorders>
            <w:vAlign w:val="center"/>
          </w:tcPr>
          <w:p w:rsidR="00335E4B" w:rsidRPr="00335E4B" w:rsidRDefault="00335E4B" w:rsidP="00335E4B">
            <w:pPr>
              <w:spacing w:line="280" w:lineRule="exact"/>
              <w:jc w:val="both"/>
              <w:rPr>
                <w:rFonts w:eastAsia="SimSun" w:cs="Traditional Arabic"/>
                <w:sz w:val="18"/>
                <w:szCs w:val="26"/>
                <w:rtl/>
              </w:rPr>
            </w:pPr>
            <w:r w:rsidRPr="00335E4B">
              <w:rPr>
                <w:rFonts w:eastAsia="SimSun" w:cs="Traditional Arabic"/>
                <w:sz w:val="18"/>
                <w:szCs w:val="26"/>
                <w:rtl/>
              </w:rPr>
              <w:t>0</w:t>
            </w:r>
            <w:r w:rsidRPr="00335E4B">
              <w:rPr>
                <w:rFonts w:eastAsia="SimSun" w:cs="Traditional Arabic" w:hint="cs"/>
                <w:sz w:val="18"/>
                <w:szCs w:val="26"/>
                <w:rtl/>
              </w:rPr>
              <w:t>,</w:t>
            </w:r>
            <w:r w:rsidRPr="00335E4B">
              <w:rPr>
                <w:rFonts w:eastAsia="SimSun" w:cs="Traditional Arabic"/>
                <w:sz w:val="18"/>
                <w:szCs w:val="26"/>
                <w:rtl/>
              </w:rPr>
              <w:t>1</w:t>
            </w:r>
          </w:p>
        </w:tc>
      </w:tr>
    </w:tbl>
    <w:p w:rsidR="00335E4B" w:rsidRPr="00335E4B" w:rsidRDefault="00335E4B" w:rsidP="00335E4B">
      <w:pPr>
        <w:spacing w:before="40" w:line="320" w:lineRule="exact"/>
        <w:jc w:val="both"/>
        <w:rPr>
          <w:rFonts w:cs="Traditional Arabic"/>
          <w:sz w:val="16"/>
          <w:szCs w:val="26"/>
          <w:rtl/>
          <w:lang w:bidi="ar-EG"/>
        </w:rPr>
      </w:pPr>
      <w:r w:rsidRPr="00335E4B">
        <w:rPr>
          <w:rFonts w:cs="Traditional Arabic"/>
          <w:sz w:val="16"/>
          <w:szCs w:val="26"/>
          <w:rtl/>
          <w:lang w:bidi="ar-EG"/>
        </w:rPr>
        <w:t>أ التحليل النهائي، كما ورد، النسبة المئوية من الوزن.</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 xml:space="preserve">وينبغي أن يلاحظ من الجدول 5 أنه رغم أن محتوى الزئبق في هذه البيانات المتوسطة </w:t>
      </w:r>
      <w:r w:rsidRPr="00335E4B">
        <w:rPr>
          <w:rFonts w:cs="Traditional Arabic" w:hint="cs"/>
          <w:sz w:val="20"/>
          <w:szCs w:val="30"/>
          <w:rtl/>
          <w:lang w:bidi="ar-EG"/>
        </w:rPr>
        <w:t>لا يتغيَّر ويصل إلى</w:t>
      </w:r>
      <w:r w:rsidRPr="00335E4B">
        <w:rPr>
          <w:rFonts w:cs="Traditional Arabic"/>
          <w:sz w:val="20"/>
          <w:szCs w:val="30"/>
          <w:rtl/>
          <w:lang w:bidi="ar-EG"/>
        </w:rPr>
        <w:t xml:space="preserve"> 0</w:t>
      </w:r>
      <w:r w:rsidRPr="00335E4B">
        <w:rPr>
          <w:rFonts w:cs="Traditional Arabic" w:hint="cs"/>
          <w:sz w:val="20"/>
          <w:szCs w:val="30"/>
          <w:rtl/>
          <w:lang w:bidi="ar-EG"/>
        </w:rPr>
        <w:t>,</w:t>
      </w:r>
      <w:r w:rsidRPr="00335E4B">
        <w:rPr>
          <w:rFonts w:cs="Traditional Arabic"/>
          <w:sz w:val="20"/>
          <w:szCs w:val="30"/>
          <w:rtl/>
          <w:lang w:bidi="ar-EG"/>
        </w:rPr>
        <w:t>1 جزء من المليون في كلا نوعي الفحم فإن محتوى الكلور يتباين بصورة كبيرة من 0</w:t>
      </w:r>
      <w:r w:rsidRPr="00335E4B">
        <w:rPr>
          <w:rFonts w:cs="Traditional Arabic" w:hint="cs"/>
          <w:sz w:val="20"/>
          <w:szCs w:val="30"/>
          <w:rtl/>
          <w:lang w:bidi="ar-EG"/>
        </w:rPr>
        <w:t>,</w:t>
      </w:r>
      <w:r w:rsidRPr="00335E4B">
        <w:rPr>
          <w:rFonts w:cs="Traditional Arabic"/>
          <w:sz w:val="20"/>
          <w:szCs w:val="30"/>
          <w:rtl/>
          <w:lang w:bidi="ar-EG"/>
        </w:rPr>
        <w:t>003 في المائة من الوزن في حالة الفحم دون القيري ليصل إلى 0</w:t>
      </w:r>
      <w:r w:rsidRPr="00335E4B">
        <w:rPr>
          <w:rFonts w:cs="Traditional Arabic" w:hint="cs"/>
          <w:sz w:val="20"/>
          <w:szCs w:val="30"/>
          <w:rtl/>
          <w:lang w:bidi="ar-EG"/>
        </w:rPr>
        <w:t>,</w:t>
      </w:r>
      <w:r w:rsidRPr="00335E4B">
        <w:rPr>
          <w:rFonts w:cs="Traditional Arabic"/>
          <w:sz w:val="20"/>
          <w:szCs w:val="30"/>
          <w:rtl/>
          <w:lang w:bidi="ar-EG"/>
        </w:rPr>
        <w:t>1 في المائة من الفحم القيري. وبالإضافة إلى ذلك فإن محتوى المادة القلوية (مثل أكسيد الكالسيوم) يتباين من 3</w:t>
      </w:r>
      <w:r w:rsidRPr="00335E4B">
        <w:rPr>
          <w:rFonts w:cs="Traditional Arabic" w:hint="cs"/>
          <w:sz w:val="20"/>
          <w:szCs w:val="30"/>
          <w:rtl/>
          <w:lang w:bidi="ar-EG"/>
        </w:rPr>
        <w:t>,</w:t>
      </w:r>
      <w:r w:rsidRPr="00335E4B">
        <w:rPr>
          <w:rFonts w:cs="Traditional Arabic"/>
          <w:sz w:val="20"/>
          <w:szCs w:val="30"/>
          <w:rtl/>
          <w:lang w:bidi="ar-EG"/>
        </w:rPr>
        <w:t>43 في المائة في الفحم دون القيري ليصل إلى 26</w:t>
      </w:r>
      <w:r w:rsidRPr="00335E4B">
        <w:rPr>
          <w:rFonts w:cs="Traditional Arabic" w:hint="cs"/>
          <w:sz w:val="20"/>
          <w:szCs w:val="30"/>
          <w:rtl/>
          <w:lang w:bidi="ar-EG"/>
        </w:rPr>
        <w:t>,</w:t>
      </w:r>
      <w:r w:rsidRPr="00335E4B">
        <w:rPr>
          <w:rFonts w:cs="Traditional Arabic"/>
          <w:sz w:val="20"/>
          <w:szCs w:val="30"/>
          <w:rtl/>
          <w:lang w:bidi="ar-EG"/>
        </w:rPr>
        <w:t xml:space="preserve">67 في المائة في الفحم القيري حسب الوزن. ويوضح ذلك أن انخفاض محتوى الكلور قد يؤدي إلى انخفاض أكسدة الزئبق وبالتالي ارتفاع النسبة المئوية للزئبق الأوَّلي. وخلط الفحم القيري بالفحم دون القيري يوفِّر مزايا مزدوجة من ارتفاع تركيز الكلور وانخفاض القلوية. وفي سياق ضبط الزئبق، سيكون هدف خلط الفحم هو زيادة تركيز الهالوجين بخلط الفحم </w:t>
      </w:r>
      <w:r w:rsidRPr="00335E4B">
        <w:rPr>
          <w:rFonts w:cs="Traditional Arabic" w:hint="cs"/>
          <w:sz w:val="20"/>
          <w:szCs w:val="30"/>
          <w:rtl/>
          <w:lang w:bidi="ar-EG"/>
        </w:rPr>
        <w:t>ذي</w:t>
      </w:r>
      <w:r w:rsidRPr="00335E4B">
        <w:rPr>
          <w:rFonts w:cs="Traditional Arabic"/>
          <w:sz w:val="20"/>
          <w:szCs w:val="30"/>
          <w:rtl/>
          <w:lang w:bidi="ar-EG"/>
        </w:rPr>
        <w:t xml:space="preserve"> المحتوى العالي نسبياً من الهالوجين بالفحم المنخفض الهالوجين الذي قد يستعمل </w:t>
      </w:r>
      <w:r w:rsidRPr="00335E4B">
        <w:rPr>
          <w:rFonts w:cs="Traditional Arabic" w:hint="cs"/>
          <w:sz w:val="20"/>
          <w:szCs w:val="30"/>
          <w:rtl/>
          <w:lang w:bidi="ar-EG"/>
        </w:rPr>
        <w:t xml:space="preserve">في </w:t>
      </w:r>
      <w:r w:rsidRPr="00335E4B">
        <w:rPr>
          <w:rFonts w:cs="Traditional Arabic"/>
          <w:sz w:val="20"/>
          <w:szCs w:val="30"/>
          <w:rtl/>
          <w:lang w:bidi="ar-EG"/>
        </w:rPr>
        <w:t xml:space="preserve">المنشأة. </w:t>
      </w:r>
    </w:p>
    <w:p w:rsidR="00335E4B" w:rsidRPr="00335E4B" w:rsidRDefault="00335E4B" w:rsidP="00335E4B">
      <w:pPr>
        <w:spacing w:after="120" w:line="400" w:lineRule="exact"/>
        <w:jc w:val="both"/>
        <w:rPr>
          <w:rFonts w:cs="Traditional Arabic"/>
          <w:sz w:val="20"/>
          <w:szCs w:val="30"/>
          <w:rtl/>
          <w:lang w:bidi="ar-EG"/>
        </w:rPr>
      </w:pPr>
      <w:r w:rsidRPr="00335E4B">
        <w:rPr>
          <w:rFonts w:cs="Traditional Arabic"/>
          <w:sz w:val="20"/>
          <w:szCs w:val="30"/>
          <w:rtl/>
          <w:lang w:bidi="ar-EG"/>
        </w:rPr>
        <w:t xml:space="preserve">ويوضح الشكل أدناه اتجاه زيادة التقاط الزئبق في نظام </w:t>
      </w:r>
      <w:r w:rsidRPr="00335E4B">
        <w:rPr>
          <w:rFonts w:cs="Traditional Arabic" w:hint="cs"/>
          <w:sz w:val="20"/>
          <w:szCs w:val="30"/>
          <w:rtl/>
          <w:lang w:bidi="ar-EG"/>
        </w:rPr>
        <w:t>التنظيف</w:t>
      </w:r>
      <w:r w:rsidRPr="00335E4B">
        <w:rPr>
          <w:rFonts w:cs="Traditional Arabic"/>
          <w:sz w:val="20"/>
          <w:szCs w:val="30"/>
          <w:rtl/>
          <w:lang w:bidi="ar-EG"/>
        </w:rPr>
        <w:t xml:space="preserve"> الجاف لإزالة الكبريت من غاز </w:t>
      </w:r>
      <w:r w:rsidRPr="00335E4B">
        <w:rPr>
          <w:rFonts w:cs="Traditional Arabic" w:hint="cs"/>
          <w:sz w:val="20"/>
          <w:szCs w:val="30"/>
          <w:rtl/>
          <w:lang w:bidi="ar-EG"/>
        </w:rPr>
        <w:t>المدخنة</w:t>
      </w:r>
      <w:r w:rsidRPr="00335E4B">
        <w:rPr>
          <w:rFonts w:cs="Traditional Arabic"/>
          <w:sz w:val="20"/>
          <w:szCs w:val="30"/>
          <w:rtl/>
          <w:lang w:bidi="ar-EG"/>
        </w:rPr>
        <w:t xml:space="preserve"> (</w:t>
      </w:r>
      <w:r w:rsidRPr="00335E4B">
        <w:rPr>
          <w:rFonts w:cs="Traditional Arabic" w:hint="cs"/>
          <w:sz w:val="20"/>
          <w:szCs w:val="30"/>
          <w:rtl/>
          <w:lang w:bidi="ar-EG"/>
        </w:rPr>
        <w:t>التنظيف</w:t>
      </w:r>
      <w:r w:rsidRPr="00335E4B">
        <w:rPr>
          <w:rFonts w:cs="Traditional Arabic"/>
          <w:sz w:val="20"/>
          <w:szCs w:val="30"/>
          <w:rtl/>
          <w:lang w:bidi="ar-EG"/>
        </w:rPr>
        <w:t xml:space="preserve"> الجاف </w:t>
      </w:r>
      <w:r w:rsidRPr="00335E4B">
        <w:rPr>
          <w:rFonts w:cs="Traditional Arabic" w:hint="cs"/>
          <w:sz w:val="20"/>
          <w:szCs w:val="30"/>
          <w:rtl/>
          <w:lang w:bidi="ar-EG"/>
        </w:rPr>
        <w:t>بالإضافة إلى</w:t>
      </w:r>
      <w:r w:rsidRPr="00335E4B">
        <w:rPr>
          <w:rFonts w:cs="Traditional Arabic"/>
          <w:sz w:val="20"/>
          <w:szCs w:val="30"/>
          <w:rtl/>
          <w:lang w:bidi="ar-EG"/>
        </w:rPr>
        <w:t xml:space="preserve"> المرشح النسيجي) مع زيادة جزء الفحم القيري في خليط الفحم القيري-دون القيري (برنامج الأمم المتحدة للبيئة، 2011). ويمكن أن نرى أن خلط الفحم ينطوي على إمكانية زيادة التقاط الزئبق بنسبة تصل إلى قرابة 80 في المائة. ومرة أخرى، </w:t>
      </w:r>
      <w:r w:rsidRPr="00335E4B">
        <w:rPr>
          <w:rFonts w:cs="Traditional Arabic" w:hint="cs"/>
          <w:sz w:val="20"/>
          <w:szCs w:val="30"/>
          <w:rtl/>
          <w:lang w:bidi="ar-EG"/>
        </w:rPr>
        <w:t xml:space="preserve">يجدر بالملاحظة </w:t>
      </w:r>
      <w:r w:rsidRPr="00335E4B">
        <w:rPr>
          <w:rFonts w:cs="Traditional Arabic"/>
          <w:sz w:val="20"/>
          <w:szCs w:val="30"/>
          <w:rtl/>
          <w:lang w:bidi="ar-EG"/>
        </w:rPr>
        <w:t>أن القيم الإضافية لإزالة الزئبق هي ذات طابع توضيحي وأن القيم الإضافية الفعلية لإزالة الزئبق قد تتباين حسب مصدر الفحم المستخدم في الخلط.</w:t>
      </w: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20"/>
          <w:szCs w:val="30"/>
          <w:lang w:bidi="ar-EG"/>
        </w:rPr>
      </w:pPr>
      <w:r>
        <w:rPr>
          <w:rFonts w:cs="Traditional Arabic"/>
          <w:noProof/>
          <w:sz w:val="20"/>
          <w:szCs w:val="30"/>
          <w:lang w:val="en-GB" w:eastAsia="zh-CN"/>
        </w:rPr>
        <mc:AlternateContent>
          <mc:Choice Requires="wps">
            <w:drawing>
              <wp:anchor distT="0" distB="0" distL="114300" distR="114300" simplePos="0" relativeHeight="251661312" behindDoc="0" locked="0" layoutInCell="1" allowOverlap="1" wp14:anchorId="027D90D9" wp14:editId="262A8B62">
                <wp:simplePos x="0" y="0"/>
                <wp:positionH relativeFrom="column">
                  <wp:posOffset>-3063240</wp:posOffset>
                </wp:positionH>
                <wp:positionV relativeFrom="paragraph">
                  <wp:posOffset>207010</wp:posOffset>
                </wp:positionV>
                <wp:extent cx="217170" cy="1775460"/>
                <wp:effectExtent l="1905" t="1905" r="0" b="3810"/>
                <wp:wrapNone/>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77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1254C4" w:rsidRDefault="00670B40" w:rsidP="001254C4">
                            <w:pPr>
                              <w:jc w:val="center"/>
                              <w:rPr>
                                <w:rFonts w:ascii="Traditional Arabic" w:hAnsi="Traditional Arabic" w:cs="Traditional Arabic"/>
                                <w:b/>
                                <w:bCs/>
                                <w:color w:val="000000"/>
                                <w:sz w:val="20"/>
                                <w:szCs w:val="20"/>
                                <w:lang w:bidi="ar-EG"/>
                              </w:rPr>
                            </w:pPr>
                            <w:r w:rsidRPr="001254C4">
                              <w:rPr>
                                <w:rFonts w:ascii="Traditional Arabic" w:hAnsi="Traditional Arabic" w:cs="Traditional Arabic"/>
                                <w:b/>
                                <w:bCs/>
                                <w:color w:val="000000"/>
                                <w:sz w:val="20"/>
                                <w:szCs w:val="20"/>
                                <w:rtl/>
                                <w:lang w:bidi="ar-EG"/>
                              </w:rPr>
                              <w:t>الإزالة الإضافية للزئبق (</w:t>
                            </w:r>
                            <w:r w:rsidRPr="001254C4">
                              <w:rPr>
                                <w:rFonts w:cs="Traditional Arabic"/>
                                <w:sz w:val="20"/>
                                <w:szCs w:val="20"/>
                                <w:rtl/>
                              </w:rPr>
                              <w:t>٪</w:t>
                            </w:r>
                            <w:r w:rsidRPr="001254C4">
                              <w:rPr>
                                <w:rFonts w:ascii="Traditional Arabic" w:hAnsi="Traditional Arabic" w:cs="Traditional Arabic"/>
                                <w:b/>
                                <w:bCs/>
                                <w:color w:val="000000"/>
                                <w:sz w:val="20"/>
                                <w:szCs w:val="20"/>
                                <w:rtl/>
                                <w:lang w:bidi="ar-EG"/>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81" type="#_x0000_t202" style="position:absolute;left:0;text-align:left;margin-left:-241.2pt;margin-top:16.3pt;width:17.1pt;height:13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" stroked="f">
                <v:textbox style="layout-flow:vertical;mso-layout-flow-alt:bottom-to-top" inset="0,0,0,0">
                  <w:txbxContent>
                    <w:p w:rsidR="0093783C" w:rsidRPr="001254C4" w:rsidRDefault="0093783C" w:rsidP="001254C4">
                      <w:pPr>
                        <w:jc w:val="center"/>
                        <w:rPr>
                          <w:rFonts w:ascii="Traditional Arabic" w:hAnsi="Traditional Arabic" w:cs="Traditional Arabic"/>
                          <w:b/>
                          <w:bCs/>
                          <w:color w:val="000000"/>
                          <w:sz w:val="20"/>
                          <w:szCs w:val="20"/>
                          <w:lang w:bidi="ar-EG"/>
                        </w:rPr>
                      </w:pPr>
                      <w:r w:rsidRPr="001254C4">
                        <w:rPr>
                          <w:rFonts w:ascii="Traditional Arabic" w:hAnsi="Traditional Arabic" w:cs="Traditional Arabic"/>
                          <w:b/>
                          <w:bCs/>
                          <w:color w:val="000000"/>
                          <w:sz w:val="20"/>
                          <w:szCs w:val="20"/>
                          <w:rtl/>
                          <w:lang w:bidi="ar-EG"/>
                        </w:rPr>
                        <w:t>الإزالة الإضافية للزئبق (</w:t>
                      </w:r>
                      <w:r w:rsidRPr="001254C4">
                        <w:rPr>
                          <w:rFonts w:cs="Traditional Arabic"/>
                          <w:sz w:val="20"/>
                          <w:szCs w:val="20"/>
                          <w:rtl/>
                        </w:rPr>
                        <w:t>٪</w:t>
                      </w:r>
                      <w:r w:rsidRPr="001254C4">
                        <w:rPr>
                          <w:rFonts w:ascii="Traditional Arabic" w:hAnsi="Traditional Arabic" w:cs="Traditional Arabic"/>
                          <w:b/>
                          <w:bCs/>
                          <w:color w:val="000000"/>
                          <w:sz w:val="20"/>
                          <w:szCs w:val="20"/>
                          <w:rtl/>
                          <w:lang w:bidi="ar-EG"/>
                        </w:rPr>
                        <w:t>)</w:t>
                      </w:r>
                    </w:p>
                  </w:txbxContent>
                </v:textbox>
              </v:shape>
            </w:pict>
          </mc:Fallback>
        </mc:AlternateContent>
      </w:r>
      <w:r>
        <w:rPr>
          <w:rFonts w:cs="Traditional Arabic"/>
          <w:noProof/>
          <w:sz w:val="20"/>
          <w:szCs w:val="30"/>
          <w:lang w:val="en-GB" w:eastAsia="zh-CN"/>
        </w:rPr>
        <w:drawing>
          <wp:anchor distT="0" distB="0" distL="114300" distR="114300" simplePos="0" relativeHeight="251673600" behindDoc="1" locked="0" layoutInCell="1" allowOverlap="1" wp14:anchorId="4931EB12" wp14:editId="1B13F26D">
            <wp:simplePos x="0" y="0"/>
            <wp:positionH relativeFrom="column">
              <wp:posOffset>2816225</wp:posOffset>
            </wp:positionH>
            <wp:positionV relativeFrom="paragraph">
              <wp:posOffset>139065</wp:posOffset>
            </wp:positionV>
            <wp:extent cx="2948940" cy="2143125"/>
            <wp:effectExtent l="0" t="0" r="3810" b="0"/>
            <wp:wrapTight wrapText="bothSides">
              <wp:wrapPolygon edited="0">
                <wp:start x="0" y="0"/>
                <wp:lineTo x="0" y="21312"/>
                <wp:lineTo x="21488" y="21312"/>
                <wp:lineTo x="21488" y="0"/>
                <wp:lineTo x="0" y="0"/>
              </wp:wrapPolygon>
            </wp:wrapTight>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894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20"/>
          <w:szCs w:val="30"/>
          <w:lang w:bidi="ar-EG"/>
        </w:rPr>
      </w:pPr>
      <w:r>
        <w:rPr>
          <w:rFonts w:cs="Traditional Arabic"/>
          <w:noProof/>
          <w:sz w:val="20"/>
          <w:szCs w:val="30"/>
          <w:lang w:val="en-GB" w:eastAsia="zh-CN"/>
        </w:rPr>
        <mc:AlternateContent>
          <mc:Choice Requires="wps">
            <w:drawing>
              <wp:anchor distT="0" distB="0" distL="114300" distR="114300" simplePos="0" relativeHeight="251662336" behindDoc="0" locked="0" layoutInCell="1" allowOverlap="1" wp14:anchorId="6747EDC0" wp14:editId="4D78DAC1">
                <wp:simplePos x="0" y="0"/>
                <wp:positionH relativeFrom="column">
                  <wp:posOffset>2784475</wp:posOffset>
                </wp:positionH>
                <wp:positionV relativeFrom="paragraph">
                  <wp:posOffset>8890</wp:posOffset>
                </wp:positionV>
                <wp:extent cx="3525520" cy="228600"/>
                <wp:effectExtent l="1270" t="635" r="0" b="0"/>
                <wp:wrapNone/>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4D4262" w:rsidRDefault="00670B40" w:rsidP="00335E4B">
                            <w:pPr>
                              <w:jc w:val="center"/>
                              <w:rPr>
                                <w:b/>
                                <w:bCs/>
                                <w:color w:val="000000"/>
                                <w:sz w:val="18"/>
                                <w:szCs w:val="24"/>
                                <w:lang w:bidi="ar-EG"/>
                              </w:rPr>
                            </w:pPr>
                            <w:r w:rsidRPr="004D4262">
                              <w:rPr>
                                <w:b/>
                                <w:bCs/>
                                <w:color w:val="000000"/>
                                <w:sz w:val="18"/>
                                <w:szCs w:val="24"/>
                                <w:rtl/>
                                <w:lang w:bidi="ar-EG"/>
                              </w:rPr>
                              <w:t xml:space="preserve">النسبة المئوية </w:t>
                            </w:r>
                            <w:r>
                              <w:rPr>
                                <w:b/>
                                <w:bCs/>
                                <w:color w:val="000000"/>
                                <w:sz w:val="18"/>
                                <w:szCs w:val="24"/>
                                <w:rtl/>
                                <w:lang w:bidi="ar-EG"/>
                              </w:rPr>
                              <w:t xml:space="preserve">للفحم القيري </w:t>
                            </w:r>
                            <w:r>
                              <w:rPr>
                                <w:rFonts w:hint="cs"/>
                                <w:b/>
                                <w:bCs/>
                                <w:color w:val="000000"/>
                                <w:sz w:val="18"/>
                                <w:szCs w:val="24"/>
                                <w:rtl/>
                                <w:lang w:bidi="ar-EG"/>
                              </w:rPr>
                              <w:t>من غرب</w:t>
                            </w:r>
                            <w:r>
                              <w:rPr>
                                <w:b/>
                                <w:bCs/>
                                <w:color w:val="000000"/>
                                <w:sz w:val="18"/>
                                <w:szCs w:val="24"/>
                                <w:rtl/>
                                <w:lang w:bidi="ar-EG"/>
                              </w:rPr>
                              <w:t xml:space="preserve"> الولايات المتحدة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82" type="#_x0000_t202" style="position:absolute;left:0;text-align:left;margin-left:219.25pt;margin-top:.7pt;width:277.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G8fg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" stroked="f">
                <v:textbox inset="0,0,0,0">
                  <w:txbxContent>
                    <w:p w:rsidR="0093783C" w:rsidRPr="004D4262" w:rsidRDefault="0093783C" w:rsidP="00335E4B">
                      <w:pPr>
                        <w:jc w:val="center"/>
                        <w:rPr>
                          <w:b/>
                          <w:bCs/>
                          <w:color w:val="000000"/>
                          <w:sz w:val="18"/>
                          <w:szCs w:val="24"/>
                          <w:lang w:bidi="ar-EG"/>
                        </w:rPr>
                      </w:pPr>
                      <w:r w:rsidRPr="004D4262">
                        <w:rPr>
                          <w:b/>
                          <w:bCs/>
                          <w:color w:val="000000"/>
                          <w:sz w:val="18"/>
                          <w:szCs w:val="24"/>
                          <w:rtl/>
                          <w:lang w:bidi="ar-EG"/>
                        </w:rPr>
                        <w:t xml:space="preserve">النسبة المئوية </w:t>
                      </w:r>
                      <w:r>
                        <w:rPr>
                          <w:b/>
                          <w:bCs/>
                          <w:color w:val="000000"/>
                          <w:sz w:val="18"/>
                          <w:szCs w:val="24"/>
                          <w:rtl/>
                          <w:lang w:bidi="ar-EG"/>
                        </w:rPr>
                        <w:t xml:space="preserve">للفحم القيري </w:t>
                      </w:r>
                      <w:r>
                        <w:rPr>
                          <w:rFonts w:hint="cs"/>
                          <w:b/>
                          <w:bCs/>
                          <w:color w:val="000000"/>
                          <w:sz w:val="18"/>
                          <w:szCs w:val="24"/>
                          <w:rtl/>
                          <w:lang w:bidi="ar-EG"/>
                        </w:rPr>
                        <w:t>من غرب</w:t>
                      </w:r>
                      <w:r>
                        <w:rPr>
                          <w:b/>
                          <w:bCs/>
                          <w:color w:val="000000"/>
                          <w:sz w:val="18"/>
                          <w:szCs w:val="24"/>
                          <w:rtl/>
                          <w:lang w:bidi="ar-EG"/>
                        </w:rPr>
                        <w:t xml:space="preserve"> الولايات المتحدة</w:t>
                      </w:r>
                    </w:p>
                  </w:txbxContent>
                </v:textbox>
              </v:shape>
            </w:pict>
          </mc:Fallback>
        </mc:AlternateContent>
      </w:r>
    </w:p>
    <w:p w:rsidR="00335E4B" w:rsidRPr="00335E4B" w:rsidRDefault="00335E4B" w:rsidP="004F4716">
      <w:pPr>
        <w:keepNext/>
        <w:spacing w:after="120" w:line="400" w:lineRule="exact"/>
        <w:jc w:val="both"/>
        <w:outlineLvl w:val="2"/>
        <w:rPr>
          <w:rFonts w:cs="Traditional Arabic"/>
          <w:b/>
          <w:bCs/>
          <w:sz w:val="20"/>
          <w:szCs w:val="30"/>
          <w:rtl/>
          <w:lang w:bidi="ar-EG"/>
        </w:rPr>
      </w:pPr>
      <w:bookmarkStart w:id="641" w:name="_Toc440527769"/>
      <w:bookmarkStart w:id="642" w:name="_Toc440550470"/>
      <w:bookmarkStart w:id="643" w:name="_Toc441577727"/>
      <w:bookmarkStart w:id="644" w:name="_Toc441577906"/>
      <w:bookmarkStart w:id="645" w:name="_Toc441579132"/>
      <w:bookmarkStart w:id="646" w:name="_Toc441580740"/>
      <w:bookmarkStart w:id="647" w:name="_Toc441585871"/>
      <w:bookmarkStart w:id="648" w:name="_Toc441586207"/>
      <w:bookmarkStart w:id="649" w:name="_Toc441586657"/>
      <w:bookmarkStart w:id="650" w:name="_Toc441586836"/>
      <w:bookmarkStart w:id="651" w:name="_Toc441666685"/>
      <w:bookmarkStart w:id="652" w:name="_Toc441673746"/>
      <w:r w:rsidRPr="00335E4B">
        <w:rPr>
          <w:rFonts w:cs="Traditional Arabic"/>
          <w:b/>
          <w:bCs/>
          <w:sz w:val="20"/>
          <w:szCs w:val="30"/>
          <w:rtl/>
          <w:lang w:bidi="ar-EG"/>
        </w:rPr>
        <w:t xml:space="preserve">الشكل 6 - الأثر المحتمل لخلط الفحم على التقاط الزئبق في نظام </w:t>
      </w:r>
      <w:r w:rsidRPr="00335E4B">
        <w:rPr>
          <w:rFonts w:cs="Traditional Arabic" w:hint="cs"/>
          <w:b/>
          <w:bCs/>
          <w:sz w:val="20"/>
          <w:szCs w:val="30"/>
          <w:rtl/>
          <w:lang w:bidi="ar-EG"/>
        </w:rPr>
        <w:t>التنظيف</w:t>
      </w:r>
      <w:r w:rsidRPr="00335E4B">
        <w:rPr>
          <w:rFonts w:cs="Traditional Arabic"/>
          <w:b/>
          <w:bCs/>
          <w:sz w:val="20"/>
          <w:szCs w:val="30"/>
          <w:rtl/>
          <w:lang w:bidi="ar-EG"/>
        </w:rPr>
        <w:t xml:space="preserve"> الجاف لإزالة الكبريت من غاز المدخنة</w:t>
      </w:r>
      <w:bookmarkEnd w:id="641"/>
      <w:bookmarkEnd w:id="642"/>
      <w:bookmarkEnd w:id="643"/>
      <w:bookmarkEnd w:id="644"/>
      <w:bookmarkEnd w:id="645"/>
      <w:bookmarkEnd w:id="646"/>
      <w:bookmarkEnd w:id="647"/>
      <w:bookmarkEnd w:id="648"/>
      <w:bookmarkEnd w:id="649"/>
      <w:bookmarkEnd w:id="650"/>
      <w:bookmarkEnd w:id="651"/>
      <w:bookmarkEnd w:id="652"/>
    </w:p>
    <w:p w:rsidR="00335E4B" w:rsidRPr="00335E4B" w:rsidRDefault="00335E4B" w:rsidP="00335E4B">
      <w:pPr>
        <w:tabs>
          <w:tab w:val="left" w:pos="663"/>
          <w:tab w:val="left" w:pos="1117"/>
          <w:tab w:val="left" w:pos="2230"/>
          <w:tab w:val="center" w:pos="5468"/>
        </w:tabs>
        <w:spacing w:after="120" w:line="360" w:lineRule="exact"/>
        <w:jc w:val="both"/>
        <w:rPr>
          <w:rFonts w:cs="Traditional Arabic"/>
          <w:sz w:val="20"/>
          <w:szCs w:val="30"/>
          <w:rtl/>
          <w:lang w:bidi="ar-EG"/>
        </w:rPr>
      </w:pPr>
      <w:r w:rsidRPr="00335E4B">
        <w:rPr>
          <w:rFonts w:cs="Traditional Arabic"/>
          <w:sz w:val="20"/>
          <w:szCs w:val="30"/>
          <w:rtl/>
          <w:lang w:bidi="ar-EG"/>
        </w:rPr>
        <w:t xml:space="preserve">وهكذا فإن خلط </w:t>
      </w:r>
      <w:r w:rsidRPr="00335E4B">
        <w:rPr>
          <w:rFonts w:cs="Traditional Arabic" w:hint="cs"/>
          <w:sz w:val="20"/>
          <w:szCs w:val="30"/>
          <w:rtl/>
          <w:lang w:bidi="ar-EG"/>
        </w:rPr>
        <w:t>الفحم</w:t>
      </w:r>
      <w:r w:rsidRPr="00335E4B">
        <w:rPr>
          <w:rFonts w:cs="Traditional Arabic"/>
          <w:sz w:val="20"/>
          <w:szCs w:val="30"/>
          <w:rtl/>
          <w:lang w:bidi="ar-EG"/>
        </w:rPr>
        <w:t xml:space="preserve"> </w:t>
      </w:r>
      <w:r w:rsidRPr="00335E4B">
        <w:rPr>
          <w:rFonts w:cs="Traditional Arabic" w:hint="cs"/>
          <w:sz w:val="20"/>
          <w:szCs w:val="30"/>
          <w:rtl/>
          <w:lang w:bidi="ar-EG"/>
        </w:rPr>
        <w:t>يمكن أن</w:t>
      </w:r>
      <w:r w:rsidRPr="00335E4B">
        <w:rPr>
          <w:rFonts w:cs="Traditional Arabic"/>
          <w:sz w:val="20"/>
          <w:szCs w:val="30"/>
          <w:rtl/>
          <w:lang w:bidi="ar-EG"/>
        </w:rPr>
        <w:t xml:space="preserve"> ينطوي على زيادة أكسدة الزئبق في المنشآت التي تحرق الفحم المنخفض الكلور والمرتفع الكالسيوم. وخصائص أنواع الفحم </w:t>
      </w:r>
      <w:r w:rsidRPr="00335E4B">
        <w:rPr>
          <w:rFonts w:cs="Traditional Arabic" w:hint="cs"/>
          <w:sz w:val="20"/>
          <w:szCs w:val="30"/>
          <w:rtl/>
          <w:lang w:bidi="ar-EG"/>
        </w:rPr>
        <w:t>المختلفة</w:t>
      </w:r>
      <w:r w:rsidRPr="00335E4B">
        <w:rPr>
          <w:rFonts w:cs="Traditional Arabic"/>
          <w:sz w:val="20"/>
          <w:szCs w:val="30"/>
          <w:rtl/>
          <w:lang w:bidi="ar-EG"/>
        </w:rPr>
        <w:t xml:space="preserve"> تؤدي دوراً رئيسياً في تحديد تنوع</w:t>
      </w:r>
      <w:r w:rsidRPr="00335E4B">
        <w:rPr>
          <w:rFonts w:cs="Traditional Arabic" w:hint="cs"/>
          <w:sz w:val="20"/>
          <w:szCs w:val="30"/>
          <w:rtl/>
          <w:lang w:bidi="ar-EG"/>
        </w:rPr>
        <w:t>ات</w:t>
      </w:r>
      <w:r w:rsidRPr="00335E4B">
        <w:rPr>
          <w:rFonts w:cs="Traditional Arabic"/>
          <w:sz w:val="20"/>
          <w:szCs w:val="30"/>
          <w:rtl/>
          <w:lang w:bidi="ar-EG"/>
        </w:rPr>
        <w:t xml:space="preserve"> الزئبق. وهذا بدوره يمكن أن يؤثر تأثيراً هائلاً على مقدار الزئبق الذي يتم التقاطه في الأجهزة القائمة لضبط التلوث مثل نُظم </w:t>
      </w:r>
      <w:r w:rsidRPr="00335E4B">
        <w:rPr>
          <w:rFonts w:cs="Traditional Arabic" w:hint="cs"/>
          <w:sz w:val="20"/>
          <w:szCs w:val="30"/>
          <w:rtl/>
          <w:lang w:bidi="ar-EG"/>
        </w:rPr>
        <w:t>إزالة</w:t>
      </w:r>
      <w:r w:rsidRPr="00335E4B">
        <w:rPr>
          <w:rFonts w:cs="Traditional Arabic"/>
          <w:sz w:val="20"/>
          <w:szCs w:val="30"/>
          <w:rtl/>
          <w:lang w:bidi="ar-EG"/>
        </w:rPr>
        <w:t xml:space="preserve"> الكبريت من غاز </w:t>
      </w:r>
      <w:r w:rsidRPr="00335E4B">
        <w:rPr>
          <w:rFonts w:cs="Traditional Arabic" w:hint="cs"/>
          <w:sz w:val="20"/>
          <w:szCs w:val="30"/>
          <w:rtl/>
          <w:lang w:bidi="ar-EG"/>
        </w:rPr>
        <w:t>المدخنة</w:t>
      </w:r>
      <w:r w:rsidRPr="00335E4B">
        <w:rPr>
          <w:rFonts w:cs="Traditional Arabic"/>
          <w:sz w:val="20"/>
          <w:szCs w:val="30"/>
          <w:rtl/>
          <w:lang w:bidi="ar-EG"/>
        </w:rPr>
        <w:t xml:space="preserve">. وقد يكون الأثر أكثر وضوحاً في المنشآت المجهزة بنُظم الاختزال الحفزي الانتقائي </w:t>
      </w:r>
      <w:r w:rsidRPr="00335E4B">
        <w:rPr>
          <w:rFonts w:cs="Traditional Arabic" w:hint="cs"/>
          <w:sz w:val="20"/>
          <w:szCs w:val="30"/>
          <w:rtl/>
          <w:lang w:bidi="ar-EG"/>
        </w:rPr>
        <w:t>كما سيناقش أدناه.</w:t>
      </w:r>
    </w:p>
    <w:p w:rsidR="00335E4B" w:rsidRPr="00335E4B" w:rsidRDefault="00335E4B" w:rsidP="00335E4B">
      <w:pPr>
        <w:keepNext/>
        <w:spacing w:before="120" w:after="120" w:line="400" w:lineRule="exact"/>
        <w:ind w:left="992" w:hanging="992"/>
        <w:jc w:val="both"/>
        <w:outlineLvl w:val="0"/>
        <w:rPr>
          <w:rFonts w:cs="Traditional Arabic"/>
          <w:b/>
          <w:bCs/>
          <w:sz w:val="30"/>
          <w:szCs w:val="30"/>
          <w:rtl/>
        </w:rPr>
      </w:pPr>
      <w:bookmarkStart w:id="653" w:name="_Toc440456844"/>
      <w:bookmarkStart w:id="654" w:name="_Toc440526914"/>
      <w:bookmarkStart w:id="655" w:name="_Toc440527770"/>
      <w:bookmarkStart w:id="656" w:name="_Toc440550471"/>
      <w:bookmarkStart w:id="657" w:name="_Toc441577728"/>
      <w:bookmarkStart w:id="658" w:name="_Toc441577907"/>
      <w:bookmarkStart w:id="659" w:name="_Toc441579133"/>
      <w:bookmarkStart w:id="660" w:name="_Toc441580741"/>
      <w:bookmarkStart w:id="661" w:name="_Toc441585872"/>
      <w:bookmarkStart w:id="662" w:name="_Toc441586208"/>
      <w:bookmarkStart w:id="663" w:name="_Toc441586658"/>
      <w:bookmarkStart w:id="664" w:name="_Toc441586837"/>
      <w:bookmarkStart w:id="665" w:name="_Toc441666686"/>
      <w:bookmarkStart w:id="666" w:name="_Toc441673747"/>
      <w:r w:rsidRPr="00335E4B">
        <w:rPr>
          <w:rFonts w:cs="Traditional Arabic"/>
          <w:b/>
          <w:bCs/>
          <w:sz w:val="30"/>
          <w:szCs w:val="30"/>
          <w:rtl/>
        </w:rPr>
        <w:t>المواد المضافة لأكسدة الزئبق</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تزيد كمية الزئبق المُلتَقَط عموماً مع زيادة مقدار الهالوجينات في الفحم. وبالتالي يتم إضافة هالوجينات إضافية مثل أملاح البروم أو الكلور في كثير من الأحيان لدعم زيادة </w:t>
      </w:r>
      <w:r w:rsidRPr="00335E4B">
        <w:rPr>
          <w:rFonts w:cs="Traditional Arabic" w:hint="cs"/>
          <w:sz w:val="20"/>
          <w:szCs w:val="30"/>
          <w:rtl/>
        </w:rPr>
        <w:t>الالتقاط</w:t>
      </w:r>
      <w:r w:rsidRPr="00335E4B">
        <w:rPr>
          <w:rFonts w:cs="Traditional Arabic"/>
          <w:sz w:val="20"/>
          <w:szCs w:val="30"/>
          <w:rtl/>
        </w:rPr>
        <w:t xml:space="preserve"> في أنواع الفحم التي تحتوي على تركيزات هالوجين منخفضة. وقد يضاف كلوريد الهيدروجين </w:t>
      </w:r>
      <w:r w:rsidRPr="00335E4B">
        <w:rPr>
          <w:rFonts w:cs="Times New Roman"/>
          <w:sz w:val="20"/>
          <w:szCs w:val="20"/>
          <w:rtl/>
        </w:rPr>
        <w:t>(</w:t>
      </w:r>
      <w:r w:rsidRPr="00335E4B">
        <w:rPr>
          <w:rFonts w:cs="Times New Roman"/>
          <w:sz w:val="20"/>
          <w:szCs w:val="20"/>
        </w:rPr>
        <w:t>HCl</w:t>
      </w:r>
      <w:r w:rsidRPr="00335E4B">
        <w:rPr>
          <w:rFonts w:cs="Times New Roman"/>
          <w:sz w:val="20"/>
          <w:szCs w:val="20"/>
          <w:rtl/>
        </w:rPr>
        <w:t>)</w:t>
      </w:r>
      <w:r w:rsidRPr="00335E4B">
        <w:rPr>
          <w:rFonts w:cs="Traditional Arabic"/>
          <w:sz w:val="20"/>
          <w:szCs w:val="30"/>
          <w:rtl/>
        </w:rPr>
        <w:t xml:space="preserve"> أو كلوريد الأموني</w:t>
      </w:r>
      <w:r w:rsidRPr="00335E4B">
        <w:rPr>
          <w:rFonts w:cs="Traditional Arabic" w:hint="cs"/>
          <w:sz w:val="20"/>
          <w:szCs w:val="30"/>
          <w:rtl/>
        </w:rPr>
        <w:t>وم</w:t>
      </w:r>
      <w:r w:rsidRPr="00335E4B">
        <w:rPr>
          <w:rFonts w:cs="Traditional Arabic"/>
          <w:sz w:val="20"/>
          <w:szCs w:val="30"/>
          <w:rtl/>
        </w:rPr>
        <w:t xml:space="preserve"> </w:t>
      </w:r>
      <w:r w:rsidRPr="00335E4B">
        <w:rPr>
          <w:rFonts w:cs="Times New Roman"/>
          <w:sz w:val="20"/>
          <w:szCs w:val="20"/>
          <w:rtl/>
        </w:rPr>
        <w:t>(</w:t>
      </w:r>
      <w:r w:rsidRPr="00335E4B">
        <w:rPr>
          <w:rFonts w:cs="Times New Roman"/>
          <w:sz w:val="20"/>
          <w:szCs w:val="20"/>
        </w:rPr>
        <w:t>NH</w:t>
      </w:r>
      <w:r w:rsidRPr="00335E4B">
        <w:rPr>
          <w:rFonts w:cs="Times New Roman"/>
          <w:sz w:val="20"/>
          <w:szCs w:val="20"/>
          <w:vertAlign w:val="subscript"/>
        </w:rPr>
        <w:t>4</w:t>
      </w:r>
      <w:r w:rsidRPr="00335E4B">
        <w:rPr>
          <w:rFonts w:cs="Times New Roman"/>
          <w:sz w:val="20"/>
          <w:szCs w:val="20"/>
        </w:rPr>
        <w:t>Cl</w:t>
      </w:r>
      <w:r w:rsidRPr="00335E4B">
        <w:rPr>
          <w:rFonts w:cs="Times New Roman"/>
          <w:sz w:val="20"/>
          <w:szCs w:val="20"/>
          <w:rtl/>
        </w:rPr>
        <w:t>)</w:t>
      </w:r>
      <w:r w:rsidRPr="00335E4B">
        <w:rPr>
          <w:rFonts w:cs="Traditional Arabic"/>
          <w:sz w:val="20"/>
          <w:szCs w:val="30"/>
          <w:rtl/>
        </w:rPr>
        <w:t xml:space="preserve">. وتدعم </w:t>
      </w:r>
      <w:r w:rsidRPr="00335E4B">
        <w:rPr>
          <w:rFonts w:cs="Traditional Arabic" w:hint="cs"/>
          <w:sz w:val="20"/>
          <w:szCs w:val="30"/>
          <w:rtl/>
        </w:rPr>
        <w:t>مضافات</w:t>
      </w:r>
      <w:r w:rsidRPr="00335E4B">
        <w:rPr>
          <w:rFonts w:cs="Traditional Arabic"/>
          <w:sz w:val="20"/>
          <w:szCs w:val="30"/>
          <w:rtl/>
        </w:rPr>
        <w:t xml:space="preserve"> الهالوجين تكوين الزئبق المؤكسَد و</w:t>
      </w:r>
      <w:r w:rsidRPr="00335E4B">
        <w:rPr>
          <w:rFonts w:cs="Traditional Arabic" w:hint="cs"/>
          <w:sz w:val="20"/>
          <w:szCs w:val="30"/>
          <w:rtl/>
        </w:rPr>
        <w:t xml:space="preserve">الزئبق </w:t>
      </w:r>
      <w:r w:rsidRPr="00335E4B">
        <w:rPr>
          <w:rFonts w:cs="Traditional Arabic"/>
          <w:sz w:val="20"/>
          <w:szCs w:val="30"/>
          <w:rtl/>
        </w:rPr>
        <w:t xml:space="preserve">العالِق بالجسيمات، </w:t>
      </w:r>
      <w:r w:rsidRPr="00335E4B">
        <w:rPr>
          <w:rFonts w:cs="Traditional Arabic" w:hint="cs"/>
          <w:sz w:val="20"/>
          <w:szCs w:val="30"/>
          <w:rtl/>
        </w:rPr>
        <w:t>الذي يلتقط ب</w:t>
      </w:r>
      <w:r w:rsidRPr="00335E4B">
        <w:rPr>
          <w:rFonts w:cs="Traditional Arabic"/>
          <w:sz w:val="20"/>
          <w:szCs w:val="30"/>
          <w:rtl/>
        </w:rPr>
        <w:t xml:space="preserve">سهولة </w:t>
      </w:r>
      <w:r w:rsidRPr="00335E4B">
        <w:rPr>
          <w:rFonts w:cs="Traditional Arabic" w:hint="cs"/>
          <w:sz w:val="20"/>
          <w:szCs w:val="30"/>
          <w:rtl/>
        </w:rPr>
        <w:t xml:space="preserve">أكبر </w:t>
      </w:r>
      <w:r w:rsidRPr="00335E4B">
        <w:rPr>
          <w:rFonts w:cs="Traditional Arabic"/>
          <w:sz w:val="20"/>
          <w:szCs w:val="30"/>
          <w:rtl/>
        </w:rPr>
        <w:t xml:space="preserve">في الأجهزة المقامة </w:t>
      </w:r>
      <w:r w:rsidRPr="00335E4B">
        <w:rPr>
          <w:rFonts w:cs="Traditional Arabic" w:hint="cs"/>
          <w:sz w:val="20"/>
          <w:szCs w:val="30"/>
          <w:rtl/>
        </w:rPr>
        <w:t>عند مخارج هذه العملية</w:t>
      </w:r>
      <w:r w:rsidRPr="00335E4B">
        <w:rPr>
          <w:rFonts w:cs="Traditional Arabic"/>
          <w:sz w:val="20"/>
          <w:szCs w:val="30"/>
          <w:rtl/>
        </w:rPr>
        <w:t xml:space="preserve">. وقد تكون </w:t>
      </w:r>
      <w:r w:rsidRPr="00335E4B">
        <w:rPr>
          <w:rFonts w:cs="Traditional Arabic" w:hint="cs"/>
          <w:sz w:val="20"/>
          <w:szCs w:val="30"/>
          <w:rtl/>
        </w:rPr>
        <w:t>مضافات</w:t>
      </w:r>
      <w:r w:rsidRPr="00335E4B">
        <w:rPr>
          <w:rFonts w:cs="Traditional Arabic"/>
          <w:sz w:val="20"/>
          <w:szCs w:val="30"/>
          <w:rtl/>
        </w:rPr>
        <w:t xml:space="preserve"> الهالوجين مفيدة بصفة خاصة لتحسين إزالة الزئبق في الوحدات التي تعمل بحرق الفحم المنخفض الهالوجين. فيمكن رش </w:t>
      </w:r>
      <w:r w:rsidRPr="00335E4B">
        <w:rPr>
          <w:rFonts w:cs="Traditional Arabic" w:hint="cs"/>
          <w:sz w:val="20"/>
          <w:szCs w:val="30"/>
          <w:rtl/>
        </w:rPr>
        <w:t>المواد المضافة</w:t>
      </w:r>
      <w:r w:rsidRPr="00335E4B">
        <w:rPr>
          <w:rFonts w:cs="Traditional Arabic"/>
          <w:sz w:val="20"/>
          <w:szCs w:val="30"/>
          <w:rtl/>
        </w:rPr>
        <w:t xml:space="preserve"> على الفحم أو إضافتها كمواد صلبة لتيّار الفحم </w:t>
      </w:r>
      <w:r w:rsidRPr="00335E4B">
        <w:rPr>
          <w:rFonts w:cs="Traditional Arabic" w:hint="cs"/>
          <w:sz w:val="20"/>
          <w:szCs w:val="30"/>
          <w:rtl/>
        </w:rPr>
        <w:t>إما</w:t>
      </w:r>
      <w:r w:rsidRPr="00335E4B">
        <w:rPr>
          <w:rFonts w:cs="Traditional Arabic"/>
          <w:sz w:val="20"/>
          <w:szCs w:val="30"/>
          <w:rtl/>
        </w:rPr>
        <w:t xml:space="preserve"> </w:t>
      </w:r>
      <w:r w:rsidRPr="00335E4B">
        <w:rPr>
          <w:rFonts w:cs="Traditional Arabic" w:hint="cs"/>
          <w:sz w:val="20"/>
          <w:szCs w:val="30"/>
          <w:rtl/>
        </w:rPr>
        <w:t>في المرحلة السابقة ل</w:t>
      </w:r>
      <w:r w:rsidRPr="00335E4B">
        <w:rPr>
          <w:rFonts w:cs="Traditional Arabic"/>
          <w:sz w:val="20"/>
          <w:szCs w:val="30"/>
          <w:rtl/>
        </w:rPr>
        <w:t xml:space="preserve">جهاز سحق الفحم أو حقنها في </w:t>
      </w:r>
      <w:r w:rsidRPr="00335E4B">
        <w:rPr>
          <w:rFonts w:cs="Traditional Arabic" w:hint="cs"/>
          <w:sz w:val="20"/>
          <w:szCs w:val="30"/>
          <w:rtl/>
        </w:rPr>
        <w:t>المرجَل</w:t>
      </w:r>
      <w:r w:rsidRPr="00335E4B">
        <w:rPr>
          <w:rFonts w:cs="Traditional Arabic"/>
          <w:sz w:val="20"/>
          <w:szCs w:val="30"/>
          <w:rtl/>
        </w:rPr>
        <w:t>.</w:t>
      </w:r>
    </w:p>
    <w:p w:rsidR="00335E4B" w:rsidRPr="00335E4B" w:rsidRDefault="00335E4B" w:rsidP="007F54B7">
      <w:pPr>
        <w:tabs>
          <w:tab w:val="left" w:pos="663"/>
          <w:tab w:val="left" w:pos="1117"/>
          <w:tab w:val="left" w:pos="2230"/>
          <w:tab w:val="center" w:pos="5468"/>
        </w:tabs>
        <w:spacing w:after="120" w:line="360" w:lineRule="exact"/>
        <w:jc w:val="both"/>
        <w:rPr>
          <w:rFonts w:cs="Traditional Arabic"/>
          <w:sz w:val="20"/>
          <w:szCs w:val="30"/>
          <w:rtl/>
          <w:lang w:bidi="ar-EG"/>
        </w:rPr>
      </w:pPr>
      <w:r w:rsidRPr="00335E4B">
        <w:rPr>
          <w:rFonts w:cs="Traditional Arabic"/>
          <w:sz w:val="20"/>
          <w:szCs w:val="30"/>
          <w:rtl/>
        </w:rPr>
        <w:t xml:space="preserve">ويُعتَقَد أن البروم يتميَّز عن الكلور من ناحية أنه يتفاعل بصورة أكثر نشاطاً مع الزئبق </w:t>
      </w:r>
      <w:r w:rsidRPr="00335E4B">
        <w:rPr>
          <w:rFonts w:cs="Traditional Arabic" w:hint="cs"/>
          <w:sz w:val="20"/>
          <w:szCs w:val="30"/>
          <w:rtl/>
        </w:rPr>
        <w:t>من</w:t>
      </w:r>
      <w:r w:rsidRPr="00335E4B">
        <w:rPr>
          <w:rFonts w:cs="Traditional Arabic"/>
          <w:sz w:val="20"/>
          <w:szCs w:val="30"/>
          <w:rtl/>
        </w:rPr>
        <w:t xml:space="preserve"> </w:t>
      </w:r>
      <w:r w:rsidR="007F54B7">
        <w:rPr>
          <w:rFonts w:cs="Traditional Arabic" w:hint="cs"/>
          <w:sz w:val="20"/>
          <w:szCs w:val="30"/>
          <w:rtl/>
        </w:rPr>
        <w:t>الكلور</w:t>
      </w:r>
      <w:r w:rsidRPr="00335E4B">
        <w:rPr>
          <w:rFonts w:cs="Traditional Arabic"/>
          <w:sz w:val="20"/>
          <w:szCs w:val="30"/>
          <w:rtl/>
        </w:rPr>
        <w:t xml:space="preserve"> (فوستين وآخرون، 2002؛ فوستين وآخرون، 2003؛ فوستين وآخرون، 2003ب؛ فوستين وآخرون، 2003ج؛ بوشمال وآخرون، 2005). ومن المعتَقَد أن مسار الأكسدة </w:t>
      </w:r>
      <w:r w:rsidRPr="00335E4B">
        <w:rPr>
          <w:rFonts w:cs="Traditional Arabic" w:hint="cs"/>
          <w:sz w:val="20"/>
          <w:szCs w:val="30"/>
          <w:rtl/>
        </w:rPr>
        <w:t xml:space="preserve">غير </w:t>
      </w:r>
      <w:r w:rsidRPr="00335E4B">
        <w:rPr>
          <w:rFonts w:cs="Traditional Arabic"/>
          <w:sz w:val="20"/>
          <w:szCs w:val="30"/>
          <w:rtl/>
        </w:rPr>
        <w:t xml:space="preserve">المتجانس يتسم بالأهمية في ظروف غاز المدخنة الناتج عن حرق الفحم رغم أن محتوى الكلور في الفحم يزيد نمطياً عن محتوى البروم (فوستين وآخرون، 2006ب، ريني وفوستين، 2008، سينيور وآخرون، 2008، فوستين وآخرون 2010). وأُجريت اختبارات كاملة النطاق باستخدام محلول </w:t>
      </w:r>
      <w:r w:rsidRPr="00335E4B">
        <w:rPr>
          <w:rFonts w:cs="Traditional Arabic" w:hint="cs"/>
          <w:sz w:val="20"/>
          <w:szCs w:val="30"/>
          <w:rtl/>
        </w:rPr>
        <w:t>مائي يحتوي على</w:t>
      </w:r>
      <w:r w:rsidRPr="00335E4B">
        <w:rPr>
          <w:rFonts w:cs="Traditional Arabic"/>
          <w:sz w:val="20"/>
          <w:szCs w:val="30"/>
          <w:rtl/>
        </w:rPr>
        <w:t xml:space="preserve"> بروم</w:t>
      </w:r>
      <w:r w:rsidRPr="00335E4B">
        <w:rPr>
          <w:rFonts w:cs="Traditional Arabic" w:hint="cs"/>
          <w:sz w:val="20"/>
          <w:szCs w:val="30"/>
          <w:rtl/>
        </w:rPr>
        <w:t>يد</w:t>
      </w:r>
      <w:r w:rsidRPr="00335E4B">
        <w:rPr>
          <w:rFonts w:cs="Traditional Arabic"/>
          <w:sz w:val="20"/>
          <w:szCs w:val="30"/>
          <w:rtl/>
        </w:rPr>
        <w:t xml:space="preserve"> الكالسيوم </w:t>
      </w:r>
      <w:r w:rsidRPr="00335E4B">
        <w:rPr>
          <w:rFonts w:cs="Traditional Arabic" w:hint="cs"/>
          <w:sz w:val="20"/>
          <w:szCs w:val="30"/>
          <w:rtl/>
        </w:rPr>
        <w:t>بنسبة</w:t>
      </w:r>
      <w:r w:rsidRPr="00335E4B">
        <w:rPr>
          <w:rFonts w:cs="Traditional Arabic"/>
          <w:sz w:val="20"/>
          <w:szCs w:val="30"/>
          <w:rtl/>
        </w:rPr>
        <w:t xml:space="preserve"> 52 في المائة من الوزن</w:t>
      </w:r>
      <w:r w:rsidRPr="00335E4B">
        <w:rPr>
          <w:rFonts w:cs="Traditional Arabic" w:hint="cs"/>
          <w:sz w:val="20"/>
          <w:szCs w:val="30"/>
          <w:rtl/>
        </w:rPr>
        <w:t>، وذلك</w:t>
      </w:r>
      <w:r w:rsidRPr="00335E4B">
        <w:rPr>
          <w:rFonts w:cs="Traditional Arabic"/>
          <w:sz w:val="20"/>
          <w:szCs w:val="30"/>
          <w:rtl/>
        </w:rPr>
        <w:t xml:space="preserve"> </w:t>
      </w:r>
      <w:r w:rsidRPr="00335E4B">
        <w:rPr>
          <w:rFonts w:cs="Traditional Arabic" w:hint="cs"/>
          <w:sz w:val="20"/>
          <w:szCs w:val="30"/>
          <w:rtl/>
        </w:rPr>
        <w:t>كمادة مضافة</w:t>
      </w:r>
      <w:r w:rsidRPr="00335E4B">
        <w:rPr>
          <w:rFonts w:cs="Traditional Arabic"/>
          <w:sz w:val="20"/>
          <w:szCs w:val="30"/>
          <w:rtl/>
        </w:rPr>
        <w:t xml:space="preserve"> سابقة للا</w:t>
      </w:r>
      <w:r w:rsidRPr="00335E4B">
        <w:rPr>
          <w:rFonts w:cs="Traditional Arabic" w:hint="cs"/>
          <w:sz w:val="20"/>
          <w:szCs w:val="30"/>
          <w:rtl/>
        </w:rPr>
        <w:t>حتراق</w:t>
      </w:r>
      <w:r w:rsidRPr="00335E4B">
        <w:rPr>
          <w:rFonts w:cs="Traditional Arabic"/>
          <w:sz w:val="20"/>
          <w:szCs w:val="30"/>
          <w:rtl/>
        </w:rPr>
        <w:t xml:space="preserve"> بتركيز بنسبة 25 جزء من المليون </w:t>
      </w:r>
      <w:r w:rsidRPr="00335E4B">
        <w:rPr>
          <w:rFonts w:cs="Traditional Arabic" w:hint="cs"/>
          <w:sz w:val="20"/>
          <w:szCs w:val="30"/>
          <w:rtl/>
        </w:rPr>
        <w:t>بمستوى</w:t>
      </w:r>
      <w:r w:rsidRPr="00335E4B">
        <w:rPr>
          <w:rFonts w:cs="Traditional Arabic"/>
          <w:sz w:val="20"/>
          <w:szCs w:val="30"/>
          <w:rtl/>
        </w:rPr>
        <w:t xml:space="preserve"> معادل الفحم</w:t>
      </w:r>
      <w:r w:rsidRPr="00335E4B">
        <w:rPr>
          <w:rFonts w:cs="Traditional Arabic" w:hint="cs"/>
          <w:sz w:val="20"/>
          <w:szCs w:val="30"/>
          <w:rtl/>
        </w:rPr>
        <w:t>، و</w:t>
      </w:r>
      <w:r w:rsidRPr="00335E4B">
        <w:rPr>
          <w:rFonts w:cs="Traditional Arabic"/>
          <w:sz w:val="20"/>
          <w:szCs w:val="30"/>
          <w:rtl/>
        </w:rPr>
        <w:t>زادت</w:t>
      </w:r>
      <w:r w:rsidRPr="00335E4B">
        <w:rPr>
          <w:rFonts w:cs="Traditional Arabic" w:hint="cs"/>
          <w:sz w:val="20"/>
          <w:szCs w:val="30"/>
          <w:rtl/>
        </w:rPr>
        <w:t xml:space="preserve"> بذلك</w:t>
      </w:r>
      <w:r w:rsidRPr="00335E4B">
        <w:rPr>
          <w:rFonts w:cs="Traditional Arabic"/>
          <w:sz w:val="20"/>
          <w:szCs w:val="30"/>
          <w:rtl/>
        </w:rPr>
        <w:t xml:space="preserve"> نسبة تخفيض انبعاث الزئبق من 55 إلى 97 في المائة </w:t>
      </w:r>
      <w:r w:rsidRPr="00335E4B">
        <w:rPr>
          <w:rFonts w:cs="Traditional Arabic" w:hint="cs"/>
          <w:sz w:val="20"/>
          <w:szCs w:val="30"/>
          <w:rtl/>
        </w:rPr>
        <w:t xml:space="preserve">في </w:t>
      </w:r>
      <w:r w:rsidRPr="00335E4B">
        <w:rPr>
          <w:rFonts w:cs="Traditional Arabic"/>
          <w:sz w:val="20"/>
          <w:szCs w:val="30"/>
          <w:rtl/>
        </w:rPr>
        <w:t>وحدة بقوة 600 ميغاواط تعمل بحرق الفحم القيري ومجهَّزة بنظام اختزال حفزي انتقائي وتنظيف رطب لإزالة الكبريت</w:t>
      </w:r>
      <w:r w:rsidRPr="00335E4B">
        <w:rPr>
          <w:rFonts w:cs="Traditional Arabic" w:hint="cs"/>
          <w:sz w:val="20"/>
          <w:szCs w:val="30"/>
          <w:rtl/>
        </w:rPr>
        <w:t xml:space="preserve"> </w:t>
      </w:r>
      <w:r w:rsidRPr="00335E4B">
        <w:rPr>
          <w:rFonts w:cs="Traditional Arabic"/>
          <w:sz w:val="20"/>
          <w:szCs w:val="30"/>
          <w:rtl/>
          <w:lang w:bidi="ar-EG"/>
        </w:rPr>
        <w:t xml:space="preserve">من غاز المدخنة (ريني وفوستين، 2009). وأثبتت الاختبارات الكاملة النطاق التي قام بها معهد بحوث الطاقة الكهربائية في الولايات المتحدة في 14 وحدة تعمل بحرق الفحم المنخفض الكلور أن أكثر من 90 في المائة من أكسدة زئبق غاز المدخنة </w:t>
      </w:r>
      <w:r w:rsidRPr="00335E4B">
        <w:rPr>
          <w:rFonts w:cs="Traditional Arabic" w:hint="cs"/>
          <w:sz w:val="20"/>
          <w:szCs w:val="30"/>
          <w:rtl/>
          <w:lang w:bidi="ar-EG"/>
        </w:rPr>
        <w:t xml:space="preserve">ترجع إلى </w:t>
      </w:r>
      <w:r w:rsidRPr="00335E4B">
        <w:rPr>
          <w:rFonts w:cs="Traditional Arabic"/>
          <w:sz w:val="20"/>
          <w:szCs w:val="30"/>
          <w:rtl/>
          <w:lang w:bidi="ar-EG"/>
        </w:rPr>
        <w:t>إضافات البروم</w:t>
      </w:r>
      <w:r w:rsidRPr="00335E4B">
        <w:rPr>
          <w:rFonts w:cs="Traditional Arabic" w:hint="cs"/>
          <w:sz w:val="20"/>
          <w:szCs w:val="30"/>
          <w:rtl/>
          <w:lang w:bidi="ar-EG"/>
        </w:rPr>
        <w:t>يد</w:t>
      </w:r>
      <w:r w:rsidRPr="00335E4B">
        <w:rPr>
          <w:rFonts w:cs="Traditional Arabic"/>
          <w:sz w:val="20"/>
          <w:szCs w:val="30"/>
          <w:rtl/>
          <w:lang w:bidi="ar-EG"/>
        </w:rPr>
        <w:t xml:space="preserve"> بما يعادل 25-300 جزء من المليون في الفحم (شانغ وآخرون، 2008). </w:t>
      </w: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20"/>
          <w:szCs w:val="30"/>
          <w:lang w:bidi="ar-EG"/>
        </w:rPr>
      </w:pPr>
      <w:r>
        <w:rPr>
          <w:rFonts w:cs="Traditional Arabic"/>
          <w:noProof/>
          <w:sz w:val="20"/>
          <w:szCs w:val="30"/>
          <w:lang w:val="en-GB" w:eastAsia="zh-CN"/>
        </w:rPr>
        <w:drawing>
          <wp:anchor distT="0" distB="0" distL="114300" distR="114300" simplePos="0" relativeHeight="251674624" behindDoc="1" locked="0" layoutInCell="1" allowOverlap="1" wp14:anchorId="306D0F8E" wp14:editId="62FA9493">
            <wp:simplePos x="0" y="0"/>
            <wp:positionH relativeFrom="column">
              <wp:posOffset>501650</wp:posOffset>
            </wp:positionH>
            <wp:positionV relativeFrom="paragraph">
              <wp:posOffset>39370</wp:posOffset>
            </wp:positionV>
            <wp:extent cx="5067935" cy="2958465"/>
            <wp:effectExtent l="0" t="0" r="0" b="0"/>
            <wp:wrapTight wrapText="bothSides">
              <wp:wrapPolygon edited="0">
                <wp:start x="0" y="0"/>
                <wp:lineTo x="0" y="21419"/>
                <wp:lineTo x="21516" y="21419"/>
                <wp:lineTo x="21516" y="0"/>
                <wp:lineTo x="0" y="0"/>
              </wp:wrapPolygon>
            </wp:wrapTight>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7935" cy="295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20"/>
          <w:szCs w:val="30"/>
          <w:rtl/>
          <w:lang w:bidi="ar-EG"/>
        </w:rPr>
      </w:pPr>
      <w:r>
        <w:rPr>
          <w:rFonts w:cs="Traditional Arabic"/>
          <w:noProof/>
          <w:sz w:val="20"/>
          <w:szCs w:val="30"/>
          <w:lang w:val="en-GB" w:eastAsia="zh-CN"/>
        </w:rPr>
        <mc:AlternateContent>
          <mc:Choice Requires="wps">
            <w:drawing>
              <wp:anchor distT="0" distB="0" distL="114300" distR="114300" simplePos="0" relativeHeight="251663360" behindDoc="0" locked="0" layoutInCell="1" allowOverlap="1" wp14:anchorId="4222AB03" wp14:editId="4707633D">
                <wp:simplePos x="0" y="0"/>
                <wp:positionH relativeFrom="column">
                  <wp:posOffset>-5205110</wp:posOffset>
                </wp:positionH>
                <wp:positionV relativeFrom="paragraph">
                  <wp:posOffset>48036</wp:posOffset>
                </wp:positionV>
                <wp:extent cx="289560" cy="1627505"/>
                <wp:effectExtent l="0" t="0" r="0" b="0"/>
                <wp:wrapNone/>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2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1254C4" w:rsidRDefault="00670B40" w:rsidP="00335E4B">
                            <w:pPr>
                              <w:spacing w:line="200" w:lineRule="exact"/>
                              <w:jc w:val="center"/>
                              <w:rPr>
                                <w:rFonts w:ascii="Traditional Arabic" w:hAnsi="Traditional Arabic" w:cs="Traditional Arabic"/>
                                <w:color w:val="000000"/>
                                <w:szCs w:val="20"/>
                                <w:rtl/>
                                <w:lang w:bidi="ar-EG"/>
                              </w:rPr>
                            </w:pPr>
                            <w:r w:rsidRPr="001254C4">
                              <w:rPr>
                                <w:rFonts w:ascii="Traditional Arabic" w:hAnsi="Traditional Arabic" w:cs="Traditional Arabic"/>
                                <w:color w:val="000000"/>
                                <w:szCs w:val="20"/>
                                <w:rtl/>
                                <w:lang w:bidi="ar-EG"/>
                              </w:rPr>
                              <w:t>تخفيض الزئبق النقي في خط الأساس</w:t>
                            </w:r>
                          </w:p>
                          <w:p w:rsidR="00670B40" w:rsidRPr="00DF0364" w:rsidRDefault="00670B40" w:rsidP="001254C4">
                            <w:pPr>
                              <w:spacing w:line="200" w:lineRule="exact"/>
                              <w:jc w:val="center"/>
                              <w:rPr>
                                <w:color w:val="000000"/>
                                <w:szCs w:val="20"/>
                                <w:lang w:bidi="ar-EG"/>
                              </w:rPr>
                            </w:pPr>
                            <w:r w:rsidRPr="001254C4">
                              <w:rPr>
                                <w:rFonts w:ascii="Traditional Arabic" w:hAnsi="Traditional Arabic" w:cs="Traditional Arabic"/>
                                <w:color w:val="000000"/>
                                <w:sz w:val="20"/>
                                <w:szCs w:val="20"/>
                                <w:rtl/>
                                <w:lang w:bidi="ar-EG"/>
                              </w:rPr>
                              <w:t>(</w:t>
                            </w:r>
                            <w:r w:rsidRPr="001254C4">
                              <w:rPr>
                                <w:rFonts w:cs="Traditional Arabic"/>
                                <w:sz w:val="20"/>
                                <w:szCs w:val="20"/>
                                <w:rtl/>
                              </w:rPr>
                              <w:t>٪</w:t>
                            </w:r>
                            <w:r w:rsidRPr="001254C4">
                              <w:rPr>
                                <w:rFonts w:ascii="Traditional Arabic" w:hAnsi="Traditional Arabic" w:cs="Traditional Arabic"/>
                                <w:color w:val="000000"/>
                                <w:szCs w:val="20"/>
                                <w:rtl/>
                                <w:lang w:bidi="ar-EG"/>
                              </w:rPr>
                              <w:t xml:space="preserve"> من خط أساس الزئبق النقي</w:t>
                            </w:r>
                            <w:r>
                              <w:rPr>
                                <w:color w:val="000000"/>
                                <w:szCs w:val="20"/>
                                <w:rtl/>
                                <w:lang w:bidi="ar-EG"/>
                              </w:rPr>
                              <w:t xml:space="preserve"> </w:t>
                            </w:r>
                            <w:r w:rsidRPr="00992288">
                              <w:rPr>
                                <w:color w:val="000000"/>
                                <w:sz w:val="14"/>
                                <w:szCs w:val="14"/>
                                <w:lang w:bidi="ar-EG"/>
                              </w:rPr>
                              <w:t>Hg(0)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083" type="#_x0000_t202" style="position:absolute;left:0;text-align:left;margin-left:-409.85pt;margin-top:3.8pt;width:22.8pt;height:12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" stroked="f">
                <v:textbox style="layout-flow:vertical;mso-layout-flow-alt:bottom-to-top" inset="0,0,0,0">
                  <w:txbxContent>
                    <w:p w:rsidR="0093783C" w:rsidRPr="001254C4" w:rsidRDefault="0093783C" w:rsidP="00335E4B">
                      <w:pPr>
                        <w:spacing w:line="200" w:lineRule="exact"/>
                        <w:jc w:val="center"/>
                        <w:rPr>
                          <w:rFonts w:ascii="Traditional Arabic" w:hAnsi="Traditional Arabic" w:cs="Traditional Arabic"/>
                          <w:color w:val="000000"/>
                          <w:szCs w:val="20"/>
                          <w:rtl/>
                          <w:lang w:bidi="ar-EG"/>
                        </w:rPr>
                      </w:pPr>
                      <w:r w:rsidRPr="001254C4">
                        <w:rPr>
                          <w:rFonts w:ascii="Traditional Arabic" w:hAnsi="Traditional Arabic" w:cs="Traditional Arabic"/>
                          <w:color w:val="000000"/>
                          <w:szCs w:val="20"/>
                          <w:rtl/>
                          <w:lang w:bidi="ar-EG"/>
                        </w:rPr>
                        <w:t>تخفيض الزئبق النقي في خط الأساس</w:t>
                      </w:r>
                    </w:p>
                    <w:p w:rsidR="0093783C" w:rsidRPr="00DF0364" w:rsidRDefault="0093783C" w:rsidP="001254C4">
                      <w:pPr>
                        <w:spacing w:line="200" w:lineRule="exact"/>
                        <w:jc w:val="center"/>
                        <w:rPr>
                          <w:color w:val="000000"/>
                          <w:szCs w:val="20"/>
                          <w:lang w:bidi="ar-EG"/>
                        </w:rPr>
                      </w:pPr>
                      <w:r w:rsidRPr="001254C4">
                        <w:rPr>
                          <w:rFonts w:ascii="Traditional Arabic" w:hAnsi="Traditional Arabic" w:cs="Traditional Arabic"/>
                          <w:color w:val="000000"/>
                          <w:sz w:val="20"/>
                          <w:szCs w:val="20"/>
                          <w:rtl/>
                          <w:lang w:bidi="ar-EG"/>
                        </w:rPr>
                        <w:t>(</w:t>
                      </w:r>
                      <w:r w:rsidRPr="001254C4">
                        <w:rPr>
                          <w:rFonts w:cs="Traditional Arabic"/>
                          <w:sz w:val="20"/>
                          <w:szCs w:val="20"/>
                          <w:rtl/>
                        </w:rPr>
                        <w:t>٪</w:t>
                      </w:r>
                      <w:r w:rsidRPr="001254C4">
                        <w:rPr>
                          <w:rFonts w:ascii="Traditional Arabic" w:hAnsi="Traditional Arabic" w:cs="Traditional Arabic"/>
                          <w:color w:val="000000"/>
                          <w:szCs w:val="20"/>
                          <w:rtl/>
                          <w:lang w:bidi="ar-EG"/>
                        </w:rPr>
                        <w:t xml:space="preserve"> من خط أساس الزئبق النقي</w:t>
                      </w:r>
                      <w:r>
                        <w:rPr>
                          <w:color w:val="000000"/>
                          <w:szCs w:val="20"/>
                          <w:rtl/>
                          <w:lang w:bidi="ar-EG"/>
                        </w:rPr>
                        <w:t xml:space="preserve"> </w:t>
                      </w:r>
                      <w:r w:rsidRPr="00992288">
                        <w:rPr>
                          <w:color w:val="000000"/>
                          <w:sz w:val="14"/>
                          <w:szCs w:val="14"/>
                          <w:lang w:bidi="ar-EG"/>
                        </w:rPr>
                        <w:t>Hg(0)</w:t>
                      </w:r>
                    </w:p>
                  </w:txbxContent>
                </v:textbox>
              </v:shape>
            </w:pict>
          </mc:Fallback>
        </mc:AlternateContent>
      </w: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r>
        <w:rPr>
          <w:rFonts w:cs="Traditional Arabic"/>
          <w:noProof/>
          <w:sz w:val="20"/>
          <w:szCs w:val="30"/>
          <w:lang w:val="en-GB" w:eastAsia="zh-CN"/>
        </w:rPr>
        <mc:AlternateContent>
          <mc:Choice Requires="wps">
            <w:drawing>
              <wp:anchor distT="0" distB="0" distL="114300" distR="114300" simplePos="0" relativeHeight="251711488" behindDoc="0" locked="0" layoutInCell="1" allowOverlap="1" wp14:anchorId="0176EA24" wp14:editId="4A01056C">
                <wp:simplePos x="0" y="0"/>
                <wp:positionH relativeFrom="column">
                  <wp:posOffset>-3943985</wp:posOffset>
                </wp:positionH>
                <wp:positionV relativeFrom="paragraph">
                  <wp:posOffset>187325</wp:posOffset>
                </wp:positionV>
                <wp:extent cx="2411730" cy="271780"/>
                <wp:effectExtent l="11430" t="10795" r="5715" b="12700"/>
                <wp:wrapNone/>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71780"/>
                        </a:xfrm>
                        <a:prstGeom prst="rect">
                          <a:avLst/>
                        </a:prstGeom>
                        <a:solidFill>
                          <a:srgbClr val="FFFFFF"/>
                        </a:solidFill>
                        <a:ln w="9525">
                          <a:solidFill>
                            <a:srgbClr val="FFFFFF"/>
                          </a:solidFill>
                          <a:miter lim="800000"/>
                          <a:headEnd/>
                          <a:tailEnd/>
                        </a:ln>
                      </wps:spPr>
                      <wps:txbx>
                        <w:txbxContent>
                          <w:p w:rsidR="00670B40" w:rsidRPr="001254C4" w:rsidRDefault="00670B40" w:rsidP="00335E4B">
                            <w:pPr>
                              <w:rPr>
                                <w:rFonts w:ascii="Traditional Arabic" w:hAnsi="Traditional Arabic" w:cs="Traditional Arabic"/>
                                <w:sz w:val="18"/>
                                <w:szCs w:val="18"/>
                              </w:rPr>
                            </w:pPr>
                            <w:r w:rsidRPr="001254C4">
                              <w:rPr>
                                <w:rFonts w:ascii="Traditional Arabic" w:hAnsi="Traditional Arabic" w:cs="Traditional Arabic"/>
                                <w:sz w:val="18"/>
                                <w:szCs w:val="18"/>
                                <w:rtl/>
                              </w:rPr>
                              <w:t>معدل إضافة الهالوجين (جزء في المليون من الوزن في الفحم، جاف)</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46" o:spid="_x0000_s1084" type="#_x0000_t202" style="position:absolute;left:0;text-align:left;margin-left:-310.55pt;margin-top:14.75pt;width:189.9pt;height:21.4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" strokecolor="white">
                <v:textbox style="mso-fit-shape-to-text:t">
                  <w:txbxContent>
                    <w:p w:rsidR="0093783C" w:rsidRPr="001254C4" w:rsidRDefault="0093783C" w:rsidP="00335E4B">
                      <w:pPr>
                        <w:rPr>
                          <w:rFonts w:ascii="Traditional Arabic" w:hAnsi="Traditional Arabic" w:cs="Traditional Arabic"/>
                          <w:sz w:val="18"/>
                          <w:szCs w:val="18"/>
                        </w:rPr>
                      </w:pPr>
                      <w:r w:rsidRPr="001254C4">
                        <w:rPr>
                          <w:rFonts w:ascii="Traditional Arabic" w:hAnsi="Traditional Arabic" w:cs="Traditional Arabic"/>
                          <w:sz w:val="18"/>
                          <w:szCs w:val="18"/>
                          <w:rtl/>
                        </w:rPr>
                        <w:t>معدل إضافة الهالوجين (جزء في المليون من الوزن في الفحم، جاف)</w:t>
                      </w:r>
                    </w:p>
                  </w:txbxContent>
                </v:textbox>
              </v:shape>
            </w:pict>
          </mc:Fallback>
        </mc:AlternateContent>
      </w:r>
      <w:r>
        <w:rPr>
          <w:rFonts w:cs="Traditional Arabic"/>
          <w:noProof/>
          <w:sz w:val="20"/>
          <w:szCs w:val="30"/>
          <w:lang w:val="en-GB" w:eastAsia="zh-CN"/>
        </w:rPr>
        <mc:AlternateContent>
          <mc:Choice Requires="wps">
            <w:drawing>
              <wp:anchor distT="0" distB="0" distL="114300" distR="114300" simplePos="0" relativeHeight="251664384" behindDoc="0" locked="0" layoutInCell="1" allowOverlap="1" wp14:anchorId="2439EFBB" wp14:editId="5DAEA2A9">
                <wp:simplePos x="0" y="0"/>
                <wp:positionH relativeFrom="column">
                  <wp:posOffset>2171700</wp:posOffset>
                </wp:positionH>
                <wp:positionV relativeFrom="paragraph">
                  <wp:posOffset>39370</wp:posOffset>
                </wp:positionV>
                <wp:extent cx="2280285" cy="147955"/>
                <wp:effectExtent l="2540" t="0" r="3175" b="0"/>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DF0364" w:rsidRDefault="00670B40" w:rsidP="00335E4B">
                            <w:pPr>
                              <w:spacing w:line="200" w:lineRule="exact"/>
                              <w:rPr>
                                <w:color w:val="000000"/>
                                <w:szCs w:val="20"/>
                                <w:lang w:bidi="ar-EG"/>
                              </w:rPr>
                            </w:pPr>
                            <w:r>
                              <w:rPr>
                                <w:color w:val="000000"/>
                                <w:szCs w:val="20"/>
                                <w:rtl/>
                                <w:lang w:bidi="ar-EG"/>
                              </w:rPr>
                              <w:t>معدل إضافة الهالوجين (جزء في المليون من الفحم، الجاف)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085" type="#_x0000_t202" style="position:absolute;left:0;text-align:left;margin-left:171pt;margin-top:3.1pt;width:179.55pt;height:1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" stroked="f">
                <v:textbox inset="0,0,0,0">
                  <w:txbxContent>
                    <w:p w:rsidR="0093783C" w:rsidRPr="00DF0364" w:rsidRDefault="0093783C" w:rsidP="00335E4B">
                      <w:pPr>
                        <w:spacing w:line="200" w:lineRule="exact"/>
                        <w:rPr>
                          <w:color w:val="000000"/>
                          <w:szCs w:val="20"/>
                          <w:lang w:bidi="ar-EG"/>
                        </w:rPr>
                      </w:pPr>
                      <w:r>
                        <w:rPr>
                          <w:color w:val="000000"/>
                          <w:szCs w:val="20"/>
                          <w:rtl/>
                          <w:lang w:bidi="ar-EG"/>
                        </w:rPr>
                        <w:t>معدل إضافة الهالوجين (جزء في المليون من الفحم، الجاف)</w:t>
                      </w:r>
                    </w:p>
                  </w:txbxContent>
                </v:textbox>
              </v:shape>
            </w:pict>
          </mc:Fallback>
        </mc:AlternateContent>
      </w:r>
    </w:p>
    <w:p w:rsidR="00335E4B" w:rsidRPr="00335E4B" w:rsidRDefault="00335E4B" w:rsidP="001254C4">
      <w:pPr>
        <w:keepNext/>
        <w:tabs>
          <w:tab w:val="left" w:pos="1132"/>
        </w:tabs>
        <w:spacing w:before="360" w:line="320" w:lineRule="exact"/>
        <w:jc w:val="both"/>
        <w:outlineLvl w:val="2"/>
        <w:rPr>
          <w:rFonts w:ascii="Times New Roman Bold" w:hAnsi="Times New Roman Bold" w:cs="Traditional Arabic"/>
          <w:b/>
          <w:bCs/>
          <w:sz w:val="28"/>
          <w:rtl/>
          <w:lang w:bidi="ar-EG"/>
        </w:rPr>
      </w:pPr>
      <w:bookmarkStart w:id="667" w:name="_Toc440527771"/>
      <w:bookmarkStart w:id="668" w:name="_Toc440550472"/>
      <w:bookmarkStart w:id="669" w:name="_Toc441577729"/>
      <w:bookmarkStart w:id="670" w:name="_Toc441577908"/>
      <w:bookmarkStart w:id="671" w:name="_Toc441579134"/>
      <w:bookmarkStart w:id="672" w:name="_Toc441580742"/>
      <w:bookmarkStart w:id="673" w:name="_Toc441585873"/>
      <w:bookmarkStart w:id="674" w:name="_Toc441586209"/>
      <w:bookmarkStart w:id="675" w:name="_Toc441586659"/>
      <w:bookmarkStart w:id="676" w:name="_Toc441586838"/>
      <w:bookmarkStart w:id="677" w:name="_Toc441666687"/>
      <w:bookmarkStart w:id="678" w:name="_Toc441673748"/>
      <w:r w:rsidRPr="00335E4B">
        <w:rPr>
          <w:rFonts w:ascii="Times New Roman Bold" w:hAnsi="Times New Roman Bold" w:cs="Traditional Arabic"/>
          <w:b/>
          <w:bCs/>
          <w:sz w:val="28"/>
          <w:rtl/>
          <w:lang w:bidi="ar-EG"/>
        </w:rPr>
        <w:t>الشكل 7 -</w:t>
      </w:r>
      <w:r w:rsidRPr="00335E4B">
        <w:rPr>
          <w:rFonts w:ascii="Times New Roman Bold" w:hAnsi="Times New Roman Bold" w:cs="Traditional Arabic"/>
          <w:b/>
          <w:bCs/>
          <w:sz w:val="28"/>
          <w:rtl/>
          <w:lang w:bidi="ar-EG"/>
        </w:rPr>
        <w:tab/>
        <w:t>أداء الإضافات القائمة على البروم و</w:t>
      </w:r>
      <w:r w:rsidRPr="00335E4B">
        <w:rPr>
          <w:rFonts w:ascii="Times New Roman Bold" w:hAnsi="Times New Roman Bold" w:cs="Traditional Arabic" w:hint="cs"/>
          <w:b/>
          <w:bCs/>
          <w:sz w:val="28"/>
          <w:rtl/>
          <w:lang w:bidi="ar-EG"/>
        </w:rPr>
        <w:t xml:space="preserve">القائمة على </w:t>
      </w:r>
      <w:r w:rsidRPr="00335E4B">
        <w:rPr>
          <w:rFonts w:ascii="Times New Roman Bold" w:hAnsi="Times New Roman Bold" w:cs="Traditional Arabic"/>
          <w:b/>
          <w:bCs/>
          <w:sz w:val="28"/>
          <w:rtl/>
          <w:lang w:bidi="ar-EG"/>
        </w:rPr>
        <w:t xml:space="preserve">الكلور مع </w:t>
      </w:r>
      <w:r w:rsidRPr="00335E4B">
        <w:rPr>
          <w:rFonts w:ascii="Times New Roman Bold" w:hAnsi="Times New Roman Bold" w:cs="Traditional Arabic" w:hint="cs"/>
          <w:b/>
          <w:bCs/>
          <w:sz w:val="28"/>
          <w:rtl/>
          <w:lang w:bidi="ar-EG"/>
        </w:rPr>
        <w:t>أصناف</w:t>
      </w:r>
      <w:r w:rsidRPr="00335E4B">
        <w:rPr>
          <w:rFonts w:ascii="Times New Roman Bold" w:hAnsi="Times New Roman Bold" w:cs="Traditional Arabic"/>
          <w:b/>
          <w:bCs/>
          <w:sz w:val="28"/>
          <w:rtl/>
          <w:lang w:bidi="ar-EG"/>
        </w:rPr>
        <w:t xml:space="preserve"> الفحم (الفحم دون القيري من حوض نهر باودر </w:t>
      </w:r>
      <w:r w:rsidRPr="00335E4B">
        <w:rPr>
          <w:rFonts w:cs="Times New Roman"/>
          <w:b/>
          <w:bCs/>
          <w:sz w:val="18"/>
          <w:szCs w:val="18"/>
          <w:rtl/>
          <w:lang w:bidi="ar-EG"/>
        </w:rPr>
        <w:t>(</w:t>
      </w:r>
      <w:r w:rsidRPr="00335E4B">
        <w:rPr>
          <w:rFonts w:cs="Times New Roman"/>
          <w:b/>
          <w:bCs/>
          <w:sz w:val="18"/>
          <w:szCs w:val="18"/>
          <w:lang w:bidi="ar-EG"/>
        </w:rPr>
        <w:t>PRB</w:t>
      </w:r>
      <w:r w:rsidRPr="00335E4B">
        <w:rPr>
          <w:rFonts w:cs="Times New Roman"/>
          <w:b/>
          <w:bCs/>
          <w:sz w:val="18"/>
          <w:szCs w:val="18"/>
          <w:rtl/>
          <w:lang w:bidi="ar-EG"/>
        </w:rPr>
        <w:t>)</w:t>
      </w:r>
      <w:r w:rsidRPr="00335E4B">
        <w:rPr>
          <w:rFonts w:ascii="Times New Roman Bold" w:hAnsi="Times New Roman Bold" w:cs="Traditional Arabic"/>
          <w:b/>
          <w:bCs/>
          <w:sz w:val="28"/>
          <w:rtl/>
          <w:lang w:bidi="ar-EG"/>
        </w:rPr>
        <w:t>؛ فحم اللغنيت من تكساس</w:t>
      </w:r>
      <w:r w:rsidRPr="00335E4B">
        <w:rPr>
          <w:rFonts w:ascii="Times New Roman Bold" w:hAnsi="Times New Roman Bold" w:cs="Traditional Arabic" w:hint="cs"/>
          <w:b/>
          <w:bCs/>
          <w:sz w:val="28"/>
          <w:rtl/>
          <w:lang w:bidi="ar-EG"/>
        </w:rPr>
        <w:t xml:space="preserve"> </w:t>
      </w:r>
      <w:r w:rsidRPr="00335E4B">
        <w:rPr>
          <w:rFonts w:cs="Times New Roman"/>
          <w:b/>
          <w:bCs/>
          <w:sz w:val="18"/>
          <w:szCs w:val="18"/>
          <w:rtl/>
          <w:lang w:bidi="ar-EG"/>
        </w:rPr>
        <w:t>(</w:t>
      </w:r>
      <w:r w:rsidRPr="00335E4B">
        <w:rPr>
          <w:rFonts w:cs="Times New Roman"/>
          <w:b/>
          <w:bCs/>
          <w:sz w:val="18"/>
          <w:szCs w:val="18"/>
          <w:lang w:bidi="ar-EG"/>
        </w:rPr>
        <w:t>TxL</w:t>
      </w:r>
      <w:r w:rsidRPr="00335E4B">
        <w:rPr>
          <w:rFonts w:cs="Times New Roman"/>
          <w:b/>
          <w:bCs/>
          <w:sz w:val="18"/>
          <w:szCs w:val="18"/>
          <w:rtl/>
          <w:lang w:bidi="ar-EG"/>
        </w:rPr>
        <w:t>)</w:t>
      </w:r>
      <w:r w:rsidRPr="00335E4B">
        <w:rPr>
          <w:rFonts w:ascii="Times New Roman Bold" w:hAnsi="Times New Roman Bold" w:cs="Traditional Arabic"/>
          <w:b/>
          <w:bCs/>
          <w:sz w:val="28"/>
          <w:rtl/>
          <w:lang w:bidi="ar-EG"/>
        </w:rPr>
        <w:t>؛ فحم اللغنيت من ولاية داكوتا الغربية</w:t>
      </w:r>
      <w:r w:rsidRPr="00335E4B">
        <w:rPr>
          <w:rFonts w:ascii="Times New Roman Bold" w:hAnsi="Times New Roman Bold" w:cs="Traditional Arabic" w:hint="cs"/>
          <w:b/>
          <w:bCs/>
          <w:sz w:val="28"/>
          <w:rtl/>
          <w:lang w:bidi="ar-EG"/>
        </w:rPr>
        <w:t xml:space="preserve"> </w:t>
      </w:r>
      <w:r w:rsidRPr="00335E4B">
        <w:rPr>
          <w:rFonts w:cs="Times New Roman"/>
          <w:b/>
          <w:bCs/>
          <w:sz w:val="18"/>
          <w:szCs w:val="18"/>
          <w:rtl/>
          <w:lang w:bidi="ar-EG"/>
        </w:rPr>
        <w:t>(</w:t>
      </w:r>
      <w:r w:rsidRPr="00335E4B">
        <w:rPr>
          <w:rFonts w:cs="Times New Roman"/>
          <w:b/>
          <w:bCs/>
          <w:sz w:val="18"/>
          <w:szCs w:val="18"/>
          <w:lang w:bidi="ar-EG"/>
        </w:rPr>
        <w:t>NDL</w:t>
      </w:r>
      <w:r w:rsidRPr="00335E4B">
        <w:rPr>
          <w:rFonts w:cs="Times New Roman"/>
          <w:b/>
          <w:bCs/>
          <w:sz w:val="18"/>
          <w:szCs w:val="18"/>
          <w:rtl/>
          <w:lang w:bidi="ar-EG"/>
        </w:rPr>
        <w:t>))</w:t>
      </w:r>
      <w:bookmarkEnd w:id="667"/>
      <w:bookmarkEnd w:id="668"/>
      <w:bookmarkEnd w:id="669"/>
      <w:bookmarkEnd w:id="670"/>
      <w:bookmarkEnd w:id="671"/>
      <w:bookmarkEnd w:id="672"/>
      <w:bookmarkEnd w:id="673"/>
      <w:bookmarkEnd w:id="674"/>
      <w:bookmarkEnd w:id="675"/>
      <w:bookmarkEnd w:id="676"/>
      <w:bookmarkEnd w:id="677"/>
      <w:bookmarkEnd w:id="678"/>
    </w:p>
    <w:p w:rsidR="00335E4B" w:rsidRPr="00335E4B" w:rsidRDefault="00335E4B" w:rsidP="00335E4B">
      <w:pPr>
        <w:tabs>
          <w:tab w:val="left" w:pos="663"/>
          <w:tab w:val="left" w:pos="1117"/>
          <w:tab w:val="left" w:pos="2230"/>
          <w:tab w:val="center" w:pos="5468"/>
        </w:tabs>
        <w:spacing w:before="240" w:after="80" w:line="340" w:lineRule="exact"/>
        <w:jc w:val="both"/>
        <w:rPr>
          <w:rFonts w:cs="Traditional Arabic"/>
          <w:sz w:val="20"/>
          <w:szCs w:val="30"/>
          <w:rtl/>
          <w:lang w:bidi="ar-EG"/>
        </w:rPr>
      </w:pPr>
      <w:r w:rsidRPr="00335E4B">
        <w:rPr>
          <w:rFonts w:cs="Traditional Arabic"/>
          <w:sz w:val="20"/>
          <w:szCs w:val="30"/>
          <w:rtl/>
          <w:lang w:bidi="ar-EG"/>
        </w:rPr>
        <w:t xml:space="preserve">ويوضح الشكل مقارنة لأداء </w:t>
      </w:r>
      <w:r w:rsidRPr="00335E4B">
        <w:rPr>
          <w:rFonts w:cs="Traditional Arabic" w:hint="cs"/>
          <w:sz w:val="20"/>
          <w:szCs w:val="30"/>
          <w:rtl/>
          <w:lang w:bidi="ar-EG"/>
        </w:rPr>
        <w:t>المواد المضافة البرومية والكلورية</w:t>
      </w:r>
      <w:r w:rsidRPr="00335E4B">
        <w:rPr>
          <w:rFonts w:cs="Traditional Arabic"/>
          <w:sz w:val="20"/>
          <w:szCs w:val="30"/>
          <w:rtl/>
          <w:lang w:bidi="ar-EG"/>
        </w:rPr>
        <w:t xml:space="preserve"> في المراجل العاملة بحرق الفحم التي تحرق أنواعاً مختلفة من الفحم؛ وهذه المقارنة تقدِّم النسبة المئوية لتخفيض خط أساس الزئبق النقي </w:t>
      </w:r>
      <w:r w:rsidRPr="00335E4B">
        <w:rPr>
          <w:rFonts w:cs="Traditional Arabic" w:hint="cs"/>
          <w:sz w:val="20"/>
          <w:szCs w:val="30"/>
          <w:rtl/>
          <w:lang w:bidi="ar-EG"/>
        </w:rPr>
        <w:t>كتابع ل</w:t>
      </w:r>
      <w:r w:rsidRPr="00335E4B">
        <w:rPr>
          <w:rFonts w:cs="Traditional Arabic"/>
          <w:sz w:val="20"/>
          <w:szCs w:val="30"/>
          <w:rtl/>
          <w:lang w:bidi="ar-EG"/>
        </w:rPr>
        <w:t xml:space="preserve">معدل إضافة الهالوجين (معهد بحوث الطاقة الكهربائية، 2006؛ فستين ولنداو، 2006؛ شانغ وآخرون، 2008). وكما يمكن أن نرى في الشكل، </w:t>
      </w:r>
      <w:r w:rsidRPr="00335E4B">
        <w:rPr>
          <w:rFonts w:cs="Traditional Arabic" w:hint="cs"/>
          <w:sz w:val="20"/>
          <w:szCs w:val="30"/>
          <w:rtl/>
          <w:lang w:bidi="ar-EG"/>
        </w:rPr>
        <w:t>ف</w:t>
      </w:r>
      <w:r w:rsidRPr="00335E4B">
        <w:rPr>
          <w:rFonts w:cs="Traditional Arabic"/>
          <w:sz w:val="20"/>
          <w:szCs w:val="30"/>
          <w:rtl/>
          <w:lang w:bidi="ar-EG"/>
        </w:rPr>
        <w:t>بالنسبة لأي مقدار من إضافات الهالوجين كان البر</w:t>
      </w:r>
      <w:r w:rsidRPr="00335E4B">
        <w:rPr>
          <w:rFonts w:cs="Traditional Arabic" w:hint="cs"/>
          <w:sz w:val="20"/>
          <w:szCs w:val="30"/>
          <w:rtl/>
          <w:lang w:bidi="ar-EG"/>
        </w:rPr>
        <w:t>و</w:t>
      </w:r>
      <w:r w:rsidRPr="00335E4B">
        <w:rPr>
          <w:rFonts w:cs="Traditional Arabic"/>
          <w:sz w:val="20"/>
          <w:szCs w:val="30"/>
          <w:rtl/>
          <w:lang w:bidi="ar-EG"/>
        </w:rPr>
        <w:t xml:space="preserve">م أكثر فعالية بكثير </w:t>
      </w:r>
      <w:r w:rsidRPr="00335E4B">
        <w:rPr>
          <w:rFonts w:cs="Traditional Arabic" w:hint="cs"/>
          <w:sz w:val="20"/>
          <w:szCs w:val="30"/>
          <w:rtl/>
          <w:lang w:bidi="ar-EG"/>
        </w:rPr>
        <w:t xml:space="preserve">من الكلور </w:t>
      </w:r>
      <w:r w:rsidRPr="00335E4B">
        <w:rPr>
          <w:rFonts w:cs="Traditional Arabic"/>
          <w:sz w:val="20"/>
          <w:szCs w:val="30"/>
          <w:rtl/>
          <w:lang w:bidi="ar-EG"/>
        </w:rPr>
        <w:t xml:space="preserve">في تقليل مقدار زئبق خط الأساس. وأمكن تحقيق تخفيض بنسبة 80 في المائة في الزئبق النقي في خط الأساس بإضافة أقل من 200 جزء من المليون من </w:t>
      </w:r>
      <w:r w:rsidRPr="00335E4B">
        <w:rPr>
          <w:rFonts w:cs="Traditional Arabic" w:hint="cs"/>
          <w:sz w:val="20"/>
          <w:szCs w:val="30"/>
          <w:rtl/>
          <w:lang w:bidi="ar-EG"/>
        </w:rPr>
        <w:t>المضافات</w:t>
      </w:r>
      <w:r w:rsidRPr="00335E4B">
        <w:rPr>
          <w:rFonts w:cs="Traditional Arabic"/>
          <w:sz w:val="20"/>
          <w:szCs w:val="30"/>
          <w:rtl/>
          <w:lang w:bidi="ar-EG"/>
        </w:rPr>
        <w:t xml:space="preserve"> القائمة على البروم. </w:t>
      </w:r>
      <w:r w:rsidRPr="00335E4B">
        <w:rPr>
          <w:rFonts w:cs="Traditional Arabic" w:hint="cs"/>
          <w:sz w:val="20"/>
          <w:szCs w:val="30"/>
          <w:rtl/>
          <w:lang w:bidi="ar-EG"/>
        </w:rPr>
        <w:t>و</w:t>
      </w:r>
      <w:r w:rsidRPr="00335E4B">
        <w:rPr>
          <w:rFonts w:cs="Traditional Arabic"/>
          <w:sz w:val="20"/>
          <w:szCs w:val="30"/>
          <w:rtl/>
          <w:lang w:bidi="ar-EG"/>
        </w:rPr>
        <w:t xml:space="preserve">يتطلب الأمر مقداراً أكثر بكثير من </w:t>
      </w:r>
      <w:r w:rsidRPr="00335E4B">
        <w:rPr>
          <w:rFonts w:cs="Traditional Arabic" w:hint="cs"/>
          <w:sz w:val="20"/>
          <w:szCs w:val="30"/>
          <w:rtl/>
          <w:lang w:bidi="ar-EG"/>
        </w:rPr>
        <w:t>المواد المضافة القائمة على الكلور</w:t>
      </w:r>
      <w:r w:rsidRPr="00335E4B">
        <w:rPr>
          <w:rFonts w:cs="Traditional Arabic"/>
          <w:sz w:val="20"/>
          <w:szCs w:val="30"/>
          <w:rtl/>
          <w:lang w:bidi="ar-EG"/>
        </w:rPr>
        <w:t xml:space="preserve"> (قيمة </w:t>
      </w:r>
      <w:r w:rsidRPr="00335E4B">
        <w:rPr>
          <w:rFonts w:cs="Traditional Arabic" w:hint="cs"/>
          <w:sz w:val="20"/>
          <w:szCs w:val="30"/>
          <w:rtl/>
          <w:lang w:bidi="ar-EG"/>
        </w:rPr>
        <w:t>مضاعفة تقريباً</w:t>
      </w:r>
      <w:r w:rsidRPr="00335E4B">
        <w:rPr>
          <w:rFonts w:cs="Traditional Arabic"/>
          <w:sz w:val="20"/>
          <w:szCs w:val="30"/>
          <w:rtl/>
          <w:lang w:bidi="ar-EG"/>
        </w:rPr>
        <w:t>) لتحقيق نفس المستوى من تخفيض خط أساس الزئبق النقي.</w:t>
      </w:r>
    </w:p>
    <w:p w:rsidR="00335E4B" w:rsidRPr="00335E4B" w:rsidRDefault="00335E4B" w:rsidP="006F7165">
      <w:pPr>
        <w:tabs>
          <w:tab w:val="left" w:pos="663"/>
          <w:tab w:val="left" w:pos="1117"/>
          <w:tab w:val="left" w:pos="2230"/>
          <w:tab w:val="center" w:pos="5468"/>
        </w:tabs>
        <w:spacing w:before="60" w:after="80" w:line="340" w:lineRule="exact"/>
        <w:jc w:val="both"/>
        <w:rPr>
          <w:rFonts w:cs="Traditional Arabic"/>
          <w:i/>
          <w:iCs/>
          <w:sz w:val="20"/>
          <w:szCs w:val="30"/>
          <w:rtl/>
          <w:lang w:bidi="ar-EG"/>
        </w:rPr>
      </w:pPr>
      <w:r w:rsidRPr="00335E4B">
        <w:rPr>
          <w:rFonts w:cs="Traditional Arabic"/>
          <w:i/>
          <w:iCs/>
          <w:sz w:val="20"/>
          <w:szCs w:val="30"/>
          <w:rtl/>
          <w:lang w:bidi="ar-EG"/>
        </w:rPr>
        <w:t xml:space="preserve">الآثار الشاملة لعدة </w:t>
      </w:r>
      <w:r w:rsidR="006F7165" w:rsidRPr="006F7165">
        <w:rPr>
          <w:rFonts w:cs="Traditional Arabic"/>
          <w:i/>
          <w:iCs/>
          <w:sz w:val="20"/>
          <w:szCs w:val="30"/>
          <w:rtl/>
          <w:lang w:bidi="ar-EG"/>
        </w:rPr>
        <w:t xml:space="preserve">أوساط </w:t>
      </w:r>
      <w:r w:rsidRPr="00335E4B">
        <w:rPr>
          <w:rFonts w:cs="Traditional Arabic"/>
          <w:i/>
          <w:iCs/>
          <w:sz w:val="20"/>
          <w:szCs w:val="30"/>
          <w:rtl/>
          <w:lang w:bidi="ar-EG"/>
        </w:rPr>
        <w:t xml:space="preserve">الناجمة عن </w:t>
      </w:r>
      <w:r w:rsidRPr="00335E4B">
        <w:rPr>
          <w:rFonts w:cs="Traditional Arabic" w:hint="cs"/>
          <w:i/>
          <w:iCs/>
          <w:sz w:val="20"/>
          <w:szCs w:val="30"/>
          <w:rtl/>
          <w:lang w:bidi="ar-EG"/>
        </w:rPr>
        <w:t>المواد المضافة ل</w:t>
      </w:r>
      <w:r w:rsidRPr="00335E4B">
        <w:rPr>
          <w:rFonts w:cs="Traditional Arabic"/>
          <w:i/>
          <w:iCs/>
          <w:sz w:val="20"/>
          <w:szCs w:val="30"/>
          <w:rtl/>
          <w:lang w:bidi="ar-EG"/>
        </w:rPr>
        <w:t>أكسدة الزئبق</w:t>
      </w:r>
    </w:p>
    <w:p w:rsidR="00335E4B" w:rsidRPr="00335E4B" w:rsidRDefault="00335E4B" w:rsidP="00335E4B">
      <w:pPr>
        <w:tabs>
          <w:tab w:val="left" w:pos="663"/>
          <w:tab w:val="left" w:pos="1117"/>
          <w:tab w:val="left" w:pos="2230"/>
          <w:tab w:val="center" w:pos="5468"/>
        </w:tabs>
        <w:spacing w:before="60" w:after="80" w:line="340" w:lineRule="exact"/>
        <w:jc w:val="both"/>
        <w:rPr>
          <w:rFonts w:cs="Traditional Arabic"/>
          <w:sz w:val="20"/>
          <w:szCs w:val="30"/>
          <w:rtl/>
          <w:lang w:bidi="ar-EG"/>
        </w:rPr>
      </w:pPr>
      <w:r w:rsidRPr="00335E4B">
        <w:rPr>
          <w:rFonts w:cs="Traditional Arabic"/>
          <w:sz w:val="20"/>
          <w:szCs w:val="30"/>
          <w:rtl/>
          <w:lang w:bidi="ar-EG"/>
        </w:rPr>
        <w:t xml:space="preserve">ينطوي استخدام </w:t>
      </w:r>
      <w:r w:rsidRPr="00335E4B">
        <w:rPr>
          <w:rFonts w:cs="Traditional Arabic" w:hint="cs"/>
          <w:sz w:val="20"/>
          <w:szCs w:val="30"/>
          <w:rtl/>
          <w:lang w:bidi="ar-EG"/>
        </w:rPr>
        <w:t>مضافات</w:t>
      </w:r>
      <w:r w:rsidRPr="00335E4B">
        <w:rPr>
          <w:rFonts w:cs="Traditional Arabic"/>
          <w:sz w:val="20"/>
          <w:szCs w:val="30"/>
          <w:rtl/>
          <w:lang w:bidi="ar-EG"/>
        </w:rPr>
        <w:t xml:space="preserve"> أكسدة الزئبق على آثار محتملة على </w:t>
      </w:r>
      <w:r w:rsidRPr="00335E4B">
        <w:rPr>
          <w:rFonts w:cs="Traditional Arabic" w:hint="cs"/>
          <w:sz w:val="20"/>
          <w:szCs w:val="30"/>
          <w:rtl/>
          <w:lang w:bidi="ar-EG"/>
        </w:rPr>
        <w:t>المرجَل</w:t>
      </w:r>
      <w:r w:rsidRPr="00335E4B">
        <w:rPr>
          <w:rFonts w:cs="Traditional Arabic"/>
          <w:sz w:val="20"/>
          <w:szCs w:val="30"/>
          <w:rtl/>
          <w:lang w:bidi="ar-EG"/>
        </w:rPr>
        <w:t xml:space="preserve"> ونُظم ضبط تلوث الهواء والانبعاثات وقياس الانبعاثات. </w:t>
      </w:r>
      <w:r w:rsidRPr="00335E4B">
        <w:rPr>
          <w:rFonts w:cs="Traditional Arabic" w:hint="cs"/>
          <w:sz w:val="20"/>
          <w:szCs w:val="30"/>
          <w:rtl/>
          <w:lang w:bidi="ar-EG"/>
        </w:rPr>
        <w:t xml:space="preserve">فهو </w:t>
      </w:r>
      <w:r w:rsidRPr="00335E4B">
        <w:rPr>
          <w:rFonts w:cs="Traditional Arabic"/>
          <w:sz w:val="20"/>
          <w:szCs w:val="30"/>
          <w:rtl/>
          <w:lang w:bidi="ar-EG"/>
        </w:rPr>
        <w:t>يؤدي إلى زيادة إمكانية التآكل في أجهزة التسخين المسبق للهواء ونُظم التنظيف الرطب لإزالة الكبريت من غاز المدخنة (سريني فاسان وديهن، 2013). و</w:t>
      </w:r>
      <w:r w:rsidRPr="00335E4B">
        <w:rPr>
          <w:rFonts w:cs="Traditional Arabic" w:hint="cs"/>
          <w:sz w:val="20"/>
          <w:szCs w:val="30"/>
          <w:rtl/>
          <w:lang w:bidi="ar-EG"/>
        </w:rPr>
        <w:t>تؤدي مضافات</w:t>
      </w:r>
      <w:r w:rsidRPr="00335E4B">
        <w:rPr>
          <w:rFonts w:cs="Traditional Arabic"/>
          <w:sz w:val="20"/>
          <w:szCs w:val="30"/>
          <w:rtl/>
          <w:lang w:bidi="ar-EG"/>
        </w:rPr>
        <w:t xml:space="preserve"> البروم أو الكربون المنشَّط المبروم إلى زيادة البروم في الرماد المتطاير (دومبروفسكي وآخرون، 2008). </w:t>
      </w:r>
      <w:r w:rsidRPr="00335E4B">
        <w:rPr>
          <w:rFonts w:cs="Traditional Arabic" w:hint="cs"/>
          <w:sz w:val="20"/>
          <w:szCs w:val="30"/>
          <w:rtl/>
          <w:lang w:bidi="ar-EG"/>
        </w:rPr>
        <w:t>و</w:t>
      </w:r>
      <w:r w:rsidRPr="00335E4B">
        <w:rPr>
          <w:rFonts w:cs="Traditional Arabic"/>
          <w:sz w:val="20"/>
          <w:szCs w:val="30"/>
          <w:rtl/>
          <w:lang w:bidi="ar-EG"/>
        </w:rPr>
        <w:t xml:space="preserve">قد تنبعث الهالوجينات المضافة </w:t>
      </w:r>
      <w:r w:rsidRPr="00335E4B">
        <w:rPr>
          <w:rFonts w:cs="Traditional Arabic" w:hint="cs"/>
          <w:sz w:val="20"/>
          <w:szCs w:val="30"/>
          <w:rtl/>
          <w:lang w:bidi="ar-EG"/>
        </w:rPr>
        <w:t>إلى</w:t>
      </w:r>
      <w:r w:rsidRPr="00335E4B">
        <w:rPr>
          <w:rFonts w:cs="Traditional Arabic"/>
          <w:sz w:val="20"/>
          <w:szCs w:val="30"/>
          <w:rtl/>
          <w:lang w:bidi="ar-EG"/>
        </w:rPr>
        <w:t xml:space="preserve"> الفحم من أنبوب المدخنة (</w:t>
      </w:r>
      <w:r w:rsidRPr="00335E4B">
        <w:rPr>
          <w:rFonts w:cs="Traditional Arabic"/>
          <w:sz w:val="20"/>
          <w:szCs w:val="30"/>
          <w:lang w:bidi="ar-EG"/>
        </w:rPr>
        <w:t>ICR</w:t>
      </w:r>
      <w:r w:rsidRPr="00335E4B">
        <w:rPr>
          <w:rFonts w:cs="Traditional Arabic"/>
          <w:sz w:val="20"/>
          <w:szCs w:val="30"/>
          <w:rtl/>
          <w:lang w:bidi="ar-EG"/>
        </w:rPr>
        <w:t xml:space="preserve">، 2010). ويمكن أن تكون قياسات الزئبق عسيرة جداً في وجود البروم في غاز المدخنة. وهناك أيضاً إمكانية تصريف البروم في نظام </w:t>
      </w:r>
      <w:r w:rsidRPr="00335E4B">
        <w:rPr>
          <w:rFonts w:cs="Traditional Arabic" w:hint="cs"/>
          <w:sz w:val="20"/>
          <w:szCs w:val="30"/>
          <w:rtl/>
          <w:lang w:bidi="ar-EG"/>
        </w:rPr>
        <w:t>إزالة</w:t>
      </w:r>
      <w:r w:rsidRPr="00335E4B">
        <w:rPr>
          <w:rFonts w:cs="Traditional Arabic"/>
          <w:sz w:val="20"/>
          <w:szCs w:val="30"/>
          <w:rtl/>
          <w:lang w:bidi="ar-EG"/>
        </w:rPr>
        <w:t xml:space="preserve"> الكبريت من غاز المدخنة ليشكل </w:t>
      </w:r>
      <w:r w:rsidRPr="00335E4B">
        <w:rPr>
          <w:rFonts w:cs="Traditional Arabic" w:hint="cs"/>
          <w:sz w:val="20"/>
          <w:szCs w:val="30"/>
          <w:rtl/>
          <w:lang w:bidi="ar-EG"/>
        </w:rPr>
        <w:t>نواتج فرعية للت</w:t>
      </w:r>
      <w:r w:rsidRPr="00335E4B">
        <w:rPr>
          <w:rFonts w:cs="Traditional Arabic"/>
          <w:sz w:val="20"/>
          <w:szCs w:val="30"/>
          <w:rtl/>
          <w:lang w:bidi="ar-EG"/>
        </w:rPr>
        <w:t xml:space="preserve">طهير في منشآت مياه الشرب في اتجاه </w:t>
      </w:r>
      <w:r w:rsidRPr="00335E4B">
        <w:rPr>
          <w:rFonts w:cs="Traditional Arabic" w:hint="cs"/>
          <w:sz w:val="20"/>
          <w:szCs w:val="30"/>
          <w:rtl/>
          <w:lang w:bidi="ar-EG"/>
        </w:rPr>
        <w:t xml:space="preserve">المصب </w:t>
      </w:r>
      <w:r w:rsidRPr="00335E4B">
        <w:rPr>
          <w:rFonts w:cs="Traditional Arabic"/>
          <w:sz w:val="20"/>
          <w:szCs w:val="30"/>
          <w:rtl/>
          <w:lang w:bidi="ar-EG"/>
        </w:rPr>
        <w:t xml:space="preserve">من منشآت الطاقة العاملة بحرق الفحم وإمكانية التأثير على الملوثات الأخرى مثل السلينيوم (ماك تيغ وآخرون، 2014؛ وريتشاردسون وآخرون، 2007 والوثيقة المرجعية لأفضل التقنيات المتاحة، 2013). ولا يزال النطاق الكامل لأوجه عدم </w:t>
      </w:r>
      <w:r w:rsidRPr="00335E4B">
        <w:rPr>
          <w:rFonts w:cs="Traditional Arabic" w:hint="cs"/>
          <w:sz w:val="20"/>
          <w:szCs w:val="30"/>
          <w:rtl/>
          <w:lang w:bidi="ar-EG"/>
        </w:rPr>
        <w:t>التيقن</w:t>
      </w:r>
      <w:r w:rsidRPr="00335E4B">
        <w:rPr>
          <w:rFonts w:cs="Traditional Arabic"/>
          <w:sz w:val="20"/>
          <w:szCs w:val="30"/>
          <w:rtl/>
          <w:lang w:bidi="ar-EG"/>
        </w:rPr>
        <w:t xml:space="preserve"> العلمي المصاحب لانبعاثات الملوثات من إضافات البروم غير واضح.</w:t>
      </w:r>
    </w:p>
    <w:p w:rsidR="00335E4B" w:rsidRPr="00335E4B" w:rsidRDefault="00335E4B" w:rsidP="00335E4B">
      <w:pPr>
        <w:keepNext/>
        <w:spacing w:before="60" w:after="80" w:line="340" w:lineRule="exact"/>
        <w:ind w:left="992" w:hanging="992"/>
        <w:jc w:val="both"/>
        <w:outlineLvl w:val="0"/>
        <w:rPr>
          <w:rFonts w:cs="Traditional Arabic"/>
          <w:b/>
          <w:bCs/>
          <w:sz w:val="30"/>
          <w:szCs w:val="30"/>
          <w:rtl/>
        </w:rPr>
      </w:pPr>
      <w:bookmarkStart w:id="679" w:name="_Toc440456845"/>
      <w:bookmarkStart w:id="680" w:name="_Toc440526916"/>
      <w:bookmarkStart w:id="681" w:name="_Toc440527772"/>
      <w:bookmarkStart w:id="682" w:name="_Toc440550473"/>
      <w:bookmarkStart w:id="683" w:name="_Toc441577730"/>
      <w:bookmarkStart w:id="684" w:name="_Toc441577909"/>
      <w:bookmarkStart w:id="685" w:name="_Toc441579135"/>
      <w:bookmarkStart w:id="686" w:name="_Toc441580743"/>
      <w:bookmarkStart w:id="687" w:name="_Toc441585874"/>
      <w:bookmarkStart w:id="688" w:name="_Toc441586210"/>
      <w:bookmarkStart w:id="689" w:name="_Toc441586660"/>
      <w:bookmarkStart w:id="690" w:name="_Toc441586839"/>
      <w:bookmarkStart w:id="691" w:name="_Toc441666688"/>
      <w:bookmarkStart w:id="692" w:name="_Toc441673749"/>
      <w:r w:rsidRPr="00335E4B">
        <w:rPr>
          <w:rFonts w:cs="Traditional Arabic" w:hint="cs"/>
          <w:b/>
          <w:bCs/>
          <w:sz w:val="30"/>
          <w:szCs w:val="30"/>
          <w:rtl/>
        </w:rPr>
        <w:t>المواد المضافة إلى</w:t>
      </w:r>
      <w:r w:rsidRPr="00335E4B">
        <w:rPr>
          <w:rFonts w:cs="Traditional Arabic"/>
          <w:b/>
          <w:bCs/>
          <w:sz w:val="30"/>
          <w:szCs w:val="30"/>
          <w:rtl/>
        </w:rPr>
        <w:t xml:space="preserve"> جهاز التنظيف الرطب لضبط إعادة انبعاث الزئبق</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rsidR="00335E4B" w:rsidRPr="00335E4B" w:rsidRDefault="00335E4B" w:rsidP="00335E4B">
      <w:pPr>
        <w:tabs>
          <w:tab w:val="left" w:pos="663"/>
          <w:tab w:val="left" w:pos="1117"/>
          <w:tab w:val="left" w:pos="2230"/>
          <w:tab w:val="center" w:pos="5468"/>
        </w:tabs>
        <w:spacing w:before="60" w:after="80" w:line="340" w:lineRule="exact"/>
        <w:jc w:val="both"/>
        <w:rPr>
          <w:rFonts w:cs="Traditional Arabic"/>
          <w:sz w:val="20"/>
          <w:szCs w:val="30"/>
          <w:rtl/>
          <w:lang w:bidi="ar-EG"/>
        </w:rPr>
      </w:pPr>
      <w:r w:rsidRPr="00335E4B">
        <w:rPr>
          <w:rFonts w:cs="Traditional Arabic"/>
          <w:sz w:val="20"/>
          <w:szCs w:val="30"/>
          <w:rtl/>
          <w:lang w:bidi="ar-EG"/>
        </w:rPr>
        <w:t xml:space="preserve">يتمثل أساس مساهمة المنافع المشتركة التي توفرها أجهزة التنظيف الرطب لثاني أكسيد الكبريت في امتصاص الزئبق المؤكسد </w:t>
      </w:r>
      <w:r w:rsidRPr="00335E4B">
        <w:rPr>
          <w:rFonts w:cs="Traditional Arabic" w:hint="cs"/>
          <w:sz w:val="20"/>
          <w:szCs w:val="30"/>
          <w:rtl/>
          <w:lang w:bidi="ar-EG"/>
        </w:rPr>
        <w:t>ثم الاحتفاظ</w:t>
      </w:r>
      <w:r w:rsidRPr="00335E4B">
        <w:rPr>
          <w:rFonts w:cs="Traditional Arabic"/>
          <w:sz w:val="20"/>
          <w:szCs w:val="30"/>
          <w:rtl/>
          <w:lang w:bidi="ar-EG"/>
        </w:rPr>
        <w:t xml:space="preserve"> بهذا الزئبق المؤك</w:t>
      </w:r>
      <w:r w:rsidRPr="00335E4B">
        <w:rPr>
          <w:rFonts w:cs="Traditional Arabic" w:hint="cs"/>
          <w:sz w:val="20"/>
          <w:szCs w:val="30"/>
          <w:rtl/>
          <w:lang w:bidi="ar-EG"/>
        </w:rPr>
        <w:t>س</w:t>
      </w:r>
      <w:r w:rsidRPr="00335E4B">
        <w:rPr>
          <w:rFonts w:cs="Traditional Arabic"/>
          <w:sz w:val="20"/>
          <w:szCs w:val="30"/>
          <w:rtl/>
          <w:lang w:bidi="ar-EG"/>
        </w:rPr>
        <w:t>د في حالة سائلة. ومع ذلك، فهناك الكثير من الحالات الموثَّقة التي لم تتمكن فيها أجهزة التنظيف من الاحتفاظ بكل الزئبق في الطور السائل الذي تم امتصاصه. و</w:t>
      </w:r>
      <w:r w:rsidRPr="00335E4B">
        <w:rPr>
          <w:rFonts w:cs="Traditional Arabic" w:hint="cs"/>
          <w:sz w:val="20"/>
          <w:szCs w:val="30"/>
          <w:rtl/>
          <w:lang w:bidi="ar-EG"/>
        </w:rPr>
        <w:t>ت</w:t>
      </w:r>
      <w:r w:rsidRPr="00335E4B">
        <w:rPr>
          <w:rFonts w:cs="Traditional Arabic"/>
          <w:sz w:val="20"/>
          <w:szCs w:val="30"/>
          <w:rtl/>
          <w:lang w:bidi="ar-EG"/>
        </w:rPr>
        <w:t>قاس هذ</w:t>
      </w:r>
      <w:r w:rsidRPr="00335E4B">
        <w:rPr>
          <w:rFonts w:cs="Traditional Arabic" w:hint="cs"/>
          <w:sz w:val="20"/>
          <w:szCs w:val="30"/>
          <w:rtl/>
          <w:lang w:bidi="ar-EG"/>
        </w:rPr>
        <w:t>ه الحالة</w:t>
      </w:r>
      <w:r w:rsidRPr="00335E4B">
        <w:rPr>
          <w:rFonts w:cs="Traditional Arabic"/>
          <w:sz w:val="20"/>
          <w:szCs w:val="30"/>
          <w:rtl/>
          <w:lang w:bidi="ar-EG"/>
        </w:rPr>
        <w:t xml:space="preserve"> </w:t>
      </w:r>
      <w:r w:rsidRPr="00335E4B">
        <w:rPr>
          <w:rFonts w:cs="Traditional Arabic" w:hint="cs"/>
          <w:sz w:val="20"/>
          <w:szCs w:val="30"/>
          <w:rtl/>
          <w:lang w:bidi="ar-EG"/>
        </w:rPr>
        <w:t xml:space="preserve">باعتبارها </w:t>
      </w:r>
      <w:r w:rsidRPr="00335E4B">
        <w:rPr>
          <w:rFonts w:cs="Traditional Arabic"/>
          <w:sz w:val="20"/>
          <w:szCs w:val="30"/>
          <w:rtl/>
          <w:lang w:bidi="ar-EG"/>
        </w:rPr>
        <w:t>تركيز</w:t>
      </w:r>
      <w:r w:rsidRPr="00335E4B">
        <w:rPr>
          <w:rFonts w:cs="Traditional Arabic" w:hint="cs"/>
          <w:sz w:val="20"/>
          <w:szCs w:val="30"/>
          <w:rtl/>
          <w:lang w:bidi="ar-EG"/>
        </w:rPr>
        <w:t>اً</w:t>
      </w:r>
      <w:r w:rsidRPr="00335E4B">
        <w:rPr>
          <w:rFonts w:cs="Traditional Arabic"/>
          <w:sz w:val="20"/>
          <w:szCs w:val="30"/>
          <w:rtl/>
          <w:lang w:bidi="ar-EG"/>
        </w:rPr>
        <w:t xml:space="preserve"> </w:t>
      </w:r>
      <w:r w:rsidRPr="00335E4B">
        <w:rPr>
          <w:rFonts w:cs="Traditional Arabic" w:hint="cs"/>
          <w:sz w:val="20"/>
          <w:szCs w:val="30"/>
          <w:rtl/>
          <w:lang w:bidi="ar-EG"/>
        </w:rPr>
        <w:t>أعلى ل</w:t>
      </w:r>
      <w:r w:rsidRPr="00335E4B">
        <w:rPr>
          <w:rFonts w:cs="Traditional Arabic"/>
          <w:sz w:val="20"/>
          <w:szCs w:val="30"/>
          <w:rtl/>
          <w:lang w:bidi="ar-EG"/>
        </w:rPr>
        <w:t xml:space="preserve">لزئبق الأوَّلي الخارج من جهاز التنظيف </w:t>
      </w:r>
      <w:r w:rsidRPr="00335E4B">
        <w:rPr>
          <w:rFonts w:cs="Traditional Arabic" w:hint="cs"/>
          <w:sz w:val="20"/>
          <w:szCs w:val="30"/>
          <w:rtl/>
          <w:lang w:bidi="ar-EG"/>
        </w:rPr>
        <w:t xml:space="preserve">بالمقارنة مع </w:t>
      </w:r>
      <w:r w:rsidRPr="00335E4B">
        <w:rPr>
          <w:rFonts w:cs="Traditional Arabic"/>
          <w:sz w:val="20"/>
          <w:szCs w:val="30"/>
          <w:rtl/>
          <w:lang w:bidi="ar-EG"/>
        </w:rPr>
        <w:t>الكمية الداخلة إلى الجهاز ويُطلق عليه</w:t>
      </w:r>
      <w:r w:rsidRPr="00335E4B">
        <w:rPr>
          <w:rFonts w:cs="Traditional Arabic" w:hint="cs"/>
          <w:sz w:val="20"/>
          <w:szCs w:val="30"/>
          <w:rtl/>
          <w:lang w:bidi="ar-EG"/>
        </w:rPr>
        <w:t>ا</w:t>
      </w:r>
      <w:r w:rsidRPr="00335E4B">
        <w:rPr>
          <w:rFonts w:cs="Traditional Arabic"/>
          <w:sz w:val="20"/>
          <w:szCs w:val="30"/>
          <w:rtl/>
          <w:lang w:bidi="ar-EG"/>
        </w:rPr>
        <w:t xml:space="preserve"> ”إعادة انبعاث الزئبق“ (كيزر وآخرون، 2014). </w:t>
      </w:r>
    </w:p>
    <w:p w:rsidR="00335E4B" w:rsidRPr="00335E4B" w:rsidRDefault="00335E4B" w:rsidP="00335E4B">
      <w:pPr>
        <w:tabs>
          <w:tab w:val="left" w:pos="663"/>
          <w:tab w:val="left" w:pos="1117"/>
          <w:tab w:val="left" w:pos="2230"/>
          <w:tab w:val="center" w:pos="5468"/>
        </w:tabs>
        <w:spacing w:before="60" w:after="80" w:line="340" w:lineRule="exact"/>
        <w:jc w:val="both"/>
        <w:rPr>
          <w:rFonts w:cs="Traditional Arabic"/>
          <w:sz w:val="20"/>
          <w:szCs w:val="30"/>
          <w:rtl/>
          <w:lang w:bidi="ar-EG"/>
        </w:rPr>
      </w:pPr>
      <w:r w:rsidRPr="00335E4B">
        <w:rPr>
          <w:rFonts w:cs="Traditional Arabic"/>
          <w:sz w:val="20"/>
          <w:szCs w:val="30"/>
          <w:rtl/>
          <w:lang w:bidi="ar-EG"/>
        </w:rPr>
        <w:t>وفي إعادة انبعاث الزئبق من جهاز تنظيف رطب يتم اختزال الزئبق الأيوني القابل للذوبان إلى شكل أوَّلي غير قابل للذوبان، وينتج عن ذلك إطلاقه مرة أخرى في غاز المدخنة. ويوضح الشكل أدناه المسار الكيميائي الذي يمكن أن يحدث من خلاله الامتصاص وإعادة الانبعاث.</w:t>
      </w:r>
    </w:p>
    <w:p w:rsidR="00335E4B" w:rsidRPr="00335E4B" w:rsidRDefault="001254C4" w:rsidP="00335E4B">
      <w:pPr>
        <w:tabs>
          <w:tab w:val="left" w:pos="663"/>
          <w:tab w:val="left" w:pos="1117"/>
          <w:tab w:val="left" w:pos="2230"/>
          <w:tab w:val="center" w:pos="5468"/>
        </w:tabs>
        <w:spacing w:after="120" w:line="340" w:lineRule="exact"/>
        <w:jc w:val="both"/>
        <w:rPr>
          <w:rFonts w:cs="Traditional Arabic"/>
          <w:sz w:val="20"/>
          <w:szCs w:val="30"/>
          <w:rtl/>
          <w:lang w:bidi="ar-EG"/>
        </w:rPr>
      </w:pPr>
      <w:r>
        <w:rPr>
          <w:rFonts w:cs="Traditional Arabic"/>
          <w:noProof/>
          <w:sz w:val="20"/>
          <w:szCs w:val="30"/>
          <w:lang w:val="en-GB" w:eastAsia="zh-CN"/>
        </w:rPr>
        <mc:AlternateContent>
          <mc:Choice Requires="wpg">
            <w:drawing>
              <wp:anchor distT="0" distB="0" distL="114300" distR="114300" simplePos="0" relativeHeight="251665408" behindDoc="0" locked="0" layoutInCell="1" allowOverlap="1" wp14:anchorId="0FA32369" wp14:editId="009229D9">
                <wp:simplePos x="0" y="0"/>
                <wp:positionH relativeFrom="column">
                  <wp:posOffset>2439758</wp:posOffset>
                </wp:positionH>
                <wp:positionV relativeFrom="paragraph">
                  <wp:posOffset>118517</wp:posOffset>
                </wp:positionV>
                <wp:extent cx="3406775" cy="396000"/>
                <wp:effectExtent l="0" t="0" r="22225" b="23495"/>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6775" cy="396000"/>
                          <a:chOff x="5032" y="4402"/>
                          <a:chExt cx="5365" cy="754"/>
                        </a:xfrm>
                      </wpg:grpSpPr>
                      <wps:wsp>
                        <wps:cNvPr id="541" name="Text Box 116"/>
                        <wps:cNvSpPr txBox="1">
                          <a:spLocks noChangeArrowheads="1"/>
                        </wps:cNvSpPr>
                        <wps:spPr bwMode="auto">
                          <a:xfrm>
                            <a:off x="9371" y="4402"/>
                            <a:ext cx="1026" cy="699"/>
                          </a:xfrm>
                          <a:prstGeom prst="rect">
                            <a:avLst/>
                          </a:prstGeom>
                          <a:solidFill>
                            <a:srgbClr val="FFFFFF"/>
                          </a:solidFill>
                          <a:ln w="19050">
                            <a:solidFill>
                              <a:srgbClr val="00FF00"/>
                            </a:solidFill>
                            <a:miter lim="800000"/>
                            <a:headEnd/>
                            <a:tailEnd/>
                          </a:ln>
                        </wps:spPr>
                        <wps:txbx>
                          <w:txbxContent>
                            <w:p w:rsidR="00670B40" w:rsidRPr="001254C4" w:rsidRDefault="00670B40" w:rsidP="00335E4B">
                              <w:pPr>
                                <w:spacing w:line="240" w:lineRule="exact"/>
                                <w:jc w:val="center"/>
                                <w:rPr>
                                  <w:rFonts w:ascii="Traditional Arabic" w:hAnsi="Traditional Arabic" w:cs="Traditional Arabic"/>
                                  <w:color w:val="000000"/>
                                  <w:sz w:val="24"/>
                                  <w:szCs w:val="24"/>
                                  <w:lang w:bidi="ar-EG"/>
                                </w:rPr>
                              </w:pPr>
                              <w:r w:rsidRPr="001254C4">
                                <w:rPr>
                                  <w:rFonts w:ascii="Traditional Arabic" w:hAnsi="Traditional Arabic" w:cs="Traditional Arabic"/>
                                  <w:color w:val="000000"/>
                                  <w:sz w:val="24"/>
                                  <w:szCs w:val="24"/>
                                  <w:rtl/>
                                  <w:lang w:bidi="ar-EG"/>
                                </w:rPr>
                                <w:t>أنبوب غاز المدخنة</w:t>
                              </w:r>
                            </w:p>
                          </w:txbxContent>
                        </wps:txbx>
                        <wps:bodyPr rot="0" vert="horz" wrap="square" lIns="0" tIns="0" rIns="0" bIns="0" anchor="t" anchorCtr="0" upright="1">
                          <a:noAutofit/>
                        </wps:bodyPr>
                      </wps:wsp>
                      <wps:wsp>
                        <wps:cNvPr id="542" name="Text Box 117"/>
                        <wps:cNvSpPr txBox="1">
                          <a:spLocks noChangeArrowheads="1"/>
                        </wps:cNvSpPr>
                        <wps:spPr bwMode="auto">
                          <a:xfrm>
                            <a:off x="6834" y="4402"/>
                            <a:ext cx="2223" cy="680"/>
                          </a:xfrm>
                          <a:prstGeom prst="rect">
                            <a:avLst/>
                          </a:prstGeom>
                          <a:solidFill>
                            <a:srgbClr val="FFFFFF"/>
                          </a:solidFill>
                          <a:ln w="19050">
                            <a:solidFill>
                              <a:srgbClr val="99CCFF"/>
                            </a:solidFill>
                            <a:miter lim="800000"/>
                            <a:headEnd/>
                            <a:tailEnd/>
                          </a:ln>
                        </wps:spPr>
                        <wps:txbx>
                          <w:txbxContent>
                            <w:p w:rsidR="00670B40" w:rsidRPr="001254C4" w:rsidRDefault="00670B40" w:rsidP="00335E4B">
                              <w:pPr>
                                <w:spacing w:line="240" w:lineRule="exact"/>
                                <w:jc w:val="center"/>
                                <w:rPr>
                                  <w:rFonts w:ascii="Traditional Arabic" w:hAnsi="Traditional Arabic" w:cs="Traditional Arabic"/>
                                  <w:color w:val="000000"/>
                                  <w:sz w:val="24"/>
                                  <w:szCs w:val="24"/>
                                  <w:lang w:bidi="ar-EG"/>
                                </w:rPr>
                              </w:pPr>
                              <w:r w:rsidRPr="001254C4">
                                <w:rPr>
                                  <w:rFonts w:ascii="Traditional Arabic" w:hAnsi="Traditional Arabic" w:cs="Traditional Arabic"/>
                                  <w:color w:val="000000"/>
                                  <w:sz w:val="24"/>
                                  <w:szCs w:val="24"/>
                                  <w:rtl/>
                                  <w:lang w:bidi="ar-EG"/>
                                </w:rPr>
                                <w:t>محلول مائي لجهاز تنظيف الكبريت من غاز المدخنة</w:t>
                              </w:r>
                            </w:p>
                          </w:txbxContent>
                        </wps:txbx>
                        <wps:bodyPr rot="0" vert="horz" wrap="square" lIns="0" tIns="0" rIns="0" bIns="0" anchor="t" anchorCtr="0" upright="1">
                          <a:noAutofit/>
                        </wps:bodyPr>
                      </wps:wsp>
                      <wps:wsp>
                        <wps:cNvPr id="543" name="Text Box 118"/>
                        <wps:cNvSpPr txBox="1">
                          <a:spLocks noChangeArrowheads="1"/>
                        </wps:cNvSpPr>
                        <wps:spPr bwMode="auto">
                          <a:xfrm>
                            <a:off x="5032" y="4402"/>
                            <a:ext cx="1474" cy="754"/>
                          </a:xfrm>
                          <a:prstGeom prst="rect">
                            <a:avLst/>
                          </a:prstGeom>
                          <a:solidFill>
                            <a:srgbClr val="FFFFFF"/>
                          </a:solidFill>
                          <a:ln w="19050">
                            <a:solidFill>
                              <a:srgbClr val="C0C0C0"/>
                            </a:solidFill>
                            <a:miter lim="800000"/>
                            <a:headEnd/>
                            <a:tailEnd/>
                          </a:ln>
                        </wps:spPr>
                        <wps:txbx>
                          <w:txbxContent>
                            <w:p w:rsidR="00670B40" w:rsidRPr="001254C4" w:rsidRDefault="00670B40" w:rsidP="001254C4">
                              <w:pPr>
                                <w:spacing w:line="200" w:lineRule="exact"/>
                                <w:jc w:val="center"/>
                                <w:rPr>
                                  <w:rFonts w:ascii="Traditional Arabic" w:hAnsi="Traditional Arabic" w:cs="Traditional Arabic"/>
                                  <w:color w:val="000000"/>
                                  <w:szCs w:val="22"/>
                                  <w:lang w:bidi="ar-EG"/>
                                </w:rPr>
                              </w:pPr>
                              <w:r w:rsidRPr="001254C4">
                                <w:rPr>
                                  <w:rFonts w:ascii="Traditional Arabic" w:hAnsi="Traditional Arabic" w:cs="Traditional Arabic"/>
                                  <w:color w:val="000000"/>
                                  <w:szCs w:val="22"/>
                                  <w:rtl/>
                                  <w:lang w:bidi="ar-EG"/>
                                </w:rPr>
                                <w:t>مدخل جهاز تنظيف رطب لإزالة الكبريت من غاز المدخنة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0" o:spid="_x0000_s1086" style="position:absolute;left:0;text-align:left;margin-left:192.1pt;margin-top:9.35pt;width:268.25pt;height:31.2pt;z-index:251665408" coordorigin="5032,4402" coordsize="536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">
                <v:shape id="Text Box 116" o:spid="_x0000_s1087" type="#_x0000_t202" style="position:absolute;left:9371;top:4402;width:102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dh8MA&#10;AADcAAAADwAAAGRycy9kb3ducmV2LnhtbESP3YrCMBSE7wXfIRxhb2SbKirSNYoKru6lPw9waE5/&#10;sDkpSazdt98Iwl4OM/MNs9r0phEdOV9bVjBJUhDEudU1lwpu18PnEoQPyBoby6Tglzxs1sPBCjNt&#10;n3ym7hJKESHsM1RQhdBmUvq8IoM+sS1x9ArrDIYoXSm1w2eEm0ZO03QhDdYcFypsaV9Rfr88jIJx&#10;92O+j4vxbF/urmd3M8sibXOlPkb99gtEoD78h9/tk1Ywn03gd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hdh8MAAADcAAAADwAAAAAAAAAAAAAAAACYAgAAZHJzL2Rv&#10;d25yZXYueG1sUEsFBgAAAAAEAAQA9QAAAIgDAAAAAA==&#10;" strokecolor="lime" strokeweight="1.5pt">
                  <v:textbox inset="0,0,0,0">
                    <w:txbxContent>
                      <w:p w:rsidR="0093783C" w:rsidRPr="001254C4" w:rsidRDefault="0093783C" w:rsidP="00335E4B">
                        <w:pPr>
                          <w:spacing w:line="240" w:lineRule="exact"/>
                          <w:jc w:val="center"/>
                          <w:rPr>
                            <w:rFonts w:ascii="Traditional Arabic" w:hAnsi="Traditional Arabic" w:cs="Traditional Arabic"/>
                            <w:color w:val="000000"/>
                            <w:sz w:val="24"/>
                            <w:szCs w:val="24"/>
                            <w:lang w:bidi="ar-EG"/>
                          </w:rPr>
                        </w:pPr>
                        <w:r w:rsidRPr="001254C4">
                          <w:rPr>
                            <w:rFonts w:ascii="Traditional Arabic" w:hAnsi="Traditional Arabic" w:cs="Traditional Arabic"/>
                            <w:color w:val="000000"/>
                            <w:sz w:val="24"/>
                            <w:szCs w:val="24"/>
                            <w:rtl/>
                            <w:lang w:bidi="ar-EG"/>
                          </w:rPr>
                          <w:t>أنبوب غاز المدخنة</w:t>
                        </w:r>
                      </w:p>
                    </w:txbxContent>
                  </v:textbox>
                </v:shape>
                <v:shape id="Text Box 117" o:spid="_x0000_s1088" type="#_x0000_t202" style="position:absolute;left:6834;top:4402;width:222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LOsQA&#10;AADcAAAADwAAAGRycy9kb3ducmV2LnhtbESPwWrDMBBE74X8g9hCb7XckIbgRjFOm0BoT3H6AYu1&#10;sUyslZGU2P37qFDocZiZN8y6nGwvbuRD51jBS5aDIG6c7rhV8H3aP69AhIissXdMCn4oQLmZPayx&#10;0G7kI93q2IoE4VCgAhPjUEgZGkMWQ+YG4uSdnbcYk/St1B7HBLe9nOf5UlrsOC0YHOjdUHOpr1bB&#10;OC0vdme//MF/jLHKz9vweTVKPT1O1RuISFP8D/+1D1rB62IOv2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SzrEAAAA3AAAAA8AAAAAAAAAAAAAAAAAmAIAAGRycy9k&#10;b3ducmV2LnhtbFBLBQYAAAAABAAEAPUAAACJAwAAAAA=&#10;" strokecolor="#9cf" strokeweight="1.5pt">
                  <v:textbox inset="0,0,0,0">
                    <w:txbxContent>
                      <w:p w:rsidR="0093783C" w:rsidRPr="001254C4" w:rsidRDefault="0093783C" w:rsidP="00335E4B">
                        <w:pPr>
                          <w:spacing w:line="240" w:lineRule="exact"/>
                          <w:jc w:val="center"/>
                          <w:rPr>
                            <w:rFonts w:ascii="Traditional Arabic" w:hAnsi="Traditional Arabic" w:cs="Traditional Arabic"/>
                            <w:color w:val="000000"/>
                            <w:sz w:val="24"/>
                            <w:szCs w:val="24"/>
                            <w:lang w:bidi="ar-EG"/>
                          </w:rPr>
                        </w:pPr>
                        <w:r w:rsidRPr="001254C4">
                          <w:rPr>
                            <w:rFonts w:ascii="Traditional Arabic" w:hAnsi="Traditional Arabic" w:cs="Traditional Arabic"/>
                            <w:color w:val="000000"/>
                            <w:sz w:val="24"/>
                            <w:szCs w:val="24"/>
                            <w:rtl/>
                            <w:lang w:bidi="ar-EG"/>
                          </w:rPr>
                          <w:t>محلول مائي لجهاز تنظيف الكبريت من غاز المدخنة</w:t>
                        </w:r>
                      </w:p>
                    </w:txbxContent>
                  </v:textbox>
                </v:shape>
                <v:shape id="Text Box 118" o:spid="_x0000_s1089" type="#_x0000_t202" style="position:absolute;left:5032;top:4402;width:1474;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dr8UA&#10;AADcAAAADwAAAGRycy9kb3ducmV2LnhtbESPzUoDQRCE74LvMLTgRZJZYwyyZhLEIHjUxJAcm512&#10;d3G7Z5mfZOPTO0Igx6KqvqLmy4E7dSAfWicG7scFKJLK2VZqA1+bt9ETqBBRLHZOyMCJAiwX11dz&#10;LK07yicd1rFWGSKhRANNjH2pdagaYgxj15Nk79t5xpilr7X1eMxw7vSkKGaasZW80GBPrw1VP+vE&#10;Bsiv9rzqfu84xX3iyUfabU/JmNub4eUZVKQhXsLn9rs18Dh9gP8z+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p2vxQAAANwAAAAPAAAAAAAAAAAAAAAAAJgCAABkcnMv&#10;ZG93bnJldi54bWxQSwUGAAAAAAQABAD1AAAAigMAAAAA&#10;" strokecolor="silver" strokeweight="1.5pt">
                  <v:textbox inset="0,0,0,0">
                    <w:txbxContent>
                      <w:p w:rsidR="0093783C" w:rsidRPr="001254C4" w:rsidRDefault="0093783C" w:rsidP="001254C4">
                        <w:pPr>
                          <w:spacing w:line="200" w:lineRule="exact"/>
                          <w:jc w:val="center"/>
                          <w:rPr>
                            <w:rFonts w:ascii="Traditional Arabic" w:hAnsi="Traditional Arabic" w:cs="Traditional Arabic"/>
                            <w:color w:val="000000"/>
                            <w:szCs w:val="22"/>
                            <w:lang w:bidi="ar-EG"/>
                          </w:rPr>
                        </w:pPr>
                        <w:r w:rsidRPr="001254C4">
                          <w:rPr>
                            <w:rFonts w:ascii="Traditional Arabic" w:hAnsi="Traditional Arabic" w:cs="Traditional Arabic"/>
                            <w:color w:val="000000"/>
                            <w:szCs w:val="22"/>
                            <w:rtl/>
                            <w:lang w:bidi="ar-EG"/>
                          </w:rPr>
                          <w:t>مدخل جهاز تنظيف رطب لإزالة الكبريت من غاز المدخنة</w:t>
                        </w:r>
                      </w:p>
                    </w:txbxContent>
                  </v:textbox>
                </v:shape>
              </v:group>
            </w:pict>
          </mc:Fallback>
        </mc:AlternateContent>
      </w:r>
      <w:r w:rsidR="00335E4B">
        <w:rPr>
          <w:rFonts w:cs="Traditional Arabic"/>
          <w:noProof/>
          <w:sz w:val="20"/>
          <w:szCs w:val="30"/>
          <w:lang w:val="en-GB" w:eastAsia="zh-CN"/>
        </w:rPr>
        <w:drawing>
          <wp:anchor distT="0" distB="0" distL="114300" distR="114300" simplePos="0" relativeHeight="251675648" behindDoc="1" locked="0" layoutInCell="1" allowOverlap="1" wp14:anchorId="025C0DE0" wp14:editId="208D0C04">
            <wp:simplePos x="0" y="0"/>
            <wp:positionH relativeFrom="column">
              <wp:posOffset>2439035</wp:posOffset>
            </wp:positionH>
            <wp:positionV relativeFrom="paragraph">
              <wp:posOffset>74930</wp:posOffset>
            </wp:positionV>
            <wp:extent cx="3406140" cy="2063115"/>
            <wp:effectExtent l="0" t="0" r="3810" b="0"/>
            <wp:wrapTight wrapText="bothSides">
              <wp:wrapPolygon edited="0">
                <wp:start x="0" y="0"/>
                <wp:lineTo x="0" y="21341"/>
                <wp:lineTo x="21503" y="21341"/>
                <wp:lineTo x="21503" y="0"/>
                <wp:lineTo x="0" y="0"/>
              </wp:wrapPolygon>
            </wp:wrapTight>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
                      <a:extLst>
                        <a:ext uri="{28A0092B-C50C-407E-A947-70E740481C1C}">
                          <a14:useLocalDpi xmlns:a14="http://schemas.microsoft.com/office/drawing/2010/main" val="0"/>
                        </a:ext>
                      </a:extLst>
                    </a:blip>
                    <a:srcRect l="2849" t="2495"/>
                    <a:stretch>
                      <a:fillRect/>
                    </a:stretch>
                  </pic:blipFill>
                  <pic:spPr bwMode="auto">
                    <a:xfrm>
                      <a:off x="0" y="0"/>
                      <a:ext cx="3406140"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r>
        <w:rPr>
          <w:rFonts w:cs="Traditional Arabic"/>
          <w:noProof/>
          <w:sz w:val="20"/>
          <w:szCs w:val="30"/>
          <w:lang w:val="en-GB" w:eastAsia="zh-CN"/>
        </w:rPr>
        <mc:AlternateContent>
          <mc:Choice Requires="wps">
            <w:drawing>
              <wp:anchor distT="0" distB="0" distL="114300" distR="114300" simplePos="0" relativeHeight="251712512" behindDoc="0" locked="0" layoutInCell="1" allowOverlap="1" wp14:anchorId="5E12B8EC" wp14:editId="0F4D2186">
                <wp:simplePos x="0" y="0"/>
                <wp:positionH relativeFrom="column">
                  <wp:posOffset>2592070</wp:posOffset>
                </wp:positionH>
                <wp:positionV relativeFrom="paragraph">
                  <wp:posOffset>249555</wp:posOffset>
                </wp:positionV>
                <wp:extent cx="1802130" cy="329565"/>
                <wp:effectExtent l="6350" t="9525" r="10795" b="13335"/>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329565"/>
                        </a:xfrm>
                        <a:prstGeom prst="rect">
                          <a:avLst/>
                        </a:prstGeom>
                        <a:solidFill>
                          <a:srgbClr val="FFFFFF"/>
                        </a:solidFill>
                        <a:ln w="9525">
                          <a:solidFill>
                            <a:srgbClr val="FFFFFF"/>
                          </a:solidFill>
                          <a:miter lim="800000"/>
                          <a:headEnd/>
                          <a:tailEnd/>
                        </a:ln>
                      </wps:spPr>
                      <wps:txbx>
                        <w:txbxContent>
                          <w:p w:rsidR="00670B40" w:rsidRPr="009E74F8" w:rsidRDefault="00670B40" w:rsidP="00335E4B">
                            <w:pPr>
                              <w:jc w:val="both"/>
                              <w:rPr>
                                <w:szCs w:val="20"/>
                                <w:rtl/>
                              </w:rPr>
                            </w:pPr>
                            <w:r w:rsidRPr="009E74F8">
                              <w:rPr>
                                <w:szCs w:val="20"/>
                              </w:rPr>
                              <w:t>(g)</w:t>
                            </w:r>
                            <w:r w:rsidRPr="009E74F8">
                              <w:rPr>
                                <w:rFonts w:hint="cs"/>
                                <w:szCs w:val="20"/>
                                <w:rtl/>
                              </w:rPr>
                              <w:t xml:space="preserve">= الحالة الغازية، </w:t>
                            </w:r>
                            <w:r w:rsidRPr="009E74F8">
                              <w:rPr>
                                <w:szCs w:val="20"/>
                              </w:rPr>
                              <w:t>(aq)</w:t>
                            </w:r>
                            <w:r w:rsidRPr="009E74F8">
                              <w:rPr>
                                <w:rFonts w:hint="cs"/>
                                <w:szCs w:val="20"/>
                                <w:rtl/>
                              </w:rPr>
                              <w:t>= الحالة المائية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9" o:spid="_x0000_s1090" type="#_x0000_t202" style="position:absolute;left:0;text-align:left;margin-left:204.1pt;margin-top:19.65pt;width:141.9pt;height:25.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" strokecolor="white">
                <v:textbox>
                  <w:txbxContent>
                    <w:p w:rsidR="0093783C" w:rsidRPr="009E74F8" w:rsidRDefault="0093783C" w:rsidP="00335E4B">
                      <w:pPr>
                        <w:jc w:val="both"/>
                        <w:rPr>
                          <w:szCs w:val="20"/>
                          <w:rtl/>
                        </w:rPr>
                      </w:pPr>
                      <w:r w:rsidRPr="009E74F8">
                        <w:rPr>
                          <w:szCs w:val="20"/>
                        </w:rPr>
                        <w:t>(g)</w:t>
                      </w:r>
                      <w:r w:rsidRPr="009E74F8">
                        <w:rPr>
                          <w:rFonts w:hint="cs"/>
                          <w:szCs w:val="20"/>
                          <w:rtl/>
                        </w:rPr>
                        <w:t xml:space="preserve">= الحالة الغازية، </w:t>
                      </w:r>
                      <w:r w:rsidRPr="009E74F8">
                        <w:rPr>
                          <w:szCs w:val="20"/>
                        </w:rPr>
                        <w:t>(aq)</w:t>
                      </w:r>
                      <w:r w:rsidRPr="009E74F8">
                        <w:rPr>
                          <w:rFonts w:hint="cs"/>
                          <w:szCs w:val="20"/>
                          <w:rtl/>
                        </w:rPr>
                        <w:t>= الحالة المائية</w:t>
                      </w:r>
                    </w:p>
                  </w:txbxContent>
                </v:textbox>
              </v:shape>
            </w:pict>
          </mc:Fallback>
        </mc:AlternateContent>
      </w:r>
    </w:p>
    <w:p w:rsidR="00335E4B" w:rsidRPr="00335E4B" w:rsidRDefault="00335E4B" w:rsidP="00335E4B">
      <w:pPr>
        <w:spacing w:after="120" w:line="400" w:lineRule="exact"/>
        <w:jc w:val="both"/>
        <w:rPr>
          <w:rFonts w:cs="Traditional Arabic"/>
          <w:i/>
          <w:iCs/>
          <w:sz w:val="20"/>
          <w:szCs w:val="30"/>
          <w:lang w:bidi="ar-EG"/>
        </w:rPr>
      </w:pPr>
      <w:r>
        <w:rPr>
          <w:rFonts w:cs="Traditional Arabic"/>
          <w:i/>
          <w:iCs/>
          <w:noProof/>
          <w:sz w:val="20"/>
          <w:szCs w:val="30"/>
          <w:lang w:val="en-GB" w:eastAsia="zh-CN"/>
        </w:rPr>
        <mc:AlternateContent>
          <mc:Choice Requires="wps">
            <w:drawing>
              <wp:anchor distT="0" distB="0" distL="114300" distR="114300" simplePos="0" relativeHeight="251718656" behindDoc="0" locked="0" layoutInCell="1" allowOverlap="1" wp14:anchorId="1D0BBD24" wp14:editId="6663CF0A">
                <wp:simplePos x="0" y="0"/>
                <wp:positionH relativeFrom="column">
                  <wp:posOffset>343535</wp:posOffset>
                </wp:positionH>
                <wp:positionV relativeFrom="paragraph">
                  <wp:posOffset>287020</wp:posOffset>
                </wp:positionV>
                <wp:extent cx="5433695" cy="608330"/>
                <wp:effectExtent l="5715" t="5715" r="8890" b="5080"/>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695" cy="608330"/>
                        </a:xfrm>
                        <a:prstGeom prst="rect">
                          <a:avLst/>
                        </a:prstGeom>
                        <a:solidFill>
                          <a:srgbClr val="FFFFFF"/>
                        </a:solidFill>
                        <a:ln w="9525">
                          <a:solidFill>
                            <a:srgbClr val="FFFFFF"/>
                          </a:solidFill>
                          <a:miter lim="800000"/>
                          <a:headEnd/>
                          <a:tailEnd/>
                        </a:ln>
                      </wps:spPr>
                      <wps:txbx>
                        <w:txbxContent>
                          <w:p w:rsidR="00670B40" w:rsidRPr="001254C4" w:rsidRDefault="00670B40" w:rsidP="00335E4B">
                            <w:pPr>
                              <w:pStyle w:val="Heading3"/>
                              <w:spacing w:before="0" w:after="0"/>
                              <w:rPr>
                                <w:rFonts w:ascii="Traditional Arabic" w:hAnsi="Traditional Arabic" w:cs="Traditional Arabic"/>
                                <w:b/>
                                <w:bCs/>
                                <w:sz w:val="28"/>
                                <w:u w:val="none"/>
                                <w:rtl/>
                                <w:lang w:bidi="ar-EG"/>
                              </w:rPr>
                            </w:pPr>
                            <w:bookmarkStart w:id="693" w:name="_Toc440527773"/>
                            <w:bookmarkStart w:id="694" w:name="_Toc440550474"/>
                            <w:bookmarkStart w:id="695" w:name="_Toc441576931"/>
                            <w:bookmarkStart w:id="696" w:name="_Toc441577731"/>
                            <w:bookmarkStart w:id="697" w:name="_Toc441577910"/>
                            <w:bookmarkStart w:id="698" w:name="_Toc441579136"/>
                            <w:bookmarkStart w:id="699" w:name="_Toc441580744"/>
                            <w:bookmarkStart w:id="700" w:name="_Toc441585092"/>
                            <w:bookmarkStart w:id="701" w:name="_Toc441585517"/>
                            <w:bookmarkStart w:id="702" w:name="_Toc441585696"/>
                            <w:bookmarkStart w:id="703" w:name="_Toc441585875"/>
                            <w:bookmarkStart w:id="704" w:name="_Toc441586211"/>
                            <w:bookmarkStart w:id="705" w:name="_Toc441586661"/>
                            <w:bookmarkStart w:id="706" w:name="_Toc441586840"/>
                            <w:bookmarkStart w:id="707" w:name="_Toc441588332"/>
                            <w:bookmarkStart w:id="708" w:name="_Toc441664586"/>
                            <w:bookmarkStart w:id="709" w:name="_Toc441664765"/>
                            <w:bookmarkStart w:id="710" w:name="_Toc441666689"/>
                            <w:bookmarkStart w:id="711" w:name="_Toc441666869"/>
                            <w:bookmarkStart w:id="712" w:name="_Toc441667409"/>
                            <w:bookmarkStart w:id="713" w:name="_Toc441667589"/>
                            <w:bookmarkStart w:id="714" w:name="_Toc441670302"/>
                            <w:bookmarkStart w:id="715" w:name="_Toc441671812"/>
                            <w:bookmarkStart w:id="716" w:name="_Toc441673750"/>
                            <w:bookmarkStart w:id="717" w:name="_Toc486838319"/>
                            <w:bookmarkStart w:id="718" w:name="_Toc486838498"/>
                            <w:bookmarkStart w:id="719" w:name="_Toc486838677"/>
                            <w:r w:rsidRPr="001254C4">
                              <w:rPr>
                                <w:rFonts w:ascii="Traditional Arabic" w:hAnsi="Traditional Arabic" w:cs="Traditional Arabic"/>
                                <w:b/>
                                <w:bCs/>
                                <w:sz w:val="28"/>
                                <w:u w:val="none"/>
                                <w:rtl/>
                                <w:lang w:bidi="ar-EG"/>
                              </w:rPr>
                              <w:t>الشكل 8 - رسم يوضح امتصاص/امتزاز زئبق غاز المدخنة عبر جهاز تنظيف رطب لإزالة الكبريت من غاز المدخنة (كيزر وآخرون، 2014)</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rsidR="00670B40" w:rsidRDefault="00670B40" w:rsidP="00335E4B">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91" type="#_x0000_t202" style="position:absolute;left:0;text-align:left;margin-left:27.05pt;margin-top:22.6pt;width:427.85pt;height:47.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" strokecolor="white">
                <v:textbox>
                  <w:txbxContent>
                    <w:p w:rsidR="00670B40" w:rsidRPr="001254C4" w:rsidRDefault="00670B40" w:rsidP="00335E4B">
                      <w:pPr>
                        <w:pStyle w:val="Heading3"/>
                        <w:spacing w:before="0" w:after="0"/>
                        <w:rPr>
                          <w:rFonts w:ascii="Traditional Arabic" w:hAnsi="Traditional Arabic" w:cs="Traditional Arabic"/>
                          <w:b/>
                          <w:bCs/>
                          <w:sz w:val="28"/>
                          <w:u w:val="none"/>
                          <w:rtl/>
                          <w:lang w:bidi="ar-EG"/>
                        </w:rPr>
                      </w:pPr>
                      <w:bookmarkStart w:id="720" w:name="_Toc440527773"/>
                      <w:bookmarkStart w:id="721" w:name="_Toc440550474"/>
                      <w:bookmarkStart w:id="722" w:name="_Toc441576931"/>
                      <w:bookmarkStart w:id="723" w:name="_Toc441577731"/>
                      <w:bookmarkStart w:id="724" w:name="_Toc441577910"/>
                      <w:bookmarkStart w:id="725" w:name="_Toc441579136"/>
                      <w:bookmarkStart w:id="726" w:name="_Toc441580744"/>
                      <w:bookmarkStart w:id="727" w:name="_Toc441585092"/>
                      <w:bookmarkStart w:id="728" w:name="_Toc441585517"/>
                      <w:bookmarkStart w:id="729" w:name="_Toc441585696"/>
                      <w:bookmarkStart w:id="730" w:name="_Toc441585875"/>
                      <w:bookmarkStart w:id="731" w:name="_Toc441586211"/>
                      <w:bookmarkStart w:id="732" w:name="_Toc441586661"/>
                      <w:bookmarkStart w:id="733" w:name="_Toc441586840"/>
                      <w:bookmarkStart w:id="734" w:name="_Toc441588332"/>
                      <w:bookmarkStart w:id="735" w:name="_Toc441664586"/>
                      <w:bookmarkStart w:id="736" w:name="_Toc441664765"/>
                      <w:bookmarkStart w:id="737" w:name="_Toc441666689"/>
                      <w:bookmarkStart w:id="738" w:name="_Toc441666869"/>
                      <w:bookmarkStart w:id="739" w:name="_Toc441667409"/>
                      <w:bookmarkStart w:id="740" w:name="_Toc441667589"/>
                      <w:bookmarkStart w:id="741" w:name="_Toc441670302"/>
                      <w:bookmarkStart w:id="742" w:name="_Toc441671812"/>
                      <w:bookmarkStart w:id="743" w:name="_Toc441673750"/>
                      <w:bookmarkStart w:id="744" w:name="_Toc486838319"/>
                      <w:bookmarkStart w:id="745" w:name="_Toc486838498"/>
                      <w:bookmarkStart w:id="746" w:name="_Toc486838677"/>
                      <w:r w:rsidRPr="001254C4">
                        <w:rPr>
                          <w:rFonts w:ascii="Traditional Arabic" w:hAnsi="Traditional Arabic" w:cs="Traditional Arabic"/>
                          <w:b/>
                          <w:bCs/>
                          <w:sz w:val="28"/>
                          <w:u w:val="none"/>
                          <w:rtl/>
                          <w:lang w:bidi="ar-EG"/>
                        </w:rPr>
                        <w:t>الشكل 8 - رسم يوضح امتصاص/امتزاز زئبق غاز المدخنة عبر جهاز تنظيف رطب لإزالة الكبريت من غاز المدخنة (كيزر وآخرون، 2014)</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rsidR="00670B40" w:rsidRDefault="00670B40" w:rsidP="00335E4B">
                      <w:pPr>
                        <w:rPr>
                          <w:rtl/>
                        </w:rPr>
                      </w:pPr>
                    </w:p>
                  </w:txbxContent>
                </v:textbox>
              </v:shape>
            </w:pict>
          </mc:Fallback>
        </mc:AlternateContent>
      </w:r>
    </w:p>
    <w:p w:rsidR="00335E4B" w:rsidRPr="00335E4B" w:rsidRDefault="00335E4B" w:rsidP="00335E4B">
      <w:pPr>
        <w:spacing w:after="120" w:line="400" w:lineRule="exact"/>
        <w:jc w:val="both"/>
        <w:rPr>
          <w:rFonts w:cs="Traditional Arabic"/>
          <w:i/>
          <w:iCs/>
          <w:sz w:val="20"/>
          <w:szCs w:val="30"/>
          <w:lang w:bidi="ar-EG"/>
        </w:rPr>
      </w:pPr>
    </w:p>
    <w:p w:rsidR="00335E4B" w:rsidRPr="00335E4B" w:rsidRDefault="00335E4B" w:rsidP="00335E4B">
      <w:pPr>
        <w:spacing w:after="120" w:line="400" w:lineRule="exact"/>
        <w:jc w:val="both"/>
        <w:rPr>
          <w:rFonts w:cs="Traditional Arabic"/>
          <w:i/>
          <w:iCs/>
          <w:sz w:val="20"/>
          <w:szCs w:val="30"/>
          <w:lang w:bidi="ar-EG"/>
        </w:rPr>
      </w:pPr>
    </w:p>
    <w:p w:rsidR="00335E4B" w:rsidRPr="00335E4B" w:rsidRDefault="00335E4B" w:rsidP="00335E4B">
      <w:pPr>
        <w:spacing w:after="120" w:line="360" w:lineRule="exact"/>
        <w:jc w:val="both"/>
        <w:rPr>
          <w:rFonts w:cs="Traditional Arabic"/>
          <w:sz w:val="20"/>
          <w:szCs w:val="30"/>
          <w:rtl/>
          <w:lang w:bidi="ar-EG"/>
        </w:rPr>
      </w:pPr>
      <w:r w:rsidRPr="00335E4B">
        <w:rPr>
          <w:rFonts w:cs="Traditional Arabic"/>
          <w:sz w:val="20"/>
          <w:szCs w:val="30"/>
          <w:rtl/>
          <w:lang w:bidi="ar-EG"/>
        </w:rPr>
        <w:t>وقد بُذلت جهود كثيرة لتطوير التقنيات و</w:t>
      </w:r>
      <w:r w:rsidRPr="00335E4B">
        <w:rPr>
          <w:rFonts w:cs="Traditional Arabic" w:hint="cs"/>
          <w:sz w:val="20"/>
          <w:szCs w:val="30"/>
          <w:rtl/>
          <w:lang w:bidi="ar-EG"/>
        </w:rPr>
        <w:t>ال</w:t>
      </w:r>
      <w:r w:rsidRPr="00335E4B">
        <w:rPr>
          <w:rFonts w:cs="Traditional Arabic"/>
          <w:sz w:val="20"/>
          <w:szCs w:val="30"/>
          <w:rtl/>
          <w:lang w:bidi="ar-EG"/>
        </w:rPr>
        <w:t>منتجات من أجل تجنب إعادة انبعاث الزئبق، وتم تسويق عدد منها تجارياً. ومن ناحية المبدأ، تستند جميع هذه التقنيات إلى أسلوب تقليل محتوى الزئبق القابل للذوبان في سائل جهاز التنظيف. و</w:t>
      </w:r>
      <w:r w:rsidRPr="00335E4B">
        <w:rPr>
          <w:rFonts w:cs="Traditional Arabic" w:hint="cs"/>
          <w:sz w:val="20"/>
          <w:szCs w:val="30"/>
          <w:rtl/>
          <w:lang w:bidi="ar-EG"/>
        </w:rPr>
        <w:t xml:space="preserve">يجري ذلك </w:t>
      </w:r>
      <w:r w:rsidRPr="00335E4B">
        <w:rPr>
          <w:rFonts w:cs="Traditional Arabic"/>
          <w:sz w:val="20"/>
          <w:szCs w:val="30"/>
          <w:rtl/>
          <w:lang w:bidi="ar-EG"/>
        </w:rPr>
        <w:t>سواء من خلال امتصاص الزئبق الأيوني في جسيم</w:t>
      </w:r>
      <w:r w:rsidRPr="00335E4B">
        <w:rPr>
          <w:rFonts w:cs="Traditional Arabic" w:hint="cs"/>
          <w:sz w:val="20"/>
          <w:szCs w:val="30"/>
          <w:rtl/>
          <w:lang w:bidi="ar-EG"/>
        </w:rPr>
        <w:t>ات</w:t>
      </w:r>
      <w:r w:rsidRPr="00335E4B">
        <w:rPr>
          <w:rFonts w:cs="Traditional Arabic"/>
          <w:sz w:val="20"/>
          <w:szCs w:val="30"/>
          <w:rtl/>
          <w:lang w:bidi="ar-EG"/>
        </w:rPr>
        <w:t xml:space="preserve"> أو ترسيب الزئبق الأيوني من السائل (شيثان وآخرون، 2014). </w:t>
      </w:r>
    </w:p>
    <w:p w:rsidR="00335E4B" w:rsidRPr="00335E4B" w:rsidRDefault="00335E4B" w:rsidP="00335E4B">
      <w:pPr>
        <w:tabs>
          <w:tab w:val="left" w:pos="663"/>
          <w:tab w:val="left" w:pos="1117"/>
          <w:tab w:val="left" w:pos="2230"/>
          <w:tab w:val="center" w:pos="5468"/>
        </w:tabs>
        <w:spacing w:after="120" w:line="360" w:lineRule="exact"/>
        <w:jc w:val="both"/>
        <w:rPr>
          <w:rFonts w:cs="Traditional Arabic"/>
          <w:sz w:val="20"/>
          <w:szCs w:val="30"/>
          <w:rtl/>
          <w:lang w:bidi="ar-EG"/>
        </w:rPr>
      </w:pPr>
      <w:r w:rsidRPr="00335E4B">
        <w:rPr>
          <w:rFonts w:cs="Traditional Arabic"/>
          <w:sz w:val="20"/>
          <w:szCs w:val="30"/>
          <w:rtl/>
          <w:lang w:bidi="ar-EG"/>
        </w:rPr>
        <w:t>وفي تقنية الامتصاص يتم امتصاص الزئبق بالكربون المنش</w:t>
      </w:r>
      <w:r w:rsidRPr="00335E4B">
        <w:rPr>
          <w:rFonts w:cs="Traditional Arabic" w:hint="cs"/>
          <w:sz w:val="20"/>
          <w:szCs w:val="30"/>
          <w:rtl/>
          <w:lang w:bidi="ar-EG"/>
        </w:rPr>
        <w:t>َّ</w:t>
      </w:r>
      <w:r w:rsidRPr="00335E4B">
        <w:rPr>
          <w:rFonts w:cs="Traditional Arabic"/>
          <w:sz w:val="20"/>
          <w:szCs w:val="30"/>
          <w:rtl/>
          <w:lang w:bidi="ar-EG"/>
        </w:rPr>
        <w:t xml:space="preserve">ط. ويضاف الكربون المنشَّط إلى سائل جهاز التنظيف سواء مباشرة في خطوط </w:t>
      </w:r>
      <w:r w:rsidRPr="00335E4B">
        <w:rPr>
          <w:rFonts w:cs="Traditional Arabic" w:hint="cs"/>
          <w:sz w:val="20"/>
          <w:szCs w:val="30"/>
          <w:rtl/>
          <w:lang w:bidi="ar-EG"/>
        </w:rPr>
        <w:t>محلول</w:t>
      </w:r>
      <w:r w:rsidRPr="00335E4B">
        <w:rPr>
          <w:rFonts w:cs="Traditional Arabic"/>
          <w:sz w:val="20"/>
          <w:szCs w:val="30"/>
          <w:rtl/>
          <w:lang w:bidi="ar-EG"/>
        </w:rPr>
        <w:t xml:space="preserve"> جهاز التنظيف أو بحقنه في غاز المدخنة </w:t>
      </w:r>
      <w:r w:rsidRPr="00335E4B">
        <w:rPr>
          <w:rFonts w:cs="Traditional Arabic" w:hint="cs"/>
          <w:sz w:val="20"/>
          <w:szCs w:val="30"/>
          <w:rtl/>
          <w:lang w:bidi="ar-EG"/>
        </w:rPr>
        <w:t>في منبع</w:t>
      </w:r>
      <w:r w:rsidRPr="00335E4B">
        <w:rPr>
          <w:rFonts w:cs="Traditional Arabic"/>
          <w:sz w:val="20"/>
          <w:szCs w:val="30"/>
          <w:rtl/>
          <w:lang w:bidi="ar-EG"/>
        </w:rPr>
        <w:t xml:space="preserve"> جهاز التنظيف. و</w:t>
      </w:r>
      <w:r w:rsidRPr="00335E4B">
        <w:rPr>
          <w:rFonts w:cs="Traditional Arabic" w:hint="cs"/>
          <w:sz w:val="20"/>
          <w:szCs w:val="30"/>
          <w:rtl/>
          <w:lang w:bidi="ar-EG"/>
        </w:rPr>
        <w:t>تتم إزالة</w:t>
      </w:r>
      <w:r w:rsidRPr="00335E4B">
        <w:rPr>
          <w:rFonts w:cs="Traditional Arabic"/>
          <w:sz w:val="20"/>
          <w:szCs w:val="30"/>
          <w:rtl/>
          <w:lang w:bidi="ar-EG"/>
        </w:rPr>
        <w:t xml:space="preserve"> الكربون المنشَّط من جهاز التنظيف عن طريق خطوة إزالة المياه. </w:t>
      </w:r>
    </w:p>
    <w:p w:rsidR="00335E4B" w:rsidRPr="00335E4B" w:rsidRDefault="00335E4B" w:rsidP="00335E4B">
      <w:pPr>
        <w:tabs>
          <w:tab w:val="left" w:pos="663"/>
          <w:tab w:val="left" w:pos="1117"/>
          <w:tab w:val="left" w:pos="2230"/>
          <w:tab w:val="center" w:pos="5468"/>
        </w:tabs>
        <w:spacing w:after="120" w:line="360" w:lineRule="exact"/>
        <w:jc w:val="both"/>
        <w:rPr>
          <w:rFonts w:cs="Traditional Arabic"/>
          <w:sz w:val="20"/>
          <w:szCs w:val="30"/>
          <w:rtl/>
          <w:lang w:bidi="ar-EG"/>
        </w:rPr>
      </w:pPr>
      <w:r w:rsidRPr="00335E4B">
        <w:rPr>
          <w:rFonts w:cs="Traditional Arabic"/>
          <w:sz w:val="20"/>
          <w:szCs w:val="30"/>
          <w:rtl/>
          <w:lang w:bidi="ar-EG"/>
        </w:rPr>
        <w:t>وتم تع</w:t>
      </w:r>
      <w:r w:rsidRPr="00335E4B">
        <w:rPr>
          <w:rFonts w:cs="Traditional Arabic" w:hint="cs"/>
          <w:sz w:val="20"/>
          <w:szCs w:val="30"/>
          <w:rtl/>
          <w:lang w:bidi="ar-EG"/>
        </w:rPr>
        <w:t>ي</w:t>
      </w:r>
      <w:r w:rsidRPr="00335E4B">
        <w:rPr>
          <w:rFonts w:cs="Traditional Arabic"/>
          <w:sz w:val="20"/>
          <w:szCs w:val="30"/>
          <w:rtl/>
          <w:lang w:bidi="ar-EG"/>
        </w:rPr>
        <w:t xml:space="preserve">ين عدد من عوامل الترسيب وهذه العوامل يمكن تجميعها في خمس فئات: الفئة الأولى هي الكبريتيدات غير العضوية؛ والثانية الكبريتيدات العضوية؛ والثالثة المركبات العضوية التي تحتوي على النيتروجين والكبريت؛ والرابعة المركبات العضوية التي تحتوي على الأكسجين والكبريت؛ والخامسة هي </w:t>
      </w:r>
      <w:r w:rsidRPr="00335E4B">
        <w:rPr>
          <w:rFonts w:cs="Traditional Arabic" w:hint="cs"/>
          <w:sz w:val="20"/>
          <w:szCs w:val="30"/>
          <w:rtl/>
          <w:lang w:bidi="ar-EG"/>
        </w:rPr>
        <w:t>البوليمرات</w:t>
      </w:r>
      <w:r w:rsidRPr="00335E4B">
        <w:rPr>
          <w:rFonts w:cs="Traditional Arabic"/>
          <w:sz w:val="20"/>
          <w:szCs w:val="30"/>
          <w:rtl/>
          <w:lang w:bidi="ar-EG"/>
        </w:rPr>
        <w:t xml:space="preserve"> ذات الوزن الجز</w:t>
      </w:r>
      <w:r w:rsidRPr="00335E4B">
        <w:rPr>
          <w:rFonts w:cs="Traditional Arabic" w:hint="cs"/>
          <w:sz w:val="20"/>
          <w:szCs w:val="30"/>
          <w:rtl/>
          <w:lang w:bidi="ar-EG"/>
        </w:rPr>
        <w:t>ي</w:t>
      </w:r>
      <w:r w:rsidRPr="00335E4B">
        <w:rPr>
          <w:rFonts w:cs="Traditional Arabic"/>
          <w:sz w:val="20"/>
          <w:szCs w:val="30"/>
          <w:rtl/>
          <w:lang w:bidi="ar-EG"/>
        </w:rPr>
        <w:t>ئي المنخفض التي تحتوي على الكبريت (كيزر وآخرون، 2014).</w:t>
      </w:r>
    </w:p>
    <w:p w:rsidR="00335E4B" w:rsidRPr="00335E4B" w:rsidRDefault="00335E4B" w:rsidP="006F7165">
      <w:pPr>
        <w:tabs>
          <w:tab w:val="left" w:pos="663"/>
          <w:tab w:val="left" w:pos="1117"/>
          <w:tab w:val="left" w:pos="2230"/>
          <w:tab w:val="center" w:pos="5468"/>
        </w:tabs>
        <w:spacing w:after="120" w:line="400" w:lineRule="exact"/>
        <w:jc w:val="both"/>
        <w:rPr>
          <w:rFonts w:cs="Traditional Arabic"/>
          <w:i/>
          <w:iCs/>
          <w:sz w:val="20"/>
          <w:szCs w:val="30"/>
          <w:rtl/>
          <w:lang w:bidi="ar-EG"/>
        </w:rPr>
      </w:pPr>
      <w:r w:rsidRPr="00335E4B">
        <w:rPr>
          <w:rFonts w:cs="Traditional Arabic"/>
          <w:i/>
          <w:iCs/>
          <w:sz w:val="20"/>
          <w:szCs w:val="30"/>
          <w:rtl/>
          <w:lang w:bidi="ar-EG"/>
        </w:rPr>
        <w:t>آثار مض</w:t>
      </w:r>
      <w:r w:rsidRPr="00335E4B">
        <w:rPr>
          <w:rFonts w:cs="Traditional Arabic" w:hint="cs"/>
          <w:i/>
          <w:iCs/>
          <w:sz w:val="20"/>
          <w:szCs w:val="30"/>
          <w:rtl/>
          <w:lang w:bidi="ar-EG"/>
        </w:rPr>
        <w:t>ا</w:t>
      </w:r>
      <w:r w:rsidRPr="00335E4B">
        <w:rPr>
          <w:rFonts w:cs="Traditional Arabic"/>
          <w:i/>
          <w:iCs/>
          <w:sz w:val="20"/>
          <w:szCs w:val="30"/>
          <w:rtl/>
          <w:lang w:bidi="ar-EG"/>
        </w:rPr>
        <w:t xml:space="preserve">فات أجهزة التنظيف الرطب الشاملة لعدة </w:t>
      </w:r>
      <w:r w:rsidR="006F7165" w:rsidRPr="006F7165">
        <w:rPr>
          <w:rFonts w:cs="Traditional Arabic"/>
          <w:i/>
          <w:iCs/>
          <w:sz w:val="20"/>
          <w:szCs w:val="30"/>
          <w:rtl/>
          <w:lang w:bidi="ar-EG"/>
        </w:rPr>
        <w:t>أوساط</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يخرج الزئبق الملتقط من جهاز التنظيف سواء في </w:t>
      </w:r>
      <w:r w:rsidRPr="00335E4B">
        <w:rPr>
          <w:rFonts w:cs="Traditional Arabic" w:hint="cs"/>
          <w:sz w:val="20"/>
          <w:szCs w:val="30"/>
          <w:rtl/>
          <w:lang w:bidi="ar-EG"/>
        </w:rPr>
        <w:t>ال</w:t>
      </w:r>
      <w:r w:rsidRPr="00335E4B">
        <w:rPr>
          <w:rFonts w:cs="Traditional Arabic"/>
          <w:sz w:val="20"/>
          <w:szCs w:val="30"/>
          <w:rtl/>
          <w:lang w:bidi="ar-EG"/>
        </w:rPr>
        <w:t>مرحلة السائل</w:t>
      </w:r>
      <w:r w:rsidRPr="00335E4B">
        <w:rPr>
          <w:rFonts w:cs="Traditional Arabic" w:hint="cs"/>
          <w:sz w:val="20"/>
          <w:szCs w:val="30"/>
          <w:rtl/>
          <w:lang w:bidi="ar-EG"/>
        </w:rPr>
        <w:t>ة</w:t>
      </w:r>
      <w:r w:rsidRPr="00335E4B">
        <w:rPr>
          <w:rFonts w:cs="Traditional Arabic"/>
          <w:sz w:val="20"/>
          <w:szCs w:val="30"/>
          <w:rtl/>
          <w:lang w:bidi="ar-EG"/>
        </w:rPr>
        <w:t xml:space="preserve"> أو المرحلة الصلبة، حسب </w:t>
      </w:r>
      <w:r w:rsidRPr="00335E4B">
        <w:rPr>
          <w:rFonts w:cs="Traditional Arabic" w:hint="cs"/>
          <w:sz w:val="20"/>
          <w:szCs w:val="30"/>
          <w:rtl/>
          <w:lang w:bidi="ar-EG"/>
        </w:rPr>
        <w:t>المادة المضافة</w:t>
      </w:r>
      <w:r w:rsidRPr="00335E4B">
        <w:rPr>
          <w:rFonts w:cs="Traditional Arabic"/>
          <w:sz w:val="20"/>
          <w:szCs w:val="30"/>
          <w:rtl/>
          <w:lang w:bidi="ar-EG"/>
        </w:rPr>
        <w:t xml:space="preserve"> في جهاز التنظيف.</w:t>
      </w:r>
    </w:p>
    <w:p w:rsidR="00335E4B" w:rsidRPr="00335E4B" w:rsidRDefault="00335E4B" w:rsidP="00335E4B">
      <w:pPr>
        <w:keepNext/>
        <w:spacing w:before="120" w:after="120" w:line="400" w:lineRule="exact"/>
        <w:ind w:left="992" w:hanging="992"/>
        <w:jc w:val="both"/>
        <w:outlineLvl w:val="0"/>
        <w:rPr>
          <w:rFonts w:cs="Traditional Arabic"/>
          <w:b/>
          <w:bCs/>
          <w:sz w:val="30"/>
          <w:szCs w:val="30"/>
          <w:rtl/>
        </w:rPr>
      </w:pPr>
      <w:bookmarkStart w:id="720" w:name="_Toc440456846"/>
      <w:bookmarkStart w:id="721" w:name="_Toc440526918"/>
      <w:bookmarkStart w:id="722" w:name="_Toc440527774"/>
      <w:bookmarkStart w:id="723" w:name="_Toc440550475"/>
      <w:bookmarkStart w:id="724" w:name="_Toc441577732"/>
      <w:bookmarkStart w:id="725" w:name="_Toc441577911"/>
      <w:bookmarkStart w:id="726" w:name="_Toc441579137"/>
      <w:bookmarkStart w:id="727" w:name="_Toc441580745"/>
      <w:bookmarkStart w:id="728" w:name="_Toc441585876"/>
      <w:bookmarkStart w:id="729" w:name="_Toc441586212"/>
      <w:bookmarkStart w:id="730" w:name="_Toc441586662"/>
      <w:bookmarkStart w:id="731" w:name="_Toc441586841"/>
      <w:bookmarkStart w:id="732" w:name="_Toc441666690"/>
      <w:bookmarkStart w:id="733" w:name="_Toc441673751"/>
      <w:r w:rsidRPr="00335E4B">
        <w:rPr>
          <w:rFonts w:cs="Traditional Arabic" w:hint="cs"/>
          <w:b/>
          <w:bCs/>
          <w:sz w:val="30"/>
          <w:szCs w:val="30"/>
          <w:rtl/>
        </w:rPr>
        <w:t xml:space="preserve">الحفاز الانتقائي </w:t>
      </w:r>
      <w:r w:rsidRPr="00335E4B">
        <w:rPr>
          <w:rFonts w:cs="Traditional Arabic"/>
          <w:b/>
          <w:bCs/>
          <w:sz w:val="30"/>
          <w:szCs w:val="30"/>
          <w:rtl/>
        </w:rPr>
        <w:t>لأكسدة الزئبق</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من المعروف للجميع أن محفزات الاختزال الحفزي الانتقائي تستطيع أن تؤكسد الزئبق النقي المنبعث من المراجل العاملة بحرق الفحم في حالة غازية وفي شكل جسيمات (لودال وآخرون، 2002). ولكن معدل أكسدة الزئبق على حفاز الاختزال الحفزي الانتقائي </w:t>
      </w:r>
      <w:r w:rsidRPr="00335E4B">
        <w:rPr>
          <w:rFonts w:cs="Traditional Arabic" w:hint="cs"/>
          <w:sz w:val="20"/>
          <w:szCs w:val="30"/>
          <w:rtl/>
          <w:lang w:bidi="ar-EG"/>
        </w:rPr>
        <w:t>يتناسب</w:t>
      </w:r>
      <w:r w:rsidRPr="00335E4B">
        <w:rPr>
          <w:rFonts w:cs="Traditional Arabic"/>
          <w:sz w:val="20"/>
          <w:szCs w:val="30"/>
          <w:rtl/>
          <w:lang w:bidi="ar-EG"/>
        </w:rPr>
        <w:t xml:space="preserve"> مع أكسدة ومعدل التحويل </w:t>
      </w:r>
      <w:r w:rsidRPr="00335E4B">
        <w:rPr>
          <w:rFonts w:cs="Traditional Arabic" w:hint="cs"/>
          <w:sz w:val="20"/>
          <w:szCs w:val="30"/>
          <w:rtl/>
          <w:lang w:bidi="ar-EG"/>
        </w:rPr>
        <w:t>ل</w:t>
      </w:r>
      <w:r w:rsidRPr="00335E4B">
        <w:rPr>
          <w:rFonts w:cs="Traditional Arabic"/>
          <w:sz w:val="20"/>
          <w:szCs w:val="30"/>
          <w:rtl/>
          <w:lang w:bidi="ar-EG"/>
        </w:rPr>
        <w:t>ثنائي أكسيد الكبريت الذي يشكل ثلاث</w:t>
      </w:r>
      <w:r w:rsidRPr="00335E4B">
        <w:rPr>
          <w:rFonts w:cs="Traditional Arabic" w:hint="cs"/>
          <w:sz w:val="20"/>
          <w:szCs w:val="30"/>
          <w:rtl/>
          <w:lang w:bidi="ar-EG"/>
        </w:rPr>
        <w:t>ي</w:t>
      </w:r>
      <w:r w:rsidRPr="00335E4B">
        <w:rPr>
          <w:rFonts w:cs="Traditional Arabic"/>
          <w:sz w:val="20"/>
          <w:szCs w:val="30"/>
          <w:rtl/>
          <w:lang w:bidi="ar-EG"/>
        </w:rPr>
        <w:t xml:space="preserve"> أكسيد الكبريت، ويمكن أن يسبب الرائحة الكريهة في جهاز </w:t>
      </w:r>
      <w:r w:rsidRPr="00335E4B">
        <w:rPr>
          <w:rFonts w:cs="Traditional Arabic" w:hint="cs"/>
          <w:sz w:val="20"/>
          <w:szCs w:val="30"/>
          <w:rtl/>
          <w:lang w:bidi="ar-EG"/>
        </w:rPr>
        <w:t xml:space="preserve">تسخين الهواء </w:t>
      </w:r>
      <w:r w:rsidRPr="00335E4B">
        <w:rPr>
          <w:rFonts w:cs="Traditional Arabic"/>
          <w:sz w:val="20"/>
          <w:szCs w:val="30"/>
          <w:rtl/>
          <w:lang w:bidi="ar-EG"/>
        </w:rPr>
        <w:t xml:space="preserve">وتآكل أنبوب المدخنة </w:t>
      </w:r>
      <w:r w:rsidRPr="00335E4B">
        <w:rPr>
          <w:rFonts w:cs="Traditional Arabic" w:hint="cs"/>
          <w:sz w:val="20"/>
          <w:szCs w:val="30"/>
          <w:rtl/>
          <w:lang w:bidi="ar-EG"/>
        </w:rPr>
        <w:t>وإحداث سحب دخان</w:t>
      </w:r>
      <w:r w:rsidRPr="00335E4B">
        <w:rPr>
          <w:rFonts w:cs="Traditional Arabic"/>
          <w:sz w:val="20"/>
          <w:szCs w:val="30"/>
          <w:rtl/>
          <w:lang w:bidi="ar-EG"/>
        </w:rPr>
        <w:t xml:space="preserve"> واضح</w:t>
      </w:r>
      <w:r w:rsidRPr="00335E4B">
        <w:rPr>
          <w:rFonts w:cs="Traditional Arabic" w:hint="cs"/>
          <w:sz w:val="20"/>
          <w:szCs w:val="30"/>
          <w:rtl/>
          <w:lang w:bidi="ar-EG"/>
        </w:rPr>
        <w:t>ة</w:t>
      </w:r>
      <w:r w:rsidRPr="00335E4B">
        <w:rPr>
          <w:rFonts w:cs="Traditional Arabic"/>
          <w:sz w:val="20"/>
          <w:szCs w:val="30"/>
          <w:rtl/>
          <w:lang w:bidi="ar-EG"/>
        </w:rPr>
        <w:t xml:space="preserve"> في أ</w:t>
      </w:r>
      <w:r w:rsidRPr="00335E4B">
        <w:rPr>
          <w:rFonts w:cs="Traditional Arabic" w:hint="cs"/>
          <w:sz w:val="20"/>
          <w:szCs w:val="30"/>
          <w:rtl/>
          <w:lang w:bidi="ar-EG"/>
        </w:rPr>
        <w:t>ن</w:t>
      </w:r>
      <w:r w:rsidRPr="00335E4B">
        <w:rPr>
          <w:rFonts w:cs="Traditional Arabic"/>
          <w:sz w:val="20"/>
          <w:szCs w:val="30"/>
          <w:rtl/>
          <w:lang w:bidi="ar-EG"/>
        </w:rPr>
        <w:t>بوب المدخنة.</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ولذلك تم تطوير نوع خاص من حفاز الاختزال يحقق درجة عالية من أكسدة الزئبق ودرجة عالية من إزالة أكاسيد النيتروجين و</w:t>
      </w:r>
      <w:r w:rsidRPr="00335E4B">
        <w:rPr>
          <w:rFonts w:cs="Traditional Arabic" w:hint="cs"/>
          <w:sz w:val="20"/>
          <w:szCs w:val="30"/>
          <w:rtl/>
          <w:lang w:bidi="ar-EG"/>
        </w:rPr>
        <w:t xml:space="preserve">ينخفض فيه </w:t>
      </w:r>
      <w:r w:rsidRPr="00335E4B">
        <w:rPr>
          <w:rFonts w:cs="Traditional Arabic"/>
          <w:sz w:val="20"/>
          <w:szCs w:val="30"/>
          <w:rtl/>
          <w:lang w:bidi="ar-EG"/>
        </w:rPr>
        <w:t xml:space="preserve">في الوقت نفسه تحول </w:t>
      </w:r>
      <w:r w:rsidRPr="00335E4B">
        <w:rPr>
          <w:rFonts w:cs="Traditional Arabic" w:hint="cs"/>
          <w:sz w:val="20"/>
          <w:szCs w:val="30"/>
          <w:rtl/>
          <w:lang w:bidi="ar-EG"/>
        </w:rPr>
        <w:t>ثنائي</w:t>
      </w:r>
      <w:r w:rsidRPr="00335E4B">
        <w:rPr>
          <w:rFonts w:cs="Traditional Arabic"/>
          <w:sz w:val="20"/>
          <w:szCs w:val="30"/>
          <w:rtl/>
          <w:lang w:bidi="ar-EG"/>
        </w:rPr>
        <w:t xml:space="preserve"> أكسيد الكبريت إلى ثلاثي أكسيد الكبريت (ويعرف باسم الحفاز </w:t>
      </w:r>
      <w:r w:rsidRPr="00335E4B">
        <w:rPr>
          <w:rFonts w:cs="Traditional Arabic" w:hint="cs"/>
          <w:sz w:val="20"/>
          <w:szCs w:val="30"/>
          <w:rtl/>
          <w:lang w:bidi="ar-EG"/>
        </w:rPr>
        <w:t>الانتقائي</w:t>
      </w:r>
      <w:r w:rsidRPr="00335E4B">
        <w:rPr>
          <w:rFonts w:cs="Traditional Arabic"/>
          <w:sz w:val="20"/>
          <w:szCs w:val="30"/>
          <w:rtl/>
          <w:lang w:bidi="ar-EG"/>
        </w:rPr>
        <w:t xml:space="preserve"> لأكسدة الزئبق). وأساس هذا النهج هو أكسدة أكبر قدر ممكن من الزئبق النقي </w:t>
      </w:r>
      <w:r w:rsidRPr="00335E4B">
        <w:rPr>
          <w:rFonts w:cs="Traditional Arabic" w:hint="cs"/>
          <w:sz w:val="20"/>
          <w:szCs w:val="30"/>
          <w:rtl/>
          <w:lang w:bidi="ar-EG"/>
        </w:rPr>
        <w:t>لإتاحة إزالة الزئبق المؤكسد</w:t>
      </w:r>
      <w:r w:rsidRPr="00335E4B">
        <w:rPr>
          <w:rFonts w:cs="Traditional Arabic"/>
          <w:sz w:val="20"/>
          <w:szCs w:val="30"/>
          <w:rtl/>
          <w:lang w:bidi="ar-EG"/>
        </w:rPr>
        <w:t xml:space="preserve"> بعد ذلك </w:t>
      </w:r>
      <w:r w:rsidRPr="00335E4B">
        <w:rPr>
          <w:rFonts w:cs="Traditional Arabic" w:hint="cs"/>
          <w:sz w:val="20"/>
          <w:szCs w:val="30"/>
          <w:rtl/>
          <w:lang w:bidi="ar-EG"/>
        </w:rPr>
        <w:t>عن طريق</w:t>
      </w:r>
      <w:r w:rsidRPr="00335E4B">
        <w:rPr>
          <w:rFonts w:cs="Traditional Arabic"/>
          <w:sz w:val="20"/>
          <w:szCs w:val="30"/>
          <w:rtl/>
          <w:lang w:bidi="ar-EG"/>
        </w:rPr>
        <w:t xml:space="preserve"> نُظم ضبط تلوث الهواء </w:t>
      </w:r>
      <w:r w:rsidRPr="00335E4B">
        <w:rPr>
          <w:rFonts w:cs="Traditional Arabic" w:hint="cs"/>
          <w:sz w:val="20"/>
          <w:szCs w:val="30"/>
          <w:rtl/>
          <w:lang w:bidi="ar-EG"/>
        </w:rPr>
        <w:t>الواقعة في مخرج الحفاز</w:t>
      </w:r>
      <w:r w:rsidRPr="00335E4B">
        <w:rPr>
          <w:rFonts w:cs="Traditional Arabic"/>
          <w:sz w:val="20"/>
          <w:szCs w:val="30"/>
          <w:rtl/>
          <w:lang w:bidi="ar-EG"/>
        </w:rPr>
        <w:t xml:space="preserve"> (فافال وآخرون، 2013).</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و</w:t>
      </w:r>
      <w:r w:rsidRPr="00335E4B">
        <w:rPr>
          <w:rFonts w:cs="Traditional Arabic" w:hint="cs"/>
          <w:sz w:val="20"/>
          <w:szCs w:val="30"/>
          <w:rtl/>
          <w:lang w:bidi="ar-EG"/>
        </w:rPr>
        <w:t>ال</w:t>
      </w:r>
      <w:r w:rsidRPr="00335E4B">
        <w:rPr>
          <w:rFonts w:cs="Traditional Arabic"/>
          <w:sz w:val="20"/>
          <w:szCs w:val="30"/>
          <w:rtl/>
          <w:lang w:bidi="ar-EG"/>
        </w:rPr>
        <w:t>حفاز</w:t>
      </w:r>
      <w:r w:rsidRPr="00335E4B">
        <w:rPr>
          <w:rFonts w:cs="Traditional Arabic" w:hint="cs"/>
          <w:sz w:val="20"/>
          <w:szCs w:val="30"/>
          <w:rtl/>
          <w:lang w:bidi="ar-EG"/>
        </w:rPr>
        <w:t>ات</w:t>
      </w:r>
      <w:r w:rsidRPr="00335E4B">
        <w:rPr>
          <w:rFonts w:cs="Traditional Arabic"/>
          <w:sz w:val="20"/>
          <w:szCs w:val="30"/>
          <w:rtl/>
          <w:lang w:bidi="ar-EG"/>
        </w:rPr>
        <w:t xml:space="preserve"> </w:t>
      </w:r>
      <w:r w:rsidRPr="00335E4B">
        <w:rPr>
          <w:rFonts w:cs="Traditional Arabic" w:hint="cs"/>
          <w:sz w:val="20"/>
          <w:szCs w:val="30"/>
          <w:rtl/>
          <w:lang w:bidi="ar-EG"/>
        </w:rPr>
        <w:t xml:space="preserve">الاختزالية </w:t>
      </w:r>
      <w:r w:rsidRPr="00335E4B">
        <w:rPr>
          <w:rFonts w:cs="Traditional Arabic"/>
          <w:sz w:val="20"/>
          <w:szCs w:val="30"/>
          <w:rtl/>
          <w:lang w:bidi="ar-EG"/>
        </w:rPr>
        <w:t>الانتقائي</w:t>
      </w:r>
      <w:r w:rsidRPr="00335E4B">
        <w:rPr>
          <w:rFonts w:cs="Traditional Arabic" w:hint="cs"/>
          <w:sz w:val="20"/>
          <w:szCs w:val="30"/>
          <w:rtl/>
          <w:lang w:bidi="ar-EG"/>
        </w:rPr>
        <w:t>ة الخاصة التي تستخدم من أجل أكسدة الزئبق، وت</w:t>
      </w:r>
      <w:r w:rsidRPr="00335E4B">
        <w:rPr>
          <w:rFonts w:cs="Traditional Arabic"/>
          <w:sz w:val="20"/>
          <w:szCs w:val="30"/>
          <w:rtl/>
          <w:lang w:bidi="ar-EG"/>
        </w:rPr>
        <w:t>قوم بزيادة معدل أكسدة الزئبق مع الحفاظ على قدرته</w:t>
      </w:r>
      <w:r w:rsidRPr="00335E4B">
        <w:rPr>
          <w:rFonts w:cs="Traditional Arabic" w:hint="cs"/>
          <w:sz w:val="20"/>
          <w:szCs w:val="30"/>
          <w:rtl/>
          <w:lang w:bidi="ar-EG"/>
        </w:rPr>
        <w:t>ا</w:t>
      </w:r>
      <w:r w:rsidRPr="00335E4B">
        <w:rPr>
          <w:rFonts w:cs="Traditional Arabic"/>
          <w:sz w:val="20"/>
          <w:szCs w:val="30"/>
          <w:rtl/>
          <w:lang w:bidi="ar-EG"/>
        </w:rPr>
        <w:t xml:space="preserve"> الأصلية </w:t>
      </w:r>
      <w:r w:rsidRPr="00335E4B">
        <w:rPr>
          <w:rFonts w:cs="Traditional Arabic" w:hint="cs"/>
          <w:sz w:val="20"/>
          <w:szCs w:val="30"/>
          <w:rtl/>
          <w:lang w:bidi="ar-EG"/>
        </w:rPr>
        <w:t>على ا</w:t>
      </w:r>
      <w:r w:rsidRPr="00335E4B">
        <w:rPr>
          <w:rFonts w:cs="Traditional Arabic"/>
          <w:sz w:val="20"/>
          <w:szCs w:val="30"/>
          <w:rtl/>
          <w:lang w:bidi="ar-EG"/>
        </w:rPr>
        <w:t xml:space="preserve">لاختزال </w:t>
      </w:r>
      <w:r w:rsidRPr="00335E4B">
        <w:rPr>
          <w:rFonts w:cs="Traditional Arabic" w:hint="cs"/>
          <w:sz w:val="20"/>
          <w:szCs w:val="30"/>
          <w:rtl/>
          <w:lang w:bidi="ar-EG"/>
        </w:rPr>
        <w:t>ت</w:t>
      </w:r>
      <w:r w:rsidRPr="00335E4B">
        <w:rPr>
          <w:rFonts w:cs="Traditional Arabic"/>
          <w:sz w:val="20"/>
          <w:szCs w:val="30"/>
          <w:rtl/>
          <w:lang w:bidi="ar-EG"/>
        </w:rPr>
        <w:t xml:space="preserve">ُعزِّز إزالة الزئبق </w:t>
      </w:r>
      <w:r w:rsidRPr="00335E4B">
        <w:rPr>
          <w:rFonts w:cs="Traditional Arabic" w:hint="cs"/>
          <w:sz w:val="20"/>
          <w:szCs w:val="30"/>
          <w:rtl/>
          <w:lang w:bidi="ar-EG"/>
        </w:rPr>
        <w:t>في ت</w:t>
      </w:r>
      <w:r w:rsidRPr="00335E4B">
        <w:rPr>
          <w:rFonts w:cs="Traditional Arabic"/>
          <w:sz w:val="20"/>
          <w:szCs w:val="30"/>
          <w:rtl/>
          <w:lang w:bidi="ar-EG"/>
        </w:rPr>
        <w:t>قني</w:t>
      </w:r>
      <w:r w:rsidRPr="00335E4B">
        <w:rPr>
          <w:rFonts w:cs="Traditional Arabic" w:hint="cs"/>
          <w:sz w:val="20"/>
          <w:szCs w:val="30"/>
          <w:rtl/>
          <w:lang w:bidi="ar-EG"/>
        </w:rPr>
        <w:t>ات المنافع</w:t>
      </w:r>
      <w:r w:rsidRPr="00335E4B">
        <w:rPr>
          <w:rFonts w:cs="Traditional Arabic"/>
          <w:sz w:val="20"/>
          <w:szCs w:val="30"/>
          <w:rtl/>
          <w:lang w:bidi="ar-EG"/>
        </w:rPr>
        <w:t xml:space="preserve"> </w:t>
      </w:r>
      <w:r w:rsidRPr="00335E4B">
        <w:rPr>
          <w:rFonts w:cs="Traditional Arabic" w:hint="cs"/>
          <w:sz w:val="20"/>
          <w:szCs w:val="30"/>
          <w:rtl/>
          <w:lang w:bidi="ar-EG"/>
        </w:rPr>
        <w:t>ال</w:t>
      </w:r>
      <w:r w:rsidRPr="00335E4B">
        <w:rPr>
          <w:rFonts w:cs="Traditional Arabic"/>
          <w:sz w:val="20"/>
          <w:szCs w:val="30"/>
          <w:rtl/>
          <w:lang w:bidi="ar-EG"/>
        </w:rPr>
        <w:t xml:space="preserve">مشتركة (برتول، ج.، 2013). وفي بعض المنشآت القائمة </w:t>
      </w:r>
      <w:r w:rsidRPr="00335E4B">
        <w:rPr>
          <w:rFonts w:cs="Traditional Arabic" w:hint="cs"/>
          <w:sz w:val="20"/>
          <w:szCs w:val="30"/>
          <w:rtl/>
          <w:lang w:bidi="ar-EG"/>
        </w:rPr>
        <w:t>في</w:t>
      </w:r>
      <w:r w:rsidRPr="00335E4B">
        <w:rPr>
          <w:rFonts w:cs="Traditional Arabic"/>
          <w:sz w:val="20"/>
          <w:szCs w:val="30"/>
          <w:rtl/>
          <w:lang w:bidi="ar-EG"/>
        </w:rPr>
        <w:t xml:space="preserve"> أمريكا الشمالية تم بالفعل </w:t>
      </w:r>
      <w:r w:rsidRPr="00335E4B">
        <w:rPr>
          <w:rFonts w:cs="Traditional Arabic" w:hint="cs"/>
          <w:sz w:val="20"/>
          <w:szCs w:val="30"/>
          <w:rtl/>
          <w:lang w:bidi="ar-EG"/>
        </w:rPr>
        <w:t>التخلي عن</w:t>
      </w:r>
      <w:r w:rsidRPr="00335E4B">
        <w:rPr>
          <w:rFonts w:cs="Traditional Arabic"/>
          <w:sz w:val="20"/>
          <w:szCs w:val="30"/>
          <w:rtl/>
          <w:lang w:bidi="ar-EG"/>
        </w:rPr>
        <w:t xml:space="preserve"> الحفاز</w:t>
      </w:r>
      <w:r w:rsidRPr="00335E4B">
        <w:rPr>
          <w:rFonts w:cs="Traditional Arabic" w:hint="cs"/>
          <w:sz w:val="20"/>
          <w:szCs w:val="30"/>
          <w:rtl/>
          <w:lang w:bidi="ar-EG"/>
        </w:rPr>
        <w:t>ات</w:t>
      </w:r>
      <w:r w:rsidRPr="00335E4B">
        <w:rPr>
          <w:rFonts w:cs="Traditional Arabic"/>
          <w:sz w:val="20"/>
          <w:szCs w:val="30"/>
          <w:rtl/>
          <w:lang w:bidi="ar-EG"/>
        </w:rPr>
        <w:t xml:space="preserve"> المستعملة في الاختزال ل</w:t>
      </w:r>
      <w:r w:rsidRPr="00335E4B">
        <w:rPr>
          <w:rFonts w:cs="Traditional Arabic" w:hint="cs"/>
          <w:sz w:val="20"/>
          <w:szCs w:val="30"/>
          <w:rtl/>
          <w:lang w:bidi="ar-EG"/>
        </w:rPr>
        <w:t>ت</w:t>
      </w:r>
      <w:r w:rsidRPr="00335E4B">
        <w:rPr>
          <w:rFonts w:cs="Traditional Arabic"/>
          <w:sz w:val="20"/>
          <w:szCs w:val="30"/>
          <w:rtl/>
          <w:lang w:bidi="ar-EG"/>
        </w:rPr>
        <w:t>حل محلها حفاز</w:t>
      </w:r>
      <w:r w:rsidRPr="00335E4B">
        <w:rPr>
          <w:rFonts w:cs="Traditional Arabic" w:hint="cs"/>
          <w:sz w:val="20"/>
          <w:szCs w:val="30"/>
          <w:rtl/>
          <w:lang w:bidi="ar-EG"/>
        </w:rPr>
        <w:t>ات</w:t>
      </w:r>
      <w:r w:rsidRPr="00335E4B">
        <w:rPr>
          <w:rFonts w:cs="Traditional Arabic"/>
          <w:sz w:val="20"/>
          <w:szCs w:val="30"/>
          <w:rtl/>
          <w:lang w:bidi="ar-EG"/>
        </w:rPr>
        <w:t xml:space="preserve"> اختزال تحقق أكسدة مرتفعة للزئبق. وتأكد أن الاستبدال الجزئي يمكن أيضاً أن يخفِّض تركيز الزئبق في غاز أنبوب المدخنة (فافال وآخرون، 2013).</w:t>
      </w:r>
    </w:p>
    <w:p w:rsidR="00335E4B" w:rsidRPr="00335E4B" w:rsidRDefault="00335E4B" w:rsidP="006F7165">
      <w:pPr>
        <w:tabs>
          <w:tab w:val="left" w:pos="663"/>
          <w:tab w:val="left" w:pos="1117"/>
          <w:tab w:val="left" w:pos="2230"/>
          <w:tab w:val="center" w:pos="5468"/>
        </w:tabs>
        <w:spacing w:after="120" w:line="400" w:lineRule="exact"/>
        <w:jc w:val="both"/>
        <w:rPr>
          <w:rFonts w:cs="Traditional Arabic"/>
          <w:i/>
          <w:iCs/>
          <w:sz w:val="20"/>
          <w:szCs w:val="30"/>
          <w:rtl/>
          <w:lang w:bidi="ar-EG"/>
        </w:rPr>
      </w:pPr>
      <w:r w:rsidRPr="00335E4B">
        <w:rPr>
          <w:rFonts w:cs="Traditional Arabic"/>
          <w:i/>
          <w:iCs/>
          <w:sz w:val="20"/>
          <w:szCs w:val="30"/>
          <w:rtl/>
          <w:lang w:bidi="ar-EG"/>
        </w:rPr>
        <w:t xml:space="preserve">آثار حفاز أكسدة الزئبق الانتقائي الشاملة لعدة </w:t>
      </w:r>
      <w:r w:rsidR="006F7165" w:rsidRPr="006F7165">
        <w:rPr>
          <w:rFonts w:cs="Traditional Arabic"/>
          <w:i/>
          <w:iCs/>
          <w:sz w:val="20"/>
          <w:szCs w:val="30"/>
          <w:rtl/>
          <w:lang w:bidi="ar-EG"/>
        </w:rPr>
        <w:t>أوساط</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من المحتمل أن استعمال حفاز أكسدة الزئبق الانتقائي يؤدي إلى زيادة محتوى الزئبق في الرماد المتطاير وجبس نظام </w:t>
      </w:r>
      <w:r w:rsidRPr="00335E4B">
        <w:rPr>
          <w:rFonts w:cs="Traditional Arabic" w:hint="cs"/>
          <w:sz w:val="20"/>
          <w:szCs w:val="30"/>
          <w:rtl/>
          <w:lang w:bidi="ar-EG"/>
        </w:rPr>
        <w:t>إزالة</w:t>
      </w:r>
      <w:r w:rsidRPr="00335E4B">
        <w:rPr>
          <w:rFonts w:cs="Traditional Arabic"/>
          <w:sz w:val="20"/>
          <w:szCs w:val="30"/>
          <w:rtl/>
          <w:lang w:bidi="ar-EG"/>
        </w:rPr>
        <w:t xml:space="preserve"> الكبريت من غاز المدخنة. وينبغي إعادة توليد الحفاز المستخدم أو التخلص منه بطريقة سليمة بيئياً.</w:t>
      </w:r>
    </w:p>
    <w:p w:rsidR="00335E4B" w:rsidRPr="00335E4B" w:rsidRDefault="00335E4B" w:rsidP="00335E4B">
      <w:pPr>
        <w:keepNext/>
        <w:spacing w:before="120" w:after="120" w:line="400" w:lineRule="exact"/>
        <w:ind w:left="707" w:hanging="707"/>
        <w:jc w:val="both"/>
        <w:outlineLvl w:val="0"/>
        <w:rPr>
          <w:rFonts w:cs="Traditional Arabic"/>
          <w:b/>
          <w:bCs/>
          <w:sz w:val="30"/>
          <w:szCs w:val="30"/>
          <w:rtl/>
        </w:rPr>
      </w:pPr>
      <w:bookmarkStart w:id="734" w:name="_Toc440456847"/>
      <w:bookmarkStart w:id="735" w:name="_Toc440526919"/>
      <w:bookmarkStart w:id="736" w:name="_Toc440527775"/>
      <w:bookmarkStart w:id="737" w:name="_Toc440550476"/>
      <w:bookmarkStart w:id="738" w:name="_Toc441577733"/>
      <w:bookmarkStart w:id="739" w:name="_Toc441577912"/>
      <w:bookmarkStart w:id="740" w:name="_Toc441579138"/>
      <w:bookmarkStart w:id="741" w:name="_Toc441580746"/>
      <w:bookmarkStart w:id="742" w:name="_Toc441585877"/>
      <w:bookmarkStart w:id="743" w:name="_Toc441586213"/>
      <w:bookmarkStart w:id="744" w:name="_Toc441586663"/>
      <w:bookmarkStart w:id="745" w:name="_Toc441586842"/>
      <w:bookmarkStart w:id="746" w:name="_Toc441666691"/>
      <w:bookmarkStart w:id="747" w:name="_Toc441673752"/>
      <w:r w:rsidRPr="00335E4B">
        <w:rPr>
          <w:rFonts w:cs="Traditional Arabic"/>
          <w:b/>
          <w:bCs/>
          <w:sz w:val="30"/>
          <w:szCs w:val="30"/>
          <w:rtl/>
        </w:rPr>
        <w:t xml:space="preserve">حقن الكربون المنشَّط </w:t>
      </w:r>
      <w:r w:rsidRPr="00335E4B">
        <w:rPr>
          <w:rFonts w:cs="Traditional Arabic" w:hint="cs"/>
          <w:b/>
          <w:bCs/>
          <w:sz w:val="30"/>
          <w:szCs w:val="30"/>
          <w:rtl/>
        </w:rPr>
        <w:t>ل</w:t>
      </w:r>
      <w:r w:rsidRPr="00335E4B">
        <w:rPr>
          <w:rFonts w:cs="Traditional Arabic"/>
          <w:b/>
          <w:bCs/>
          <w:sz w:val="30"/>
          <w:szCs w:val="30"/>
          <w:rtl/>
        </w:rPr>
        <w:t xml:space="preserve">لضبط </w:t>
      </w:r>
      <w:r w:rsidRPr="00335E4B">
        <w:rPr>
          <w:rFonts w:cs="Traditional Arabic" w:hint="cs"/>
          <w:b/>
          <w:bCs/>
          <w:sz w:val="30"/>
          <w:szCs w:val="30"/>
          <w:rtl/>
        </w:rPr>
        <w:t>المخصص ل</w:t>
      </w:r>
      <w:r w:rsidRPr="00335E4B">
        <w:rPr>
          <w:rFonts w:cs="Traditional Arabic"/>
          <w:b/>
          <w:bCs/>
          <w:sz w:val="30"/>
          <w:szCs w:val="30"/>
          <w:rtl/>
        </w:rPr>
        <w:t>لزئبق</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قد تستخدم المواد الماصة المعالجة كيميائياً أو غير المعالجة كيميائياً لحق</w:t>
      </w:r>
      <w:r w:rsidRPr="00335E4B">
        <w:rPr>
          <w:rFonts w:cs="Traditional Arabic" w:hint="cs"/>
          <w:sz w:val="20"/>
          <w:szCs w:val="30"/>
          <w:rtl/>
          <w:lang w:bidi="ar-EG"/>
        </w:rPr>
        <w:t>ن</w:t>
      </w:r>
      <w:r w:rsidRPr="00335E4B">
        <w:rPr>
          <w:rFonts w:cs="Traditional Arabic"/>
          <w:sz w:val="20"/>
          <w:szCs w:val="30"/>
          <w:rtl/>
          <w:lang w:bidi="ar-EG"/>
        </w:rPr>
        <w:t>ها من أجل التوصل إلى إزالة الزئبق. و</w:t>
      </w:r>
      <w:r w:rsidRPr="00335E4B">
        <w:rPr>
          <w:rFonts w:cs="Traditional Arabic" w:hint="cs"/>
          <w:sz w:val="20"/>
          <w:szCs w:val="30"/>
          <w:rtl/>
          <w:lang w:bidi="ar-SY"/>
        </w:rPr>
        <w:t>ي</w:t>
      </w:r>
      <w:r w:rsidRPr="00335E4B">
        <w:rPr>
          <w:rFonts w:cs="Traditional Arabic"/>
          <w:sz w:val="20"/>
          <w:szCs w:val="30"/>
          <w:rtl/>
          <w:lang w:bidi="ar-EG"/>
        </w:rPr>
        <w:t>تم تطبيق حقن المواد الماصة في غاز مدخنة المراجل العاملة بحرق الفحم من أجل ضبط الزئبق في المراجل في ألمانيا منذ تسعينيات القرن الماضي (ويرلنغ، 2000) وتم تنفيذه في الولايات المتحدة في أكثر من مائة نظام كامل (مكتب مساءلة الحكومة، 2009؛ أمار وآخرون، 2010). ومنذ حوالي عام 2005 ظلت تكنولوجيا حقن الكربون المنشَّط تُطبَّق تجارياً في الولايات المتحدة (معهد شركات الهواء النظيف، 2010أ</w:t>
      </w:r>
      <w:r w:rsidRPr="00335E4B">
        <w:rPr>
          <w:rFonts w:cs="Traditional Arabic" w:hint="cs"/>
          <w:sz w:val="20"/>
          <w:szCs w:val="30"/>
          <w:rtl/>
          <w:lang w:bidi="ar-EG"/>
        </w:rPr>
        <w:t>،</w:t>
      </w:r>
      <w:r w:rsidRPr="00335E4B">
        <w:rPr>
          <w:rFonts w:cs="Traditional Arabic"/>
          <w:sz w:val="20"/>
          <w:szCs w:val="30"/>
          <w:rtl/>
          <w:lang w:bidi="ar-EG"/>
        </w:rPr>
        <w:t xml:space="preserve"> وأمار وآخرون، 2010). وبالإضافة إلى ذلك، تم </w:t>
      </w:r>
      <w:r w:rsidRPr="00335E4B">
        <w:rPr>
          <w:rFonts w:cs="Traditional Arabic" w:hint="cs"/>
          <w:sz w:val="20"/>
          <w:szCs w:val="30"/>
          <w:rtl/>
          <w:lang w:bidi="ar-EG"/>
        </w:rPr>
        <w:t>توضيح</w:t>
      </w:r>
      <w:r w:rsidRPr="00335E4B">
        <w:rPr>
          <w:rFonts w:cs="Traditional Arabic"/>
          <w:sz w:val="20"/>
          <w:szCs w:val="30"/>
          <w:rtl/>
          <w:lang w:bidi="ar-EG"/>
        </w:rPr>
        <w:t xml:space="preserve"> هذه التكنولوجيا في منشأة طاقة كهربائية روسية تعمل بحرق الفحم الروسي (وكالة حماية البيئة في الولايات المتحدة، 2014). ومنذ عام 2007، ظل حقن الكربون المنشَّط يُستعمل</w:t>
      </w:r>
      <w:r w:rsidRPr="00335E4B">
        <w:rPr>
          <w:rFonts w:cs="Traditional Arabic" w:hint="cs"/>
          <w:sz w:val="20"/>
          <w:szCs w:val="30"/>
          <w:rtl/>
          <w:lang w:bidi="ar-EG"/>
        </w:rPr>
        <w:t xml:space="preserve"> بشكل روتيني</w:t>
      </w:r>
      <w:r w:rsidRPr="00335E4B">
        <w:rPr>
          <w:rFonts w:cs="Traditional Arabic"/>
          <w:sz w:val="20"/>
          <w:szCs w:val="30"/>
          <w:rtl/>
          <w:lang w:bidi="ar-EG"/>
        </w:rPr>
        <w:t xml:space="preserve"> في عدد من الولايات المتحدة الأمريكية، مثل ماساتشوسيتس</w:t>
      </w:r>
      <w:r w:rsidRPr="00335E4B">
        <w:rPr>
          <w:rFonts w:cs="Traditional Arabic" w:hint="cs"/>
          <w:sz w:val="20"/>
          <w:szCs w:val="30"/>
          <w:rtl/>
          <w:lang w:bidi="ar-EG"/>
        </w:rPr>
        <w:t xml:space="preserve"> </w:t>
      </w:r>
      <w:r w:rsidRPr="00335E4B">
        <w:rPr>
          <w:rFonts w:cs="Traditional Arabic"/>
          <w:sz w:val="20"/>
          <w:szCs w:val="30"/>
          <w:rtl/>
          <w:lang w:bidi="ar-EG"/>
        </w:rPr>
        <w:t xml:space="preserve">ونيوجيرسي وكونيتيكت، في كثير من المراجل القائمة العاملة بحرق الفحم وتستخدم الفحم القيري أو دون القيري، وذلك للوفاء بالقيم الحدية التنظيمية للانبعاثات في مدى 1.1-3.3 غرام لكل جيغاواط-ساعة (أو ما يمثل 85-95 في المائة من الضبط). وقد تم إثبات الامتثال التنظيمي لهذه القيم </w:t>
      </w:r>
      <w:r w:rsidRPr="00335E4B">
        <w:rPr>
          <w:rFonts w:cs="Traditional Arabic" w:hint="cs"/>
          <w:sz w:val="20"/>
          <w:szCs w:val="30"/>
          <w:rtl/>
          <w:lang w:bidi="ar-EG"/>
        </w:rPr>
        <w:t xml:space="preserve">الحدية </w:t>
      </w:r>
      <w:r w:rsidRPr="00335E4B">
        <w:rPr>
          <w:rFonts w:cs="Traditional Arabic"/>
          <w:sz w:val="20"/>
          <w:szCs w:val="30"/>
          <w:rtl/>
          <w:lang w:bidi="ar-EG"/>
        </w:rPr>
        <w:t>من خلال قياسات باستخدام نُظم الرصد المستمر للان</w:t>
      </w:r>
      <w:r w:rsidRPr="00335E4B">
        <w:rPr>
          <w:rFonts w:cs="Traditional Arabic" w:hint="cs"/>
          <w:sz w:val="20"/>
          <w:szCs w:val="30"/>
          <w:rtl/>
          <w:lang w:bidi="ar-EG"/>
        </w:rPr>
        <w:t>ب</w:t>
      </w:r>
      <w:r w:rsidRPr="00335E4B">
        <w:rPr>
          <w:rFonts w:cs="Traditional Arabic"/>
          <w:sz w:val="20"/>
          <w:szCs w:val="30"/>
          <w:rtl/>
          <w:lang w:bidi="ar-EG"/>
        </w:rPr>
        <w:t>عا</w:t>
      </w:r>
      <w:r w:rsidRPr="00335E4B">
        <w:rPr>
          <w:rFonts w:cs="Traditional Arabic" w:hint="cs"/>
          <w:sz w:val="20"/>
          <w:szCs w:val="30"/>
          <w:rtl/>
          <w:lang w:bidi="ar-EG"/>
        </w:rPr>
        <w:t>ثا</w:t>
      </w:r>
      <w:r w:rsidRPr="00335E4B">
        <w:rPr>
          <w:rFonts w:cs="Traditional Arabic"/>
          <w:sz w:val="20"/>
          <w:szCs w:val="30"/>
          <w:rtl/>
          <w:lang w:bidi="ar-EG"/>
        </w:rPr>
        <w:t xml:space="preserve">ت أو أساليب المصائد الماصة (إدارة حماية البيئة في ولاية ماساتشوسيتس، 2015؛ مع ورود تقارير مشابهة من إدارات الحماية في ولايتي نيوجيرسي وكونيتيكت). ويستدعي حقن الكربون المنشَّط وجود جهاز ضبط جسيمات في </w:t>
      </w:r>
      <w:r w:rsidRPr="00335E4B">
        <w:rPr>
          <w:rFonts w:cs="Traditional Arabic" w:hint="cs"/>
          <w:sz w:val="20"/>
          <w:szCs w:val="30"/>
          <w:rtl/>
          <w:lang w:bidi="ar-EG"/>
        </w:rPr>
        <w:t>المرحلة اللاحقة من النظام</w:t>
      </w:r>
      <w:r w:rsidRPr="00335E4B">
        <w:rPr>
          <w:rFonts w:cs="Traditional Arabic"/>
          <w:sz w:val="20"/>
          <w:szCs w:val="30"/>
          <w:rtl/>
          <w:lang w:bidi="ar-EG"/>
        </w:rPr>
        <w:t xml:space="preserve">. </w:t>
      </w:r>
    </w:p>
    <w:p w:rsidR="00046EF9"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ويوضح الجدول 6 أدناه قيم انبعاثات أربع منشآت للطاقة تعمل بحرق الفحم وتُطبِّق تقنيات مخصصة لتخفيض الزئبق في الولايات المتحدة.</w:t>
      </w:r>
    </w:p>
    <w:p w:rsidR="00335E4B" w:rsidRPr="00335E4B" w:rsidRDefault="00335E4B" w:rsidP="00335E4B">
      <w:pPr>
        <w:keepNext/>
        <w:spacing w:before="120" w:after="120" w:line="400" w:lineRule="exact"/>
        <w:jc w:val="both"/>
        <w:outlineLvl w:val="0"/>
        <w:rPr>
          <w:rFonts w:cs="Traditional Arabic"/>
          <w:b/>
          <w:bCs/>
          <w:sz w:val="20"/>
          <w:szCs w:val="30"/>
          <w:rtl/>
          <w:lang w:bidi="ar-EG"/>
        </w:rPr>
      </w:pPr>
      <w:bookmarkStart w:id="748" w:name="_Toc440527776"/>
      <w:bookmarkStart w:id="749" w:name="_Toc440550477"/>
      <w:bookmarkStart w:id="750" w:name="_Toc441577734"/>
      <w:bookmarkStart w:id="751" w:name="_Toc441577913"/>
      <w:bookmarkStart w:id="752" w:name="_Toc441579139"/>
      <w:bookmarkStart w:id="753" w:name="_Toc441580747"/>
      <w:bookmarkStart w:id="754" w:name="_Toc441585878"/>
      <w:bookmarkStart w:id="755" w:name="_Toc441586214"/>
      <w:bookmarkStart w:id="756" w:name="_Toc441586664"/>
      <w:bookmarkStart w:id="757" w:name="_Toc441586843"/>
      <w:bookmarkStart w:id="758" w:name="_Toc441666692"/>
      <w:bookmarkStart w:id="759" w:name="_Toc441673753"/>
      <w:r w:rsidRPr="00335E4B">
        <w:rPr>
          <w:rFonts w:cs="Traditional Arabic"/>
          <w:b/>
          <w:bCs/>
          <w:sz w:val="20"/>
          <w:szCs w:val="30"/>
          <w:rtl/>
          <w:lang w:bidi="ar-EG"/>
        </w:rPr>
        <w:t>الجدول 6 - مستويات انبعاثات منشآت الطاقة العاملة بحرق الفحم التي تُطبِّق حقن الكربون المنشّط</w:t>
      </w:r>
      <w:bookmarkEnd w:id="748"/>
      <w:bookmarkEnd w:id="749"/>
      <w:bookmarkEnd w:id="750"/>
      <w:bookmarkEnd w:id="751"/>
      <w:bookmarkEnd w:id="752"/>
      <w:bookmarkEnd w:id="753"/>
      <w:bookmarkEnd w:id="754"/>
      <w:bookmarkEnd w:id="755"/>
      <w:bookmarkEnd w:id="756"/>
      <w:bookmarkEnd w:id="757"/>
      <w:bookmarkEnd w:id="758"/>
      <w:bookmarkEnd w:id="759"/>
    </w:p>
    <w:tbl>
      <w:tblPr>
        <w:bidiVisual/>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firstRow="1" w:lastRow="0" w:firstColumn="1" w:lastColumn="0" w:noHBand="0" w:noVBand="0"/>
      </w:tblPr>
      <w:tblGrid>
        <w:gridCol w:w="2553"/>
        <w:gridCol w:w="1275"/>
        <w:gridCol w:w="1701"/>
        <w:gridCol w:w="1418"/>
        <w:gridCol w:w="1134"/>
        <w:gridCol w:w="1417"/>
      </w:tblGrid>
      <w:tr w:rsidR="00335E4B" w:rsidRPr="00335E4B" w:rsidTr="00D002D1">
        <w:trPr>
          <w:cantSplit/>
          <w:trHeight w:val="323"/>
        </w:trPr>
        <w:tc>
          <w:tcPr>
            <w:tcW w:w="2553" w:type="dxa"/>
            <w:tcBorders>
              <w:top w:val="single" w:sz="4" w:space="0" w:color="auto"/>
              <w:left w:val="single" w:sz="4" w:space="0" w:color="auto"/>
              <w:bottom w:val="single" w:sz="4" w:space="0" w:color="auto"/>
              <w:right w:val="single" w:sz="4" w:space="0" w:color="auto"/>
            </w:tcBorders>
            <w:shd w:val="pct10" w:color="auto" w:fill="auto"/>
            <w:tcMar>
              <w:top w:w="0" w:type="dxa"/>
              <w:left w:w="108" w:type="dxa"/>
              <w:bottom w:w="0" w:type="dxa"/>
              <w:right w:w="108" w:type="dxa"/>
            </w:tcMar>
            <w:vAlign w:val="center"/>
          </w:tcPr>
          <w:p w:rsidR="00335E4B" w:rsidRPr="00335E4B" w:rsidRDefault="00335E4B" w:rsidP="00335E4B">
            <w:pPr>
              <w:keepNext/>
              <w:keepLines/>
              <w:spacing w:after="40" w:line="280" w:lineRule="exact"/>
              <w:jc w:val="center"/>
              <w:rPr>
                <w:rFonts w:eastAsia="SimSun" w:cs="Traditional Arabic"/>
                <w:sz w:val="18"/>
                <w:szCs w:val="26"/>
                <w:lang w:bidi="ar-EG"/>
              </w:rPr>
            </w:pPr>
            <w:r w:rsidRPr="00335E4B">
              <w:rPr>
                <w:rFonts w:cs="Traditional Arabic"/>
                <w:sz w:val="18"/>
                <w:szCs w:val="26"/>
                <w:rtl/>
                <w:lang w:bidi="ar-EG"/>
              </w:rPr>
              <w:t>الاسم</w:t>
            </w:r>
          </w:p>
        </w:tc>
        <w:tc>
          <w:tcPr>
            <w:tcW w:w="1275" w:type="dxa"/>
            <w:tcBorders>
              <w:top w:val="single" w:sz="4" w:space="0" w:color="auto"/>
              <w:left w:val="single" w:sz="4" w:space="0" w:color="auto"/>
              <w:bottom w:val="single" w:sz="4" w:space="0" w:color="auto"/>
              <w:right w:val="single" w:sz="4" w:space="0" w:color="auto"/>
            </w:tcBorders>
            <w:shd w:val="pct10" w:color="auto" w:fill="auto"/>
            <w:tcMar>
              <w:top w:w="0" w:type="dxa"/>
              <w:left w:w="108" w:type="dxa"/>
              <w:bottom w:w="0" w:type="dxa"/>
              <w:right w:w="108" w:type="dxa"/>
            </w:tcMar>
          </w:tcPr>
          <w:p w:rsidR="00335E4B" w:rsidRPr="00335E4B" w:rsidRDefault="00335E4B" w:rsidP="00335E4B">
            <w:pPr>
              <w:keepNext/>
              <w:keepLines/>
              <w:spacing w:after="40" w:line="280" w:lineRule="exact"/>
              <w:jc w:val="center"/>
              <w:rPr>
                <w:rFonts w:eastAsia="SimSun" w:cs="Traditional Arabic"/>
                <w:sz w:val="18"/>
                <w:szCs w:val="26"/>
                <w:lang w:eastAsia="zh-CN"/>
              </w:rPr>
            </w:pPr>
            <w:r w:rsidRPr="00335E4B">
              <w:rPr>
                <w:rFonts w:cs="Traditional Arabic"/>
                <w:sz w:val="18"/>
                <w:szCs w:val="26"/>
                <w:rtl/>
                <w:lang w:eastAsia="zh-CN"/>
              </w:rPr>
              <w:t>نوع الفحم</w:t>
            </w:r>
          </w:p>
        </w:tc>
        <w:tc>
          <w:tcPr>
            <w:tcW w:w="1701" w:type="dxa"/>
            <w:tcBorders>
              <w:top w:val="single" w:sz="4" w:space="0" w:color="auto"/>
              <w:left w:val="single" w:sz="4" w:space="0" w:color="auto"/>
              <w:bottom w:val="single" w:sz="4" w:space="0" w:color="auto"/>
              <w:right w:val="single" w:sz="4" w:space="0" w:color="auto"/>
            </w:tcBorders>
            <w:shd w:val="pct10" w:color="auto" w:fill="auto"/>
            <w:tcMar>
              <w:top w:w="0" w:type="dxa"/>
              <w:left w:w="108" w:type="dxa"/>
              <w:bottom w:w="0" w:type="dxa"/>
              <w:right w:w="108" w:type="dxa"/>
            </w:tcMar>
            <w:vAlign w:val="center"/>
          </w:tcPr>
          <w:p w:rsidR="00335E4B" w:rsidRPr="00335E4B" w:rsidRDefault="00335E4B" w:rsidP="00335E4B">
            <w:pPr>
              <w:keepNext/>
              <w:keepLines/>
              <w:spacing w:after="40" w:line="280" w:lineRule="exact"/>
              <w:jc w:val="center"/>
              <w:rPr>
                <w:rFonts w:cs="Traditional Arabic"/>
                <w:sz w:val="18"/>
                <w:szCs w:val="26"/>
                <w:rtl/>
              </w:rPr>
            </w:pPr>
            <w:r w:rsidRPr="00335E4B">
              <w:rPr>
                <w:rFonts w:cs="Traditional Arabic"/>
                <w:sz w:val="18"/>
                <w:szCs w:val="26"/>
                <w:rtl/>
              </w:rPr>
              <w:t>مستوى الانبعاثات بعد تسويته (م</w:t>
            </w:r>
            <w:r w:rsidRPr="00335E4B">
              <w:rPr>
                <w:rFonts w:cs="Traditional Arabic" w:hint="cs"/>
                <w:sz w:val="18"/>
                <w:szCs w:val="26"/>
                <w:rtl/>
              </w:rPr>
              <w:t>ي</w:t>
            </w:r>
            <w:r w:rsidRPr="00335E4B">
              <w:rPr>
                <w:rFonts w:cs="Traditional Arabic"/>
                <w:sz w:val="18"/>
                <w:szCs w:val="26"/>
                <w:rtl/>
              </w:rPr>
              <w:t>ل</w:t>
            </w:r>
            <w:r w:rsidRPr="00335E4B">
              <w:rPr>
                <w:rFonts w:cs="Traditional Arabic" w:hint="cs"/>
                <w:sz w:val="18"/>
                <w:szCs w:val="26"/>
                <w:rtl/>
              </w:rPr>
              <w:t>ل</w:t>
            </w:r>
            <w:r w:rsidRPr="00335E4B">
              <w:rPr>
                <w:rFonts w:cs="Traditional Arabic"/>
                <w:sz w:val="18"/>
                <w:szCs w:val="26"/>
                <w:rtl/>
              </w:rPr>
              <w:t>غرام/مترعادي</w:t>
            </w:r>
            <w:r w:rsidRPr="00335E4B">
              <w:rPr>
                <w:rFonts w:cs="Traditional Arabic"/>
                <w:sz w:val="18"/>
                <w:szCs w:val="26"/>
                <w:vertAlign w:val="superscript"/>
                <w:rtl/>
              </w:rPr>
              <w:t>3</w:t>
            </w:r>
            <w:r w:rsidRPr="00335E4B">
              <w:rPr>
                <w:rFonts w:cs="Traditional Arabic"/>
                <w:sz w:val="18"/>
                <w:szCs w:val="26"/>
                <w:rtl/>
              </w:rPr>
              <w:t>)</w:t>
            </w:r>
          </w:p>
          <w:p w:rsidR="00335E4B" w:rsidRPr="00335E4B" w:rsidRDefault="00335E4B" w:rsidP="00335E4B">
            <w:pPr>
              <w:keepNext/>
              <w:keepLines/>
              <w:spacing w:after="40" w:line="280" w:lineRule="exact"/>
              <w:jc w:val="center"/>
              <w:rPr>
                <w:rFonts w:cs="Traditional Arabic"/>
                <w:sz w:val="18"/>
                <w:szCs w:val="26"/>
                <w:lang w:bidi="ar-EG"/>
              </w:rPr>
            </w:pPr>
            <w:r w:rsidRPr="00335E4B">
              <w:rPr>
                <w:rFonts w:cs="Traditional Arabic"/>
                <w:sz w:val="18"/>
                <w:szCs w:val="26"/>
                <w:rtl/>
              </w:rPr>
              <w:t>بعد تسويته إلى 6</w:t>
            </w:r>
            <w:r w:rsidRPr="00335E4B">
              <w:rPr>
                <w:rFonts w:cs="Akhbar MT"/>
                <w:sz w:val="18"/>
                <w:szCs w:val="26"/>
                <w:rtl/>
              </w:rPr>
              <w:t>%</w:t>
            </w:r>
            <w:r w:rsidRPr="00335E4B">
              <w:rPr>
                <w:rFonts w:cs="Traditional Arabic"/>
                <w:sz w:val="18"/>
                <w:szCs w:val="26"/>
                <w:rtl/>
              </w:rPr>
              <w:t xml:space="preserve"> من محتوى </w:t>
            </w:r>
            <w:r w:rsidRPr="00335E4B">
              <w:rPr>
                <w:rFonts w:eastAsia="SimSun" w:cs="Traditional Arabic"/>
                <w:sz w:val="20"/>
                <w:szCs w:val="22"/>
                <w:lang w:eastAsia="zh-CN"/>
              </w:rPr>
              <w:t>O</w:t>
            </w:r>
            <w:r w:rsidRPr="00335E4B">
              <w:rPr>
                <w:rFonts w:eastAsia="SimSun" w:cs="Traditional Arabic"/>
                <w:sz w:val="20"/>
                <w:szCs w:val="22"/>
                <w:vertAlign w:val="subscript"/>
                <w:lang w:eastAsia="zh-CN"/>
              </w:rPr>
              <w:t>2</w:t>
            </w:r>
          </w:p>
        </w:tc>
        <w:tc>
          <w:tcPr>
            <w:tcW w:w="1418" w:type="dxa"/>
            <w:tcBorders>
              <w:top w:val="single" w:sz="4" w:space="0" w:color="auto"/>
              <w:left w:val="single" w:sz="4" w:space="0" w:color="auto"/>
              <w:bottom w:val="single" w:sz="4" w:space="0" w:color="auto"/>
              <w:right w:val="single" w:sz="4" w:space="0" w:color="auto"/>
            </w:tcBorders>
            <w:shd w:val="pct10" w:color="auto" w:fill="auto"/>
            <w:tcMar>
              <w:top w:w="0" w:type="dxa"/>
              <w:left w:w="108" w:type="dxa"/>
              <w:bottom w:w="0" w:type="dxa"/>
              <w:right w:w="108" w:type="dxa"/>
            </w:tcMar>
            <w:vAlign w:val="center"/>
          </w:tcPr>
          <w:p w:rsidR="00335E4B" w:rsidRPr="00335E4B" w:rsidRDefault="00335E4B" w:rsidP="00335E4B">
            <w:pPr>
              <w:keepNext/>
              <w:keepLines/>
              <w:spacing w:after="40" w:line="280" w:lineRule="exact"/>
              <w:jc w:val="center"/>
              <w:rPr>
                <w:rFonts w:eastAsia="SimSun" w:cs="Traditional Arabic"/>
                <w:sz w:val="18"/>
                <w:szCs w:val="26"/>
              </w:rPr>
            </w:pPr>
            <w:r w:rsidRPr="00335E4B">
              <w:rPr>
                <w:rFonts w:cs="Traditional Arabic"/>
                <w:sz w:val="18"/>
                <w:szCs w:val="26"/>
                <w:rtl/>
              </w:rPr>
              <w:t>فترة تحديد المتوسط</w:t>
            </w:r>
          </w:p>
        </w:tc>
        <w:tc>
          <w:tcPr>
            <w:tcW w:w="1134" w:type="dxa"/>
            <w:tcBorders>
              <w:top w:val="single" w:sz="4" w:space="0" w:color="auto"/>
              <w:left w:val="single" w:sz="4" w:space="0" w:color="auto"/>
              <w:bottom w:val="single" w:sz="4" w:space="0" w:color="auto"/>
              <w:right w:val="single" w:sz="4" w:space="0" w:color="auto"/>
            </w:tcBorders>
            <w:shd w:val="pct10" w:color="auto" w:fill="auto"/>
            <w:tcMar>
              <w:top w:w="0" w:type="dxa"/>
              <w:left w:w="108" w:type="dxa"/>
              <w:bottom w:w="0" w:type="dxa"/>
              <w:right w:w="108" w:type="dxa"/>
            </w:tcMar>
            <w:vAlign w:val="center"/>
          </w:tcPr>
          <w:p w:rsidR="00335E4B" w:rsidRPr="00335E4B" w:rsidRDefault="00335E4B" w:rsidP="00335E4B">
            <w:pPr>
              <w:keepNext/>
              <w:keepLines/>
              <w:spacing w:after="40" w:line="280" w:lineRule="exact"/>
              <w:jc w:val="center"/>
              <w:rPr>
                <w:rFonts w:eastAsia="SimSun" w:cs="Traditional Arabic"/>
                <w:sz w:val="18"/>
                <w:szCs w:val="26"/>
              </w:rPr>
            </w:pPr>
            <w:r w:rsidRPr="00335E4B">
              <w:rPr>
                <w:rFonts w:cs="Traditional Arabic"/>
                <w:sz w:val="18"/>
                <w:szCs w:val="26"/>
                <w:rtl/>
              </w:rPr>
              <w:t xml:space="preserve">حجم </w:t>
            </w:r>
            <w:r w:rsidRPr="00335E4B">
              <w:rPr>
                <w:rFonts w:cs="Traditional Arabic" w:hint="cs"/>
                <w:sz w:val="18"/>
                <w:szCs w:val="26"/>
                <w:rtl/>
              </w:rPr>
              <w:t>المرجَل</w:t>
            </w:r>
          </w:p>
        </w:tc>
        <w:tc>
          <w:tcPr>
            <w:tcW w:w="1417" w:type="dxa"/>
            <w:tcBorders>
              <w:top w:val="single" w:sz="4" w:space="0" w:color="auto"/>
              <w:left w:val="single" w:sz="4" w:space="0" w:color="auto"/>
              <w:bottom w:val="single" w:sz="4" w:space="0" w:color="auto"/>
              <w:right w:val="single" w:sz="4" w:space="0" w:color="auto"/>
            </w:tcBorders>
            <w:shd w:val="pct10" w:color="auto" w:fill="auto"/>
            <w:tcMar>
              <w:top w:w="0" w:type="dxa"/>
              <w:left w:w="108" w:type="dxa"/>
              <w:bottom w:w="0" w:type="dxa"/>
              <w:right w:w="108" w:type="dxa"/>
            </w:tcMar>
            <w:vAlign w:val="center"/>
          </w:tcPr>
          <w:p w:rsidR="00335E4B" w:rsidRPr="00335E4B" w:rsidRDefault="00335E4B" w:rsidP="00335E4B">
            <w:pPr>
              <w:keepNext/>
              <w:keepLines/>
              <w:spacing w:after="40" w:line="280" w:lineRule="exact"/>
              <w:jc w:val="center"/>
              <w:rPr>
                <w:rFonts w:eastAsia="SimSun" w:cs="Traditional Arabic"/>
                <w:sz w:val="18"/>
                <w:szCs w:val="26"/>
              </w:rPr>
            </w:pPr>
            <w:r w:rsidRPr="00335E4B">
              <w:rPr>
                <w:rFonts w:cs="Traditional Arabic"/>
                <w:sz w:val="18"/>
                <w:szCs w:val="26"/>
                <w:rtl/>
              </w:rPr>
              <w:t>تقنية معالجة غاز المدخنة</w:t>
            </w:r>
          </w:p>
        </w:tc>
      </w:tr>
      <w:tr w:rsidR="00335E4B" w:rsidRPr="00335E4B" w:rsidTr="00D002D1">
        <w:trPr>
          <w:cantSplit/>
          <w:trHeight w:val="401"/>
        </w:trPr>
        <w:tc>
          <w:tcPr>
            <w:tcW w:w="2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jc w:val="both"/>
              <w:rPr>
                <w:rFonts w:cs="Traditional Arabic"/>
                <w:sz w:val="18"/>
                <w:szCs w:val="26"/>
                <w:rtl/>
                <w:lang w:bidi="ar-EG"/>
              </w:rPr>
            </w:pPr>
            <w:r w:rsidRPr="00335E4B">
              <w:rPr>
                <w:rFonts w:eastAsia="SimSun" w:cs="Traditional Arabic"/>
                <w:sz w:val="18"/>
                <w:szCs w:val="26"/>
              </w:rPr>
              <w:t>Oak Grove</w:t>
            </w:r>
            <w:r w:rsidRPr="00335E4B">
              <w:rPr>
                <w:rFonts w:cs="Traditional Arabic"/>
                <w:sz w:val="18"/>
                <w:szCs w:val="26"/>
                <w:rtl/>
                <w:lang w:bidi="ar-EG"/>
              </w:rPr>
              <w:t xml:space="preserve">، </w:t>
            </w:r>
            <w:r w:rsidRPr="00335E4B">
              <w:rPr>
                <w:rFonts w:cs="Traditional Arabic" w:hint="cs"/>
                <w:sz w:val="18"/>
                <w:szCs w:val="26"/>
                <w:rtl/>
                <w:lang w:bidi="ar-EG"/>
              </w:rPr>
              <w:t>المرجَل</w:t>
            </w:r>
            <w:r w:rsidRPr="00335E4B">
              <w:rPr>
                <w:rFonts w:cs="Traditional Arabic"/>
                <w:sz w:val="18"/>
                <w:szCs w:val="26"/>
                <w:rtl/>
                <w:lang w:bidi="ar-EG"/>
              </w:rPr>
              <w:t xml:space="preserve"> 1</w:t>
            </w:r>
          </w:p>
          <w:p w:rsidR="00335E4B" w:rsidRPr="00335E4B" w:rsidRDefault="00335E4B" w:rsidP="00335E4B">
            <w:pPr>
              <w:keepNext/>
              <w:keepLines/>
              <w:spacing w:after="40" w:line="280" w:lineRule="exact"/>
              <w:jc w:val="both"/>
              <w:rPr>
                <w:rFonts w:cs="Traditional Arabic"/>
                <w:sz w:val="18"/>
                <w:szCs w:val="26"/>
                <w:lang w:bidi="ar-EG"/>
              </w:rPr>
            </w:pPr>
            <w:r w:rsidRPr="00335E4B">
              <w:rPr>
                <w:rFonts w:cs="Traditional Arabic"/>
                <w:sz w:val="18"/>
                <w:szCs w:val="26"/>
                <w:rtl/>
                <w:lang w:bidi="ar-EG"/>
              </w:rPr>
              <w:t>الولايات المتحدة</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RDefault="00335E4B" w:rsidP="00335E4B">
            <w:pPr>
              <w:keepNext/>
              <w:keepLines/>
              <w:spacing w:after="40" w:line="280" w:lineRule="exact"/>
              <w:jc w:val="both"/>
              <w:rPr>
                <w:rFonts w:eastAsia="SimSun" w:cs="Traditional Arabic"/>
                <w:sz w:val="18"/>
                <w:szCs w:val="26"/>
              </w:rPr>
            </w:pPr>
            <w:r w:rsidRPr="00335E4B">
              <w:rPr>
                <w:rFonts w:cs="Traditional Arabic"/>
                <w:sz w:val="18"/>
                <w:szCs w:val="26"/>
                <w:rtl/>
              </w:rPr>
              <w:t>اللغنيت</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jc w:val="both"/>
              <w:rPr>
                <w:rFonts w:eastAsia="SimSun" w:cs="Traditional Arabic"/>
                <w:sz w:val="18"/>
                <w:szCs w:val="26"/>
              </w:rPr>
            </w:pPr>
            <w:r w:rsidRPr="00335E4B">
              <w:rPr>
                <w:rFonts w:cs="Times New Roman"/>
                <w:sz w:val="18"/>
                <w:szCs w:val="26"/>
                <w:rtl/>
              </w:rPr>
              <w:t>&gt;</w:t>
            </w:r>
            <w:r w:rsidRPr="00335E4B">
              <w:rPr>
                <w:rFonts w:cs="Traditional Arabic"/>
                <w:sz w:val="18"/>
                <w:szCs w:val="26"/>
                <w:rtl/>
              </w:rPr>
              <w:t xml:space="preserve"> 0</w:t>
            </w:r>
            <w:r w:rsidRPr="00335E4B">
              <w:rPr>
                <w:rFonts w:cs="Traditional Arabic" w:hint="cs"/>
                <w:sz w:val="18"/>
                <w:szCs w:val="26"/>
                <w:rtl/>
              </w:rPr>
              <w:t>,</w:t>
            </w:r>
            <w:r w:rsidRPr="00335E4B">
              <w:rPr>
                <w:rFonts w:cs="Traditional Arabic"/>
                <w:sz w:val="18"/>
                <w:szCs w:val="26"/>
                <w:rtl/>
              </w:rPr>
              <w:t>80 في 2012</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jc w:val="both"/>
              <w:rPr>
                <w:rFonts w:eastAsia="SimSun" w:cs="Traditional Arabic"/>
                <w:sz w:val="18"/>
                <w:szCs w:val="26"/>
              </w:rPr>
            </w:pPr>
            <w:r w:rsidRPr="00335E4B">
              <w:rPr>
                <w:rFonts w:cs="Traditional Arabic"/>
                <w:sz w:val="18"/>
                <w:szCs w:val="26"/>
                <w:rtl/>
              </w:rPr>
              <w:t>شهرياً/مستمر</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ind w:left="33"/>
              <w:jc w:val="both"/>
              <w:rPr>
                <w:rFonts w:eastAsia="SimSun" w:cs="Traditional Arabic"/>
                <w:sz w:val="18"/>
                <w:szCs w:val="26"/>
              </w:rPr>
            </w:pPr>
            <w:r w:rsidRPr="00335E4B">
              <w:rPr>
                <w:rFonts w:cs="Traditional Arabic"/>
                <w:sz w:val="18"/>
                <w:szCs w:val="26"/>
                <w:rtl/>
              </w:rPr>
              <w:t>870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jc w:val="center"/>
              <w:rPr>
                <w:rFonts w:eastAsia="SimSun" w:cs="Traditional Arabic"/>
                <w:sz w:val="18"/>
                <w:szCs w:val="18"/>
              </w:rPr>
            </w:pPr>
            <w:r w:rsidRPr="00335E4B">
              <w:rPr>
                <w:rFonts w:eastAsia="SimSun" w:cs="Traditional Arabic"/>
                <w:sz w:val="18"/>
                <w:szCs w:val="18"/>
              </w:rPr>
              <w:t>FF+SCR+FGD + ACI</w:t>
            </w:r>
          </w:p>
        </w:tc>
      </w:tr>
      <w:tr w:rsidR="00335E4B" w:rsidRPr="00335E4B" w:rsidTr="00D002D1">
        <w:trPr>
          <w:cantSplit/>
          <w:trHeight w:val="246"/>
        </w:trPr>
        <w:tc>
          <w:tcPr>
            <w:tcW w:w="2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jc w:val="both"/>
              <w:rPr>
                <w:rFonts w:eastAsia="SimSun" w:cs="Traditional Arabic"/>
                <w:sz w:val="18"/>
                <w:szCs w:val="26"/>
              </w:rPr>
            </w:pPr>
            <w:r w:rsidRPr="00335E4B">
              <w:rPr>
                <w:rFonts w:eastAsia="SimSun" w:cs="Traditional Arabic"/>
                <w:sz w:val="18"/>
                <w:szCs w:val="26"/>
              </w:rPr>
              <w:t>PPI Montana Corette</w:t>
            </w:r>
            <w:r w:rsidRPr="00335E4B">
              <w:rPr>
                <w:rFonts w:eastAsia="SimSun" w:cs="Traditional Arabic"/>
                <w:sz w:val="18"/>
                <w:szCs w:val="26"/>
                <w:rtl/>
              </w:rPr>
              <w:t xml:space="preserve"> </w:t>
            </w:r>
            <w:r w:rsidRPr="00335E4B">
              <w:rPr>
                <w:rFonts w:cs="Traditional Arabic"/>
                <w:sz w:val="18"/>
                <w:szCs w:val="26"/>
                <w:rtl/>
              </w:rPr>
              <w:t>(الولايات المتحدة الأمريكية)</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Del="002229A0" w:rsidRDefault="00335E4B" w:rsidP="00335E4B">
            <w:pPr>
              <w:keepNext/>
              <w:keepLines/>
              <w:spacing w:after="40" w:line="280" w:lineRule="exact"/>
              <w:jc w:val="both"/>
              <w:rPr>
                <w:rFonts w:eastAsia="SimSun" w:cs="Traditional Arabic"/>
                <w:sz w:val="18"/>
                <w:szCs w:val="26"/>
              </w:rPr>
            </w:pPr>
            <w:r w:rsidRPr="00335E4B">
              <w:rPr>
                <w:rFonts w:cs="Traditional Arabic"/>
                <w:sz w:val="18"/>
                <w:szCs w:val="26"/>
                <w:rtl/>
                <w:lang w:eastAsia="zh-CN"/>
              </w:rPr>
              <w:t>دون القيري</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jc w:val="both"/>
              <w:rPr>
                <w:rFonts w:eastAsia="SimSun" w:cs="Traditional Arabic"/>
                <w:sz w:val="18"/>
                <w:szCs w:val="26"/>
                <w:lang w:eastAsia="zh-CN"/>
              </w:rPr>
            </w:pPr>
            <w:r w:rsidRPr="00335E4B">
              <w:rPr>
                <w:rFonts w:cs="Traditional Arabic"/>
                <w:sz w:val="18"/>
                <w:szCs w:val="26"/>
                <w:rtl/>
                <w:lang w:eastAsia="zh-CN"/>
              </w:rPr>
              <w:t>0</w:t>
            </w:r>
            <w:r w:rsidRPr="00335E4B">
              <w:rPr>
                <w:rFonts w:cs="Traditional Arabic" w:hint="cs"/>
                <w:sz w:val="18"/>
                <w:szCs w:val="26"/>
                <w:rtl/>
                <w:lang w:eastAsia="zh-CN"/>
              </w:rPr>
              <w:t>,</w:t>
            </w:r>
            <w:r w:rsidRPr="00335E4B">
              <w:rPr>
                <w:rFonts w:cs="Traditional Arabic"/>
                <w:sz w:val="18"/>
                <w:szCs w:val="26"/>
                <w:rtl/>
                <w:lang w:eastAsia="zh-CN"/>
              </w:rPr>
              <w:t>9</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jc w:val="both"/>
              <w:rPr>
                <w:rFonts w:eastAsia="SimSun" w:cs="Traditional Arabic"/>
                <w:sz w:val="18"/>
                <w:szCs w:val="26"/>
              </w:rPr>
            </w:pPr>
            <w:r w:rsidRPr="00335E4B">
              <w:rPr>
                <w:rFonts w:cs="Traditional Arabic"/>
                <w:sz w:val="18"/>
                <w:szCs w:val="26"/>
                <w:rtl/>
              </w:rPr>
              <w:t>مستمر</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ind w:left="33"/>
              <w:jc w:val="both"/>
              <w:rPr>
                <w:rFonts w:eastAsia="SimSun" w:cs="Traditional Arabic"/>
                <w:sz w:val="18"/>
                <w:szCs w:val="26"/>
                <w:lang w:eastAsia="zh-CN"/>
              </w:rPr>
            </w:pPr>
            <w:r w:rsidRPr="00335E4B">
              <w:rPr>
                <w:rFonts w:cs="Traditional Arabic"/>
                <w:sz w:val="18"/>
                <w:szCs w:val="26"/>
                <w:rtl/>
              </w:rPr>
              <w:t>163</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jc w:val="center"/>
              <w:rPr>
                <w:rFonts w:eastAsia="SimSun" w:cs="Traditional Arabic"/>
                <w:sz w:val="18"/>
                <w:szCs w:val="18"/>
              </w:rPr>
            </w:pPr>
            <w:r w:rsidRPr="00335E4B">
              <w:rPr>
                <w:rFonts w:eastAsia="SimSun" w:cs="Traditional Arabic"/>
                <w:sz w:val="18"/>
                <w:szCs w:val="18"/>
              </w:rPr>
              <w:t>ACI</w:t>
            </w:r>
            <w:r w:rsidRPr="00335E4B">
              <w:rPr>
                <w:rFonts w:eastAsia="SimSun" w:cs="Traditional Arabic"/>
                <w:sz w:val="18"/>
                <w:szCs w:val="18"/>
                <w:rtl/>
              </w:rPr>
              <w:t xml:space="preserve"> </w:t>
            </w:r>
            <w:r w:rsidRPr="00335E4B">
              <w:rPr>
                <w:rFonts w:cs="Traditional Arabic"/>
                <w:sz w:val="18"/>
                <w:szCs w:val="18"/>
                <w:rtl/>
                <w:lang w:bidi="ar-EG"/>
              </w:rPr>
              <w:t>مع</w:t>
            </w:r>
            <w:r w:rsidRPr="00335E4B">
              <w:rPr>
                <w:rFonts w:eastAsia="SimSun" w:cs="Traditional Arabic"/>
                <w:sz w:val="18"/>
                <w:szCs w:val="18"/>
              </w:rPr>
              <w:t xml:space="preserve"> C-PAC + ESP</w:t>
            </w:r>
          </w:p>
        </w:tc>
      </w:tr>
      <w:tr w:rsidR="00335E4B" w:rsidRPr="00335E4B" w:rsidTr="00D002D1">
        <w:trPr>
          <w:cantSplit/>
          <w:trHeight w:val="669"/>
        </w:trPr>
        <w:tc>
          <w:tcPr>
            <w:tcW w:w="2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jc w:val="both"/>
              <w:rPr>
                <w:rFonts w:eastAsia="SimSun" w:cs="Traditional Arabic"/>
                <w:sz w:val="18"/>
                <w:szCs w:val="26"/>
                <w:lang w:bidi="ar-EG"/>
              </w:rPr>
            </w:pPr>
            <w:r w:rsidRPr="00335E4B">
              <w:rPr>
                <w:rFonts w:eastAsia="SimSun" w:cs="Traditional Arabic"/>
                <w:sz w:val="18"/>
                <w:szCs w:val="26"/>
              </w:rPr>
              <w:t>Brayton Point</w:t>
            </w:r>
            <w:r w:rsidRPr="00335E4B">
              <w:rPr>
                <w:rFonts w:cs="Traditional Arabic"/>
                <w:sz w:val="18"/>
                <w:szCs w:val="26"/>
                <w:rtl/>
              </w:rPr>
              <w:t xml:space="preserve">، الوحدات 1 و2 و3 (مجتمعة)، </w:t>
            </w:r>
            <w:r w:rsidRPr="00335E4B">
              <w:rPr>
                <w:rFonts w:cs="Traditional Arabic"/>
                <w:sz w:val="20"/>
                <w:szCs w:val="30"/>
                <w:rtl/>
                <w:lang w:bidi="ar-EG"/>
              </w:rPr>
              <w:t>ماساتشوسيتس</w:t>
            </w:r>
            <w:r w:rsidRPr="00335E4B">
              <w:rPr>
                <w:rFonts w:cs="Traditional Arabic"/>
                <w:sz w:val="18"/>
                <w:szCs w:val="26"/>
                <w:rtl/>
                <w:lang w:bidi="ar-EG"/>
              </w:rPr>
              <w:t>، الولايات المتحدة الأمريكية</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Del="00023DD5" w:rsidRDefault="00335E4B" w:rsidP="00335E4B">
            <w:pPr>
              <w:keepNext/>
              <w:keepLines/>
              <w:spacing w:after="40" w:line="280" w:lineRule="exact"/>
              <w:jc w:val="both"/>
              <w:rPr>
                <w:rFonts w:eastAsia="SimSun" w:cs="Traditional Arabic"/>
                <w:sz w:val="18"/>
                <w:szCs w:val="26"/>
              </w:rPr>
            </w:pPr>
            <w:r w:rsidRPr="00335E4B">
              <w:rPr>
                <w:rFonts w:cs="Traditional Arabic"/>
                <w:sz w:val="18"/>
                <w:szCs w:val="26"/>
                <w:rtl/>
                <w:lang w:eastAsia="zh-CN"/>
              </w:rPr>
              <w:t>القيري</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jc w:val="both"/>
              <w:rPr>
                <w:rFonts w:eastAsia="SimSun" w:cs="Traditional Arabic"/>
                <w:sz w:val="18"/>
                <w:szCs w:val="26"/>
                <w:lang w:eastAsia="zh-CN"/>
              </w:rPr>
            </w:pPr>
            <w:r w:rsidRPr="00335E4B">
              <w:rPr>
                <w:rFonts w:cs="Traditional Arabic"/>
                <w:sz w:val="18"/>
                <w:szCs w:val="26"/>
                <w:rtl/>
                <w:lang w:eastAsia="zh-CN"/>
              </w:rPr>
              <w:t>0</w:t>
            </w:r>
            <w:r w:rsidRPr="00335E4B">
              <w:rPr>
                <w:rFonts w:cs="Traditional Arabic" w:hint="cs"/>
                <w:sz w:val="18"/>
                <w:szCs w:val="26"/>
                <w:rtl/>
                <w:lang w:eastAsia="zh-CN"/>
              </w:rPr>
              <w:t>,</w:t>
            </w:r>
            <w:r w:rsidRPr="00335E4B">
              <w:rPr>
                <w:rFonts w:cs="Traditional Arabic"/>
                <w:sz w:val="18"/>
                <w:szCs w:val="26"/>
                <w:rtl/>
                <w:lang w:eastAsia="zh-CN"/>
              </w:rPr>
              <w:t>2</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rPr>
                <w:rFonts w:eastAsia="SimSun" w:cs="Traditional Arabic"/>
                <w:sz w:val="18"/>
                <w:szCs w:val="26"/>
              </w:rPr>
            </w:pPr>
            <w:r w:rsidRPr="00335E4B">
              <w:rPr>
                <w:rFonts w:cs="Traditional Arabic"/>
                <w:sz w:val="18"/>
                <w:szCs w:val="26"/>
                <w:rtl/>
              </w:rPr>
              <w:t>سنوياً، متوسط متجدد كل 12 شهراً</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ind w:left="33"/>
              <w:jc w:val="both"/>
              <w:rPr>
                <w:rFonts w:eastAsia="SimSun" w:cs="Traditional Arabic"/>
                <w:sz w:val="18"/>
                <w:szCs w:val="26"/>
                <w:lang w:eastAsia="zh-CN"/>
              </w:rPr>
            </w:pPr>
            <w:r w:rsidRPr="00335E4B">
              <w:rPr>
                <w:rFonts w:cs="Traditional Arabic"/>
                <w:sz w:val="18"/>
                <w:szCs w:val="26"/>
                <w:rtl/>
                <w:lang w:eastAsia="zh-CN"/>
              </w:rPr>
              <w:t>350 1</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jc w:val="center"/>
              <w:rPr>
                <w:rFonts w:eastAsia="SimSun" w:cs="Traditional Arabic"/>
                <w:sz w:val="18"/>
                <w:szCs w:val="18"/>
              </w:rPr>
            </w:pPr>
            <w:r w:rsidRPr="00335E4B">
              <w:rPr>
                <w:rFonts w:eastAsia="SimSun" w:cs="Traditional Arabic"/>
                <w:sz w:val="18"/>
                <w:szCs w:val="18"/>
              </w:rPr>
              <w:t>ACI</w:t>
            </w:r>
            <w:r w:rsidRPr="00335E4B">
              <w:rPr>
                <w:rFonts w:eastAsia="SimSun" w:cs="Traditional Arabic"/>
                <w:sz w:val="18"/>
                <w:szCs w:val="18"/>
                <w:lang w:eastAsia="zh-CN"/>
              </w:rPr>
              <w:t>+ SCR+ESP+SDA</w:t>
            </w:r>
          </w:p>
        </w:tc>
      </w:tr>
      <w:tr w:rsidR="00335E4B" w:rsidRPr="00335E4B" w:rsidTr="00D002D1">
        <w:trPr>
          <w:cantSplit/>
          <w:trHeight w:val="669"/>
        </w:trPr>
        <w:tc>
          <w:tcPr>
            <w:tcW w:w="2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jc w:val="both"/>
              <w:rPr>
                <w:rFonts w:cs="Traditional Arabic"/>
                <w:sz w:val="18"/>
                <w:szCs w:val="26"/>
                <w:lang w:bidi="ar-EG"/>
              </w:rPr>
            </w:pPr>
            <w:r w:rsidRPr="00335E4B">
              <w:rPr>
                <w:rFonts w:eastAsia="SimSun" w:cs="Traditional Arabic"/>
                <w:sz w:val="18"/>
                <w:szCs w:val="26"/>
              </w:rPr>
              <w:t>Bridgeport Harbor</w:t>
            </w:r>
            <w:r w:rsidRPr="00335E4B">
              <w:rPr>
                <w:rFonts w:cs="Traditional Arabic"/>
                <w:sz w:val="18"/>
                <w:szCs w:val="26"/>
                <w:rtl/>
                <w:lang w:bidi="ar-EG"/>
              </w:rPr>
              <w:t xml:space="preserve">، </w:t>
            </w:r>
            <w:r w:rsidRPr="00335E4B">
              <w:rPr>
                <w:rFonts w:cs="Traditional Arabic"/>
                <w:sz w:val="18"/>
                <w:szCs w:val="26"/>
                <w:rtl/>
              </w:rPr>
              <w:t xml:space="preserve">الوحدة رقم 3، </w:t>
            </w:r>
            <w:r w:rsidRPr="00335E4B">
              <w:rPr>
                <w:rFonts w:cs="Traditional Arabic"/>
                <w:sz w:val="20"/>
                <w:szCs w:val="30"/>
                <w:rtl/>
                <w:lang w:bidi="ar-EG"/>
              </w:rPr>
              <w:t>كونيتيكت</w:t>
            </w:r>
            <w:r w:rsidRPr="00335E4B">
              <w:rPr>
                <w:rFonts w:cs="Traditional Arabic"/>
                <w:sz w:val="18"/>
                <w:szCs w:val="26"/>
                <w:rtl/>
                <w:lang w:bidi="ar-EG"/>
              </w:rPr>
              <w:t>، الولايات المتحدة الأمريكية</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5E4B" w:rsidRPr="00335E4B" w:rsidDel="00023DD5" w:rsidRDefault="00335E4B" w:rsidP="00335E4B">
            <w:pPr>
              <w:keepNext/>
              <w:keepLines/>
              <w:spacing w:after="40" w:line="280" w:lineRule="exact"/>
              <w:jc w:val="both"/>
              <w:rPr>
                <w:rFonts w:eastAsia="SimSun" w:cs="Traditional Arabic"/>
                <w:sz w:val="18"/>
                <w:szCs w:val="26"/>
              </w:rPr>
            </w:pPr>
            <w:r w:rsidRPr="00335E4B">
              <w:rPr>
                <w:rFonts w:cs="Traditional Arabic"/>
                <w:sz w:val="18"/>
                <w:szCs w:val="26"/>
                <w:rtl/>
                <w:lang w:eastAsia="zh-CN"/>
              </w:rPr>
              <w:t>قيري</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jc w:val="both"/>
              <w:rPr>
                <w:rFonts w:eastAsia="SimSun" w:cs="Traditional Arabic"/>
                <w:sz w:val="18"/>
                <w:szCs w:val="26"/>
                <w:lang w:eastAsia="zh-CN"/>
              </w:rPr>
            </w:pPr>
            <w:r w:rsidRPr="00335E4B">
              <w:rPr>
                <w:rFonts w:cs="Traditional Arabic"/>
                <w:sz w:val="18"/>
                <w:szCs w:val="26"/>
                <w:rtl/>
                <w:lang w:eastAsia="zh-CN"/>
              </w:rPr>
              <w:t>0</w:t>
            </w:r>
            <w:r w:rsidRPr="00335E4B">
              <w:rPr>
                <w:rFonts w:cs="Traditional Arabic" w:hint="cs"/>
                <w:sz w:val="18"/>
                <w:szCs w:val="26"/>
                <w:rtl/>
                <w:lang w:eastAsia="zh-CN"/>
              </w:rPr>
              <w:t>,</w:t>
            </w:r>
            <w:r w:rsidRPr="00335E4B">
              <w:rPr>
                <w:rFonts w:cs="Traditional Arabic"/>
                <w:sz w:val="18"/>
                <w:szCs w:val="26"/>
                <w:rtl/>
                <w:lang w:eastAsia="zh-CN"/>
              </w:rPr>
              <w:t>2-0</w:t>
            </w:r>
            <w:r w:rsidRPr="00335E4B">
              <w:rPr>
                <w:rFonts w:cs="Traditional Arabic" w:hint="cs"/>
                <w:sz w:val="18"/>
                <w:szCs w:val="26"/>
                <w:rtl/>
                <w:lang w:eastAsia="zh-CN"/>
              </w:rPr>
              <w:t>,</w:t>
            </w:r>
            <w:r w:rsidRPr="00335E4B">
              <w:rPr>
                <w:rFonts w:cs="Traditional Arabic"/>
                <w:sz w:val="18"/>
                <w:szCs w:val="26"/>
                <w:rtl/>
                <w:lang w:eastAsia="zh-CN"/>
              </w:rPr>
              <w:t>5</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jc w:val="both"/>
              <w:rPr>
                <w:rFonts w:eastAsia="SimSun" w:cs="Traditional Arabic"/>
                <w:sz w:val="18"/>
                <w:szCs w:val="26"/>
              </w:rPr>
            </w:pPr>
            <w:r w:rsidRPr="00335E4B">
              <w:rPr>
                <w:rFonts w:cs="Traditional Arabic"/>
                <w:sz w:val="18"/>
                <w:szCs w:val="26"/>
                <w:rtl/>
              </w:rPr>
              <w:t>دورياً</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ind w:left="33"/>
              <w:jc w:val="both"/>
              <w:rPr>
                <w:rFonts w:eastAsia="SimSun" w:cs="Traditional Arabic"/>
                <w:sz w:val="18"/>
                <w:szCs w:val="26"/>
                <w:lang w:eastAsia="zh-CN"/>
              </w:rPr>
            </w:pPr>
            <w:r w:rsidRPr="00335E4B">
              <w:rPr>
                <w:rFonts w:cs="Traditional Arabic"/>
                <w:sz w:val="18"/>
                <w:szCs w:val="26"/>
                <w:rtl/>
              </w:rPr>
              <w:t>400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35E4B" w:rsidRPr="00335E4B" w:rsidRDefault="00335E4B" w:rsidP="00335E4B">
            <w:pPr>
              <w:keepNext/>
              <w:keepLines/>
              <w:spacing w:after="40" w:line="280" w:lineRule="exact"/>
              <w:jc w:val="center"/>
              <w:rPr>
                <w:rFonts w:eastAsia="SimSun" w:cs="Traditional Arabic"/>
                <w:sz w:val="18"/>
                <w:szCs w:val="18"/>
                <w:lang w:eastAsia="zh-CN"/>
              </w:rPr>
            </w:pPr>
            <w:r w:rsidRPr="00335E4B">
              <w:rPr>
                <w:rFonts w:eastAsia="SimSun" w:cs="Traditional Arabic"/>
                <w:sz w:val="18"/>
                <w:szCs w:val="18"/>
              </w:rPr>
              <w:t>ACI + ESP</w:t>
            </w:r>
          </w:p>
        </w:tc>
      </w:tr>
    </w:tbl>
    <w:p w:rsidR="00335E4B" w:rsidRPr="00335E4B" w:rsidRDefault="00335E4B" w:rsidP="00335E4B">
      <w:pPr>
        <w:spacing w:after="120" w:line="340" w:lineRule="exact"/>
        <w:ind w:left="-2"/>
        <w:jc w:val="both"/>
        <w:rPr>
          <w:rFonts w:cs="Traditional Arabic"/>
          <w:sz w:val="16"/>
          <w:szCs w:val="26"/>
          <w:rtl/>
          <w:lang w:bidi="ar-EG"/>
        </w:rPr>
      </w:pPr>
      <w:r w:rsidRPr="00335E4B">
        <w:rPr>
          <w:rFonts w:cs="Traditional Arabic"/>
          <w:sz w:val="16"/>
          <w:szCs w:val="26"/>
          <w:rtl/>
          <w:lang w:bidi="ar-EG"/>
        </w:rPr>
        <w:t xml:space="preserve">ملحوظة: </w:t>
      </w:r>
      <w:r w:rsidRPr="00335E4B">
        <w:rPr>
          <w:rFonts w:eastAsia="SimSun" w:cs="Traditional Arabic"/>
          <w:sz w:val="18"/>
          <w:szCs w:val="18"/>
        </w:rPr>
        <w:t>C-PAC</w:t>
      </w:r>
      <w:r w:rsidRPr="00335E4B">
        <w:rPr>
          <w:rFonts w:cs="Traditional Arabic"/>
          <w:sz w:val="16"/>
          <w:szCs w:val="26"/>
          <w:rtl/>
          <w:lang w:bidi="ar-EG"/>
        </w:rPr>
        <w:t>: كربون منشَّط مسحوق موافق لل</w:t>
      </w:r>
      <w:r w:rsidRPr="00335E4B">
        <w:rPr>
          <w:rFonts w:cs="Traditional Arabic" w:hint="cs"/>
          <w:sz w:val="16"/>
          <w:szCs w:val="26"/>
          <w:rtl/>
          <w:lang w:bidi="ar-EG"/>
        </w:rPr>
        <w:t>إ</w:t>
      </w:r>
      <w:r w:rsidRPr="00335E4B">
        <w:rPr>
          <w:rFonts w:cs="Traditional Arabic"/>
          <w:sz w:val="16"/>
          <w:szCs w:val="26"/>
          <w:rtl/>
          <w:lang w:bidi="ar-EG"/>
        </w:rPr>
        <w:t xml:space="preserve">سمنت؛ البيانات عن سنة 2010 باستثناء </w:t>
      </w:r>
      <w:r w:rsidRPr="00335E4B">
        <w:rPr>
          <w:rFonts w:eastAsia="SimSun" w:cs="Traditional Arabic"/>
          <w:sz w:val="18"/>
          <w:szCs w:val="18"/>
          <w:lang w:eastAsia="zh-CN"/>
        </w:rPr>
        <w:t>Oak Grove</w:t>
      </w:r>
      <w:r w:rsidRPr="00335E4B">
        <w:rPr>
          <w:rFonts w:cs="Traditional Arabic"/>
          <w:sz w:val="16"/>
          <w:szCs w:val="26"/>
          <w:rtl/>
          <w:lang w:bidi="ar-EG"/>
        </w:rPr>
        <w:t xml:space="preserve">. </w:t>
      </w:r>
    </w:p>
    <w:p w:rsidR="00335E4B" w:rsidRPr="00335E4B" w:rsidRDefault="00335E4B" w:rsidP="00335E4B">
      <w:pPr>
        <w:keepNext/>
        <w:spacing w:before="120" w:after="120" w:line="400" w:lineRule="exact"/>
        <w:ind w:left="990" w:hanging="990"/>
        <w:jc w:val="both"/>
        <w:outlineLvl w:val="0"/>
        <w:rPr>
          <w:rFonts w:cs="Traditional Arabic"/>
          <w:b/>
          <w:bCs/>
          <w:sz w:val="30"/>
          <w:szCs w:val="30"/>
          <w:rtl/>
        </w:rPr>
      </w:pPr>
      <w:bookmarkStart w:id="760" w:name="_Toc440456848"/>
      <w:bookmarkStart w:id="761" w:name="_Toc440526920"/>
      <w:bookmarkStart w:id="762" w:name="_Toc440527777"/>
      <w:bookmarkStart w:id="763" w:name="_Toc440550478"/>
      <w:bookmarkStart w:id="764" w:name="_Toc441577735"/>
      <w:bookmarkStart w:id="765" w:name="_Toc441577914"/>
      <w:bookmarkStart w:id="766" w:name="_Toc441579140"/>
      <w:bookmarkStart w:id="767" w:name="_Toc441580748"/>
      <w:bookmarkStart w:id="768" w:name="_Toc441585879"/>
      <w:bookmarkStart w:id="769" w:name="_Toc441586215"/>
      <w:bookmarkStart w:id="770" w:name="_Toc441586665"/>
      <w:bookmarkStart w:id="771" w:name="_Toc441586844"/>
      <w:bookmarkStart w:id="772" w:name="_Toc441666693"/>
      <w:bookmarkStart w:id="773" w:name="_Toc441673754"/>
      <w:r w:rsidRPr="00335E4B">
        <w:rPr>
          <w:rFonts w:cs="Traditional Arabic"/>
          <w:b/>
          <w:bCs/>
          <w:sz w:val="30"/>
          <w:szCs w:val="30"/>
          <w:rtl/>
        </w:rPr>
        <w:t>حقن المادة الماصة بدون معالجة كيميائية</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rsidR="00335E4B" w:rsidRPr="00335E4B" w:rsidRDefault="00335E4B" w:rsidP="00335E4B">
      <w:pPr>
        <w:spacing w:after="120" w:line="340" w:lineRule="exact"/>
        <w:jc w:val="both"/>
        <w:rPr>
          <w:rFonts w:cs="Traditional Arabic"/>
          <w:sz w:val="20"/>
          <w:szCs w:val="30"/>
          <w:rtl/>
          <w:lang w:bidi="ar-EG"/>
        </w:rPr>
      </w:pPr>
      <w:r w:rsidRPr="00335E4B">
        <w:rPr>
          <w:rFonts w:cs="Traditional Arabic" w:hint="cs"/>
          <w:sz w:val="20"/>
          <w:szCs w:val="30"/>
          <w:rtl/>
          <w:lang w:bidi="ar-EG"/>
        </w:rPr>
        <w:t xml:space="preserve">تشمل </w:t>
      </w:r>
      <w:r w:rsidRPr="00335E4B">
        <w:rPr>
          <w:rFonts w:cs="Traditional Arabic"/>
          <w:sz w:val="20"/>
          <w:szCs w:val="30"/>
          <w:rtl/>
          <w:lang w:bidi="ar-EG"/>
        </w:rPr>
        <w:t xml:space="preserve">العوامل التي تؤثر على أداء أي مادة ماصة بعينها </w:t>
      </w:r>
      <w:r w:rsidRPr="00335E4B">
        <w:rPr>
          <w:rFonts w:cs="Traditional Arabic" w:hint="cs"/>
          <w:sz w:val="20"/>
          <w:szCs w:val="30"/>
          <w:rtl/>
          <w:lang w:bidi="ar-EG"/>
        </w:rPr>
        <w:t>بالنسبة ل</w:t>
      </w:r>
      <w:r w:rsidRPr="00335E4B">
        <w:rPr>
          <w:rFonts w:cs="Traditional Arabic"/>
          <w:sz w:val="20"/>
          <w:szCs w:val="30"/>
          <w:rtl/>
          <w:lang w:bidi="ar-EG"/>
        </w:rPr>
        <w:t>التقاط الزئبق</w:t>
      </w:r>
      <w:r w:rsidRPr="00335E4B">
        <w:rPr>
          <w:rFonts w:cs="Traditional Arabic" w:hint="cs"/>
          <w:sz w:val="20"/>
          <w:szCs w:val="30"/>
          <w:rtl/>
          <w:lang w:bidi="ar-EG"/>
        </w:rPr>
        <w:t>،</w:t>
      </w:r>
      <w:r w:rsidRPr="00335E4B">
        <w:rPr>
          <w:rFonts w:cs="Traditional Arabic"/>
          <w:sz w:val="20"/>
          <w:szCs w:val="30"/>
          <w:rtl/>
          <w:lang w:bidi="ar-EG"/>
        </w:rPr>
        <w:t xml:space="preserve"> الخصائص الفيزيائية والكيميائية للمادة الماصة، ومعدل حقن هذه المادة، </w:t>
      </w:r>
      <w:r w:rsidRPr="00335E4B">
        <w:rPr>
          <w:rFonts w:cs="Traditional Arabic" w:hint="cs"/>
          <w:sz w:val="20"/>
          <w:szCs w:val="30"/>
          <w:rtl/>
          <w:lang w:bidi="ar-EG"/>
        </w:rPr>
        <w:t>ومـُعاملات</w:t>
      </w:r>
      <w:r w:rsidRPr="00335E4B">
        <w:rPr>
          <w:rFonts w:cs="Traditional Arabic"/>
          <w:sz w:val="20"/>
          <w:szCs w:val="30"/>
          <w:rtl/>
          <w:lang w:bidi="ar-EG"/>
        </w:rPr>
        <w:t xml:space="preserve"> غاز المدخنة (مثل درجة الحرارة وتركيزات أنواع الهالوجين وتركيز ثلاثي أكسيد الكبريت) وتشكيلة </w:t>
      </w:r>
      <w:r w:rsidRPr="00335E4B">
        <w:rPr>
          <w:rFonts w:cs="Traditional Arabic" w:hint="cs"/>
          <w:sz w:val="20"/>
          <w:szCs w:val="30"/>
          <w:rtl/>
          <w:lang w:bidi="ar-EG"/>
        </w:rPr>
        <w:t>النظام القائم</w:t>
      </w:r>
      <w:r w:rsidRPr="00335E4B">
        <w:rPr>
          <w:rFonts w:cs="Traditional Arabic"/>
          <w:sz w:val="20"/>
          <w:szCs w:val="30"/>
          <w:rtl/>
          <w:lang w:bidi="ar-EG"/>
        </w:rPr>
        <w:t xml:space="preserve"> </w:t>
      </w:r>
      <w:r w:rsidRPr="00335E4B">
        <w:rPr>
          <w:rFonts w:cs="Traditional Arabic" w:hint="cs"/>
          <w:sz w:val="20"/>
          <w:szCs w:val="30"/>
          <w:rtl/>
          <w:lang w:bidi="ar-EG"/>
        </w:rPr>
        <w:t>ل</w:t>
      </w:r>
      <w:r w:rsidRPr="00335E4B">
        <w:rPr>
          <w:rFonts w:cs="Traditional Arabic"/>
          <w:sz w:val="20"/>
          <w:szCs w:val="30"/>
          <w:rtl/>
          <w:lang w:bidi="ar-EG"/>
        </w:rPr>
        <w:t>ضبط تلوث الهواء (بافليش وآخرون، 2003؛ وسريفاستافا وآخرون، 2006 ومارتن، 2009).</w:t>
      </w:r>
    </w:p>
    <w:p w:rsidR="00335E4B" w:rsidRPr="00335E4B" w:rsidRDefault="00335E4B" w:rsidP="00335E4B">
      <w:pPr>
        <w:spacing w:after="100" w:line="360" w:lineRule="exact"/>
        <w:jc w:val="both"/>
        <w:rPr>
          <w:rFonts w:cs="Traditional Arabic"/>
          <w:sz w:val="20"/>
          <w:szCs w:val="30"/>
          <w:rtl/>
          <w:lang w:bidi="ar-EG"/>
        </w:rPr>
      </w:pPr>
      <w:r w:rsidRPr="00335E4B">
        <w:rPr>
          <w:rFonts w:cs="Traditional Arabic"/>
          <w:sz w:val="20"/>
          <w:szCs w:val="30"/>
          <w:rtl/>
          <w:lang w:bidi="ar-EG"/>
        </w:rPr>
        <w:t>ويقدِّم الشكل ملخصاً لعدد من الاختبارات التي أُجريت منذ أكثر من 10 سنوات على حقن الكربون المنشط غير المعالج في أربع منشآت للطاقة (بليزانت بريري (</w:t>
      </w:r>
      <w:r w:rsidRPr="00335E4B">
        <w:rPr>
          <w:rFonts w:eastAsia="SimSun" w:cs="Traditional Arabic"/>
          <w:sz w:val="20"/>
          <w:szCs w:val="22"/>
        </w:rPr>
        <w:t>Pleasant Prairie</w:t>
      </w:r>
      <w:r w:rsidRPr="00335E4B">
        <w:rPr>
          <w:rFonts w:cs="Traditional Arabic"/>
          <w:sz w:val="20"/>
          <w:szCs w:val="30"/>
          <w:rtl/>
          <w:lang w:bidi="ar-EG"/>
        </w:rPr>
        <w:t>) وغاستون (</w:t>
      </w:r>
      <w:r w:rsidRPr="00335E4B">
        <w:rPr>
          <w:rFonts w:eastAsia="SimSun" w:cs="Traditional Arabic"/>
          <w:sz w:val="20"/>
          <w:szCs w:val="22"/>
        </w:rPr>
        <w:t>Gaston</w:t>
      </w:r>
      <w:r w:rsidRPr="00335E4B">
        <w:rPr>
          <w:rFonts w:cs="Traditional Arabic"/>
          <w:sz w:val="20"/>
          <w:szCs w:val="30"/>
          <w:rtl/>
          <w:lang w:bidi="ar-EG"/>
        </w:rPr>
        <w:t>)، وسالم هاربور</w:t>
      </w:r>
      <w:r w:rsidRPr="00335E4B">
        <w:rPr>
          <w:rFonts w:cs="Traditional Arabic"/>
          <w:sz w:val="20"/>
          <w:szCs w:val="22"/>
          <w:rtl/>
          <w:lang w:bidi="ar-EG"/>
        </w:rPr>
        <w:t xml:space="preserve"> (</w:t>
      </w:r>
      <w:r w:rsidRPr="00335E4B">
        <w:rPr>
          <w:rFonts w:eastAsia="SimSun" w:cs="Traditional Arabic"/>
          <w:sz w:val="20"/>
          <w:szCs w:val="22"/>
        </w:rPr>
        <w:t>Salem Harbour</w:t>
      </w:r>
      <w:r w:rsidRPr="00335E4B">
        <w:rPr>
          <w:rFonts w:cs="Traditional Arabic"/>
          <w:sz w:val="20"/>
          <w:szCs w:val="22"/>
          <w:rtl/>
          <w:lang w:bidi="ar-EG"/>
        </w:rPr>
        <w:t xml:space="preserve">) </w:t>
      </w:r>
      <w:r w:rsidRPr="00335E4B">
        <w:rPr>
          <w:rFonts w:cs="Traditional Arabic"/>
          <w:sz w:val="20"/>
          <w:szCs w:val="30"/>
          <w:rtl/>
          <w:lang w:bidi="ar-EG"/>
        </w:rPr>
        <w:t>وبرايتون بوينت</w:t>
      </w:r>
      <w:r w:rsidRPr="00335E4B">
        <w:rPr>
          <w:rFonts w:cs="Traditional Arabic"/>
          <w:sz w:val="20"/>
          <w:szCs w:val="22"/>
          <w:rtl/>
          <w:lang w:bidi="ar-EG"/>
        </w:rPr>
        <w:t xml:space="preserve"> (</w:t>
      </w:r>
      <w:r w:rsidRPr="00335E4B">
        <w:rPr>
          <w:rFonts w:eastAsia="SimSun" w:cs="Traditional Arabic"/>
          <w:sz w:val="20"/>
          <w:szCs w:val="22"/>
        </w:rPr>
        <w:t>Brayton Point</w:t>
      </w:r>
      <w:r w:rsidRPr="00335E4B">
        <w:rPr>
          <w:rFonts w:cs="Traditional Arabic"/>
          <w:sz w:val="20"/>
          <w:szCs w:val="22"/>
          <w:rtl/>
          <w:lang w:bidi="ar-EG"/>
        </w:rPr>
        <w:t>)</w:t>
      </w:r>
      <w:r w:rsidRPr="00335E4B">
        <w:rPr>
          <w:rFonts w:cs="Traditional Arabic"/>
          <w:sz w:val="20"/>
          <w:szCs w:val="30"/>
          <w:rtl/>
          <w:lang w:bidi="ar-EG"/>
        </w:rPr>
        <w:t xml:space="preserve">). وكفاءة إزالة الزئبق بحقن الكربون المنشّط غير المعالج تتوقف </w:t>
      </w:r>
      <w:r w:rsidRPr="00335E4B">
        <w:rPr>
          <w:rFonts w:cs="Traditional Arabic" w:hint="cs"/>
          <w:sz w:val="20"/>
          <w:szCs w:val="30"/>
          <w:rtl/>
          <w:lang w:bidi="ar-EG"/>
        </w:rPr>
        <w:t xml:space="preserve">كثيراً </w:t>
      </w:r>
      <w:r w:rsidRPr="00335E4B">
        <w:rPr>
          <w:rFonts w:cs="Traditional Arabic"/>
          <w:sz w:val="20"/>
          <w:szCs w:val="30"/>
          <w:rtl/>
          <w:lang w:bidi="ar-EG"/>
        </w:rPr>
        <w:t>على ر</w:t>
      </w:r>
      <w:r w:rsidRPr="00335E4B">
        <w:rPr>
          <w:rFonts w:cs="Traditional Arabic" w:hint="cs"/>
          <w:sz w:val="20"/>
          <w:szCs w:val="30"/>
          <w:rtl/>
          <w:lang w:bidi="ar-EG"/>
        </w:rPr>
        <w:t>ت</w:t>
      </w:r>
      <w:r w:rsidRPr="00335E4B">
        <w:rPr>
          <w:rFonts w:cs="Traditional Arabic"/>
          <w:sz w:val="20"/>
          <w:szCs w:val="30"/>
          <w:rtl/>
          <w:lang w:bidi="ar-EG"/>
        </w:rPr>
        <w:t xml:space="preserve">بة الفحم ونوع </w:t>
      </w:r>
      <w:r w:rsidRPr="00335E4B">
        <w:rPr>
          <w:rFonts w:cs="Traditional Arabic" w:hint="cs"/>
          <w:sz w:val="20"/>
          <w:szCs w:val="30"/>
          <w:rtl/>
          <w:lang w:bidi="ar-EG"/>
        </w:rPr>
        <w:t xml:space="preserve">نظام </w:t>
      </w:r>
      <w:r w:rsidRPr="00335E4B">
        <w:rPr>
          <w:rFonts w:cs="Traditional Arabic"/>
          <w:sz w:val="20"/>
          <w:szCs w:val="30"/>
          <w:rtl/>
          <w:lang w:bidi="ar-EG"/>
        </w:rPr>
        <w:t xml:space="preserve">ضبط الجسيمات المستعمل في المنشأة. </w:t>
      </w:r>
      <w:r w:rsidRPr="00335E4B">
        <w:rPr>
          <w:rFonts w:cs="Traditional Arabic" w:hint="cs"/>
          <w:sz w:val="20"/>
          <w:szCs w:val="30"/>
          <w:rtl/>
          <w:lang w:bidi="ar-EG"/>
        </w:rPr>
        <w:t xml:space="preserve">وتستخدم </w:t>
      </w:r>
      <w:r w:rsidRPr="00335E4B">
        <w:rPr>
          <w:rFonts w:cs="Traditional Arabic"/>
          <w:sz w:val="20"/>
          <w:szCs w:val="30"/>
          <w:rtl/>
          <w:lang w:bidi="ar-EG"/>
        </w:rPr>
        <w:t>منشأة الطاقة في بليزانت بريري فحم حوض ريفر باودر (</w:t>
      </w:r>
      <w:r w:rsidRPr="00335E4B">
        <w:rPr>
          <w:rFonts w:cs="Traditional Arabic"/>
          <w:sz w:val="20"/>
          <w:szCs w:val="30"/>
          <w:lang w:bidi="ar-EG"/>
        </w:rPr>
        <w:t>PRB</w:t>
      </w:r>
      <w:r w:rsidRPr="00335E4B">
        <w:rPr>
          <w:rFonts w:cs="Traditional Arabic"/>
          <w:sz w:val="20"/>
          <w:szCs w:val="30"/>
          <w:rtl/>
          <w:lang w:bidi="ar-EG"/>
        </w:rPr>
        <w:t>) المنخفض الكبريت</w:t>
      </w:r>
      <w:r w:rsidRPr="00335E4B">
        <w:rPr>
          <w:rFonts w:cs="Traditional Arabic" w:hint="cs"/>
          <w:sz w:val="20"/>
          <w:szCs w:val="30"/>
          <w:rtl/>
          <w:lang w:bidi="ar-EG"/>
        </w:rPr>
        <w:t>،</w:t>
      </w:r>
      <w:r w:rsidRPr="00335E4B">
        <w:rPr>
          <w:rFonts w:cs="Traditional Arabic"/>
          <w:sz w:val="20"/>
          <w:szCs w:val="30"/>
          <w:rtl/>
          <w:lang w:bidi="ar-EG"/>
        </w:rPr>
        <w:t xml:space="preserve"> وجهِّزت منشأة الطاقة بمرسِّب كهروستاتيكي في الجانب البارد. وفحم </w:t>
      </w:r>
      <w:r w:rsidRPr="00335E4B">
        <w:rPr>
          <w:rFonts w:cs="Traditional Arabic"/>
          <w:sz w:val="20"/>
          <w:szCs w:val="30"/>
          <w:lang w:bidi="ar-EG"/>
        </w:rPr>
        <w:t>PRB</w:t>
      </w:r>
      <w:r w:rsidRPr="00335E4B">
        <w:rPr>
          <w:rFonts w:cs="Traditional Arabic"/>
          <w:sz w:val="20"/>
          <w:szCs w:val="30"/>
          <w:rtl/>
          <w:lang w:bidi="ar-EG"/>
        </w:rPr>
        <w:t xml:space="preserve"> هو فحم دون قيري منخفض </w:t>
      </w:r>
      <w:r w:rsidRPr="00335E4B">
        <w:rPr>
          <w:rFonts w:cs="Traditional Arabic" w:hint="cs"/>
          <w:sz w:val="20"/>
          <w:szCs w:val="30"/>
          <w:rtl/>
          <w:lang w:bidi="ar-EG"/>
        </w:rPr>
        <w:t>الرتبة يتسم بمحتوى</w:t>
      </w:r>
      <w:r w:rsidRPr="00335E4B">
        <w:rPr>
          <w:rFonts w:cs="Traditional Arabic"/>
          <w:sz w:val="20"/>
          <w:szCs w:val="30"/>
          <w:rtl/>
          <w:lang w:bidi="ar-EG"/>
        </w:rPr>
        <w:t xml:space="preserve"> منخفض </w:t>
      </w:r>
      <w:r w:rsidRPr="00335E4B">
        <w:rPr>
          <w:rFonts w:cs="Traditional Arabic" w:hint="cs"/>
          <w:sz w:val="20"/>
          <w:szCs w:val="30"/>
          <w:rtl/>
          <w:lang w:bidi="ar-EG"/>
        </w:rPr>
        <w:t>من</w:t>
      </w:r>
      <w:r w:rsidRPr="00335E4B">
        <w:rPr>
          <w:rFonts w:cs="Traditional Arabic"/>
          <w:sz w:val="20"/>
          <w:szCs w:val="30"/>
          <w:rtl/>
          <w:lang w:bidi="ar-EG"/>
        </w:rPr>
        <w:t xml:space="preserve"> </w:t>
      </w:r>
      <w:r w:rsidRPr="00335E4B">
        <w:rPr>
          <w:rFonts w:cs="Traditional Arabic" w:hint="cs"/>
          <w:sz w:val="20"/>
          <w:szCs w:val="30"/>
          <w:rtl/>
          <w:lang w:bidi="ar-EG"/>
        </w:rPr>
        <w:t>ال</w:t>
      </w:r>
      <w:r w:rsidRPr="00335E4B">
        <w:rPr>
          <w:rFonts w:cs="Traditional Arabic"/>
          <w:sz w:val="20"/>
          <w:szCs w:val="30"/>
          <w:rtl/>
          <w:lang w:bidi="ar-EG"/>
        </w:rPr>
        <w:t xml:space="preserve">كلور </w:t>
      </w:r>
      <w:r w:rsidRPr="00335E4B">
        <w:rPr>
          <w:rFonts w:cs="Traditional Arabic" w:hint="cs"/>
          <w:sz w:val="20"/>
          <w:szCs w:val="30"/>
          <w:rtl/>
          <w:lang w:bidi="ar-EG"/>
        </w:rPr>
        <w:t xml:space="preserve">ومحتوى </w:t>
      </w:r>
      <w:r w:rsidRPr="00335E4B">
        <w:rPr>
          <w:rFonts w:cs="Traditional Arabic"/>
          <w:sz w:val="20"/>
          <w:szCs w:val="30"/>
          <w:rtl/>
          <w:lang w:bidi="ar-EG"/>
        </w:rPr>
        <w:t>مرتفع</w:t>
      </w:r>
      <w:r w:rsidRPr="00335E4B" w:rsidDel="00245BFB">
        <w:rPr>
          <w:rFonts w:cs="Traditional Arabic"/>
          <w:sz w:val="20"/>
          <w:szCs w:val="30"/>
          <w:rtl/>
          <w:lang w:bidi="ar-EG"/>
        </w:rPr>
        <w:t xml:space="preserve"> </w:t>
      </w:r>
      <w:r w:rsidRPr="00335E4B">
        <w:rPr>
          <w:rFonts w:cs="Traditional Arabic" w:hint="cs"/>
          <w:sz w:val="20"/>
          <w:szCs w:val="30"/>
          <w:rtl/>
          <w:lang w:bidi="ar-EG"/>
        </w:rPr>
        <w:t>من ال</w:t>
      </w:r>
      <w:r w:rsidRPr="00335E4B">
        <w:rPr>
          <w:rFonts w:cs="Traditional Arabic"/>
          <w:sz w:val="20"/>
          <w:szCs w:val="30"/>
          <w:rtl/>
          <w:lang w:bidi="ar-EG"/>
        </w:rPr>
        <w:t>كالسيوم ، وهو ما يجعل من العسير أكسدة الزئبق النقي بالكلور في غاز المدخنة. ول</w:t>
      </w:r>
      <w:r w:rsidRPr="00335E4B">
        <w:rPr>
          <w:rFonts w:cs="Traditional Arabic" w:hint="cs"/>
          <w:sz w:val="20"/>
          <w:szCs w:val="30"/>
          <w:rtl/>
          <w:lang w:bidi="ar-EG"/>
        </w:rPr>
        <w:t>م</w:t>
      </w:r>
      <w:r w:rsidRPr="00335E4B">
        <w:rPr>
          <w:rFonts w:cs="Traditional Arabic"/>
          <w:sz w:val="20"/>
          <w:szCs w:val="30"/>
          <w:rtl/>
          <w:lang w:bidi="ar-EG"/>
        </w:rPr>
        <w:t xml:space="preserve"> يكن حقن الكربون المنشَّط فعالاً لضبط الزئبق في هذه المنشأة حيث استمرت انبعاثات الزئبق تتألف في الأغلب من الزئبق النقي، نظراً لأن الكربون المنشط غير المعالج لا يتسم بالفعالية في التقاط الزئبق النقي غير المتفاعل. </w:t>
      </w:r>
      <w:r w:rsidRPr="00335E4B">
        <w:rPr>
          <w:rFonts w:cs="Traditional Arabic" w:hint="cs"/>
          <w:sz w:val="20"/>
          <w:szCs w:val="30"/>
          <w:rtl/>
          <w:lang w:bidi="ar-EG"/>
        </w:rPr>
        <w:t>وفي صورة معاكسة ل</w:t>
      </w:r>
      <w:r w:rsidRPr="00335E4B">
        <w:rPr>
          <w:rFonts w:cs="Traditional Arabic"/>
          <w:sz w:val="20"/>
          <w:szCs w:val="30"/>
          <w:rtl/>
          <w:lang w:bidi="ar-EG"/>
        </w:rPr>
        <w:t xml:space="preserve">ذلك </w:t>
      </w:r>
      <w:r w:rsidRPr="00335E4B">
        <w:rPr>
          <w:rFonts w:cs="Traditional Arabic" w:hint="cs"/>
          <w:sz w:val="20"/>
          <w:szCs w:val="30"/>
          <w:rtl/>
          <w:lang w:bidi="ar-EG"/>
        </w:rPr>
        <w:t>بوضوح</w:t>
      </w:r>
      <w:r w:rsidRPr="00335E4B">
        <w:rPr>
          <w:rFonts w:cs="Traditional Arabic"/>
          <w:sz w:val="20"/>
          <w:szCs w:val="30"/>
          <w:rtl/>
          <w:lang w:bidi="ar-EG"/>
        </w:rPr>
        <w:t xml:space="preserve"> نجد منشأة الطاقة في غاستون التي أثبتت </w:t>
      </w:r>
      <w:r w:rsidRPr="00335E4B">
        <w:rPr>
          <w:rFonts w:cs="Traditional Arabic" w:hint="cs"/>
          <w:sz w:val="20"/>
          <w:szCs w:val="30"/>
          <w:rtl/>
          <w:lang w:bidi="ar-EG"/>
        </w:rPr>
        <w:t xml:space="preserve">أن </w:t>
      </w:r>
      <w:r w:rsidRPr="00335E4B">
        <w:rPr>
          <w:rFonts w:cs="Traditional Arabic"/>
          <w:sz w:val="20"/>
          <w:szCs w:val="30"/>
          <w:rtl/>
          <w:lang w:bidi="ar-EG"/>
        </w:rPr>
        <w:t xml:space="preserve">حقن الكربون المنشط كان فعالاً للغاية في ضبط انبعاثات الزئبق من هذه المنشأة التي تعمل بحرق الفحم القيري المنخفض الكبريت وكانت مجهزة بمرسب كهروستاتيكي في الجانب الساخن ووضع بعده مرشح نسيجي </w:t>
      </w:r>
      <w:r w:rsidRPr="00335E4B">
        <w:rPr>
          <w:rFonts w:cs="Traditional Arabic" w:hint="cs"/>
          <w:sz w:val="20"/>
          <w:szCs w:val="30"/>
          <w:rtl/>
          <w:lang w:bidi="ar-EG"/>
        </w:rPr>
        <w:t>م</w:t>
      </w:r>
      <w:r w:rsidRPr="00335E4B">
        <w:rPr>
          <w:rFonts w:cs="Traditional Arabic"/>
          <w:sz w:val="20"/>
          <w:szCs w:val="30"/>
          <w:rtl/>
          <w:lang w:bidi="ar-EG"/>
        </w:rPr>
        <w:t xml:space="preserve">صمم خصيصاً يسمى الجهاز الصغير </w:t>
      </w:r>
      <w:r w:rsidRPr="00335E4B">
        <w:rPr>
          <w:rFonts w:cs="Traditional Arabic" w:hint="cs"/>
          <w:sz w:val="20"/>
          <w:szCs w:val="30"/>
          <w:rtl/>
          <w:lang w:bidi="ar-EG"/>
        </w:rPr>
        <w:t>المختلط</w:t>
      </w:r>
      <w:r w:rsidRPr="00335E4B">
        <w:rPr>
          <w:rFonts w:cs="Traditional Arabic"/>
          <w:sz w:val="20"/>
          <w:szCs w:val="30"/>
          <w:rtl/>
          <w:lang w:bidi="ar-EG"/>
        </w:rPr>
        <w:t xml:space="preserve"> لجمع الجسيمات </w:t>
      </w:r>
      <w:r w:rsidRPr="001254C4">
        <w:rPr>
          <w:rFonts w:asciiTheme="majorBidi" w:hAnsiTheme="majorBidi" w:cstheme="majorBidi"/>
          <w:sz w:val="20"/>
          <w:szCs w:val="20"/>
          <w:rtl/>
          <w:lang w:bidi="ar-EG"/>
        </w:rPr>
        <w:t>(</w:t>
      </w:r>
      <w:r w:rsidRPr="001254C4">
        <w:rPr>
          <w:rFonts w:asciiTheme="majorBidi" w:eastAsia="SimSun" w:hAnsiTheme="majorBidi" w:cstheme="majorBidi"/>
          <w:sz w:val="20"/>
          <w:szCs w:val="20"/>
        </w:rPr>
        <w:t>COHPAC</w:t>
      </w:r>
      <w:r w:rsidRPr="001254C4">
        <w:rPr>
          <w:rFonts w:asciiTheme="majorBidi" w:hAnsiTheme="majorBidi" w:cstheme="majorBidi"/>
          <w:sz w:val="20"/>
          <w:szCs w:val="20"/>
          <w:rtl/>
          <w:lang w:bidi="ar-EG"/>
        </w:rPr>
        <w:t>)</w:t>
      </w:r>
      <w:r w:rsidRPr="00335E4B">
        <w:rPr>
          <w:rFonts w:cs="Traditional Arabic"/>
          <w:sz w:val="20"/>
          <w:szCs w:val="30"/>
          <w:rtl/>
          <w:lang w:bidi="ar-EG"/>
        </w:rPr>
        <w:t>. و</w:t>
      </w:r>
      <w:r w:rsidRPr="00335E4B">
        <w:rPr>
          <w:rFonts w:cs="Traditional Arabic" w:hint="cs"/>
          <w:sz w:val="20"/>
          <w:szCs w:val="30"/>
          <w:rtl/>
          <w:lang w:bidi="ar-EG"/>
        </w:rPr>
        <w:t xml:space="preserve">يجري </w:t>
      </w:r>
      <w:r w:rsidRPr="00335E4B">
        <w:rPr>
          <w:rFonts w:cs="Traditional Arabic"/>
          <w:sz w:val="20"/>
          <w:szCs w:val="30"/>
          <w:rtl/>
          <w:lang w:bidi="ar-EG"/>
        </w:rPr>
        <w:t xml:space="preserve">حقن الكربون المنشط غير المعالج في مخرج المرسب الكهروستاتيكي في الجانب الساخن لأن درجة الحرارة في المدخل مرتفعة للغاية. واستخدم جهاز </w:t>
      </w:r>
      <w:r w:rsidRPr="00335E4B">
        <w:rPr>
          <w:rFonts w:eastAsia="SimSun" w:cs="Traditional Arabic"/>
          <w:sz w:val="20"/>
          <w:szCs w:val="22"/>
        </w:rPr>
        <w:t>COHPAC</w:t>
      </w:r>
      <w:r w:rsidRPr="00335E4B">
        <w:rPr>
          <w:rFonts w:cs="Traditional Arabic"/>
          <w:sz w:val="20"/>
          <w:szCs w:val="30"/>
          <w:rtl/>
          <w:lang w:bidi="ar-EG"/>
        </w:rPr>
        <w:t xml:space="preserve"> لإزالة الكربون المحقون. </w:t>
      </w:r>
      <w:r w:rsidRPr="00335E4B">
        <w:rPr>
          <w:rFonts w:cs="Traditional Arabic" w:hint="cs"/>
          <w:sz w:val="20"/>
          <w:szCs w:val="30"/>
          <w:rtl/>
          <w:lang w:bidi="ar-EG"/>
        </w:rPr>
        <w:t xml:space="preserve">وأظهرت منشأة الطاقة في غاستون </w:t>
      </w:r>
      <w:r w:rsidRPr="00335E4B">
        <w:rPr>
          <w:rFonts w:cs="Traditional Arabic"/>
          <w:sz w:val="20"/>
          <w:szCs w:val="30"/>
          <w:rtl/>
          <w:lang w:bidi="ar-EG"/>
        </w:rPr>
        <w:t xml:space="preserve">تطبيق جهاز </w:t>
      </w:r>
      <w:r w:rsidRPr="00335E4B">
        <w:rPr>
          <w:rFonts w:eastAsia="SimSun" w:cs="Traditional Arabic"/>
          <w:sz w:val="20"/>
          <w:szCs w:val="22"/>
        </w:rPr>
        <w:t>COHPAC</w:t>
      </w:r>
      <w:r w:rsidRPr="00335E4B">
        <w:rPr>
          <w:rFonts w:cs="Traditional Arabic"/>
          <w:sz w:val="20"/>
          <w:szCs w:val="30"/>
          <w:rtl/>
          <w:lang w:bidi="ar-EG"/>
        </w:rPr>
        <w:t xml:space="preserve"> كوسيلة فعالة لضبط الزئبق في </w:t>
      </w:r>
      <w:r w:rsidRPr="00335E4B">
        <w:rPr>
          <w:rFonts w:cs="Traditional Arabic" w:hint="cs"/>
          <w:sz w:val="20"/>
          <w:szCs w:val="30"/>
          <w:rtl/>
          <w:lang w:bidi="ar-EG"/>
        </w:rPr>
        <w:t>ال</w:t>
      </w:r>
      <w:r w:rsidRPr="00335E4B">
        <w:rPr>
          <w:rFonts w:cs="Traditional Arabic"/>
          <w:sz w:val="20"/>
          <w:szCs w:val="30"/>
          <w:rtl/>
          <w:lang w:bidi="ar-EG"/>
        </w:rPr>
        <w:t xml:space="preserve">منشأة. </w:t>
      </w:r>
    </w:p>
    <w:p w:rsidR="00335E4B" w:rsidRPr="00335E4B" w:rsidRDefault="00335E4B" w:rsidP="001254C4">
      <w:pPr>
        <w:spacing w:after="100" w:line="360" w:lineRule="exact"/>
        <w:jc w:val="both"/>
        <w:rPr>
          <w:rFonts w:cs="Traditional Arabic"/>
          <w:sz w:val="20"/>
          <w:szCs w:val="30"/>
          <w:rtl/>
          <w:lang w:bidi="ar-EG"/>
        </w:rPr>
      </w:pPr>
      <w:r w:rsidRPr="00335E4B">
        <w:rPr>
          <w:rFonts w:cs="Traditional Arabic"/>
          <w:sz w:val="20"/>
          <w:szCs w:val="30"/>
          <w:rtl/>
          <w:lang w:bidi="ar-EG"/>
        </w:rPr>
        <w:t xml:space="preserve">وفي بعض الحالات كان انخفاض إزالة الزئبق بالكربون المنشط غير المعالج نتيجة </w:t>
      </w:r>
      <w:r w:rsidRPr="00335E4B">
        <w:rPr>
          <w:rFonts w:cs="Traditional Arabic" w:hint="cs"/>
          <w:sz w:val="20"/>
          <w:szCs w:val="30"/>
          <w:rtl/>
          <w:lang w:bidi="ar-EG"/>
        </w:rPr>
        <w:t xml:space="preserve">الجمع بين </w:t>
      </w:r>
      <w:r w:rsidRPr="00335E4B">
        <w:rPr>
          <w:rFonts w:cs="Traditional Arabic"/>
          <w:sz w:val="20"/>
          <w:szCs w:val="30"/>
          <w:rtl/>
          <w:lang w:bidi="ar-EG"/>
        </w:rPr>
        <w:t>المستويات الأقل من الكلور في الفحم دون القيري في الولايات المتحدة وتحييد أنواع الهالوجين بارتفاع مستو</w:t>
      </w:r>
      <w:r w:rsidRPr="00335E4B">
        <w:rPr>
          <w:rFonts w:cs="Traditional Arabic" w:hint="cs"/>
          <w:sz w:val="20"/>
          <w:szCs w:val="30"/>
          <w:rtl/>
          <w:lang w:bidi="ar-EG"/>
        </w:rPr>
        <w:t>يات</w:t>
      </w:r>
      <w:r w:rsidRPr="00335E4B">
        <w:rPr>
          <w:rFonts w:cs="Traditional Arabic"/>
          <w:sz w:val="20"/>
          <w:szCs w:val="30"/>
          <w:rtl/>
          <w:lang w:bidi="ar-EG"/>
        </w:rPr>
        <w:t xml:space="preserve"> الصوديوم والكالسيوم في الرماد المتطاير من الفحم دون القيري. ونتيجة لذلك لا يوجد الكثير من الكلور </w:t>
      </w:r>
      <w:r w:rsidRPr="00335E4B">
        <w:rPr>
          <w:rFonts w:cs="Traditional Arabic" w:hint="cs"/>
          <w:sz w:val="20"/>
          <w:szCs w:val="30"/>
          <w:rtl/>
          <w:lang w:bidi="ar-EG"/>
        </w:rPr>
        <w:t xml:space="preserve">الحُر </w:t>
      </w:r>
      <w:r w:rsidRPr="00335E4B">
        <w:rPr>
          <w:rFonts w:cs="Traditional Arabic"/>
          <w:sz w:val="20"/>
          <w:szCs w:val="30"/>
          <w:rtl/>
          <w:lang w:bidi="ar-EG"/>
        </w:rPr>
        <w:t xml:space="preserve">في </w:t>
      </w:r>
      <w:r w:rsidRPr="00335E4B">
        <w:rPr>
          <w:rFonts w:cs="Traditional Arabic" w:hint="cs"/>
          <w:sz w:val="20"/>
          <w:szCs w:val="30"/>
          <w:rtl/>
          <w:lang w:bidi="ar-EG"/>
        </w:rPr>
        <w:t xml:space="preserve">تيار </w:t>
      </w:r>
      <w:r w:rsidRPr="00335E4B">
        <w:rPr>
          <w:rFonts w:cs="Traditional Arabic"/>
          <w:sz w:val="20"/>
          <w:szCs w:val="30"/>
          <w:rtl/>
          <w:lang w:bidi="ar-EG"/>
        </w:rPr>
        <w:t xml:space="preserve">غاز المدخنة </w:t>
      </w:r>
      <w:r w:rsidRPr="00335E4B">
        <w:rPr>
          <w:rFonts w:cs="Traditional Arabic" w:hint="cs"/>
          <w:sz w:val="20"/>
          <w:szCs w:val="30"/>
          <w:rtl/>
          <w:lang w:bidi="ar-EG"/>
        </w:rPr>
        <w:t xml:space="preserve">من أجل </w:t>
      </w:r>
      <w:r w:rsidRPr="00335E4B">
        <w:rPr>
          <w:rFonts w:cs="Traditional Arabic"/>
          <w:sz w:val="20"/>
          <w:szCs w:val="30"/>
          <w:rtl/>
          <w:lang w:bidi="ar-EG"/>
        </w:rPr>
        <w:t xml:space="preserve">أكسدة الزئبق. ومن الضروري </w:t>
      </w:r>
      <w:r w:rsidRPr="00335E4B">
        <w:rPr>
          <w:rFonts w:cs="Traditional Arabic" w:hint="cs"/>
          <w:sz w:val="20"/>
          <w:szCs w:val="30"/>
          <w:rtl/>
          <w:lang w:bidi="ar-EG"/>
        </w:rPr>
        <w:t xml:space="preserve">أن تتم </w:t>
      </w:r>
      <w:r w:rsidRPr="00335E4B">
        <w:rPr>
          <w:rFonts w:cs="Traditional Arabic"/>
          <w:sz w:val="20"/>
          <w:szCs w:val="30"/>
          <w:rtl/>
          <w:lang w:bidi="ar-EG"/>
        </w:rPr>
        <w:t xml:space="preserve">أكسدة الزئبق (بكلورة السطح </w:t>
      </w:r>
      <w:r w:rsidRPr="00335E4B">
        <w:rPr>
          <w:rFonts w:cs="Traditional Arabic" w:hint="cs"/>
          <w:sz w:val="20"/>
          <w:szCs w:val="30"/>
          <w:rtl/>
          <w:lang w:bidi="ar-EG"/>
        </w:rPr>
        <w:t>ك</w:t>
      </w:r>
      <w:r w:rsidRPr="00335E4B">
        <w:rPr>
          <w:rFonts w:cs="Traditional Arabic"/>
          <w:sz w:val="20"/>
          <w:szCs w:val="30"/>
          <w:rtl/>
          <w:lang w:bidi="ar-EG"/>
        </w:rPr>
        <w:t>خطوة أوَّلية) من أجل التقاط الزئبق النقي بواسطة الكربون المنشَّط غير المعالج، وعموماً تتزايد كفاءة التقاط الزئبق بالكربون ال</w:t>
      </w:r>
      <w:r w:rsidRPr="00335E4B">
        <w:rPr>
          <w:rFonts w:cs="Traditional Arabic" w:hint="cs"/>
          <w:sz w:val="20"/>
          <w:szCs w:val="30"/>
          <w:rtl/>
          <w:lang w:bidi="ar-EG"/>
        </w:rPr>
        <w:t>من</w:t>
      </w:r>
      <w:r w:rsidRPr="00335E4B">
        <w:rPr>
          <w:rFonts w:cs="Traditional Arabic"/>
          <w:sz w:val="20"/>
          <w:szCs w:val="30"/>
          <w:rtl/>
          <w:lang w:bidi="ar-EG"/>
        </w:rPr>
        <w:t xml:space="preserve">شط غير المعالج </w:t>
      </w:r>
      <w:r w:rsidRPr="00335E4B">
        <w:rPr>
          <w:rFonts w:cs="Traditional Arabic" w:hint="cs"/>
          <w:sz w:val="20"/>
          <w:szCs w:val="30"/>
          <w:rtl/>
          <w:lang w:bidi="ar-EG"/>
        </w:rPr>
        <w:t>حسب</w:t>
      </w:r>
      <w:r w:rsidRPr="00335E4B">
        <w:rPr>
          <w:rFonts w:cs="Traditional Arabic"/>
          <w:sz w:val="20"/>
          <w:szCs w:val="30"/>
          <w:rtl/>
          <w:lang w:bidi="ar-EG"/>
        </w:rPr>
        <w:t xml:space="preserve"> كمية الزئبق المؤكسد في غاز المدخنة (وزارة الطاقة، الولايات المتحدة، 2005).</w:t>
      </w:r>
    </w:p>
    <w:p w:rsidR="00335E4B" w:rsidRPr="00335E4B" w:rsidRDefault="00335E4B" w:rsidP="00335E4B">
      <w:pPr>
        <w:spacing w:after="120" w:line="360" w:lineRule="exact"/>
        <w:jc w:val="both"/>
        <w:rPr>
          <w:rFonts w:cs="Traditional Arabic"/>
          <w:sz w:val="20"/>
          <w:szCs w:val="30"/>
          <w:rtl/>
          <w:lang w:bidi="ar-EG"/>
        </w:rPr>
      </w:pPr>
      <w:r>
        <w:rPr>
          <w:rFonts w:cs="Traditional Arabic"/>
          <w:noProof/>
          <w:sz w:val="20"/>
          <w:szCs w:val="30"/>
          <w:lang w:val="en-GB" w:eastAsia="zh-CN"/>
        </w:rPr>
        <w:drawing>
          <wp:anchor distT="0" distB="0" distL="114300" distR="114300" simplePos="0" relativeHeight="251676672" behindDoc="1" locked="0" layoutInCell="1" allowOverlap="1" wp14:anchorId="1E0A9EFB" wp14:editId="1881CFB0">
            <wp:simplePos x="0" y="0"/>
            <wp:positionH relativeFrom="column">
              <wp:posOffset>1328420</wp:posOffset>
            </wp:positionH>
            <wp:positionV relativeFrom="paragraph">
              <wp:posOffset>475615</wp:posOffset>
            </wp:positionV>
            <wp:extent cx="4440555" cy="2903220"/>
            <wp:effectExtent l="0" t="0" r="0" b="0"/>
            <wp:wrapTight wrapText="bothSides">
              <wp:wrapPolygon edited="0">
                <wp:start x="1112" y="0"/>
                <wp:lineTo x="0" y="992"/>
                <wp:lineTo x="0" y="17433"/>
                <wp:lineTo x="463" y="18283"/>
                <wp:lineTo x="1112" y="18283"/>
                <wp:lineTo x="1112" y="20976"/>
                <wp:lineTo x="6023" y="21402"/>
                <wp:lineTo x="16587" y="21402"/>
                <wp:lineTo x="21220" y="20976"/>
                <wp:lineTo x="21498" y="19276"/>
                <wp:lineTo x="21498" y="17717"/>
                <wp:lineTo x="21127" y="16016"/>
                <wp:lineTo x="21127" y="0"/>
                <wp:lineTo x="1112" y="0"/>
              </wp:wrapPolygon>
            </wp:wrapTight>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0555"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E4B">
        <w:rPr>
          <w:rFonts w:cs="Traditional Arabic"/>
          <w:sz w:val="20"/>
          <w:szCs w:val="30"/>
          <w:rtl/>
          <w:lang w:bidi="ar-EG"/>
        </w:rPr>
        <w:t xml:space="preserve">وهكذا فإن التقاط الزئبق بالكربون المنشَّط غير المعالج قد يكون محدوداً في المنشآت التي تعمل بحرق أنواع منخفضة </w:t>
      </w:r>
      <w:r w:rsidRPr="00335E4B">
        <w:rPr>
          <w:rFonts w:cs="Traditional Arabic" w:hint="cs"/>
          <w:sz w:val="20"/>
          <w:szCs w:val="30"/>
          <w:rtl/>
          <w:lang w:bidi="ar-EG"/>
        </w:rPr>
        <w:t>الرتبة</w:t>
      </w:r>
      <w:r w:rsidRPr="00335E4B">
        <w:rPr>
          <w:rFonts w:cs="Traditional Arabic"/>
          <w:sz w:val="20"/>
          <w:szCs w:val="30"/>
          <w:rtl/>
          <w:lang w:bidi="ar-EG"/>
        </w:rPr>
        <w:t xml:space="preserve"> من الفحم، مثل اللغنيت والفحم دون القيري.</w:t>
      </w: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20"/>
          <w:szCs w:val="30"/>
          <w:rtl/>
          <w:lang w:bidi="ar-EG"/>
        </w:rPr>
      </w:pPr>
      <w:r>
        <w:rPr>
          <w:rFonts w:cs="Traditional Arabic" w:hint="cs"/>
          <w:b/>
          <w:bCs/>
          <w:noProof/>
          <w:sz w:val="28"/>
          <w:rtl/>
          <w:lang w:val="en-GB" w:eastAsia="zh-CN"/>
        </w:rPr>
        <mc:AlternateContent>
          <mc:Choice Requires="wps">
            <w:drawing>
              <wp:anchor distT="0" distB="0" distL="114300" distR="114300" simplePos="0" relativeHeight="251713536" behindDoc="0" locked="0" layoutInCell="1" allowOverlap="1" wp14:anchorId="470957DF" wp14:editId="4C7CE40C">
                <wp:simplePos x="0" y="0"/>
                <wp:positionH relativeFrom="column">
                  <wp:posOffset>-3198832</wp:posOffset>
                </wp:positionH>
                <wp:positionV relativeFrom="paragraph">
                  <wp:posOffset>70691</wp:posOffset>
                </wp:positionV>
                <wp:extent cx="504000" cy="107950"/>
                <wp:effectExtent l="0" t="0" r="10795" b="25400"/>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 cy="107950"/>
                        </a:xfrm>
                        <a:prstGeom prst="rect">
                          <a:avLst/>
                        </a:prstGeom>
                        <a:solidFill>
                          <a:srgbClr val="FFFFFF"/>
                        </a:solidFill>
                        <a:ln w="9525">
                          <a:solidFill>
                            <a:srgbClr val="FFFFFF"/>
                          </a:solidFill>
                          <a:miter lim="800000"/>
                          <a:headEnd/>
                          <a:tailEnd/>
                        </a:ln>
                      </wps:spPr>
                      <wps:txbx>
                        <w:txbxContent>
                          <w:p w:rsidR="00670B40" w:rsidRPr="009E74F8" w:rsidRDefault="00670B40" w:rsidP="00D962EC">
                            <w:pPr>
                              <w:jc w:val="center"/>
                              <w:rPr>
                                <w:b/>
                                <w:bCs/>
                                <w:sz w:val="12"/>
                                <w:szCs w:val="12"/>
                              </w:rPr>
                            </w:pPr>
                            <w:r w:rsidRPr="009E74F8">
                              <w:rPr>
                                <w:rFonts w:hint="cs"/>
                                <w:b/>
                                <w:bCs/>
                                <w:sz w:val="12"/>
                                <w:szCs w:val="12"/>
                                <w:rtl/>
                              </w:rPr>
                              <w:t>اختبار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6" o:spid="_x0000_s1092" type="#_x0000_t202" style="position:absolute;left:0;text-align:left;margin-left:-251.9pt;margin-top:5.55pt;width:39.7pt;height: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" strokecolor="white">
                <v:textbox inset="0,0,0,0">
                  <w:txbxContent>
                    <w:p w:rsidR="0093783C" w:rsidRPr="009E74F8" w:rsidRDefault="0093783C" w:rsidP="00D962EC">
                      <w:pPr>
                        <w:jc w:val="center"/>
                        <w:rPr>
                          <w:b/>
                          <w:bCs/>
                          <w:sz w:val="12"/>
                          <w:szCs w:val="12"/>
                        </w:rPr>
                      </w:pPr>
                      <w:r w:rsidRPr="009E74F8">
                        <w:rPr>
                          <w:rFonts w:hint="cs"/>
                          <w:b/>
                          <w:bCs/>
                          <w:sz w:val="12"/>
                          <w:szCs w:val="12"/>
                          <w:rtl/>
                        </w:rPr>
                        <w:t>اختبار</w:t>
                      </w:r>
                    </w:p>
                  </w:txbxContent>
                </v:textbox>
              </v:shape>
            </w:pict>
          </mc:Fallback>
        </mc:AlternateContent>
      </w:r>
      <w:r>
        <w:rPr>
          <w:rFonts w:cs="Traditional Arabic"/>
          <w:noProof/>
          <w:sz w:val="20"/>
          <w:szCs w:val="30"/>
          <w:lang w:val="en-GB" w:eastAsia="zh-CN"/>
        </w:rPr>
        <mc:AlternateContent>
          <mc:Choice Requires="wpg">
            <w:drawing>
              <wp:anchor distT="0" distB="0" distL="114300" distR="114300" simplePos="0" relativeHeight="251666432" behindDoc="0" locked="0" layoutInCell="1" allowOverlap="1" wp14:anchorId="6E45789F" wp14:editId="7A316AE9">
                <wp:simplePos x="0" y="0"/>
                <wp:positionH relativeFrom="column">
                  <wp:posOffset>1557655</wp:posOffset>
                </wp:positionH>
                <wp:positionV relativeFrom="paragraph">
                  <wp:posOffset>338455</wp:posOffset>
                </wp:positionV>
                <wp:extent cx="3590290" cy="2568575"/>
                <wp:effectExtent l="0" t="0" r="3175" b="0"/>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0290" cy="2568575"/>
                          <a:chOff x="3403" y="5800"/>
                          <a:chExt cx="5654" cy="4045"/>
                        </a:xfrm>
                      </wpg:grpSpPr>
                      <wps:wsp>
                        <wps:cNvPr id="534" name="Text Box 120"/>
                        <wps:cNvSpPr txBox="1">
                          <a:spLocks noChangeArrowheads="1"/>
                        </wps:cNvSpPr>
                        <wps:spPr bwMode="auto">
                          <a:xfrm>
                            <a:off x="3403" y="5800"/>
                            <a:ext cx="513" cy="30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836E0F" w:rsidRDefault="00670B40" w:rsidP="00335E4B">
                              <w:pPr>
                                <w:jc w:val="center"/>
                                <w:rPr>
                                  <w:b/>
                                  <w:bCs/>
                                  <w:color w:val="000000"/>
                                  <w:sz w:val="24"/>
                                  <w:szCs w:val="24"/>
                                  <w:lang w:bidi="ar-EG"/>
                                </w:rPr>
                              </w:pPr>
                              <w:r>
                                <w:rPr>
                                  <w:b/>
                                  <w:bCs/>
                                  <w:color w:val="000000"/>
                                  <w:sz w:val="24"/>
                                  <w:szCs w:val="24"/>
                                  <w:rtl/>
                                  <w:lang w:bidi="ar-EG"/>
                                </w:rPr>
                                <w:t>معدل إزالة الزئبق (</w:t>
                              </w:r>
                              <w:r w:rsidRPr="00836E0F">
                                <w:rPr>
                                  <w:rFonts w:cs="Akhbar MT"/>
                                  <w:b/>
                                  <w:bCs/>
                                  <w:color w:val="000000"/>
                                  <w:sz w:val="24"/>
                                  <w:szCs w:val="24"/>
                                  <w:rtl/>
                                  <w:lang w:bidi="ar-EG"/>
                                </w:rPr>
                                <w:t>%</w:t>
                              </w:r>
                              <w:r>
                                <w:rPr>
                                  <w:b/>
                                  <w:bCs/>
                                  <w:color w:val="000000"/>
                                  <w:sz w:val="24"/>
                                  <w:szCs w:val="24"/>
                                  <w:rtl/>
                                  <w:lang w:bidi="ar-EG"/>
                                </w:rPr>
                                <w:t>)</w:t>
                              </w:r>
                            </w:p>
                          </w:txbxContent>
                        </wps:txbx>
                        <wps:bodyPr rot="0" vert="vert270" wrap="square" lIns="0" tIns="0" rIns="0" bIns="0" anchor="t" anchorCtr="0" upright="1">
                          <a:noAutofit/>
                        </wps:bodyPr>
                      </wps:wsp>
                      <wps:wsp>
                        <wps:cNvPr id="535" name="Text Box 121"/>
                        <wps:cNvSpPr txBox="1">
                          <a:spLocks noChangeArrowheads="1"/>
                        </wps:cNvSpPr>
                        <wps:spPr bwMode="auto">
                          <a:xfrm>
                            <a:off x="5295" y="9379"/>
                            <a:ext cx="3762"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836E0F" w:rsidRDefault="00670B40" w:rsidP="00335E4B">
                              <w:pPr>
                                <w:jc w:val="center"/>
                                <w:rPr>
                                  <w:b/>
                                  <w:bCs/>
                                  <w:color w:val="000000"/>
                                  <w:sz w:val="24"/>
                                  <w:szCs w:val="24"/>
                                  <w:lang w:bidi="ar-EG"/>
                                </w:rPr>
                              </w:pPr>
                              <w:r>
                                <w:rPr>
                                  <w:b/>
                                  <w:bCs/>
                                  <w:color w:val="000000"/>
                                  <w:sz w:val="24"/>
                                  <w:szCs w:val="24"/>
                                  <w:rtl/>
                                  <w:lang w:bidi="ar-EG"/>
                                </w:rPr>
                                <w:t>معدل حقن المادة الماصة (كغ/مليون م</w:t>
                              </w:r>
                              <w:r w:rsidRPr="00836E0F">
                                <w:rPr>
                                  <w:b/>
                                  <w:bCs/>
                                  <w:color w:val="000000"/>
                                  <w:sz w:val="24"/>
                                  <w:szCs w:val="24"/>
                                  <w:vertAlign w:val="superscript"/>
                                  <w:rtl/>
                                  <w:lang w:bidi="ar-EG"/>
                                </w:rPr>
                                <w:t>3</w:t>
                              </w:r>
                              <w:r>
                                <w:rPr>
                                  <w:b/>
                                  <w:bCs/>
                                  <w:color w:val="000000"/>
                                  <w:sz w:val="24"/>
                                  <w:szCs w:val="24"/>
                                  <w:rtl/>
                                  <w:lang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3" o:spid="_x0000_s1093" style="position:absolute;left:0;text-align:left;margin-left:122.65pt;margin-top:26.65pt;width:282.7pt;height:202.25pt;z-index:251666432" coordorigin="3403,5800" coordsize="5654,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">
                <v:shape id="Text Box 120" o:spid="_x0000_s1094" type="#_x0000_t202" style="position:absolute;left:3403;top:5800;width:513;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wLMMA&#10;AADcAAAADwAAAGRycy9kb3ducmV2LnhtbESPT4vCMBTE78J+h/AEL7Km/mXpNpUiKF5tPezx0Tzb&#10;YvNSmmztfvuNIHgcZuY3TLIfTSsG6l1jWcFyEYEgLq1uuFJwLY6fXyCcR9bYWiYFf+Rgn35MEoy1&#10;ffCFhtxXIkDYxaig9r6LpXRlTQbdwnbEwbvZ3qAPsq+k7vER4KaVqyjaSYMNh4UaOzrUVN7zX6Ng&#10;3Nr83Lki2+Hyls8H/3PKio1Ss+mYfYPwNPp3+NU+awXb9Qa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RwLMMAAADcAAAADwAAAAAAAAAAAAAAAACYAgAAZHJzL2Rv&#10;d25yZXYueG1sUEsFBgAAAAAEAAQA9QAAAIgDAAAAAA==&#10;" stroked="f">
                  <v:textbox style="layout-flow:vertical;mso-layout-flow-alt:bottom-to-top" inset="0,0,0,0">
                    <w:txbxContent>
                      <w:p w:rsidR="0093783C" w:rsidRPr="00836E0F" w:rsidRDefault="0093783C" w:rsidP="00335E4B">
                        <w:pPr>
                          <w:jc w:val="center"/>
                          <w:rPr>
                            <w:b/>
                            <w:bCs/>
                            <w:color w:val="000000"/>
                            <w:sz w:val="24"/>
                            <w:szCs w:val="24"/>
                            <w:lang w:bidi="ar-EG"/>
                          </w:rPr>
                        </w:pPr>
                        <w:r>
                          <w:rPr>
                            <w:b/>
                            <w:bCs/>
                            <w:color w:val="000000"/>
                            <w:sz w:val="24"/>
                            <w:szCs w:val="24"/>
                            <w:rtl/>
                            <w:lang w:bidi="ar-EG"/>
                          </w:rPr>
                          <w:t>معدل إزالة الزئبق (</w:t>
                        </w:r>
                        <w:r w:rsidRPr="00836E0F">
                          <w:rPr>
                            <w:rFonts w:cs="Akhbar MT"/>
                            <w:b/>
                            <w:bCs/>
                            <w:color w:val="000000"/>
                            <w:sz w:val="24"/>
                            <w:szCs w:val="24"/>
                            <w:rtl/>
                            <w:lang w:bidi="ar-EG"/>
                          </w:rPr>
                          <w:t>%</w:t>
                        </w:r>
                        <w:r>
                          <w:rPr>
                            <w:b/>
                            <w:bCs/>
                            <w:color w:val="000000"/>
                            <w:sz w:val="24"/>
                            <w:szCs w:val="24"/>
                            <w:rtl/>
                            <w:lang w:bidi="ar-EG"/>
                          </w:rPr>
                          <w:t>)</w:t>
                        </w:r>
                      </w:p>
                    </w:txbxContent>
                  </v:textbox>
                </v:shape>
                <v:shape id="Text Box 121" o:spid="_x0000_s1095" type="#_x0000_t202" style="position:absolute;left:5295;top:9379;width:376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zN8QA&#10;AADcAAAADwAAAGRycy9kb3ducmV2LnhtbESPzYvCMBTE7wv+D+EJe1nWdBVFukbxEzy4Bz/w/Gie&#10;bbF5KUm09b83grDHYWZ+w0xmranEnZwvLSv46SUgiDOrS84VnI6b7zEIH5A1VpZJwYM8zKadjwmm&#10;2ja8p/sh5CJC2KeooAihTqX0WUEGfc/WxNG7WGcwROlyqR02EW4q2U+SkTRYclwosKZlQdn1cDMK&#10;Rit3a/a8/Fqd1jv8q/P+efE4K/XZbee/IAK14T/8bm+1guFgC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czfEAAAA3AAAAA8AAAAAAAAAAAAAAAAAmAIAAGRycy9k&#10;b3ducmV2LnhtbFBLBQYAAAAABAAEAPUAAACJAwAAAAA=&#10;" stroked="f">
                  <v:textbox inset="0,0,0,0">
                    <w:txbxContent>
                      <w:p w:rsidR="0093783C" w:rsidRPr="00836E0F" w:rsidRDefault="0093783C" w:rsidP="00335E4B">
                        <w:pPr>
                          <w:jc w:val="center"/>
                          <w:rPr>
                            <w:b/>
                            <w:bCs/>
                            <w:color w:val="000000"/>
                            <w:sz w:val="24"/>
                            <w:szCs w:val="24"/>
                            <w:lang w:bidi="ar-EG"/>
                          </w:rPr>
                        </w:pPr>
                        <w:r>
                          <w:rPr>
                            <w:b/>
                            <w:bCs/>
                            <w:color w:val="000000"/>
                            <w:sz w:val="24"/>
                            <w:szCs w:val="24"/>
                            <w:rtl/>
                            <w:lang w:bidi="ar-EG"/>
                          </w:rPr>
                          <w:t>معدل حقن المادة الماصة (كغ/مليون م</w:t>
                        </w:r>
                        <w:r w:rsidRPr="00836E0F">
                          <w:rPr>
                            <w:b/>
                            <w:bCs/>
                            <w:color w:val="000000"/>
                            <w:sz w:val="24"/>
                            <w:szCs w:val="24"/>
                            <w:vertAlign w:val="superscript"/>
                            <w:rtl/>
                            <w:lang w:bidi="ar-EG"/>
                          </w:rPr>
                          <w:t>3</w:t>
                        </w:r>
                        <w:r>
                          <w:rPr>
                            <w:b/>
                            <w:bCs/>
                            <w:color w:val="000000"/>
                            <w:sz w:val="24"/>
                            <w:szCs w:val="24"/>
                            <w:rtl/>
                            <w:lang w:bidi="ar-EG"/>
                          </w:rPr>
                          <w:t>)</w:t>
                        </w:r>
                      </w:p>
                    </w:txbxContent>
                  </v:textbox>
                </v:shape>
              </v:group>
            </w:pict>
          </mc:Fallback>
        </mc:AlternateContent>
      </w: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r>
        <w:rPr>
          <w:rFonts w:cs="Traditional Arabic"/>
          <w:noProof/>
          <w:sz w:val="20"/>
          <w:szCs w:val="30"/>
          <w:lang w:val="en-GB" w:eastAsia="zh-CN"/>
        </w:rPr>
        <mc:AlternateContent>
          <mc:Choice Requires="wps">
            <w:drawing>
              <wp:anchor distT="0" distB="0" distL="114300" distR="114300" simplePos="0" relativeHeight="251714560" behindDoc="0" locked="0" layoutInCell="1" allowOverlap="1" wp14:anchorId="54DF7649" wp14:editId="1BC9C249">
                <wp:simplePos x="0" y="0"/>
                <wp:positionH relativeFrom="column">
                  <wp:posOffset>-3158435</wp:posOffset>
                </wp:positionH>
                <wp:positionV relativeFrom="paragraph">
                  <wp:posOffset>125095</wp:posOffset>
                </wp:positionV>
                <wp:extent cx="720000" cy="107950"/>
                <wp:effectExtent l="0" t="0" r="23495" b="25400"/>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07950"/>
                        </a:xfrm>
                        <a:prstGeom prst="rect">
                          <a:avLst/>
                        </a:prstGeom>
                        <a:solidFill>
                          <a:srgbClr val="FFFFFF"/>
                        </a:solidFill>
                        <a:ln w="9525">
                          <a:solidFill>
                            <a:srgbClr val="FFFFFF"/>
                          </a:solidFill>
                          <a:miter lim="800000"/>
                          <a:headEnd/>
                          <a:tailEnd/>
                        </a:ln>
                      </wps:spPr>
                      <wps:txbx>
                        <w:txbxContent>
                          <w:p w:rsidR="00670B40" w:rsidRPr="009E74F8" w:rsidRDefault="00670B40" w:rsidP="002B36BF">
                            <w:pPr>
                              <w:jc w:val="center"/>
                              <w:rPr>
                                <w:b/>
                                <w:bCs/>
                                <w:sz w:val="12"/>
                                <w:szCs w:val="12"/>
                              </w:rPr>
                            </w:pPr>
                            <w:r w:rsidRPr="009E74F8">
                              <w:rPr>
                                <w:rFonts w:hint="cs"/>
                                <w:b/>
                                <w:bCs/>
                                <w:sz w:val="12"/>
                                <w:szCs w:val="12"/>
                                <w:rtl/>
                              </w:rPr>
                              <w:t>اختبار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2" o:spid="_x0000_s1096" type="#_x0000_t202" style="position:absolute;left:0;text-align:left;margin-left:-248.7pt;margin-top:9.85pt;width:56.7pt;height: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" strokecolor="white">
                <v:textbox inset="0,0,0,0">
                  <w:txbxContent>
                    <w:p w:rsidR="0093783C" w:rsidRPr="009E74F8" w:rsidRDefault="0093783C" w:rsidP="002B36BF">
                      <w:pPr>
                        <w:jc w:val="center"/>
                        <w:rPr>
                          <w:b/>
                          <w:bCs/>
                          <w:sz w:val="12"/>
                          <w:szCs w:val="12"/>
                        </w:rPr>
                      </w:pPr>
                      <w:r w:rsidRPr="009E74F8">
                        <w:rPr>
                          <w:rFonts w:hint="cs"/>
                          <w:b/>
                          <w:bCs/>
                          <w:sz w:val="12"/>
                          <w:szCs w:val="12"/>
                          <w:rtl/>
                        </w:rPr>
                        <w:t>اختبار</w:t>
                      </w:r>
                    </w:p>
                  </w:txbxContent>
                </v:textbox>
              </v:shape>
            </w:pict>
          </mc:Fallback>
        </mc:AlternateContent>
      </w:r>
      <w:r>
        <w:rPr>
          <w:rFonts w:cs="Traditional Arabic"/>
          <w:b/>
          <w:bCs/>
          <w:noProof/>
          <w:sz w:val="20"/>
          <w:szCs w:val="30"/>
          <w:lang w:val="en-GB" w:eastAsia="zh-CN"/>
        </w:rPr>
        <mc:AlternateContent>
          <mc:Choice Requires="wpg">
            <w:drawing>
              <wp:anchor distT="0" distB="0" distL="114300" distR="114300" simplePos="0" relativeHeight="251677696" behindDoc="0" locked="0" layoutInCell="1" allowOverlap="1" wp14:anchorId="262F3659" wp14:editId="7C44C746">
                <wp:simplePos x="0" y="0"/>
                <wp:positionH relativeFrom="column">
                  <wp:posOffset>-4495165</wp:posOffset>
                </wp:positionH>
                <wp:positionV relativeFrom="paragraph">
                  <wp:posOffset>46355</wp:posOffset>
                </wp:positionV>
                <wp:extent cx="3590290" cy="2568575"/>
                <wp:effectExtent l="2540" t="0" r="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0290" cy="2568575"/>
                          <a:chOff x="3403" y="5800"/>
                          <a:chExt cx="5654" cy="4045"/>
                        </a:xfrm>
                      </wpg:grpSpPr>
                      <wps:wsp>
                        <wps:cNvPr id="530" name="Text Box 165"/>
                        <wps:cNvSpPr txBox="1">
                          <a:spLocks noChangeArrowheads="1"/>
                        </wps:cNvSpPr>
                        <wps:spPr bwMode="auto">
                          <a:xfrm>
                            <a:off x="3403" y="5800"/>
                            <a:ext cx="513" cy="30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2B36BF" w:rsidRDefault="00670B40" w:rsidP="002B36BF">
                              <w:pPr>
                                <w:jc w:val="center"/>
                                <w:rPr>
                                  <w:rFonts w:ascii="Traditional Arabic" w:hAnsi="Traditional Arabic" w:cs="Traditional Arabic"/>
                                  <w:color w:val="000000"/>
                                  <w:sz w:val="24"/>
                                  <w:szCs w:val="24"/>
                                  <w:lang w:bidi="ar-EG"/>
                                </w:rPr>
                              </w:pPr>
                              <w:r w:rsidRPr="002B36BF">
                                <w:rPr>
                                  <w:rFonts w:ascii="Traditional Arabic" w:hAnsi="Traditional Arabic" w:cs="Traditional Arabic"/>
                                  <w:color w:val="000000"/>
                                  <w:sz w:val="24"/>
                                  <w:szCs w:val="24"/>
                                  <w:rtl/>
                                  <w:lang w:bidi="ar-EG"/>
                                </w:rPr>
                                <w:t>معدل إزالة الزئبق (</w:t>
                              </w:r>
                              <w:r w:rsidRPr="002B36BF">
                                <w:rPr>
                                  <w:rFonts w:cs="Traditional Arabic"/>
                                  <w:sz w:val="24"/>
                                  <w:szCs w:val="24"/>
                                  <w:rtl/>
                                </w:rPr>
                                <w:t>٪</w:t>
                              </w:r>
                              <w:r w:rsidRPr="002B36BF">
                                <w:rPr>
                                  <w:rFonts w:ascii="Traditional Arabic" w:hAnsi="Traditional Arabic" w:cs="Traditional Arabic"/>
                                  <w:color w:val="000000"/>
                                  <w:sz w:val="24"/>
                                  <w:szCs w:val="24"/>
                                  <w:rtl/>
                                  <w:lang w:bidi="ar-EG"/>
                                </w:rPr>
                                <w:t>)</w:t>
                              </w:r>
                            </w:p>
                          </w:txbxContent>
                        </wps:txbx>
                        <wps:bodyPr rot="0" vert="vert270" wrap="square" lIns="0" tIns="0" rIns="0" bIns="0" anchor="t" anchorCtr="0" upright="1">
                          <a:noAutofit/>
                        </wps:bodyPr>
                      </wps:wsp>
                      <wps:wsp>
                        <wps:cNvPr id="531" name="Text Box 166"/>
                        <wps:cNvSpPr txBox="1">
                          <a:spLocks noChangeArrowheads="1"/>
                        </wps:cNvSpPr>
                        <wps:spPr bwMode="auto">
                          <a:xfrm>
                            <a:off x="5295" y="9379"/>
                            <a:ext cx="3762"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2B36BF" w:rsidRDefault="00670B40" w:rsidP="00335E4B">
                              <w:pPr>
                                <w:jc w:val="center"/>
                                <w:rPr>
                                  <w:rFonts w:ascii="Traditional Arabic" w:hAnsi="Traditional Arabic" w:cs="Traditional Arabic"/>
                                  <w:color w:val="000000"/>
                                  <w:sz w:val="26"/>
                                  <w:szCs w:val="26"/>
                                  <w:lang w:bidi="ar-EG"/>
                                </w:rPr>
                              </w:pPr>
                              <w:r w:rsidRPr="002B36BF">
                                <w:rPr>
                                  <w:rFonts w:ascii="Traditional Arabic" w:hAnsi="Traditional Arabic" w:cs="Traditional Arabic"/>
                                  <w:color w:val="000000"/>
                                  <w:sz w:val="26"/>
                                  <w:szCs w:val="26"/>
                                  <w:rtl/>
                                  <w:lang w:bidi="ar-EG"/>
                                </w:rPr>
                                <w:t>معدل حقن المادة الماصة (كغ/مليون م</w:t>
                              </w:r>
                              <w:r w:rsidRPr="002B36BF">
                                <w:rPr>
                                  <w:rFonts w:ascii="Traditional Arabic" w:hAnsi="Traditional Arabic" w:cs="Traditional Arabic"/>
                                  <w:color w:val="000000"/>
                                  <w:sz w:val="26"/>
                                  <w:szCs w:val="26"/>
                                  <w:vertAlign w:val="superscript"/>
                                  <w:rtl/>
                                  <w:lang w:bidi="ar-EG"/>
                                </w:rPr>
                                <w:t>3</w:t>
                              </w:r>
                              <w:r w:rsidRPr="002B36BF">
                                <w:rPr>
                                  <w:rFonts w:ascii="Traditional Arabic" w:hAnsi="Traditional Arabic" w:cs="Traditional Arabic"/>
                                  <w:color w:val="000000"/>
                                  <w:sz w:val="26"/>
                                  <w:szCs w:val="26"/>
                                  <w:rtl/>
                                  <w:lang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097" style="position:absolute;left:0;text-align:left;margin-left:-353.95pt;margin-top:3.65pt;width:282.7pt;height:202.25pt;z-index:251677696" coordorigin="3403,5800" coordsize="5654,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">
                <v:shape id="Text Box 165" o:spid="_x0000_s1098" type="#_x0000_t202" style="position:absolute;left:3403;top:5800;width:513;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92L78A&#10;AADcAAAADwAAAGRycy9kb3ducmV2LnhtbERPy4rCMBTdC/5DuANuRFOfDJ1GKQMjbm1duLw0tw+m&#10;uSlNrPXvzUJweTjv5DiaVgzUu8aygtUyAkFcWN1wpeCa/y2+QTiPrLG1TAqe5OB4mE4SjLV98IWG&#10;zFcihLCLUUHtfRdL6YqaDLql7YgDV9reoA+wr6Tu8RHCTSvXUbSXBhsODTV29FtT8Z/djYJxZ7Nz&#10;5/J0j6symw/+dkrzrVKzrzH9AeFp9B/x233WCnabMD+cCUdAH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T3YvvwAAANwAAAAPAAAAAAAAAAAAAAAAAJgCAABkcnMvZG93bnJl&#10;di54bWxQSwUGAAAAAAQABAD1AAAAhAMAAAAA&#10;" stroked="f">
                  <v:textbox style="layout-flow:vertical;mso-layout-flow-alt:bottom-to-top" inset="0,0,0,0">
                    <w:txbxContent>
                      <w:p w:rsidR="0093783C" w:rsidRPr="002B36BF" w:rsidRDefault="0093783C" w:rsidP="002B36BF">
                        <w:pPr>
                          <w:jc w:val="center"/>
                          <w:rPr>
                            <w:rFonts w:ascii="Traditional Arabic" w:hAnsi="Traditional Arabic" w:cs="Traditional Arabic"/>
                            <w:color w:val="000000"/>
                            <w:sz w:val="24"/>
                            <w:szCs w:val="24"/>
                            <w:lang w:bidi="ar-EG"/>
                          </w:rPr>
                        </w:pPr>
                        <w:r w:rsidRPr="002B36BF">
                          <w:rPr>
                            <w:rFonts w:ascii="Traditional Arabic" w:hAnsi="Traditional Arabic" w:cs="Traditional Arabic"/>
                            <w:color w:val="000000"/>
                            <w:sz w:val="24"/>
                            <w:szCs w:val="24"/>
                            <w:rtl/>
                            <w:lang w:bidi="ar-EG"/>
                          </w:rPr>
                          <w:t>معدل إزالة الزئبق (</w:t>
                        </w:r>
                        <w:r w:rsidRPr="002B36BF">
                          <w:rPr>
                            <w:rFonts w:cs="Traditional Arabic"/>
                            <w:sz w:val="24"/>
                            <w:szCs w:val="24"/>
                            <w:rtl/>
                          </w:rPr>
                          <w:t>٪</w:t>
                        </w:r>
                        <w:r w:rsidRPr="002B36BF">
                          <w:rPr>
                            <w:rFonts w:ascii="Traditional Arabic" w:hAnsi="Traditional Arabic" w:cs="Traditional Arabic"/>
                            <w:color w:val="000000"/>
                            <w:sz w:val="24"/>
                            <w:szCs w:val="24"/>
                            <w:rtl/>
                            <w:lang w:bidi="ar-EG"/>
                          </w:rPr>
                          <w:t>)</w:t>
                        </w:r>
                      </w:p>
                    </w:txbxContent>
                  </v:textbox>
                </v:shape>
                <v:shape id="Text Box 166" o:spid="_x0000_s1099" type="#_x0000_t202" style="position:absolute;left:5295;top:9379;width:376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1NMUA&#10;AADcAAAADwAAAGRycy9kb3ducmV2LnhtbESPzYvCMBTE7wv+D+EJe1nWVGVFukbxYwUP68EPPD+a&#10;Z1tsXkoSbf3vjSB4HGbmN8xk1ppK3Mj50rKCfi8BQZxZXXKu4HhYf49B+ICssbJMCu7kYTbtfEww&#10;1bbhHd32IRcRwj5FBUUIdSqlzwoy6Hu2Jo7e2TqDIUqXS+2wiXBTyUGSjKTBkuNCgTUtC8ou+6tR&#10;MFq5a7Pj5dfq+PeP2zofnBb3k1Kf3Xb+CyJQG97hV3ujFfwM+/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HU0xQAAANwAAAAPAAAAAAAAAAAAAAAAAJgCAABkcnMv&#10;ZG93bnJldi54bWxQSwUGAAAAAAQABAD1AAAAigMAAAAA&#10;" stroked="f">
                  <v:textbox inset="0,0,0,0">
                    <w:txbxContent>
                      <w:p w:rsidR="0093783C" w:rsidRPr="002B36BF" w:rsidRDefault="0093783C" w:rsidP="00335E4B">
                        <w:pPr>
                          <w:jc w:val="center"/>
                          <w:rPr>
                            <w:rFonts w:ascii="Traditional Arabic" w:hAnsi="Traditional Arabic" w:cs="Traditional Arabic"/>
                            <w:color w:val="000000"/>
                            <w:sz w:val="26"/>
                            <w:szCs w:val="26"/>
                            <w:lang w:bidi="ar-EG"/>
                          </w:rPr>
                        </w:pPr>
                        <w:r w:rsidRPr="002B36BF">
                          <w:rPr>
                            <w:rFonts w:ascii="Traditional Arabic" w:hAnsi="Traditional Arabic" w:cs="Traditional Arabic"/>
                            <w:color w:val="000000"/>
                            <w:sz w:val="26"/>
                            <w:szCs w:val="26"/>
                            <w:rtl/>
                            <w:lang w:bidi="ar-EG"/>
                          </w:rPr>
                          <w:t>معدل حقن المادة الماصة (كغ/مليون م</w:t>
                        </w:r>
                        <w:r w:rsidRPr="002B36BF">
                          <w:rPr>
                            <w:rFonts w:ascii="Traditional Arabic" w:hAnsi="Traditional Arabic" w:cs="Traditional Arabic"/>
                            <w:color w:val="000000"/>
                            <w:sz w:val="26"/>
                            <w:szCs w:val="26"/>
                            <w:vertAlign w:val="superscript"/>
                            <w:rtl/>
                            <w:lang w:bidi="ar-EG"/>
                          </w:rPr>
                          <w:t>3</w:t>
                        </w:r>
                        <w:r w:rsidRPr="002B36BF">
                          <w:rPr>
                            <w:rFonts w:ascii="Traditional Arabic" w:hAnsi="Traditional Arabic" w:cs="Traditional Arabic"/>
                            <w:color w:val="000000"/>
                            <w:sz w:val="26"/>
                            <w:szCs w:val="26"/>
                            <w:rtl/>
                            <w:lang w:bidi="ar-EG"/>
                          </w:rPr>
                          <w:t>)</w:t>
                        </w:r>
                      </w:p>
                    </w:txbxContent>
                  </v:textbox>
                </v:shape>
              </v:group>
            </w:pict>
          </mc:Fallback>
        </mc:AlternateContent>
      </w: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p>
    <w:p w:rsidR="00335E4B" w:rsidRPr="00335E4B" w:rsidRDefault="002B36BF" w:rsidP="00335E4B">
      <w:pPr>
        <w:tabs>
          <w:tab w:val="left" w:pos="663"/>
          <w:tab w:val="left" w:pos="1117"/>
          <w:tab w:val="left" w:pos="2230"/>
          <w:tab w:val="center" w:pos="5468"/>
        </w:tabs>
        <w:spacing w:after="120" w:line="340" w:lineRule="exact"/>
        <w:jc w:val="both"/>
        <w:rPr>
          <w:rFonts w:cs="Traditional Arabic"/>
          <w:b/>
          <w:bCs/>
          <w:sz w:val="20"/>
          <w:szCs w:val="30"/>
          <w:lang w:bidi="ar-EG"/>
        </w:rPr>
      </w:pPr>
      <w:r>
        <w:rPr>
          <w:rFonts w:cs="Traditional Arabic"/>
          <w:noProof/>
          <w:sz w:val="20"/>
          <w:szCs w:val="30"/>
          <w:lang w:val="en-GB" w:eastAsia="zh-CN"/>
        </w:rPr>
        <mc:AlternateContent>
          <mc:Choice Requires="wps">
            <w:drawing>
              <wp:anchor distT="0" distB="0" distL="114300" distR="114300" simplePos="0" relativeHeight="251720704" behindDoc="0" locked="0" layoutInCell="1" allowOverlap="1" wp14:anchorId="759DCB8D" wp14:editId="4196DB7B">
                <wp:simplePos x="0" y="0"/>
                <wp:positionH relativeFrom="column">
                  <wp:posOffset>-1277282</wp:posOffset>
                </wp:positionH>
                <wp:positionV relativeFrom="paragraph">
                  <wp:posOffset>92710</wp:posOffset>
                </wp:positionV>
                <wp:extent cx="792000" cy="107950"/>
                <wp:effectExtent l="0" t="0" r="27305" b="254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107950"/>
                        </a:xfrm>
                        <a:prstGeom prst="rect">
                          <a:avLst/>
                        </a:prstGeom>
                        <a:solidFill>
                          <a:srgbClr val="FFFFFF"/>
                        </a:solidFill>
                        <a:ln w="9525">
                          <a:solidFill>
                            <a:srgbClr val="FFFFFF"/>
                          </a:solidFill>
                          <a:miter lim="800000"/>
                          <a:headEnd/>
                          <a:tailEnd/>
                        </a:ln>
                      </wps:spPr>
                      <wps:txbx>
                        <w:txbxContent>
                          <w:p w:rsidR="00670B40" w:rsidRPr="009E74F8" w:rsidRDefault="00670B40" w:rsidP="002B36BF">
                            <w:pPr>
                              <w:jc w:val="center"/>
                              <w:rPr>
                                <w:b/>
                                <w:bCs/>
                                <w:sz w:val="12"/>
                                <w:szCs w:val="12"/>
                              </w:rPr>
                            </w:pPr>
                            <w:r w:rsidRPr="009E74F8">
                              <w:rPr>
                                <w:rFonts w:hint="cs"/>
                                <w:b/>
                                <w:bCs/>
                                <w:sz w:val="12"/>
                                <w:szCs w:val="12"/>
                                <w:rtl/>
                              </w:rPr>
                              <w:t>اختبار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100" type="#_x0000_t202" style="position:absolute;left:0;text-align:left;margin-left:-100.55pt;margin-top:7.3pt;width:62.35pt;height: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" strokecolor="white">
                <v:textbox inset="0,0,0,0">
                  <w:txbxContent>
                    <w:p w:rsidR="0093783C" w:rsidRPr="009E74F8" w:rsidRDefault="0093783C" w:rsidP="002B36BF">
                      <w:pPr>
                        <w:jc w:val="center"/>
                        <w:rPr>
                          <w:b/>
                          <w:bCs/>
                          <w:sz w:val="12"/>
                          <w:szCs w:val="12"/>
                        </w:rPr>
                      </w:pPr>
                      <w:r w:rsidRPr="009E74F8">
                        <w:rPr>
                          <w:rFonts w:hint="cs"/>
                          <w:b/>
                          <w:bCs/>
                          <w:sz w:val="12"/>
                          <w:szCs w:val="12"/>
                          <w:rtl/>
                        </w:rPr>
                        <w:t>اختبار</w:t>
                      </w:r>
                    </w:p>
                  </w:txbxContent>
                </v:textbox>
              </v:shape>
            </w:pict>
          </mc:Fallback>
        </mc:AlternateContent>
      </w:r>
    </w:p>
    <w:p w:rsidR="00335E4B" w:rsidRPr="00335E4B" w:rsidRDefault="002B36BF" w:rsidP="00335E4B">
      <w:pPr>
        <w:tabs>
          <w:tab w:val="left" w:pos="663"/>
          <w:tab w:val="left" w:pos="1117"/>
          <w:tab w:val="left" w:pos="2230"/>
          <w:tab w:val="center" w:pos="5468"/>
        </w:tabs>
        <w:spacing w:after="120" w:line="340" w:lineRule="exact"/>
        <w:jc w:val="both"/>
        <w:rPr>
          <w:rFonts w:cs="Traditional Arabic"/>
          <w:b/>
          <w:bCs/>
          <w:sz w:val="20"/>
          <w:szCs w:val="30"/>
          <w:lang w:bidi="ar-EG"/>
        </w:rPr>
      </w:pPr>
      <w:r>
        <w:rPr>
          <w:rFonts w:cs="Traditional Arabic"/>
          <w:noProof/>
          <w:sz w:val="20"/>
          <w:szCs w:val="30"/>
          <w:lang w:val="en-GB" w:eastAsia="zh-CN"/>
        </w:rPr>
        <mc:AlternateContent>
          <mc:Choice Requires="wps">
            <w:drawing>
              <wp:anchor distT="0" distB="0" distL="114300" distR="114300" simplePos="0" relativeHeight="251722752" behindDoc="0" locked="0" layoutInCell="1" allowOverlap="1" wp14:anchorId="536ECFE1" wp14:editId="5D29CE8B">
                <wp:simplePos x="0" y="0"/>
                <wp:positionH relativeFrom="column">
                  <wp:posOffset>-2693362</wp:posOffset>
                </wp:positionH>
                <wp:positionV relativeFrom="paragraph">
                  <wp:posOffset>15875</wp:posOffset>
                </wp:positionV>
                <wp:extent cx="720000" cy="107950"/>
                <wp:effectExtent l="0" t="0" r="23495" b="25400"/>
                <wp:wrapNone/>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07950"/>
                        </a:xfrm>
                        <a:prstGeom prst="rect">
                          <a:avLst/>
                        </a:prstGeom>
                        <a:solidFill>
                          <a:srgbClr val="FFFFFF"/>
                        </a:solidFill>
                        <a:ln w="9525">
                          <a:solidFill>
                            <a:srgbClr val="FFFFFF"/>
                          </a:solidFill>
                          <a:miter lim="800000"/>
                          <a:headEnd/>
                          <a:tailEnd/>
                        </a:ln>
                      </wps:spPr>
                      <wps:txbx>
                        <w:txbxContent>
                          <w:p w:rsidR="00670B40" w:rsidRPr="009E74F8" w:rsidRDefault="00670B40" w:rsidP="002B36BF">
                            <w:pPr>
                              <w:jc w:val="center"/>
                              <w:rPr>
                                <w:b/>
                                <w:bCs/>
                                <w:sz w:val="12"/>
                                <w:szCs w:val="12"/>
                              </w:rPr>
                            </w:pPr>
                            <w:r w:rsidRPr="009E74F8">
                              <w:rPr>
                                <w:rFonts w:hint="cs"/>
                                <w:b/>
                                <w:bCs/>
                                <w:sz w:val="12"/>
                                <w:szCs w:val="12"/>
                                <w:rtl/>
                              </w:rPr>
                              <w:t>اختبار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0" o:spid="_x0000_s1101" type="#_x0000_t202" style="position:absolute;left:0;text-align:left;margin-left:-212.1pt;margin-top:1.25pt;width:56.7pt;height: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" strokecolor="white">
                <v:textbox inset="0,0,0,0">
                  <w:txbxContent>
                    <w:p w:rsidR="0093783C" w:rsidRPr="009E74F8" w:rsidRDefault="0093783C" w:rsidP="002B36BF">
                      <w:pPr>
                        <w:jc w:val="center"/>
                        <w:rPr>
                          <w:b/>
                          <w:bCs/>
                          <w:sz w:val="12"/>
                          <w:szCs w:val="12"/>
                        </w:rPr>
                      </w:pPr>
                      <w:r w:rsidRPr="009E74F8">
                        <w:rPr>
                          <w:rFonts w:hint="cs"/>
                          <w:b/>
                          <w:bCs/>
                          <w:sz w:val="12"/>
                          <w:szCs w:val="12"/>
                          <w:rtl/>
                        </w:rPr>
                        <w:t>اختبار</w:t>
                      </w:r>
                    </w:p>
                  </w:txbxContent>
                </v:textbox>
              </v:shape>
            </w:pict>
          </mc:Fallback>
        </mc:AlternateContent>
      </w: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rtl/>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rtl/>
          <w:lang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b/>
          <w:bCs/>
          <w:sz w:val="20"/>
          <w:szCs w:val="30"/>
          <w:rtl/>
          <w:lang w:bidi="ar-EG"/>
        </w:rPr>
      </w:pPr>
    </w:p>
    <w:p w:rsidR="00335E4B" w:rsidRPr="002B36BF" w:rsidRDefault="00335E4B" w:rsidP="004F4716">
      <w:pPr>
        <w:keepNext/>
        <w:spacing w:before="180" w:after="120" w:line="400" w:lineRule="exact"/>
        <w:jc w:val="both"/>
        <w:outlineLvl w:val="2"/>
        <w:rPr>
          <w:rFonts w:cs="Traditional Arabic"/>
          <w:b/>
          <w:bCs/>
          <w:sz w:val="30"/>
          <w:szCs w:val="30"/>
          <w:u w:val="single"/>
          <w:lang w:bidi="ar-EG"/>
        </w:rPr>
      </w:pPr>
      <w:bookmarkStart w:id="774" w:name="_Toc441577736"/>
      <w:bookmarkStart w:id="775" w:name="_Toc441577915"/>
      <w:bookmarkStart w:id="776" w:name="_Toc441579141"/>
      <w:bookmarkStart w:id="777" w:name="_Toc441580749"/>
      <w:bookmarkStart w:id="778" w:name="_Toc441585880"/>
      <w:bookmarkStart w:id="779" w:name="_Toc441586216"/>
      <w:bookmarkStart w:id="780" w:name="_Toc441586666"/>
      <w:bookmarkStart w:id="781" w:name="_Toc441586845"/>
      <w:bookmarkStart w:id="782" w:name="_Toc441666694"/>
      <w:bookmarkStart w:id="783" w:name="_Toc441673755"/>
      <w:r w:rsidRPr="002B36BF">
        <w:rPr>
          <w:rFonts w:cs="Traditional Arabic"/>
          <w:b/>
          <w:bCs/>
          <w:sz w:val="30"/>
          <w:szCs w:val="30"/>
          <w:rtl/>
          <w:lang w:bidi="ar-EG"/>
        </w:rPr>
        <w:t xml:space="preserve">الشكل 9 - اختبار كفاءة إزالة الزئبق </w:t>
      </w:r>
      <w:r w:rsidR="004F4716">
        <w:rPr>
          <w:rFonts w:cs="Traditional Arabic" w:hint="cs"/>
          <w:b/>
          <w:bCs/>
          <w:sz w:val="30"/>
          <w:szCs w:val="30"/>
          <w:rtl/>
          <w:lang w:val="en-GB" w:bidi="ar-SY"/>
        </w:rPr>
        <w:t xml:space="preserve">كدالة على </w:t>
      </w:r>
      <w:r w:rsidRPr="002B36BF">
        <w:rPr>
          <w:rFonts w:cs="Traditional Arabic"/>
          <w:b/>
          <w:bCs/>
          <w:sz w:val="30"/>
          <w:szCs w:val="30"/>
          <w:rtl/>
          <w:lang w:bidi="ar-EG"/>
        </w:rPr>
        <w:t>معدل حقن الفحم المنشَّط</w:t>
      </w:r>
      <w:bookmarkEnd w:id="774"/>
      <w:bookmarkEnd w:id="775"/>
      <w:bookmarkEnd w:id="776"/>
      <w:bookmarkEnd w:id="777"/>
      <w:bookmarkEnd w:id="778"/>
      <w:bookmarkEnd w:id="779"/>
      <w:bookmarkEnd w:id="780"/>
      <w:bookmarkEnd w:id="781"/>
      <w:bookmarkEnd w:id="782"/>
      <w:bookmarkEnd w:id="783"/>
    </w:p>
    <w:p w:rsidR="00335E4B" w:rsidRPr="00335E4B" w:rsidRDefault="00335E4B" w:rsidP="00335E4B">
      <w:pPr>
        <w:keepNext/>
        <w:spacing w:before="120" w:after="120" w:line="400" w:lineRule="exact"/>
        <w:ind w:left="990" w:hanging="990"/>
        <w:jc w:val="both"/>
        <w:outlineLvl w:val="0"/>
        <w:rPr>
          <w:rFonts w:cs="Traditional Arabic"/>
          <w:b/>
          <w:bCs/>
          <w:sz w:val="30"/>
          <w:szCs w:val="30"/>
          <w:rtl/>
        </w:rPr>
      </w:pPr>
      <w:bookmarkStart w:id="784" w:name="_Toc440456849"/>
      <w:bookmarkStart w:id="785" w:name="_Toc440526922"/>
      <w:bookmarkStart w:id="786" w:name="_Toc440527779"/>
      <w:bookmarkStart w:id="787" w:name="_Toc440550480"/>
      <w:bookmarkStart w:id="788" w:name="_Toc441577737"/>
      <w:bookmarkStart w:id="789" w:name="_Toc441577916"/>
      <w:bookmarkStart w:id="790" w:name="_Toc441579142"/>
      <w:bookmarkStart w:id="791" w:name="_Toc441580750"/>
      <w:bookmarkStart w:id="792" w:name="_Toc441585881"/>
      <w:bookmarkStart w:id="793" w:name="_Toc441586217"/>
      <w:bookmarkStart w:id="794" w:name="_Toc441586667"/>
      <w:bookmarkStart w:id="795" w:name="_Toc441586846"/>
      <w:bookmarkStart w:id="796" w:name="_Toc441666695"/>
      <w:bookmarkStart w:id="797" w:name="_Toc441673756"/>
      <w:r w:rsidRPr="00335E4B">
        <w:rPr>
          <w:rFonts w:cs="Traditional Arabic"/>
          <w:b/>
          <w:bCs/>
          <w:sz w:val="30"/>
          <w:szCs w:val="30"/>
          <w:rtl/>
        </w:rPr>
        <w:t>حقن مادة ماصة معالجة كيميائياً</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للتغلب على التقييدات الموصوفة أعلاه والمصاحبة لاستعمال الكربون المنشَّط غير المعالج لضبط الزئبق في منشآت الطاقة تم تطوير مواد ماصة من الكربون المنشِّط المعالج (نيلسون، 2004 ونيلسون وآخرون 2004). وكانت البرومة هي المعالجة الأكثر استعمالاً والتي أثبتت أنها أكثر فعالية في تعزيز أداء الكربون المنشَّط. ومقارنة بالكربون المنشَّط غير المعالج، فإن الكربون المنشط بالبروم:</w:t>
      </w:r>
    </w:p>
    <w:p w:rsidR="00335E4B" w:rsidRPr="00335E4B" w:rsidRDefault="00335E4B" w:rsidP="00E371AF">
      <w:pPr>
        <w:tabs>
          <w:tab w:val="left" w:pos="1274"/>
        </w:tabs>
        <w:spacing w:after="120" w:line="400" w:lineRule="exact"/>
        <w:ind w:firstLine="565"/>
        <w:jc w:val="both"/>
        <w:rPr>
          <w:rFonts w:cs="Traditional Arabic"/>
          <w:sz w:val="20"/>
          <w:szCs w:val="30"/>
          <w:rtl/>
          <w:lang w:bidi="ar-EG"/>
        </w:rPr>
      </w:pPr>
      <w:r w:rsidRPr="00335E4B">
        <w:rPr>
          <w:rFonts w:cs="Traditional Arabic"/>
          <w:sz w:val="20"/>
          <w:szCs w:val="30"/>
          <w:rtl/>
          <w:lang w:bidi="ar-EG"/>
        </w:rPr>
        <w:t>(أ)</w:t>
      </w:r>
      <w:r w:rsidRPr="00335E4B">
        <w:rPr>
          <w:rFonts w:cs="Traditional Arabic"/>
          <w:sz w:val="20"/>
          <w:szCs w:val="30"/>
          <w:rtl/>
          <w:lang w:bidi="ar-EG"/>
        </w:rPr>
        <w:tab/>
        <w:t>يوسِّع فائدة حقن المادة الماصة إلى حالات قد لا يكون فيها الكربون المنشَّط غير المعالج فعالاً؛</w:t>
      </w:r>
    </w:p>
    <w:p w:rsidR="00335E4B" w:rsidRPr="00335E4B" w:rsidRDefault="00335E4B" w:rsidP="00E371AF">
      <w:pPr>
        <w:tabs>
          <w:tab w:val="left" w:pos="1274"/>
        </w:tabs>
        <w:spacing w:after="120" w:line="400" w:lineRule="exact"/>
        <w:ind w:firstLine="565"/>
        <w:jc w:val="both"/>
        <w:rPr>
          <w:rFonts w:cs="Traditional Arabic"/>
          <w:sz w:val="20"/>
          <w:szCs w:val="30"/>
          <w:rtl/>
          <w:lang w:bidi="ar-EG"/>
        </w:rPr>
      </w:pPr>
      <w:r w:rsidRPr="00335E4B">
        <w:rPr>
          <w:rFonts w:cs="Traditional Arabic"/>
          <w:sz w:val="20"/>
          <w:szCs w:val="30"/>
          <w:rtl/>
          <w:lang w:bidi="ar-EG"/>
        </w:rPr>
        <w:t>(ب)</w:t>
      </w:r>
      <w:r w:rsidRPr="00335E4B">
        <w:rPr>
          <w:rFonts w:cs="Traditional Arabic"/>
          <w:sz w:val="20"/>
          <w:szCs w:val="30"/>
          <w:rtl/>
          <w:lang w:bidi="ar-EG"/>
        </w:rPr>
        <w:tab/>
        <w:t xml:space="preserve">يمكن عموماً تشغيله بمعدلات حقن أقل، </w:t>
      </w:r>
      <w:r w:rsidRPr="00335E4B">
        <w:rPr>
          <w:rFonts w:cs="Traditional Arabic" w:hint="cs"/>
          <w:sz w:val="20"/>
          <w:szCs w:val="30"/>
          <w:rtl/>
          <w:lang w:bidi="ar-EG"/>
        </w:rPr>
        <w:t>م</w:t>
      </w:r>
      <w:r w:rsidRPr="00335E4B">
        <w:rPr>
          <w:rFonts w:cs="Traditional Arabic"/>
          <w:sz w:val="20"/>
          <w:szCs w:val="30"/>
          <w:rtl/>
          <w:lang w:bidi="ar-EG"/>
        </w:rPr>
        <w:t>ما يؤدي إلى تقليل عدد الآثار على المنشأة وتخفيض المحتوى الكربوني في الرماد المتطاير الملتقط؛</w:t>
      </w:r>
    </w:p>
    <w:p w:rsidR="00335E4B" w:rsidRPr="00335E4B" w:rsidRDefault="00335E4B" w:rsidP="00E371AF">
      <w:pPr>
        <w:tabs>
          <w:tab w:val="left" w:pos="1274"/>
        </w:tabs>
        <w:spacing w:after="120" w:line="400" w:lineRule="exact"/>
        <w:ind w:firstLine="565"/>
        <w:jc w:val="both"/>
        <w:rPr>
          <w:rFonts w:cs="Traditional Arabic"/>
          <w:sz w:val="20"/>
          <w:szCs w:val="30"/>
          <w:rtl/>
          <w:lang w:bidi="ar-EG"/>
        </w:rPr>
      </w:pPr>
      <w:r w:rsidRPr="00335E4B">
        <w:rPr>
          <w:rFonts w:cs="Traditional Arabic"/>
          <w:sz w:val="20"/>
          <w:szCs w:val="30"/>
          <w:rtl/>
          <w:lang w:bidi="ar-EG"/>
        </w:rPr>
        <w:t>(ج)</w:t>
      </w:r>
      <w:r w:rsidRPr="00335E4B">
        <w:rPr>
          <w:rFonts w:cs="Traditional Arabic"/>
          <w:sz w:val="20"/>
          <w:szCs w:val="30"/>
          <w:rtl/>
          <w:lang w:bidi="ar-EG"/>
        </w:rPr>
        <w:tab/>
        <w:t>يؤدي إلى تحسين الأداء عند استخدام أنواع الفحم المنخفضة الكلور.</w:t>
      </w:r>
    </w:p>
    <w:p w:rsidR="003F1E60" w:rsidRDefault="00335E4B" w:rsidP="003F1E60">
      <w:pPr>
        <w:tabs>
          <w:tab w:val="left" w:pos="663"/>
          <w:tab w:val="left" w:pos="1117"/>
          <w:tab w:val="left" w:pos="2230"/>
          <w:tab w:val="center" w:pos="5468"/>
        </w:tabs>
        <w:spacing w:after="120" w:line="400" w:lineRule="exact"/>
        <w:jc w:val="both"/>
        <w:rPr>
          <w:rFonts w:cs="Traditional Arabic"/>
          <w:sz w:val="20"/>
          <w:szCs w:val="30"/>
          <w:rtl/>
          <w:lang w:bidi="ar-EG"/>
        </w:rPr>
      </w:pPr>
      <w:r>
        <w:rPr>
          <w:rFonts w:cs="Traditional Arabic"/>
          <w:noProof/>
          <w:sz w:val="20"/>
          <w:szCs w:val="30"/>
          <w:lang w:val="en-GB" w:eastAsia="zh-CN"/>
        </w:rPr>
        <w:drawing>
          <wp:anchor distT="0" distB="0" distL="114300" distR="114300" simplePos="0" relativeHeight="251680768" behindDoc="1" locked="0" layoutInCell="1" allowOverlap="1" wp14:anchorId="27E5823D" wp14:editId="2AC22C89">
            <wp:simplePos x="0" y="0"/>
            <wp:positionH relativeFrom="column">
              <wp:posOffset>635</wp:posOffset>
            </wp:positionH>
            <wp:positionV relativeFrom="paragraph">
              <wp:posOffset>1623695</wp:posOffset>
            </wp:positionV>
            <wp:extent cx="6012180" cy="3453765"/>
            <wp:effectExtent l="0" t="0" r="7620" b="0"/>
            <wp:wrapTight wrapText="bothSides">
              <wp:wrapPolygon edited="0">
                <wp:start x="0" y="0"/>
                <wp:lineTo x="0" y="21445"/>
                <wp:lineTo x="21559" y="21445"/>
                <wp:lineTo x="21559" y="0"/>
                <wp:lineTo x="0" y="0"/>
              </wp:wrapPolygon>
            </wp:wrapTight>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2180" cy="3453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noProof/>
          <w:sz w:val="20"/>
          <w:szCs w:val="30"/>
          <w:lang w:val="en-GB" w:eastAsia="zh-CN"/>
        </w:rPr>
        <mc:AlternateContent>
          <mc:Choice Requires="wps">
            <w:drawing>
              <wp:anchor distT="0" distB="0" distL="114300" distR="114300" simplePos="0" relativeHeight="251679744" behindDoc="0" locked="0" layoutInCell="1" allowOverlap="1" wp14:anchorId="76335D75" wp14:editId="2B953B9B">
                <wp:simplePos x="0" y="0"/>
                <wp:positionH relativeFrom="column">
                  <wp:posOffset>3574415</wp:posOffset>
                </wp:positionH>
                <wp:positionV relativeFrom="paragraph">
                  <wp:posOffset>3242310</wp:posOffset>
                </wp:positionV>
                <wp:extent cx="2016000" cy="1152000"/>
                <wp:effectExtent l="0" t="0" r="3810" b="1016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000" cy="115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B40" w:rsidRPr="002B36BF" w:rsidRDefault="00670B40" w:rsidP="002B36BF">
                            <w:pPr>
                              <w:spacing w:line="300" w:lineRule="exact"/>
                              <w:rPr>
                                <w:rFonts w:ascii="Traditional Arabic" w:hAnsi="Traditional Arabic" w:cs="Traditional Arabic"/>
                                <w:color w:val="000000"/>
                                <w:szCs w:val="22"/>
                                <w:rtl/>
                                <w:lang w:bidi="ar-EG"/>
                              </w:rPr>
                            </w:pPr>
                            <w:r w:rsidRPr="002B36BF">
                              <w:rPr>
                                <w:rFonts w:ascii="Traditional Arabic" w:hAnsi="Traditional Arabic" w:cs="Traditional Arabic"/>
                                <w:color w:val="000000"/>
                                <w:szCs w:val="22"/>
                                <w:rtl/>
                                <w:lang w:bidi="ar-EG"/>
                              </w:rPr>
                              <w:t xml:space="preserve">لغنيت/مرشح نسيجي </w:t>
                            </w:r>
                            <w:r w:rsidRPr="002B36BF">
                              <w:rPr>
                                <w:rFonts w:ascii="Traditional Arabic" w:hAnsi="Traditional Arabic" w:cs="Traditional Arabic" w:hint="cs"/>
                                <w:color w:val="000000"/>
                                <w:szCs w:val="22"/>
                                <w:rtl/>
                                <w:lang w:val="en-GB"/>
                              </w:rPr>
                              <w:t>-</w:t>
                            </w:r>
                            <w:r w:rsidRPr="002B36BF">
                              <w:rPr>
                                <w:rFonts w:ascii="Traditional Arabic" w:hAnsi="Traditional Arabic" w:cs="Traditional Arabic"/>
                                <w:color w:val="000000"/>
                                <w:szCs w:val="22"/>
                                <w:rtl/>
                                <w:lang w:bidi="ar-EG"/>
                              </w:rPr>
                              <w:t xml:space="preserve"> كربون منشط معالج</w:t>
                            </w:r>
                          </w:p>
                          <w:p w:rsidR="00670B40" w:rsidRPr="002B36BF" w:rsidRDefault="00670B40" w:rsidP="003F1E60">
                            <w:pPr>
                              <w:spacing w:line="280" w:lineRule="exact"/>
                              <w:rPr>
                                <w:rFonts w:ascii="Traditional Arabic" w:hAnsi="Traditional Arabic" w:cs="Traditional Arabic"/>
                                <w:color w:val="000000"/>
                                <w:szCs w:val="22"/>
                                <w:rtl/>
                                <w:lang w:bidi="ar-EG"/>
                              </w:rPr>
                            </w:pPr>
                            <w:r w:rsidRPr="002B36BF">
                              <w:rPr>
                                <w:rFonts w:ascii="Traditional Arabic" w:hAnsi="Traditional Arabic" w:cs="Traditional Arabic"/>
                                <w:color w:val="000000"/>
                                <w:szCs w:val="22"/>
                                <w:rtl/>
                                <w:lang w:bidi="ar-EG"/>
                              </w:rPr>
                              <w:t xml:space="preserve">لغنيت/مرشح نسيجي </w:t>
                            </w:r>
                            <w:r>
                              <w:rPr>
                                <w:rFonts w:ascii="Traditional Arabic" w:hAnsi="Traditional Arabic" w:cs="Traditional Arabic" w:hint="cs"/>
                                <w:color w:val="000000"/>
                                <w:szCs w:val="22"/>
                                <w:rtl/>
                                <w:lang w:bidi="ar-EG"/>
                              </w:rPr>
                              <w:t>-</w:t>
                            </w:r>
                            <w:r w:rsidRPr="002B36BF">
                              <w:rPr>
                                <w:rFonts w:ascii="Traditional Arabic" w:hAnsi="Traditional Arabic" w:cs="Traditional Arabic"/>
                                <w:color w:val="000000"/>
                                <w:szCs w:val="22"/>
                                <w:rtl/>
                                <w:lang w:bidi="ar-EG"/>
                              </w:rPr>
                              <w:t xml:space="preserve"> كربون منشط غير معالج</w:t>
                            </w:r>
                          </w:p>
                          <w:p w:rsidR="00670B40" w:rsidRPr="003F1E60" w:rsidRDefault="00670B40" w:rsidP="003F1E60">
                            <w:pPr>
                              <w:spacing w:line="300" w:lineRule="exact"/>
                              <w:rPr>
                                <w:rFonts w:ascii="Traditional Arabic" w:hAnsi="Traditional Arabic" w:cs="Traditional Arabic"/>
                                <w:color w:val="000000"/>
                                <w:szCs w:val="22"/>
                                <w:rtl/>
                                <w:lang w:bidi="ar-EG"/>
                              </w:rPr>
                            </w:pPr>
                            <w:r w:rsidRPr="003F1E60">
                              <w:rPr>
                                <w:rFonts w:ascii="Traditional Arabic" w:hAnsi="Traditional Arabic" w:cs="Traditional Arabic"/>
                                <w:color w:val="000000"/>
                                <w:szCs w:val="22"/>
                                <w:rtl/>
                                <w:lang w:bidi="ar-EG"/>
                              </w:rPr>
                              <w:t xml:space="preserve">لغنيت/مرسب </w:t>
                            </w:r>
                            <w:r>
                              <w:rPr>
                                <w:rFonts w:ascii="Traditional Arabic" w:hAnsi="Traditional Arabic" w:cs="Traditional Arabic" w:hint="cs"/>
                                <w:color w:val="000000"/>
                                <w:szCs w:val="22"/>
                                <w:rtl/>
                                <w:lang w:bidi="ar-EG"/>
                              </w:rPr>
                              <w:t>-</w:t>
                            </w:r>
                            <w:r w:rsidRPr="003F1E60">
                              <w:rPr>
                                <w:rFonts w:ascii="Traditional Arabic" w:hAnsi="Traditional Arabic" w:cs="Traditional Arabic"/>
                                <w:color w:val="000000"/>
                                <w:szCs w:val="22"/>
                                <w:rtl/>
                                <w:lang w:bidi="ar-EG"/>
                              </w:rPr>
                              <w:t xml:space="preserve"> كربون منشط معالج</w:t>
                            </w:r>
                          </w:p>
                          <w:p w:rsidR="00670B40" w:rsidRPr="003F1E60" w:rsidRDefault="00670B40" w:rsidP="003F1E60">
                            <w:pPr>
                              <w:spacing w:line="280" w:lineRule="exact"/>
                              <w:rPr>
                                <w:rFonts w:ascii="Traditional Arabic" w:hAnsi="Traditional Arabic" w:cs="Traditional Arabic"/>
                                <w:color w:val="000000"/>
                                <w:szCs w:val="22"/>
                                <w:rtl/>
                                <w:lang w:bidi="ar-EG"/>
                              </w:rPr>
                            </w:pPr>
                            <w:r w:rsidRPr="003F1E60">
                              <w:rPr>
                                <w:rFonts w:ascii="Traditional Arabic" w:hAnsi="Traditional Arabic" w:cs="Traditional Arabic"/>
                                <w:color w:val="000000"/>
                                <w:szCs w:val="22"/>
                                <w:rtl/>
                                <w:lang w:bidi="ar-EG"/>
                              </w:rPr>
                              <w:t>لغنيت/مرسب - كربون منشط غير معالج</w:t>
                            </w:r>
                          </w:p>
                          <w:p w:rsidR="00670B40" w:rsidRPr="003F1E60" w:rsidRDefault="00670B40" w:rsidP="003F1E60">
                            <w:pPr>
                              <w:spacing w:line="300" w:lineRule="exact"/>
                              <w:rPr>
                                <w:rFonts w:ascii="Traditional Arabic" w:hAnsi="Traditional Arabic" w:cs="Traditional Arabic"/>
                                <w:color w:val="000000"/>
                                <w:szCs w:val="20"/>
                                <w:rtl/>
                                <w:lang w:bidi="ar-EG"/>
                              </w:rPr>
                            </w:pPr>
                            <w:r w:rsidRPr="003F1E60">
                              <w:rPr>
                                <w:rFonts w:ascii="Traditional Arabic" w:hAnsi="Traditional Arabic" w:cs="Traditional Arabic"/>
                                <w:color w:val="000000"/>
                                <w:szCs w:val="20"/>
                                <w:rtl/>
                                <w:lang w:bidi="ar-EG"/>
                              </w:rPr>
                              <w:t xml:space="preserve">فحم حوض نهر باودر/مرسب </w:t>
                            </w:r>
                            <w:r>
                              <w:rPr>
                                <w:rFonts w:ascii="Traditional Arabic" w:hAnsi="Traditional Arabic" w:cs="Traditional Arabic" w:hint="cs"/>
                                <w:color w:val="000000"/>
                                <w:szCs w:val="20"/>
                                <w:rtl/>
                                <w:lang w:bidi="ar-EG"/>
                              </w:rPr>
                              <w:t>-</w:t>
                            </w:r>
                            <w:r w:rsidRPr="003F1E60">
                              <w:rPr>
                                <w:rFonts w:ascii="Traditional Arabic" w:hAnsi="Traditional Arabic" w:cs="Traditional Arabic"/>
                                <w:color w:val="000000"/>
                                <w:szCs w:val="20"/>
                                <w:rtl/>
                                <w:lang w:bidi="ar-EG"/>
                              </w:rPr>
                              <w:t xml:space="preserve"> كربون منشط معالج</w:t>
                            </w:r>
                          </w:p>
                          <w:p w:rsidR="00670B40" w:rsidRDefault="00670B40" w:rsidP="003F1E60">
                            <w:pPr>
                              <w:spacing w:line="300" w:lineRule="exact"/>
                            </w:pPr>
                            <w:r w:rsidRPr="003F1E60">
                              <w:rPr>
                                <w:rFonts w:ascii="Traditional Arabic" w:hAnsi="Traditional Arabic" w:cs="Traditional Arabic"/>
                                <w:color w:val="000000"/>
                                <w:szCs w:val="20"/>
                                <w:rtl/>
                                <w:lang w:bidi="ar-EG"/>
                              </w:rPr>
                              <w:t xml:space="preserve">فحم حوض نهر باودر/مرسب </w:t>
                            </w:r>
                            <w:r>
                              <w:rPr>
                                <w:rFonts w:ascii="Traditional Arabic" w:hAnsi="Traditional Arabic" w:cs="Traditional Arabic" w:hint="cs"/>
                                <w:color w:val="000000"/>
                                <w:szCs w:val="20"/>
                                <w:rtl/>
                                <w:lang w:bidi="ar-EG"/>
                              </w:rPr>
                              <w:t>-</w:t>
                            </w:r>
                            <w:r w:rsidRPr="003F1E60">
                              <w:rPr>
                                <w:rFonts w:ascii="Traditional Arabic" w:hAnsi="Traditional Arabic" w:cs="Traditional Arabic"/>
                                <w:color w:val="000000"/>
                                <w:szCs w:val="20"/>
                                <w:rtl/>
                                <w:lang w:bidi="ar-EG"/>
                              </w:rPr>
                              <w:t xml:space="preserve"> كربون منشط غير معالج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102" type="#_x0000_t202" style="position:absolute;left:0;text-align:left;margin-left:281.45pt;margin-top:255.3pt;width:158.75pt;height:9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" filled="f" stroked="f">
                <v:textbox inset="0,0,0,0">
                  <w:txbxContent>
                    <w:p w:rsidR="0093783C" w:rsidRPr="002B36BF" w:rsidRDefault="0093783C" w:rsidP="002B36BF">
                      <w:pPr>
                        <w:spacing w:line="300" w:lineRule="exact"/>
                        <w:rPr>
                          <w:rFonts w:ascii="Traditional Arabic" w:hAnsi="Traditional Arabic" w:cs="Traditional Arabic"/>
                          <w:color w:val="000000"/>
                          <w:szCs w:val="22"/>
                          <w:rtl/>
                          <w:lang w:bidi="ar-EG"/>
                        </w:rPr>
                      </w:pPr>
                      <w:r w:rsidRPr="002B36BF">
                        <w:rPr>
                          <w:rFonts w:ascii="Traditional Arabic" w:hAnsi="Traditional Arabic" w:cs="Traditional Arabic"/>
                          <w:color w:val="000000"/>
                          <w:szCs w:val="22"/>
                          <w:rtl/>
                          <w:lang w:bidi="ar-EG"/>
                        </w:rPr>
                        <w:t xml:space="preserve">لغنيت/مرشح نسيجي </w:t>
                      </w:r>
                      <w:r w:rsidRPr="002B36BF">
                        <w:rPr>
                          <w:rFonts w:ascii="Traditional Arabic" w:hAnsi="Traditional Arabic" w:cs="Traditional Arabic" w:hint="cs"/>
                          <w:color w:val="000000"/>
                          <w:szCs w:val="22"/>
                          <w:rtl/>
                          <w:lang w:val="en-GB"/>
                        </w:rPr>
                        <w:t>-</w:t>
                      </w:r>
                      <w:r w:rsidRPr="002B36BF">
                        <w:rPr>
                          <w:rFonts w:ascii="Traditional Arabic" w:hAnsi="Traditional Arabic" w:cs="Traditional Arabic"/>
                          <w:color w:val="000000"/>
                          <w:szCs w:val="22"/>
                          <w:rtl/>
                          <w:lang w:bidi="ar-EG"/>
                        </w:rPr>
                        <w:t xml:space="preserve"> كربون منشط معالج</w:t>
                      </w:r>
                    </w:p>
                    <w:p w:rsidR="0093783C" w:rsidRPr="002B36BF" w:rsidRDefault="0093783C" w:rsidP="003F1E60">
                      <w:pPr>
                        <w:spacing w:line="280" w:lineRule="exact"/>
                        <w:rPr>
                          <w:rFonts w:ascii="Traditional Arabic" w:hAnsi="Traditional Arabic" w:cs="Traditional Arabic"/>
                          <w:color w:val="000000"/>
                          <w:szCs w:val="22"/>
                          <w:rtl/>
                          <w:lang w:bidi="ar-EG"/>
                        </w:rPr>
                      </w:pPr>
                      <w:r w:rsidRPr="002B36BF">
                        <w:rPr>
                          <w:rFonts w:ascii="Traditional Arabic" w:hAnsi="Traditional Arabic" w:cs="Traditional Arabic"/>
                          <w:color w:val="000000"/>
                          <w:szCs w:val="22"/>
                          <w:rtl/>
                          <w:lang w:bidi="ar-EG"/>
                        </w:rPr>
                        <w:t xml:space="preserve">لغنيت/مرشح نسيجي </w:t>
                      </w:r>
                      <w:r>
                        <w:rPr>
                          <w:rFonts w:ascii="Traditional Arabic" w:hAnsi="Traditional Arabic" w:cs="Traditional Arabic" w:hint="cs"/>
                          <w:color w:val="000000"/>
                          <w:szCs w:val="22"/>
                          <w:rtl/>
                          <w:lang w:bidi="ar-EG"/>
                        </w:rPr>
                        <w:t>-</w:t>
                      </w:r>
                      <w:r w:rsidRPr="002B36BF">
                        <w:rPr>
                          <w:rFonts w:ascii="Traditional Arabic" w:hAnsi="Traditional Arabic" w:cs="Traditional Arabic"/>
                          <w:color w:val="000000"/>
                          <w:szCs w:val="22"/>
                          <w:rtl/>
                          <w:lang w:bidi="ar-EG"/>
                        </w:rPr>
                        <w:t xml:space="preserve"> كربون منشط غير معالج</w:t>
                      </w:r>
                    </w:p>
                    <w:p w:rsidR="0093783C" w:rsidRPr="003F1E60" w:rsidRDefault="0093783C" w:rsidP="003F1E60">
                      <w:pPr>
                        <w:spacing w:line="300" w:lineRule="exact"/>
                        <w:rPr>
                          <w:rFonts w:ascii="Traditional Arabic" w:hAnsi="Traditional Arabic" w:cs="Traditional Arabic"/>
                          <w:color w:val="000000"/>
                          <w:szCs w:val="22"/>
                          <w:rtl/>
                          <w:lang w:bidi="ar-EG"/>
                        </w:rPr>
                      </w:pPr>
                      <w:r w:rsidRPr="003F1E60">
                        <w:rPr>
                          <w:rFonts w:ascii="Traditional Arabic" w:hAnsi="Traditional Arabic" w:cs="Traditional Arabic"/>
                          <w:color w:val="000000"/>
                          <w:szCs w:val="22"/>
                          <w:rtl/>
                          <w:lang w:bidi="ar-EG"/>
                        </w:rPr>
                        <w:t xml:space="preserve">لغنيت/مرسب </w:t>
                      </w:r>
                      <w:r>
                        <w:rPr>
                          <w:rFonts w:ascii="Traditional Arabic" w:hAnsi="Traditional Arabic" w:cs="Traditional Arabic" w:hint="cs"/>
                          <w:color w:val="000000"/>
                          <w:szCs w:val="22"/>
                          <w:rtl/>
                          <w:lang w:bidi="ar-EG"/>
                        </w:rPr>
                        <w:t>-</w:t>
                      </w:r>
                      <w:r w:rsidRPr="003F1E60">
                        <w:rPr>
                          <w:rFonts w:ascii="Traditional Arabic" w:hAnsi="Traditional Arabic" w:cs="Traditional Arabic"/>
                          <w:color w:val="000000"/>
                          <w:szCs w:val="22"/>
                          <w:rtl/>
                          <w:lang w:bidi="ar-EG"/>
                        </w:rPr>
                        <w:t xml:space="preserve"> كربون منشط معالج</w:t>
                      </w:r>
                    </w:p>
                    <w:p w:rsidR="0093783C" w:rsidRPr="003F1E60" w:rsidRDefault="0093783C" w:rsidP="003F1E60">
                      <w:pPr>
                        <w:spacing w:line="280" w:lineRule="exact"/>
                        <w:rPr>
                          <w:rFonts w:ascii="Traditional Arabic" w:hAnsi="Traditional Arabic" w:cs="Traditional Arabic"/>
                          <w:color w:val="000000"/>
                          <w:szCs w:val="22"/>
                          <w:rtl/>
                          <w:lang w:bidi="ar-EG"/>
                        </w:rPr>
                      </w:pPr>
                      <w:r w:rsidRPr="003F1E60">
                        <w:rPr>
                          <w:rFonts w:ascii="Traditional Arabic" w:hAnsi="Traditional Arabic" w:cs="Traditional Arabic"/>
                          <w:color w:val="000000"/>
                          <w:szCs w:val="22"/>
                          <w:rtl/>
                          <w:lang w:bidi="ar-EG"/>
                        </w:rPr>
                        <w:t>لغنيت/مرسب - كربون منشط غير معالج</w:t>
                      </w:r>
                    </w:p>
                    <w:p w:rsidR="0093783C" w:rsidRPr="003F1E60" w:rsidRDefault="0093783C" w:rsidP="003F1E60">
                      <w:pPr>
                        <w:spacing w:line="300" w:lineRule="exact"/>
                        <w:rPr>
                          <w:rFonts w:ascii="Traditional Arabic" w:hAnsi="Traditional Arabic" w:cs="Traditional Arabic"/>
                          <w:color w:val="000000"/>
                          <w:szCs w:val="20"/>
                          <w:rtl/>
                          <w:lang w:bidi="ar-EG"/>
                        </w:rPr>
                      </w:pPr>
                      <w:r w:rsidRPr="003F1E60">
                        <w:rPr>
                          <w:rFonts w:ascii="Traditional Arabic" w:hAnsi="Traditional Arabic" w:cs="Traditional Arabic"/>
                          <w:color w:val="000000"/>
                          <w:szCs w:val="20"/>
                          <w:rtl/>
                          <w:lang w:bidi="ar-EG"/>
                        </w:rPr>
                        <w:t xml:space="preserve">فحم حوض نهر باودر/مرسب </w:t>
                      </w:r>
                      <w:r>
                        <w:rPr>
                          <w:rFonts w:ascii="Traditional Arabic" w:hAnsi="Traditional Arabic" w:cs="Traditional Arabic" w:hint="cs"/>
                          <w:color w:val="000000"/>
                          <w:szCs w:val="20"/>
                          <w:rtl/>
                          <w:lang w:bidi="ar-EG"/>
                        </w:rPr>
                        <w:t>-</w:t>
                      </w:r>
                      <w:r w:rsidRPr="003F1E60">
                        <w:rPr>
                          <w:rFonts w:ascii="Traditional Arabic" w:hAnsi="Traditional Arabic" w:cs="Traditional Arabic"/>
                          <w:color w:val="000000"/>
                          <w:szCs w:val="20"/>
                          <w:rtl/>
                          <w:lang w:bidi="ar-EG"/>
                        </w:rPr>
                        <w:t xml:space="preserve"> كربون منشط معالج</w:t>
                      </w:r>
                    </w:p>
                    <w:p w:rsidR="0093783C" w:rsidRDefault="0093783C" w:rsidP="003F1E60">
                      <w:pPr>
                        <w:spacing w:line="300" w:lineRule="exact"/>
                      </w:pPr>
                      <w:r w:rsidRPr="003F1E60">
                        <w:rPr>
                          <w:rFonts w:ascii="Traditional Arabic" w:hAnsi="Traditional Arabic" w:cs="Traditional Arabic"/>
                          <w:color w:val="000000"/>
                          <w:szCs w:val="20"/>
                          <w:rtl/>
                          <w:lang w:bidi="ar-EG"/>
                        </w:rPr>
                        <w:t xml:space="preserve">فحم حوض نهر باودر/مرسب </w:t>
                      </w:r>
                      <w:r>
                        <w:rPr>
                          <w:rFonts w:ascii="Traditional Arabic" w:hAnsi="Traditional Arabic" w:cs="Traditional Arabic" w:hint="cs"/>
                          <w:color w:val="000000"/>
                          <w:szCs w:val="20"/>
                          <w:rtl/>
                          <w:lang w:bidi="ar-EG"/>
                        </w:rPr>
                        <w:t>-</w:t>
                      </w:r>
                      <w:r w:rsidRPr="003F1E60">
                        <w:rPr>
                          <w:rFonts w:ascii="Traditional Arabic" w:hAnsi="Traditional Arabic" w:cs="Traditional Arabic"/>
                          <w:color w:val="000000"/>
                          <w:szCs w:val="20"/>
                          <w:rtl/>
                          <w:lang w:bidi="ar-EG"/>
                        </w:rPr>
                        <w:t xml:space="preserve"> كربون منشط غير معالج</w:t>
                      </w:r>
                    </w:p>
                  </w:txbxContent>
                </v:textbox>
              </v:shape>
            </w:pict>
          </mc:Fallback>
        </mc:AlternateContent>
      </w:r>
      <w:r w:rsidRPr="00335E4B">
        <w:rPr>
          <w:rFonts w:cs="Traditional Arabic"/>
          <w:sz w:val="20"/>
          <w:szCs w:val="30"/>
          <w:rtl/>
          <w:lang w:bidi="ar-EG"/>
        </w:rPr>
        <w:t xml:space="preserve">وقد لوحظ تحسن في أداء ضبط الزئبق أثناء الاختبارات الميدانية الكاملة النطاق على الكربون المنشَّط المعالج كيميائياً </w:t>
      </w:r>
      <w:r w:rsidRPr="00335E4B">
        <w:rPr>
          <w:rFonts w:cs="Traditional Arabic" w:hint="cs"/>
          <w:sz w:val="20"/>
          <w:szCs w:val="30"/>
          <w:rtl/>
          <w:lang w:bidi="ar-EG"/>
        </w:rPr>
        <w:t>الذي يحقن</w:t>
      </w:r>
      <w:r w:rsidRPr="00335E4B">
        <w:rPr>
          <w:rFonts w:cs="Traditional Arabic"/>
          <w:sz w:val="20"/>
          <w:szCs w:val="30"/>
          <w:rtl/>
          <w:lang w:bidi="ar-EG"/>
        </w:rPr>
        <w:t xml:space="preserve"> في </w:t>
      </w:r>
      <w:r w:rsidRPr="00335E4B">
        <w:rPr>
          <w:rFonts w:cs="Traditional Arabic" w:hint="cs"/>
          <w:sz w:val="20"/>
          <w:szCs w:val="30"/>
          <w:rtl/>
          <w:lang w:bidi="ar-EG"/>
        </w:rPr>
        <w:t xml:space="preserve">منبع </w:t>
      </w:r>
      <w:r w:rsidRPr="00335E4B">
        <w:rPr>
          <w:rFonts w:cs="Traditional Arabic"/>
          <w:sz w:val="20"/>
          <w:szCs w:val="30"/>
          <w:rtl/>
          <w:lang w:bidi="ar-EG"/>
        </w:rPr>
        <w:t>جهاز</w:t>
      </w:r>
      <w:r w:rsidRPr="00335E4B">
        <w:rPr>
          <w:rFonts w:cs="Traditional Arabic" w:hint="cs"/>
          <w:sz w:val="20"/>
          <w:szCs w:val="30"/>
          <w:rtl/>
          <w:lang w:bidi="ar-EG"/>
        </w:rPr>
        <w:t xml:space="preserve"> قائم</w:t>
      </w:r>
      <w:r w:rsidRPr="00335E4B">
        <w:rPr>
          <w:rFonts w:cs="Traditional Arabic"/>
          <w:sz w:val="20"/>
          <w:szCs w:val="30"/>
          <w:rtl/>
          <w:lang w:bidi="ar-EG"/>
        </w:rPr>
        <w:t xml:space="preserve"> </w:t>
      </w:r>
      <w:r w:rsidRPr="00335E4B">
        <w:rPr>
          <w:rFonts w:cs="Traditional Arabic" w:hint="cs"/>
          <w:sz w:val="20"/>
          <w:szCs w:val="30"/>
          <w:rtl/>
          <w:lang w:bidi="ar-EG"/>
        </w:rPr>
        <w:t>ل</w:t>
      </w:r>
      <w:r w:rsidRPr="00335E4B">
        <w:rPr>
          <w:rFonts w:cs="Traditional Arabic"/>
          <w:sz w:val="20"/>
          <w:szCs w:val="30"/>
          <w:rtl/>
          <w:lang w:bidi="ar-EG"/>
        </w:rPr>
        <w:t>لجسيمات (فيلي وآخرون، 2008) ويتضح ذلك في الشكل</w:t>
      </w:r>
      <w:r w:rsidRPr="00335E4B">
        <w:rPr>
          <w:rFonts w:cs="Traditional Arabic" w:hint="cs"/>
          <w:sz w:val="20"/>
          <w:szCs w:val="30"/>
          <w:rtl/>
          <w:lang w:bidi="ar-EG"/>
        </w:rPr>
        <w:t xml:space="preserve"> 10</w:t>
      </w:r>
      <w:r w:rsidRPr="00335E4B">
        <w:rPr>
          <w:rFonts w:cs="Traditional Arabic"/>
          <w:sz w:val="20"/>
          <w:szCs w:val="30"/>
          <w:rtl/>
          <w:lang w:bidi="ar-EG"/>
        </w:rPr>
        <w:t xml:space="preserve">. وكما يمكن أن يشاهد من هذا الشكل، تحقق تحسن في كفاءة التقاط الزئبق باستعمال معدلات حقن منخفضة نسبياً من الكربون المنشَّط المعالج في منشآت الطاقة التي تعمل بحرق الفحم المنخفض الكلور. وحقق الكربون المنشط المعالج ما يزيد عن 90 في المائة من التقاط الزئبق عند معدل حقن </w:t>
      </w:r>
      <w:r w:rsidRPr="00335E4B">
        <w:rPr>
          <w:rFonts w:cs="Traditional Arabic" w:hint="cs"/>
          <w:sz w:val="20"/>
          <w:szCs w:val="30"/>
          <w:rtl/>
          <w:lang w:bidi="ar-EG"/>
        </w:rPr>
        <w:t>يبلغ حوالي</w:t>
      </w:r>
      <w:r w:rsidRPr="00335E4B">
        <w:rPr>
          <w:rFonts w:cs="Traditional Arabic"/>
          <w:sz w:val="20"/>
          <w:szCs w:val="30"/>
          <w:rtl/>
          <w:lang w:bidi="ar-EG"/>
        </w:rPr>
        <w:t xml:space="preserve"> 50 م</w:t>
      </w:r>
      <w:r w:rsidRPr="00335E4B">
        <w:rPr>
          <w:rFonts w:cs="Traditional Arabic" w:hint="cs"/>
          <w:sz w:val="20"/>
          <w:szCs w:val="30"/>
          <w:rtl/>
          <w:lang w:bidi="ar-EG"/>
        </w:rPr>
        <w:t>غ</w:t>
      </w:r>
      <w:r w:rsidRPr="00335E4B">
        <w:rPr>
          <w:rFonts w:cs="Traditional Arabic"/>
          <w:sz w:val="20"/>
          <w:szCs w:val="30"/>
          <w:rtl/>
          <w:lang w:bidi="ar-EG"/>
        </w:rPr>
        <w:t>/م</w:t>
      </w:r>
      <w:r w:rsidRPr="00335E4B">
        <w:rPr>
          <w:rFonts w:cs="Traditional Arabic"/>
          <w:sz w:val="20"/>
          <w:szCs w:val="30"/>
          <w:vertAlign w:val="superscript"/>
          <w:rtl/>
          <w:lang w:bidi="ar-EG"/>
        </w:rPr>
        <w:t>3</w:t>
      </w:r>
      <w:r w:rsidRPr="00335E4B">
        <w:rPr>
          <w:rFonts w:cs="Traditional Arabic"/>
          <w:sz w:val="20"/>
          <w:szCs w:val="30"/>
          <w:rtl/>
          <w:lang w:bidi="ar-EG"/>
        </w:rPr>
        <w:t xml:space="preserve"> (فيلي، 2008). وتطلب الأمر معدلات حقن أعلى للوصول إلى كفاءة عالية لإزالة الزئبق عند استعمال </w:t>
      </w:r>
      <w:r>
        <w:rPr>
          <w:rFonts w:cs="Traditional Arabic"/>
          <w:noProof/>
          <w:sz w:val="20"/>
          <w:szCs w:val="30"/>
          <w:lang w:val="en-GB" w:eastAsia="zh-CN"/>
        </w:rPr>
        <mc:AlternateContent>
          <mc:Choice Requires="wps">
            <w:drawing>
              <wp:anchor distT="0" distB="0" distL="114300" distR="114300" simplePos="0" relativeHeight="251717632" behindDoc="0" locked="0" layoutInCell="1" allowOverlap="1" wp14:anchorId="171C6494" wp14:editId="374B4F3E">
                <wp:simplePos x="0" y="0"/>
                <wp:positionH relativeFrom="column">
                  <wp:posOffset>61595</wp:posOffset>
                </wp:positionH>
                <wp:positionV relativeFrom="paragraph">
                  <wp:posOffset>1812925</wp:posOffset>
                </wp:positionV>
                <wp:extent cx="262890" cy="1779270"/>
                <wp:effectExtent l="0" t="0" r="3810" b="381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77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B40" w:rsidRPr="002B36BF" w:rsidRDefault="00670B40" w:rsidP="002B36BF">
                            <w:pPr>
                              <w:spacing w:before="120" w:line="200" w:lineRule="exact"/>
                              <w:jc w:val="center"/>
                              <w:rPr>
                                <w:rFonts w:ascii="Traditional Arabic" w:hAnsi="Traditional Arabic" w:cs="Traditional Arabic"/>
                                <w:b/>
                                <w:bCs/>
                                <w:color w:val="000000"/>
                                <w:sz w:val="24"/>
                                <w:szCs w:val="24"/>
                                <w:lang w:bidi="ar-EG"/>
                              </w:rPr>
                            </w:pPr>
                            <w:r w:rsidRPr="002B36BF">
                              <w:rPr>
                                <w:rFonts w:ascii="Traditional Arabic" w:hAnsi="Traditional Arabic" w:cs="Traditional Arabic"/>
                                <w:b/>
                                <w:bCs/>
                                <w:color w:val="000000"/>
                                <w:sz w:val="24"/>
                                <w:szCs w:val="24"/>
                                <w:rtl/>
                                <w:lang w:bidi="ar-EG"/>
                              </w:rPr>
                              <w:t>إزالة الزئبق (</w:t>
                            </w:r>
                            <w:r w:rsidRPr="002B36BF">
                              <w:rPr>
                                <w:rFonts w:ascii="Traditional Arabic" w:hAnsi="Traditional Arabic" w:cs="Traditional Arabic"/>
                                <w:sz w:val="24"/>
                                <w:szCs w:val="24"/>
                                <w:rtl/>
                              </w:rPr>
                              <w:t>٪</w:t>
                            </w:r>
                            <w:r w:rsidRPr="002B36BF">
                              <w:rPr>
                                <w:rFonts w:ascii="Traditional Arabic" w:hAnsi="Traditional Arabic" w:cs="Traditional Arabic"/>
                                <w:b/>
                                <w:bCs/>
                                <w:color w:val="000000"/>
                                <w:sz w:val="24"/>
                                <w:szCs w:val="24"/>
                                <w:rtl/>
                                <w:lang w:bidi="ar-EG"/>
                              </w:rPr>
                              <w:t>)</w:t>
                            </w:r>
                          </w:p>
                          <w:p w:rsidR="00670B40" w:rsidRPr="002B36BF" w:rsidRDefault="00670B40" w:rsidP="00335E4B">
                            <w:pPr>
                              <w:spacing w:line="180" w:lineRule="exact"/>
                              <w:rPr>
                                <w:rFonts w:ascii="Traditional Arabic" w:hAnsi="Traditional Arabic" w:cs="Traditional Arabic"/>
                                <w:sz w:val="24"/>
                                <w:szCs w:val="2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103" type="#_x0000_t202" style="position:absolute;left:0;text-align:left;margin-left:4.85pt;margin-top:142.75pt;width:20.7pt;height:140.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" stroked="f">
                <v:textbox style="layout-flow:vertical;mso-layout-flow-alt:bottom-to-top" inset="0,0,0,0">
                  <w:txbxContent>
                    <w:p w:rsidR="0093783C" w:rsidRPr="002B36BF" w:rsidRDefault="0093783C" w:rsidP="002B36BF">
                      <w:pPr>
                        <w:spacing w:before="120" w:line="200" w:lineRule="exact"/>
                        <w:jc w:val="center"/>
                        <w:rPr>
                          <w:rFonts w:ascii="Traditional Arabic" w:hAnsi="Traditional Arabic" w:cs="Traditional Arabic"/>
                          <w:b/>
                          <w:bCs/>
                          <w:color w:val="000000"/>
                          <w:sz w:val="24"/>
                          <w:szCs w:val="24"/>
                          <w:lang w:bidi="ar-EG"/>
                        </w:rPr>
                      </w:pPr>
                      <w:r w:rsidRPr="002B36BF">
                        <w:rPr>
                          <w:rFonts w:ascii="Traditional Arabic" w:hAnsi="Traditional Arabic" w:cs="Traditional Arabic"/>
                          <w:b/>
                          <w:bCs/>
                          <w:color w:val="000000"/>
                          <w:sz w:val="24"/>
                          <w:szCs w:val="24"/>
                          <w:rtl/>
                          <w:lang w:bidi="ar-EG"/>
                        </w:rPr>
                        <w:t>إزالة الزئبق (</w:t>
                      </w:r>
                      <w:r w:rsidRPr="002B36BF">
                        <w:rPr>
                          <w:rFonts w:ascii="Traditional Arabic" w:hAnsi="Traditional Arabic" w:cs="Traditional Arabic"/>
                          <w:sz w:val="24"/>
                          <w:szCs w:val="24"/>
                          <w:rtl/>
                        </w:rPr>
                        <w:t>٪</w:t>
                      </w:r>
                      <w:r w:rsidRPr="002B36BF">
                        <w:rPr>
                          <w:rFonts w:ascii="Traditional Arabic" w:hAnsi="Traditional Arabic" w:cs="Traditional Arabic"/>
                          <w:b/>
                          <w:bCs/>
                          <w:color w:val="000000"/>
                          <w:sz w:val="24"/>
                          <w:szCs w:val="24"/>
                          <w:rtl/>
                          <w:lang w:bidi="ar-EG"/>
                        </w:rPr>
                        <w:t>)</w:t>
                      </w:r>
                    </w:p>
                    <w:p w:rsidR="0093783C" w:rsidRPr="002B36BF" w:rsidRDefault="0093783C" w:rsidP="00335E4B">
                      <w:pPr>
                        <w:spacing w:line="180" w:lineRule="exact"/>
                        <w:rPr>
                          <w:rFonts w:ascii="Traditional Arabic" w:hAnsi="Traditional Arabic" w:cs="Traditional Arabic"/>
                          <w:sz w:val="24"/>
                          <w:szCs w:val="24"/>
                        </w:rPr>
                      </w:pPr>
                    </w:p>
                  </w:txbxContent>
                </v:textbox>
              </v:shape>
            </w:pict>
          </mc:Fallback>
        </mc:AlternateContent>
      </w:r>
      <w:r w:rsidRPr="00335E4B">
        <w:rPr>
          <w:rFonts w:cs="Traditional Arabic" w:hint="cs"/>
          <w:noProof/>
          <w:sz w:val="20"/>
          <w:szCs w:val="30"/>
          <w:rtl/>
        </w:rPr>
        <w:t>كربون</w:t>
      </w:r>
      <w:r w:rsidRPr="00335E4B">
        <w:rPr>
          <w:rFonts w:cs="Traditional Arabic"/>
          <w:sz w:val="20"/>
          <w:szCs w:val="30"/>
          <w:rtl/>
          <w:lang w:bidi="ar-EG"/>
        </w:rPr>
        <w:t xml:space="preserve"> منشط غير معالج، وفي بعض الحالات، لم يكن من الممكن تحقيق التقاط بنسبة 75 في المائة.</w:t>
      </w:r>
      <w:bookmarkStart w:id="798" w:name="_Toc440527780"/>
    </w:p>
    <w:p w:rsidR="00335E4B" w:rsidRPr="00335E4B" w:rsidRDefault="00335E4B" w:rsidP="003F1E60">
      <w:pPr>
        <w:tabs>
          <w:tab w:val="left" w:pos="663"/>
          <w:tab w:val="left" w:pos="1117"/>
          <w:tab w:val="left" w:pos="2230"/>
          <w:tab w:val="center" w:pos="5468"/>
        </w:tabs>
        <w:spacing w:after="120" w:line="320" w:lineRule="exact"/>
        <w:jc w:val="both"/>
        <w:rPr>
          <w:rFonts w:cs="Traditional Arabic"/>
          <w:b/>
          <w:bCs/>
          <w:sz w:val="28"/>
          <w:rtl/>
          <w:lang w:bidi="ar-EG"/>
        </w:rPr>
      </w:pPr>
      <w:r w:rsidRPr="00335E4B">
        <w:rPr>
          <w:rFonts w:cs="Traditional Arabic"/>
          <w:b/>
          <w:bCs/>
          <w:sz w:val="28"/>
          <w:rtl/>
          <w:lang w:bidi="ar-EG"/>
        </w:rPr>
        <w:t xml:space="preserve">الشكل 10 </w:t>
      </w:r>
      <w:r w:rsidR="003F1E60">
        <w:rPr>
          <w:rFonts w:cs="Traditional Arabic" w:hint="cs"/>
          <w:b/>
          <w:bCs/>
          <w:sz w:val="28"/>
          <w:rtl/>
          <w:lang w:bidi="ar-EG"/>
        </w:rPr>
        <w:t>-</w:t>
      </w:r>
      <w:r w:rsidRPr="00335E4B">
        <w:rPr>
          <w:rFonts w:cs="Traditional Arabic"/>
          <w:b/>
          <w:bCs/>
          <w:sz w:val="28"/>
          <w:rtl/>
          <w:lang w:bidi="ar-EG"/>
        </w:rPr>
        <w:t xml:space="preserve"> مقارنة</w:t>
      </w:r>
      <w:r w:rsidRPr="00335E4B">
        <w:rPr>
          <w:rFonts w:cs="Traditional Arabic" w:hint="cs"/>
          <w:b/>
          <w:bCs/>
          <w:sz w:val="28"/>
          <w:rtl/>
          <w:lang w:bidi="ar-EG"/>
        </w:rPr>
        <w:t xml:space="preserve"> بين</w:t>
      </w:r>
      <w:r w:rsidRPr="00335E4B">
        <w:rPr>
          <w:rFonts w:cs="Traditional Arabic"/>
          <w:b/>
          <w:bCs/>
          <w:sz w:val="28"/>
          <w:rtl/>
          <w:lang w:bidi="ar-EG"/>
        </w:rPr>
        <w:t xml:space="preserve"> أداء الكربون المنشَّط غير المعالج وأداء الكربون المنشط المعالج في إزالة الزئبق</w:t>
      </w:r>
      <w:bookmarkEnd w:id="798"/>
    </w:p>
    <w:p w:rsidR="00335E4B" w:rsidRPr="00335E4B" w:rsidRDefault="00335E4B" w:rsidP="00335E4B">
      <w:pPr>
        <w:keepNext/>
        <w:spacing w:before="120" w:after="120" w:line="400" w:lineRule="exact"/>
        <w:ind w:left="990" w:hanging="990"/>
        <w:jc w:val="both"/>
        <w:outlineLvl w:val="0"/>
        <w:rPr>
          <w:rFonts w:cs="Traditional Arabic"/>
          <w:b/>
          <w:bCs/>
          <w:sz w:val="30"/>
          <w:szCs w:val="30"/>
          <w:rtl/>
        </w:rPr>
      </w:pPr>
      <w:bookmarkStart w:id="799" w:name="_Toc440456850"/>
      <w:bookmarkStart w:id="800" w:name="_Toc440526924"/>
      <w:bookmarkStart w:id="801" w:name="_Toc440527781"/>
      <w:bookmarkStart w:id="802" w:name="_Toc440550481"/>
      <w:bookmarkStart w:id="803" w:name="_Toc441577738"/>
      <w:bookmarkStart w:id="804" w:name="_Toc441577917"/>
      <w:bookmarkStart w:id="805" w:name="_Toc441579143"/>
      <w:bookmarkStart w:id="806" w:name="_Toc441580751"/>
      <w:bookmarkStart w:id="807" w:name="_Toc441585882"/>
      <w:bookmarkStart w:id="808" w:name="_Toc441586218"/>
      <w:bookmarkStart w:id="809" w:name="_Toc441586668"/>
      <w:bookmarkStart w:id="810" w:name="_Toc441586847"/>
      <w:bookmarkStart w:id="811" w:name="_Toc441666696"/>
      <w:bookmarkStart w:id="812" w:name="_Toc441673757"/>
      <w:r w:rsidRPr="00335E4B">
        <w:rPr>
          <w:rFonts w:cs="Traditional Arabic"/>
          <w:b/>
          <w:bCs/>
          <w:sz w:val="30"/>
          <w:szCs w:val="30"/>
          <w:rtl/>
        </w:rPr>
        <w:t>تقييدات انطباق حقن الكربون المنشط</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رغم أن أسلوب حقن الكربون المنشط يجري تنفيذه تجارياً في تطبيقات عديدة ومتنوعة فإن بعض </w:t>
      </w:r>
      <w:r w:rsidRPr="00335E4B">
        <w:rPr>
          <w:rFonts w:cs="Traditional Arabic" w:hint="cs"/>
          <w:sz w:val="20"/>
          <w:szCs w:val="30"/>
          <w:rtl/>
          <w:lang w:bidi="ar-EG"/>
        </w:rPr>
        <w:t>القضايا</w:t>
      </w:r>
      <w:r w:rsidRPr="00335E4B">
        <w:rPr>
          <w:rFonts w:cs="Traditional Arabic"/>
          <w:sz w:val="20"/>
          <w:szCs w:val="30"/>
          <w:rtl/>
          <w:lang w:bidi="ar-EG"/>
        </w:rPr>
        <w:t xml:space="preserve"> لا تزال </w:t>
      </w:r>
      <w:r w:rsidRPr="00335E4B">
        <w:rPr>
          <w:rFonts w:cs="Traditional Arabic" w:hint="cs"/>
          <w:sz w:val="20"/>
          <w:szCs w:val="30"/>
          <w:rtl/>
          <w:lang w:bidi="ar-EG"/>
        </w:rPr>
        <w:t>مطروحة</w:t>
      </w:r>
      <w:r w:rsidRPr="00335E4B">
        <w:rPr>
          <w:rFonts w:cs="Traditional Arabic"/>
          <w:sz w:val="20"/>
          <w:szCs w:val="30"/>
          <w:rtl/>
          <w:lang w:bidi="ar-EG"/>
        </w:rPr>
        <w:t>، بما في ذلك إمكانية تسويق الرماد المتطاير لصانعي الخرسانة وتأثير ثلاثي أكسيد الكربون على أداء نُظم حقن الكربون المنشط.</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وتوضع الأنظمة النمطية ل</w:t>
      </w:r>
      <w:r w:rsidRPr="00335E4B">
        <w:rPr>
          <w:rFonts w:cs="Traditional Arabic"/>
          <w:sz w:val="20"/>
          <w:szCs w:val="30"/>
          <w:rtl/>
          <w:lang w:bidi="ar-EG"/>
        </w:rPr>
        <w:t xml:space="preserve">حقن الكربون المنشط في </w:t>
      </w:r>
      <w:r w:rsidRPr="00335E4B">
        <w:rPr>
          <w:rFonts w:cs="Traditional Arabic" w:hint="cs"/>
          <w:sz w:val="20"/>
          <w:szCs w:val="30"/>
          <w:rtl/>
          <w:lang w:bidi="ar-EG"/>
        </w:rPr>
        <w:t>منبع</w:t>
      </w:r>
      <w:r w:rsidRPr="00335E4B">
        <w:rPr>
          <w:rFonts w:cs="Traditional Arabic"/>
          <w:sz w:val="20"/>
          <w:szCs w:val="30"/>
          <w:rtl/>
          <w:lang w:bidi="ar-EG"/>
        </w:rPr>
        <w:t xml:space="preserve"> </w:t>
      </w:r>
      <w:r w:rsidRPr="00335E4B">
        <w:rPr>
          <w:rFonts w:cs="Traditional Arabic" w:hint="cs"/>
          <w:sz w:val="20"/>
          <w:szCs w:val="30"/>
          <w:rtl/>
          <w:lang w:bidi="ar-EG"/>
        </w:rPr>
        <w:t>أجهزة</w:t>
      </w:r>
      <w:r w:rsidRPr="00335E4B">
        <w:rPr>
          <w:rFonts w:cs="Traditional Arabic"/>
          <w:sz w:val="20"/>
          <w:szCs w:val="30"/>
          <w:rtl/>
          <w:lang w:bidi="ar-EG"/>
        </w:rPr>
        <w:t xml:space="preserve"> ضبط الجسيمات الدقيقة، وهو ما يؤدي إلى </w:t>
      </w:r>
      <w:r w:rsidRPr="00335E4B">
        <w:rPr>
          <w:rFonts w:cs="Traditional Arabic" w:hint="cs"/>
          <w:sz w:val="20"/>
          <w:szCs w:val="30"/>
          <w:rtl/>
          <w:lang w:bidi="ar-EG"/>
        </w:rPr>
        <w:t>اختلاط</w:t>
      </w:r>
      <w:r w:rsidRPr="00335E4B">
        <w:rPr>
          <w:rFonts w:cs="Traditional Arabic"/>
          <w:sz w:val="20"/>
          <w:szCs w:val="30"/>
          <w:rtl/>
          <w:lang w:bidi="ar-EG"/>
        </w:rPr>
        <w:t xml:space="preserve"> المادة الماصة </w:t>
      </w:r>
      <w:r w:rsidRPr="00335E4B">
        <w:rPr>
          <w:rFonts w:cs="Traditional Arabic" w:hint="cs"/>
          <w:sz w:val="20"/>
          <w:szCs w:val="30"/>
          <w:rtl/>
          <w:lang w:bidi="ar-EG"/>
        </w:rPr>
        <w:t xml:space="preserve">مع </w:t>
      </w:r>
      <w:r w:rsidRPr="00335E4B">
        <w:rPr>
          <w:rFonts w:cs="Traditional Arabic"/>
          <w:sz w:val="20"/>
          <w:szCs w:val="30"/>
          <w:rtl/>
          <w:lang w:bidi="ar-EG"/>
        </w:rPr>
        <w:t xml:space="preserve">الرماد المتطاير. وفي حين أن هذا لا يشكل مصدراً للقلق في حالة عدم بيع الرماد المتطاير لإنتاج الخرسانة، </w:t>
      </w:r>
      <w:r w:rsidRPr="00335E4B">
        <w:rPr>
          <w:rFonts w:cs="Traditional Arabic" w:hint="cs"/>
          <w:sz w:val="20"/>
          <w:szCs w:val="30"/>
          <w:rtl/>
          <w:lang w:bidi="ar-EG"/>
        </w:rPr>
        <w:t>فإن</w:t>
      </w:r>
      <w:r w:rsidRPr="00335E4B">
        <w:rPr>
          <w:rFonts w:cs="Traditional Arabic"/>
          <w:sz w:val="20"/>
          <w:szCs w:val="30"/>
          <w:rtl/>
          <w:lang w:bidi="ar-EG"/>
        </w:rPr>
        <w:t xml:space="preserve"> هذه الخلطة يمكن أن تؤثر سلباً على استعمال الرماد المتطاير في إنتاج الخرسانة. وتتسم نوعية الخرسانة بالحساسية بصورة خاصة إ</w:t>
      </w:r>
      <w:r w:rsidRPr="00335E4B">
        <w:rPr>
          <w:rFonts w:cs="Traditional Arabic" w:hint="cs"/>
          <w:sz w:val="20"/>
          <w:szCs w:val="30"/>
          <w:rtl/>
          <w:lang w:bidi="ar-EG"/>
        </w:rPr>
        <w:t>زاء</w:t>
      </w:r>
      <w:r w:rsidRPr="00335E4B">
        <w:rPr>
          <w:rFonts w:cs="Traditional Arabic"/>
          <w:sz w:val="20"/>
          <w:szCs w:val="30"/>
          <w:rtl/>
          <w:lang w:bidi="ar-EG"/>
        </w:rPr>
        <w:t xml:space="preserve"> المحتوى الكربوني، وتتأثر أيضاً بالمساحة السطحية للكربون الموجود في الرماد المتطاير. </w:t>
      </w:r>
    </w:p>
    <w:p w:rsidR="00335E4B" w:rsidRPr="00335E4B" w:rsidRDefault="00335E4B" w:rsidP="00E371AF">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ويتمثل أحد الأساليب الفعالة للقضاء على التلوث بالرماد المتطاير في </w:t>
      </w:r>
      <w:r w:rsidRPr="00335E4B">
        <w:rPr>
          <w:rFonts w:cs="Traditional Arabic" w:hint="cs"/>
          <w:sz w:val="20"/>
          <w:szCs w:val="30"/>
          <w:rtl/>
          <w:lang w:bidi="ar-EG"/>
        </w:rPr>
        <w:t>وضع</w:t>
      </w:r>
      <w:r w:rsidRPr="00335E4B">
        <w:rPr>
          <w:rFonts w:cs="Traditional Arabic"/>
          <w:sz w:val="20"/>
          <w:szCs w:val="30"/>
          <w:rtl/>
          <w:lang w:bidi="ar-EG"/>
        </w:rPr>
        <w:t xml:space="preserve"> مرشح نسيجي إضافي في </w:t>
      </w:r>
      <w:r w:rsidRPr="00335E4B">
        <w:rPr>
          <w:rFonts w:cs="Traditional Arabic" w:hint="cs"/>
          <w:sz w:val="20"/>
          <w:szCs w:val="30"/>
          <w:rtl/>
          <w:lang w:bidi="ar-EG"/>
        </w:rPr>
        <w:t>مخرج</w:t>
      </w:r>
      <w:r w:rsidRPr="00335E4B">
        <w:rPr>
          <w:rFonts w:cs="Traditional Arabic"/>
          <w:sz w:val="20"/>
          <w:szCs w:val="30"/>
          <w:rtl/>
          <w:lang w:bidi="ar-EG"/>
        </w:rPr>
        <w:t xml:space="preserve"> </w:t>
      </w:r>
      <w:r w:rsidRPr="00335E4B">
        <w:rPr>
          <w:rFonts w:cs="Traditional Arabic" w:hint="cs"/>
          <w:sz w:val="20"/>
          <w:szCs w:val="30"/>
          <w:rtl/>
          <w:lang w:bidi="ar-EG"/>
        </w:rPr>
        <w:t>ا</w:t>
      </w:r>
      <w:r w:rsidRPr="00335E4B">
        <w:rPr>
          <w:rFonts w:cs="Traditional Arabic"/>
          <w:sz w:val="20"/>
          <w:szCs w:val="30"/>
          <w:rtl/>
          <w:lang w:bidi="ar-EG"/>
        </w:rPr>
        <w:t xml:space="preserve">لمرسب الكهروستاتيكي الموجود أو حقن الكربون المنشط بعد جهاز الجسيمات الدقيقة وفي </w:t>
      </w:r>
      <w:r w:rsidRPr="00335E4B">
        <w:rPr>
          <w:rFonts w:cs="Traditional Arabic" w:hint="cs"/>
          <w:sz w:val="20"/>
          <w:szCs w:val="30"/>
          <w:rtl/>
          <w:lang w:bidi="ar-EG"/>
        </w:rPr>
        <w:t>ال</w:t>
      </w:r>
      <w:r w:rsidRPr="00335E4B">
        <w:rPr>
          <w:rFonts w:cs="Traditional Arabic"/>
          <w:sz w:val="20"/>
          <w:szCs w:val="30"/>
          <w:rtl/>
          <w:lang w:bidi="ar-EG"/>
        </w:rPr>
        <w:t>نظام الرط</w:t>
      </w:r>
      <w:r w:rsidRPr="00335E4B">
        <w:rPr>
          <w:rFonts w:cs="Traditional Arabic" w:hint="cs"/>
          <w:sz w:val="20"/>
          <w:szCs w:val="30"/>
          <w:rtl/>
          <w:lang w:bidi="ar-EG"/>
        </w:rPr>
        <w:t>ب</w:t>
      </w:r>
      <w:r w:rsidRPr="00335E4B">
        <w:rPr>
          <w:rFonts w:cs="Traditional Arabic"/>
          <w:sz w:val="20"/>
          <w:szCs w:val="30"/>
          <w:rtl/>
          <w:lang w:bidi="ar-EG"/>
        </w:rPr>
        <w:t xml:space="preserve"> لإزالة الكبريت من غاز المدخنة، الذي قد يؤثر على نوعية الجبس الناتج من نظام </w:t>
      </w:r>
      <w:r w:rsidRPr="00335E4B">
        <w:rPr>
          <w:rFonts w:cs="Traditional Arabic" w:hint="cs"/>
          <w:sz w:val="20"/>
          <w:szCs w:val="30"/>
          <w:rtl/>
          <w:lang w:bidi="ar-EG"/>
        </w:rPr>
        <w:t>إزالة الكبريت</w:t>
      </w:r>
      <w:r w:rsidRPr="00335E4B">
        <w:rPr>
          <w:rFonts w:cs="Traditional Arabic"/>
          <w:sz w:val="20"/>
          <w:szCs w:val="30"/>
          <w:rtl/>
          <w:lang w:bidi="ar-EG"/>
        </w:rPr>
        <w:t xml:space="preserve"> (ميلر وآخرون، 2014؛ وميمنا وآخرون، 2014). وبالإضافة إلى ذلك، </w:t>
      </w:r>
      <w:r w:rsidRPr="00335E4B">
        <w:rPr>
          <w:rFonts w:cs="Traditional Arabic" w:hint="cs"/>
          <w:sz w:val="20"/>
          <w:szCs w:val="30"/>
          <w:rtl/>
          <w:lang w:bidi="ar-EG"/>
        </w:rPr>
        <w:t>فإن</w:t>
      </w:r>
      <w:r w:rsidRPr="00335E4B">
        <w:rPr>
          <w:rFonts w:cs="Traditional Arabic"/>
          <w:sz w:val="20"/>
          <w:szCs w:val="30"/>
          <w:rtl/>
          <w:lang w:bidi="ar-EG"/>
        </w:rPr>
        <w:t xml:space="preserve"> كمية الفحم المنشَّط المعالج المطلوب</w:t>
      </w:r>
      <w:r w:rsidRPr="00335E4B">
        <w:rPr>
          <w:rFonts w:cs="Traditional Arabic" w:hint="cs"/>
          <w:sz w:val="20"/>
          <w:szCs w:val="30"/>
          <w:rtl/>
          <w:lang w:bidi="ar-EG"/>
        </w:rPr>
        <w:t>ة</w:t>
      </w:r>
      <w:r w:rsidRPr="00335E4B">
        <w:rPr>
          <w:rFonts w:cs="Traditional Arabic"/>
          <w:sz w:val="20"/>
          <w:szCs w:val="30"/>
          <w:rtl/>
          <w:lang w:bidi="ar-EG"/>
        </w:rPr>
        <w:t xml:space="preserve"> لتخفيض </w:t>
      </w:r>
      <w:r w:rsidRPr="00335E4B">
        <w:rPr>
          <w:rFonts w:cs="Traditional Arabic" w:hint="cs"/>
          <w:sz w:val="20"/>
          <w:szCs w:val="30"/>
          <w:rtl/>
          <w:lang w:bidi="ar-EG"/>
        </w:rPr>
        <w:t>الزئبق</w:t>
      </w:r>
      <w:r w:rsidRPr="00335E4B">
        <w:rPr>
          <w:rFonts w:cs="Traditional Arabic"/>
          <w:sz w:val="20"/>
          <w:szCs w:val="30"/>
          <w:rtl/>
          <w:lang w:bidi="ar-EG"/>
        </w:rPr>
        <w:t xml:space="preserve"> بمقدار يزيد عن 85 في المائة </w:t>
      </w:r>
      <w:r w:rsidRPr="00335E4B">
        <w:rPr>
          <w:rFonts w:cs="Traditional Arabic" w:hint="cs"/>
          <w:sz w:val="20"/>
          <w:szCs w:val="30"/>
          <w:rtl/>
          <w:lang w:bidi="ar-EG"/>
        </w:rPr>
        <w:t xml:space="preserve">قد تنخفض لتصل </w:t>
      </w:r>
      <w:r w:rsidRPr="00335E4B">
        <w:rPr>
          <w:rFonts w:cs="Traditional Arabic"/>
          <w:sz w:val="20"/>
          <w:szCs w:val="30"/>
          <w:rtl/>
          <w:lang w:bidi="ar-EG"/>
        </w:rPr>
        <w:t>إلى 8 م</w:t>
      </w:r>
      <w:r w:rsidRPr="00335E4B">
        <w:rPr>
          <w:rFonts w:cs="Traditional Arabic" w:hint="cs"/>
          <w:sz w:val="20"/>
          <w:szCs w:val="30"/>
          <w:rtl/>
          <w:lang w:bidi="ar-EG"/>
        </w:rPr>
        <w:t>غ</w:t>
      </w:r>
      <w:r w:rsidRPr="00335E4B">
        <w:rPr>
          <w:rFonts w:cs="Traditional Arabic"/>
          <w:sz w:val="20"/>
          <w:szCs w:val="30"/>
          <w:rtl/>
          <w:lang w:bidi="ar-EG"/>
        </w:rPr>
        <w:t>/م</w:t>
      </w:r>
      <w:r w:rsidRPr="00335E4B">
        <w:rPr>
          <w:rFonts w:cs="Traditional Arabic"/>
          <w:sz w:val="20"/>
          <w:szCs w:val="30"/>
          <w:vertAlign w:val="superscript"/>
          <w:rtl/>
          <w:lang w:bidi="ar-EG"/>
        </w:rPr>
        <w:t>3</w:t>
      </w:r>
      <w:r w:rsidRPr="00335E4B">
        <w:rPr>
          <w:rFonts w:cs="Traditional Arabic"/>
          <w:sz w:val="20"/>
          <w:szCs w:val="30"/>
          <w:rtl/>
          <w:lang w:bidi="ar-EG"/>
        </w:rPr>
        <w:t xml:space="preserve"> في بعض المنشآت التي تعمل بحرق الفحم المنخفض الزئبق وتستخدم مرشحات نسيجية لضبط الجسيمات الدقيقة. وفي هذه الحالات، فإن وجود الكربون المنشط في الرماد المتطاير قد لا يؤثر على بيع الرماد المتطاير لأغراض الخرسانة.</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وقد تم تطوير مواد </w:t>
      </w:r>
      <w:r w:rsidRPr="00335E4B">
        <w:rPr>
          <w:rFonts w:cs="Traditional Arabic" w:hint="cs"/>
          <w:sz w:val="20"/>
          <w:szCs w:val="30"/>
          <w:rtl/>
          <w:lang w:bidi="ar-EG"/>
        </w:rPr>
        <w:t xml:space="preserve">كربونية </w:t>
      </w:r>
      <w:r w:rsidRPr="00335E4B">
        <w:rPr>
          <w:rFonts w:cs="Traditional Arabic"/>
          <w:sz w:val="20"/>
          <w:szCs w:val="30"/>
          <w:rtl/>
          <w:lang w:bidi="ar-EG"/>
        </w:rPr>
        <w:t xml:space="preserve">ماصة </w:t>
      </w:r>
      <w:r w:rsidRPr="00335E4B">
        <w:rPr>
          <w:rFonts w:cs="Traditional Arabic" w:hint="cs"/>
          <w:sz w:val="20"/>
          <w:szCs w:val="30"/>
          <w:rtl/>
          <w:lang w:bidi="ar-EG"/>
        </w:rPr>
        <w:t>متوافقة</w:t>
      </w:r>
      <w:r w:rsidRPr="00335E4B">
        <w:rPr>
          <w:rFonts w:cs="Traditional Arabic"/>
          <w:sz w:val="20"/>
          <w:szCs w:val="30"/>
          <w:rtl/>
          <w:lang w:bidi="ar-EG"/>
        </w:rPr>
        <w:t xml:space="preserve"> مع الخرسانة تسمح لبعض منشآت الطاقة العاملة بحرق الفحم بمواصلة تسويق الرماد المتطاير لأغراض إنتاج الخرسانة (نيلسون وآخرون، 2006؛ ولاندريث وآخرون، 2012). وتستخدم هذه المواد تجارياً في الولايات المتحدة. </w:t>
      </w:r>
    </w:p>
    <w:p w:rsidR="00335E4B" w:rsidRPr="00335E4B" w:rsidRDefault="00335E4B" w:rsidP="003F1E60">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وجرت أيضاً اختبارات على بعض المواد الماصة الأخرى غير الكربونية المخصصة للحفاظ على نوعية الرماد المتطاير وتسمح في الوقت نفسه بمعدلات حقن مواد ماصة قادرة على تحقيق ما يصل إلى قرابة 85 في المائة من إزالة الزئبق (كانغ وآخرون؛ 2007). وبالمثل، تم تطوير تقنيات للقيام بمعالجة لاحقة للرماد المتطاير من أجل إزالة الكربون غير المحروق</w:t>
      </w:r>
      <w:r w:rsidRPr="00335E4B">
        <w:rPr>
          <w:rFonts w:cs="Traditional Arabic" w:hint="cs"/>
          <w:sz w:val="20"/>
          <w:szCs w:val="30"/>
          <w:rtl/>
          <w:lang w:bidi="ar-EG"/>
        </w:rPr>
        <w:t xml:space="preserve"> والكربون المنشط</w:t>
      </w:r>
      <w:r w:rsidRPr="00335E4B">
        <w:rPr>
          <w:rFonts w:cs="Traditional Arabic"/>
          <w:sz w:val="20"/>
          <w:szCs w:val="30"/>
          <w:rtl/>
          <w:lang w:bidi="ar-EG"/>
        </w:rPr>
        <w:t>. وتشمل هذه التقنيات المعالجة الحرارية للرماد المتطاير والفصل الكهروستاتيكي للكربون عن الرماد المتطاير.</w:t>
      </w:r>
    </w:p>
    <w:p w:rsidR="00335E4B" w:rsidRPr="00335E4B" w:rsidRDefault="00335E4B" w:rsidP="003F1E60">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وأظهرت الاختبارات أن ثلاثي أكسيد الكبريت في غاز المدخنة، حتى وإن كان بتركيزات منخفضة، يمكن أن </w:t>
      </w:r>
      <w:r w:rsidRPr="00335E4B">
        <w:rPr>
          <w:rFonts w:cs="Traditional Arabic" w:hint="cs"/>
          <w:sz w:val="20"/>
          <w:szCs w:val="30"/>
          <w:rtl/>
          <w:lang w:bidi="ar-EG"/>
        </w:rPr>
        <w:t>يخل ب</w:t>
      </w:r>
      <w:r w:rsidRPr="00335E4B">
        <w:rPr>
          <w:rFonts w:cs="Traditional Arabic"/>
          <w:sz w:val="20"/>
          <w:szCs w:val="30"/>
          <w:rtl/>
          <w:lang w:bidi="ar-EG"/>
        </w:rPr>
        <w:t xml:space="preserve">أداء نُظم حقن الكربون المنشط ويبدو أن ثلاثي أكسيد الكبريت يتنافس مع الزئبق على مواقع الامتزاز في سطح المادة الماصة، وبذلك يقلل من أدائه. وقد تكون هذه الظاهرة هامة بصورة خاصة بالنسبة لتطبيقات حقن الكربون المنشط في المنشآت العاملة بحرق الفحم الذي يحتوي على نسبة عالية من الكبريت. </w:t>
      </w:r>
      <w:r w:rsidRPr="00335E4B">
        <w:rPr>
          <w:rFonts w:cs="Traditional Arabic" w:hint="cs"/>
          <w:sz w:val="20"/>
          <w:szCs w:val="30"/>
          <w:rtl/>
          <w:lang w:bidi="ar-EG"/>
        </w:rPr>
        <w:t>و</w:t>
      </w:r>
      <w:r w:rsidRPr="00335E4B">
        <w:rPr>
          <w:rFonts w:cs="Traditional Arabic"/>
          <w:sz w:val="20"/>
          <w:szCs w:val="30"/>
          <w:rtl/>
          <w:lang w:bidi="ar-EG"/>
        </w:rPr>
        <w:t xml:space="preserve">أحد الحلول الممكنة </w:t>
      </w:r>
      <w:r w:rsidRPr="00335E4B">
        <w:rPr>
          <w:rFonts w:cs="Traditional Arabic" w:hint="cs"/>
          <w:sz w:val="20"/>
          <w:szCs w:val="30"/>
          <w:rtl/>
          <w:lang w:bidi="ar-EG"/>
        </w:rPr>
        <w:t>لمسألة الخلل الذي قد يسببه</w:t>
      </w:r>
      <w:r w:rsidRPr="00335E4B">
        <w:rPr>
          <w:rFonts w:cs="Traditional Arabic"/>
          <w:sz w:val="20"/>
          <w:szCs w:val="30"/>
          <w:rtl/>
          <w:lang w:bidi="ar-EG"/>
        </w:rPr>
        <w:t xml:space="preserve"> ثلاثي أكسيد الكبريت</w:t>
      </w:r>
      <w:r w:rsidRPr="00335E4B">
        <w:rPr>
          <w:rFonts w:cs="Traditional Arabic" w:hint="cs"/>
          <w:sz w:val="20"/>
          <w:szCs w:val="30"/>
          <w:rtl/>
          <w:lang w:bidi="ar-EG"/>
        </w:rPr>
        <w:t xml:space="preserve"> يتمثل</w:t>
      </w:r>
      <w:r w:rsidRPr="00335E4B">
        <w:rPr>
          <w:rFonts w:cs="Traditional Arabic"/>
          <w:sz w:val="20"/>
          <w:szCs w:val="30"/>
          <w:rtl/>
          <w:lang w:bidi="ar-EG"/>
        </w:rPr>
        <w:t xml:space="preserve"> في الجمع بين حقن المواد الماصة للزئبق والمواد القلوية. ويجري استعمال بعض المواد القلوية كما أشير في فيلي وجونز (2009). وتشمل هذه المواد هيدروكسيد الكالسيوم </w:t>
      </w:r>
      <w:r w:rsidRPr="00335E4B">
        <w:rPr>
          <w:rFonts w:cs="Times New Roman"/>
          <w:sz w:val="20"/>
          <w:szCs w:val="20"/>
          <w:rtl/>
          <w:lang w:bidi="ar-EG"/>
        </w:rPr>
        <w:t>(</w:t>
      </w:r>
      <w:r w:rsidRPr="00335E4B">
        <w:rPr>
          <w:rFonts w:eastAsia="SimSun" w:cs="Times New Roman"/>
          <w:sz w:val="20"/>
          <w:szCs w:val="20"/>
        </w:rPr>
        <w:t>Ca(OH)</w:t>
      </w:r>
      <w:r w:rsidRPr="00335E4B">
        <w:rPr>
          <w:rFonts w:eastAsia="SimSun" w:cs="Times New Roman"/>
          <w:sz w:val="20"/>
          <w:szCs w:val="20"/>
          <w:vertAlign w:val="subscript"/>
        </w:rPr>
        <w:t>2</w:t>
      </w:r>
      <w:r w:rsidRPr="00335E4B">
        <w:rPr>
          <w:rFonts w:cs="Times New Roman"/>
          <w:sz w:val="20"/>
          <w:szCs w:val="20"/>
          <w:rtl/>
          <w:lang w:bidi="ar-EG"/>
        </w:rPr>
        <w:t>)</w:t>
      </w:r>
      <w:r w:rsidRPr="00335E4B">
        <w:rPr>
          <w:rFonts w:cs="Traditional Arabic"/>
          <w:sz w:val="20"/>
          <w:szCs w:val="30"/>
          <w:rtl/>
          <w:lang w:bidi="ar-EG"/>
        </w:rPr>
        <w:t xml:space="preserve"> </w:t>
      </w:r>
      <w:r w:rsidRPr="00335E4B">
        <w:rPr>
          <w:rFonts w:cs="Traditional Arabic" w:hint="cs"/>
          <w:sz w:val="20"/>
          <w:szCs w:val="30"/>
          <w:rtl/>
          <w:lang w:bidi="ar-EG"/>
        </w:rPr>
        <w:t>وبي</w:t>
      </w:r>
      <w:r w:rsidRPr="00335E4B">
        <w:rPr>
          <w:rFonts w:cs="Traditional Arabic"/>
          <w:sz w:val="20"/>
          <w:szCs w:val="30"/>
          <w:rtl/>
          <w:lang w:bidi="ar-EG"/>
        </w:rPr>
        <w:t xml:space="preserve">كربونات الصوديوم </w:t>
      </w:r>
      <w:r w:rsidRPr="00335E4B">
        <w:rPr>
          <w:rFonts w:cs="Times New Roman"/>
          <w:sz w:val="20"/>
          <w:szCs w:val="20"/>
          <w:rtl/>
          <w:lang w:bidi="ar-EG"/>
        </w:rPr>
        <w:t>(</w:t>
      </w:r>
      <w:r w:rsidRPr="00335E4B">
        <w:rPr>
          <w:rFonts w:eastAsia="SimSun" w:cs="Times New Roman"/>
          <w:sz w:val="20"/>
          <w:szCs w:val="20"/>
        </w:rPr>
        <w:t>NaHCO</w:t>
      </w:r>
      <w:r w:rsidRPr="00335E4B">
        <w:rPr>
          <w:rFonts w:eastAsia="SimSun" w:cs="Times New Roman"/>
          <w:sz w:val="20"/>
          <w:szCs w:val="20"/>
          <w:vertAlign w:val="subscript"/>
        </w:rPr>
        <w:t>3</w:t>
      </w:r>
      <w:r w:rsidRPr="00335E4B">
        <w:rPr>
          <w:rFonts w:cs="Times New Roman"/>
          <w:sz w:val="20"/>
          <w:szCs w:val="20"/>
          <w:rtl/>
          <w:lang w:bidi="ar-EG"/>
        </w:rPr>
        <w:t>)</w:t>
      </w:r>
      <w:r w:rsidRPr="00335E4B">
        <w:rPr>
          <w:rFonts w:cs="Traditional Arabic"/>
          <w:sz w:val="20"/>
          <w:szCs w:val="30"/>
          <w:rtl/>
          <w:lang w:bidi="ar-EG"/>
        </w:rPr>
        <w:t xml:space="preserve"> </w:t>
      </w:r>
      <w:r w:rsidRPr="00335E4B">
        <w:rPr>
          <w:rFonts w:cs="Traditional Arabic" w:hint="cs"/>
          <w:sz w:val="20"/>
          <w:szCs w:val="30"/>
          <w:rtl/>
          <w:lang w:bidi="ar-EG"/>
        </w:rPr>
        <w:t>وسيسكي</w:t>
      </w:r>
      <w:r w:rsidRPr="00335E4B">
        <w:rPr>
          <w:rFonts w:cs="Traditional Arabic"/>
          <w:sz w:val="20"/>
          <w:szCs w:val="30"/>
          <w:rtl/>
          <w:lang w:bidi="ar-EG"/>
        </w:rPr>
        <w:t>كربونات الصوديوم (ترونا).</w:t>
      </w:r>
    </w:p>
    <w:p w:rsidR="00335E4B" w:rsidRPr="00335E4B" w:rsidRDefault="00335E4B" w:rsidP="006F7165">
      <w:pPr>
        <w:tabs>
          <w:tab w:val="left" w:pos="663"/>
          <w:tab w:val="left" w:pos="1117"/>
          <w:tab w:val="left" w:pos="2230"/>
          <w:tab w:val="center" w:pos="5468"/>
        </w:tabs>
        <w:spacing w:after="120" w:line="400" w:lineRule="exact"/>
        <w:jc w:val="both"/>
        <w:rPr>
          <w:rFonts w:cs="Traditional Arabic"/>
          <w:i/>
          <w:iCs/>
          <w:sz w:val="20"/>
          <w:szCs w:val="30"/>
          <w:rtl/>
          <w:lang w:bidi="ar-EG"/>
        </w:rPr>
      </w:pPr>
      <w:r w:rsidRPr="00335E4B">
        <w:rPr>
          <w:rFonts w:cs="Traditional Arabic"/>
          <w:i/>
          <w:iCs/>
          <w:sz w:val="20"/>
          <w:szCs w:val="30"/>
          <w:rtl/>
          <w:lang w:bidi="ar-EG"/>
        </w:rPr>
        <w:t xml:space="preserve">آثار حقن الكربون المنشَّط الشاملة لعدة </w:t>
      </w:r>
      <w:r w:rsidR="006F7165" w:rsidRPr="006F7165">
        <w:rPr>
          <w:rFonts w:cs="Traditional Arabic"/>
          <w:i/>
          <w:iCs/>
          <w:sz w:val="20"/>
          <w:szCs w:val="30"/>
          <w:rtl/>
          <w:lang w:bidi="ar-EG"/>
        </w:rPr>
        <w:t>أوساط</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يمكن أن يؤدي حقن الكربون المنشط غير المتوافق مع الخرسانة إلى </w:t>
      </w:r>
      <w:r w:rsidRPr="00335E4B">
        <w:rPr>
          <w:rFonts w:cs="Traditional Arabic" w:hint="cs"/>
          <w:sz w:val="20"/>
          <w:szCs w:val="30"/>
          <w:rtl/>
          <w:lang w:bidi="ar-EG"/>
        </w:rPr>
        <w:t>عدم القدرة على</w:t>
      </w:r>
      <w:r w:rsidRPr="00335E4B">
        <w:rPr>
          <w:rFonts w:cs="Traditional Arabic"/>
          <w:sz w:val="20"/>
          <w:szCs w:val="30"/>
          <w:rtl/>
          <w:lang w:bidi="ar-EG"/>
        </w:rPr>
        <w:t xml:space="preserve"> استعمال الرماد المتطاير في الخرسانة ولذلك يمكن أن </w:t>
      </w:r>
      <w:r w:rsidRPr="00335E4B">
        <w:rPr>
          <w:rFonts w:cs="Traditional Arabic" w:hint="cs"/>
          <w:sz w:val="20"/>
          <w:szCs w:val="30"/>
          <w:rtl/>
          <w:lang w:bidi="ar-EG"/>
        </w:rPr>
        <w:t>ت</w:t>
      </w:r>
      <w:r w:rsidRPr="00335E4B">
        <w:rPr>
          <w:rFonts w:cs="Traditional Arabic"/>
          <w:sz w:val="20"/>
          <w:szCs w:val="30"/>
          <w:rtl/>
          <w:lang w:bidi="ar-EG"/>
        </w:rPr>
        <w:t xml:space="preserve">زيد كميات الرماد المتطاير المرسلة إلى مدافن القمامة. وتشير الاختبارات التي </w:t>
      </w:r>
      <w:r w:rsidRPr="00335E4B">
        <w:rPr>
          <w:rFonts w:cs="Traditional Arabic" w:hint="cs"/>
          <w:sz w:val="20"/>
          <w:szCs w:val="30"/>
          <w:rtl/>
          <w:lang w:bidi="ar-EG"/>
        </w:rPr>
        <w:t>أجريت</w:t>
      </w:r>
      <w:r w:rsidRPr="00335E4B">
        <w:rPr>
          <w:rFonts w:cs="Traditional Arabic"/>
          <w:sz w:val="20"/>
          <w:szCs w:val="30"/>
          <w:rtl/>
          <w:lang w:bidi="ar-EG"/>
        </w:rPr>
        <w:t xml:space="preserve"> على نوعين من الكربون المنشط التجاري إلى أن الزئبق الملتقط بواسطة الكربون المنشط مستقر بدرجة كافية لتوفير </w:t>
      </w:r>
      <w:r w:rsidRPr="00335E4B">
        <w:rPr>
          <w:rFonts w:cs="Traditional Arabic" w:hint="cs"/>
          <w:sz w:val="20"/>
          <w:szCs w:val="30"/>
          <w:rtl/>
          <w:lang w:bidi="ar-EG"/>
        </w:rPr>
        <w:t>عزل</w:t>
      </w:r>
      <w:r w:rsidRPr="00335E4B">
        <w:rPr>
          <w:rFonts w:cs="Traditional Arabic"/>
          <w:sz w:val="20"/>
          <w:szCs w:val="30"/>
          <w:rtl/>
          <w:lang w:bidi="ar-EG"/>
        </w:rPr>
        <w:t xml:space="preserve"> دائم للزئبق في المواد الماصة من الكربون المنشط بعد التخلص منه (غرايدون وآخرون، 2009؛ ووكالة حماية البيئة في الولايات المتحدة، 2006؛ ووكالة حماية البيئة في الولايات المتحدة، 2009أ). </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وحقن الكربون المنشط في </w:t>
      </w:r>
      <w:r w:rsidRPr="00335E4B">
        <w:rPr>
          <w:rFonts w:cs="Traditional Arabic" w:hint="cs"/>
          <w:sz w:val="20"/>
          <w:szCs w:val="30"/>
          <w:rtl/>
          <w:lang w:bidi="ar-EG"/>
        </w:rPr>
        <w:t>منبع</w:t>
      </w:r>
      <w:r w:rsidRPr="00335E4B">
        <w:rPr>
          <w:rFonts w:cs="Traditional Arabic"/>
          <w:sz w:val="20"/>
          <w:szCs w:val="30"/>
          <w:rtl/>
          <w:lang w:bidi="ar-EG"/>
        </w:rPr>
        <w:t xml:space="preserve"> جهاز ضبط الجسيمات يؤثر على نوعية الرماد المتطاير كنتيجة لخلط الكربون المنشط والرماد المتطاير. </w:t>
      </w:r>
      <w:r w:rsidRPr="00335E4B">
        <w:rPr>
          <w:rFonts w:cs="Traditional Arabic" w:hint="cs"/>
          <w:sz w:val="20"/>
          <w:szCs w:val="30"/>
          <w:rtl/>
          <w:lang w:bidi="ar-EG"/>
        </w:rPr>
        <w:t>ويوجد</w:t>
      </w:r>
      <w:r w:rsidRPr="00335E4B">
        <w:rPr>
          <w:rFonts w:cs="Traditional Arabic"/>
          <w:sz w:val="20"/>
          <w:szCs w:val="30"/>
          <w:rtl/>
          <w:lang w:bidi="ar-EG"/>
        </w:rPr>
        <w:t xml:space="preserve"> احتمال </w:t>
      </w:r>
      <w:r w:rsidRPr="00335E4B">
        <w:rPr>
          <w:rFonts w:cs="Traditional Arabic" w:hint="cs"/>
          <w:sz w:val="20"/>
          <w:szCs w:val="30"/>
          <w:rtl/>
          <w:lang w:bidi="ar-EG"/>
        </w:rPr>
        <w:t>ل</w:t>
      </w:r>
      <w:r w:rsidRPr="00335E4B">
        <w:rPr>
          <w:rFonts w:cs="Traditional Arabic"/>
          <w:sz w:val="20"/>
          <w:szCs w:val="30"/>
          <w:rtl/>
          <w:lang w:bidi="ar-EG"/>
        </w:rPr>
        <w:t>انبعاث زئبق ثانوي من الرماد المتطاير عند تعرضه لدرجات حرارة مرتفعة أثناء إعادة استعمال الرماد المتطاير، وذلك مثلاً عند استعمال الرماد المتطاير لصناعة الأسمنت أو صناعة الطوب (فلوغوفت - هاسيت وآخرون، 2007).</w:t>
      </w:r>
    </w:p>
    <w:p w:rsidR="00335E4B" w:rsidRPr="00335E4B" w:rsidRDefault="00335E4B" w:rsidP="00335E4B">
      <w:pPr>
        <w:keepNext/>
        <w:spacing w:before="120" w:after="120" w:line="400" w:lineRule="exact"/>
        <w:ind w:left="849" w:hanging="851"/>
        <w:jc w:val="both"/>
        <w:outlineLvl w:val="0"/>
        <w:rPr>
          <w:rFonts w:cs="Traditional Arabic"/>
          <w:b/>
          <w:bCs/>
          <w:sz w:val="30"/>
          <w:szCs w:val="30"/>
          <w:rtl/>
        </w:rPr>
      </w:pPr>
      <w:bookmarkStart w:id="813" w:name="_Toc440456851"/>
      <w:bookmarkStart w:id="814" w:name="_Toc440526925"/>
      <w:bookmarkStart w:id="815" w:name="_Toc440527782"/>
      <w:bookmarkStart w:id="816" w:name="_Toc440550482"/>
      <w:bookmarkStart w:id="817" w:name="_Toc441577739"/>
      <w:bookmarkStart w:id="818" w:name="_Toc441577918"/>
      <w:bookmarkStart w:id="819" w:name="_Toc441579144"/>
      <w:bookmarkStart w:id="820" w:name="_Toc441580752"/>
      <w:bookmarkStart w:id="821" w:name="_Toc441585883"/>
      <w:bookmarkStart w:id="822" w:name="_Toc441586219"/>
      <w:bookmarkStart w:id="823" w:name="_Toc441586669"/>
      <w:bookmarkStart w:id="824" w:name="_Toc441586848"/>
      <w:bookmarkStart w:id="825" w:name="_Toc441666697"/>
      <w:bookmarkStart w:id="826" w:name="_Toc441673758"/>
      <w:r w:rsidRPr="00335E4B">
        <w:rPr>
          <w:rFonts w:cs="Traditional Arabic"/>
          <w:b/>
          <w:bCs/>
          <w:sz w:val="30"/>
          <w:szCs w:val="30"/>
          <w:rtl/>
        </w:rPr>
        <w:t>تكلفة تكنولوجيات ضبط الزئبق</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يمكن تحقيق ضبط انبعاثات الزئبق كمنفعة مشتركة </w:t>
      </w:r>
      <w:r w:rsidRPr="00335E4B">
        <w:rPr>
          <w:rFonts w:cs="Traditional Arabic" w:hint="cs"/>
          <w:sz w:val="20"/>
          <w:szCs w:val="30"/>
          <w:rtl/>
          <w:lang w:bidi="ar-EG"/>
        </w:rPr>
        <w:t>لإزالته</w:t>
      </w:r>
      <w:r w:rsidRPr="00335E4B">
        <w:rPr>
          <w:rFonts w:cs="Traditional Arabic"/>
          <w:sz w:val="20"/>
          <w:szCs w:val="30"/>
          <w:rtl/>
          <w:lang w:bidi="ar-EG"/>
        </w:rPr>
        <w:t xml:space="preserve"> </w:t>
      </w:r>
      <w:r w:rsidRPr="00335E4B">
        <w:rPr>
          <w:rFonts w:cs="Traditional Arabic" w:hint="cs"/>
          <w:sz w:val="20"/>
          <w:szCs w:val="30"/>
          <w:rtl/>
          <w:lang w:bidi="ar-EG"/>
        </w:rPr>
        <w:t>في</w:t>
      </w:r>
      <w:r w:rsidRPr="00335E4B">
        <w:rPr>
          <w:rFonts w:cs="Traditional Arabic"/>
          <w:sz w:val="20"/>
          <w:szCs w:val="30"/>
          <w:rtl/>
          <w:lang w:bidi="ar-EG"/>
        </w:rPr>
        <w:t xml:space="preserve"> المعدات القائمة بالفعل والتي قد تكون أقيمت لأغراض مختلفة. وتحديد تكلفة إزالة الزئبق </w:t>
      </w:r>
      <w:r w:rsidRPr="00335E4B">
        <w:rPr>
          <w:rFonts w:cs="Traditional Arabic" w:hint="cs"/>
          <w:sz w:val="20"/>
          <w:szCs w:val="30"/>
          <w:rtl/>
          <w:lang w:bidi="ar-EG"/>
        </w:rPr>
        <w:t>في سياق المنافع ال</w:t>
      </w:r>
      <w:r w:rsidRPr="00335E4B">
        <w:rPr>
          <w:rFonts w:cs="Traditional Arabic"/>
          <w:sz w:val="20"/>
          <w:szCs w:val="30"/>
          <w:rtl/>
          <w:lang w:bidi="ar-EG"/>
        </w:rPr>
        <w:t xml:space="preserve">مشتركة أمر معقد لأن </w:t>
      </w:r>
      <w:r w:rsidRPr="00335E4B">
        <w:rPr>
          <w:rFonts w:cs="Traditional Arabic" w:hint="cs"/>
          <w:sz w:val="20"/>
          <w:szCs w:val="30"/>
          <w:rtl/>
          <w:lang w:bidi="ar-EG"/>
        </w:rPr>
        <w:t xml:space="preserve">الأمر يتطلب دراسة </w:t>
      </w:r>
      <w:r w:rsidRPr="00335E4B">
        <w:rPr>
          <w:rFonts w:cs="Traditional Arabic"/>
          <w:sz w:val="20"/>
          <w:szCs w:val="30"/>
          <w:rtl/>
          <w:lang w:bidi="ar-EG"/>
        </w:rPr>
        <w:t xml:space="preserve">توزيع النفقات بين تكاليف ضبط الزئبق وتكاليف ضبط الملوثات الأخرى مثل الجسيمات أو ثنائي أكسيد الكبريت أو أكاسيد النيتروجين (سلوس، 2008). وعادة </w:t>
      </w:r>
      <w:r w:rsidRPr="00335E4B">
        <w:rPr>
          <w:rFonts w:cs="Traditional Arabic" w:hint="cs"/>
          <w:sz w:val="20"/>
          <w:szCs w:val="30"/>
          <w:rtl/>
          <w:lang w:bidi="ar-EG"/>
        </w:rPr>
        <w:t xml:space="preserve">يمكن النظر إلى </w:t>
      </w:r>
      <w:r w:rsidRPr="00335E4B">
        <w:rPr>
          <w:rFonts w:cs="Traditional Arabic"/>
          <w:sz w:val="20"/>
          <w:szCs w:val="30"/>
          <w:rtl/>
          <w:lang w:bidi="ar-EG"/>
        </w:rPr>
        <w:t>تخفيض الزئبق من خلال آثار المنافع المشتركة (إقامة تكنولوجيات مثل أجهزة إزالة الكبريت من غاز المدخنة والاختزال الحفزي الانتقائي التي تقلل أيضاً انبعاثات الزئبق</w:t>
      </w:r>
      <w:r w:rsidRPr="00335E4B">
        <w:rPr>
          <w:rFonts w:cs="Traditional Arabic" w:hint="cs"/>
          <w:sz w:val="20"/>
          <w:szCs w:val="30"/>
          <w:rtl/>
          <w:lang w:bidi="ar-EG"/>
        </w:rPr>
        <w:t>)</w:t>
      </w:r>
      <w:r w:rsidRPr="00335E4B">
        <w:rPr>
          <w:rFonts w:cs="Traditional Arabic"/>
          <w:sz w:val="20"/>
          <w:szCs w:val="30"/>
          <w:rtl/>
          <w:lang w:bidi="ar-EG"/>
        </w:rPr>
        <w:t xml:space="preserve"> </w:t>
      </w:r>
      <w:r w:rsidRPr="00335E4B">
        <w:rPr>
          <w:rFonts w:cs="Traditional Arabic" w:hint="cs"/>
          <w:sz w:val="20"/>
          <w:szCs w:val="30"/>
          <w:rtl/>
          <w:lang w:bidi="ar-EG"/>
        </w:rPr>
        <w:t>ب</w:t>
      </w:r>
      <w:r w:rsidRPr="00335E4B">
        <w:rPr>
          <w:rFonts w:cs="Traditional Arabic"/>
          <w:sz w:val="20"/>
          <w:szCs w:val="30"/>
          <w:rtl/>
          <w:lang w:bidi="ar-EG"/>
        </w:rPr>
        <w:t xml:space="preserve">اعتباره ضئيلاً من ناحية التكلفة بل وقد يكون بدون تكلفة. ويرجع ذلك إلى أن </w:t>
      </w:r>
      <w:r w:rsidRPr="00335E4B">
        <w:rPr>
          <w:rFonts w:cs="Traditional Arabic" w:hint="cs"/>
          <w:sz w:val="20"/>
          <w:szCs w:val="30"/>
          <w:rtl/>
          <w:lang w:bidi="ar-EG"/>
        </w:rPr>
        <w:t>ال</w:t>
      </w:r>
      <w:r w:rsidRPr="00335E4B">
        <w:rPr>
          <w:rFonts w:cs="Traditional Arabic"/>
          <w:sz w:val="20"/>
          <w:szCs w:val="30"/>
          <w:rtl/>
          <w:lang w:bidi="ar-EG"/>
        </w:rPr>
        <w:t xml:space="preserve">تكنولوجيات </w:t>
      </w:r>
      <w:r w:rsidRPr="00335E4B">
        <w:rPr>
          <w:rFonts w:cs="Traditional Arabic" w:hint="cs"/>
          <w:sz w:val="20"/>
          <w:szCs w:val="30"/>
          <w:rtl/>
          <w:lang w:bidi="ar-EG"/>
        </w:rPr>
        <w:t xml:space="preserve">ذات </w:t>
      </w:r>
      <w:r w:rsidRPr="00335E4B">
        <w:rPr>
          <w:rFonts w:cs="Traditional Arabic"/>
          <w:sz w:val="20"/>
          <w:szCs w:val="30"/>
          <w:rtl/>
          <w:lang w:bidi="ar-EG"/>
        </w:rPr>
        <w:t xml:space="preserve">التكلفة الرأسمالية العالية مثل الاختزال الحفزي الانتقائي وأجهزة </w:t>
      </w:r>
      <w:r w:rsidRPr="00335E4B">
        <w:rPr>
          <w:rFonts w:cs="Traditional Arabic" w:hint="cs"/>
          <w:sz w:val="20"/>
          <w:szCs w:val="30"/>
          <w:rtl/>
          <w:lang w:bidi="ar-EG"/>
        </w:rPr>
        <w:t>إزالة</w:t>
      </w:r>
      <w:r w:rsidRPr="00335E4B">
        <w:rPr>
          <w:rFonts w:cs="Traditional Arabic"/>
          <w:sz w:val="20"/>
          <w:szCs w:val="30"/>
          <w:rtl/>
          <w:lang w:bidi="ar-EG"/>
        </w:rPr>
        <w:t xml:space="preserve"> الكبريت من غاز المدخنة تضاف عموماً لغرض ضبط أكاسيد النيتروجين أو أكاسيد الكبريت، على التوالي، ولن تضاف لأغراض ضبط الزئبق فقط. وبدلاً من ذلك، فإن ضبط الزئبق يمكن أن يتحقق من خلال تكنولوجيا مخصصة مثل حقن الكربون المنشط </w:t>
      </w:r>
      <w:r w:rsidRPr="00335E4B">
        <w:rPr>
          <w:rFonts w:cs="Traditional Arabic" w:hint="cs"/>
          <w:sz w:val="20"/>
          <w:szCs w:val="30"/>
          <w:rtl/>
          <w:lang w:bidi="ar-EG"/>
        </w:rPr>
        <w:t>و</w:t>
      </w:r>
      <w:r w:rsidRPr="00335E4B">
        <w:rPr>
          <w:rFonts w:cs="Traditional Arabic"/>
          <w:sz w:val="20"/>
          <w:szCs w:val="30"/>
          <w:rtl/>
          <w:lang w:bidi="ar-EG"/>
        </w:rPr>
        <w:t>بتكلفة أقل كثيراً شريطة وجود جهاز لضبط الجسيمات. و</w:t>
      </w:r>
      <w:r w:rsidRPr="00335E4B">
        <w:rPr>
          <w:rFonts w:cs="Traditional Arabic" w:hint="cs"/>
          <w:sz w:val="20"/>
          <w:szCs w:val="30"/>
          <w:rtl/>
          <w:lang w:bidi="ar-EG"/>
        </w:rPr>
        <w:t xml:space="preserve">يكون </w:t>
      </w:r>
      <w:r w:rsidRPr="00335E4B">
        <w:rPr>
          <w:rFonts w:cs="Traditional Arabic"/>
          <w:sz w:val="20"/>
          <w:szCs w:val="30"/>
          <w:rtl/>
          <w:lang w:bidi="ar-EG"/>
        </w:rPr>
        <w:t xml:space="preserve">تخصيص التكاليف لهذا الغرض الأخير أكثر </w:t>
      </w:r>
      <w:r w:rsidRPr="00335E4B">
        <w:rPr>
          <w:rFonts w:cs="Traditional Arabic" w:hint="cs"/>
          <w:sz w:val="20"/>
          <w:szCs w:val="30"/>
          <w:rtl/>
          <w:lang w:bidi="ar-EG"/>
        </w:rPr>
        <w:t>سهولة</w:t>
      </w:r>
      <w:r w:rsidRPr="00335E4B">
        <w:rPr>
          <w:rFonts w:cs="Traditional Arabic"/>
          <w:sz w:val="20"/>
          <w:szCs w:val="30"/>
          <w:rtl/>
          <w:lang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وهناك ثلاثة عناصر من التكلفة تنشأ عن تطبيق تكنولوجيا مخصصة لضبط انبعاثات الزئبق: التكلفة الرأسمالية</w:t>
      </w:r>
      <w:r w:rsidRPr="00335E4B">
        <w:rPr>
          <w:rFonts w:cs="Traditional Arabic" w:hint="cs"/>
          <w:sz w:val="20"/>
          <w:szCs w:val="30"/>
          <w:rtl/>
          <w:lang w:bidi="ar-EG"/>
        </w:rPr>
        <w:t>،</w:t>
      </w:r>
      <w:r w:rsidRPr="00335E4B">
        <w:rPr>
          <w:rFonts w:cs="Traditional Arabic"/>
          <w:sz w:val="20"/>
          <w:szCs w:val="30"/>
          <w:rtl/>
          <w:lang w:bidi="ar-EG"/>
        </w:rPr>
        <w:t xml:space="preserve"> والتكلفة الثابتة للتشغيل والصيانة</w:t>
      </w:r>
      <w:r w:rsidRPr="00335E4B">
        <w:rPr>
          <w:rFonts w:cs="Traditional Arabic" w:hint="cs"/>
          <w:sz w:val="20"/>
          <w:szCs w:val="30"/>
          <w:rtl/>
          <w:lang w:bidi="ar-EG"/>
        </w:rPr>
        <w:t>،</w:t>
      </w:r>
      <w:r w:rsidRPr="00335E4B">
        <w:rPr>
          <w:rFonts w:cs="Traditional Arabic"/>
          <w:sz w:val="20"/>
          <w:szCs w:val="30"/>
          <w:rtl/>
          <w:lang w:bidi="ar-EG"/>
        </w:rPr>
        <w:t xml:space="preserve"> و</w:t>
      </w:r>
      <w:r w:rsidRPr="00335E4B">
        <w:rPr>
          <w:rFonts w:cs="Traditional Arabic" w:hint="cs"/>
          <w:sz w:val="20"/>
          <w:szCs w:val="30"/>
          <w:rtl/>
          <w:lang w:bidi="ar-EG"/>
        </w:rPr>
        <w:t>ال</w:t>
      </w:r>
      <w:r w:rsidRPr="00335E4B">
        <w:rPr>
          <w:rFonts w:cs="Traditional Arabic"/>
          <w:sz w:val="20"/>
          <w:szCs w:val="30"/>
          <w:rtl/>
          <w:lang w:bidi="ar-EG"/>
        </w:rPr>
        <w:t xml:space="preserve">تكلفة </w:t>
      </w:r>
      <w:r w:rsidRPr="00335E4B">
        <w:rPr>
          <w:rFonts w:cs="Traditional Arabic" w:hint="cs"/>
          <w:sz w:val="20"/>
          <w:szCs w:val="30"/>
          <w:rtl/>
          <w:lang w:bidi="ar-EG"/>
        </w:rPr>
        <w:t>ال</w:t>
      </w:r>
      <w:r w:rsidRPr="00335E4B">
        <w:rPr>
          <w:rFonts w:cs="Traditional Arabic"/>
          <w:sz w:val="20"/>
          <w:szCs w:val="30"/>
          <w:rtl/>
          <w:lang w:bidi="ar-EG"/>
        </w:rPr>
        <w:t xml:space="preserve">متغيرة للتشغيل والصيانة. وبالنسبة لحقن الكربون المنشَّط، </w:t>
      </w:r>
      <w:r w:rsidRPr="00335E4B">
        <w:rPr>
          <w:rFonts w:cs="Traditional Arabic" w:hint="cs"/>
          <w:sz w:val="20"/>
          <w:szCs w:val="30"/>
          <w:rtl/>
          <w:lang w:bidi="ar-EG"/>
        </w:rPr>
        <w:t>ي</w:t>
      </w:r>
      <w:r w:rsidRPr="00335E4B">
        <w:rPr>
          <w:rFonts w:cs="Traditional Arabic"/>
          <w:sz w:val="20"/>
          <w:szCs w:val="30"/>
          <w:rtl/>
          <w:lang w:bidi="ar-EG"/>
        </w:rPr>
        <w:t xml:space="preserve">قدَّر </w:t>
      </w:r>
      <w:r w:rsidRPr="00335E4B">
        <w:rPr>
          <w:rFonts w:cs="Traditional Arabic" w:hint="cs"/>
          <w:sz w:val="20"/>
          <w:szCs w:val="30"/>
          <w:rtl/>
          <w:lang w:bidi="ar-EG"/>
        </w:rPr>
        <w:t xml:space="preserve">أن </w:t>
      </w:r>
      <w:r w:rsidRPr="00335E4B">
        <w:rPr>
          <w:rFonts w:cs="Traditional Arabic"/>
          <w:sz w:val="20"/>
          <w:szCs w:val="30"/>
          <w:rtl/>
          <w:lang w:bidi="ar-EG"/>
        </w:rPr>
        <w:t>التكلفة المتغيرة للتشغيل والصيانة صغير</w:t>
      </w:r>
      <w:r w:rsidRPr="00335E4B">
        <w:rPr>
          <w:rFonts w:cs="Traditional Arabic" w:hint="cs"/>
          <w:sz w:val="20"/>
          <w:szCs w:val="30"/>
          <w:rtl/>
          <w:lang w:bidi="ar-EG"/>
        </w:rPr>
        <w:t>ة</w:t>
      </w:r>
      <w:r w:rsidRPr="00335E4B">
        <w:rPr>
          <w:rFonts w:cs="Traditional Arabic"/>
          <w:sz w:val="20"/>
          <w:szCs w:val="30"/>
          <w:rtl/>
          <w:lang w:bidi="ar-EG"/>
        </w:rPr>
        <w:t xml:space="preserve"> رغم أنها تشكل عنصراً كبيراً من مجموع التكلفة (وكالة حماية البيئة، 2005؛ وأمار وآخرون، 2010) وأن التكاليف الرأسمالية منخفضة نسبياً. ويتوقف ذلك على </w:t>
      </w:r>
      <w:r w:rsidRPr="00335E4B">
        <w:rPr>
          <w:rFonts w:cs="Traditional Arabic" w:hint="cs"/>
          <w:sz w:val="20"/>
          <w:szCs w:val="30"/>
          <w:rtl/>
          <w:lang w:bidi="ar-EG"/>
        </w:rPr>
        <w:t xml:space="preserve">نوع </w:t>
      </w:r>
      <w:r w:rsidRPr="00335E4B">
        <w:rPr>
          <w:rFonts w:cs="Traditional Arabic"/>
          <w:sz w:val="20"/>
          <w:szCs w:val="30"/>
          <w:rtl/>
          <w:lang w:bidi="ar-EG"/>
        </w:rPr>
        <w:t xml:space="preserve">التطبيق. ويمكن أن تتباين المتطلبات </w:t>
      </w:r>
      <w:r w:rsidRPr="00335E4B">
        <w:rPr>
          <w:rFonts w:cs="Traditional Arabic" w:hint="cs"/>
          <w:sz w:val="20"/>
          <w:szCs w:val="30"/>
          <w:rtl/>
          <w:lang w:bidi="ar-EG"/>
        </w:rPr>
        <w:t>ل</w:t>
      </w:r>
      <w:r w:rsidRPr="00335E4B">
        <w:rPr>
          <w:rFonts w:cs="Traditional Arabic"/>
          <w:sz w:val="20"/>
          <w:szCs w:val="30"/>
          <w:rtl/>
          <w:lang w:bidi="ar-EG"/>
        </w:rPr>
        <w:t>لمواد الماصة تبايناً كبيراً بين مختلف المواقع. والعناصر الكبرى للتكلفة المتغيرة للتشغيل والصيانة هي تكاليف المادة الماصة وتكاليف التخلص. وقد يكون هناك أيضاً ضياع لبعض الإيرادات من مبيعات الرماد المتطاير بسبب تلوث الرماد المتطاير بالكربون المنشط. وللتغلب على ذلك، تم تطوير ما يسمى الكربونات المنشطة ”المتوافقة مع الخرسانة“، إلى جانب تكنولوجيات لفصل الكربون المنشط عن الرماد المتطاير.</w:t>
      </w:r>
    </w:p>
    <w:p w:rsidR="00335E4B" w:rsidRPr="00335E4B" w:rsidRDefault="00335E4B" w:rsidP="00335E4B">
      <w:pPr>
        <w:keepNext/>
        <w:spacing w:before="120" w:after="120" w:line="400" w:lineRule="exact"/>
        <w:ind w:left="990" w:hanging="992"/>
        <w:jc w:val="both"/>
        <w:outlineLvl w:val="0"/>
        <w:rPr>
          <w:rFonts w:cs="Traditional Arabic"/>
          <w:b/>
          <w:bCs/>
          <w:sz w:val="30"/>
          <w:szCs w:val="30"/>
          <w:rtl/>
        </w:rPr>
      </w:pPr>
      <w:bookmarkStart w:id="827" w:name="_Toc440456852"/>
      <w:bookmarkStart w:id="828" w:name="_Toc440526926"/>
      <w:bookmarkStart w:id="829" w:name="_Toc440527783"/>
      <w:bookmarkStart w:id="830" w:name="_Toc440550483"/>
      <w:bookmarkStart w:id="831" w:name="_Toc441577740"/>
      <w:bookmarkStart w:id="832" w:name="_Toc441577919"/>
      <w:bookmarkStart w:id="833" w:name="_Toc441579145"/>
      <w:bookmarkStart w:id="834" w:name="_Toc441580753"/>
      <w:bookmarkStart w:id="835" w:name="_Toc441585884"/>
      <w:bookmarkStart w:id="836" w:name="_Toc441586220"/>
      <w:bookmarkStart w:id="837" w:name="_Toc441586670"/>
      <w:bookmarkStart w:id="838" w:name="_Toc441586849"/>
      <w:bookmarkStart w:id="839" w:name="_Toc441666698"/>
      <w:bookmarkStart w:id="840" w:name="_Toc441673759"/>
      <w:r w:rsidRPr="00335E4B">
        <w:rPr>
          <w:rFonts w:cs="Traditional Arabic"/>
          <w:b/>
          <w:bCs/>
          <w:sz w:val="30"/>
          <w:szCs w:val="30"/>
          <w:rtl/>
        </w:rPr>
        <w:t xml:space="preserve">تكاليف تكنولوجيات ضبط الزئبق في إطار </w:t>
      </w:r>
      <w:r w:rsidRPr="00335E4B">
        <w:rPr>
          <w:rFonts w:cs="Traditional Arabic" w:hint="cs"/>
          <w:b/>
          <w:bCs/>
          <w:sz w:val="30"/>
          <w:szCs w:val="30"/>
          <w:rtl/>
        </w:rPr>
        <w:t>ال</w:t>
      </w:r>
      <w:r w:rsidRPr="00335E4B">
        <w:rPr>
          <w:rFonts w:cs="Traditional Arabic"/>
          <w:b/>
          <w:bCs/>
          <w:sz w:val="30"/>
          <w:szCs w:val="30"/>
          <w:rtl/>
        </w:rPr>
        <w:t xml:space="preserve">منافع </w:t>
      </w:r>
      <w:r w:rsidRPr="00335E4B">
        <w:rPr>
          <w:rFonts w:cs="Traditional Arabic" w:hint="cs"/>
          <w:b/>
          <w:bCs/>
          <w:sz w:val="30"/>
          <w:szCs w:val="30"/>
          <w:rtl/>
        </w:rPr>
        <w:t>ال</w:t>
      </w:r>
      <w:r w:rsidRPr="00335E4B">
        <w:rPr>
          <w:rFonts w:cs="Traditional Arabic"/>
          <w:b/>
          <w:bCs/>
          <w:sz w:val="30"/>
          <w:szCs w:val="30"/>
          <w:rtl/>
        </w:rPr>
        <w:t>مشتركة</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rsidR="00335E4B" w:rsidRPr="00335E4B" w:rsidRDefault="00335E4B" w:rsidP="003F1E60">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التكاليف الرأسمالية الفعلية لضبط تلوث الهواء في أي مرفق بعينه هي في أكثر الأحيان تكاليف الملكية وتكاليف متفق عليها أثناء المفاوضات المباشرة بين بائعي التكنولوجيا وعملائهم. ولكن جانباً كبيراً من المعلومات </w:t>
      </w:r>
      <w:r w:rsidRPr="00335E4B">
        <w:rPr>
          <w:rFonts w:cs="Traditional Arabic" w:hint="cs"/>
          <w:sz w:val="20"/>
          <w:szCs w:val="30"/>
          <w:rtl/>
          <w:lang w:bidi="ar-EG"/>
        </w:rPr>
        <w:t>المتعلقة ب</w:t>
      </w:r>
      <w:r w:rsidRPr="00335E4B">
        <w:rPr>
          <w:rFonts w:cs="Traditional Arabic"/>
          <w:sz w:val="20"/>
          <w:szCs w:val="30"/>
          <w:rtl/>
          <w:lang w:bidi="ar-EG"/>
        </w:rPr>
        <w:t xml:space="preserve">التكاليف متاح </w:t>
      </w:r>
      <w:r w:rsidRPr="00335E4B">
        <w:rPr>
          <w:rFonts w:cs="Traditional Arabic" w:hint="cs"/>
          <w:sz w:val="20"/>
          <w:szCs w:val="30"/>
          <w:rtl/>
          <w:lang w:bidi="ar-EG"/>
        </w:rPr>
        <w:t>للجمهور</w:t>
      </w:r>
      <w:r w:rsidRPr="00335E4B">
        <w:rPr>
          <w:rFonts w:cs="Traditional Arabic"/>
          <w:sz w:val="20"/>
          <w:szCs w:val="30"/>
          <w:rtl/>
          <w:lang w:bidi="ar-EG"/>
        </w:rPr>
        <w:t xml:space="preserve"> وترد هذه المعلومات أدناه. وينبغي الالتزام ببعض المبادئ التوجيهية العامة عند تقييم هذه البيانات:</w:t>
      </w:r>
    </w:p>
    <w:p w:rsidR="00335E4B" w:rsidRPr="00335E4B" w:rsidRDefault="00335E4B" w:rsidP="00335E4B">
      <w:pPr>
        <w:numPr>
          <w:ilvl w:val="0"/>
          <w:numId w:val="18"/>
        </w:numPr>
        <w:spacing w:after="120" w:line="400" w:lineRule="exact"/>
        <w:ind w:left="1416" w:hanging="425"/>
        <w:jc w:val="both"/>
        <w:rPr>
          <w:rFonts w:cs="Traditional Arabic"/>
          <w:sz w:val="20"/>
          <w:szCs w:val="30"/>
          <w:lang w:bidi="ar-EG"/>
        </w:rPr>
      </w:pPr>
      <w:r w:rsidRPr="00335E4B">
        <w:rPr>
          <w:rFonts w:cs="Traditional Arabic"/>
          <w:sz w:val="20"/>
          <w:szCs w:val="30"/>
          <w:rtl/>
          <w:lang w:bidi="ar-EG"/>
        </w:rPr>
        <w:t xml:space="preserve">قد تتباين التكاليف الرأسمالية لأي إنشاء جديد حسب عوامل </w:t>
      </w:r>
      <w:r w:rsidRPr="00335E4B">
        <w:rPr>
          <w:rFonts w:cs="Traditional Arabic" w:hint="cs"/>
          <w:sz w:val="20"/>
          <w:szCs w:val="30"/>
          <w:rtl/>
          <w:lang w:bidi="ar-EG"/>
        </w:rPr>
        <w:t>الزيادة عن الحاجة</w:t>
      </w:r>
      <w:r w:rsidRPr="00335E4B">
        <w:rPr>
          <w:rFonts w:cs="Traditional Arabic"/>
          <w:sz w:val="20"/>
          <w:szCs w:val="30"/>
          <w:rtl/>
          <w:lang w:bidi="ar-EG"/>
        </w:rPr>
        <w:t xml:space="preserve"> </w:t>
      </w:r>
      <w:r w:rsidRPr="00335E4B">
        <w:rPr>
          <w:rFonts w:cs="Traditional Arabic" w:hint="cs"/>
          <w:sz w:val="20"/>
          <w:szCs w:val="30"/>
          <w:rtl/>
          <w:lang w:bidi="ar-EG"/>
        </w:rPr>
        <w:t>المستخدمة ل</w:t>
      </w:r>
      <w:r w:rsidRPr="00335E4B">
        <w:rPr>
          <w:rFonts w:cs="Traditional Arabic"/>
          <w:sz w:val="20"/>
          <w:szCs w:val="30"/>
          <w:rtl/>
          <w:lang w:bidi="ar-EG"/>
        </w:rPr>
        <w:t xml:space="preserve">لتصميم وحسب خيارات التمويل المتاح السائدة محلياً (مثل معدلات الرسوم الرأسمالية)؛ </w:t>
      </w:r>
    </w:p>
    <w:p w:rsidR="00335E4B" w:rsidRPr="00335E4B" w:rsidRDefault="00335E4B" w:rsidP="00335E4B">
      <w:pPr>
        <w:numPr>
          <w:ilvl w:val="0"/>
          <w:numId w:val="18"/>
        </w:numPr>
        <w:spacing w:after="120" w:line="400" w:lineRule="exact"/>
        <w:ind w:left="1416" w:hanging="425"/>
        <w:jc w:val="both"/>
        <w:rPr>
          <w:rFonts w:cs="Traditional Arabic"/>
          <w:sz w:val="20"/>
          <w:szCs w:val="30"/>
          <w:lang w:bidi="ar-EG"/>
        </w:rPr>
      </w:pPr>
      <w:r w:rsidRPr="00335E4B">
        <w:rPr>
          <w:rFonts w:cs="Traditional Arabic"/>
          <w:sz w:val="20"/>
          <w:szCs w:val="30"/>
          <w:rtl/>
          <w:lang w:bidi="ar-EG"/>
        </w:rPr>
        <w:t xml:space="preserve">قد تتباين التكاليف الرأسمالية لتركيب أي تعديل رجعي حسب الأحوال القائمة في الموقع مثل توفر المساحة وما يسمى ”عامل صعوبة التعديل الرجعي“؛ </w:t>
      </w:r>
    </w:p>
    <w:p w:rsidR="00335E4B" w:rsidRPr="00335E4B" w:rsidRDefault="00335E4B" w:rsidP="00335E4B">
      <w:pPr>
        <w:numPr>
          <w:ilvl w:val="0"/>
          <w:numId w:val="18"/>
        </w:numPr>
        <w:spacing w:after="120" w:line="400" w:lineRule="exact"/>
        <w:ind w:left="1416" w:hanging="425"/>
        <w:jc w:val="both"/>
        <w:rPr>
          <w:rFonts w:cs="Traditional Arabic"/>
          <w:sz w:val="20"/>
          <w:szCs w:val="30"/>
          <w:lang w:bidi="ar-EG"/>
        </w:rPr>
      </w:pPr>
      <w:r w:rsidRPr="00335E4B">
        <w:rPr>
          <w:rFonts w:cs="Traditional Arabic"/>
          <w:sz w:val="20"/>
          <w:szCs w:val="30"/>
          <w:rtl/>
          <w:lang w:bidi="ar-EG"/>
        </w:rPr>
        <w:t>تتباين التكلفة المتوسطة لمعدات الضبط مع عامل قدرة المصنع، حيث تتناقص التكلفة المتوسطة عموماً مع زيادة عامل القدرة (سليبي، 2014).</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 xml:space="preserve">وتتباين تكاليف تكنولوجيات الضبط تبايناً واسعاً عند التطبيق في البلدان </w:t>
      </w:r>
      <w:r w:rsidRPr="00335E4B">
        <w:rPr>
          <w:rFonts w:cs="Traditional Arabic" w:hint="cs"/>
          <w:sz w:val="20"/>
          <w:szCs w:val="30"/>
          <w:rtl/>
          <w:lang w:bidi="ar-EG"/>
        </w:rPr>
        <w:t>ال</w:t>
      </w:r>
      <w:r w:rsidRPr="00335E4B">
        <w:rPr>
          <w:rFonts w:cs="Traditional Arabic"/>
          <w:sz w:val="20"/>
          <w:szCs w:val="30"/>
          <w:rtl/>
          <w:lang w:bidi="ar-EG"/>
        </w:rPr>
        <w:t>مختلف</w:t>
      </w:r>
      <w:r w:rsidRPr="00335E4B">
        <w:rPr>
          <w:rFonts w:cs="Traditional Arabic" w:hint="cs"/>
          <w:sz w:val="20"/>
          <w:szCs w:val="30"/>
          <w:rtl/>
          <w:lang w:bidi="ar-EG"/>
        </w:rPr>
        <w:t>ة</w:t>
      </w:r>
      <w:r w:rsidRPr="00335E4B">
        <w:rPr>
          <w:rFonts w:cs="Traditional Arabic"/>
          <w:sz w:val="20"/>
          <w:szCs w:val="30"/>
          <w:rtl/>
          <w:lang w:bidi="ar-EG"/>
        </w:rPr>
        <w:t xml:space="preserve">. ويوضح الجدولان 7 و8 تكاليف تكنولوجيا المنافع المشتركة في الصين والولايات المتحدة. ويمكن أن نرى أن التكلفة الرأسمالية لجهاز </w:t>
      </w:r>
      <w:r w:rsidRPr="00335E4B">
        <w:rPr>
          <w:rFonts w:cs="Traditional Arabic" w:hint="cs"/>
          <w:sz w:val="20"/>
          <w:szCs w:val="30"/>
          <w:rtl/>
          <w:lang w:bidi="ar-EG"/>
        </w:rPr>
        <w:t>ال</w:t>
      </w:r>
      <w:r w:rsidRPr="00335E4B">
        <w:rPr>
          <w:rFonts w:cs="Traditional Arabic"/>
          <w:sz w:val="20"/>
          <w:szCs w:val="30"/>
          <w:rtl/>
          <w:lang w:bidi="ar-EG"/>
        </w:rPr>
        <w:t>تنظيف ال</w:t>
      </w:r>
      <w:r w:rsidRPr="00335E4B">
        <w:rPr>
          <w:rFonts w:cs="Traditional Arabic" w:hint="cs"/>
          <w:sz w:val="20"/>
          <w:szCs w:val="30"/>
          <w:rtl/>
          <w:lang w:bidi="ar-EG"/>
        </w:rPr>
        <w:t>ر</w:t>
      </w:r>
      <w:r w:rsidRPr="00335E4B">
        <w:rPr>
          <w:rFonts w:cs="Traditional Arabic"/>
          <w:sz w:val="20"/>
          <w:szCs w:val="30"/>
          <w:rtl/>
          <w:lang w:bidi="ar-EG"/>
        </w:rPr>
        <w:t>ط</w:t>
      </w:r>
      <w:r w:rsidRPr="00335E4B">
        <w:rPr>
          <w:rFonts w:cs="Traditional Arabic" w:hint="cs"/>
          <w:sz w:val="20"/>
          <w:szCs w:val="30"/>
          <w:rtl/>
          <w:lang w:bidi="ar-EG"/>
        </w:rPr>
        <w:t>ب</w:t>
      </w:r>
      <w:r w:rsidRPr="00335E4B">
        <w:rPr>
          <w:rFonts w:cs="Traditional Arabic"/>
          <w:sz w:val="20"/>
          <w:szCs w:val="30"/>
          <w:rtl/>
          <w:lang w:bidi="ar-EG"/>
        </w:rPr>
        <w:t xml:space="preserve"> </w:t>
      </w:r>
      <w:r w:rsidRPr="00335E4B">
        <w:rPr>
          <w:rFonts w:cs="Traditional Arabic" w:hint="cs"/>
          <w:sz w:val="20"/>
          <w:szCs w:val="30"/>
          <w:rtl/>
          <w:lang w:bidi="ar-EG"/>
        </w:rPr>
        <w:t>لإزالة ا</w:t>
      </w:r>
      <w:r w:rsidRPr="00335E4B">
        <w:rPr>
          <w:rFonts w:cs="Traditional Arabic"/>
          <w:sz w:val="20"/>
          <w:szCs w:val="30"/>
          <w:rtl/>
          <w:lang w:bidi="ar-EG"/>
        </w:rPr>
        <w:t xml:space="preserve">لكبريت من غاز المدخنة الذي يقام في وحدة </w:t>
      </w:r>
      <w:r w:rsidRPr="00335E4B">
        <w:rPr>
          <w:rFonts w:cs="Traditional Arabic" w:hint="cs"/>
          <w:sz w:val="20"/>
          <w:szCs w:val="30"/>
          <w:rtl/>
          <w:lang w:bidi="ar-EG"/>
        </w:rPr>
        <w:t>طاقتها</w:t>
      </w:r>
      <w:r w:rsidRPr="00335E4B">
        <w:rPr>
          <w:rFonts w:cs="Traditional Arabic"/>
          <w:sz w:val="20"/>
          <w:szCs w:val="30"/>
          <w:rtl/>
          <w:lang w:bidi="ar-EG"/>
        </w:rPr>
        <w:t xml:space="preserve"> 600 ميغاواط قد تكون أقل بمقدار 20 ضعفاً في الصين عنها في الولايات المتحدة. وينبغي أن يلاحظ أنه عند النظر في نشر أفضل التكنولوجيات المتاحة على الصعيد الوطني أو حتى </w:t>
      </w:r>
      <w:r w:rsidRPr="00335E4B">
        <w:rPr>
          <w:rFonts w:cs="Traditional Arabic" w:hint="cs"/>
          <w:sz w:val="20"/>
          <w:szCs w:val="30"/>
          <w:rtl/>
          <w:lang w:bidi="ar-EG"/>
        </w:rPr>
        <w:t xml:space="preserve">على </w:t>
      </w:r>
      <w:r w:rsidRPr="00335E4B">
        <w:rPr>
          <w:rFonts w:cs="Traditional Arabic"/>
          <w:sz w:val="20"/>
          <w:szCs w:val="30"/>
          <w:rtl/>
          <w:lang w:bidi="ar-EG"/>
        </w:rPr>
        <w:t xml:space="preserve">صعيد المنطقة فإنه ينبغي أن يوضع </w:t>
      </w:r>
      <w:r w:rsidRPr="00335E4B">
        <w:rPr>
          <w:rFonts w:cs="Traditional Arabic" w:hint="cs"/>
          <w:sz w:val="20"/>
          <w:szCs w:val="30"/>
          <w:rtl/>
          <w:lang w:bidi="ar-EG"/>
        </w:rPr>
        <w:t xml:space="preserve">في الاعتبار </w:t>
      </w:r>
      <w:r w:rsidRPr="00335E4B">
        <w:rPr>
          <w:rFonts w:cs="Traditional Arabic"/>
          <w:sz w:val="20"/>
          <w:szCs w:val="30"/>
          <w:rtl/>
          <w:lang w:bidi="ar-EG"/>
        </w:rPr>
        <w:t xml:space="preserve">نطاق </w:t>
      </w:r>
      <w:r w:rsidRPr="00335E4B">
        <w:rPr>
          <w:rFonts w:cs="Traditional Arabic" w:hint="cs"/>
          <w:sz w:val="20"/>
          <w:szCs w:val="30"/>
          <w:rtl/>
          <w:lang w:bidi="ar-EG"/>
        </w:rPr>
        <w:t>ال</w:t>
      </w:r>
      <w:r w:rsidRPr="00335E4B">
        <w:rPr>
          <w:rFonts w:cs="Traditional Arabic"/>
          <w:sz w:val="20"/>
          <w:szCs w:val="30"/>
          <w:rtl/>
          <w:lang w:bidi="ar-EG"/>
        </w:rPr>
        <w:t xml:space="preserve">تكاليف لأي تكنولوجيا من أفضل التكنولوجيات المتاحة </w:t>
      </w:r>
      <w:r w:rsidRPr="00335E4B">
        <w:rPr>
          <w:rFonts w:cs="Traditional Arabic" w:hint="cs"/>
          <w:sz w:val="20"/>
          <w:szCs w:val="30"/>
          <w:rtl/>
          <w:lang w:bidi="ar-EG"/>
        </w:rPr>
        <w:t xml:space="preserve">وليس </w:t>
      </w:r>
      <w:r w:rsidRPr="00335E4B">
        <w:rPr>
          <w:rFonts w:cs="Traditional Arabic"/>
          <w:sz w:val="20"/>
          <w:szCs w:val="30"/>
          <w:rtl/>
          <w:lang w:bidi="ar-EG"/>
        </w:rPr>
        <w:t>رقم</w:t>
      </w:r>
      <w:r w:rsidRPr="00335E4B">
        <w:rPr>
          <w:rFonts w:cs="Traditional Arabic" w:hint="cs"/>
          <w:sz w:val="20"/>
          <w:szCs w:val="30"/>
          <w:rtl/>
          <w:lang w:bidi="ar-EG"/>
        </w:rPr>
        <w:t>اً</w:t>
      </w:r>
      <w:r w:rsidRPr="00335E4B">
        <w:rPr>
          <w:rFonts w:cs="Traditional Arabic"/>
          <w:sz w:val="20"/>
          <w:szCs w:val="30"/>
          <w:rtl/>
          <w:lang w:bidi="ar-EG"/>
        </w:rPr>
        <w:t xml:space="preserve"> محدَّد</w:t>
      </w:r>
      <w:r w:rsidRPr="00335E4B">
        <w:rPr>
          <w:rFonts w:cs="Traditional Arabic" w:hint="cs"/>
          <w:sz w:val="20"/>
          <w:szCs w:val="30"/>
          <w:rtl/>
          <w:lang w:bidi="ar-EG"/>
        </w:rPr>
        <w:t>اً</w:t>
      </w:r>
      <w:r w:rsidRPr="00335E4B">
        <w:rPr>
          <w:rFonts w:cs="Traditional Arabic"/>
          <w:sz w:val="20"/>
          <w:szCs w:val="30"/>
          <w:rtl/>
          <w:lang w:bidi="ar-EG"/>
        </w:rPr>
        <w:t>. وفي هذا السياق، ينبغي اعتبار القيم الواردة في الجدولين 7 و8 إرشادية فقط، وينبغي أيضاً الإشارة إلى بيانات التكاليف الأخرى (مثل وزارة التجارة والصناعة في الولايات المتحدة (2000)؛ وسرجنت ولوندي (2007)).</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sz w:val="20"/>
          <w:szCs w:val="30"/>
          <w:rtl/>
          <w:lang w:bidi="ar-EG"/>
        </w:rPr>
        <w:t>ومع ذلك، فإن نُظم ضبط تلوث الهواء التقليدية غير مخصصة لضبط انبعاثات الزئبق ولذلك فإن مجموع تكاليف تكنولوجيات ضبط الزئبق في إطار المنافع المشتركة يتعيَّن توزيعها على ملوثات الهواء</w:t>
      </w:r>
      <w:r w:rsidRPr="00335E4B">
        <w:rPr>
          <w:rFonts w:cs="Traditional Arabic" w:hint="cs"/>
          <w:sz w:val="20"/>
          <w:szCs w:val="30"/>
          <w:rtl/>
          <w:lang w:bidi="ar-EG"/>
        </w:rPr>
        <w:t xml:space="preserve"> المختلفة</w:t>
      </w:r>
      <w:r w:rsidRPr="00335E4B">
        <w:rPr>
          <w:rFonts w:cs="Traditional Arabic"/>
          <w:sz w:val="20"/>
          <w:szCs w:val="30"/>
          <w:rtl/>
          <w:lang w:bidi="ar-EG"/>
        </w:rPr>
        <w:t xml:space="preserve">. واستخدمت دراسية صينية (أنكوارا وآخرون، 2015) أسلوب توزيع معادل التلوث على أساس الأثر الصحي والبيئي لكل ملوث من الملوثات ووزَّعت مجموع التكلفة الثانوية على الزئبق </w:t>
      </w:r>
      <w:r w:rsidRPr="00335E4B">
        <w:rPr>
          <w:rFonts w:cs="Traditional Arabic" w:hint="cs"/>
          <w:sz w:val="20"/>
          <w:szCs w:val="30"/>
          <w:rtl/>
          <w:lang w:bidi="ar-EG"/>
        </w:rPr>
        <w:t>العالق ب</w:t>
      </w:r>
      <w:r w:rsidRPr="00335E4B">
        <w:rPr>
          <w:rFonts w:cs="Traditional Arabic"/>
          <w:sz w:val="20"/>
          <w:szCs w:val="30"/>
          <w:rtl/>
          <w:lang w:bidi="ar-EG"/>
        </w:rPr>
        <w:t>الجسيمات (</w:t>
      </w:r>
      <w:r w:rsidRPr="00335E4B">
        <w:rPr>
          <w:rFonts w:eastAsia="SimSun" w:cs="Traditional Arabic"/>
          <w:sz w:val="20"/>
          <w:szCs w:val="22"/>
        </w:rPr>
        <w:t>PM</w:t>
      </w:r>
      <w:r w:rsidRPr="00335E4B">
        <w:rPr>
          <w:rFonts w:eastAsia="SimSun" w:cs="Traditional Arabic"/>
          <w:sz w:val="20"/>
          <w:szCs w:val="22"/>
          <w:vertAlign w:val="subscript"/>
        </w:rPr>
        <w:t>10</w:t>
      </w:r>
      <w:r w:rsidRPr="00335E4B">
        <w:rPr>
          <w:rFonts w:cs="Traditional Arabic"/>
          <w:sz w:val="20"/>
          <w:szCs w:val="30"/>
          <w:rtl/>
          <w:lang w:bidi="ar-EG"/>
        </w:rPr>
        <w:t>) وثاني أكسيد الكبريت وأكاسيد النيتروجين (انظر الجدول 9).</w:t>
      </w:r>
    </w:p>
    <w:p w:rsidR="00E371AF" w:rsidRDefault="00E371AF">
      <w:pPr>
        <w:bidi w:val="0"/>
        <w:rPr>
          <w:rFonts w:cs="Traditional Arabic"/>
          <w:b/>
          <w:bCs/>
          <w:sz w:val="20"/>
          <w:szCs w:val="30"/>
          <w:lang w:bidi="ar-EG"/>
        </w:rPr>
      </w:pPr>
      <w:bookmarkStart w:id="841" w:name="_Toc440527784"/>
      <w:bookmarkStart w:id="842" w:name="_Toc440550484"/>
      <w:bookmarkStart w:id="843" w:name="_Toc441577741"/>
      <w:bookmarkStart w:id="844" w:name="_Toc441577920"/>
      <w:bookmarkStart w:id="845" w:name="_Toc441579146"/>
      <w:bookmarkStart w:id="846" w:name="_Toc441580754"/>
      <w:bookmarkStart w:id="847" w:name="_Toc441585885"/>
      <w:bookmarkStart w:id="848" w:name="_Toc441586221"/>
      <w:bookmarkStart w:id="849" w:name="_Toc441586671"/>
      <w:bookmarkStart w:id="850" w:name="_Toc441586850"/>
      <w:bookmarkStart w:id="851" w:name="_Toc441666699"/>
      <w:bookmarkStart w:id="852" w:name="_Toc441673760"/>
      <w:r>
        <w:rPr>
          <w:rFonts w:cs="Traditional Arabic"/>
          <w:b/>
          <w:bCs/>
          <w:sz w:val="20"/>
          <w:szCs w:val="30"/>
          <w:rtl/>
          <w:lang w:bidi="ar-EG"/>
        </w:rPr>
        <w:br w:type="page"/>
      </w:r>
    </w:p>
    <w:p w:rsidR="00335E4B" w:rsidRPr="00335E4B" w:rsidRDefault="00335E4B" w:rsidP="004F4716">
      <w:pPr>
        <w:keepNext/>
        <w:spacing w:after="120" w:line="400" w:lineRule="exact"/>
        <w:jc w:val="both"/>
        <w:outlineLvl w:val="0"/>
        <w:rPr>
          <w:rFonts w:cs="Traditional Arabic"/>
          <w:b/>
          <w:bCs/>
          <w:sz w:val="20"/>
          <w:szCs w:val="30"/>
          <w:rtl/>
          <w:lang w:bidi="ar-EG"/>
        </w:rPr>
      </w:pPr>
      <w:r w:rsidRPr="00335E4B">
        <w:rPr>
          <w:rFonts w:cs="Traditional Arabic"/>
          <w:b/>
          <w:bCs/>
          <w:sz w:val="20"/>
          <w:szCs w:val="30"/>
          <w:rtl/>
          <w:lang w:bidi="ar-EG"/>
        </w:rPr>
        <w:t>الجدول 7-</w:t>
      </w:r>
      <w:r w:rsidRPr="00335E4B">
        <w:rPr>
          <w:rFonts w:cs="Traditional Arabic"/>
          <w:b/>
          <w:bCs/>
          <w:sz w:val="20"/>
          <w:szCs w:val="30"/>
          <w:rtl/>
          <w:lang w:bidi="ar-EG"/>
        </w:rPr>
        <w:tab/>
        <w:t>تكاليف أجهزة ضبط تلوث الهواء في منشآت الطاقة (</w:t>
      </w:r>
      <w:r w:rsidRPr="00335E4B">
        <w:rPr>
          <w:rFonts w:cs="Traditional Arabic" w:hint="cs"/>
          <w:b/>
          <w:bCs/>
          <w:sz w:val="20"/>
          <w:szCs w:val="30"/>
          <w:rtl/>
          <w:lang w:bidi="ar-EG"/>
        </w:rPr>
        <w:t>يوان/كيلوواط، يوان 2010)</w:t>
      </w:r>
      <w:r w:rsidRPr="00335E4B">
        <w:rPr>
          <w:rFonts w:cs="Traditional Arabic"/>
          <w:b/>
          <w:bCs/>
          <w:sz w:val="20"/>
          <w:szCs w:val="30"/>
          <w:rtl/>
          <w:lang w:bidi="ar-EG"/>
        </w:rPr>
        <w:t>، الصين (أنكورا وآخرون، 2015)</w:t>
      </w:r>
      <w:bookmarkEnd w:id="841"/>
      <w:bookmarkEnd w:id="842"/>
      <w:bookmarkEnd w:id="843"/>
      <w:bookmarkEnd w:id="844"/>
      <w:bookmarkEnd w:id="845"/>
      <w:bookmarkEnd w:id="846"/>
      <w:bookmarkEnd w:id="847"/>
      <w:bookmarkEnd w:id="848"/>
      <w:bookmarkEnd w:id="849"/>
      <w:bookmarkEnd w:id="850"/>
      <w:bookmarkEnd w:id="851"/>
      <w:bookmarkEnd w:id="852"/>
    </w:p>
    <w:tbl>
      <w:tblPr>
        <w:bidiVisual/>
        <w:tblW w:w="5000" w:type="pct"/>
        <w:jc w:val="center"/>
        <w:tblBorders>
          <w:top w:val="single" w:sz="4" w:space="0" w:color="auto"/>
          <w:bottom w:val="single" w:sz="4" w:space="0" w:color="auto"/>
        </w:tblBorders>
        <w:tblCellMar>
          <w:left w:w="85" w:type="dxa"/>
          <w:right w:w="85" w:type="dxa"/>
        </w:tblCellMar>
        <w:tblLook w:val="00A0" w:firstRow="1" w:lastRow="0" w:firstColumn="1" w:lastColumn="0" w:noHBand="0" w:noVBand="0"/>
      </w:tblPr>
      <w:tblGrid>
        <w:gridCol w:w="2493"/>
        <w:gridCol w:w="2268"/>
        <w:gridCol w:w="2268"/>
        <w:gridCol w:w="2637"/>
      </w:tblGrid>
      <w:tr w:rsidR="00335E4B" w:rsidRPr="00335E4B" w:rsidTr="00D002D1">
        <w:trPr>
          <w:trHeight w:val="20"/>
          <w:jc w:val="center"/>
        </w:trPr>
        <w:tc>
          <w:tcPr>
            <w:tcW w:w="1290" w:type="pct"/>
            <w:tcBorders>
              <w:top w:val="single" w:sz="4" w:space="0" w:color="auto"/>
              <w:bottom w:val="single" w:sz="4" w:space="0" w:color="auto"/>
            </w:tcBorders>
            <w:vAlign w:val="center"/>
          </w:tcPr>
          <w:p w:rsidR="00335E4B" w:rsidRPr="00335E4B" w:rsidRDefault="00335E4B" w:rsidP="00335E4B">
            <w:pPr>
              <w:spacing w:line="300" w:lineRule="exact"/>
              <w:rPr>
                <w:rFonts w:eastAsia="Arial Unicode MS" w:cs="Traditional Arabic"/>
                <w:b/>
                <w:bCs/>
                <w:sz w:val="16"/>
                <w:szCs w:val="26"/>
              </w:rPr>
            </w:pPr>
            <w:r w:rsidRPr="00335E4B">
              <w:rPr>
                <w:rFonts w:cs="Traditional Arabic"/>
                <w:b/>
                <w:bCs/>
                <w:sz w:val="16"/>
                <w:szCs w:val="26"/>
                <w:rtl/>
              </w:rPr>
              <w:t>أجهزة ضبط تلوث الهواء</w:t>
            </w:r>
          </w:p>
        </w:tc>
        <w:tc>
          <w:tcPr>
            <w:tcW w:w="1173" w:type="pct"/>
            <w:tcBorders>
              <w:top w:val="single" w:sz="4" w:space="0" w:color="auto"/>
              <w:bottom w:val="single" w:sz="4" w:space="0" w:color="auto"/>
            </w:tcBorders>
            <w:vAlign w:val="center"/>
          </w:tcPr>
          <w:p w:rsidR="00335E4B" w:rsidRPr="00335E4B" w:rsidRDefault="00335E4B" w:rsidP="00335E4B">
            <w:pPr>
              <w:spacing w:line="300" w:lineRule="exact"/>
              <w:jc w:val="center"/>
              <w:rPr>
                <w:rFonts w:eastAsia="Arial Unicode MS" w:cs="Traditional Arabic"/>
                <w:b/>
                <w:bCs/>
                <w:sz w:val="16"/>
                <w:szCs w:val="26"/>
              </w:rPr>
            </w:pPr>
            <w:r w:rsidRPr="00335E4B">
              <w:rPr>
                <w:rFonts w:cs="Traditional Arabic"/>
                <w:b/>
                <w:bCs/>
                <w:sz w:val="16"/>
                <w:szCs w:val="26"/>
                <w:rtl/>
              </w:rPr>
              <w:t>القدرة (ميغاواط)</w:t>
            </w:r>
          </w:p>
        </w:tc>
        <w:tc>
          <w:tcPr>
            <w:tcW w:w="1173" w:type="pct"/>
            <w:tcBorders>
              <w:top w:val="single" w:sz="4" w:space="0" w:color="auto"/>
              <w:bottom w:val="single" w:sz="4" w:space="0" w:color="auto"/>
            </w:tcBorders>
            <w:vAlign w:val="center"/>
          </w:tcPr>
          <w:p w:rsidR="00335E4B" w:rsidRPr="00335E4B" w:rsidRDefault="00335E4B" w:rsidP="00335E4B">
            <w:pPr>
              <w:spacing w:line="300" w:lineRule="exact"/>
              <w:jc w:val="center"/>
              <w:rPr>
                <w:rFonts w:eastAsia="Arial Unicode MS" w:cs="Traditional Arabic"/>
                <w:b/>
                <w:bCs/>
                <w:sz w:val="16"/>
                <w:szCs w:val="26"/>
              </w:rPr>
            </w:pPr>
            <w:r w:rsidRPr="00335E4B">
              <w:rPr>
                <w:rFonts w:cs="Traditional Arabic"/>
                <w:b/>
                <w:bCs/>
                <w:sz w:val="16"/>
                <w:szCs w:val="26"/>
                <w:rtl/>
              </w:rPr>
              <w:t xml:space="preserve">التكلفة الرأسمالية (يوان </w:t>
            </w:r>
            <w:r w:rsidRPr="00335E4B">
              <w:rPr>
                <w:rFonts w:cs="Traditional Arabic" w:hint="cs"/>
                <w:b/>
                <w:bCs/>
                <w:sz w:val="16"/>
                <w:szCs w:val="26"/>
                <w:rtl/>
              </w:rPr>
              <w:t>ريمنيمب</w:t>
            </w:r>
            <w:r w:rsidRPr="00335E4B">
              <w:rPr>
                <w:rFonts w:cs="Traditional Arabic"/>
                <w:b/>
                <w:bCs/>
                <w:sz w:val="16"/>
                <w:szCs w:val="26"/>
                <w:rtl/>
              </w:rPr>
              <w:t>/كيلوواط)</w:t>
            </w:r>
          </w:p>
        </w:tc>
        <w:tc>
          <w:tcPr>
            <w:tcW w:w="1364" w:type="pct"/>
            <w:tcBorders>
              <w:top w:val="single" w:sz="4" w:space="0" w:color="auto"/>
              <w:bottom w:val="single" w:sz="4" w:space="0" w:color="auto"/>
            </w:tcBorders>
            <w:vAlign w:val="center"/>
          </w:tcPr>
          <w:p w:rsidR="00335E4B" w:rsidRPr="00335E4B" w:rsidRDefault="00335E4B" w:rsidP="00335E4B">
            <w:pPr>
              <w:spacing w:line="300" w:lineRule="exact"/>
              <w:jc w:val="center"/>
              <w:rPr>
                <w:rFonts w:eastAsia="Arial Unicode MS" w:cs="Traditional Arabic"/>
                <w:b/>
                <w:bCs/>
                <w:sz w:val="16"/>
                <w:szCs w:val="26"/>
              </w:rPr>
            </w:pPr>
            <w:r w:rsidRPr="00335E4B">
              <w:rPr>
                <w:rFonts w:cs="Traditional Arabic"/>
                <w:b/>
                <w:bCs/>
                <w:sz w:val="16"/>
                <w:szCs w:val="26"/>
                <w:rtl/>
              </w:rPr>
              <w:t xml:space="preserve">تكلفة التشغيل والصيانة (يوان </w:t>
            </w:r>
            <w:r w:rsidRPr="00335E4B">
              <w:rPr>
                <w:rFonts w:cs="Traditional Arabic" w:hint="cs"/>
                <w:b/>
                <w:bCs/>
                <w:sz w:val="16"/>
                <w:szCs w:val="26"/>
                <w:rtl/>
              </w:rPr>
              <w:t>ريمنيمب</w:t>
            </w:r>
            <w:r w:rsidRPr="00335E4B">
              <w:rPr>
                <w:rFonts w:cs="Traditional Arabic"/>
                <w:b/>
                <w:bCs/>
                <w:sz w:val="16"/>
                <w:szCs w:val="26"/>
                <w:rtl/>
              </w:rPr>
              <w:t>/كيلوواط- سنة)</w:t>
            </w:r>
          </w:p>
        </w:tc>
      </w:tr>
      <w:tr w:rsidR="00335E4B" w:rsidRPr="00335E4B" w:rsidTr="00D002D1">
        <w:trPr>
          <w:trHeight w:val="20"/>
          <w:jc w:val="center"/>
        </w:trPr>
        <w:tc>
          <w:tcPr>
            <w:tcW w:w="1290" w:type="pct"/>
            <w:tcBorders>
              <w:top w:val="single" w:sz="4" w:space="0" w:color="auto"/>
            </w:tcBorders>
            <w:noWrap/>
            <w:vAlign w:val="center"/>
          </w:tcPr>
          <w:p w:rsidR="00335E4B" w:rsidRPr="00335E4B" w:rsidRDefault="00335E4B" w:rsidP="00335E4B">
            <w:pPr>
              <w:spacing w:line="300" w:lineRule="exact"/>
              <w:jc w:val="both"/>
              <w:rPr>
                <w:rFonts w:eastAsia="SimSun" w:cs="Traditional Arabic"/>
                <w:sz w:val="16"/>
                <w:szCs w:val="26"/>
              </w:rPr>
            </w:pPr>
            <w:r w:rsidRPr="00335E4B">
              <w:rPr>
                <w:rFonts w:cs="Traditional Arabic"/>
                <w:sz w:val="16"/>
                <w:szCs w:val="26"/>
                <w:rtl/>
              </w:rPr>
              <w:t xml:space="preserve">مرسِّب كهروستاتيكي </w:t>
            </w:r>
          </w:p>
        </w:tc>
        <w:tc>
          <w:tcPr>
            <w:tcW w:w="1173" w:type="pct"/>
            <w:tcBorders>
              <w:top w:val="single" w:sz="4" w:space="0" w:color="auto"/>
            </w:tcBorders>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&lt;100</w:t>
            </w:r>
          </w:p>
        </w:tc>
        <w:tc>
          <w:tcPr>
            <w:tcW w:w="1173" w:type="pct"/>
            <w:tcBorders>
              <w:top w:val="single" w:sz="4" w:space="0" w:color="auto"/>
            </w:tcBorders>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108</w:t>
            </w:r>
            <w:r w:rsidRPr="00335E4B">
              <w:rPr>
                <w:rFonts w:eastAsia="SimSun" w:cs="Traditional Arabic"/>
                <w:sz w:val="16"/>
                <w:szCs w:val="26"/>
              </w:rPr>
              <w:t>±</w:t>
            </w:r>
            <w:r w:rsidRPr="00335E4B">
              <w:rPr>
                <w:rFonts w:cs="Traditional Arabic"/>
                <w:sz w:val="16"/>
                <w:szCs w:val="26"/>
                <w:rtl/>
                <w:lang w:bidi="ar-EG"/>
              </w:rPr>
              <w:t>8</w:t>
            </w:r>
          </w:p>
        </w:tc>
        <w:tc>
          <w:tcPr>
            <w:tcW w:w="1364" w:type="pct"/>
            <w:tcBorders>
              <w:top w:val="single" w:sz="4" w:space="0" w:color="auto"/>
            </w:tcBorders>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7</w:t>
            </w:r>
            <w:r w:rsidRPr="00335E4B">
              <w:rPr>
                <w:rFonts w:eastAsia="SimSun" w:cs="Traditional Arabic"/>
                <w:sz w:val="16"/>
                <w:szCs w:val="26"/>
              </w:rPr>
              <w:t>±</w:t>
            </w:r>
            <w:r w:rsidRPr="00335E4B">
              <w:rPr>
                <w:rFonts w:cs="Traditional Arabic"/>
                <w:sz w:val="16"/>
                <w:szCs w:val="26"/>
                <w:rtl/>
                <w:lang w:bidi="ar-EG"/>
              </w:rPr>
              <w:t>2</w:t>
            </w:r>
          </w:p>
        </w:tc>
      </w:tr>
      <w:tr w:rsidR="00335E4B" w:rsidRPr="00335E4B" w:rsidTr="00D002D1">
        <w:trPr>
          <w:trHeight w:val="20"/>
          <w:jc w:val="center"/>
        </w:trPr>
        <w:tc>
          <w:tcPr>
            <w:tcW w:w="1290" w:type="pct"/>
            <w:noWrap/>
            <w:vAlign w:val="center"/>
          </w:tcPr>
          <w:p w:rsidR="00335E4B" w:rsidRPr="00335E4B" w:rsidRDefault="00335E4B" w:rsidP="00335E4B">
            <w:pPr>
              <w:spacing w:line="300" w:lineRule="exact"/>
              <w:jc w:val="both"/>
              <w:rPr>
                <w:rFonts w:eastAsia="SimSun" w:cs="Traditional Arabic"/>
                <w:sz w:val="16"/>
                <w:szCs w:val="26"/>
              </w:rPr>
            </w:pPr>
            <w:r w:rsidRPr="00335E4B">
              <w:rPr>
                <w:rFonts w:cs="Traditional Arabic"/>
                <w:sz w:val="16"/>
                <w:szCs w:val="26"/>
                <w:rtl/>
              </w:rPr>
              <w:t xml:space="preserve">مرسِّب كهروستاتيكي </w:t>
            </w:r>
          </w:p>
        </w:tc>
        <w:tc>
          <w:tcPr>
            <w:tcW w:w="1173" w:type="pct"/>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&lt;300</w:t>
            </w:r>
          </w:p>
        </w:tc>
        <w:tc>
          <w:tcPr>
            <w:tcW w:w="1173"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100</w:t>
            </w:r>
            <w:r w:rsidRPr="00335E4B">
              <w:rPr>
                <w:rFonts w:eastAsia="SimSun" w:cs="Traditional Arabic"/>
                <w:sz w:val="16"/>
                <w:szCs w:val="26"/>
              </w:rPr>
              <w:t>±</w:t>
            </w:r>
            <w:r w:rsidRPr="00335E4B">
              <w:rPr>
                <w:rFonts w:cs="Traditional Arabic"/>
                <w:sz w:val="16"/>
                <w:szCs w:val="26"/>
                <w:rtl/>
                <w:lang w:bidi="ar-EG"/>
              </w:rPr>
              <w:t>7</w:t>
            </w:r>
          </w:p>
        </w:tc>
        <w:tc>
          <w:tcPr>
            <w:tcW w:w="1364"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6</w:t>
            </w:r>
            <w:r w:rsidRPr="00335E4B">
              <w:rPr>
                <w:rFonts w:eastAsia="SimSun" w:cs="Traditional Arabic"/>
                <w:sz w:val="16"/>
                <w:szCs w:val="26"/>
              </w:rPr>
              <w:t>±</w:t>
            </w:r>
            <w:r w:rsidRPr="00335E4B">
              <w:rPr>
                <w:rFonts w:cs="Traditional Arabic"/>
                <w:sz w:val="16"/>
                <w:szCs w:val="26"/>
                <w:rtl/>
                <w:lang w:bidi="ar-EG"/>
              </w:rPr>
              <w:t>2</w:t>
            </w:r>
          </w:p>
        </w:tc>
      </w:tr>
      <w:tr w:rsidR="00335E4B" w:rsidRPr="00335E4B" w:rsidTr="00D002D1">
        <w:trPr>
          <w:trHeight w:val="20"/>
          <w:jc w:val="center"/>
        </w:trPr>
        <w:tc>
          <w:tcPr>
            <w:tcW w:w="1290" w:type="pct"/>
            <w:noWrap/>
            <w:vAlign w:val="center"/>
          </w:tcPr>
          <w:p w:rsidR="00335E4B" w:rsidRPr="00335E4B" w:rsidRDefault="00335E4B" w:rsidP="00335E4B">
            <w:pPr>
              <w:spacing w:line="300" w:lineRule="exact"/>
              <w:jc w:val="both"/>
              <w:rPr>
                <w:rFonts w:eastAsia="SimSun" w:cs="Traditional Arabic"/>
                <w:sz w:val="16"/>
                <w:szCs w:val="26"/>
              </w:rPr>
            </w:pPr>
            <w:r w:rsidRPr="00335E4B">
              <w:rPr>
                <w:rFonts w:cs="Traditional Arabic"/>
                <w:sz w:val="16"/>
                <w:szCs w:val="26"/>
                <w:rtl/>
              </w:rPr>
              <w:t xml:space="preserve">مرسِّب كهروستاتيكي </w:t>
            </w:r>
          </w:p>
        </w:tc>
        <w:tc>
          <w:tcPr>
            <w:tcW w:w="1173" w:type="pct"/>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&lt;300</w:t>
            </w:r>
          </w:p>
        </w:tc>
        <w:tc>
          <w:tcPr>
            <w:tcW w:w="1173"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94</w:t>
            </w:r>
            <w:r w:rsidRPr="00335E4B">
              <w:rPr>
                <w:rFonts w:eastAsia="SimSun" w:cs="Traditional Arabic"/>
                <w:sz w:val="16"/>
                <w:szCs w:val="26"/>
              </w:rPr>
              <w:t>±</w:t>
            </w:r>
            <w:r w:rsidRPr="00335E4B">
              <w:rPr>
                <w:rFonts w:cs="Traditional Arabic"/>
                <w:sz w:val="16"/>
                <w:szCs w:val="26"/>
                <w:rtl/>
                <w:lang w:bidi="ar-EG"/>
              </w:rPr>
              <w:t>7</w:t>
            </w:r>
          </w:p>
        </w:tc>
        <w:tc>
          <w:tcPr>
            <w:tcW w:w="1364"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5</w:t>
            </w:r>
            <w:r w:rsidRPr="00335E4B">
              <w:rPr>
                <w:rFonts w:eastAsia="SimSun" w:cs="Traditional Arabic"/>
                <w:sz w:val="16"/>
                <w:szCs w:val="26"/>
              </w:rPr>
              <w:t>±</w:t>
            </w:r>
            <w:r w:rsidRPr="00335E4B">
              <w:rPr>
                <w:rFonts w:cs="Traditional Arabic"/>
                <w:sz w:val="16"/>
                <w:szCs w:val="26"/>
                <w:rtl/>
                <w:lang w:bidi="ar-EG"/>
              </w:rPr>
              <w:t>2</w:t>
            </w:r>
          </w:p>
        </w:tc>
      </w:tr>
      <w:tr w:rsidR="00335E4B" w:rsidRPr="00335E4B" w:rsidTr="00D002D1">
        <w:trPr>
          <w:trHeight w:val="20"/>
          <w:jc w:val="center"/>
        </w:trPr>
        <w:tc>
          <w:tcPr>
            <w:tcW w:w="1290" w:type="pct"/>
            <w:noWrap/>
            <w:vAlign w:val="center"/>
          </w:tcPr>
          <w:p w:rsidR="00335E4B" w:rsidRPr="00335E4B" w:rsidRDefault="00335E4B" w:rsidP="00335E4B">
            <w:pPr>
              <w:spacing w:line="300" w:lineRule="exact"/>
              <w:jc w:val="both"/>
              <w:rPr>
                <w:rFonts w:eastAsia="SimSun" w:cs="Traditional Arabic"/>
                <w:sz w:val="16"/>
                <w:szCs w:val="26"/>
              </w:rPr>
            </w:pPr>
            <w:r w:rsidRPr="00335E4B">
              <w:rPr>
                <w:rFonts w:cs="Traditional Arabic"/>
                <w:sz w:val="16"/>
                <w:szCs w:val="26"/>
                <w:rtl/>
              </w:rPr>
              <w:t>مرشح نسيجي</w:t>
            </w:r>
          </w:p>
        </w:tc>
        <w:tc>
          <w:tcPr>
            <w:tcW w:w="1173" w:type="pct"/>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&lt;100</w:t>
            </w:r>
          </w:p>
        </w:tc>
        <w:tc>
          <w:tcPr>
            <w:tcW w:w="1173"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91</w:t>
            </w:r>
            <w:r w:rsidRPr="00335E4B">
              <w:rPr>
                <w:rFonts w:eastAsia="SimSun" w:cs="Traditional Arabic"/>
                <w:sz w:val="16"/>
                <w:szCs w:val="26"/>
              </w:rPr>
              <w:t>±</w:t>
            </w:r>
            <w:r w:rsidRPr="00335E4B">
              <w:rPr>
                <w:rFonts w:cs="Traditional Arabic"/>
                <w:sz w:val="16"/>
                <w:szCs w:val="26"/>
                <w:rtl/>
                <w:lang w:bidi="ar-EG"/>
              </w:rPr>
              <w:t>8</w:t>
            </w:r>
          </w:p>
        </w:tc>
        <w:tc>
          <w:tcPr>
            <w:tcW w:w="1364"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10</w:t>
            </w:r>
            <w:r w:rsidRPr="00335E4B">
              <w:rPr>
                <w:rFonts w:eastAsia="SimSun" w:cs="Traditional Arabic"/>
                <w:sz w:val="16"/>
                <w:szCs w:val="26"/>
              </w:rPr>
              <w:t>±</w:t>
            </w:r>
            <w:r w:rsidRPr="00335E4B">
              <w:rPr>
                <w:rFonts w:cs="Traditional Arabic"/>
                <w:sz w:val="16"/>
                <w:szCs w:val="26"/>
                <w:rtl/>
                <w:lang w:bidi="ar-EG"/>
              </w:rPr>
              <w:t>4</w:t>
            </w:r>
          </w:p>
        </w:tc>
      </w:tr>
      <w:tr w:rsidR="00335E4B" w:rsidRPr="00335E4B" w:rsidTr="00D002D1">
        <w:trPr>
          <w:trHeight w:val="20"/>
          <w:jc w:val="center"/>
        </w:trPr>
        <w:tc>
          <w:tcPr>
            <w:tcW w:w="1290" w:type="pct"/>
            <w:noWrap/>
            <w:vAlign w:val="center"/>
          </w:tcPr>
          <w:p w:rsidR="00335E4B" w:rsidRPr="00335E4B" w:rsidRDefault="00335E4B" w:rsidP="00335E4B">
            <w:pPr>
              <w:spacing w:line="300" w:lineRule="exact"/>
              <w:jc w:val="both"/>
              <w:rPr>
                <w:rFonts w:eastAsia="SimSun" w:cs="Traditional Arabic"/>
                <w:sz w:val="16"/>
                <w:szCs w:val="26"/>
              </w:rPr>
            </w:pPr>
            <w:r w:rsidRPr="00335E4B">
              <w:rPr>
                <w:rFonts w:cs="Traditional Arabic"/>
                <w:sz w:val="16"/>
                <w:szCs w:val="26"/>
                <w:rtl/>
              </w:rPr>
              <w:t>مرشح نسيجي</w:t>
            </w:r>
          </w:p>
        </w:tc>
        <w:tc>
          <w:tcPr>
            <w:tcW w:w="1173" w:type="pct"/>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&lt;300</w:t>
            </w:r>
          </w:p>
        </w:tc>
        <w:tc>
          <w:tcPr>
            <w:tcW w:w="1173"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80</w:t>
            </w:r>
            <w:r w:rsidRPr="00335E4B">
              <w:rPr>
                <w:rFonts w:eastAsia="SimSun" w:cs="Traditional Arabic"/>
                <w:sz w:val="16"/>
                <w:szCs w:val="26"/>
              </w:rPr>
              <w:t>±</w:t>
            </w:r>
            <w:r w:rsidRPr="00335E4B">
              <w:rPr>
                <w:rFonts w:cs="Traditional Arabic"/>
                <w:sz w:val="16"/>
                <w:szCs w:val="26"/>
                <w:rtl/>
                <w:lang w:bidi="ar-EG"/>
              </w:rPr>
              <w:t>7</w:t>
            </w:r>
          </w:p>
        </w:tc>
        <w:tc>
          <w:tcPr>
            <w:tcW w:w="1364"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9</w:t>
            </w:r>
            <w:r w:rsidRPr="00335E4B">
              <w:rPr>
                <w:rFonts w:eastAsia="SimSun" w:cs="Traditional Arabic"/>
                <w:sz w:val="16"/>
                <w:szCs w:val="26"/>
              </w:rPr>
              <w:t>±</w:t>
            </w:r>
            <w:r w:rsidRPr="00335E4B">
              <w:rPr>
                <w:rFonts w:cs="Traditional Arabic"/>
                <w:sz w:val="16"/>
                <w:szCs w:val="26"/>
                <w:rtl/>
                <w:lang w:bidi="ar-EG"/>
              </w:rPr>
              <w:t>3</w:t>
            </w:r>
          </w:p>
        </w:tc>
      </w:tr>
      <w:tr w:rsidR="00335E4B" w:rsidRPr="00335E4B" w:rsidTr="00D002D1">
        <w:trPr>
          <w:trHeight w:val="20"/>
          <w:jc w:val="center"/>
        </w:trPr>
        <w:tc>
          <w:tcPr>
            <w:tcW w:w="1290" w:type="pct"/>
            <w:noWrap/>
            <w:vAlign w:val="center"/>
          </w:tcPr>
          <w:p w:rsidR="00335E4B" w:rsidRPr="00335E4B" w:rsidRDefault="00335E4B" w:rsidP="00335E4B">
            <w:pPr>
              <w:spacing w:line="300" w:lineRule="exact"/>
              <w:jc w:val="both"/>
              <w:rPr>
                <w:rFonts w:eastAsia="SimSun" w:cs="Traditional Arabic"/>
                <w:sz w:val="16"/>
                <w:szCs w:val="26"/>
              </w:rPr>
            </w:pPr>
            <w:r w:rsidRPr="00335E4B">
              <w:rPr>
                <w:rFonts w:cs="Traditional Arabic"/>
                <w:sz w:val="16"/>
                <w:szCs w:val="26"/>
                <w:rtl/>
              </w:rPr>
              <w:t>مرشح نسيجي</w:t>
            </w:r>
          </w:p>
        </w:tc>
        <w:tc>
          <w:tcPr>
            <w:tcW w:w="1173" w:type="pct"/>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&lt;300</w:t>
            </w:r>
          </w:p>
        </w:tc>
        <w:tc>
          <w:tcPr>
            <w:tcW w:w="1173"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71</w:t>
            </w:r>
            <w:r w:rsidRPr="00335E4B">
              <w:rPr>
                <w:rFonts w:eastAsia="SimSun" w:cs="Traditional Arabic"/>
                <w:sz w:val="16"/>
                <w:szCs w:val="26"/>
              </w:rPr>
              <w:t>±</w:t>
            </w:r>
            <w:r w:rsidRPr="00335E4B">
              <w:rPr>
                <w:rFonts w:cs="Traditional Arabic"/>
                <w:sz w:val="16"/>
                <w:szCs w:val="26"/>
                <w:rtl/>
                <w:lang w:bidi="ar-EG"/>
              </w:rPr>
              <w:t>6</w:t>
            </w:r>
          </w:p>
        </w:tc>
        <w:tc>
          <w:tcPr>
            <w:tcW w:w="1364"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9</w:t>
            </w:r>
            <w:r w:rsidRPr="00335E4B">
              <w:rPr>
                <w:rFonts w:eastAsia="SimSun" w:cs="Traditional Arabic"/>
                <w:sz w:val="16"/>
                <w:szCs w:val="26"/>
              </w:rPr>
              <w:t>±</w:t>
            </w:r>
            <w:r w:rsidRPr="00335E4B">
              <w:rPr>
                <w:rFonts w:cs="Traditional Arabic"/>
                <w:sz w:val="16"/>
                <w:szCs w:val="26"/>
                <w:rtl/>
                <w:lang w:bidi="ar-EG"/>
              </w:rPr>
              <w:t>3</w:t>
            </w:r>
          </w:p>
        </w:tc>
      </w:tr>
      <w:tr w:rsidR="00335E4B" w:rsidRPr="00335E4B" w:rsidTr="00D002D1">
        <w:trPr>
          <w:trHeight w:val="20"/>
          <w:jc w:val="center"/>
        </w:trPr>
        <w:tc>
          <w:tcPr>
            <w:tcW w:w="1290" w:type="pct"/>
            <w:noWrap/>
            <w:vAlign w:val="center"/>
          </w:tcPr>
          <w:p w:rsidR="00335E4B" w:rsidRPr="00335E4B" w:rsidRDefault="00335E4B" w:rsidP="00335E4B">
            <w:pPr>
              <w:spacing w:line="300" w:lineRule="exact"/>
              <w:jc w:val="both"/>
              <w:rPr>
                <w:rFonts w:eastAsia="SimSun" w:cs="Traditional Arabic"/>
                <w:sz w:val="16"/>
                <w:szCs w:val="26"/>
              </w:rPr>
            </w:pPr>
            <w:r w:rsidRPr="00335E4B">
              <w:rPr>
                <w:rFonts w:cs="Traditional Arabic"/>
                <w:sz w:val="16"/>
                <w:szCs w:val="26"/>
                <w:rtl/>
              </w:rPr>
              <w:t xml:space="preserve">جهاز </w:t>
            </w:r>
            <w:r w:rsidRPr="00335E4B">
              <w:rPr>
                <w:rFonts w:cs="Traditional Arabic" w:hint="cs"/>
                <w:sz w:val="16"/>
                <w:szCs w:val="26"/>
                <w:rtl/>
              </w:rPr>
              <w:t>رطب لإزالة</w:t>
            </w:r>
            <w:r w:rsidRPr="00335E4B">
              <w:rPr>
                <w:rFonts w:cs="Traditional Arabic"/>
                <w:sz w:val="16"/>
                <w:szCs w:val="26"/>
                <w:rtl/>
              </w:rPr>
              <w:t xml:space="preserve"> الكبريت</w:t>
            </w:r>
          </w:p>
        </w:tc>
        <w:tc>
          <w:tcPr>
            <w:tcW w:w="1173" w:type="pct"/>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&lt;100</w:t>
            </w:r>
          </w:p>
        </w:tc>
        <w:tc>
          <w:tcPr>
            <w:tcW w:w="1173"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736</w:t>
            </w:r>
            <w:r w:rsidRPr="00335E4B">
              <w:rPr>
                <w:rFonts w:eastAsia="SimSun" w:cs="Traditional Arabic"/>
                <w:sz w:val="16"/>
                <w:szCs w:val="26"/>
              </w:rPr>
              <w:t>±</w:t>
            </w:r>
            <w:r w:rsidRPr="00335E4B">
              <w:rPr>
                <w:rFonts w:cs="Traditional Arabic"/>
                <w:sz w:val="16"/>
                <w:szCs w:val="26"/>
                <w:rtl/>
                <w:lang w:bidi="ar-EG"/>
              </w:rPr>
              <w:t>178</w:t>
            </w:r>
          </w:p>
        </w:tc>
        <w:tc>
          <w:tcPr>
            <w:tcW w:w="1364"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74</w:t>
            </w:r>
            <w:r w:rsidRPr="00335E4B">
              <w:rPr>
                <w:rFonts w:eastAsia="SimSun" w:cs="Traditional Arabic"/>
                <w:sz w:val="16"/>
                <w:szCs w:val="26"/>
              </w:rPr>
              <w:t>±</w:t>
            </w:r>
            <w:r w:rsidRPr="00335E4B">
              <w:rPr>
                <w:rFonts w:cs="Traditional Arabic"/>
                <w:sz w:val="16"/>
                <w:szCs w:val="26"/>
                <w:rtl/>
                <w:lang w:bidi="ar-EG"/>
              </w:rPr>
              <w:t>29</w:t>
            </w:r>
          </w:p>
        </w:tc>
      </w:tr>
      <w:tr w:rsidR="00335E4B" w:rsidRPr="00335E4B" w:rsidTr="00D002D1">
        <w:trPr>
          <w:trHeight w:val="20"/>
          <w:jc w:val="center"/>
        </w:trPr>
        <w:tc>
          <w:tcPr>
            <w:tcW w:w="1290" w:type="pct"/>
            <w:noWrap/>
            <w:vAlign w:val="center"/>
          </w:tcPr>
          <w:p w:rsidR="00335E4B" w:rsidRPr="00335E4B" w:rsidRDefault="00335E4B" w:rsidP="00335E4B">
            <w:pPr>
              <w:spacing w:line="300" w:lineRule="exact"/>
              <w:jc w:val="both"/>
              <w:rPr>
                <w:rFonts w:eastAsia="SimSun" w:cs="Traditional Arabic"/>
                <w:sz w:val="16"/>
                <w:szCs w:val="26"/>
              </w:rPr>
            </w:pPr>
            <w:r w:rsidRPr="00335E4B">
              <w:rPr>
                <w:rFonts w:cs="Traditional Arabic"/>
                <w:sz w:val="16"/>
                <w:szCs w:val="26"/>
                <w:rtl/>
              </w:rPr>
              <w:t xml:space="preserve">جهاز </w:t>
            </w:r>
            <w:r w:rsidRPr="00335E4B">
              <w:rPr>
                <w:rFonts w:cs="Traditional Arabic" w:hint="cs"/>
                <w:sz w:val="16"/>
                <w:szCs w:val="26"/>
                <w:rtl/>
              </w:rPr>
              <w:t>رطب لإزالة</w:t>
            </w:r>
            <w:r w:rsidRPr="00335E4B">
              <w:rPr>
                <w:rFonts w:cs="Traditional Arabic"/>
                <w:sz w:val="16"/>
                <w:szCs w:val="26"/>
                <w:rtl/>
              </w:rPr>
              <w:t xml:space="preserve"> الكبريت</w:t>
            </w:r>
          </w:p>
        </w:tc>
        <w:tc>
          <w:tcPr>
            <w:tcW w:w="1173" w:type="pct"/>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&lt;300</w:t>
            </w:r>
          </w:p>
        </w:tc>
        <w:tc>
          <w:tcPr>
            <w:tcW w:w="1173"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410</w:t>
            </w:r>
            <w:r w:rsidRPr="00335E4B">
              <w:rPr>
                <w:rFonts w:eastAsia="SimSun" w:cs="Traditional Arabic"/>
                <w:sz w:val="16"/>
                <w:szCs w:val="26"/>
              </w:rPr>
              <w:t>±</w:t>
            </w:r>
            <w:r w:rsidRPr="00335E4B">
              <w:rPr>
                <w:rFonts w:cs="Traditional Arabic"/>
                <w:sz w:val="16"/>
                <w:szCs w:val="26"/>
                <w:rtl/>
                <w:lang w:bidi="ar-EG"/>
              </w:rPr>
              <w:t>99</w:t>
            </w:r>
          </w:p>
        </w:tc>
        <w:tc>
          <w:tcPr>
            <w:tcW w:w="1364"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56</w:t>
            </w:r>
            <w:r w:rsidRPr="00335E4B">
              <w:rPr>
                <w:rFonts w:eastAsia="SimSun" w:cs="Traditional Arabic"/>
                <w:sz w:val="16"/>
                <w:szCs w:val="26"/>
              </w:rPr>
              <w:t>±</w:t>
            </w:r>
            <w:r w:rsidRPr="00335E4B">
              <w:rPr>
                <w:rFonts w:cs="Traditional Arabic"/>
                <w:sz w:val="16"/>
                <w:szCs w:val="26"/>
                <w:rtl/>
                <w:lang w:bidi="ar-EG"/>
              </w:rPr>
              <w:t>22</w:t>
            </w:r>
          </w:p>
        </w:tc>
      </w:tr>
      <w:tr w:rsidR="00335E4B" w:rsidRPr="00335E4B" w:rsidTr="00D002D1">
        <w:trPr>
          <w:trHeight w:val="20"/>
          <w:jc w:val="center"/>
        </w:trPr>
        <w:tc>
          <w:tcPr>
            <w:tcW w:w="1290" w:type="pct"/>
            <w:noWrap/>
            <w:vAlign w:val="center"/>
          </w:tcPr>
          <w:p w:rsidR="00335E4B" w:rsidRPr="00335E4B" w:rsidRDefault="00335E4B" w:rsidP="00335E4B">
            <w:pPr>
              <w:spacing w:line="300" w:lineRule="exact"/>
              <w:jc w:val="both"/>
              <w:rPr>
                <w:rFonts w:eastAsia="SimSun" w:cs="Traditional Arabic"/>
                <w:sz w:val="16"/>
                <w:szCs w:val="26"/>
              </w:rPr>
            </w:pPr>
            <w:r w:rsidRPr="00335E4B">
              <w:rPr>
                <w:rFonts w:cs="Traditional Arabic"/>
                <w:sz w:val="16"/>
                <w:szCs w:val="26"/>
                <w:rtl/>
              </w:rPr>
              <w:t xml:space="preserve">جهاز </w:t>
            </w:r>
            <w:r w:rsidRPr="00335E4B">
              <w:rPr>
                <w:rFonts w:cs="Traditional Arabic" w:hint="cs"/>
                <w:sz w:val="16"/>
                <w:szCs w:val="26"/>
                <w:rtl/>
              </w:rPr>
              <w:t>رطب لإزالة</w:t>
            </w:r>
            <w:r w:rsidRPr="00335E4B">
              <w:rPr>
                <w:rFonts w:cs="Traditional Arabic"/>
                <w:sz w:val="16"/>
                <w:szCs w:val="26"/>
                <w:rtl/>
              </w:rPr>
              <w:t xml:space="preserve"> الكبريت</w:t>
            </w:r>
          </w:p>
        </w:tc>
        <w:tc>
          <w:tcPr>
            <w:tcW w:w="1173" w:type="pct"/>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&lt;300</w:t>
            </w:r>
          </w:p>
        </w:tc>
        <w:tc>
          <w:tcPr>
            <w:tcW w:w="1173"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151</w:t>
            </w:r>
            <w:r w:rsidRPr="00335E4B">
              <w:rPr>
                <w:rFonts w:eastAsia="SimSun" w:cs="Traditional Arabic"/>
                <w:sz w:val="16"/>
                <w:szCs w:val="26"/>
              </w:rPr>
              <w:t>±</w:t>
            </w:r>
            <w:r w:rsidRPr="00335E4B">
              <w:rPr>
                <w:rFonts w:cs="Traditional Arabic"/>
                <w:sz w:val="16"/>
                <w:szCs w:val="26"/>
                <w:rtl/>
                <w:lang w:bidi="ar-EG"/>
              </w:rPr>
              <w:t>37</w:t>
            </w:r>
          </w:p>
        </w:tc>
        <w:tc>
          <w:tcPr>
            <w:tcW w:w="1364"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36</w:t>
            </w:r>
            <w:r w:rsidRPr="00335E4B">
              <w:rPr>
                <w:rFonts w:eastAsia="SimSun" w:cs="Traditional Arabic"/>
                <w:sz w:val="16"/>
                <w:szCs w:val="26"/>
              </w:rPr>
              <w:t>±</w:t>
            </w:r>
            <w:r w:rsidRPr="00335E4B">
              <w:rPr>
                <w:rFonts w:cs="Traditional Arabic"/>
                <w:sz w:val="16"/>
                <w:szCs w:val="26"/>
                <w:rtl/>
                <w:lang w:bidi="ar-EG"/>
              </w:rPr>
              <w:t>14</w:t>
            </w:r>
          </w:p>
        </w:tc>
      </w:tr>
      <w:tr w:rsidR="00335E4B" w:rsidRPr="00335E4B" w:rsidTr="00D002D1">
        <w:trPr>
          <w:trHeight w:val="20"/>
          <w:jc w:val="center"/>
        </w:trPr>
        <w:tc>
          <w:tcPr>
            <w:tcW w:w="1290" w:type="pct"/>
            <w:noWrap/>
            <w:vAlign w:val="center"/>
          </w:tcPr>
          <w:p w:rsidR="00335E4B" w:rsidRPr="00335E4B" w:rsidRDefault="00335E4B" w:rsidP="00335E4B">
            <w:pPr>
              <w:spacing w:line="300" w:lineRule="exact"/>
              <w:jc w:val="both"/>
              <w:rPr>
                <w:rFonts w:eastAsia="SimSun" w:cs="Traditional Arabic"/>
                <w:sz w:val="16"/>
                <w:szCs w:val="26"/>
                <w:lang w:bidi="ar-EG"/>
              </w:rPr>
            </w:pPr>
            <w:r w:rsidRPr="00335E4B">
              <w:rPr>
                <w:rFonts w:cs="Traditional Arabic"/>
                <w:sz w:val="16"/>
                <w:szCs w:val="26"/>
                <w:rtl/>
              </w:rPr>
              <w:t>اختزال حفزي انتقائي</w:t>
            </w:r>
          </w:p>
        </w:tc>
        <w:tc>
          <w:tcPr>
            <w:tcW w:w="1173" w:type="pct"/>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&lt;100</w:t>
            </w:r>
          </w:p>
        </w:tc>
        <w:tc>
          <w:tcPr>
            <w:tcW w:w="1173"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123</w:t>
            </w:r>
            <w:r w:rsidRPr="00335E4B">
              <w:rPr>
                <w:rFonts w:eastAsia="SimSun" w:cs="Traditional Arabic"/>
                <w:sz w:val="16"/>
                <w:szCs w:val="26"/>
              </w:rPr>
              <w:t>±</w:t>
            </w:r>
            <w:r w:rsidRPr="00335E4B">
              <w:rPr>
                <w:rFonts w:cs="Traditional Arabic"/>
                <w:sz w:val="16"/>
                <w:szCs w:val="26"/>
                <w:rtl/>
                <w:lang w:bidi="ar-EG"/>
              </w:rPr>
              <w:t>29</w:t>
            </w:r>
          </w:p>
        </w:tc>
        <w:tc>
          <w:tcPr>
            <w:tcW w:w="1364"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43</w:t>
            </w:r>
            <w:r w:rsidRPr="00335E4B">
              <w:rPr>
                <w:rFonts w:eastAsia="SimSun" w:cs="Traditional Arabic"/>
                <w:sz w:val="16"/>
                <w:szCs w:val="26"/>
              </w:rPr>
              <w:t>±</w:t>
            </w:r>
            <w:r w:rsidRPr="00335E4B">
              <w:rPr>
                <w:rFonts w:cs="Traditional Arabic"/>
                <w:sz w:val="16"/>
                <w:szCs w:val="26"/>
                <w:rtl/>
                <w:lang w:bidi="ar-EG"/>
              </w:rPr>
              <w:t>18</w:t>
            </w:r>
          </w:p>
        </w:tc>
      </w:tr>
      <w:tr w:rsidR="00335E4B" w:rsidRPr="00335E4B" w:rsidTr="00D002D1">
        <w:trPr>
          <w:trHeight w:val="20"/>
          <w:jc w:val="center"/>
        </w:trPr>
        <w:tc>
          <w:tcPr>
            <w:tcW w:w="1290" w:type="pct"/>
            <w:noWrap/>
            <w:vAlign w:val="center"/>
          </w:tcPr>
          <w:p w:rsidR="00335E4B" w:rsidRPr="00335E4B" w:rsidRDefault="00335E4B" w:rsidP="00335E4B">
            <w:pPr>
              <w:spacing w:line="300" w:lineRule="exact"/>
              <w:jc w:val="both"/>
              <w:rPr>
                <w:rFonts w:eastAsia="SimSun" w:cs="Traditional Arabic"/>
                <w:sz w:val="16"/>
                <w:szCs w:val="26"/>
              </w:rPr>
            </w:pPr>
            <w:r w:rsidRPr="00335E4B">
              <w:rPr>
                <w:rFonts w:cs="Traditional Arabic"/>
                <w:sz w:val="16"/>
                <w:szCs w:val="26"/>
                <w:rtl/>
              </w:rPr>
              <w:t>اختزال حفزي انتقائي</w:t>
            </w:r>
          </w:p>
        </w:tc>
        <w:tc>
          <w:tcPr>
            <w:tcW w:w="1173" w:type="pct"/>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&lt;300</w:t>
            </w:r>
          </w:p>
        </w:tc>
        <w:tc>
          <w:tcPr>
            <w:tcW w:w="1173"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99</w:t>
            </w:r>
            <w:r w:rsidRPr="00335E4B">
              <w:rPr>
                <w:rFonts w:eastAsia="SimSun" w:cs="Traditional Arabic"/>
                <w:sz w:val="16"/>
                <w:szCs w:val="26"/>
              </w:rPr>
              <w:t>±</w:t>
            </w:r>
            <w:r w:rsidRPr="00335E4B">
              <w:rPr>
                <w:rFonts w:cs="Traditional Arabic"/>
                <w:sz w:val="16"/>
                <w:szCs w:val="26"/>
                <w:rtl/>
                <w:lang w:bidi="ar-EG"/>
              </w:rPr>
              <w:t>23</w:t>
            </w:r>
          </w:p>
        </w:tc>
        <w:tc>
          <w:tcPr>
            <w:tcW w:w="1364" w:type="pct"/>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31</w:t>
            </w:r>
            <w:r w:rsidRPr="00335E4B">
              <w:rPr>
                <w:rFonts w:eastAsia="SimSun" w:cs="Traditional Arabic"/>
                <w:sz w:val="16"/>
                <w:szCs w:val="26"/>
              </w:rPr>
              <w:t>±</w:t>
            </w:r>
            <w:r w:rsidRPr="00335E4B">
              <w:rPr>
                <w:rFonts w:cs="Traditional Arabic"/>
                <w:sz w:val="16"/>
                <w:szCs w:val="26"/>
                <w:rtl/>
                <w:lang w:bidi="ar-EG"/>
              </w:rPr>
              <w:t>13</w:t>
            </w:r>
          </w:p>
        </w:tc>
      </w:tr>
      <w:tr w:rsidR="00335E4B" w:rsidRPr="00335E4B" w:rsidTr="00D002D1">
        <w:trPr>
          <w:trHeight w:val="20"/>
          <w:jc w:val="center"/>
        </w:trPr>
        <w:tc>
          <w:tcPr>
            <w:tcW w:w="1290" w:type="pct"/>
            <w:tcBorders>
              <w:bottom w:val="single" w:sz="4" w:space="0" w:color="auto"/>
            </w:tcBorders>
            <w:noWrap/>
            <w:vAlign w:val="center"/>
          </w:tcPr>
          <w:p w:rsidR="00335E4B" w:rsidRPr="00335E4B" w:rsidRDefault="00335E4B" w:rsidP="00335E4B">
            <w:pPr>
              <w:spacing w:line="300" w:lineRule="exact"/>
              <w:jc w:val="both"/>
              <w:rPr>
                <w:rFonts w:eastAsia="SimSun" w:cs="Traditional Arabic"/>
                <w:sz w:val="16"/>
                <w:szCs w:val="26"/>
              </w:rPr>
            </w:pPr>
            <w:r w:rsidRPr="00335E4B">
              <w:rPr>
                <w:rFonts w:cs="Traditional Arabic"/>
                <w:sz w:val="16"/>
                <w:szCs w:val="26"/>
                <w:rtl/>
              </w:rPr>
              <w:t>اختزال حفزي انتقائي</w:t>
            </w:r>
          </w:p>
        </w:tc>
        <w:tc>
          <w:tcPr>
            <w:tcW w:w="1173" w:type="pct"/>
            <w:tcBorders>
              <w:bottom w:val="single" w:sz="4" w:space="0" w:color="auto"/>
            </w:tcBorders>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&lt;300</w:t>
            </w:r>
          </w:p>
        </w:tc>
        <w:tc>
          <w:tcPr>
            <w:tcW w:w="1173" w:type="pct"/>
            <w:tcBorders>
              <w:bottom w:val="single" w:sz="4" w:space="0" w:color="auto"/>
            </w:tcBorders>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75</w:t>
            </w:r>
            <w:r w:rsidRPr="00335E4B">
              <w:rPr>
                <w:rFonts w:eastAsia="SimSun" w:cs="Traditional Arabic"/>
                <w:sz w:val="16"/>
                <w:szCs w:val="26"/>
              </w:rPr>
              <w:t>±</w:t>
            </w:r>
            <w:r w:rsidRPr="00335E4B">
              <w:rPr>
                <w:rFonts w:cs="Traditional Arabic"/>
                <w:sz w:val="16"/>
                <w:szCs w:val="26"/>
                <w:rtl/>
                <w:lang w:bidi="ar-EG"/>
              </w:rPr>
              <w:t>18</w:t>
            </w:r>
          </w:p>
        </w:tc>
        <w:tc>
          <w:tcPr>
            <w:tcW w:w="1364" w:type="pct"/>
            <w:tcBorders>
              <w:bottom w:val="single" w:sz="4" w:space="0" w:color="auto"/>
            </w:tcBorders>
            <w:noWrap/>
            <w:vAlign w:val="center"/>
          </w:tcPr>
          <w:p w:rsidR="00335E4B" w:rsidRPr="00335E4B" w:rsidRDefault="00335E4B" w:rsidP="00335E4B">
            <w:pPr>
              <w:spacing w:line="300" w:lineRule="exact"/>
              <w:jc w:val="center"/>
              <w:rPr>
                <w:rFonts w:eastAsia="SimSun" w:cs="Traditional Arabic"/>
                <w:sz w:val="16"/>
                <w:szCs w:val="26"/>
              </w:rPr>
            </w:pPr>
            <w:r w:rsidRPr="00335E4B">
              <w:rPr>
                <w:rFonts w:cs="Traditional Arabic"/>
                <w:sz w:val="16"/>
                <w:szCs w:val="26"/>
                <w:rtl/>
                <w:lang w:bidi="ar-EG"/>
              </w:rPr>
              <w:t>20</w:t>
            </w:r>
            <w:r w:rsidRPr="00335E4B">
              <w:rPr>
                <w:rFonts w:eastAsia="SimSun" w:cs="Traditional Arabic"/>
                <w:sz w:val="16"/>
                <w:szCs w:val="26"/>
              </w:rPr>
              <w:t>±</w:t>
            </w:r>
            <w:r w:rsidRPr="00335E4B">
              <w:rPr>
                <w:rFonts w:cs="Traditional Arabic"/>
                <w:sz w:val="16"/>
                <w:szCs w:val="26"/>
                <w:rtl/>
                <w:lang w:bidi="ar-EG"/>
              </w:rPr>
              <w:t>8</w:t>
            </w:r>
          </w:p>
        </w:tc>
      </w:tr>
    </w:tbl>
    <w:p w:rsidR="00335E4B" w:rsidRPr="00335E4B" w:rsidRDefault="00335E4B" w:rsidP="00335E4B">
      <w:pPr>
        <w:keepNext/>
        <w:spacing w:before="120" w:line="340" w:lineRule="exact"/>
        <w:jc w:val="both"/>
        <w:outlineLvl w:val="0"/>
        <w:rPr>
          <w:rFonts w:cs="Traditional Arabic"/>
          <w:b/>
          <w:bCs/>
          <w:sz w:val="20"/>
          <w:szCs w:val="30"/>
          <w:rtl/>
          <w:lang w:bidi="ar-EG"/>
        </w:rPr>
      </w:pPr>
      <w:bookmarkStart w:id="853" w:name="_Toc440527785"/>
      <w:bookmarkStart w:id="854" w:name="_Toc440550485"/>
      <w:bookmarkStart w:id="855" w:name="_Toc441577742"/>
      <w:bookmarkStart w:id="856" w:name="_Toc441577921"/>
      <w:bookmarkStart w:id="857" w:name="_Toc441579147"/>
      <w:bookmarkStart w:id="858" w:name="_Toc441580755"/>
      <w:bookmarkStart w:id="859" w:name="_Toc441585886"/>
      <w:bookmarkStart w:id="860" w:name="_Toc441586222"/>
      <w:bookmarkStart w:id="861" w:name="_Toc441586672"/>
      <w:bookmarkStart w:id="862" w:name="_Toc441586851"/>
      <w:bookmarkStart w:id="863" w:name="_Toc441666700"/>
      <w:bookmarkStart w:id="864" w:name="_Toc441673761"/>
      <w:r w:rsidRPr="00335E4B">
        <w:rPr>
          <w:rFonts w:cs="Traditional Arabic"/>
          <w:b/>
          <w:bCs/>
          <w:sz w:val="20"/>
          <w:szCs w:val="30"/>
          <w:rtl/>
          <w:lang w:bidi="ar-EG"/>
        </w:rPr>
        <w:t>الجدول 8 -</w:t>
      </w:r>
      <w:r w:rsidRPr="00335E4B">
        <w:rPr>
          <w:rFonts w:cs="Traditional Arabic"/>
          <w:b/>
          <w:bCs/>
          <w:sz w:val="20"/>
          <w:szCs w:val="30"/>
          <w:rtl/>
          <w:lang w:bidi="ar-EG"/>
        </w:rPr>
        <w:tab/>
        <w:t>التكلفة الرأسمالية لتكنولوجيا المنافع المشتركة في الولايات المتحدة (</w:t>
      </w:r>
      <w:r w:rsidRPr="00335E4B">
        <w:rPr>
          <w:rFonts w:cs="Traditional Arabic" w:hint="cs"/>
          <w:b/>
          <w:bCs/>
          <w:sz w:val="20"/>
          <w:szCs w:val="30"/>
          <w:rtl/>
          <w:lang w:bidi="ar-EG"/>
        </w:rPr>
        <w:t>دولار/كيلوواط</w:t>
      </w:r>
      <w:r w:rsidRPr="00335E4B">
        <w:rPr>
          <w:rFonts w:cs="Traditional Arabic"/>
          <w:b/>
          <w:bCs/>
          <w:sz w:val="20"/>
          <w:szCs w:val="30"/>
          <w:rtl/>
          <w:lang w:bidi="ar-EG"/>
        </w:rPr>
        <w:t>، بدولارات عام 2012) (وكالة حماية البيئة في الولايات المتحدة، 2013)</w:t>
      </w:r>
      <w:bookmarkEnd w:id="853"/>
      <w:bookmarkEnd w:id="854"/>
      <w:bookmarkEnd w:id="855"/>
      <w:bookmarkEnd w:id="856"/>
      <w:bookmarkEnd w:id="857"/>
      <w:bookmarkEnd w:id="858"/>
      <w:bookmarkEnd w:id="859"/>
      <w:bookmarkEnd w:id="860"/>
      <w:bookmarkEnd w:id="861"/>
      <w:bookmarkEnd w:id="862"/>
      <w:bookmarkEnd w:id="863"/>
      <w:bookmarkEnd w:id="864"/>
    </w:p>
    <w:tbl>
      <w:tblPr>
        <w:bidiVisual/>
        <w:tblW w:w="0" w:type="auto"/>
        <w:jc w:val="center"/>
        <w:tblLook w:val="00A0" w:firstRow="1" w:lastRow="0" w:firstColumn="1" w:lastColumn="0" w:noHBand="0" w:noVBand="0"/>
      </w:tblPr>
      <w:tblGrid>
        <w:gridCol w:w="2935"/>
        <w:gridCol w:w="1368"/>
        <w:gridCol w:w="1450"/>
        <w:gridCol w:w="1830"/>
        <w:gridCol w:w="1960"/>
      </w:tblGrid>
      <w:tr w:rsidR="00335E4B" w:rsidRPr="00335E4B" w:rsidTr="00D002D1">
        <w:trPr>
          <w:jc w:val="center"/>
        </w:trPr>
        <w:tc>
          <w:tcPr>
            <w:tcW w:w="2935" w:type="dxa"/>
            <w:tcBorders>
              <w:top w:val="single" w:sz="2" w:space="0" w:color="auto"/>
              <w:bottom w:val="single" w:sz="2" w:space="0" w:color="auto"/>
            </w:tcBorders>
            <w:vAlign w:val="bottom"/>
          </w:tcPr>
          <w:p w:rsidR="00335E4B" w:rsidRPr="00335E4B" w:rsidRDefault="00335E4B" w:rsidP="00335E4B">
            <w:pPr>
              <w:spacing w:line="300" w:lineRule="exact"/>
              <w:rPr>
                <w:rFonts w:cs="Traditional Arabic"/>
                <w:b/>
                <w:bCs/>
                <w:sz w:val="16"/>
                <w:szCs w:val="26"/>
              </w:rPr>
            </w:pPr>
            <w:r w:rsidRPr="00335E4B">
              <w:rPr>
                <w:rFonts w:cs="Traditional Arabic"/>
                <w:b/>
                <w:bCs/>
                <w:sz w:val="16"/>
                <w:szCs w:val="26"/>
                <w:rtl/>
              </w:rPr>
              <w:t>التكنولوجيا</w:t>
            </w:r>
          </w:p>
        </w:tc>
        <w:tc>
          <w:tcPr>
            <w:tcW w:w="1368" w:type="dxa"/>
            <w:tcBorders>
              <w:top w:val="single" w:sz="2" w:space="0" w:color="auto"/>
              <w:bottom w:val="single" w:sz="2" w:space="0" w:color="auto"/>
            </w:tcBorders>
            <w:vAlign w:val="bottom"/>
          </w:tcPr>
          <w:p w:rsidR="00335E4B" w:rsidRPr="00335E4B" w:rsidRDefault="00335E4B" w:rsidP="00335E4B">
            <w:pPr>
              <w:spacing w:line="300" w:lineRule="exact"/>
              <w:rPr>
                <w:rFonts w:cs="Traditional Arabic"/>
                <w:b/>
                <w:bCs/>
                <w:sz w:val="16"/>
                <w:szCs w:val="26"/>
              </w:rPr>
            </w:pPr>
            <w:r w:rsidRPr="00335E4B">
              <w:rPr>
                <w:rFonts w:cs="Traditional Arabic"/>
                <w:b/>
                <w:bCs/>
                <w:sz w:val="16"/>
                <w:szCs w:val="26"/>
                <w:rtl/>
              </w:rPr>
              <w:t>حجم الوحدة، ميغاواط</w:t>
            </w:r>
          </w:p>
        </w:tc>
        <w:tc>
          <w:tcPr>
            <w:tcW w:w="1450" w:type="dxa"/>
            <w:tcBorders>
              <w:top w:val="single" w:sz="2" w:space="0" w:color="auto"/>
              <w:bottom w:val="single" w:sz="2" w:space="0" w:color="auto"/>
            </w:tcBorders>
            <w:vAlign w:val="bottom"/>
          </w:tcPr>
          <w:p w:rsidR="00335E4B" w:rsidRPr="00335E4B" w:rsidDel="00063E04" w:rsidRDefault="00335E4B" w:rsidP="00335E4B">
            <w:pPr>
              <w:spacing w:line="300" w:lineRule="exact"/>
              <w:rPr>
                <w:rFonts w:cs="Traditional Arabic"/>
                <w:b/>
                <w:bCs/>
                <w:sz w:val="16"/>
                <w:szCs w:val="26"/>
              </w:rPr>
            </w:pPr>
            <w:r w:rsidRPr="00335E4B">
              <w:rPr>
                <w:rFonts w:cs="Traditional Arabic"/>
                <w:b/>
                <w:bCs/>
                <w:sz w:val="16"/>
                <w:szCs w:val="26"/>
                <w:rtl/>
              </w:rPr>
              <w:t>نوع الفحم</w:t>
            </w:r>
          </w:p>
        </w:tc>
        <w:tc>
          <w:tcPr>
            <w:tcW w:w="1830" w:type="dxa"/>
            <w:tcBorders>
              <w:top w:val="single" w:sz="2" w:space="0" w:color="auto"/>
              <w:bottom w:val="single" w:sz="2" w:space="0" w:color="auto"/>
            </w:tcBorders>
            <w:vAlign w:val="bottom"/>
          </w:tcPr>
          <w:p w:rsidR="00335E4B" w:rsidRPr="00335E4B" w:rsidRDefault="00335E4B" w:rsidP="00335E4B">
            <w:pPr>
              <w:spacing w:line="300" w:lineRule="exact"/>
              <w:rPr>
                <w:rFonts w:cs="Traditional Arabic"/>
                <w:b/>
                <w:bCs/>
                <w:sz w:val="16"/>
                <w:szCs w:val="26"/>
              </w:rPr>
            </w:pPr>
            <w:r w:rsidRPr="00335E4B">
              <w:rPr>
                <w:rFonts w:cs="Traditional Arabic"/>
                <w:b/>
                <w:bCs/>
                <w:sz w:val="16"/>
                <w:szCs w:val="26"/>
                <w:rtl/>
              </w:rPr>
              <w:t>مجموع التكلفة الرأسمالية (دولار/كيلوواط)</w:t>
            </w:r>
          </w:p>
        </w:tc>
        <w:tc>
          <w:tcPr>
            <w:tcW w:w="1960" w:type="dxa"/>
            <w:tcBorders>
              <w:top w:val="single" w:sz="2" w:space="0" w:color="auto"/>
              <w:bottom w:val="single" w:sz="2" w:space="0" w:color="auto"/>
            </w:tcBorders>
            <w:vAlign w:val="bottom"/>
          </w:tcPr>
          <w:p w:rsidR="00335E4B" w:rsidRPr="00335E4B" w:rsidRDefault="00335E4B" w:rsidP="00335E4B">
            <w:pPr>
              <w:spacing w:line="300" w:lineRule="exact"/>
              <w:rPr>
                <w:rFonts w:cs="Traditional Arabic"/>
                <w:b/>
                <w:bCs/>
                <w:sz w:val="16"/>
                <w:szCs w:val="26"/>
              </w:rPr>
            </w:pPr>
            <w:r w:rsidRPr="00335E4B">
              <w:rPr>
                <w:rFonts w:cs="Traditional Arabic"/>
                <w:b/>
                <w:bCs/>
                <w:sz w:val="16"/>
                <w:szCs w:val="26"/>
                <w:rtl/>
              </w:rPr>
              <w:t>مجموع تكاليف الصيانة والتشغيل الثابتة والمتغيرة (دولار/ميغاواط ساعة)</w:t>
            </w:r>
          </w:p>
        </w:tc>
      </w:tr>
      <w:tr w:rsidR="00335E4B" w:rsidRPr="00335E4B" w:rsidTr="00D002D1">
        <w:trPr>
          <w:jc w:val="center"/>
        </w:trPr>
        <w:tc>
          <w:tcPr>
            <w:tcW w:w="2935" w:type="dxa"/>
            <w:tcBorders>
              <w:top w:val="single" w:sz="2" w:space="0" w:color="auto"/>
            </w:tcBorders>
          </w:tcPr>
          <w:p w:rsidR="00335E4B" w:rsidRPr="00335E4B" w:rsidRDefault="00335E4B" w:rsidP="00335E4B">
            <w:pPr>
              <w:spacing w:line="300" w:lineRule="exact"/>
              <w:rPr>
                <w:rFonts w:cs="Traditional Arabic"/>
                <w:sz w:val="16"/>
                <w:szCs w:val="26"/>
              </w:rPr>
            </w:pPr>
            <w:r w:rsidRPr="00335E4B">
              <w:rPr>
                <w:rFonts w:cs="Traditional Arabic" w:hint="cs"/>
                <w:sz w:val="16"/>
                <w:szCs w:val="26"/>
                <w:rtl/>
              </w:rPr>
              <w:t>الجهاز</w:t>
            </w:r>
            <w:r w:rsidRPr="00335E4B">
              <w:rPr>
                <w:rFonts w:cs="Traditional Arabic"/>
                <w:sz w:val="16"/>
                <w:szCs w:val="26"/>
                <w:rtl/>
              </w:rPr>
              <w:t xml:space="preserve"> الرطب</w:t>
            </w:r>
            <w:r w:rsidRPr="00335E4B">
              <w:rPr>
                <w:rFonts w:cs="Traditional Arabic" w:hint="cs"/>
                <w:sz w:val="16"/>
                <w:szCs w:val="26"/>
                <w:rtl/>
              </w:rPr>
              <w:t xml:space="preserve"> لإزالة</w:t>
            </w:r>
            <w:r w:rsidRPr="00335E4B">
              <w:rPr>
                <w:rFonts w:cs="Traditional Arabic"/>
                <w:sz w:val="16"/>
                <w:szCs w:val="26"/>
                <w:rtl/>
              </w:rPr>
              <w:t xml:space="preserve"> </w:t>
            </w:r>
            <w:r w:rsidRPr="00335E4B">
              <w:rPr>
                <w:rFonts w:cs="Traditional Arabic" w:hint="cs"/>
                <w:sz w:val="16"/>
                <w:szCs w:val="26"/>
                <w:rtl/>
              </w:rPr>
              <w:t>ا</w:t>
            </w:r>
            <w:r w:rsidRPr="00335E4B">
              <w:rPr>
                <w:rFonts w:cs="Traditional Arabic"/>
                <w:sz w:val="16"/>
                <w:szCs w:val="26"/>
                <w:rtl/>
              </w:rPr>
              <w:t>لكبريت</w:t>
            </w:r>
          </w:p>
        </w:tc>
        <w:tc>
          <w:tcPr>
            <w:tcW w:w="1368" w:type="dxa"/>
            <w:tcBorders>
              <w:top w:val="single" w:sz="2" w:space="0" w:color="auto"/>
            </w:tcBorders>
          </w:tcPr>
          <w:p w:rsidR="00335E4B" w:rsidRPr="00335E4B" w:rsidRDefault="00335E4B" w:rsidP="00335E4B">
            <w:pPr>
              <w:spacing w:line="300" w:lineRule="exact"/>
              <w:rPr>
                <w:rFonts w:cs="Traditional Arabic"/>
                <w:sz w:val="16"/>
                <w:szCs w:val="26"/>
              </w:rPr>
            </w:pPr>
            <w:r w:rsidRPr="00335E4B">
              <w:rPr>
                <w:rFonts w:cs="Traditional Arabic"/>
                <w:sz w:val="16"/>
                <w:szCs w:val="26"/>
                <w:rtl/>
              </w:rPr>
              <w:t>500</w:t>
            </w:r>
          </w:p>
        </w:tc>
        <w:tc>
          <w:tcPr>
            <w:tcW w:w="1450" w:type="dxa"/>
            <w:tcBorders>
              <w:top w:val="single" w:sz="2" w:space="0" w:color="auto"/>
            </w:tcBorders>
          </w:tcPr>
          <w:p w:rsidR="00335E4B" w:rsidRPr="00335E4B" w:rsidRDefault="00335E4B" w:rsidP="00335E4B">
            <w:pPr>
              <w:spacing w:line="300" w:lineRule="exact"/>
              <w:rPr>
                <w:rFonts w:cs="Traditional Arabic"/>
                <w:sz w:val="16"/>
                <w:szCs w:val="26"/>
              </w:rPr>
            </w:pPr>
            <w:r w:rsidRPr="00335E4B">
              <w:rPr>
                <w:rFonts w:cs="Traditional Arabic"/>
                <w:sz w:val="16"/>
                <w:szCs w:val="26"/>
                <w:rtl/>
              </w:rPr>
              <w:t>قيري</w:t>
            </w:r>
          </w:p>
        </w:tc>
        <w:tc>
          <w:tcPr>
            <w:tcW w:w="1830" w:type="dxa"/>
            <w:tcBorders>
              <w:top w:val="single" w:sz="2" w:space="0" w:color="auto"/>
            </w:tcBorders>
          </w:tcPr>
          <w:p w:rsidR="00335E4B" w:rsidRPr="00335E4B" w:rsidRDefault="00335E4B" w:rsidP="00335E4B">
            <w:pPr>
              <w:spacing w:line="300" w:lineRule="exact"/>
              <w:rPr>
                <w:rFonts w:cs="Traditional Arabic"/>
                <w:sz w:val="16"/>
                <w:szCs w:val="26"/>
              </w:rPr>
            </w:pPr>
            <w:r w:rsidRPr="00335E4B">
              <w:rPr>
                <w:rFonts w:cs="Traditional Arabic"/>
                <w:sz w:val="16"/>
                <w:szCs w:val="26"/>
                <w:rtl/>
              </w:rPr>
              <w:t>531</w:t>
            </w:r>
          </w:p>
        </w:tc>
        <w:tc>
          <w:tcPr>
            <w:tcW w:w="1960" w:type="dxa"/>
            <w:tcBorders>
              <w:top w:val="single" w:sz="2" w:space="0" w:color="auto"/>
            </w:tcBorders>
          </w:tcPr>
          <w:p w:rsidR="00335E4B" w:rsidRPr="00335E4B" w:rsidRDefault="00335E4B" w:rsidP="00335E4B">
            <w:pPr>
              <w:spacing w:line="300" w:lineRule="exact"/>
              <w:rPr>
                <w:rFonts w:cs="Traditional Arabic"/>
                <w:sz w:val="16"/>
                <w:szCs w:val="26"/>
              </w:rPr>
            </w:pPr>
            <w:r w:rsidRPr="00335E4B">
              <w:rPr>
                <w:rFonts w:cs="Traditional Arabic"/>
                <w:sz w:val="16"/>
                <w:szCs w:val="26"/>
                <w:rtl/>
              </w:rPr>
              <w:t>11</w:t>
            </w:r>
            <w:r w:rsidRPr="00335E4B">
              <w:rPr>
                <w:rFonts w:cs="Traditional Arabic" w:hint="cs"/>
                <w:sz w:val="16"/>
                <w:szCs w:val="26"/>
                <w:rtl/>
              </w:rPr>
              <w:t>,</w:t>
            </w:r>
            <w:r w:rsidRPr="00335E4B">
              <w:rPr>
                <w:rFonts w:cs="Traditional Arabic"/>
                <w:sz w:val="16"/>
                <w:szCs w:val="26"/>
                <w:rtl/>
              </w:rPr>
              <w:t>52</w:t>
            </w:r>
          </w:p>
        </w:tc>
      </w:tr>
      <w:tr w:rsidR="00335E4B" w:rsidRPr="00335E4B" w:rsidTr="00D002D1">
        <w:trPr>
          <w:jc w:val="center"/>
        </w:trPr>
        <w:tc>
          <w:tcPr>
            <w:tcW w:w="2935" w:type="dxa"/>
          </w:tcPr>
          <w:p w:rsidR="00335E4B" w:rsidRPr="00335E4B" w:rsidRDefault="00335E4B" w:rsidP="00335E4B">
            <w:pPr>
              <w:spacing w:line="300" w:lineRule="exact"/>
              <w:rPr>
                <w:rFonts w:cs="Traditional Arabic"/>
                <w:sz w:val="16"/>
                <w:szCs w:val="26"/>
              </w:rPr>
            </w:pPr>
            <w:r w:rsidRPr="00335E4B">
              <w:rPr>
                <w:rFonts w:cs="Traditional Arabic" w:hint="cs"/>
                <w:sz w:val="16"/>
                <w:szCs w:val="26"/>
                <w:rtl/>
              </w:rPr>
              <w:t xml:space="preserve">جهاز إزالة الكبريت بواسطة امتصاص التجفيف بالرش </w:t>
            </w:r>
          </w:p>
        </w:tc>
        <w:tc>
          <w:tcPr>
            <w:tcW w:w="1368" w:type="dxa"/>
          </w:tcPr>
          <w:p w:rsidR="00335E4B" w:rsidRPr="00335E4B" w:rsidRDefault="00335E4B" w:rsidP="00335E4B">
            <w:pPr>
              <w:spacing w:line="300" w:lineRule="exact"/>
              <w:rPr>
                <w:rFonts w:cs="Traditional Arabic"/>
                <w:sz w:val="16"/>
                <w:szCs w:val="26"/>
              </w:rPr>
            </w:pPr>
            <w:r w:rsidRPr="00335E4B">
              <w:rPr>
                <w:rFonts w:cs="Traditional Arabic"/>
                <w:sz w:val="16"/>
                <w:szCs w:val="26"/>
                <w:rtl/>
              </w:rPr>
              <w:t>500</w:t>
            </w:r>
          </w:p>
        </w:tc>
        <w:tc>
          <w:tcPr>
            <w:tcW w:w="1450" w:type="dxa"/>
          </w:tcPr>
          <w:p w:rsidR="00335E4B" w:rsidRPr="00335E4B" w:rsidRDefault="00335E4B" w:rsidP="00335E4B">
            <w:pPr>
              <w:spacing w:line="300" w:lineRule="exact"/>
              <w:rPr>
                <w:rFonts w:cs="Traditional Arabic"/>
                <w:sz w:val="16"/>
                <w:szCs w:val="26"/>
              </w:rPr>
            </w:pPr>
            <w:r w:rsidRPr="00335E4B">
              <w:rPr>
                <w:rFonts w:cs="Traditional Arabic"/>
                <w:sz w:val="16"/>
                <w:szCs w:val="26"/>
                <w:rtl/>
              </w:rPr>
              <w:t>دون القيري</w:t>
            </w:r>
          </w:p>
        </w:tc>
        <w:tc>
          <w:tcPr>
            <w:tcW w:w="1830" w:type="dxa"/>
          </w:tcPr>
          <w:p w:rsidR="00335E4B" w:rsidRPr="00335E4B" w:rsidRDefault="00335E4B" w:rsidP="00335E4B">
            <w:pPr>
              <w:spacing w:line="300" w:lineRule="exact"/>
              <w:rPr>
                <w:rFonts w:cs="Traditional Arabic"/>
                <w:sz w:val="16"/>
                <w:szCs w:val="26"/>
              </w:rPr>
            </w:pPr>
            <w:r w:rsidRPr="00335E4B">
              <w:rPr>
                <w:rFonts w:cs="Traditional Arabic"/>
                <w:sz w:val="16"/>
                <w:szCs w:val="26"/>
                <w:rtl/>
              </w:rPr>
              <w:t>470</w:t>
            </w:r>
          </w:p>
        </w:tc>
        <w:tc>
          <w:tcPr>
            <w:tcW w:w="1960" w:type="dxa"/>
          </w:tcPr>
          <w:p w:rsidR="00335E4B" w:rsidRPr="00335E4B" w:rsidRDefault="00335E4B" w:rsidP="00335E4B">
            <w:pPr>
              <w:spacing w:line="300" w:lineRule="exact"/>
              <w:rPr>
                <w:rFonts w:cs="Traditional Arabic"/>
                <w:sz w:val="16"/>
                <w:szCs w:val="26"/>
              </w:rPr>
            </w:pPr>
            <w:r w:rsidRPr="00335E4B">
              <w:rPr>
                <w:rFonts w:cs="Traditional Arabic"/>
                <w:sz w:val="16"/>
                <w:szCs w:val="26"/>
                <w:rtl/>
              </w:rPr>
              <w:t>10</w:t>
            </w:r>
            <w:r w:rsidRPr="00335E4B">
              <w:rPr>
                <w:rFonts w:cs="Traditional Arabic" w:hint="cs"/>
                <w:sz w:val="16"/>
                <w:szCs w:val="26"/>
                <w:rtl/>
              </w:rPr>
              <w:t>,</w:t>
            </w:r>
            <w:r w:rsidRPr="00335E4B">
              <w:rPr>
                <w:rFonts w:cs="Traditional Arabic"/>
                <w:sz w:val="16"/>
                <w:szCs w:val="26"/>
                <w:rtl/>
              </w:rPr>
              <w:t>45</w:t>
            </w:r>
          </w:p>
        </w:tc>
      </w:tr>
      <w:tr w:rsidR="00335E4B" w:rsidRPr="00335E4B" w:rsidTr="00D002D1">
        <w:trPr>
          <w:jc w:val="center"/>
        </w:trPr>
        <w:tc>
          <w:tcPr>
            <w:tcW w:w="2935" w:type="dxa"/>
          </w:tcPr>
          <w:p w:rsidR="00335E4B" w:rsidRPr="00335E4B" w:rsidRDefault="00335E4B" w:rsidP="00335E4B">
            <w:pPr>
              <w:spacing w:line="300" w:lineRule="exact"/>
              <w:rPr>
                <w:rFonts w:cs="Traditional Arabic"/>
                <w:sz w:val="16"/>
                <w:szCs w:val="26"/>
              </w:rPr>
            </w:pPr>
            <w:r w:rsidRPr="00335E4B">
              <w:rPr>
                <w:rFonts w:cs="Traditional Arabic"/>
                <w:sz w:val="16"/>
                <w:szCs w:val="26"/>
                <w:rtl/>
              </w:rPr>
              <w:t>اختزال حفز انتقائي</w:t>
            </w:r>
          </w:p>
        </w:tc>
        <w:tc>
          <w:tcPr>
            <w:tcW w:w="1368" w:type="dxa"/>
          </w:tcPr>
          <w:p w:rsidR="00335E4B" w:rsidRPr="00335E4B" w:rsidRDefault="00335E4B" w:rsidP="00335E4B">
            <w:pPr>
              <w:spacing w:line="300" w:lineRule="exact"/>
              <w:rPr>
                <w:rFonts w:cs="Traditional Arabic"/>
                <w:sz w:val="16"/>
                <w:szCs w:val="26"/>
              </w:rPr>
            </w:pPr>
            <w:r w:rsidRPr="00335E4B">
              <w:rPr>
                <w:rFonts w:cs="Traditional Arabic"/>
                <w:sz w:val="16"/>
                <w:szCs w:val="26"/>
                <w:rtl/>
              </w:rPr>
              <w:t>500</w:t>
            </w:r>
          </w:p>
        </w:tc>
        <w:tc>
          <w:tcPr>
            <w:tcW w:w="1450" w:type="dxa"/>
          </w:tcPr>
          <w:p w:rsidR="00335E4B" w:rsidRPr="00335E4B" w:rsidRDefault="00335E4B" w:rsidP="00335E4B">
            <w:pPr>
              <w:spacing w:line="300" w:lineRule="exact"/>
              <w:rPr>
                <w:rFonts w:cs="Traditional Arabic"/>
                <w:sz w:val="16"/>
                <w:szCs w:val="26"/>
              </w:rPr>
            </w:pPr>
            <w:r w:rsidRPr="00335E4B">
              <w:rPr>
                <w:rFonts w:cs="Traditional Arabic"/>
                <w:sz w:val="16"/>
                <w:szCs w:val="26"/>
                <w:rtl/>
              </w:rPr>
              <w:t>قيري</w:t>
            </w:r>
          </w:p>
        </w:tc>
        <w:tc>
          <w:tcPr>
            <w:tcW w:w="1830" w:type="dxa"/>
          </w:tcPr>
          <w:p w:rsidR="00335E4B" w:rsidRPr="00335E4B" w:rsidRDefault="00335E4B" w:rsidP="00335E4B">
            <w:pPr>
              <w:spacing w:line="300" w:lineRule="exact"/>
              <w:rPr>
                <w:rFonts w:cs="Traditional Arabic"/>
                <w:sz w:val="16"/>
                <w:szCs w:val="26"/>
              </w:rPr>
            </w:pPr>
            <w:r w:rsidRPr="00335E4B">
              <w:rPr>
                <w:rFonts w:cs="Traditional Arabic"/>
                <w:sz w:val="16"/>
                <w:szCs w:val="26"/>
                <w:rtl/>
              </w:rPr>
              <w:t>274</w:t>
            </w:r>
          </w:p>
        </w:tc>
        <w:tc>
          <w:tcPr>
            <w:tcW w:w="1960" w:type="dxa"/>
          </w:tcPr>
          <w:p w:rsidR="00335E4B" w:rsidRPr="00335E4B" w:rsidRDefault="00335E4B" w:rsidP="00335E4B">
            <w:pPr>
              <w:spacing w:line="300" w:lineRule="exact"/>
              <w:rPr>
                <w:rFonts w:cs="Traditional Arabic"/>
                <w:sz w:val="16"/>
                <w:szCs w:val="26"/>
              </w:rPr>
            </w:pPr>
            <w:r w:rsidRPr="00335E4B">
              <w:rPr>
                <w:rFonts w:cs="Traditional Arabic"/>
                <w:sz w:val="16"/>
                <w:szCs w:val="26"/>
                <w:rtl/>
              </w:rPr>
              <w:t>1</w:t>
            </w:r>
            <w:r w:rsidRPr="00335E4B">
              <w:rPr>
                <w:rFonts w:cs="Traditional Arabic" w:hint="cs"/>
                <w:sz w:val="16"/>
                <w:szCs w:val="26"/>
                <w:rtl/>
              </w:rPr>
              <w:t>,</w:t>
            </w:r>
            <w:r w:rsidRPr="00335E4B">
              <w:rPr>
                <w:rFonts w:cs="Traditional Arabic"/>
                <w:sz w:val="16"/>
                <w:szCs w:val="26"/>
                <w:rtl/>
              </w:rPr>
              <w:t>85</w:t>
            </w:r>
          </w:p>
        </w:tc>
      </w:tr>
      <w:tr w:rsidR="00335E4B" w:rsidRPr="00335E4B" w:rsidTr="00D002D1">
        <w:trPr>
          <w:jc w:val="center"/>
        </w:trPr>
        <w:tc>
          <w:tcPr>
            <w:tcW w:w="2935" w:type="dxa"/>
            <w:tcBorders>
              <w:bottom w:val="single" w:sz="2" w:space="0" w:color="auto"/>
            </w:tcBorders>
          </w:tcPr>
          <w:p w:rsidR="00335E4B" w:rsidRPr="00335E4B" w:rsidRDefault="00335E4B" w:rsidP="00335E4B">
            <w:pPr>
              <w:spacing w:line="300" w:lineRule="exact"/>
              <w:rPr>
                <w:rFonts w:cs="Traditional Arabic"/>
                <w:sz w:val="16"/>
                <w:szCs w:val="26"/>
              </w:rPr>
            </w:pPr>
            <w:r w:rsidRPr="00335E4B">
              <w:rPr>
                <w:rFonts w:cs="Traditional Arabic"/>
                <w:sz w:val="16"/>
                <w:szCs w:val="26"/>
                <w:rtl/>
              </w:rPr>
              <w:t>مرشح نسيجي</w:t>
            </w:r>
          </w:p>
        </w:tc>
        <w:tc>
          <w:tcPr>
            <w:tcW w:w="1368" w:type="dxa"/>
            <w:tcBorders>
              <w:bottom w:val="single" w:sz="2" w:space="0" w:color="auto"/>
            </w:tcBorders>
          </w:tcPr>
          <w:p w:rsidR="00335E4B" w:rsidRPr="00335E4B" w:rsidRDefault="00335E4B" w:rsidP="00335E4B">
            <w:pPr>
              <w:spacing w:line="300" w:lineRule="exact"/>
              <w:rPr>
                <w:rFonts w:cs="Traditional Arabic"/>
                <w:sz w:val="16"/>
                <w:szCs w:val="26"/>
              </w:rPr>
            </w:pPr>
            <w:r w:rsidRPr="00335E4B">
              <w:rPr>
                <w:rFonts w:cs="Traditional Arabic"/>
                <w:sz w:val="16"/>
                <w:szCs w:val="26"/>
                <w:rtl/>
              </w:rPr>
              <w:t>500</w:t>
            </w:r>
          </w:p>
        </w:tc>
        <w:tc>
          <w:tcPr>
            <w:tcW w:w="1450" w:type="dxa"/>
            <w:tcBorders>
              <w:bottom w:val="single" w:sz="2" w:space="0" w:color="auto"/>
            </w:tcBorders>
          </w:tcPr>
          <w:p w:rsidR="00335E4B" w:rsidRPr="00335E4B" w:rsidRDefault="00335E4B" w:rsidP="00335E4B">
            <w:pPr>
              <w:spacing w:line="300" w:lineRule="exact"/>
              <w:rPr>
                <w:rFonts w:cs="Traditional Arabic"/>
                <w:sz w:val="16"/>
                <w:szCs w:val="26"/>
              </w:rPr>
            </w:pPr>
            <w:r w:rsidRPr="00335E4B">
              <w:rPr>
                <w:rFonts w:cs="Traditional Arabic"/>
                <w:sz w:val="16"/>
                <w:szCs w:val="26"/>
                <w:rtl/>
              </w:rPr>
              <w:t>قيري</w:t>
            </w:r>
          </w:p>
        </w:tc>
        <w:tc>
          <w:tcPr>
            <w:tcW w:w="1830" w:type="dxa"/>
            <w:tcBorders>
              <w:bottom w:val="single" w:sz="2" w:space="0" w:color="auto"/>
            </w:tcBorders>
          </w:tcPr>
          <w:p w:rsidR="00335E4B" w:rsidRPr="00335E4B" w:rsidRDefault="00335E4B" w:rsidP="00335E4B">
            <w:pPr>
              <w:spacing w:line="300" w:lineRule="exact"/>
              <w:rPr>
                <w:rFonts w:cs="Traditional Arabic"/>
                <w:sz w:val="16"/>
                <w:szCs w:val="26"/>
              </w:rPr>
            </w:pPr>
            <w:r w:rsidRPr="00335E4B">
              <w:rPr>
                <w:rFonts w:cs="Traditional Arabic"/>
                <w:sz w:val="16"/>
                <w:szCs w:val="26"/>
                <w:rtl/>
              </w:rPr>
              <w:t>195</w:t>
            </w:r>
          </w:p>
        </w:tc>
        <w:tc>
          <w:tcPr>
            <w:tcW w:w="1960" w:type="dxa"/>
            <w:tcBorders>
              <w:bottom w:val="single" w:sz="2" w:space="0" w:color="auto"/>
            </w:tcBorders>
          </w:tcPr>
          <w:p w:rsidR="00335E4B" w:rsidRPr="00335E4B" w:rsidRDefault="00335E4B" w:rsidP="00335E4B">
            <w:pPr>
              <w:spacing w:line="300" w:lineRule="exact"/>
              <w:rPr>
                <w:rFonts w:cs="Traditional Arabic"/>
                <w:sz w:val="16"/>
                <w:szCs w:val="26"/>
              </w:rPr>
            </w:pPr>
            <w:r w:rsidRPr="00335E4B">
              <w:rPr>
                <w:rFonts w:cs="Traditional Arabic"/>
                <w:sz w:val="16"/>
                <w:szCs w:val="26"/>
                <w:rtl/>
              </w:rPr>
              <w:t>1</w:t>
            </w:r>
            <w:r w:rsidRPr="00335E4B">
              <w:rPr>
                <w:rFonts w:cs="Traditional Arabic" w:hint="cs"/>
                <w:sz w:val="16"/>
                <w:szCs w:val="26"/>
                <w:rtl/>
              </w:rPr>
              <w:t>,</w:t>
            </w:r>
            <w:r w:rsidRPr="00335E4B">
              <w:rPr>
                <w:rFonts w:cs="Traditional Arabic"/>
                <w:sz w:val="16"/>
                <w:szCs w:val="26"/>
                <w:rtl/>
              </w:rPr>
              <w:t>02</w:t>
            </w:r>
          </w:p>
        </w:tc>
      </w:tr>
    </w:tbl>
    <w:p w:rsidR="00335E4B" w:rsidRPr="00335E4B" w:rsidRDefault="00335E4B" w:rsidP="00335E4B">
      <w:pPr>
        <w:keepNext/>
        <w:spacing w:before="120" w:after="120" w:line="340" w:lineRule="exact"/>
        <w:jc w:val="both"/>
        <w:outlineLvl w:val="0"/>
        <w:rPr>
          <w:rFonts w:cs="Traditional Arabic"/>
          <w:b/>
          <w:bCs/>
          <w:sz w:val="20"/>
          <w:szCs w:val="30"/>
          <w:rtl/>
          <w:lang w:bidi="ar-EG"/>
        </w:rPr>
      </w:pPr>
      <w:bookmarkStart w:id="865" w:name="_Toc440527786"/>
      <w:bookmarkStart w:id="866" w:name="_Toc440550486"/>
      <w:bookmarkStart w:id="867" w:name="_Toc441577743"/>
      <w:bookmarkStart w:id="868" w:name="_Toc441577922"/>
      <w:bookmarkStart w:id="869" w:name="_Toc441579148"/>
      <w:bookmarkStart w:id="870" w:name="_Toc441580756"/>
      <w:bookmarkStart w:id="871" w:name="_Toc441585887"/>
      <w:bookmarkStart w:id="872" w:name="_Toc441586223"/>
      <w:bookmarkStart w:id="873" w:name="_Toc441586673"/>
      <w:bookmarkStart w:id="874" w:name="_Toc441586852"/>
      <w:bookmarkStart w:id="875" w:name="_Toc441666701"/>
      <w:bookmarkStart w:id="876" w:name="_Toc441673762"/>
      <w:r w:rsidRPr="00335E4B">
        <w:rPr>
          <w:rFonts w:cs="Traditional Arabic"/>
          <w:b/>
          <w:bCs/>
          <w:sz w:val="20"/>
          <w:szCs w:val="30"/>
          <w:rtl/>
          <w:lang w:bidi="ar-EG"/>
        </w:rPr>
        <w:t>الجدول 9 -</w:t>
      </w:r>
      <w:r w:rsidRPr="00335E4B">
        <w:rPr>
          <w:rFonts w:cs="Traditional Arabic"/>
          <w:b/>
          <w:bCs/>
          <w:sz w:val="20"/>
          <w:szCs w:val="30"/>
          <w:rtl/>
          <w:lang w:bidi="ar-EG"/>
        </w:rPr>
        <w:tab/>
        <w:t xml:space="preserve">تكاليف مجموعات أجهزة ضبط تلوث الهواء موزعة على مختلف الملوثات في وحدة </w:t>
      </w:r>
      <w:r w:rsidRPr="00335E4B">
        <w:rPr>
          <w:rFonts w:cs="Traditional Arabic" w:hint="cs"/>
          <w:b/>
          <w:bCs/>
          <w:sz w:val="20"/>
          <w:szCs w:val="30"/>
          <w:rtl/>
          <w:lang w:bidi="ar-EG"/>
        </w:rPr>
        <w:t>طاقتها</w:t>
      </w:r>
      <w:r w:rsidRPr="00335E4B">
        <w:rPr>
          <w:rFonts w:cs="Traditional Arabic"/>
          <w:b/>
          <w:bCs/>
          <w:sz w:val="20"/>
          <w:szCs w:val="30"/>
          <w:rtl/>
          <w:lang w:bidi="ar-EG"/>
        </w:rPr>
        <w:t xml:space="preserve"> 600 ميغاواط، الصين (ملايين </w:t>
      </w:r>
      <w:r w:rsidRPr="00335E4B">
        <w:rPr>
          <w:rFonts w:cs="Traditional Arabic" w:hint="cs"/>
          <w:b/>
          <w:bCs/>
          <w:sz w:val="20"/>
          <w:szCs w:val="30"/>
          <w:rtl/>
          <w:lang w:bidi="ar-EG"/>
        </w:rPr>
        <w:t xml:space="preserve">يوان </w:t>
      </w:r>
      <w:r w:rsidRPr="00335E4B">
        <w:rPr>
          <w:rFonts w:cs="Traditional Arabic" w:hint="cs"/>
          <w:b/>
          <w:bCs/>
          <w:sz w:val="20"/>
          <w:szCs w:val="30"/>
          <w:rtl/>
        </w:rPr>
        <w:t>ريمنيمب</w:t>
      </w:r>
      <w:r w:rsidRPr="00335E4B">
        <w:rPr>
          <w:rFonts w:cs="Traditional Arabic"/>
          <w:b/>
          <w:bCs/>
          <w:sz w:val="20"/>
          <w:szCs w:val="30"/>
          <w:rtl/>
          <w:lang w:bidi="ar-EG"/>
        </w:rPr>
        <w:t>، يوان عام 2010) (أنكورا وآخرون، 2015)</w:t>
      </w:r>
      <w:bookmarkEnd w:id="865"/>
      <w:bookmarkEnd w:id="866"/>
      <w:bookmarkEnd w:id="867"/>
      <w:bookmarkEnd w:id="868"/>
      <w:bookmarkEnd w:id="869"/>
      <w:bookmarkEnd w:id="870"/>
      <w:bookmarkEnd w:id="871"/>
      <w:bookmarkEnd w:id="872"/>
      <w:bookmarkEnd w:id="873"/>
      <w:bookmarkEnd w:id="874"/>
      <w:bookmarkEnd w:id="875"/>
      <w:bookmarkEnd w:id="876"/>
    </w:p>
    <w:tbl>
      <w:tblPr>
        <w:bidiVisual/>
        <w:tblW w:w="0" w:type="auto"/>
        <w:tblBorders>
          <w:top w:val="single" w:sz="4" w:space="0" w:color="auto"/>
          <w:bottom w:val="single" w:sz="4" w:space="0" w:color="auto"/>
        </w:tblBorders>
        <w:tblLayout w:type="fixed"/>
        <w:tblLook w:val="00A0" w:firstRow="1" w:lastRow="0" w:firstColumn="1" w:lastColumn="0" w:noHBand="0" w:noVBand="0"/>
      </w:tblPr>
      <w:tblGrid>
        <w:gridCol w:w="2080"/>
        <w:gridCol w:w="1368"/>
        <w:gridCol w:w="1539"/>
        <w:gridCol w:w="1539"/>
        <w:gridCol w:w="1539"/>
        <w:gridCol w:w="1623"/>
      </w:tblGrid>
      <w:tr w:rsidR="00335E4B" w:rsidRPr="00335E4B" w:rsidTr="00D002D1">
        <w:trPr>
          <w:trHeight w:val="20"/>
        </w:trPr>
        <w:tc>
          <w:tcPr>
            <w:tcW w:w="2080" w:type="dxa"/>
            <w:tcBorders>
              <w:top w:val="single" w:sz="4" w:space="0" w:color="auto"/>
              <w:bottom w:val="single" w:sz="4" w:space="0" w:color="auto"/>
            </w:tcBorders>
            <w:noWrap/>
            <w:vAlign w:val="center"/>
          </w:tcPr>
          <w:p w:rsidR="00335E4B" w:rsidRPr="00335E4B" w:rsidRDefault="00335E4B" w:rsidP="00335E4B">
            <w:pPr>
              <w:spacing w:line="300" w:lineRule="exact"/>
              <w:rPr>
                <w:rFonts w:cs="Traditional Arabic"/>
                <w:b/>
                <w:bCs/>
                <w:sz w:val="16"/>
                <w:szCs w:val="26"/>
              </w:rPr>
            </w:pPr>
            <w:r w:rsidRPr="00335E4B">
              <w:rPr>
                <w:rFonts w:cs="Traditional Arabic"/>
                <w:b/>
                <w:bCs/>
                <w:sz w:val="16"/>
                <w:szCs w:val="26"/>
                <w:rtl/>
              </w:rPr>
              <w:t>مجموعة أجهزة ضبط تلوث الهواء</w:t>
            </w:r>
          </w:p>
        </w:tc>
        <w:tc>
          <w:tcPr>
            <w:tcW w:w="1368" w:type="dxa"/>
            <w:tcBorders>
              <w:top w:val="single" w:sz="4" w:space="0" w:color="auto"/>
              <w:bottom w:val="single" w:sz="4" w:space="0" w:color="auto"/>
            </w:tcBorders>
            <w:noWrap/>
            <w:vAlign w:val="center"/>
          </w:tcPr>
          <w:p w:rsidR="00335E4B" w:rsidRPr="00335E4B" w:rsidRDefault="00335E4B" w:rsidP="00335E4B">
            <w:pPr>
              <w:spacing w:line="300" w:lineRule="exact"/>
              <w:rPr>
                <w:rFonts w:cs="Traditional Arabic"/>
                <w:b/>
                <w:bCs/>
                <w:sz w:val="16"/>
                <w:szCs w:val="26"/>
              </w:rPr>
            </w:pPr>
            <w:r w:rsidRPr="00335E4B">
              <w:rPr>
                <w:rFonts w:cs="Traditional Arabic"/>
                <w:b/>
                <w:bCs/>
                <w:sz w:val="16"/>
                <w:szCs w:val="26"/>
                <w:rtl/>
              </w:rPr>
              <w:t>مجموع التكلفة السنوية</w:t>
            </w:r>
          </w:p>
        </w:tc>
        <w:tc>
          <w:tcPr>
            <w:tcW w:w="1539" w:type="dxa"/>
            <w:tcBorders>
              <w:top w:val="single" w:sz="4" w:space="0" w:color="auto"/>
              <w:bottom w:val="single" w:sz="4" w:space="0" w:color="auto"/>
            </w:tcBorders>
            <w:vAlign w:val="center"/>
          </w:tcPr>
          <w:p w:rsidR="00335E4B" w:rsidRPr="00335E4B" w:rsidRDefault="00335E4B" w:rsidP="00335E4B">
            <w:pPr>
              <w:spacing w:line="300" w:lineRule="exact"/>
              <w:rPr>
                <w:rFonts w:cs="Traditional Arabic"/>
                <w:b/>
                <w:bCs/>
                <w:sz w:val="16"/>
                <w:szCs w:val="26"/>
              </w:rPr>
            </w:pPr>
            <w:r w:rsidRPr="00335E4B">
              <w:rPr>
                <w:rFonts w:cs="Traditional Arabic"/>
                <w:b/>
                <w:bCs/>
                <w:sz w:val="16"/>
                <w:szCs w:val="26"/>
                <w:rtl/>
              </w:rPr>
              <w:t xml:space="preserve">التكاليف موزَّعة على إزالة </w:t>
            </w:r>
            <w:r w:rsidRPr="00335E4B">
              <w:rPr>
                <w:rFonts w:cs="Traditional Arabic"/>
                <w:b/>
                <w:bCs/>
                <w:sz w:val="16"/>
                <w:szCs w:val="26"/>
              </w:rPr>
              <w:t>Hg</w:t>
            </w:r>
          </w:p>
        </w:tc>
        <w:tc>
          <w:tcPr>
            <w:tcW w:w="1539" w:type="dxa"/>
            <w:tcBorders>
              <w:top w:val="single" w:sz="4" w:space="0" w:color="auto"/>
              <w:bottom w:val="single" w:sz="4" w:space="0" w:color="auto"/>
            </w:tcBorders>
            <w:vAlign w:val="center"/>
          </w:tcPr>
          <w:p w:rsidR="00335E4B" w:rsidRPr="00335E4B" w:rsidRDefault="00335E4B" w:rsidP="00335E4B">
            <w:pPr>
              <w:spacing w:line="300" w:lineRule="exact"/>
              <w:rPr>
                <w:rFonts w:cs="Traditional Arabic"/>
                <w:b/>
                <w:bCs/>
                <w:sz w:val="16"/>
                <w:szCs w:val="26"/>
              </w:rPr>
            </w:pPr>
            <w:r w:rsidRPr="00335E4B">
              <w:rPr>
                <w:rFonts w:cs="Traditional Arabic"/>
                <w:b/>
                <w:bCs/>
                <w:sz w:val="16"/>
                <w:szCs w:val="26"/>
                <w:rtl/>
              </w:rPr>
              <w:t xml:space="preserve">التكاليف موزعة على إزالة </w:t>
            </w:r>
            <w:r w:rsidRPr="00335E4B">
              <w:rPr>
                <w:rFonts w:cs="Traditional Arabic"/>
                <w:b/>
                <w:bCs/>
                <w:sz w:val="16"/>
                <w:szCs w:val="26"/>
              </w:rPr>
              <w:t>PM10</w:t>
            </w:r>
          </w:p>
        </w:tc>
        <w:tc>
          <w:tcPr>
            <w:tcW w:w="1539" w:type="dxa"/>
            <w:tcBorders>
              <w:top w:val="single" w:sz="4" w:space="0" w:color="auto"/>
              <w:bottom w:val="single" w:sz="4" w:space="0" w:color="auto"/>
            </w:tcBorders>
            <w:vAlign w:val="center"/>
          </w:tcPr>
          <w:p w:rsidR="00335E4B" w:rsidRPr="00335E4B" w:rsidRDefault="00335E4B" w:rsidP="00335E4B">
            <w:pPr>
              <w:spacing w:line="300" w:lineRule="exact"/>
              <w:rPr>
                <w:rFonts w:cs="Traditional Arabic"/>
                <w:b/>
                <w:bCs/>
                <w:sz w:val="16"/>
                <w:szCs w:val="26"/>
              </w:rPr>
            </w:pPr>
            <w:r w:rsidRPr="00335E4B">
              <w:rPr>
                <w:rFonts w:cs="Traditional Arabic"/>
                <w:b/>
                <w:bCs/>
                <w:sz w:val="16"/>
                <w:szCs w:val="26"/>
                <w:rtl/>
              </w:rPr>
              <w:t xml:space="preserve">التكاليف موزعة على إزالة </w:t>
            </w:r>
            <w:r w:rsidRPr="00335E4B">
              <w:rPr>
                <w:rFonts w:cs="Traditional Arabic"/>
                <w:b/>
                <w:bCs/>
                <w:sz w:val="16"/>
                <w:szCs w:val="26"/>
              </w:rPr>
              <w:t>SO2</w:t>
            </w:r>
          </w:p>
        </w:tc>
        <w:tc>
          <w:tcPr>
            <w:tcW w:w="1623" w:type="dxa"/>
            <w:tcBorders>
              <w:top w:val="single" w:sz="4" w:space="0" w:color="auto"/>
              <w:bottom w:val="single" w:sz="4" w:space="0" w:color="auto"/>
            </w:tcBorders>
            <w:vAlign w:val="center"/>
          </w:tcPr>
          <w:p w:rsidR="00335E4B" w:rsidRPr="00335E4B" w:rsidRDefault="00335E4B" w:rsidP="00335E4B">
            <w:pPr>
              <w:spacing w:line="300" w:lineRule="exact"/>
              <w:rPr>
                <w:rFonts w:cs="Traditional Arabic"/>
                <w:b/>
                <w:bCs/>
                <w:sz w:val="16"/>
                <w:szCs w:val="26"/>
              </w:rPr>
            </w:pPr>
            <w:r w:rsidRPr="00335E4B">
              <w:rPr>
                <w:rFonts w:cs="Traditional Arabic"/>
                <w:b/>
                <w:bCs/>
                <w:sz w:val="16"/>
                <w:szCs w:val="26"/>
                <w:rtl/>
              </w:rPr>
              <w:t>التكاليف موزَّعة إزالة</w:t>
            </w:r>
            <w:r w:rsidRPr="00335E4B">
              <w:rPr>
                <w:rFonts w:cs="Traditional Arabic" w:hint="cs"/>
                <w:b/>
                <w:bCs/>
                <w:sz w:val="16"/>
                <w:szCs w:val="26"/>
                <w:rtl/>
              </w:rPr>
              <w:t xml:space="preserve"> أكاسيد النيتروجين</w:t>
            </w:r>
            <w:r w:rsidRPr="00335E4B">
              <w:rPr>
                <w:rFonts w:cs="Traditional Arabic"/>
                <w:b/>
                <w:bCs/>
                <w:sz w:val="16"/>
                <w:szCs w:val="26"/>
                <w:rtl/>
              </w:rPr>
              <w:t xml:space="preserve"> </w:t>
            </w:r>
            <w:r w:rsidRPr="00335E4B">
              <w:rPr>
                <w:rFonts w:cs="Traditional Arabic"/>
                <w:b/>
                <w:bCs/>
                <w:sz w:val="16"/>
                <w:szCs w:val="26"/>
              </w:rPr>
              <w:t>NO</w:t>
            </w:r>
            <w:r w:rsidRPr="00335E4B">
              <w:rPr>
                <w:rFonts w:cs="Traditional Arabic"/>
                <w:b/>
                <w:bCs/>
                <w:sz w:val="16"/>
                <w:szCs w:val="26"/>
                <w:vertAlign w:val="subscript"/>
              </w:rPr>
              <w:t>X</w:t>
            </w:r>
          </w:p>
        </w:tc>
      </w:tr>
      <w:tr w:rsidR="00335E4B" w:rsidRPr="00335E4B" w:rsidTr="00D002D1">
        <w:trPr>
          <w:trHeight w:val="20"/>
        </w:trPr>
        <w:tc>
          <w:tcPr>
            <w:tcW w:w="2080" w:type="dxa"/>
            <w:tcBorders>
              <w:top w:val="single" w:sz="4" w:space="0" w:color="auto"/>
            </w:tcBorders>
            <w:noWrap/>
            <w:vAlign w:val="center"/>
          </w:tcPr>
          <w:p w:rsidR="00335E4B" w:rsidRPr="00335E4B" w:rsidRDefault="00335E4B" w:rsidP="00335E4B">
            <w:pPr>
              <w:spacing w:line="300" w:lineRule="exact"/>
              <w:rPr>
                <w:rFonts w:cs="Traditional Arabic"/>
                <w:sz w:val="16"/>
                <w:szCs w:val="26"/>
              </w:rPr>
            </w:pPr>
            <w:r w:rsidRPr="00335E4B">
              <w:rPr>
                <w:rFonts w:cs="Traditional Arabic"/>
                <w:sz w:val="16"/>
                <w:szCs w:val="26"/>
                <w:rtl/>
              </w:rPr>
              <w:t>مرسب كهروستاتيكي</w:t>
            </w:r>
          </w:p>
        </w:tc>
        <w:tc>
          <w:tcPr>
            <w:tcW w:w="1368" w:type="dxa"/>
            <w:tcBorders>
              <w:top w:val="single" w:sz="4" w:space="0" w:color="auto"/>
            </w:tcBorders>
            <w:noWrap/>
            <w:vAlign w:val="center"/>
          </w:tcPr>
          <w:p w:rsidR="00335E4B" w:rsidRPr="00335E4B" w:rsidRDefault="00335E4B" w:rsidP="00335E4B">
            <w:pPr>
              <w:spacing w:line="300" w:lineRule="exact"/>
              <w:rPr>
                <w:rFonts w:cs="Traditional Arabic"/>
                <w:sz w:val="16"/>
                <w:szCs w:val="26"/>
              </w:rPr>
            </w:pPr>
            <w:r w:rsidRPr="00335E4B">
              <w:rPr>
                <w:rFonts w:cs="Traditional Arabic"/>
                <w:sz w:val="16"/>
                <w:szCs w:val="26"/>
                <w:rtl/>
              </w:rPr>
              <w:t>8</w:t>
            </w:r>
            <w:r w:rsidRPr="00335E4B">
              <w:rPr>
                <w:rFonts w:cs="Traditional Arabic" w:hint="cs"/>
                <w:sz w:val="16"/>
                <w:szCs w:val="26"/>
                <w:rtl/>
              </w:rPr>
              <w:t>,</w:t>
            </w:r>
            <w:r w:rsidRPr="00335E4B">
              <w:rPr>
                <w:rFonts w:cs="Traditional Arabic"/>
                <w:sz w:val="16"/>
                <w:szCs w:val="26"/>
                <w:rtl/>
              </w:rPr>
              <w:t>324</w:t>
            </w:r>
          </w:p>
        </w:tc>
        <w:tc>
          <w:tcPr>
            <w:tcW w:w="1539" w:type="dxa"/>
            <w:tcBorders>
              <w:top w:val="single" w:sz="4" w:space="0" w:color="auto"/>
            </w:tcBorders>
            <w:noWrap/>
            <w:vAlign w:val="center"/>
          </w:tcPr>
          <w:p w:rsidR="00335E4B" w:rsidRPr="00335E4B" w:rsidRDefault="00335E4B" w:rsidP="00335E4B">
            <w:pPr>
              <w:spacing w:line="300" w:lineRule="exact"/>
              <w:rPr>
                <w:rFonts w:cs="Traditional Arabic"/>
                <w:sz w:val="16"/>
                <w:szCs w:val="26"/>
              </w:rPr>
            </w:pPr>
            <w:r w:rsidRPr="00335E4B">
              <w:rPr>
                <w:rFonts w:cs="Traditional Arabic"/>
                <w:sz w:val="16"/>
                <w:szCs w:val="26"/>
                <w:rtl/>
              </w:rPr>
              <w:t>0</w:t>
            </w:r>
            <w:r w:rsidRPr="00335E4B">
              <w:rPr>
                <w:rFonts w:cs="Traditional Arabic" w:hint="cs"/>
                <w:sz w:val="16"/>
                <w:szCs w:val="26"/>
                <w:rtl/>
              </w:rPr>
              <w:t>,</w:t>
            </w:r>
            <w:r w:rsidRPr="00335E4B">
              <w:rPr>
                <w:rFonts w:cs="Traditional Arabic"/>
                <w:sz w:val="16"/>
                <w:szCs w:val="26"/>
                <w:rtl/>
              </w:rPr>
              <w:t>479</w:t>
            </w:r>
          </w:p>
        </w:tc>
        <w:tc>
          <w:tcPr>
            <w:tcW w:w="1539" w:type="dxa"/>
            <w:tcBorders>
              <w:top w:val="single" w:sz="4" w:space="0" w:color="auto"/>
            </w:tcBorders>
            <w:vAlign w:val="center"/>
          </w:tcPr>
          <w:p w:rsidR="00335E4B" w:rsidRPr="00335E4B" w:rsidRDefault="00335E4B" w:rsidP="00335E4B">
            <w:pPr>
              <w:spacing w:line="300" w:lineRule="exact"/>
              <w:rPr>
                <w:rFonts w:cs="Traditional Arabic"/>
                <w:sz w:val="16"/>
                <w:szCs w:val="26"/>
              </w:rPr>
            </w:pPr>
            <w:r w:rsidRPr="00335E4B">
              <w:rPr>
                <w:rFonts w:cs="Traditional Arabic"/>
                <w:sz w:val="16"/>
                <w:szCs w:val="26"/>
                <w:rtl/>
              </w:rPr>
              <w:t>7</w:t>
            </w:r>
            <w:r w:rsidRPr="00335E4B">
              <w:rPr>
                <w:rFonts w:cs="Traditional Arabic" w:hint="cs"/>
                <w:sz w:val="16"/>
                <w:szCs w:val="26"/>
                <w:rtl/>
              </w:rPr>
              <w:t>,</w:t>
            </w:r>
            <w:r w:rsidRPr="00335E4B">
              <w:rPr>
                <w:rFonts w:cs="Traditional Arabic"/>
                <w:sz w:val="16"/>
                <w:szCs w:val="26"/>
                <w:rtl/>
              </w:rPr>
              <w:t>845</w:t>
            </w:r>
          </w:p>
        </w:tc>
        <w:tc>
          <w:tcPr>
            <w:tcW w:w="1539" w:type="dxa"/>
            <w:tcBorders>
              <w:top w:val="single" w:sz="4" w:space="0" w:color="auto"/>
            </w:tcBorders>
            <w:noWrap/>
            <w:vAlign w:val="center"/>
          </w:tcPr>
          <w:p w:rsidR="00335E4B" w:rsidRPr="00335E4B" w:rsidRDefault="00E371AF" w:rsidP="00335E4B">
            <w:pPr>
              <w:spacing w:line="300" w:lineRule="exact"/>
              <w:rPr>
                <w:rFonts w:cs="Traditional Arabic"/>
                <w:sz w:val="16"/>
                <w:szCs w:val="26"/>
              </w:rPr>
            </w:pPr>
            <w:r>
              <w:rPr>
                <w:rFonts w:cs="Traditional Arabic" w:hint="cs"/>
                <w:sz w:val="16"/>
                <w:szCs w:val="26"/>
                <w:rtl/>
              </w:rPr>
              <w:t>-</w:t>
            </w:r>
          </w:p>
        </w:tc>
        <w:tc>
          <w:tcPr>
            <w:tcW w:w="1623" w:type="dxa"/>
            <w:tcBorders>
              <w:top w:val="single" w:sz="4" w:space="0" w:color="auto"/>
            </w:tcBorders>
            <w:noWrap/>
            <w:vAlign w:val="center"/>
          </w:tcPr>
          <w:p w:rsidR="00335E4B" w:rsidRPr="00335E4B" w:rsidRDefault="00E371AF" w:rsidP="00335E4B">
            <w:pPr>
              <w:spacing w:line="300" w:lineRule="exact"/>
              <w:rPr>
                <w:rFonts w:cs="Traditional Arabic"/>
                <w:sz w:val="16"/>
                <w:szCs w:val="26"/>
              </w:rPr>
            </w:pPr>
            <w:r>
              <w:rPr>
                <w:rFonts w:cs="Traditional Arabic" w:hint="cs"/>
                <w:sz w:val="16"/>
                <w:szCs w:val="26"/>
                <w:rtl/>
              </w:rPr>
              <w:t>-</w:t>
            </w:r>
          </w:p>
        </w:tc>
      </w:tr>
      <w:tr w:rsidR="00335E4B" w:rsidRPr="00335E4B" w:rsidTr="00D002D1">
        <w:trPr>
          <w:trHeight w:val="20"/>
        </w:trPr>
        <w:tc>
          <w:tcPr>
            <w:tcW w:w="2080" w:type="dxa"/>
            <w:noWrap/>
            <w:vAlign w:val="center"/>
          </w:tcPr>
          <w:p w:rsidR="00335E4B" w:rsidRPr="00335E4B" w:rsidRDefault="00335E4B" w:rsidP="00335E4B">
            <w:pPr>
              <w:spacing w:line="300" w:lineRule="exact"/>
              <w:rPr>
                <w:rFonts w:cs="Traditional Arabic"/>
                <w:sz w:val="16"/>
                <w:szCs w:val="26"/>
              </w:rPr>
            </w:pPr>
            <w:r w:rsidRPr="00335E4B">
              <w:rPr>
                <w:rFonts w:cs="Traditional Arabic"/>
                <w:sz w:val="16"/>
                <w:szCs w:val="26"/>
                <w:rtl/>
              </w:rPr>
              <w:t>مرشح نسيجي</w:t>
            </w:r>
          </w:p>
        </w:tc>
        <w:tc>
          <w:tcPr>
            <w:tcW w:w="1368" w:type="dxa"/>
            <w:noWrap/>
            <w:vAlign w:val="center"/>
          </w:tcPr>
          <w:p w:rsidR="00335E4B" w:rsidRPr="00335E4B" w:rsidRDefault="00335E4B" w:rsidP="00335E4B">
            <w:pPr>
              <w:spacing w:line="300" w:lineRule="exact"/>
              <w:rPr>
                <w:rFonts w:cs="Traditional Arabic"/>
                <w:sz w:val="16"/>
                <w:szCs w:val="26"/>
              </w:rPr>
            </w:pPr>
            <w:r w:rsidRPr="00335E4B">
              <w:rPr>
                <w:rFonts w:cs="Traditional Arabic"/>
                <w:sz w:val="16"/>
                <w:szCs w:val="26"/>
                <w:rtl/>
              </w:rPr>
              <w:t>9,241</w:t>
            </w:r>
          </w:p>
        </w:tc>
        <w:tc>
          <w:tcPr>
            <w:tcW w:w="1539" w:type="dxa"/>
            <w:noWrap/>
            <w:vAlign w:val="center"/>
          </w:tcPr>
          <w:p w:rsidR="00335E4B" w:rsidRPr="00335E4B" w:rsidRDefault="00335E4B" w:rsidP="00335E4B">
            <w:pPr>
              <w:spacing w:line="300" w:lineRule="exact"/>
              <w:rPr>
                <w:rFonts w:cs="Traditional Arabic"/>
                <w:sz w:val="16"/>
                <w:szCs w:val="26"/>
              </w:rPr>
            </w:pPr>
            <w:r w:rsidRPr="00335E4B">
              <w:rPr>
                <w:rFonts w:cs="Traditional Arabic"/>
                <w:sz w:val="16"/>
                <w:szCs w:val="26"/>
                <w:rtl/>
              </w:rPr>
              <w:t>1,167</w:t>
            </w:r>
          </w:p>
        </w:tc>
        <w:tc>
          <w:tcPr>
            <w:tcW w:w="1539" w:type="dxa"/>
            <w:vAlign w:val="center"/>
          </w:tcPr>
          <w:p w:rsidR="00335E4B" w:rsidRPr="00335E4B" w:rsidRDefault="00335E4B" w:rsidP="00335E4B">
            <w:pPr>
              <w:spacing w:line="300" w:lineRule="exact"/>
              <w:rPr>
                <w:rFonts w:cs="Traditional Arabic"/>
                <w:sz w:val="16"/>
                <w:szCs w:val="26"/>
              </w:rPr>
            </w:pPr>
            <w:r w:rsidRPr="00335E4B">
              <w:rPr>
                <w:rFonts w:cs="Traditional Arabic"/>
                <w:sz w:val="16"/>
                <w:szCs w:val="26"/>
                <w:rtl/>
              </w:rPr>
              <w:t>8,075</w:t>
            </w:r>
          </w:p>
        </w:tc>
        <w:tc>
          <w:tcPr>
            <w:tcW w:w="1539" w:type="dxa"/>
            <w:noWrap/>
            <w:vAlign w:val="center"/>
          </w:tcPr>
          <w:p w:rsidR="00335E4B" w:rsidRPr="00335E4B" w:rsidRDefault="00E371AF" w:rsidP="00335E4B">
            <w:pPr>
              <w:spacing w:line="300" w:lineRule="exact"/>
              <w:rPr>
                <w:rFonts w:cs="Traditional Arabic"/>
                <w:sz w:val="16"/>
                <w:szCs w:val="26"/>
              </w:rPr>
            </w:pPr>
            <w:r>
              <w:rPr>
                <w:rFonts w:cs="Traditional Arabic" w:hint="cs"/>
                <w:sz w:val="16"/>
                <w:szCs w:val="26"/>
                <w:rtl/>
              </w:rPr>
              <w:t>-</w:t>
            </w:r>
          </w:p>
        </w:tc>
        <w:tc>
          <w:tcPr>
            <w:tcW w:w="1623" w:type="dxa"/>
            <w:noWrap/>
            <w:vAlign w:val="center"/>
          </w:tcPr>
          <w:p w:rsidR="00335E4B" w:rsidRPr="00335E4B" w:rsidRDefault="00E371AF" w:rsidP="00335E4B">
            <w:pPr>
              <w:spacing w:line="300" w:lineRule="exact"/>
              <w:rPr>
                <w:rFonts w:cs="Traditional Arabic"/>
                <w:sz w:val="16"/>
                <w:szCs w:val="26"/>
              </w:rPr>
            </w:pPr>
            <w:r>
              <w:rPr>
                <w:rFonts w:cs="Traditional Arabic" w:hint="cs"/>
                <w:sz w:val="16"/>
                <w:szCs w:val="26"/>
                <w:rtl/>
              </w:rPr>
              <w:t>-</w:t>
            </w:r>
          </w:p>
        </w:tc>
      </w:tr>
      <w:tr w:rsidR="00335E4B" w:rsidRPr="00335E4B" w:rsidTr="00D002D1">
        <w:trPr>
          <w:trHeight w:val="20"/>
        </w:trPr>
        <w:tc>
          <w:tcPr>
            <w:tcW w:w="2080" w:type="dxa"/>
            <w:noWrap/>
            <w:vAlign w:val="center"/>
          </w:tcPr>
          <w:p w:rsidR="00335E4B" w:rsidRPr="00335E4B" w:rsidRDefault="00335E4B" w:rsidP="00335E4B">
            <w:pPr>
              <w:spacing w:line="300" w:lineRule="exact"/>
              <w:rPr>
                <w:rFonts w:cs="Traditional Arabic"/>
                <w:sz w:val="16"/>
                <w:szCs w:val="26"/>
              </w:rPr>
            </w:pPr>
            <w:r w:rsidRPr="00335E4B">
              <w:rPr>
                <w:rFonts w:cs="Traditional Arabic"/>
                <w:sz w:val="16"/>
                <w:szCs w:val="26"/>
                <w:rtl/>
              </w:rPr>
              <w:t>مرسب + جهاز تنظيف رطب ل</w:t>
            </w:r>
            <w:r w:rsidRPr="00335E4B">
              <w:rPr>
                <w:rFonts w:cs="Traditional Arabic" w:hint="cs"/>
                <w:sz w:val="16"/>
                <w:szCs w:val="26"/>
                <w:rtl/>
              </w:rPr>
              <w:t>إزالة ا</w:t>
            </w:r>
            <w:r w:rsidRPr="00335E4B">
              <w:rPr>
                <w:rFonts w:cs="Traditional Arabic"/>
                <w:sz w:val="16"/>
                <w:szCs w:val="26"/>
                <w:rtl/>
              </w:rPr>
              <w:t>لكبريت</w:t>
            </w:r>
          </w:p>
        </w:tc>
        <w:tc>
          <w:tcPr>
            <w:tcW w:w="1368" w:type="dxa"/>
            <w:noWrap/>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39,871</w:t>
            </w:r>
          </w:p>
        </w:tc>
        <w:tc>
          <w:tcPr>
            <w:tcW w:w="1539" w:type="dxa"/>
            <w:noWrap/>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1,613</w:t>
            </w:r>
          </w:p>
        </w:tc>
        <w:tc>
          <w:tcPr>
            <w:tcW w:w="1539" w:type="dxa"/>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11,571</w:t>
            </w:r>
          </w:p>
        </w:tc>
        <w:tc>
          <w:tcPr>
            <w:tcW w:w="1539" w:type="dxa"/>
            <w:noWrap/>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26</w:t>
            </w:r>
            <w:r w:rsidRPr="00335E4B">
              <w:rPr>
                <w:rFonts w:cs="Traditional Arabic" w:hint="cs"/>
                <w:sz w:val="16"/>
                <w:szCs w:val="26"/>
                <w:rtl/>
              </w:rPr>
              <w:t>,</w:t>
            </w:r>
            <w:r w:rsidRPr="00335E4B">
              <w:rPr>
                <w:rFonts w:cs="Traditional Arabic"/>
                <w:sz w:val="16"/>
                <w:szCs w:val="26"/>
                <w:rtl/>
              </w:rPr>
              <w:t>687</w:t>
            </w:r>
          </w:p>
        </w:tc>
        <w:tc>
          <w:tcPr>
            <w:tcW w:w="1623" w:type="dxa"/>
            <w:noWrap/>
            <w:vAlign w:val="bottom"/>
          </w:tcPr>
          <w:p w:rsidR="00335E4B" w:rsidRPr="00335E4B" w:rsidRDefault="00E371AF" w:rsidP="00335E4B">
            <w:pPr>
              <w:spacing w:line="300" w:lineRule="exact"/>
              <w:rPr>
                <w:rFonts w:cs="Traditional Arabic"/>
                <w:sz w:val="16"/>
                <w:szCs w:val="26"/>
              </w:rPr>
            </w:pPr>
            <w:r>
              <w:rPr>
                <w:rFonts w:cs="Traditional Arabic" w:hint="cs"/>
                <w:sz w:val="16"/>
                <w:szCs w:val="26"/>
                <w:rtl/>
              </w:rPr>
              <w:t>-</w:t>
            </w:r>
          </w:p>
        </w:tc>
      </w:tr>
      <w:tr w:rsidR="00335E4B" w:rsidRPr="00335E4B" w:rsidTr="00D002D1">
        <w:trPr>
          <w:trHeight w:val="20"/>
        </w:trPr>
        <w:tc>
          <w:tcPr>
            <w:tcW w:w="2080" w:type="dxa"/>
            <w:noWrap/>
            <w:vAlign w:val="center"/>
          </w:tcPr>
          <w:p w:rsidR="00335E4B" w:rsidRPr="00335E4B" w:rsidRDefault="00335E4B" w:rsidP="00335E4B">
            <w:pPr>
              <w:spacing w:line="300" w:lineRule="exact"/>
              <w:rPr>
                <w:rFonts w:cs="Traditional Arabic"/>
                <w:sz w:val="16"/>
                <w:szCs w:val="26"/>
              </w:rPr>
            </w:pPr>
            <w:r w:rsidRPr="00335E4B">
              <w:rPr>
                <w:rFonts w:cs="Traditional Arabic"/>
                <w:sz w:val="16"/>
                <w:szCs w:val="26"/>
                <w:rtl/>
              </w:rPr>
              <w:t xml:space="preserve">اختزال حفزي انتقائي + مرسب + </w:t>
            </w:r>
            <w:r w:rsidRPr="00335E4B">
              <w:rPr>
                <w:rFonts w:cs="Traditional Arabic" w:hint="cs"/>
                <w:sz w:val="16"/>
                <w:szCs w:val="26"/>
                <w:rtl/>
              </w:rPr>
              <w:t>تنظيف</w:t>
            </w:r>
            <w:r w:rsidRPr="00335E4B">
              <w:rPr>
                <w:rFonts w:cs="Traditional Arabic"/>
                <w:sz w:val="16"/>
                <w:szCs w:val="26"/>
                <w:rtl/>
              </w:rPr>
              <w:t xml:space="preserve"> رطب ل</w:t>
            </w:r>
            <w:r w:rsidRPr="00335E4B">
              <w:rPr>
                <w:rFonts w:cs="Traditional Arabic" w:hint="cs"/>
                <w:sz w:val="16"/>
                <w:szCs w:val="26"/>
                <w:rtl/>
              </w:rPr>
              <w:t>إزالة ا</w:t>
            </w:r>
            <w:r w:rsidRPr="00335E4B">
              <w:rPr>
                <w:rFonts w:cs="Traditional Arabic"/>
                <w:sz w:val="16"/>
                <w:szCs w:val="26"/>
                <w:rtl/>
              </w:rPr>
              <w:t>لكبريت</w:t>
            </w:r>
          </w:p>
        </w:tc>
        <w:tc>
          <w:tcPr>
            <w:tcW w:w="1368" w:type="dxa"/>
            <w:noWrap/>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56,992</w:t>
            </w:r>
          </w:p>
        </w:tc>
        <w:tc>
          <w:tcPr>
            <w:tcW w:w="1539" w:type="dxa"/>
            <w:noWrap/>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2,200</w:t>
            </w:r>
          </w:p>
        </w:tc>
        <w:tc>
          <w:tcPr>
            <w:tcW w:w="1539" w:type="dxa"/>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14,636</w:t>
            </w:r>
          </w:p>
        </w:tc>
        <w:tc>
          <w:tcPr>
            <w:tcW w:w="1539" w:type="dxa"/>
            <w:noWrap/>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33</w:t>
            </w:r>
            <w:r w:rsidRPr="00335E4B">
              <w:rPr>
                <w:rFonts w:cs="Traditional Arabic" w:hint="cs"/>
                <w:sz w:val="16"/>
                <w:szCs w:val="26"/>
                <w:rtl/>
              </w:rPr>
              <w:t>,</w:t>
            </w:r>
            <w:r w:rsidRPr="00335E4B">
              <w:rPr>
                <w:rFonts w:cs="Traditional Arabic"/>
                <w:sz w:val="16"/>
                <w:szCs w:val="26"/>
                <w:rtl/>
              </w:rPr>
              <w:t>759</w:t>
            </w:r>
          </w:p>
        </w:tc>
        <w:tc>
          <w:tcPr>
            <w:tcW w:w="1623" w:type="dxa"/>
            <w:noWrap/>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6</w:t>
            </w:r>
            <w:r w:rsidRPr="00335E4B">
              <w:rPr>
                <w:rFonts w:cs="Traditional Arabic" w:hint="cs"/>
                <w:sz w:val="16"/>
                <w:szCs w:val="26"/>
                <w:rtl/>
              </w:rPr>
              <w:t>,</w:t>
            </w:r>
            <w:r w:rsidRPr="00335E4B">
              <w:rPr>
                <w:rFonts w:cs="Traditional Arabic"/>
                <w:sz w:val="16"/>
                <w:szCs w:val="26"/>
                <w:rtl/>
              </w:rPr>
              <w:t>396</w:t>
            </w:r>
          </w:p>
        </w:tc>
      </w:tr>
      <w:tr w:rsidR="00335E4B" w:rsidRPr="00335E4B" w:rsidTr="00D002D1">
        <w:trPr>
          <w:trHeight w:val="20"/>
        </w:trPr>
        <w:tc>
          <w:tcPr>
            <w:tcW w:w="2080" w:type="dxa"/>
            <w:noWrap/>
            <w:vAlign w:val="center"/>
          </w:tcPr>
          <w:p w:rsidR="00335E4B" w:rsidRPr="00335E4B" w:rsidRDefault="00335E4B" w:rsidP="00335E4B">
            <w:pPr>
              <w:spacing w:line="300" w:lineRule="exact"/>
              <w:rPr>
                <w:rFonts w:cs="Traditional Arabic"/>
                <w:sz w:val="16"/>
                <w:szCs w:val="26"/>
              </w:rPr>
            </w:pPr>
            <w:r w:rsidRPr="00335E4B">
              <w:rPr>
                <w:rFonts w:cs="Traditional Arabic"/>
                <w:sz w:val="16"/>
                <w:szCs w:val="26"/>
                <w:rtl/>
              </w:rPr>
              <w:t>مرشح نسيجي + تنظيف رطب ل</w:t>
            </w:r>
            <w:r w:rsidRPr="00335E4B">
              <w:rPr>
                <w:rFonts w:cs="Traditional Arabic" w:hint="cs"/>
                <w:sz w:val="16"/>
                <w:szCs w:val="26"/>
                <w:rtl/>
              </w:rPr>
              <w:t>إزالة ا</w:t>
            </w:r>
            <w:r w:rsidRPr="00335E4B">
              <w:rPr>
                <w:rFonts w:cs="Traditional Arabic"/>
                <w:sz w:val="16"/>
                <w:szCs w:val="26"/>
                <w:rtl/>
              </w:rPr>
              <w:t>لكبريت</w:t>
            </w:r>
          </w:p>
        </w:tc>
        <w:tc>
          <w:tcPr>
            <w:tcW w:w="1368" w:type="dxa"/>
            <w:noWrap/>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40,789</w:t>
            </w:r>
          </w:p>
        </w:tc>
        <w:tc>
          <w:tcPr>
            <w:tcW w:w="1539" w:type="dxa"/>
            <w:noWrap/>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2,181</w:t>
            </w:r>
          </w:p>
        </w:tc>
        <w:tc>
          <w:tcPr>
            <w:tcW w:w="1539" w:type="dxa"/>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11,759</w:t>
            </w:r>
          </w:p>
        </w:tc>
        <w:tc>
          <w:tcPr>
            <w:tcW w:w="1539" w:type="dxa"/>
            <w:noWrap/>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26</w:t>
            </w:r>
            <w:r w:rsidRPr="00335E4B">
              <w:rPr>
                <w:rFonts w:cs="Traditional Arabic" w:hint="cs"/>
                <w:sz w:val="16"/>
                <w:szCs w:val="26"/>
                <w:rtl/>
              </w:rPr>
              <w:t>,</w:t>
            </w:r>
            <w:r w:rsidRPr="00335E4B">
              <w:rPr>
                <w:rFonts w:cs="Traditional Arabic"/>
                <w:sz w:val="16"/>
                <w:szCs w:val="26"/>
                <w:rtl/>
              </w:rPr>
              <w:t>849</w:t>
            </w:r>
          </w:p>
        </w:tc>
        <w:tc>
          <w:tcPr>
            <w:tcW w:w="1623" w:type="dxa"/>
            <w:noWrap/>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Pr>
              <w:t>-</w:t>
            </w:r>
          </w:p>
        </w:tc>
      </w:tr>
      <w:tr w:rsidR="00335E4B" w:rsidRPr="00335E4B" w:rsidTr="00D002D1">
        <w:trPr>
          <w:trHeight w:val="20"/>
        </w:trPr>
        <w:tc>
          <w:tcPr>
            <w:tcW w:w="2080" w:type="dxa"/>
            <w:tcBorders>
              <w:bottom w:val="single" w:sz="4" w:space="0" w:color="auto"/>
            </w:tcBorders>
            <w:noWrap/>
            <w:vAlign w:val="center"/>
          </w:tcPr>
          <w:p w:rsidR="00335E4B" w:rsidRPr="00335E4B" w:rsidRDefault="00335E4B" w:rsidP="00335E4B">
            <w:pPr>
              <w:spacing w:line="300" w:lineRule="exact"/>
              <w:rPr>
                <w:rFonts w:cs="Traditional Arabic"/>
                <w:sz w:val="16"/>
                <w:szCs w:val="26"/>
              </w:rPr>
            </w:pPr>
            <w:r w:rsidRPr="00335E4B">
              <w:rPr>
                <w:rFonts w:cs="Traditional Arabic"/>
                <w:sz w:val="16"/>
                <w:szCs w:val="26"/>
                <w:rtl/>
              </w:rPr>
              <w:t>اختزال حفزي انتقائي + مرشح نسيجي + تنظيف رطب ل</w:t>
            </w:r>
            <w:r w:rsidRPr="00335E4B">
              <w:rPr>
                <w:rFonts w:cs="Traditional Arabic" w:hint="cs"/>
                <w:sz w:val="16"/>
                <w:szCs w:val="26"/>
                <w:rtl/>
              </w:rPr>
              <w:t>إزالة ا</w:t>
            </w:r>
            <w:r w:rsidRPr="00335E4B">
              <w:rPr>
                <w:rFonts w:cs="Traditional Arabic"/>
                <w:sz w:val="16"/>
                <w:szCs w:val="26"/>
                <w:rtl/>
              </w:rPr>
              <w:t>لكبريت</w:t>
            </w:r>
          </w:p>
        </w:tc>
        <w:tc>
          <w:tcPr>
            <w:tcW w:w="1368" w:type="dxa"/>
            <w:tcBorders>
              <w:bottom w:val="single" w:sz="4" w:space="0" w:color="auto"/>
            </w:tcBorders>
            <w:noWrap/>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57,909</w:t>
            </w:r>
          </w:p>
        </w:tc>
        <w:tc>
          <w:tcPr>
            <w:tcW w:w="1539" w:type="dxa"/>
            <w:tcBorders>
              <w:bottom w:val="single" w:sz="4" w:space="0" w:color="auto"/>
            </w:tcBorders>
            <w:noWrap/>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2,874</w:t>
            </w:r>
          </w:p>
        </w:tc>
        <w:tc>
          <w:tcPr>
            <w:tcW w:w="1539" w:type="dxa"/>
            <w:tcBorders>
              <w:bottom w:val="single" w:sz="4" w:space="0" w:color="auto"/>
            </w:tcBorders>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14,811</w:t>
            </w:r>
          </w:p>
        </w:tc>
        <w:tc>
          <w:tcPr>
            <w:tcW w:w="1539" w:type="dxa"/>
            <w:tcBorders>
              <w:bottom w:val="single" w:sz="4" w:space="0" w:color="auto"/>
            </w:tcBorders>
            <w:noWrap/>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33,817</w:t>
            </w:r>
          </w:p>
        </w:tc>
        <w:tc>
          <w:tcPr>
            <w:tcW w:w="1623" w:type="dxa"/>
            <w:tcBorders>
              <w:bottom w:val="single" w:sz="4" w:space="0" w:color="auto"/>
            </w:tcBorders>
            <w:noWrap/>
            <w:vAlign w:val="bottom"/>
          </w:tcPr>
          <w:p w:rsidR="00335E4B" w:rsidRPr="00335E4B" w:rsidRDefault="00335E4B" w:rsidP="00335E4B">
            <w:pPr>
              <w:spacing w:line="300" w:lineRule="exact"/>
              <w:rPr>
                <w:rFonts w:cs="Traditional Arabic"/>
                <w:sz w:val="16"/>
                <w:szCs w:val="26"/>
              </w:rPr>
            </w:pPr>
            <w:r w:rsidRPr="00335E4B">
              <w:rPr>
                <w:rFonts w:cs="Traditional Arabic"/>
                <w:sz w:val="16"/>
                <w:szCs w:val="26"/>
                <w:rtl/>
              </w:rPr>
              <w:t>6,407</w:t>
            </w:r>
          </w:p>
        </w:tc>
      </w:tr>
    </w:tbl>
    <w:p w:rsidR="00335E4B" w:rsidRPr="00335E4B" w:rsidRDefault="00335E4B" w:rsidP="00335E4B">
      <w:pPr>
        <w:keepNext/>
        <w:spacing w:before="120" w:after="120" w:line="400" w:lineRule="exact"/>
        <w:ind w:left="990" w:hanging="992"/>
        <w:jc w:val="both"/>
        <w:outlineLvl w:val="0"/>
        <w:rPr>
          <w:rFonts w:cs="Traditional Arabic"/>
          <w:b/>
          <w:bCs/>
          <w:sz w:val="30"/>
          <w:szCs w:val="30"/>
          <w:rtl/>
        </w:rPr>
      </w:pPr>
      <w:bookmarkStart w:id="877" w:name="_Toc440456853"/>
      <w:bookmarkStart w:id="878" w:name="_Toc440526927"/>
      <w:bookmarkStart w:id="879" w:name="_Toc440527787"/>
      <w:bookmarkStart w:id="880" w:name="_Toc440550487"/>
      <w:bookmarkStart w:id="881" w:name="_Toc441577744"/>
      <w:bookmarkStart w:id="882" w:name="_Toc441577923"/>
      <w:bookmarkStart w:id="883" w:name="_Toc441579149"/>
      <w:bookmarkStart w:id="884" w:name="_Toc441580757"/>
      <w:bookmarkStart w:id="885" w:name="_Toc441585888"/>
      <w:bookmarkStart w:id="886" w:name="_Toc441586224"/>
      <w:bookmarkStart w:id="887" w:name="_Toc441586674"/>
      <w:bookmarkStart w:id="888" w:name="_Toc441586853"/>
      <w:bookmarkStart w:id="889" w:name="_Toc441666702"/>
      <w:bookmarkStart w:id="890" w:name="_Toc441673763"/>
      <w:r w:rsidRPr="00335E4B">
        <w:rPr>
          <w:rFonts w:cs="Traditional Arabic" w:hint="cs"/>
          <w:b/>
          <w:bCs/>
          <w:sz w:val="30"/>
          <w:szCs w:val="30"/>
          <w:rtl/>
        </w:rPr>
        <w:t>تكاليف تقنيات تعزيز المنافع المشتركة وحقن الكربون المنشَّط</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rsidR="00335E4B" w:rsidRPr="00335E4B" w:rsidRDefault="00335E4B" w:rsidP="00E371AF">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تتألف تكاليف حقن الكربون المنشط من عنصرين: العنصر الأول هو التكاليف الرأسمالية اللازمة لتخزين المادة الماصة ومعدات الحقن؛ والعنصر الثاني هو التكاليف الثابتة والمتغيرة للتشغيل والصيانة (المصاحبة للمادة الماصة المستهلكة). ولتقييم تكلفة إزالة الزئبق عن طريق المنافع المشتركة، يجب التمييز بين تكاليف الاستثمار والتشغيل والصيانة في نُظم ضبط تلوث الهواء، مثل أجهزة إزالة الكبريت من غاز المدخنة والاختزال الحفزي الانتقائي، وهي تكاليف محددة بصورة واضحة، وتكاليف تعزيز أو تحسين إزالة الزئبق في هذه النُظم.</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ويصعب عموماً تقييم تكاليف تقنيات تعزيز المنافع المشتركة نظراً لأن هذا التقييم يتوقف على متغيرات عديدة مثل مصدر الفحم ونوعيته، ومدى التجديدات المطلوبة في الأجهزة القائمة لضبط الجسيمات (في حالة المرسب) أو أنظمة التشغيل الخاصة بالموقع لنظام إزالة الكبريت من غاز المدخنة. ونتيجة لذلك، تم التوصل إلى تكاليف نسبية أولاً للنُهج التي جرت مناقشتها في هذه الوثيقة؛ وتظهر هذه النُهج في الجدول 10، وهي تستند في جملة أمور إلى المعلومات المعروضة في الوثيقة التوجيهية للتحسين الأمثل للعمليات (برنامج الأمم المتحدة للبيئة، 2010). والتكاليف الرأسمالية النسبية وتكاليف التشغيل والصيانة الإضافية التي تظهر في الجدول 10 ينبغي أن تعامل باعتبارها مؤشرات على الاتجاهات ولا ينبغي تفسيرها بأنها مبادئ توجيهية منطبقة عالمياً على اختيار النُهج التي تحقق فعالية التكلفة لضبط انبعاثات الزئبق من منشآت الطاقة العاملة بحرق الفحم أو المراجل الصناعية العاملة بحرق الفحم التي قد توجد في بلدان مختلفة. إذ أن الظروف الاقتصادية السائدة محلياً (مثل تكلفة اللوازم والمواد وكفاءة العمالة وتكلفتها وتكلفة النقل، إلخ)، ينبغي أن تؤخذ في الاعتبار دائماً عند اختيار أحد خيارات ضبط الزئبق، مع الاعتراف بأن الكثير من الأسواق لمعدات ضبط الانبعاثات وشركات البناء الهندسية هي أسواق عالمية أيضاً (باسينا وآخرون، 2010).</w:t>
      </w:r>
    </w:p>
    <w:p w:rsidR="00335E4B" w:rsidRPr="00335E4B" w:rsidRDefault="00335E4B" w:rsidP="00335E4B">
      <w:pPr>
        <w:keepNext/>
        <w:spacing w:after="120" w:line="340" w:lineRule="exact"/>
        <w:jc w:val="both"/>
        <w:outlineLvl w:val="0"/>
        <w:rPr>
          <w:rFonts w:cs="Traditional Arabic"/>
          <w:b/>
          <w:bCs/>
          <w:sz w:val="20"/>
          <w:szCs w:val="30"/>
          <w:rtl/>
          <w:lang w:bidi="ar-EG"/>
        </w:rPr>
      </w:pPr>
      <w:bookmarkStart w:id="891" w:name="_Toc440527788"/>
      <w:bookmarkStart w:id="892" w:name="_Toc440550488"/>
      <w:bookmarkStart w:id="893" w:name="_Toc441577745"/>
      <w:bookmarkStart w:id="894" w:name="_Toc441577924"/>
      <w:bookmarkStart w:id="895" w:name="_Toc441579150"/>
      <w:bookmarkStart w:id="896" w:name="_Toc441580758"/>
      <w:bookmarkStart w:id="897" w:name="_Toc441585889"/>
      <w:bookmarkStart w:id="898" w:name="_Toc441586225"/>
      <w:bookmarkStart w:id="899" w:name="_Toc441586675"/>
      <w:bookmarkStart w:id="900" w:name="_Toc441586854"/>
      <w:bookmarkStart w:id="901" w:name="_Toc441666703"/>
      <w:bookmarkStart w:id="902" w:name="_Toc441673764"/>
      <w:r w:rsidRPr="00335E4B">
        <w:rPr>
          <w:rFonts w:cs="Traditional Arabic" w:hint="cs"/>
          <w:b/>
          <w:bCs/>
          <w:sz w:val="20"/>
          <w:szCs w:val="30"/>
          <w:rtl/>
          <w:lang w:bidi="ar-EG"/>
        </w:rPr>
        <w:t>الجدول 10 - التكلفة النسبية لمختلف أساليب إزالة الزئبق</w:t>
      </w:r>
      <w:bookmarkEnd w:id="891"/>
      <w:bookmarkEnd w:id="892"/>
      <w:bookmarkEnd w:id="893"/>
      <w:bookmarkEnd w:id="894"/>
      <w:bookmarkEnd w:id="895"/>
      <w:bookmarkEnd w:id="896"/>
      <w:bookmarkEnd w:id="897"/>
      <w:bookmarkEnd w:id="898"/>
      <w:bookmarkEnd w:id="899"/>
      <w:bookmarkEnd w:id="900"/>
      <w:bookmarkEnd w:id="901"/>
      <w:bookmarkEnd w:id="902"/>
    </w:p>
    <w:tbl>
      <w:tblPr>
        <w:bidiVisual/>
        <w:tblW w:w="5000" w:type="pct"/>
        <w:tblBorders>
          <w:top w:val="single" w:sz="4" w:space="0" w:color="auto"/>
          <w:bottom w:val="single" w:sz="4" w:space="0" w:color="auto"/>
        </w:tblBorders>
        <w:tblLook w:val="04A0" w:firstRow="1" w:lastRow="0" w:firstColumn="1" w:lastColumn="0" w:noHBand="0" w:noVBand="1"/>
      </w:tblPr>
      <w:tblGrid>
        <w:gridCol w:w="2051"/>
        <w:gridCol w:w="1628"/>
        <w:gridCol w:w="1913"/>
        <w:gridCol w:w="4120"/>
      </w:tblGrid>
      <w:tr w:rsidR="00335E4B" w:rsidRPr="00335E4B" w:rsidTr="00D002D1">
        <w:trPr>
          <w:tblHeader/>
        </w:trPr>
        <w:tc>
          <w:tcPr>
            <w:tcW w:w="1056" w:type="pct"/>
            <w:tcBorders>
              <w:top w:val="single" w:sz="4" w:space="0" w:color="auto"/>
              <w:bottom w:val="single" w:sz="4" w:space="0" w:color="auto"/>
            </w:tcBorders>
            <w:shd w:val="clear" w:color="auto" w:fill="auto"/>
            <w:vAlign w:val="center"/>
          </w:tcPr>
          <w:p w:rsidR="00335E4B" w:rsidRPr="00335E4B" w:rsidRDefault="00335E4B" w:rsidP="00335E4B">
            <w:pPr>
              <w:keepNext/>
              <w:keepLines/>
              <w:suppressAutoHyphens/>
              <w:overflowPunct w:val="0"/>
              <w:autoSpaceDE w:val="0"/>
              <w:spacing w:line="340" w:lineRule="exact"/>
              <w:jc w:val="both"/>
              <w:textAlignment w:val="baseline"/>
              <w:rPr>
                <w:rFonts w:eastAsia="SimSun" w:cs="Traditional Arabic"/>
                <w:bCs/>
                <w:spacing w:val="-3"/>
                <w:sz w:val="18"/>
                <w:szCs w:val="26"/>
                <w:lang w:eastAsia="ar-SA" w:bidi="ar-EG"/>
              </w:rPr>
            </w:pPr>
            <w:r w:rsidRPr="00335E4B">
              <w:rPr>
                <w:rFonts w:eastAsia="SimSun" w:cs="Traditional Arabic" w:hint="cs"/>
                <w:bCs/>
                <w:spacing w:val="-3"/>
                <w:sz w:val="18"/>
                <w:szCs w:val="26"/>
                <w:rtl/>
                <w:lang w:eastAsia="ar-SA" w:bidi="ar-EG"/>
              </w:rPr>
              <w:t>النهج</w:t>
            </w:r>
          </w:p>
        </w:tc>
        <w:tc>
          <w:tcPr>
            <w:tcW w:w="838" w:type="pct"/>
            <w:tcBorders>
              <w:top w:val="single" w:sz="4" w:space="0" w:color="auto"/>
              <w:bottom w:val="single" w:sz="4" w:space="0" w:color="auto"/>
            </w:tcBorders>
            <w:shd w:val="clear" w:color="auto" w:fill="auto"/>
            <w:vAlign w:val="center"/>
          </w:tcPr>
          <w:p w:rsidR="00335E4B" w:rsidRPr="00335E4B" w:rsidRDefault="00335E4B" w:rsidP="00335E4B">
            <w:pPr>
              <w:keepNext/>
              <w:keepLines/>
              <w:suppressAutoHyphens/>
              <w:overflowPunct w:val="0"/>
              <w:autoSpaceDE w:val="0"/>
              <w:spacing w:line="340" w:lineRule="exact"/>
              <w:jc w:val="both"/>
              <w:textAlignment w:val="baseline"/>
              <w:rPr>
                <w:rFonts w:eastAsia="SimSun" w:cs="Traditional Arabic"/>
                <w:bCs/>
                <w:spacing w:val="-3"/>
                <w:sz w:val="18"/>
                <w:szCs w:val="26"/>
                <w:lang w:eastAsia="ar-SA"/>
              </w:rPr>
            </w:pPr>
            <w:r w:rsidRPr="00335E4B">
              <w:rPr>
                <w:rFonts w:eastAsia="SimSun" w:cs="Traditional Arabic" w:hint="cs"/>
                <w:bCs/>
                <w:spacing w:val="-3"/>
                <w:sz w:val="18"/>
                <w:szCs w:val="26"/>
                <w:rtl/>
                <w:lang w:eastAsia="ar-SA"/>
              </w:rPr>
              <w:t>التكلفة الرأسمالية</w:t>
            </w:r>
          </w:p>
        </w:tc>
        <w:tc>
          <w:tcPr>
            <w:tcW w:w="985" w:type="pct"/>
            <w:tcBorders>
              <w:top w:val="single" w:sz="4" w:space="0" w:color="auto"/>
              <w:bottom w:val="single" w:sz="4" w:space="0" w:color="auto"/>
            </w:tcBorders>
            <w:shd w:val="clear" w:color="auto" w:fill="auto"/>
            <w:vAlign w:val="center"/>
          </w:tcPr>
          <w:p w:rsidR="00335E4B" w:rsidRPr="00335E4B" w:rsidRDefault="00335E4B" w:rsidP="00335E4B">
            <w:pPr>
              <w:keepNext/>
              <w:keepLines/>
              <w:suppressAutoHyphens/>
              <w:overflowPunct w:val="0"/>
              <w:autoSpaceDE w:val="0"/>
              <w:spacing w:line="340" w:lineRule="exact"/>
              <w:jc w:val="both"/>
              <w:textAlignment w:val="baseline"/>
              <w:rPr>
                <w:rFonts w:eastAsia="SimSun" w:cs="Traditional Arabic"/>
                <w:bCs/>
                <w:spacing w:val="-3"/>
                <w:sz w:val="18"/>
                <w:szCs w:val="26"/>
                <w:lang w:eastAsia="ar-SA"/>
              </w:rPr>
            </w:pPr>
            <w:r w:rsidRPr="00335E4B">
              <w:rPr>
                <w:rFonts w:eastAsia="SimSun" w:cs="Traditional Arabic" w:hint="cs"/>
                <w:bCs/>
                <w:spacing w:val="-3"/>
                <w:sz w:val="18"/>
                <w:szCs w:val="26"/>
                <w:rtl/>
                <w:lang w:eastAsia="ar-SA"/>
              </w:rPr>
              <w:t>تكلفة التشغيل والصيانة</w:t>
            </w:r>
          </w:p>
        </w:tc>
        <w:tc>
          <w:tcPr>
            <w:tcW w:w="2121" w:type="pct"/>
            <w:tcBorders>
              <w:top w:val="single" w:sz="4" w:space="0" w:color="auto"/>
              <w:bottom w:val="single" w:sz="4" w:space="0" w:color="auto"/>
            </w:tcBorders>
            <w:shd w:val="clear" w:color="auto" w:fill="auto"/>
            <w:vAlign w:val="center"/>
          </w:tcPr>
          <w:p w:rsidR="00335E4B" w:rsidRPr="00335E4B" w:rsidRDefault="00335E4B" w:rsidP="00335E4B">
            <w:pPr>
              <w:keepNext/>
              <w:keepLines/>
              <w:suppressAutoHyphens/>
              <w:overflowPunct w:val="0"/>
              <w:autoSpaceDE w:val="0"/>
              <w:spacing w:line="340" w:lineRule="exact"/>
              <w:jc w:val="both"/>
              <w:textAlignment w:val="baseline"/>
              <w:rPr>
                <w:rFonts w:eastAsia="SimSun" w:cs="Traditional Arabic"/>
                <w:bCs/>
                <w:spacing w:val="-3"/>
                <w:sz w:val="18"/>
                <w:szCs w:val="26"/>
                <w:lang w:eastAsia="ar-SA"/>
              </w:rPr>
            </w:pPr>
            <w:r w:rsidRPr="00335E4B">
              <w:rPr>
                <w:rFonts w:eastAsia="SimSun" w:cs="Traditional Arabic" w:hint="cs"/>
                <w:bCs/>
                <w:spacing w:val="-3"/>
                <w:sz w:val="18"/>
                <w:szCs w:val="26"/>
                <w:rtl/>
                <w:lang w:eastAsia="ar-SA"/>
              </w:rPr>
              <w:t>تعليقات</w:t>
            </w:r>
          </w:p>
        </w:tc>
      </w:tr>
      <w:tr w:rsidR="00335E4B" w:rsidRPr="00335E4B" w:rsidTr="00D002D1">
        <w:tc>
          <w:tcPr>
            <w:tcW w:w="1056" w:type="pct"/>
            <w:tcBorders>
              <w:top w:val="single" w:sz="4" w:space="0" w:color="auto"/>
            </w:tcBorders>
            <w:shd w:val="clear" w:color="auto" w:fill="auto"/>
            <w:vAlign w:val="center"/>
          </w:tcPr>
          <w:p w:rsidR="00335E4B" w:rsidRPr="00335E4B" w:rsidRDefault="00335E4B" w:rsidP="00335E4B">
            <w:pPr>
              <w:keepNext/>
              <w:keepLines/>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غسل الفحم</w:t>
            </w:r>
          </w:p>
        </w:tc>
        <w:tc>
          <w:tcPr>
            <w:tcW w:w="838" w:type="pct"/>
            <w:tcBorders>
              <w:top w:val="single" w:sz="4" w:space="0" w:color="auto"/>
            </w:tcBorders>
            <w:shd w:val="clear" w:color="auto" w:fill="auto"/>
            <w:vAlign w:val="center"/>
          </w:tcPr>
          <w:p w:rsidR="00335E4B" w:rsidRPr="00335E4B" w:rsidRDefault="00335E4B" w:rsidP="00335E4B">
            <w:pPr>
              <w:keepNext/>
              <w:keepLines/>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معتدلة</w:t>
            </w:r>
          </w:p>
        </w:tc>
        <w:tc>
          <w:tcPr>
            <w:tcW w:w="985" w:type="pct"/>
            <w:tcBorders>
              <w:top w:val="single" w:sz="4" w:space="0" w:color="auto"/>
            </w:tcBorders>
            <w:shd w:val="clear" w:color="auto" w:fill="auto"/>
            <w:vAlign w:val="center"/>
          </w:tcPr>
          <w:p w:rsidR="00335E4B" w:rsidRPr="00335E4B" w:rsidRDefault="00335E4B" w:rsidP="00335E4B">
            <w:pPr>
              <w:keepNext/>
              <w:keepLines/>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منخفضة</w:t>
            </w:r>
          </w:p>
        </w:tc>
        <w:tc>
          <w:tcPr>
            <w:tcW w:w="2121" w:type="pct"/>
            <w:tcBorders>
              <w:top w:val="single" w:sz="4" w:space="0" w:color="auto"/>
            </w:tcBorders>
            <w:shd w:val="clear" w:color="auto" w:fill="auto"/>
            <w:vAlign w:val="center"/>
          </w:tcPr>
          <w:p w:rsidR="00335E4B" w:rsidRPr="00335E4B" w:rsidRDefault="00335E4B" w:rsidP="00335E4B">
            <w:pPr>
              <w:keepNext/>
              <w:keepLines/>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الغسل أقل تكلفة عن المعالجة الكيميائية</w:t>
            </w:r>
          </w:p>
        </w:tc>
      </w:tr>
      <w:tr w:rsidR="00335E4B" w:rsidRPr="00335E4B" w:rsidTr="00D002D1">
        <w:tc>
          <w:tcPr>
            <w:tcW w:w="1056"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خلط الفحم</w:t>
            </w:r>
          </w:p>
        </w:tc>
        <w:tc>
          <w:tcPr>
            <w:tcW w:w="838"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منخفضة جداً</w:t>
            </w:r>
          </w:p>
        </w:tc>
        <w:tc>
          <w:tcPr>
            <w:tcW w:w="985"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منخفضة جداً</w:t>
            </w:r>
          </w:p>
        </w:tc>
        <w:tc>
          <w:tcPr>
            <w:tcW w:w="2121"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قد تتطلب تعديلاً و/أو تجديداً في أجهزة السحق</w:t>
            </w:r>
          </w:p>
        </w:tc>
      </w:tr>
      <w:tr w:rsidR="00335E4B" w:rsidRPr="00335E4B" w:rsidTr="00D002D1">
        <w:tc>
          <w:tcPr>
            <w:tcW w:w="1056"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إضافات أكسدة الزئبق</w:t>
            </w:r>
          </w:p>
        </w:tc>
        <w:tc>
          <w:tcPr>
            <w:tcW w:w="838"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منخفضة جداً</w:t>
            </w:r>
          </w:p>
        </w:tc>
        <w:tc>
          <w:tcPr>
            <w:tcW w:w="985"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منخفضة</w:t>
            </w:r>
          </w:p>
        </w:tc>
        <w:tc>
          <w:tcPr>
            <w:tcW w:w="2121"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المضافات المهلجنة تزيد كثيراً من أكسدة والتقاط الزئبق</w:t>
            </w:r>
          </w:p>
        </w:tc>
      </w:tr>
      <w:tr w:rsidR="00335E4B" w:rsidRPr="00335E4B" w:rsidTr="00D002D1">
        <w:tc>
          <w:tcPr>
            <w:tcW w:w="1056"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إضافات ضبط إعادة الانبعاث</w:t>
            </w:r>
          </w:p>
        </w:tc>
        <w:tc>
          <w:tcPr>
            <w:tcW w:w="838"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منخفضة جداً</w:t>
            </w:r>
          </w:p>
        </w:tc>
        <w:tc>
          <w:tcPr>
            <w:tcW w:w="985"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منخفضة</w:t>
            </w:r>
          </w:p>
        </w:tc>
        <w:tc>
          <w:tcPr>
            <w:tcW w:w="2121"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ينبغي التخفيف من إمكانية إعادة انبعاث الزئبق</w:t>
            </w:r>
          </w:p>
        </w:tc>
      </w:tr>
      <w:tr w:rsidR="00335E4B" w:rsidRPr="00335E4B" w:rsidTr="00D002D1">
        <w:tc>
          <w:tcPr>
            <w:tcW w:w="1056"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rtl/>
                <w:lang w:eastAsia="ar-SA" w:bidi="ar-EG"/>
              </w:rPr>
            </w:pPr>
            <w:r w:rsidRPr="00335E4B">
              <w:rPr>
                <w:rFonts w:eastAsia="SimSun" w:cs="Traditional Arabic" w:hint="cs"/>
                <w:spacing w:val="-3"/>
                <w:sz w:val="18"/>
                <w:szCs w:val="26"/>
                <w:rtl/>
                <w:lang w:eastAsia="ar-SA"/>
              </w:rPr>
              <w:t>حفاز الأكسدة الانتقائية للزئبق</w:t>
            </w:r>
            <w:r w:rsidRPr="00335E4B">
              <w:rPr>
                <w:rFonts w:eastAsia="SimSun" w:cs="Traditional Arabic" w:hint="cs"/>
                <w:spacing w:val="-3"/>
                <w:sz w:val="18"/>
                <w:szCs w:val="26"/>
                <w:rtl/>
                <w:lang w:eastAsia="ar-SA" w:bidi="ar-EG"/>
              </w:rPr>
              <w:t xml:space="preserve"> وحفاز الاختزال الحفزي الانتقائي</w:t>
            </w:r>
            <w:r w:rsidRPr="00E371AF">
              <w:rPr>
                <w:rFonts w:asciiTheme="majorBidi" w:eastAsia="SimSun" w:hAnsiTheme="majorBidi" w:cstheme="majorBidi"/>
                <w:spacing w:val="-3"/>
                <w:szCs w:val="22"/>
                <w:vertAlign w:val="superscript"/>
                <w:rtl/>
                <w:lang w:eastAsia="ar-SA" w:bidi="ar-EG"/>
              </w:rPr>
              <w:t>*</w:t>
            </w:r>
          </w:p>
        </w:tc>
        <w:tc>
          <w:tcPr>
            <w:tcW w:w="838"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منخفضة</w:t>
            </w:r>
          </w:p>
        </w:tc>
        <w:tc>
          <w:tcPr>
            <w:tcW w:w="985"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منخفضة</w:t>
            </w:r>
          </w:p>
        </w:tc>
        <w:tc>
          <w:tcPr>
            <w:tcW w:w="2121"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يشير فقط إلى الحفاز الخاص بالزئبق، وقد يتطلب خلط الفحم</w:t>
            </w:r>
          </w:p>
        </w:tc>
      </w:tr>
      <w:tr w:rsidR="00335E4B" w:rsidRPr="00335E4B" w:rsidTr="00D002D1">
        <w:tc>
          <w:tcPr>
            <w:tcW w:w="1056"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حقن الكربون المنشَّط</w:t>
            </w:r>
          </w:p>
        </w:tc>
        <w:tc>
          <w:tcPr>
            <w:tcW w:w="838"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منخفضة</w:t>
            </w:r>
          </w:p>
        </w:tc>
        <w:tc>
          <w:tcPr>
            <w:tcW w:w="985"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منخفضة إلى معتدلة</w:t>
            </w:r>
          </w:p>
        </w:tc>
        <w:tc>
          <w:tcPr>
            <w:tcW w:w="2121" w:type="pct"/>
            <w:shd w:val="clear" w:color="auto" w:fill="auto"/>
            <w:vAlign w:val="center"/>
          </w:tcPr>
          <w:p w:rsidR="00335E4B" w:rsidRPr="00335E4B" w:rsidRDefault="00335E4B" w:rsidP="00335E4B">
            <w:pPr>
              <w:suppressAutoHyphens/>
              <w:overflowPunct w:val="0"/>
              <w:autoSpaceDE w:val="0"/>
              <w:spacing w:line="340" w:lineRule="exact"/>
              <w:jc w:val="both"/>
              <w:textAlignment w:val="baseline"/>
              <w:rPr>
                <w:rFonts w:eastAsia="SimSun" w:cs="Traditional Arabic"/>
                <w:spacing w:val="-3"/>
                <w:sz w:val="18"/>
                <w:szCs w:val="26"/>
                <w:lang w:eastAsia="ar-SA"/>
              </w:rPr>
            </w:pPr>
            <w:r w:rsidRPr="00335E4B">
              <w:rPr>
                <w:rFonts w:eastAsia="SimSun" w:cs="Traditional Arabic" w:hint="cs"/>
                <w:spacing w:val="-3"/>
                <w:sz w:val="18"/>
                <w:szCs w:val="26"/>
                <w:rtl/>
                <w:lang w:eastAsia="ar-SA"/>
              </w:rPr>
              <w:t xml:space="preserve">توجد مشكلة في الحفاظ على نوعية الرماد. وتكاليف إضافية أعلى بسبب المواد الماصة </w:t>
            </w:r>
            <w:r w:rsidRPr="00335E4B">
              <w:rPr>
                <w:rFonts w:eastAsia="SimSun" w:cs="Traditional Arabic" w:hint="eastAsia"/>
                <w:spacing w:val="-3"/>
                <w:sz w:val="18"/>
                <w:szCs w:val="26"/>
                <w:rtl/>
                <w:lang w:eastAsia="ar-SA"/>
              </w:rPr>
              <w:t>”المتوافقة مع الخر</w:t>
            </w:r>
            <w:r w:rsidRPr="00335E4B">
              <w:rPr>
                <w:rFonts w:eastAsia="SimSun" w:cs="Traditional Arabic" w:hint="cs"/>
                <w:spacing w:val="-3"/>
                <w:sz w:val="18"/>
                <w:szCs w:val="26"/>
                <w:rtl/>
                <w:lang w:eastAsia="ar-SA"/>
              </w:rPr>
              <w:t>س</w:t>
            </w:r>
            <w:r w:rsidRPr="00335E4B">
              <w:rPr>
                <w:rFonts w:eastAsia="SimSun" w:cs="Traditional Arabic" w:hint="eastAsia"/>
                <w:spacing w:val="-3"/>
                <w:sz w:val="18"/>
                <w:szCs w:val="26"/>
                <w:rtl/>
                <w:lang w:eastAsia="ar-SA"/>
              </w:rPr>
              <w:t>انة“</w:t>
            </w:r>
          </w:p>
        </w:tc>
      </w:tr>
    </w:tbl>
    <w:p w:rsidR="00335E4B" w:rsidRPr="00335E4B" w:rsidRDefault="00E371AF" w:rsidP="00335E4B">
      <w:pPr>
        <w:tabs>
          <w:tab w:val="left" w:pos="663"/>
          <w:tab w:val="left" w:pos="1117"/>
          <w:tab w:val="left" w:pos="2230"/>
          <w:tab w:val="center" w:pos="5468"/>
        </w:tabs>
        <w:spacing w:after="120" w:line="340" w:lineRule="exact"/>
        <w:jc w:val="both"/>
        <w:rPr>
          <w:rFonts w:cs="Traditional Arabic"/>
          <w:sz w:val="16"/>
          <w:szCs w:val="26"/>
          <w:rtl/>
          <w:lang w:bidi="ar-EG"/>
        </w:rPr>
      </w:pPr>
      <w:r w:rsidRPr="00E371AF">
        <w:rPr>
          <w:rFonts w:asciiTheme="majorBidi" w:eastAsia="SimSun" w:hAnsiTheme="majorBidi" w:cstheme="majorBidi"/>
          <w:spacing w:val="-3"/>
          <w:szCs w:val="22"/>
          <w:vertAlign w:val="superscript"/>
          <w:rtl/>
          <w:lang w:eastAsia="ar-SA" w:bidi="ar-EG"/>
        </w:rPr>
        <w:t>*</w:t>
      </w:r>
      <w:r w:rsidR="00335E4B" w:rsidRPr="00335E4B">
        <w:rPr>
          <w:rFonts w:cs="Traditional Arabic" w:hint="cs"/>
          <w:sz w:val="16"/>
          <w:szCs w:val="26"/>
          <w:rtl/>
          <w:lang w:bidi="ar-EG"/>
        </w:rPr>
        <w:t xml:space="preserve">  مع نظام رطب لإزالة الكبريت من غاز المدخنة في المرحلة التالية.</w:t>
      </w:r>
    </w:p>
    <w:p w:rsidR="00335E4B" w:rsidRPr="00335E4B" w:rsidRDefault="00335E4B" w:rsidP="00335E4B">
      <w:pPr>
        <w:keepNext/>
        <w:spacing w:after="120" w:line="340" w:lineRule="exact"/>
        <w:jc w:val="both"/>
        <w:outlineLvl w:val="0"/>
        <w:rPr>
          <w:rFonts w:cs="Traditional Arabic"/>
          <w:b/>
          <w:bCs/>
          <w:sz w:val="20"/>
          <w:szCs w:val="30"/>
          <w:rtl/>
          <w:lang w:bidi="ar-EG"/>
        </w:rPr>
      </w:pPr>
      <w:r w:rsidRPr="00335E4B">
        <w:rPr>
          <w:rFonts w:cs="Traditional Arabic"/>
          <w:sz w:val="20"/>
          <w:szCs w:val="30"/>
          <w:u w:val="single"/>
          <w:rtl/>
          <w:lang w:bidi="ar-EG"/>
        </w:rPr>
        <w:br w:type="page"/>
      </w:r>
      <w:bookmarkStart w:id="903" w:name="_Toc441577746"/>
      <w:bookmarkStart w:id="904" w:name="_Toc441577925"/>
      <w:bookmarkStart w:id="905" w:name="_Toc441579151"/>
      <w:bookmarkStart w:id="906" w:name="_Toc441580759"/>
      <w:bookmarkStart w:id="907" w:name="_Toc441585890"/>
      <w:bookmarkStart w:id="908" w:name="_Toc441586226"/>
      <w:bookmarkStart w:id="909" w:name="_Toc441586676"/>
      <w:bookmarkStart w:id="910" w:name="_Toc441586855"/>
      <w:bookmarkStart w:id="911" w:name="_Toc441666704"/>
      <w:bookmarkStart w:id="912" w:name="_Toc441673765"/>
      <w:r w:rsidRPr="00335E4B">
        <w:rPr>
          <w:rFonts w:cs="Traditional Arabic" w:hint="cs"/>
          <w:b/>
          <w:bCs/>
          <w:sz w:val="20"/>
          <w:szCs w:val="30"/>
          <w:rtl/>
          <w:lang w:bidi="ar-EG"/>
        </w:rPr>
        <w:t>الجدول 11 - التكلفة الرأسمالية لحقن الكربون المنشط في الولايات المتحدة (دولار/كيلوواط، بدولارات عام 2007)</w:t>
      </w:r>
      <w:bookmarkEnd w:id="903"/>
      <w:bookmarkEnd w:id="904"/>
      <w:bookmarkEnd w:id="905"/>
      <w:bookmarkEnd w:id="906"/>
      <w:bookmarkEnd w:id="907"/>
      <w:bookmarkEnd w:id="908"/>
      <w:bookmarkEnd w:id="909"/>
      <w:bookmarkEnd w:id="910"/>
      <w:bookmarkEnd w:id="911"/>
      <w:bookmarkEnd w:id="912"/>
    </w:p>
    <w:tbl>
      <w:tblPr>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085"/>
        <w:gridCol w:w="1806"/>
        <w:gridCol w:w="1895"/>
        <w:gridCol w:w="1895"/>
        <w:gridCol w:w="1895"/>
      </w:tblGrid>
      <w:tr w:rsidR="00335E4B" w:rsidRPr="00335E4B" w:rsidTr="00D002D1">
        <w:tc>
          <w:tcPr>
            <w:tcW w:w="2085" w:type="dxa"/>
            <w:vMerge w:val="restart"/>
            <w:shd w:val="clear" w:color="auto" w:fill="auto"/>
            <w:vAlign w:val="center"/>
          </w:tcPr>
          <w:p w:rsidR="00335E4B" w:rsidRPr="00335E4B" w:rsidRDefault="00335E4B" w:rsidP="00335E4B">
            <w:pPr>
              <w:spacing w:after="40" w:line="320" w:lineRule="exact"/>
              <w:jc w:val="both"/>
              <w:rPr>
                <w:rFonts w:eastAsia="SimSun" w:cs="Traditional Arabic"/>
                <w:bCs/>
                <w:sz w:val="18"/>
                <w:szCs w:val="26"/>
                <w:lang w:bidi="ar-EG"/>
              </w:rPr>
            </w:pPr>
            <w:r w:rsidRPr="00335E4B">
              <w:rPr>
                <w:rFonts w:eastAsia="SimSun" w:cs="Traditional Arabic" w:hint="cs"/>
                <w:bCs/>
                <w:sz w:val="18"/>
                <w:szCs w:val="26"/>
                <w:rtl/>
                <w:lang w:bidi="ar-EG"/>
              </w:rPr>
              <w:t>التكنولوجيا</w:t>
            </w:r>
          </w:p>
        </w:tc>
        <w:tc>
          <w:tcPr>
            <w:tcW w:w="7491" w:type="dxa"/>
            <w:gridSpan w:val="4"/>
            <w:shd w:val="clear" w:color="auto" w:fill="auto"/>
            <w:vAlign w:val="center"/>
          </w:tcPr>
          <w:p w:rsidR="00335E4B" w:rsidRPr="00335E4B" w:rsidRDefault="00335E4B" w:rsidP="00335E4B">
            <w:pPr>
              <w:spacing w:after="40" w:line="320" w:lineRule="exact"/>
              <w:jc w:val="both"/>
              <w:rPr>
                <w:rFonts w:eastAsia="SimSun" w:cs="Traditional Arabic"/>
                <w:bCs/>
                <w:sz w:val="18"/>
                <w:szCs w:val="26"/>
              </w:rPr>
            </w:pPr>
            <w:r w:rsidRPr="00335E4B">
              <w:rPr>
                <w:rFonts w:eastAsia="SimSun" w:cs="Traditional Arabic" w:hint="cs"/>
                <w:bCs/>
                <w:sz w:val="18"/>
                <w:szCs w:val="26"/>
                <w:rtl/>
              </w:rPr>
              <w:t>حجم الوحدة، ميغاواط</w:t>
            </w:r>
          </w:p>
        </w:tc>
      </w:tr>
      <w:tr w:rsidR="00335E4B" w:rsidRPr="00335E4B" w:rsidTr="00D002D1">
        <w:tc>
          <w:tcPr>
            <w:tcW w:w="2085" w:type="dxa"/>
            <w:vMerge/>
            <w:shd w:val="clear" w:color="auto" w:fill="auto"/>
            <w:vAlign w:val="center"/>
          </w:tcPr>
          <w:p w:rsidR="00335E4B" w:rsidRPr="00335E4B" w:rsidRDefault="00335E4B" w:rsidP="00335E4B">
            <w:pPr>
              <w:spacing w:after="40" w:line="320" w:lineRule="exact"/>
              <w:jc w:val="both"/>
              <w:rPr>
                <w:rFonts w:eastAsia="SimSun" w:cs="Traditional Arabic"/>
                <w:bCs/>
                <w:sz w:val="18"/>
                <w:szCs w:val="26"/>
              </w:rPr>
            </w:pPr>
          </w:p>
        </w:tc>
        <w:tc>
          <w:tcPr>
            <w:tcW w:w="1806" w:type="dxa"/>
            <w:shd w:val="clear" w:color="auto" w:fill="auto"/>
            <w:vAlign w:val="center"/>
          </w:tcPr>
          <w:p w:rsidR="00335E4B" w:rsidRPr="00335E4B" w:rsidRDefault="00335E4B" w:rsidP="00335E4B">
            <w:pPr>
              <w:spacing w:after="40" w:line="320" w:lineRule="exact"/>
              <w:jc w:val="both"/>
              <w:rPr>
                <w:rFonts w:eastAsia="SimSun" w:cs="Traditional Arabic"/>
                <w:bCs/>
                <w:sz w:val="18"/>
                <w:szCs w:val="26"/>
              </w:rPr>
            </w:pPr>
            <w:r w:rsidRPr="00335E4B">
              <w:rPr>
                <w:rFonts w:eastAsia="SimSun" w:cs="Traditional Arabic" w:hint="cs"/>
                <w:bCs/>
                <w:sz w:val="18"/>
                <w:szCs w:val="26"/>
                <w:rtl/>
              </w:rPr>
              <w:t>100</w:t>
            </w:r>
          </w:p>
        </w:tc>
        <w:tc>
          <w:tcPr>
            <w:tcW w:w="1895" w:type="dxa"/>
            <w:shd w:val="clear" w:color="auto" w:fill="auto"/>
            <w:vAlign w:val="center"/>
          </w:tcPr>
          <w:p w:rsidR="00335E4B" w:rsidRPr="00335E4B" w:rsidRDefault="00335E4B" w:rsidP="00335E4B">
            <w:pPr>
              <w:spacing w:after="40" w:line="320" w:lineRule="exact"/>
              <w:jc w:val="both"/>
              <w:rPr>
                <w:rFonts w:eastAsia="SimSun" w:cs="Traditional Arabic"/>
                <w:bCs/>
                <w:sz w:val="18"/>
                <w:szCs w:val="26"/>
              </w:rPr>
            </w:pPr>
            <w:r w:rsidRPr="00335E4B">
              <w:rPr>
                <w:rFonts w:eastAsia="SimSun" w:cs="Traditional Arabic" w:hint="cs"/>
                <w:bCs/>
                <w:sz w:val="18"/>
                <w:szCs w:val="26"/>
                <w:rtl/>
              </w:rPr>
              <w:t>300</w:t>
            </w:r>
          </w:p>
        </w:tc>
        <w:tc>
          <w:tcPr>
            <w:tcW w:w="1895" w:type="dxa"/>
            <w:shd w:val="clear" w:color="auto" w:fill="auto"/>
            <w:vAlign w:val="center"/>
          </w:tcPr>
          <w:p w:rsidR="00335E4B" w:rsidRPr="00335E4B" w:rsidRDefault="00335E4B" w:rsidP="00335E4B">
            <w:pPr>
              <w:spacing w:after="40" w:line="320" w:lineRule="exact"/>
              <w:jc w:val="both"/>
              <w:rPr>
                <w:rFonts w:eastAsia="SimSun" w:cs="Traditional Arabic"/>
                <w:bCs/>
                <w:sz w:val="18"/>
                <w:szCs w:val="26"/>
              </w:rPr>
            </w:pPr>
            <w:r w:rsidRPr="00335E4B">
              <w:rPr>
                <w:rFonts w:eastAsia="SimSun" w:cs="Traditional Arabic" w:hint="cs"/>
                <w:bCs/>
                <w:sz w:val="18"/>
                <w:szCs w:val="26"/>
                <w:rtl/>
              </w:rPr>
              <w:t>500</w:t>
            </w:r>
          </w:p>
        </w:tc>
        <w:tc>
          <w:tcPr>
            <w:tcW w:w="1895" w:type="dxa"/>
            <w:shd w:val="clear" w:color="auto" w:fill="auto"/>
            <w:vAlign w:val="center"/>
          </w:tcPr>
          <w:p w:rsidR="00335E4B" w:rsidRPr="00335E4B" w:rsidRDefault="00335E4B" w:rsidP="00335E4B">
            <w:pPr>
              <w:spacing w:after="40" w:line="320" w:lineRule="exact"/>
              <w:jc w:val="both"/>
              <w:rPr>
                <w:rFonts w:eastAsia="SimSun" w:cs="Traditional Arabic"/>
                <w:bCs/>
                <w:sz w:val="18"/>
                <w:szCs w:val="26"/>
              </w:rPr>
            </w:pPr>
            <w:r w:rsidRPr="00335E4B">
              <w:rPr>
                <w:rFonts w:eastAsia="SimSun" w:cs="Traditional Arabic" w:hint="cs"/>
                <w:bCs/>
                <w:sz w:val="18"/>
                <w:szCs w:val="26"/>
                <w:rtl/>
              </w:rPr>
              <w:t>700</w:t>
            </w:r>
          </w:p>
        </w:tc>
      </w:tr>
      <w:tr w:rsidR="00335E4B" w:rsidRPr="00335E4B" w:rsidTr="00D002D1">
        <w:tc>
          <w:tcPr>
            <w:tcW w:w="2085" w:type="dxa"/>
            <w:shd w:val="clear" w:color="auto" w:fill="auto"/>
            <w:vAlign w:val="center"/>
          </w:tcPr>
          <w:p w:rsidR="00335E4B" w:rsidRPr="00335E4B" w:rsidRDefault="00335E4B" w:rsidP="00335E4B">
            <w:pPr>
              <w:spacing w:after="40" w:line="320" w:lineRule="exact"/>
              <w:jc w:val="both"/>
              <w:rPr>
                <w:rFonts w:eastAsia="Arial Unicode MS" w:cs="Traditional Arabic"/>
                <w:sz w:val="18"/>
                <w:szCs w:val="26"/>
              </w:rPr>
            </w:pPr>
            <w:r w:rsidRPr="00335E4B">
              <w:rPr>
                <w:rFonts w:eastAsia="Arial Unicode MS" w:cs="Traditional Arabic" w:hint="cs"/>
                <w:sz w:val="18"/>
                <w:szCs w:val="26"/>
                <w:rtl/>
              </w:rPr>
              <w:t>حقن الكربون المنشط</w:t>
            </w:r>
          </w:p>
        </w:tc>
        <w:tc>
          <w:tcPr>
            <w:tcW w:w="1806" w:type="dxa"/>
            <w:shd w:val="clear" w:color="auto" w:fill="auto"/>
            <w:vAlign w:val="center"/>
          </w:tcPr>
          <w:p w:rsidR="00335E4B" w:rsidRPr="00335E4B" w:rsidRDefault="00335E4B" w:rsidP="00335E4B">
            <w:pPr>
              <w:spacing w:after="40" w:line="320" w:lineRule="exact"/>
              <w:jc w:val="both"/>
              <w:rPr>
                <w:rFonts w:eastAsia="Arial Unicode MS" w:cs="Traditional Arabic"/>
                <w:sz w:val="18"/>
                <w:szCs w:val="26"/>
              </w:rPr>
            </w:pPr>
            <w:r w:rsidRPr="00335E4B">
              <w:rPr>
                <w:rFonts w:eastAsia="Arial Unicode MS" w:cs="Traditional Arabic" w:hint="cs"/>
                <w:sz w:val="18"/>
                <w:szCs w:val="26"/>
                <w:rtl/>
              </w:rPr>
              <w:t>3-8</w:t>
            </w:r>
          </w:p>
        </w:tc>
        <w:tc>
          <w:tcPr>
            <w:tcW w:w="1895" w:type="dxa"/>
            <w:shd w:val="clear" w:color="auto" w:fill="auto"/>
            <w:vAlign w:val="center"/>
          </w:tcPr>
          <w:p w:rsidR="00335E4B" w:rsidRPr="00335E4B" w:rsidRDefault="00335E4B" w:rsidP="00335E4B">
            <w:pPr>
              <w:spacing w:after="40" w:line="320" w:lineRule="exact"/>
              <w:jc w:val="both"/>
              <w:rPr>
                <w:rFonts w:eastAsia="Arial Unicode MS" w:cs="Traditional Arabic"/>
                <w:sz w:val="18"/>
                <w:szCs w:val="26"/>
              </w:rPr>
            </w:pPr>
            <w:r w:rsidRPr="00335E4B">
              <w:rPr>
                <w:rFonts w:eastAsia="Arial Unicode MS" w:cs="Traditional Arabic" w:hint="cs"/>
                <w:sz w:val="18"/>
                <w:szCs w:val="26"/>
                <w:rtl/>
              </w:rPr>
              <w:t>2-6</w:t>
            </w:r>
          </w:p>
        </w:tc>
        <w:tc>
          <w:tcPr>
            <w:tcW w:w="1895" w:type="dxa"/>
            <w:shd w:val="clear" w:color="auto" w:fill="auto"/>
            <w:vAlign w:val="center"/>
          </w:tcPr>
          <w:p w:rsidR="00335E4B" w:rsidRPr="00335E4B" w:rsidRDefault="00335E4B" w:rsidP="00335E4B">
            <w:pPr>
              <w:spacing w:after="40" w:line="320" w:lineRule="exact"/>
              <w:jc w:val="both"/>
              <w:rPr>
                <w:rFonts w:eastAsia="Arial Unicode MS" w:cs="Traditional Arabic"/>
                <w:sz w:val="18"/>
                <w:szCs w:val="26"/>
              </w:rPr>
            </w:pPr>
            <w:r w:rsidRPr="00335E4B">
              <w:rPr>
                <w:rFonts w:eastAsia="Arial Unicode MS" w:cs="Traditional Arabic" w:hint="cs"/>
                <w:sz w:val="18"/>
                <w:szCs w:val="26"/>
                <w:rtl/>
              </w:rPr>
              <w:t>2-5</w:t>
            </w:r>
          </w:p>
        </w:tc>
        <w:tc>
          <w:tcPr>
            <w:tcW w:w="1895" w:type="dxa"/>
            <w:shd w:val="clear" w:color="auto" w:fill="auto"/>
            <w:vAlign w:val="center"/>
          </w:tcPr>
          <w:p w:rsidR="00335E4B" w:rsidRPr="00335E4B" w:rsidRDefault="00335E4B" w:rsidP="00335E4B">
            <w:pPr>
              <w:spacing w:after="40" w:line="320" w:lineRule="exact"/>
              <w:jc w:val="both"/>
              <w:rPr>
                <w:rFonts w:eastAsia="Arial Unicode MS" w:cs="Traditional Arabic"/>
                <w:sz w:val="18"/>
                <w:szCs w:val="26"/>
              </w:rPr>
            </w:pPr>
            <w:r w:rsidRPr="00335E4B">
              <w:rPr>
                <w:rFonts w:eastAsia="Arial Unicode MS" w:cs="Traditional Arabic" w:hint="cs"/>
                <w:sz w:val="18"/>
                <w:szCs w:val="26"/>
                <w:rtl/>
              </w:rPr>
              <w:t>2-5</w:t>
            </w:r>
          </w:p>
        </w:tc>
      </w:tr>
    </w:tbl>
    <w:p w:rsidR="00335E4B" w:rsidRPr="00335E4B" w:rsidRDefault="00335E4B" w:rsidP="00335E4B">
      <w:pPr>
        <w:tabs>
          <w:tab w:val="left" w:pos="663"/>
          <w:tab w:val="left" w:pos="1117"/>
          <w:tab w:val="left" w:pos="2230"/>
          <w:tab w:val="center" w:pos="5468"/>
        </w:tabs>
        <w:spacing w:line="340" w:lineRule="exact"/>
        <w:jc w:val="both"/>
        <w:rPr>
          <w:rFonts w:cs="Traditional Arabic"/>
          <w:sz w:val="16"/>
          <w:szCs w:val="26"/>
          <w:rtl/>
          <w:lang w:bidi="ar-EG"/>
        </w:rPr>
      </w:pPr>
      <w:r w:rsidRPr="00335E4B">
        <w:rPr>
          <w:rFonts w:cs="Traditional Arabic" w:hint="cs"/>
          <w:sz w:val="16"/>
          <w:szCs w:val="26"/>
          <w:rtl/>
          <w:lang w:bidi="ar-EG"/>
        </w:rPr>
        <w:t>ملاحظات:</w:t>
      </w:r>
    </w:p>
    <w:p w:rsidR="00335E4B" w:rsidRPr="00335E4B" w:rsidRDefault="00335E4B" w:rsidP="00E371AF">
      <w:pPr>
        <w:tabs>
          <w:tab w:val="left" w:pos="1117"/>
          <w:tab w:val="left" w:pos="2230"/>
          <w:tab w:val="center" w:pos="5468"/>
        </w:tabs>
        <w:spacing w:line="340" w:lineRule="exact"/>
        <w:ind w:left="424"/>
        <w:jc w:val="both"/>
        <w:rPr>
          <w:rFonts w:cs="Traditional Arabic"/>
          <w:sz w:val="16"/>
          <w:szCs w:val="26"/>
          <w:rtl/>
          <w:lang w:bidi="ar-EG"/>
        </w:rPr>
      </w:pPr>
      <w:r w:rsidRPr="00335E4B">
        <w:rPr>
          <w:rFonts w:cs="Traditional Arabic" w:hint="cs"/>
          <w:sz w:val="16"/>
          <w:szCs w:val="26"/>
          <w:rtl/>
          <w:lang w:bidi="ar-EG"/>
        </w:rPr>
        <w:t>البيانات في الجدول 11 مأخوذة من الجداول 5-16 في وكالة حماية البيئة في الولايات المتحدة، 2010</w:t>
      </w:r>
    </w:p>
    <w:p w:rsidR="00335E4B" w:rsidRPr="00335E4B" w:rsidRDefault="00335E4B" w:rsidP="00E371AF">
      <w:pPr>
        <w:tabs>
          <w:tab w:val="left" w:pos="1117"/>
          <w:tab w:val="left" w:pos="2230"/>
          <w:tab w:val="center" w:pos="5468"/>
        </w:tabs>
        <w:spacing w:line="340" w:lineRule="exact"/>
        <w:ind w:left="424"/>
        <w:jc w:val="both"/>
        <w:rPr>
          <w:rFonts w:cs="Traditional Arabic"/>
          <w:sz w:val="16"/>
          <w:szCs w:val="26"/>
          <w:rtl/>
          <w:lang w:bidi="ar-EG"/>
        </w:rPr>
      </w:pPr>
      <w:r w:rsidRPr="00335E4B">
        <w:rPr>
          <w:rFonts w:cs="Traditional Arabic" w:hint="cs"/>
          <w:sz w:val="16"/>
          <w:szCs w:val="26"/>
          <w:rtl/>
          <w:lang w:bidi="ar-EG"/>
        </w:rPr>
        <w:t>نطاقات التكلفة تنطبق على حقن الكربون المنشط المسحوق المعدل مع استخدام مرشح نسيجي أو مرسب كهروستاتيكي في الجانب البارد</w:t>
      </w:r>
    </w:p>
    <w:p w:rsidR="00335E4B" w:rsidRPr="00335E4B" w:rsidRDefault="00335E4B" w:rsidP="00E371AF">
      <w:pPr>
        <w:tabs>
          <w:tab w:val="left" w:pos="1117"/>
          <w:tab w:val="left" w:pos="2230"/>
          <w:tab w:val="center" w:pos="5468"/>
        </w:tabs>
        <w:spacing w:after="120" w:line="340" w:lineRule="exact"/>
        <w:ind w:left="425"/>
        <w:jc w:val="both"/>
        <w:rPr>
          <w:rFonts w:cs="Traditional Arabic"/>
          <w:sz w:val="16"/>
          <w:szCs w:val="26"/>
          <w:rtl/>
          <w:lang w:bidi="ar-EG"/>
        </w:rPr>
      </w:pPr>
      <w:r w:rsidRPr="00335E4B">
        <w:rPr>
          <w:rFonts w:cs="Traditional Arabic" w:hint="cs"/>
          <w:sz w:val="16"/>
          <w:szCs w:val="26"/>
          <w:rtl/>
          <w:lang w:bidi="ar-EG"/>
        </w:rPr>
        <w:t xml:space="preserve">الحالة موضع النظر تنطبق على الفحم القيري والافتراضات الأخرى في </w:t>
      </w:r>
      <w:r w:rsidRPr="00335E4B">
        <w:rPr>
          <w:rFonts w:cs="Traditional Arabic"/>
          <w:sz w:val="16"/>
          <w:szCs w:val="26"/>
          <w:lang w:bidi="ar-EG"/>
        </w:rPr>
        <w:t>EPA Base Case v.4.10</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 xml:space="preserve">والحساسية المنخفضة نسبياً للتكلفة الرأسمالية لحقن الكربون المنشط </w:t>
      </w:r>
      <w:r w:rsidRPr="00335E4B">
        <w:rPr>
          <w:rFonts w:cs="Traditional Arabic" w:hint="cs"/>
          <w:sz w:val="20"/>
          <w:szCs w:val="30"/>
          <w:rtl/>
          <w:lang w:val="en-GB" w:bidi="ar-SY"/>
        </w:rPr>
        <w:t>بالنسبة ل</w:t>
      </w:r>
      <w:r w:rsidRPr="00335E4B">
        <w:rPr>
          <w:rFonts w:cs="Traditional Arabic" w:hint="cs"/>
          <w:sz w:val="20"/>
          <w:szCs w:val="30"/>
          <w:rtl/>
          <w:lang w:bidi="ar-EG"/>
        </w:rPr>
        <w:t>حجم الوحدة، كما يتضح من الجدول 11، قد يمكن تفسيرها بأنها ناتجة عن فعالية التكلفة المقارنة لإزالة الزئبق عن طريق حقن الكربون المنشط (تكلفة إزالة كتلة وحدة من الزئبق) في الوحدات الصغيرة والكبيرة (مثل المراجل الصناعية الصغيرة مقابل مراجل المرافق الكبيرة في منشآت الطاقة). والتحليلات المتعمقة لتكاليف حقن الكربون المنشط لضبط انبعاثات الزئبق (وكالة حماية البيئة في الولايات المتحدة، 2010) التي أُخذ منها الجدول 11، أظهرت التكاليف الرأسمالية في عام 2007 في نطاق يتراوح من 2 إلى 8 دولار/كيلوواط حسب التشكيلة ونوع الفحم المنشط (عادي أو معدل) وحجم الوحدة (من 100 إلى 700 ميغاواط). وينبغي أن يلاحظ أن قيم التكلفة الواردة في الجدول 11 لا تشمل التكلفة الرأسمالية للمرشحات النسيجية أو المرسبات الكهروستاتيكية. وتكلفة إنشاء مرشح نسيجي جديد أو حجرة مرشحات كيسية هي 55-70 دولار/كيلوواط بغض النظر عن حجم المنشأة. وبالنسبة لنفس نطاق المتغيرات، توصلت الدراسة إلى تكلفة ثابتة للتشغيل والصيانة تتراوح من 0,03 إلى 0,1 دولار/كيلوواط/سنة</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 xml:space="preserve">والتكلفة الفعلية لضبط الزئبق بالكربون المنشط تتوقف أيضاً على نظام ضبط الجسيمات المستعمل. ويوضح الجدول 12 تكاليف التشغيل للمرشحات النسيجية الخاصة بالمرسب الكهروستاتيكي والجهاز المتطور المختلط لجمع الجسيمات </w:t>
      </w:r>
      <w:r w:rsidRPr="00E371AF">
        <w:rPr>
          <w:rFonts w:asciiTheme="majorBidi" w:hAnsiTheme="majorBidi" w:cstheme="majorBidi"/>
          <w:sz w:val="20"/>
          <w:szCs w:val="20"/>
          <w:rtl/>
          <w:lang w:bidi="ar-EG"/>
        </w:rPr>
        <w:t>(</w:t>
      </w:r>
      <w:r w:rsidRPr="00E371AF">
        <w:rPr>
          <w:rFonts w:asciiTheme="majorBidi" w:hAnsiTheme="majorBidi" w:cstheme="majorBidi"/>
          <w:sz w:val="20"/>
          <w:szCs w:val="20"/>
          <w:lang w:bidi="ar-EG"/>
        </w:rPr>
        <w:t>COHPAC</w:t>
      </w:r>
      <w:r w:rsidRPr="00E371AF">
        <w:rPr>
          <w:rFonts w:asciiTheme="majorBidi" w:hAnsiTheme="majorBidi" w:cstheme="majorBidi"/>
          <w:sz w:val="20"/>
          <w:szCs w:val="20"/>
          <w:rtl/>
          <w:lang w:bidi="ar-EG"/>
        </w:rPr>
        <w:t>)</w:t>
      </w:r>
      <w:r w:rsidRPr="00335E4B">
        <w:rPr>
          <w:rFonts w:cs="Traditional Arabic" w:hint="cs"/>
          <w:sz w:val="20"/>
          <w:szCs w:val="30"/>
          <w:rtl/>
          <w:lang w:bidi="ar-EG"/>
        </w:rPr>
        <w:t>. وتنطبق التقديرات على منشأة طاقتها 250 ميغاواط بقدرة 80 في المائة على حرق الفحم القيري وتفترض أن تكلفة النظام المتطور المختلط لجمع الجسيمات ستكون حوالي 50 دولار/كيلوواط (12,5 مليون دولار).</w:t>
      </w:r>
    </w:p>
    <w:p w:rsidR="00335E4B" w:rsidRPr="00335E4B" w:rsidRDefault="00335E4B" w:rsidP="00335E4B">
      <w:pPr>
        <w:keepNext/>
        <w:spacing w:after="120" w:line="340" w:lineRule="exact"/>
        <w:jc w:val="both"/>
        <w:outlineLvl w:val="0"/>
        <w:rPr>
          <w:rFonts w:cs="Traditional Arabic"/>
          <w:b/>
          <w:bCs/>
          <w:sz w:val="20"/>
          <w:szCs w:val="30"/>
          <w:u w:val="single"/>
          <w:rtl/>
          <w:lang w:bidi="ar-EG"/>
        </w:rPr>
      </w:pPr>
      <w:bookmarkStart w:id="913" w:name="_Toc441577747"/>
      <w:bookmarkStart w:id="914" w:name="_Toc441577926"/>
      <w:bookmarkStart w:id="915" w:name="_Toc441579152"/>
      <w:bookmarkStart w:id="916" w:name="_Toc441580760"/>
      <w:bookmarkStart w:id="917" w:name="_Toc441585891"/>
      <w:bookmarkStart w:id="918" w:name="_Toc441586227"/>
      <w:bookmarkStart w:id="919" w:name="_Toc441586677"/>
      <w:bookmarkStart w:id="920" w:name="_Toc441586856"/>
      <w:bookmarkStart w:id="921" w:name="_Toc441666705"/>
      <w:bookmarkStart w:id="922" w:name="_Toc441673766"/>
      <w:r w:rsidRPr="00335E4B">
        <w:rPr>
          <w:rFonts w:cs="Traditional Arabic" w:hint="cs"/>
          <w:b/>
          <w:bCs/>
          <w:sz w:val="20"/>
          <w:szCs w:val="30"/>
          <w:rtl/>
          <w:lang w:bidi="ar-EG"/>
        </w:rPr>
        <w:t>الجدول 12 - تكاليف التشغيل لنُظم حقن الكربون المنشط (في منشأة طاقتها 250 ميغاواط) يعقبها إما مرسب كهروستاتيكي أو مرشح نسيجي للفحم القيري (اللجنة الدولية المشتركة، 2005)</w:t>
      </w:r>
      <w:bookmarkEnd w:id="913"/>
      <w:bookmarkEnd w:id="914"/>
      <w:bookmarkEnd w:id="915"/>
      <w:bookmarkEnd w:id="916"/>
      <w:bookmarkEnd w:id="917"/>
      <w:bookmarkEnd w:id="918"/>
      <w:bookmarkEnd w:id="919"/>
      <w:bookmarkEnd w:id="920"/>
      <w:bookmarkEnd w:id="921"/>
      <w:bookmarkEnd w:id="922"/>
    </w:p>
    <w:tbl>
      <w:tblPr>
        <w:bidiVisual/>
        <w:tblW w:w="0" w:type="auto"/>
        <w:tblInd w:w="106" w:type="dxa"/>
        <w:tblLook w:val="04A0" w:firstRow="1" w:lastRow="0" w:firstColumn="1" w:lastColumn="0" w:noHBand="0" w:noVBand="1"/>
      </w:tblPr>
      <w:tblGrid>
        <w:gridCol w:w="3827"/>
        <w:gridCol w:w="2077"/>
        <w:gridCol w:w="3006"/>
      </w:tblGrid>
      <w:tr w:rsidR="00335E4B" w:rsidRPr="00335E4B" w:rsidTr="008318BD">
        <w:tc>
          <w:tcPr>
            <w:tcW w:w="3827" w:type="dxa"/>
            <w:tcBorders>
              <w:top w:val="single" w:sz="4" w:space="0" w:color="auto"/>
              <w:bottom w:val="single" w:sz="4" w:space="0" w:color="auto"/>
            </w:tcBorders>
            <w:shd w:val="clear" w:color="auto" w:fill="auto"/>
          </w:tcPr>
          <w:p w:rsidR="00335E4B" w:rsidRPr="00335E4B" w:rsidRDefault="00335E4B" w:rsidP="00335E4B">
            <w:pPr>
              <w:keepNext/>
              <w:keepLines/>
              <w:spacing w:after="40" w:line="320" w:lineRule="exact"/>
              <w:jc w:val="both"/>
              <w:rPr>
                <w:rFonts w:eastAsia="SimSun" w:cs="Traditional Arabic"/>
                <w:sz w:val="18"/>
                <w:szCs w:val="26"/>
              </w:rPr>
            </w:pPr>
          </w:p>
        </w:tc>
        <w:tc>
          <w:tcPr>
            <w:tcW w:w="2077" w:type="dxa"/>
            <w:tcBorders>
              <w:top w:val="single" w:sz="4" w:space="0" w:color="auto"/>
              <w:bottom w:val="single" w:sz="4" w:space="0" w:color="auto"/>
            </w:tcBorders>
            <w:shd w:val="clear" w:color="auto" w:fill="auto"/>
          </w:tcPr>
          <w:p w:rsidR="00335E4B" w:rsidRPr="00335E4B" w:rsidRDefault="00335E4B" w:rsidP="00335E4B">
            <w:pPr>
              <w:keepNext/>
              <w:keepLines/>
              <w:spacing w:after="40" w:line="320" w:lineRule="exact"/>
              <w:jc w:val="both"/>
              <w:rPr>
                <w:rFonts w:eastAsia="SimSun" w:cs="Traditional Arabic"/>
                <w:sz w:val="18"/>
                <w:szCs w:val="26"/>
              </w:rPr>
            </w:pPr>
            <w:r w:rsidRPr="00335E4B">
              <w:rPr>
                <w:rFonts w:eastAsia="SimSun" w:cs="Traditional Arabic" w:hint="cs"/>
                <w:sz w:val="18"/>
                <w:szCs w:val="26"/>
                <w:rtl/>
              </w:rPr>
              <w:t>مرسِّب كهروستاتيكي</w:t>
            </w:r>
          </w:p>
        </w:tc>
        <w:tc>
          <w:tcPr>
            <w:tcW w:w="3006" w:type="dxa"/>
            <w:tcBorders>
              <w:top w:val="single" w:sz="4" w:space="0" w:color="auto"/>
              <w:bottom w:val="single" w:sz="4" w:space="0" w:color="auto"/>
            </w:tcBorders>
            <w:shd w:val="clear" w:color="auto" w:fill="auto"/>
          </w:tcPr>
          <w:p w:rsidR="00335E4B" w:rsidRPr="00335E4B" w:rsidRDefault="00335E4B" w:rsidP="00335E4B">
            <w:pPr>
              <w:keepNext/>
              <w:keepLines/>
              <w:spacing w:after="40" w:line="320" w:lineRule="exact"/>
              <w:jc w:val="both"/>
              <w:rPr>
                <w:rFonts w:eastAsia="SimSun" w:cs="Traditional Arabic"/>
                <w:sz w:val="18"/>
                <w:szCs w:val="26"/>
              </w:rPr>
            </w:pPr>
            <w:r w:rsidRPr="00335E4B">
              <w:rPr>
                <w:rFonts w:eastAsia="SimSun" w:cs="Traditional Arabic" w:hint="cs"/>
                <w:sz w:val="18"/>
                <w:szCs w:val="26"/>
                <w:rtl/>
              </w:rPr>
              <w:t>جامع جسيمات هجين متقدم</w:t>
            </w:r>
          </w:p>
        </w:tc>
      </w:tr>
      <w:tr w:rsidR="00335E4B" w:rsidRPr="00335E4B" w:rsidTr="008318BD">
        <w:tc>
          <w:tcPr>
            <w:tcW w:w="3827" w:type="dxa"/>
            <w:tcBorders>
              <w:top w:val="single" w:sz="4" w:space="0" w:color="auto"/>
            </w:tcBorders>
            <w:shd w:val="clear" w:color="auto" w:fill="auto"/>
          </w:tcPr>
          <w:p w:rsidR="00335E4B" w:rsidRPr="00335E4B" w:rsidRDefault="00335E4B" w:rsidP="00335E4B">
            <w:pPr>
              <w:keepNext/>
              <w:keepLines/>
              <w:spacing w:after="40" w:line="320" w:lineRule="exact"/>
              <w:jc w:val="both"/>
              <w:rPr>
                <w:rFonts w:eastAsia="SimSun" w:cs="Traditional Arabic"/>
                <w:sz w:val="18"/>
                <w:szCs w:val="26"/>
              </w:rPr>
            </w:pPr>
            <w:r w:rsidRPr="00335E4B">
              <w:rPr>
                <w:rFonts w:eastAsia="SimSun" w:cs="Traditional Arabic" w:hint="cs"/>
                <w:sz w:val="18"/>
                <w:szCs w:val="26"/>
                <w:rtl/>
              </w:rPr>
              <w:t xml:space="preserve">إزالة الزئبق، النسبة المئوية </w:t>
            </w:r>
          </w:p>
        </w:tc>
        <w:tc>
          <w:tcPr>
            <w:tcW w:w="2077" w:type="dxa"/>
            <w:tcBorders>
              <w:top w:val="single" w:sz="4" w:space="0" w:color="auto"/>
            </w:tcBorders>
            <w:shd w:val="clear" w:color="auto" w:fill="auto"/>
          </w:tcPr>
          <w:p w:rsidR="00335E4B" w:rsidRPr="00335E4B" w:rsidRDefault="00335E4B" w:rsidP="00335E4B">
            <w:pPr>
              <w:keepNext/>
              <w:keepLines/>
              <w:spacing w:after="40" w:line="320" w:lineRule="exact"/>
              <w:jc w:val="both"/>
              <w:rPr>
                <w:rFonts w:eastAsia="SimSun" w:cs="Traditional Arabic"/>
                <w:sz w:val="18"/>
                <w:szCs w:val="26"/>
              </w:rPr>
            </w:pPr>
            <w:r w:rsidRPr="00335E4B">
              <w:rPr>
                <w:rFonts w:eastAsia="SimSun" w:cs="Traditional Arabic" w:hint="cs"/>
                <w:sz w:val="18"/>
                <w:szCs w:val="26"/>
                <w:rtl/>
              </w:rPr>
              <w:t>70</w:t>
            </w:r>
          </w:p>
        </w:tc>
        <w:tc>
          <w:tcPr>
            <w:tcW w:w="3006" w:type="dxa"/>
            <w:tcBorders>
              <w:top w:val="single" w:sz="4" w:space="0" w:color="auto"/>
            </w:tcBorders>
            <w:shd w:val="clear" w:color="auto" w:fill="auto"/>
          </w:tcPr>
          <w:p w:rsidR="00335E4B" w:rsidRPr="00335E4B" w:rsidRDefault="00335E4B" w:rsidP="00335E4B">
            <w:pPr>
              <w:keepNext/>
              <w:keepLines/>
              <w:spacing w:after="40" w:line="320" w:lineRule="exact"/>
              <w:jc w:val="both"/>
              <w:rPr>
                <w:rFonts w:eastAsia="SimSun" w:cs="Traditional Arabic"/>
                <w:sz w:val="18"/>
                <w:szCs w:val="26"/>
              </w:rPr>
            </w:pPr>
            <w:r w:rsidRPr="00335E4B">
              <w:rPr>
                <w:rFonts w:eastAsia="SimSun" w:cs="Traditional Arabic" w:hint="cs"/>
                <w:sz w:val="18"/>
                <w:szCs w:val="26"/>
                <w:rtl/>
              </w:rPr>
              <w:t>90</w:t>
            </w:r>
          </w:p>
        </w:tc>
      </w:tr>
      <w:tr w:rsidR="00335E4B" w:rsidRPr="00335E4B" w:rsidTr="008318BD">
        <w:tc>
          <w:tcPr>
            <w:tcW w:w="3827" w:type="dxa"/>
            <w:shd w:val="clear" w:color="auto" w:fill="auto"/>
          </w:tcPr>
          <w:p w:rsidR="00335E4B" w:rsidRPr="00335E4B" w:rsidRDefault="00335E4B" w:rsidP="00335E4B">
            <w:pPr>
              <w:keepNext/>
              <w:keepLines/>
              <w:spacing w:after="40" w:line="320" w:lineRule="exact"/>
              <w:jc w:val="both"/>
              <w:rPr>
                <w:rFonts w:eastAsia="SimSun" w:cs="Traditional Arabic"/>
                <w:sz w:val="18"/>
                <w:szCs w:val="26"/>
                <w:rtl/>
                <w:lang w:eastAsia="zh-CN" w:bidi="ar-EG"/>
              </w:rPr>
            </w:pPr>
            <w:r w:rsidRPr="00335E4B">
              <w:rPr>
                <w:rFonts w:eastAsia="SimSun" w:cs="Traditional Arabic" w:hint="cs"/>
                <w:sz w:val="18"/>
                <w:szCs w:val="26"/>
                <w:rtl/>
                <w:lang w:eastAsia="zh-CN"/>
              </w:rPr>
              <w:t xml:space="preserve">معدل حقن مسحوق الكربون المنشط، </w:t>
            </w:r>
            <w:r w:rsidRPr="00335E4B">
              <w:rPr>
                <w:rFonts w:eastAsia="SimSun" w:cs="Traditional Arabic"/>
                <w:sz w:val="18"/>
                <w:szCs w:val="26"/>
              </w:rPr>
              <w:t>kg/Macm</w:t>
            </w:r>
          </w:p>
        </w:tc>
        <w:tc>
          <w:tcPr>
            <w:tcW w:w="2077" w:type="dxa"/>
            <w:shd w:val="clear" w:color="auto" w:fill="auto"/>
          </w:tcPr>
          <w:p w:rsidR="00335E4B" w:rsidRPr="00335E4B" w:rsidRDefault="00335E4B" w:rsidP="00335E4B">
            <w:pPr>
              <w:keepNext/>
              <w:keepLines/>
              <w:spacing w:after="40" w:line="320" w:lineRule="exact"/>
              <w:jc w:val="both"/>
              <w:rPr>
                <w:rFonts w:eastAsia="SimSun" w:cs="Traditional Arabic"/>
                <w:sz w:val="18"/>
                <w:szCs w:val="26"/>
                <w:lang w:eastAsia="zh-CN"/>
              </w:rPr>
            </w:pPr>
            <w:r w:rsidRPr="00335E4B">
              <w:rPr>
                <w:rFonts w:eastAsia="SimSun" w:cs="Traditional Arabic" w:hint="cs"/>
                <w:sz w:val="18"/>
                <w:szCs w:val="26"/>
                <w:rtl/>
                <w:lang w:eastAsia="zh-CN"/>
              </w:rPr>
              <w:t>160</w:t>
            </w:r>
          </w:p>
        </w:tc>
        <w:tc>
          <w:tcPr>
            <w:tcW w:w="3006" w:type="dxa"/>
            <w:shd w:val="clear" w:color="auto" w:fill="auto"/>
          </w:tcPr>
          <w:p w:rsidR="00335E4B" w:rsidRPr="00335E4B" w:rsidRDefault="00335E4B" w:rsidP="00335E4B">
            <w:pPr>
              <w:keepNext/>
              <w:keepLines/>
              <w:spacing w:after="40" w:line="320" w:lineRule="exact"/>
              <w:jc w:val="both"/>
              <w:rPr>
                <w:rFonts w:eastAsia="SimSun" w:cs="Traditional Arabic"/>
                <w:sz w:val="18"/>
                <w:szCs w:val="26"/>
                <w:lang w:eastAsia="zh-CN"/>
              </w:rPr>
            </w:pPr>
            <w:r w:rsidRPr="00335E4B">
              <w:rPr>
                <w:rFonts w:eastAsia="SimSun" w:cs="Traditional Arabic" w:hint="cs"/>
                <w:sz w:val="18"/>
                <w:szCs w:val="26"/>
                <w:rtl/>
                <w:lang w:eastAsia="zh-CN"/>
              </w:rPr>
              <w:t>48</w:t>
            </w:r>
          </w:p>
        </w:tc>
      </w:tr>
      <w:tr w:rsidR="00335E4B" w:rsidRPr="00335E4B" w:rsidTr="008318BD">
        <w:tc>
          <w:tcPr>
            <w:tcW w:w="3827" w:type="dxa"/>
            <w:shd w:val="clear" w:color="auto" w:fill="auto"/>
          </w:tcPr>
          <w:p w:rsidR="00335E4B" w:rsidRPr="00335E4B" w:rsidRDefault="00335E4B" w:rsidP="00335E4B">
            <w:pPr>
              <w:keepNext/>
              <w:keepLines/>
              <w:spacing w:after="40" w:line="320" w:lineRule="exact"/>
              <w:jc w:val="both"/>
              <w:rPr>
                <w:rFonts w:eastAsia="SimSun" w:cs="Traditional Arabic"/>
                <w:sz w:val="18"/>
                <w:szCs w:val="26"/>
              </w:rPr>
            </w:pPr>
            <w:r w:rsidRPr="00335E4B">
              <w:rPr>
                <w:rFonts w:eastAsia="SimSun" w:cs="Traditional Arabic" w:hint="cs"/>
                <w:sz w:val="18"/>
                <w:szCs w:val="26"/>
                <w:rtl/>
              </w:rPr>
              <w:t>تكلفة حقن مسحوق الكربون المنشط، بالدولار</w:t>
            </w:r>
          </w:p>
        </w:tc>
        <w:tc>
          <w:tcPr>
            <w:tcW w:w="2077" w:type="dxa"/>
            <w:shd w:val="clear" w:color="auto" w:fill="auto"/>
          </w:tcPr>
          <w:p w:rsidR="00335E4B" w:rsidRPr="00335E4B" w:rsidRDefault="00335E4B" w:rsidP="00335E4B">
            <w:pPr>
              <w:keepNext/>
              <w:keepLines/>
              <w:spacing w:after="40" w:line="320" w:lineRule="exact"/>
              <w:jc w:val="both"/>
              <w:rPr>
                <w:rFonts w:eastAsia="SimSun" w:cs="Traditional Arabic"/>
                <w:sz w:val="18"/>
                <w:szCs w:val="26"/>
              </w:rPr>
            </w:pPr>
            <w:r w:rsidRPr="00335E4B">
              <w:rPr>
                <w:rFonts w:eastAsia="SimSun" w:cs="Traditional Arabic" w:hint="cs"/>
                <w:sz w:val="18"/>
                <w:szCs w:val="26"/>
                <w:rtl/>
              </w:rPr>
              <w:t>000 790</w:t>
            </w:r>
          </w:p>
        </w:tc>
        <w:tc>
          <w:tcPr>
            <w:tcW w:w="3006" w:type="dxa"/>
            <w:shd w:val="clear" w:color="auto" w:fill="auto"/>
          </w:tcPr>
          <w:p w:rsidR="00335E4B" w:rsidRPr="00335E4B" w:rsidRDefault="00335E4B" w:rsidP="00335E4B">
            <w:pPr>
              <w:keepNext/>
              <w:keepLines/>
              <w:spacing w:after="40" w:line="320" w:lineRule="exact"/>
              <w:jc w:val="both"/>
              <w:rPr>
                <w:rFonts w:eastAsia="SimSun" w:cs="Traditional Arabic"/>
                <w:sz w:val="18"/>
                <w:szCs w:val="26"/>
                <w:lang w:bidi="ar-EG"/>
              </w:rPr>
            </w:pPr>
            <w:r w:rsidRPr="00335E4B">
              <w:rPr>
                <w:rFonts w:eastAsia="SimSun" w:cs="Traditional Arabic" w:hint="cs"/>
                <w:sz w:val="18"/>
                <w:szCs w:val="26"/>
                <w:rtl/>
                <w:lang w:bidi="ar-EG"/>
              </w:rPr>
              <w:t>000 790</w:t>
            </w:r>
          </w:p>
        </w:tc>
      </w:tr>
      <w:tr w:rsidR="00335E4B" w:rsidRPr="00335E4B" w:rsidTr="008318BD">
        <w:tc>
          <w:tcPr>
            <w:tcW w:w="3827" w:type="dxa"/>
            <w:tcBorders>
              <w:bottom w:val="single" w:sz="4" w:space="0" w:color="auto"/>
            </w:tcBorders>
            <w:shd w:val="clear" w:color="auto" w:fill="auto"/>
          </w:tcPr>
          <w:p w:rsidR="00335E4B" w:rsidRPr="00335E4B" w:rsidRDefault="00335E4B" w:rsidP="00335E4B">
            <w:pPr>
              <w:keepNext/>
              <w:keepLines/>
              <w:spacing w:after="40" w:line="320" w:lineRule="exact"/>
              <w:jc w:val="both"/>
              <w:rPr>
                <w:rFonts w:eastAsia="SimSun" w:cs="Traditional Arabic"/>
                <w:sz w:val="18"/>
                <w:szCs w:val="26"/>
              </w:rPr>
            </w:pPr>
            <w:r w:rsidRPr="00335E4B">
              <w:rPr>
                <w:rFonts w:eastAsia="SimSun" w:cs="Traditional Arabic" w:hint="cs"/>
                <w:sz w:val="18"/>
                <w:szCs w:val="26"/>
                <w:rtl/>
              </w:rPr>
              <w:t>تكلفة الكربون المنشط، بالدولار</w:t>
            </w:r>
          </w:p>
        </w:tc>
        <w:tc>
          <w:tcPr>
            <w:tcW w:w="2077" w:type="dxa"/>
            <w:tcBorders>
              <w:bottom w:val="single" w:sz="4" w:space="0" w:color="auto"/>
            </w:tcBorders>
            <w:shd w:val="clear" w:color="auto" w:fill="auto"/>
          </w:tcPr>
          <w:p w:rsidR="00335E4B" w:rsidRPr="00335E4B" w:rsidRDefault="00335E4B" w:rsidP="00335E4B">
            <w:pPr>
              <w:keepNext/>
              <w:keepLines/>
              <w:spacing w:after="40" w:line="320" w:lineRule="exact"/>
              <w:jc w:val="both"/>
              <w:rPr>
                <w:rFonts w:eastAsia="SimSun" w:cs="Traditional Arabic"/>
                <w:sz w:val="18"/>
                <w:szCs w:val="26"/>
              </w:rPr>
            </w:pPr>
            <w:r w:rsidRPr="00335E4B">
              <w:rPr>
                <w:rFonts w:eastAsia="SimSun" w:cs="Traditional Arabic" w:hint="cs"/>
                <w:sz w:val="18"/>
                <w:szCs w:val="26"/>
                <w:rtl/>
              </w:rPr>
              <w:t>000 562 2</w:t>
            </w:r>
          </w:p>
        </w:tc>
        <w:tc>
          <w:tcPr>
            <w:tcW w:w="3006" w:type="dxa"/>
            <w:tcBorders>
              <w:bottom w:val="single" w:sz="4" w:space="0" w:color="auto"/>
            </w:tcBorders>
            <w:shd w:val="clear" w:color="auto" w:fill="auto"/>
          </w:tcPr>
          <w:p w:rsidR="00335E4B" w:rsidRPr="00335E4B" w:rsidRDefault="00335E4B" w:rsidP="00335E4B">
            <w:pPr>
              <w:keepNext/>
              <w:keepLines/>
              <w:spacing w:after="40" w:line="320" w:lineRule="exact"/>
              <w:jc w:val="both"/>
              <w:rPr>
                <w:rFonts w:eastAsia="SimSun" w:cs="Traditional Arabic"/>
                <w:sz w:val="18"/>
                <w:szCs w:val="26"/>
              </w:rPr>
            </w:pPr>
            <w:r w:rsidRPr="00335E4B">
              <w:rPr>
                <w:rFonts w:eastAsia="SimSun" w:cs="Traditional Arabic" w:hint="cs"/>
                <w:sz w:val="18"/>
                <w:szCs w:val="26"/>
                <w:rtl/>
              </w:rPr>
              <w:t>000 796</w:t>
            </w:r>
          </w:p>
        </w:tc>
      </w:tr>
    </w:tbl>
    <w:p w:rsidR="00335E4B" w:rsidRPr="00335E4B" w:rsidRDefault="00335E4B" w:rsidP="00335E4B">
      <w:pPr>
        <w:tabs>
          <w:tab w:val="left" w:pos="663"/>
          <w:tab w:val="left" w:pos="1117"/>
          <w:tab w:val="left" w:pos="2230"/>
          <w:tab w:val="center" w:pos="5468"/>
        </w:tabs>
        <w:spacing w:before="120" w:after="120" w:line="360" w:lineRule="exact"/>
        <w:jc w:val="both"/>
        <w:rPr>
          <w:rFonts w:cs="Traditional Arabic"/>
          <w:sz w:val="20"/>
          <w:szCs w:val="30"/>
          <w:rtl/>
          <w:lang w:bidi="ar-EG"/>
        </w:rPr>
      </w:pPr>
      <w:r w:rsidRPr="00335E4B">
        <w:rPr>
          <w:rFonts w:cs="Traditional Arabic" w:hint="cs"/>
          <w:sz w:val="20"/>
          <w:szCs w:val="30"/>
          <w:rtl/>
          <w:lang w:bidi="ar-EG"/>
        </w:rPr>
        <w:t xml:space="preserve">وتتوقف تكاليف المادة الماصة على خصائص الفحم ونوع نُظم ضبط تلوث الهواء الموجودة في المنشأة ومستوى التقاط الزئبق المطلوب. وأورد جونز وآخرون (2007) تكاليف الكربون من مختلف جهات التوريد وهي تتراوح من 0,37 </w:t>
      </w:r>
      <w:r w:rsidRPr="00335E4B">
        <w:rPr>
          <w:rFonts w:cs="Traditional Arabic" w:hint="cs"/>
          <w:sz w:val="30"/>
          <w:szCs w:val="30"/>
          <w:rtl/>
          <w:lang w:bidi="ar-EG"/>
        </w:rPr>
        <w:t>دولار</w:t>
      </w:r>
      <w:r w:rsidRPr="00335E4B">
        <w:rPr>
          <w:rFonts w:cs="Traditional Arabic" w:hint="cs"/>
          <w:sz w:val="20"/>
          <w:szCs w:val="30"/>
          <w:rtl/>
          <w:lang w:bidi="ar-EG"/>
        </w:rPr>
        <w:t xml:space="preserve">/كغ إلى 2,11 </w:t>
      </w:r>
      <w:r w:rsidRPr="00335E4B">
        <w:rPr>
          <w:rFonts w:cs="Traditional Arabic" w:hint="cs"/>
          <w:sz w:val="30"/>
          <w:szCs w:val="30"/>
          <w:rtl/>
          <w:lang w:bidi="ar-EG"/>
        </w:rPr>
        <w:t>دولار</w:t>
      </w:r>
      <w:r w:rsidRPr="00335E4B">
        <w:rPr>
          <w:rFonts w:cs="Traditional Arabic" w:hint="cs"/>
          <w:sz w:val="24"/>
          <w:szCs w:val="24"/>
          <w:rtl/>
          <w:lang w:bidi="ar-EG"/>
        </w:rPr>
        <w:t>/</w:t>
      </w:r>
      <w:r w:rsidRPr="00335E4B">
        <w:rPr>
          <w:rFonts w:cs="Traditional Arabic" w:hint="cs"/>
          <w:sz w:val="20"/>
          <w:szCs w:val="30"/>
          <w:rtl/>
          <w:lang w:bidi="ar-EG"/>
        </w:rPr>
        <w:t>كغ.</w:t>
      </w:r>
    </w:p>
    <w:p w:rsidR="00335E4B" w:rsidRPr="00335E4B" w:rsidRDefault="00335E4B" w:rsidP="00FC21D4">
      <w:pPr>
        <w:tabs>
          <w:tab w:val="left" w:pos="663"/>
          <w:tab w:val="left" w:pos="1117"/>
          <w:tab w:val="left" w:pos="2230"/>
          <w:tab w:val="center" w:pos="5468"/>
        </w:tabs>
        <w:spacing w:after="120" w:line="360" w:lineRule="exact"/>
        <w:jc w:val="both"/>
        <w:rPr>
          <w:rFonts w:cs="Traditional Arabic"/>
          <w:sz w:val="20"/>
          <w:szCs w:val="30"/>
          <w:rtl/>
          <w:lang w:bidi="ar-EG"/>
        </w:rPr>
      </w:pPr>
      <w:r w:rsidRPr="00335E4B">
        <w:rPr>
          <w:rFonts w:cs="Traditional Arabic" w:hint="cs"/>
          <w:sz w:val="20"/>
          <w:szCs w:val="30"/>
          <w:rtl/>
          <w:lang w:bidi="ar-EG"/>
        </w:rPr>
        <w:t>ويؤثر نوع الفحم المنشَّط على كل من معدل الحقن وتكلفة التشغيل. ويمكن أن يصل سعر وحدة الكربون المنشط المبروَم إلى 30 في المائة أعلى من الكربون المنشط غير المعالج. ولكن أداء الكربون المنشط المبروَم يمكن أن يكون أفضل كثيراً من أداء الكربون المنشط غير المعالج في بعض أنواع الفحم (شانغ وآخرون، 200</w:t>
      </w:r>
      <w:r w:rsidR="00FC21D4">
        <w:rPr>
          <w:rFonts w:cs="Traditional Arabic" w:hint="cs"/>
          <w:sz w:val="20"/>
          <w:szCs w:val="30"/>
          <w:rtl/>
          <w:lang w:bidi="ar-EG"/>
        </w:rPr>
        <w:t>8</w:t>
      </w:r>
      <w:r w:rsidRPr="00335E4B">
        <w:rPr>
          <w:rFonts w:cs="Traditional Arabic" w:hint="cs"/>
          <w:sz w:val="20"/>
          <w:szCs w:val="30"/>
          <w:rtl/>
          <w:lang w:bidi="ar-EG"/>
        </w:rPr>
        <w:t>).</w:t>
      </w:r>
    </w:p>
    <w:p w:rsidR="00335E4B" w:rsidRPr="00335E4B" w:rsidRDefault="00335E4B" w:rsidP="00B52B28">
      <w:pPr>
        <w:keepNext/>
        <w:tabs>
          <w:tab w:val="left" w:pos="849"/>
        </w:tabs>
        <w:spacing w:before="120" w:after="120" w:line="400" w:lineRule="exact"/>
        <w:ind w:left="565" w:hanging="565"/>
        <w:jc w:val="both"/>
        <w:outlineLvl w:val="1"/>
        <w:rPr>
          <w:rFonts w:cs="Traditional Arabic"/>
          <w:b/>
          <w:bCs/>
          <w:sz w:val="32"/>
          <w:szCs w:val="32"/>
          <w:rtl/>
          <w:lang w:bidi="ar-EG"/>
        </w:rPr>
      </w:pPr>
      <w:bookmarkStart w:id="923" w:name="_Toc440456859"/>
      <w:bookmarkStart w:id="924" w:name="_Toc440526933"/>
      <w:bookmarkStart w:id="925" w:name="_Toc440527794"/>
      <w:bookmarkStart w:id="926" w:name="_Toc440550494"/>
      <w:bookmarkStart w:id="927" w:name="_Toc441577753"/>
      <w:bookmarkStart w:id="928" w:name="_Toc441577932"/>
      <w:bookmarkStart w:id="929" w:name="_Toc441579158"/>
      <w:bookmarkStart w:id="930" w:name="_Toc441580766"/>
      <w:bookmarkStart w:id="931" w:name="_Toc441585897"/>
      <w:bookmarkStart w:id="932" w:name="_Toc441586233"/>
      <w:bookmarkStart w:id="933" w:name="_Toc441586683"/>
      <w:bookmarkStart w:id="934" w:name="_Toc441586862"/>
      <w:bookmarkStart w:id="935" w:name="_Toc441666711"/>
      <w:bookmarkStart w:id="936" w:name="_Toc441673772"/>
      <w:r w:rsidRPr="00335E4B">
        <w:rPr>
          <w:rFonts w:cs="Traditional Arabic" w:hint="cs"/>
          <w:b/>
          <w:bCs/>
          <w:sz w:val="32"/>
          <w:szCs w:val="32"/>
          <w:rtl/>
          <w:lang w:bidi="ar-EG"/>
        </w:rPr>
        <w:t>أفضل التقنيات المتاحة وأفضل الممارسات البيئية لحرق الفحم</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يرد في الفصل التمهيدي لهذه الوثيقة التوجيهية، وصف المبادئ العامة لاختيار أفضل التقنيات المتاحة لفئات المصادر الثابتة المدرجة في المرفق دال. ونركز هنا على اختيار وسائل ضبط الزئبق في قطاع حرق الفحم.</w:t>
      </w:r>
    </w:p>
    <w:p w:rsidR="00335E4B" w:rsidRPr="00335E4B" w:rsidRDefault="00335E4B" w:rsidP="00B52B28">
      <w:pPr>
        <w:keepNext/>
        <w:spacing w:before="120" w:after="120" w:line="400" w:lineRule="exact"/>
        <w:ind w:left="707" w:hanging="709"/>
        <w:jc w:val="both"/>
        <w:outlineLvl w:val="0"/>
        <w:rPr>
          <w:rFonts w:cs="Traditional Arabic"/>
          <w:b/>
          <w:bCs/>
          <w:sz w:val="30"/>
          <w:szCs w:val="30"/>
          <w:rtl/>
        </w:rPr>
      </w:pPr>
      <w:bookmarkStart w:id="937" w:name="_Toc440456860"/>
      <w:bookmarkStart w:id="938" w:name="_Toc440526934"/>
      <w:bookmarkStart w:id="939" w:name="_Toc440527795"/>
      <w:bookmarkStart w:id="940" w:name="_Toc440550495"/>
      <w:bookmarkStart w:id="941" w:name="_Toc441577754"/>
      <w:bookmarkStart w:id="942" w:name="_Toc441577933"/>
      <w:bookmarkStart w:id="943" w:name="_Toc441579159"/>
      <w:bookmarkStart w:id="944" w:name="_Toc441580767"/>
      <w:bookmarkStart w:id="945" w:name="_Toc441585898"/>
      <w:bookmarkStart w:id="946" w:name="_Toc441586234"/>
      <w:bookmarkStart w:id="947" w:name="_Toc441586684"/>
      <w:bookmarkStart w:id="948" w:name="_Toc441586863"/>
      <w:bookmarkStart w:id="949" w:name="_Toc441666712"/>
      <w:bookmarkStart w:id="950" w:name="_Toc441673773"/>
      <w:r w:rsidRPr="00335E4B">
        <w:rPr>
          <w:rFonts w:cs="Traditional Arabic" w:hint="cs"/>
          <w:b/>
          <w:bCs/>
          <w:sz w:val="30"/>
          <w:szCs w:val="30"/>
          <w:rtl/>
        </w:rPr>
        <w:t>أفضل التقنيات المتاحة</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توجد أربعة أنواع من تدابير ضبط انبعاثات الزئبق في الجو من منشآت الطاقة والمراجل الصناعية العاملة بحرق الفحم.</w:t>
      </w:r>
    </w:p>
    <w:p w:rsidR="00335E4B" w:rsidRPr="00335E4B" w:rsidRDefault="00335E4B" w:rsidP="00B15C0D">
      <w:pPr>
        <w:keepNext/>
        <w:spacing w:before="120" w:after="120" w:line="400" w:lineRule="exact"/>
        <w:ind w:left="990" w:hanging="992"/>
        <w:jc w:val="both"/>
        <w:outlineLvl w:val="0"/>
        <w:rPr>
          <w:rFonts w:cs="Traditional Arabic"/>
          <w:b/>
          <w:bCs/>
          <w:sz w:val="30"/>
          <w:szCs w:val="30"/>
          <w:rtl/>
        </w:rPr>
      </w:pPr>
      <w:bookmarkStart w:id="951" w:name="_Toc440456861"/>
      <w:bookmarkStart w:id="952" w:name="_Toc440526935"/>
      <w:bookmarkStart w:id="953" w:name="_Toc440527796"/>
      <w:bookmarkStart w:id="954" w:name="_Toc440550496"/>
      <w:bookmarkStart w:id="955" w:name="_Toc441577755"/>
      <w:bookmarkStart w:id="956" w:name="_Toc441577934"/>
      <w:bookmarkStart w:id="957" w:name="_Toc441579160"/>
      <w:bookmarkStart w:id="958" w:name="_Toc441580768"/>
      <w:bookmarkStart w:id="959" w:name="_Toc441585899"/>
      <w:bookmarkStart w:id="960" w:name="_Toc441586235"/>
      <w:bookmarkStart w:id="961" w:name="_Toc441586685"/>
      <w:bookmarkStart w:id="962" w:name="_Toc441586864"/>
      <w:bookmarkStart w:id="963" w:name="_Toc441666713"/>
      <w:bookmarkStart w:id="964" w:name="_Toc441673774"/>
      <w:r w:rsidRPr="00335E4B">
        <w:rPr>
          <w:rFonts w:cs="Traditional Arabic" w:hint="cs"/>
          <w:b/>
          <w:bCs/>
          <w:sz w:val="30"/>
          <w:szCs w:val="30"/>
          <w:rtl/>
        </w:rPr>
        <w:t>التدابير الأوَّلية لتقليل محتوى الزئبق في الفحم</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ينطوي النوع الأول على إزالة الزئبق قبل الحرق. ويمثل غسل الفحم أو اختياره أو خلطه تكنولوجيات فعالة لتحسين كفاءة استعمال الفحم وتقليل انبعاثات ملوثات الهواء. ولكن مدى تطبيق غسل الفحم في منشآت الطاقة العاملة بحرق الفحم والمراجل الصناعية العاملة بحرق الفحم كان منخفضاً إلى حد بعيد، وظلت نسبة غسل الفحم تنمو ببطء لأن غسل الفحم بحد ذاته لا يشكِّل إحدى أفضل الممارسات المتاحة. ومع ذلك، فإن الجمع بين غسل الفحم وتدابير الضبط الأخرى الموصوفة أداناه يمكن أن يوفِّر تخفيضاً معقولاً في انبعاثات الزئبق.</w:t>
      </w:r>
    </w:p>
    <w:p w:rsidR="00335E4B" w:rsidRPr="00335E4B" w:rsidRDefault="00335E4B" w:rsidP="00335E4B">
      <w:pPr>
        <w:keepNext/>
        <w:spacing w:before="120" w:after="120" w:line="400" w:lineRule="exact"/>
        <w:ind w:left="990" w:hanging="992"/>
        <w:jc w:val="both"/>
        <w:outlineLvl w:val="0"/>
        <w:rPr>
          <w:rFonts w:cs="Traditional Arabic"/>
          <w:b/>
          <w:bCs/>
          <w:sz w:val="30"/>
          <w:szCs w:val="30"/>
          <w:rtl/>
        </w:rPr>
      </w:pPr>
      <w:bookmarkStart w:id="965" w:name="_Toc440456862"/>
      <w:bookmarkStart w:id="966" w:name="_Toc440526936"/>
      <w:bookmarkStart w:id="967" w:name="_Toc440527797"/>
      <w:bookmarkStart w:id="968" w:name="_Toc440550497"/>
      <w:bookmarkStart w:id="969" w:name="_Toc441577756"/>
      <w:bookmarkStart w:id="970" w:name="_Toc441577935"/>
      <w:bookmarkStart w:id="971" w:name="_Toc441579161"/>
      <w:bookmarkStart w:id="972" w:name="_Toc441580769"/>
      <w:bookmarkStart w:id="973" w:name="_Toc441585900"/>
      <w:bookmarkStart w:id="974" w:name="_Toc441586236"/>
      <w:bookmarkStart w:id="975" w:name="_Toc441586686"/>
      <w:bookmarkStart w:id="976" w:name="_Toc441586865"/>
      <w:bookmarkStart w:id="977" w:name="_Toc441666714"/>
      <w:bookmarkStart w:id="978" w:name="_Toc441673775"/>
      <w:r w:rsidRPr="00335E4B">
        <w:rPr>
          <w:rFonts w:cs="Traditional Arabic" w:hint="cs"/>
          <w:b/>
          <w:bCs/>
          <w:sz w:val="30"/>
          <w:szCs w:val="30"/>
          <w:rtl/>
        </w:rPr>
        <w:t>تدابير تقليل انبعاثات الزئبق أثناء الاحتراق</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rsidR="00335E4B" w:rsidRPr="00335E4B" w:rsidRDefault="00335E4B" w:rsidP="00852BC4">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ينطوي النوع الثاني من تدابير الضبط على إزالة الزئبق أثناء الاحتراق. واستخدام مرجل القاعدة المميَّعة يؤدي دوراً هاماً في إزالة الزئبق في المراحل التالية. ومن المهم بصفة خاصة النسب المئوية المرتفعة لزئبق الجسيمات في غاز المدخنة من الطبقة المميَّعة مقارنة بحرق الفحم المسحوق. ويؤدي ارتفاع الزئبق الموجود في شكل جسيمات إلى ارتفاع كفاءة إزالة الزئبق في المرشحات النسيجية أو المرسبات الكهروستاتيكية في المراحل التالية. ولكن ينبغي أن يلاحظ أن استعمال مرجل القاعدة المميَّعة لا</w:t>
      </w:r>
      <w:r w:rsidR="00852BC4">
        <w:rPr>
          <w:rFonts w:cs="Traditional Arabic" w:hint="eastAsia"/>
          <w:sz w:val="20"/>
          <w:szCs w:val="30"/>
          <w:rtl/>
          <w:lang w:bidi="ar-EG"/>
        </w:rPr>
        <w:t> </w:t>
      </w:r>
      <w:r w:rsidRPr="00335E4B">
        <w:rPr>
          <w:rFonts w:cs="Traditional Arabic" w:hint="cs"/>
          <w:sz w:val="20"/>
          <w:szCs w:val="30"/>
          <w:rtl/>
          <w:lang w:bidi="ar-EG"/>
        </w:rPr>
        <w:t>يشكل بحد ذاته إحدى أفضل التقنيات المتاحة.</w:t>
      </w:r>
    </w:p>
    <w:p w:rsidR="00335E4B" w:rsidRPr="00335E4B" w:rsidRDefault="00335E4B" w:rsidP="00335E4B">
      <w:pPr>
        <w:keepNext/>
        <w:spacing w:before="120" w:after="120" w:line="400" w:lineRule="exact"/>
        <w:ind w:left="990" w:hanging="992"/>
        <w:jc w:val="both"/>
        <w:outlineLvl w:val="0"/>
        <w:rPr>
          <w:rFonts w:cs="Traditional Arabic"/>
          <w:b/>
          <w:bCs/>
          <w:sz w:val="30"/>
          <w:szCs w:val="30"/>
          <w:rtl/>
        </w:rPr>
      </w:pPr>
      <w:bookmarkStart w:id="979" w:name="_Toc440456863"/>
      <w:bookmarkStart w:id="980" w:name="_Toc440526937"/>
      <w:bookmarkStart w:id="981" w:name="_Toc440527798"/>
      <w:bookmarkStart w:id="982" w:name="_Toc440550498"/>
      <w:bookmarkStart w:id="983" w:name="_Toc441577757"/>
      <w:bookmarkStart w:id="984" w:name="_Toc441577936"/>
      <w:bookmarkStart w:id="985" w:name="_Toc441579162"/>
      <w:bookmarkStart w:id="986" w:name="_Toc441580770"/>
      <w:bookmarkStart w:id="987" w:name="_Toc441585901"/>
      <w:bookmarkStart w:id="988" w:name="_Toc441586237"/>
      <w:bookmarkStart w:id="989" w:name="_Toc441586687"/>
      <w:bookmarkStart w:id="990" w:name="_Toc441586866"/>
      <w:bookmarkStart w:id="991" w:name="_Toc441666715"/>
      <w:bookmarkStart w:id="992" w:name="_Toc441673776"/>
      <w:r w:rsidRPr="00335E4B">
        <w:rPr>
          <w:rFonts w:cs="Traditional Arabic" w:hint="cs"/>
          <w:b/>
          <w:bCs/>
          <w:sz w:val="30"/>
          <w:szCs w:val="30"/>
          <w:rtl/>
        </w:rPr>
        <w:t>إزالة الزئبق بواسطة المنافع المشتركة لنُظم ضبط تلوث الهواء التقليدية</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النوع الثالث من تدابير إزالة الزئبق ينطوي على استعمال نُظم ضبط تلوث الهواء، والتي تستعمل أساساً لإزالة الجسيمات (المرسبات الكهروستاتيكية أو المرشحات النسيجية أو الجمع بينهما) وثاني أكسيد الكبريت (التنظيف الجاف أو الرطب لإزالة الكبريت من غاز المدخنة) وأكاسيد النيتروجين (الاختزال الحفزي الانتقائي)، ولكنها يمكن أن تؤدي إلى تخفيضات كبيرة لانبعاثات الزئبق على سبيل المنافع المشتركة. وفي بعض البلدان، تكون إزالة الزئبق في إطار المنافع المشتركة هي التدبير الأول الذي يتم النظر فيه من أجل تخفيض انبعاثات الزئبق من منشآت الطاقة والمراجل الصناعة العاملة بحرق الفحم.</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ويوضح القسم 3-2 أعلاه مستويات الانبعاثات وكفاءة الإزالة التي تتحقق من خلال تطبيق نُظم ضبط تلوث الهواء. ويثبت ذلك أن الجمع بين الاختزال الحفزي الانتقائي والمرسبات الكهروستاتيكية وتنظيف الكبريت من غاز المدخنة، والتي تستعمل على نطاق واسع في منشآت الطاقة العاملة بحرق الفحم في أوروبا والولايات المتحدة والصين واليابان، يمكن أن تحقق كفاءة في إزالة الفحم تصل إلى 95 في المائة وتصل بالزئبق إلى تركيز يقل عن 1 ميكروغرام/متر مكعب عادي في غاز المدخنة من المنشآت التي تحرق فحم اللغنيت.</w:t>
      </w:r>
    </w:p>
    <w:p w:rsidR="00335E4B" w:rsidRPr="00335E4B" w:rsidRDefault="00335E4B" w:rsidP="00335E4B">
      <w:pPr>
        <w:keepNext/>
        <w:spacing w:before="120" w:after="120" w:line="400" w:lineRule="exact"/>
        <w:ind w:left="990" w:hanging="992"/>
        <w:jc w:val="both"/>
        <w:outlineLvl w:val="0"/>
        <w:rPr>
          <w:rFonts w:cs="Traditional Arabic"/>
          <w:b/>
          <w:bCs/>
          <w:sz w:val="30"/>
          <w:szCs w:val="30"/>
          <w:rtl/>
        </w:rPr>
      </w:pPr>
      <w:bookmarkStart w:id="993" w:name="_Toc440456864"/>
      <w:bookmarkStart w:id="994" w:name="_Toc440526938"/>
      <w:bookmarkStart w:id="995" w:name="_Toc440527799"/>
      <w:bookmarkStart w:id="996" w:name="_Toc440550499"/>
      <w:bookmarkStart w:id="997" w:name="_Toc441577758"/>
      <w:bookmarkStart w:id="998" w:name="_Toc441577937"/>
      <w:bookmarkStart w:id="999" w:name="_Toc441579163"/>
      <w:bookmarkStart w:id="1000" w:name="_Toc441580771"/>
      <w:bookmarkStart w:id="1001" w:name="_Toc441585902"/>
      <w:bookmarkStart w:id="1002" w:name="_Toc441586238"/>
      <w:bookmarkStart w:id="1003" w:name="_Toc441586688"/>
      <w:bookmarkStart w:id="1004" w:name="_Toc441586867"/>
      <w:bookmarkStart w:id="1005" w:name="_Toc441666716"/>
      <w:bookmarkStart w:id="1006" w:name="_Toc441673777"/>
      <w:r w:rsidRPr="00335E4B">
        <w:rPr>
          <w:rFonts w:cs="Traditional Arabic" w:hint="cs"/>
          <w:b/>
          <w:bCs/>
          <w:sz w:val="30"/>
          <w:szCs w:val="30"/>
          <w:rtl/>
        </w:rPr>
        <w:t>التكنولوجيات المخصصة لضبط الزئبق</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 xml:space="preserve">ينطوي النوع الرابع من تدابير الضبط على تكنولوجيات مخصصة لتخفيض انبعاثات الزئبق في الغلاف الجوي، بما في ذلك تكنولوجيا حقن الكربون المنشط أو استعمال المواد المضافة. وفي الوقت الحاضر، يتم تسويق تكنولوجيا حقن الكربون المنشَّط تجارياً واعتمادها على نطاق واسع في منشآت الطاقة العاملة بحرق الفحم في الولايات المتحدة، حيث امتثلت هذه التكنولوجيات بنجاح للقيم الحدية التنظيمية للانبعاثات التي تُمثل 85-95 في المائة من الضبط على مدى يزيد عن خمس سنوات (إدارة حماية البيئة في ولاية ماساتشوسيتس، 2015). وتوضح عمليات تكنولوجيا حقن الكربون المنشط المستخدمة في الولايات المتحدة أن تركيز الزئبق في غاز المدخنة بعد حقن الكربون المنشط والمرشحات النسيجية قد تنخفض لتكون أقل من 1 ميكروغرام/متر مكعب عادي. </w:t>
      </w:r>
    </w:p>
    <w:p w:rsidR="00335E4B" w:rsidRPr="00335E4B" w:rsidRDefault="00335E4B" w:rsidP="00335E4B">
      <w:pPr>
        <w:keepNext/>
        <w:spacing w:before="120" w:after="120" w:line="400" w:lineRule="exact"/>
        <w:ind w:left="707" w:hanging="709"/>
        <w:jc w:val="both"/>
        <w:outlineLvl w:val="0"/>
        <w:rPr>
          <w:rFonts w:cs="Traditional Arabic"/>
          <w:b/>
          <w:bCs/>
          <w:sz w:val="30"/>
          <w:szCs w:val="30"/>
          <w:rtl/>
        </w:rPr>
      </w:pPr>
      <w:bookmarkStart w:id="1007" w:name="_Toc440456865"/>
      <w:bookmarkStart w:id="1008" w:name="_Toc440526939"/>
      <w:bookmarkStart w:id="1009" w:name="_Toc440527800"/>
      <w:bookmarkStart w:id="1010" w:name="_Toc440550500"/>
      <w:bookmarkStart w:id="1011" w:name="_Toc441577759"/>
      <w:bookmarkStart w:id="1012" w:name="_Toc441577938"/>
      <w:bookmarkStart w:id="1013" w:name="_Toc441579164"/>
      <w:bookmarkStart w:id="1014" w:name="_Toc441580772"/>
      <w:bookmarkStart w:id="1015" w:name="_Toc441585903"/>
      <w:bookmarkStart w:id="1016" w:name="_Toc441586239"/>
      <w:bookmarkStart w:id="1017" w:name="_Toc441586689"/>
      <w:bookmarkStart w:id="1018" w:name="_Toc441586868"/>
      <w:bookmarkStart w:id="1019" w:name="_Toc441666717"/>
      <w:bookmarkStart w:id="1020" w:name="_Toc441673778"/>
      <w:r w:rsidRPr="00335E4B">
        <w:rPr>
          <w:rFonts w:cs="Traditional Arabic" w:hint="cs"/>
          <w:b/>
          <w:bCs/>
          <w:sz w:val="30"/>
          <w:szCs w:val="30"/>
          <w:rtl/>
        </w:rPr>
        <w:t>أفضل الممارسات البيئية</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إن استراتيجيات إدارة ضبط التلوث الفعالة والمرافق ذات الصيانة الجيدة والمشغِّلون المدربون تدريباً جيداً واستمرار الاهتمام بالعمليات جميعها عوامل هامة في الضبط والتخفيض، حيثما أمكن، لانبعاثات الزئبق أو مركبات الزئبق الناجمة عن حرق الفحم. ولهذا فإن هذه الممارسات، المنطبقة على المصادر القائمة والجديدة، تعتبر من أفضل الممارسات البيئية وينبغي القيام بها بطريقة تتسق مع تطبيق أفضل التقنيات المتاحة.</w:t>
      </w:r>
    </w:p>
    <w:p w:rsidR="00335E4B" w:rsidRPr="00335E4B" w:rsidRDefault="00335E4B" w:rsidP="00335E4B">
      <w:pPr>
        <w:keepNext/>
        <w:spacing w:before="120" w:after="120" w:line="400" w:lineRule="exact"/>
        <w:ind w:left="990" w:hanging="992"/>
        <w:jc w:val="both"/>
        <w:outlineLvl w:val="0"/>
        <w:rPr>
          <w:rFonts w:cs="Traditional Arabic"/>
          <w:b/>
          <w:bCs/>
          <w:sz w:val="30"/>
          <w:szCs w:val="30"/>
          <w:rtl/>
        </w:rPr>
      </w:pPr>
      <w:bookmarkStart w:id="1021" w:name="_Toc440456866"/>
      <w:bookmarkStart w:id="1022" w:name="_Toc440526940"/>
      <w:bookmarkStart w:id="1023" w:name="_Toc440527801"/>
      <w:bookmarkStart w:id="1024" w:name="_Toc440550501"/>
      <w:bookmarkStart w:id="1025" w:name="_Toc441577760"/>
      <w:bookmarkStart w:id="1026" w:name="_Toc441577939"/>
      <w:bookmarkStart w:id="1027" w:name="_Toc441579165"/>
      <w:bookmarkStart w:id="1028" w:name="_Toc441580773"/>
      <w:bookmarkStart w:id="1029" w:name="_Toc441585904"/>
      <w:bookmarkStart w:id="1030" w:name="_Toc441586240"/>
      <w:bookmarkStart w:id="1031" w:name="_Toc441586690"/>
      <w:bookmarkStart w:id="1032" w:name="_Toc441586869"/>
      <w:bookmarkStart w:id="1033" w:name="_Toc441666718"/>
      <w:bookmarkStart w:id="1034" w:name="_Toc441673779"/>
      <w:r w:rsidRPr="00335E4B">
        <w:rPr>
          <w:rFonts w:cs="Traditional Arabic" w:hint="cs"/>
          <w:b/>
          <w:bCs/>
          <w:sz w:val="30"/>
          <w:szCs w:val="30"/>
          <w:rtl/>
        </w:rPr>
        <w:t>مُعامِلات العمليات الرئيسية</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الخطوة الأولى في تحديد أفضل الممارسات البيئية لعملية حرق الفحم هي تعيين معاملات العمليات الرئيسية (بما في ذلك ضبط مدخلات الزئبق في الفحم والرصد المتصل بذلك)، سواء من عمليات التحري الخاصة بكل موقع أو من الاختبارات التي تجري في مرافق مشابهة في أماكن أخرى. واستناداً إلى عمليات التحري والاختبار، ينبغي إدخال التدابير التي تمكِّن من ضبط مُعامِلات العمليات الرئيسية في نظام الإدارة.</w:t>
      </w:r>
    </w:p>
    <w:p w:rsidR="00335E4B" w:rsidRPr="00335E4B" w:rsidRDefault="00335E4B" w:rsidP="00335E4B">
      <w:pPr>
        <w:keepNext/>
        <w:spacing w:before="120" w:after="120" w:line="400" w:lineRule="exact"/>
        <w:ind w:left="990" w:hanging="992"/>
        <w:jc w:val="both"/>
        <w:outlineLvl w:val="0"/>
        <w:rPr>
          <w:rFonts w:cs="Traditional Arabic"/>
          <w:b/>
          <w:bCs/>
          <w:sz w:val="30"/>
          <w:szCs w:val="30"/>
          <w:rtl/>
        </w:rPr>
      </w:pPr>
      <w:bookmarkStart w:id="1035" w:name="_Toc440456867"/>
      <w:bookmarkStart w:id="1036" w:name="_Toc440526941"/>
      <w:bookmarkStart w:id="1037" w:name="_Toc440527802"/>
      <w:bookmarkStart w:id="1038" w:name="_Toc440550502"/>
      <w:bookmarkStart w:id="1039" w:name="_Toc441577761"/>
      <w:bookmarkStart w:id="1040" w:name="_Toc441577940"/>
      <w:bookmarkStart w:id="1041" w:name="_Toc441579166"/>
      <w:bookmarkStart w:id="1042" w:name="_Toc441580774"/>
      <w:bookmarkStart w:id="1043" w:name="_Toc441585905"/>
      <w:bookmarkStart w:id="1044" w:name="_Toc441586241"/>
      <w:bookmarkStart w:id="1045" w:name="_Toc441586691"/>
      <w:bookmarkStart w:id="1046" w:name="_Toc441586870"/>
      <w:bookmarkStart w:id="1047" w:name="_Toc441666719"/>
      <w:bookmarkStart w:id="1048" w:name="_Toc441673780"/>
      <w:r w:rsidRPr="00335E4B">
        <w:rPr>
          <w:rFonts w:cs="Traditional Arabic" w:hint="cs"/>
          <w:b/>
          <w:bCs/>
          <w:sz w:val="30"/>
          <w:szCs w:val="30"/>
          <w:rtl/>
        </w:rPr>
        <w:t>اعتبارات كفاءة الطاقة في المنشأة بأكملها</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rsidR="00335E4B" w:rsidRPr="00335E4B" w:rsidRDefault="00335E4B" w:rsidP="00E371AF">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 xml:space="preserve">تعرَّف كفاءة الطاقة في منشأة تعمل بحرق الفحم بأنها النسبة بين ناتج المنشأة (أي الكهرباء الصافية والحرارة الصافية أو كلاهما) ومقدار طاقة المصدر (بالفحم) التي تزوَّد بها المنشأة في نفس الوقت. وتتباين كفاءة التوربين البخاري (التي تستند إلى قيمة أكثر انخفاضاً لتسخين الفحم) في منشأة جديدة تعمل بحرق الفحم المسحوق من 39 إلى 47 في المائة، حسب ظروف البخار (رابطة صناعة الكهرباء في أوروبا - </w:t>
      </w:r>
      <w:r w:rsidRPr="00335E4B">
        <w:rPr>
          <w:rFonts w:eastAsia="SimSun" w:cs="Traditional Arabic"/>
          <w:sz w:val="20"/>
          <w:szCs w:val="22"/>
        </w:rPr>
        <w:t>Eurelectric</w:t>
      </w:r>
      <w:r w:rsidRPr="00335E4B">
        <w:rPr>
          <w:rFonts w:cs="Traditional Arabic" w:hint="cs"/>
          <w:sz w:val="20"/>
          <w:szCs w:val="30"/>
          <w:rtl/>
          <w:lang w:bidi="ar-EG"/>
        </w:rPr>
        <w:t>، 2003). والمنشآت المقامة حديثاً والمصممة لظروف البخار دون الحرج تعمل في الطرف الأدنى، في حين أن المنشآت المصممة لظروف البخار فوق الحرج وفوق الحرج للغاية تعمل في الطرف الأعلى من نطاق الكفاءة المذكور. أما مراجل الاحتراق ذات القاعدة المميَّعة الدوارة فتعمل نمطياً بمعدل يزيد عن 40 في المائة من الكفاءة. وحتى وقت قريب في عام 2014 لم يصمم سوى حوالي النصف من جميع منشآت الطاقة الجديدة العاملة بحرق الفحم للتشغيل المرتفع الكفاءة بانبعاثات منخفضة (وكالة الطاقة الدولية، 2012).</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وتقل كفاءة المنشآت مع تقدمها في العمر بما يتطلب مزيداً من الفحم لتوليد نفس مقدار الناتج. وبالنسبة لأي منشأة طاقة أو مرجل صناعي يعمل بحرق الفحم، فإن مقدار انبعاثات الزئبق غير الخاضعة للضبط من المنشأة أو المرجل يتصل اتصالاً مباشراً بمقدار الفحم المحروق. ويعني ذلك أنه إذا أمكن تقليل كمية الفحم المحروق فسوف يتم أيضاً تخفيض إجمالي انبعاثات الزئبق من منشأة الطاقة أو المرجل الصناعي. وهذا التخفيض في مقدار الفحم المحروق يمكن تحقيقه بالتدابير المتخذة لتحسين كفاءة الطاقة في منشأة الطاقة أو المرجَل الصناعي القائم.</w:t>
      </w:r>
    </w:p>
    <w:p w:rsidR="00335E4B" w:rsidRPr="00335E4B" w:rsidRDefault="00335E4B" w:rsidP="00E371AF">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وكذلك فإن التصميم الذي يتسم بكفاءة الطاقة وصيانة المعدات وتحسين الكفاءة تتيح تخفيض جميع الملوثات المنبعثة من نفس مقدار الفحم المستعمل، بما في ذلك غازات الاحتباس الحراري مثل ثاني أكسيد الكربون، بالإضافة إلى تخفيض انبعاثات الزئبق. وإذا تم ترقية مستوى المنشأة لأسباب تجارية أو اقتصادية فإن ذلك سيؤدي إلى طاقة أكثر وانبعاثات أقل من نفس مقدار الفحم المستعمل (سلوس، 2009).</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ويمكن أن تشمل أمثلة تدابير تحسين كفاءة الطاقة في منشآت الطاقة العاملة بحرق الفحم أو في المراجل الصناعية، القياسات التفصيلية لتعيين الفاقد الحراري وإصلاح التسريبات في أنابيب غاز المدخنة وتحديث أجهزة تسخين الهواء وتركيب صفائح جديدة للتوربينات وإصلاح أو ترقية جهاز التكثيف ووضع تغليف جديد لبرج التبريد أو تحسين الكفاءة الكهربائية للمنشأة.</w:t>
      </w:r>
    </w:p>
    <w:p w:rsidR="00335E4B" w:rsidRPr="00335E4B" w:rsidRDefault="00335E4B" w:rsidP="008318BD">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ويتيسَّر الاحتراق عالي الكفاءة من خلال وضع نظام لرصد مُعامِلات التشغيل الرئيسية، مثل أول أكسيد الكربون، ومعدل التدفق الحجمي ودرجة الحرارة والمحتوى من الأكسجين. ويرتبط المستوى المنخفض من أول أكسيد الكربون بارتفاع كفاءة الاحتراق من حيث اكتمال احتراق فحم التغذية. وتتوقف كفاءة الاحتراق على عدة عوامل تشمل ظروف البخار ونوع الفحم والمناخ المحلي في الموقع وعمر المنشأة وقدرتها الإنتاجية وأسلوب تشغيلها (الهيئة الحكومية الدولية المعنية بتغيُّر المناخ، 2013).</w:t>
      </w:r>
    </w:p>
    <w:p w:rsidR="00335E4B" w:rsidRPr="00335E4B" w:rsidRDefault="00335E4B" w:rsidP="00335E4B">
      <w:pPr>
        <w:keepNext/>
        <w:spacing w:before="120" w:after="120" w:line="400" w:lineRule="exact"/>
        <w:ind w:left="990" w:hanging="992"/>
        <w:jc w:val="both"/>
        <w:outlineLvl w:val="0"/>
        <w:rPr>
          <w:rFonts w:cs="Traditional Arabic"/>
          <w:b/>
          <w:bCs/>
          <w:sz w:val="30"/>
          <w:szCs w:val="30"/>
          <w:rtl/>
        </w:rPr>
      </w:pPr>
      <w:bookmarkStart w:id="1049" w:name="_Toc440456868"/>
      <w:bookmarkStart w:id="1050" w:name="_Toc440526942"/>
      <w:bookmarkStart w:id="1051" w:name="_Toc440527803"/>
      <w:bookmarkStart w:id="1052" w:name="_Toc440550503"/>
      <w:bookmarkStart w:id="1053" w:name="_Toc441577762"/>
      <w:bookmarkStart w:id="1054" w:name="_Toc441577941"/>
      <w:bookmarkStart w:id="1055" w:name="_Toc441579167"/>
      <w:bookmarkStart w:id="1056" w:name="_Toc441580775"/>
      <w:bookmarkStart w:id="1057" w:name="_Toc441585906"/>
      <w:bookmarkStart w:id="1058" w:name="_Toc441586242"/>
      <w:bookmarkStart w:id="1059" w:name="_Toc441586692"/>
      <w:bookmarkStart w:id="1060" w:name="_Toc441586871"/>
      <w:bookmarkStart w:id="1061" w:name="_Toc441666720"/>
      <w:bookmarkStart w:id="1062" w:name="_Toc441673781"/>
      <w:r w:rsidRPr="00335E4B">
        <w:rPr>
          <w:rFonts w:cs="Traditional Arabic" w:hint="cs"/>
          <w:b/>
          <w:bCs/>
          <w:sz w:val="30"/>
          <w:szCs w:val="30"/>
          <w:rtl/>
        </w:rPr>
        <w:t>صيانة أجهزة ضبط تلوث الهواء وكفاءتها في الإزالة</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بالإضافة إلى تحسين كفاءة الطاقة، يتيح تحسين كفاءة أجهزة ضبط تلوث الهواء فرصة لتحقيق أكبر قدر ممكن من إزالة الزئبق. وتتحقق كمية إضافية من إزالة الزئبق نتيجة تشغيل المعدات القائمة بالفعل في منشآت الطاقة أو المراجل الصناعية من أجل ضبط تلوث الهواء والمصممة أصلاً للحد من الانبعاثات غير الزئبقية مثل الجسيمات أو ثنائي أكسيد الكبريت أو أكاسيد النيتروجين. ويمكن، حسب معدات ضبط تلوث الهواء المتاحة، أن تشمل هذه النُهج تخفيض متطلبات الطاقة الطفيلية لأجهزة ضبط تلوث الهواء وتحديث أو ترقية مستوى المرسبات الكهروستاتيكية أو المرشحات النسيجية، وتغيير تصميم وتشغيل الاختزال الحفزي الانتقائي أو الجمع بين هذه النُهج (سلوس، 2006).</w:t>
      </w:r>
    </w:p>
    <w:p w:rsidR="00335E4B" w:rsidRPr="00335E4B" w:rsidRDefault="00335E4B" w:rsidP="00335E4B">
      <w:pPr>
        <w:keepNext/>
        <w:spacing w:before="120" w:after="120" w:line="400" w:lineRule="exact"/>
        <w:ind w:left="990" w:hanging="992"/>
        <w:jc w:val="both"/>
        <w:outlineLvl w:val="0"/>
        <w:rPr>
          <w:rFonts w:cs="Traditional Arabic"/>
          <w:b/>
          <w:bCs/>
          <w:sz w:val="30"/>
          <w:szCs w:val="30"/>
          <w:rtl/>
        </w:rPr>
      </w:pPr>
      <w:bookmarkStart w:id="1063" w:name="_Toc440456869"/>
      <w:bookmarkStart w:id="1064" w:name="_Toc440526943"/>
      <w:bookmarkStart w:id="1065" w:name="_Toc440527804"/>
      <w:bookmarkStart w:id="1066" w:name="_Toc440550504"/>
      <w:bookmarkStart w:id="1067" w:name="_Toc441577763"/>
      <w:bookmarkStart w:id="1068" w:name="_Toc441577942"/>
      <w:bookmarkStart w:id="1069" w:name="_Toc441579168"/>
      <w:bookmarkStart w:id="1070" w:name="_Toc441580776"/>
      <w:bookmarkStart w:id="1071" w:name="_Toc441585907"/>
      <w:bookmarkStart w:id="1072" w:name="_Toc441586243"/>
      <w:bookmarkStart w:id="1073" w:name="_Toc441586693"/>
      <w:bookmarkStart w:id="1074" w:name="_Toc441586872"/>
      <w:bookmarkStart w:id="1075" w:name="_Toc441666721"/>
      <w:bookmarkStart w:id="1076" w:name="_Toc441673782"/>
      <w:r w:rsidRPr="00335E4B">
        <w:rPr>
          <w:rFonts w:cs="Traditional Arabic" w:hint="cs"/>
          <w:b/>
          <w:bCs/>
          <w:sz w:val="30"/>
          <w:szCs w:val="30"/>
          <w:rtl/>
        </w:rPr>
        <w:t>الإدارة السليمة بيئياً للمنشأة</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من أجل تحسين منع انبعاثات الزئبق وضبطها يلزم نظام إدارة بيئية لمنشأة الطاقة العاملة بحرق الفحم أو المرجَل الصناعي العاملة بحرق الفحم ليحدِّد بوضوح المسؤوليات على جميع المستويات. وبعض التدابير المنطبقة بصورة شائعة تختص بتحسين تشغيل المرجَل، مثل تنفيذ دورات التفتيش والصيانة الملائمة. وتنطوي ممارسات التشغيل والصيانة على إمكانية تحسين أداء المنشأة، بما في ذلك تحسين الكفاءة والموثوقية، وكذلك تخفيض تكاليف التشغيل والصيانة الشاملة نفسها. ولكن ليس من الممكن تجنب تدهور معدات المنشأة، ويتوقف معدل حدوث هذا التدهور كثيراً على ممارسات التشغيل والصيانة. وتشمل بعض ممارسات التشغيل والصيانة الجيدة على سبيل المثال صيانة خط البخار ومعالجة المياه ووجود بروتوكول يمكن الاعتماد عليه للقيام بالرصد والتبليغ. وبالإضافة إلى ذلك، قد تكون تحسينات العمليات ضرورية لتقليل الاختناقات والتأخيرات.</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وينبغي تخصيص الموارد الكافية لتنفيذ أفضل الممارسات البيئية ومواصلة تطبيقها، وينبغي تدريب العاملين تدريباً ملائماً يتصل بواجباتهم. ومن الأمور الهامة وجود برتوكولات للتدقيق عن بُعد وفي الميدان من جانب طرف ثالث مستقل من أجل كفالة اتباع أفضل الممارسات البيئية في الواقع.</w:t>
      </w:r>
    </w:p>
    <w:p w:rsidR="00335E4B" w:rsidRPr="00335E4B" w:rsidRDefault="00335E4B" w:rsidP="00335E4B">
      <w:pPr>
        <w:keepNext/>
        <w:spacing w:before="120" w:after="120" w:line="400" w:lineRule="exact"/>
        <w:ind w:left="990" w:hanging="992"/>
        <w:jc w:val="both"/>
        <w:outlineLvl w:val="0"/>
        <w:rPr>
          <w:rFonts w:cs="Traditional Arabic"/>
          <w:b/>
          <w:bCs/>
          <w:sz w:val="30"/>
          <w:szCs w:val="30"/>
          <w:rtl/>
        </w:rPr>
      </w:pPr>
      <w:bookmarkStart w:id="1077" w:name="_Toc440456870"/>
      <w:bookmarkStart w:id="1078" w:name="_Toc440526944"/>
      <w:bookmarkStart w:id="1079" w:name="_Toc440527805"/>
      <w:bookmarkStart w:id="1080" w:name="_Toc440550505"/>
      <w:bookmarkStart w:id="1081" w:name="_Toc441577764"/>
      <w:bookmarkStart w:id="1082" w:name="_Toc441577943"/>
      <w:bookmarkStart w:id="1083" w:name="_Toc441579169"/>
      <w:bookmarkStart w:id="1084" w:name="_Toc441580777"/>
      <w:bookmarkStart w:id="1085" w:name="_Toc441585908"/>
      <w:bookmarkStart w:id="1086" w:name="_Toc441586244"/>
      <w:bookmarkStart w:id="1087" w:name="_Toc441586694"/>
      <w:bookmarkStart w:id="1088" w:name="_Toc441586873"/>
      <w:bookmarkStart w:id="1089" w:name="_Toc441666722"/>
      <w:bookmarkStart w:id="1090" w:name="_Toc441673783"/>
      <w:r w:rsidRPr="00335E4B">
        <w:rPr>
          <w:rFonts w:cs="Traditional Arabic" w:hint="cs"/>
          <w:b/>
          <w:bCs/>
          <w:sz w:val="30"/>
          <w:szCs w:val="30"/>
          <w:rtl/>
        </w:rPr>
        <w:t>الإدارة السليمة بيئياً لمخلفات احتراق الفحم</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rsidR="00335E4B" w:rsidRPr="00335E4B" w:rsidRDefault="00335E4B" w:rsidP="00E371AF">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الإدارة السليمة بيئياً لمخلفات احتراق الفحم أمر هام من أجل تقليل احتمالات زيادة مخاطر إعادة انبعاث الزئبق وغير ذلك من المشاكل المحتملة.</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وطوال عملية ضبط انبعاثات الزئبق من المصادر العاملة بحرق الفحم تجري إزالة الزئبق من غاز المدخنة وتحويله إلى مخلفات حرق الفحم، بما في ذلك رماد قاعدة المرجَل والرماد المتطاير والحمأة الناشئة عن التنظيف الرطب للكبريت من غاز المدخنة. والحمأة الناشئة عن التنظيف الرطب للكبريت من غاز المدخنة وغير ذلك من مخلفات حرق الفحم يتم تخزينها في الموقع أو إعادة استخدامها، بوسائل منها مواصلة تجهيزها وتحويلها إلى ألواح تبطين من الجبس. وفي هذه الحالة الأخيرة، قد يكون من الضروري، بعد ترشيح الحمأة من الجبس الناشئ عن جهاز تنظيف الكبريت، القيام باستخراج الزئبق من الفضلات السائلة حسب المستويات الموجودة. ويمكن أن يتحقق ذلك عن طريق المعالجة الكيميائية أو التبادل الإيوني أو الترشيح الغشائي. وفي عمليات إنتاج ألواح التبطين المصنوعة من الجبس، وهو الاستخدام الآخر لمخلفات حرق الفحم، بما في ذلك تخزين مخلفات حرق الفحم في الموقع، يوجد احتمال إعادة إطلاق الزئبق الذي تحتويه هذه المخلفات.</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وفي عمليات إنتاج ألواح الجبس قد ينطلق جزء من الزئبق مرة أخرى لأن عمليات الإنتاج تشمل في كثير من الأحيان وحدات عالية الحرارة. وتبيَّن من إحدى الدراسات أن مجموع فقدان الزئبق عبر منشأة إنتاج ألواح التبطين يمثل حوالي 5 في المائة من محتوى الزئبق الداخل إلى جبس جهاز تنظيف الكبريت من غاز المدخنة (مارشال، 2005). ولكن أشارت دراسة أخرى قام بها ليون وآخرون (2013) إلى أن 12-55 في المائة من مجموع الزئبق في جبس تنظيف الكبريت من غاز المدخنة سينبعث أثناء عملية إنتاج ألواح الجبس وأظهرت دراسة ثالثة أن الإطلاقات تتراوح من 2 إلى 66 في المائة من الزئبق الداخل إلى جبس تنظيف الكبريت من غاز المدخنة (ساندرسن وآخرون، 2008). ونظراً للتباين الممكن في معدلات الإطلاق فإن إنتاج ألواح التبطين باستخدام جبس تنظيف الكبريت لا يعتبر من أفضل الممارسات البيئية إلاّ إذا ثبت أن إعادة إطلاقات الزئبق ستكون بالحد الأدنى أو سيتم التقاطها أثناء عملية إنتاج ألواح التبطين.</w:t>
      </w:r>
    </w:p>
    <w:p w:rsidR="00335E4B" w:rsidRPr="00335E4B" w:rsidRDefault="00335E4B" w:rsidP="00E371AF">
      <w:pPr>
        <w:tabs>
          <w:tab w:val="left" w:pos="663"/>
          <w:tab w:val="left" w:pos="1117"/>
          <w:tab w:val="left" w:pos="2230"/>
          <w:tab w:val="center" w:pos="5468"/>
        </w:tabs>
        <w:spacing w:after="120" w:line="400" w:lineRule="exact"/>
        <w:jc w:val="both"/>
        <w:rPr>
          <w:rFonts w:cs="Traditional Arabic"/>
          <w:sz w:val="20"/>
          <w:szCs w:val="30"/>
          <w:rtl/>
          <w:lang w:bidi="ar-EG"/>
        </w:rPr>
      </w:pPr>
      <w:r w:rsidRPr="00335E4B">
        <w:rPr>
          <w:rFonts w:cs="Traditional Arabic" w:hint="cs"/>
          <w:sz w:val="20"/>
          <w:szCs w:val="30"/>
          <w:rtl/>
          <w:lang w:bidi="ar-EG"/>
        </w:rPr>
        <w:t xml:space="preserve">وفي حالة تخزين مخلفات حرق الفحم في الموقع قد تنشأ إمكانية الآثار الشاملة لعدة </w:t>
      </w:r>
      <w:r w:rsidR="006F7165" w:rsidRPr="006F7165">
        <w:rPr>
          <w:rFonts w:cs="Traditional Arabic"/>
          <w:sz w:val="20"/>
          <w:szCs w:val="30"/>
          <w:rtl/>
          <w:lang w:bidi="ar-EG"/>
        </w:rPr>
        <w:t>أوساط</w:t>
      </w:r>
      <w:r w:rsidR="006F7165" w:rsidRPr="006F7165">
        <w:rPr>
          <w:rFonts w:cs="Traditional Arabic" w:hint="cs"/>
          <w:sz w:val="20"/>
          <w:szCs w:val="30"/>
          <w:rtl/>
          <w:lang w:bidi="ar-EG"/>
        </w:rPr>
        <w:t xml:space="preserve"> </w:t>
      </w:r>
      <w:r w:rsidRPr="00335E4B">
        <w:rPr>
          <w:rFonts w:cs="Traditional Arabic" w:hint="cs"/>
          <w:sz w:val="20"/>
          <w:szCs w:val="30"/>
          <w:rtl/>
          <w:lang w:bidi="ar-EG"/>
        </w:rPr>
        <w:t>(مثل نض الزئبق في المياه الجوفية). وخلصت دراسة استمرت لعدة سنوات وتناولت خصائص مخلفات حرق الفحم إلى أن أي إطلاق محتمل للمعادن من مخلفات حرق الفحم في البيئة يتأثر بظروف النض (وكالة حماية البيئة في الولايات المتحدة، 2006؛ ووكالة حماية البيئة في الولايات المتحدة، 2008؛ ووكالة حماية البيئة في الولايات المتحدة، 2009أ)</w:t>
      </w:r>
      <w:r w:rsidRPr="00335E4B">
        <w:rPr>
          <w:rFonts w:cs="Traditional Arabic"/>
          <w:sz w:val="20"/>
          <w:szCs w:val="30"/>
          <w:vertAlign w:val="superscript"/>
          <w:rtl/>
          <w:lang w:bidi="ar-EG"/>
        </w:rPr>
        <w:t>(</w:t>
      </w:r>
      <w:r w:rsidRPr="00335E4B">
        <w:rPr>
          <w:rFonts w:cs="Traditional Arabic"/>
          <w:sz w:val="20"/>
          <w:szCs w:val="30"/>
          <w:vertAlign w:val="superscript"/>
          <w:rtl/>
          <w:lang w:bidi="ar-EG"/>
        </w:rPr>
        <w:footnoteReference w:id="36"/>
      </w:r>
      <w:r w:rsidRPr="00335E4B">
        <w:rPr>
          <w:rFonts w:cs="Traditional Arabic"/>
          <w:sz w:val="20"/>
          <w:szCs w:val="30"/>
          <w:vertAlign w:val="superscript"/>
          <w:rtl/>
          <w:lang w:bidi="ar-EG"/>
        </w:rPr>
        <w:t>)</w:t>
      </w:r>
      <w:r w:rsidRPr="00335E4B">
        <w:rPr>
          <w:rFonts w:cs="Traditional Arabic" w:hint="cs"/>
          <w:sz w:val="20"/>
          <w:szCs w:val="30"/>
          <w:rtl/>
          <w:lang w:bidi="ar-EG"/>
        </w:rPr>
        <w:t>. وتتأثر ظروف النض بدرجة الحموضة وبمقدار الاتصال بالمياه (أي نسبة السوائل إلى الجوامد). وعند التقييم على نطاق درجة حموضة يمتد من 5</w:t>
      </w:r>
      <w:r w:rsidR="00E371AF">
        <w:rPr>
          <w:rFonts w:cs="Traditional Arabic" w:hint="cs"/>
          <w:sz w:val="20"/>
          <w:szCs w:val="30"/>
          <w:rtl/>
          <w:lang w:bidi="ar-EG"/>
        </w:rPr>
        <w:t>,</w:t>
      </w:r>
      <w:r w:rsidRPr="00335E4B">
        <w:rPr>
          <w:rFonts w:cs="Traditional Arabic" w:hint="cs"/>
          <w:sz w:val="20"/>
          <w:szCs w:val="30"/>
          <w:rtl/>
          <w:lang w:bidi="ar-EG"/>
        </w:rPr>
        <w:t>4 إلى 12</w:t>
      </w:r>
      <w:r w:rsidR="00E371AF">
        <w:rPr>
          <w:rFonts w:cs="Traditional Arabic" w:hint="cs"/>
          <w:sz w:val="20"/>
          <w:szCs w:val="30"/>
          <w:rtl/>
          <w:lang w:bidi="ar-EG"/>
        </w:rPr>
        <w:t>,</w:t>
      </w:r>
      <w:r w:rsidRPr="00335E4B">
        <w:rPr>
          <w:rFonts w:cs="Traditional Arabic" w:hint="cs"/>
          <w:sz w:val="20"/>
          <w:szCs w:val="30"/>
          <w:rtl/>
          <w:lang w:bidi="ar-EG"/>
        </w:rPr>
        <w:t>4 (النطاق المعقول لإدارة مخلفات حرق الفحم) لم تتعد نتائج نض الزئبق المعايير القائمة بشأن تركيز الزئبق في مياه الآبار في الولايات المتحدة. وفي هذه الدراسات نفسها تبيَّن أن بعض نتائج نض بعض المعادن الثقيلة الأخرى، مثل الزرنيخ، كانت تتجاوز المعايير القائمة بشأن التركيز في مياه الآبار في الولايات المتحدة. وينبغي أن يلاحظ أن البيانات المعروضة لا تشمل أي محاولة لتقدير كمية أي من العناصر المكونة التي قد تصل إلى خزان للمياه الجوفية أو بئر لمياه الشرب. وسيتطلب الأمر وضع نماذج لنقل المياه الجوفية ومآلها، بحيث تشمل النظر في عوامل إضافية كثيرة -بما في ذلك طريقة إدارة الرماد المتطاير- من أجل تقييم المخاطر المحتملة. ويمكن النظر في تخزين مخلفات احتراق الفحم بأسطح صماء في الموقع باعتبار ذلك أحد جوانب الإدارة السليمة بيئياً.</w:t>
      </w:r>
    </w:p>
    <w:p w:rsidR="00335E4B" w:rsidRPr="00335E4B" w:rsidRDefault="00335E4B" w:rsidP="00B52B28">
      <w:pPr>
        <w:keepNext/>
        <w:spacing w:before="120" w:after="120" w:line="400" w:lineRule="exact"/>
        <w:ind w:left="707" w:hanging="709"/>
        <w:jc w:val="both"/>
        <w:outlineLvl w:val="0"/>
        <w:rPr>
          <w:rFonts w:cs="Traditional Arabic"/>
          <w:b/>
          <w:bCs/>
          <w:sz w:val="32"/>
          <w:szCs w:val="32"/>
          <w:rtl/>
        </w:rPr>
      </w:pPr>
      <w:bookmarkStart w:id="1091" w:name="_Toc440456871"/>
      <w:bookmarkStart w:id="1092" w:name="_Toc440526945"/>
      <w:bookmarkStart w:id="1093" w:name="_Toc440527806"/>
      <w:bookmarkStart w:id="1094" w:name="_Toc440550506"/>
      <w:bookmarkStart w:id="1095" w:name="_Toc441577765"/>
      <w:bookmarkStart w:id="1096" w:name="_Toc441577944"/>
      <w:bookmarkStart w:id="1097" w:name="_Toc441579170"/>
      <w:bookmarkStart w:id="1098" w:name="_Toc441580778"/>
      <w:bookmarkStart w:id="1099" w:name="_Toc441585909"/>
      <w:bookmarkStart w:id="1100" w:name="_Toc441586245"/>
      <w:bookmarkStart w:id="1101" w:name="_Toc441586695"/>
      <w:bookmarkStart w:id="1102" w:name="_Toc441586874"/>
      <w:bookmarkStart w:id="1103" w:name="_Toc441666723"/>
      <w:bookmarkStart w:id="1104" w:name="_Toc441673784"/>
      <w:r w:rsidRPr="00335E4B">
        <w:rPr>
          <w:rFonts w:cs="Traditional Arabic" w:hint="cs"/>
          <w:b/>
          <w:bCs/>
          <w:sz w:val="32"/>
          <w:szCs w:val="32"/>
          <w:rtl/>
        </w:rPr>
        <w:t>رصد انبعاثات الزئبق</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rsidR="00335E4B" w:rsidRPr="00335E4B" w:rsidRDefault="00335E4B" w:rsidP="00E371AF">
      <w:pPr>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تناقش الجوانب العامة والشاملة للاختبار والرصد والتبليغ في الفصل التمهيدي لهذه الوثيقة. وهذا القسم يقتصر على الجوانب المحددة لرصد انبعاثات الزئبق ومنشآت الطاقة والمراجل الصناعية العاملة بحرق الفحم.</w:t>
      </w:r>
    </w:p>
    <w:p w:rsidR="00335E4B" w:rsidRPr="00335E4B" w:rsidRDefault="00335E4B" w:rsidP="00335E4B">
      <w:pPr>
        <w:keepNext/>
        <w:spacing w:before="120" w:after="120" w:line="400" w:lineRule="exact"/>
        <w:ind w:left="707" w:hanging="709"/>
        <w:jc w:val="both"/>
        <w:outlineLvl w:val="0"/>
        <w:rPr>
          <w:rFonts w:cs="Traditional Arabic"/>
          <w:b/>
          <w:bCs/>
          <w:sz w:val="30"/>
          <w:szCs w:val="30"/>
          <w:rtl/>
        </w:rPr>
      </w:pPr>
      <w:bookmarkStart w:id="1105" w:name="_Toc440456872"/>
      <w:bookmarkStart w:id="1106" w:name="_Toc440526946"/>
      <w:bookmarkStart w:id="1107" w:name="_Toc440527807"/>
      <w:bookmarkStart w:id="1108" w:name="_Toc440550507"/>
      <w:bookmarkStart w:id="1109" w:name="_Toc441577766"/>
      <w:bookmarkStart w:id="1110" w:name="_Toc441577945"/>
      <w:bookmarkStart w:id="1111" w:name="_Toc441579171"/>
      <w:bookmarkStart w:id="1112" w:name="_Toc441580779"/>
      <w:bookmarkStart w:id="1113" w:name="_Toc441585910"/>
      <w:bookmarkStart w:id="1114" w:name="_Toc441586246"/>
      <w:bookmarkStart w:id="1115" w:name="_Toc441586696"/>
      <w:bookmarkStart w:id="1116" w:name="_Toc441586875"/>
      <w:bookmarkStart w:id="1117" w:name="_Toc441666724"/>
      <w:bookmarkStart w:id="1118" w:name="_Toc441673785"/>
      <w:r w:rsidRPr="00335E4B">
        <w:rPr>
          <w:rFonts w:cs="Traditional Arabic" w:hint="cs"/>
          <w:b/>
          <w:bCs/>
          <w:sz w:val="30"/>
          <w:szCs w:val="30"/>
          <w:rtl/>
        </w:rPr>
        <w:t>الرصد المستمر للانبعاثات</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rsidR="00335E4B" w:rsidRPr="00335E4B" w:rsidRDefault="00335E4B" w:rsidP="00335E4B">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رصد الزئبق باستعمال أدوات الرصد المستمر للانبعاثات هو رصد فعال لتيارات غاز المدخنة الناتجة عن الاحتراق (ساروناك، 2007). ولأغراض الامتثال للانبعاثات توضع أجهزة الرصد المستمر للانبعاثات في أنبوب المدخنة لتقيس تيار غاز بتركيز جسيمات منخفض.</w:t>
      </w:r>
    </w:p>
    <w:p w:rsidR="00E371AF" w:rsidRDefault="00E371AF">
      <w:pPr>
        <w:bidi w:val="0"/>
        <w:rPr>
          <w:rFonts w:cs="Traditional Arabic"/>
          <w:w w:val="103"/>
          <w:kern w:val="14"/>
          <w:sz w:val="20"/>
          <w:szCs w:val="30"/>
          <w:rtl/>
          <w:lang w:bidi="ar-EG"/>
        </w:rPr>
      </w:pPr>
      <w:r>
        <w:rPr>
          <w:rFonts w:cs="Traditional Arabic"/>
          <w:w w:val="103"/>
          <w:kern w:val="14"/>
          <w:sz w:val="20"/>
          <w:szCs w:val="30"/>
          <w:rtl/>
          <w:lang w:bidi="ar-EG"/>
        </w:rPr>
        <w:br w:type="page"/>
      </w:r>
    </w:p>
    <w:p w:rsidR="00335E4B" w:rsidRPr="00335E4B" w:rsidRDefault="00335E4B" w:rsidP="00335E4B">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ولأغراض التحسين الأمثل للعمليات المتعلقة بالزئبق تستعمل أجهزة الرصد المستمر للانبعاثات أحياناً لأخذ عينة من تيار الغاز المحمَّل بالجسيمات قبل جهاز ضبط الجسيمات. وتكنولوجيا مجس الترشيح التي يشيع استعمالها لهذا الغرض هي مرشح القصور الذاتي. وتستعمل هذه التكنولوجيا تقنية تسريع غاز العينة وتعتمد على قوى القصور الذاتي للجسيمات وعلى استخدام مرشح ملبَّد لفصل الغاز والجسيمات.</w:t>
      </w:r>
    </w:p>
    <w:p w:rsidR="00335E4B" w:rsidRPr="00335E4B" w:rsidRDefault="00335E4B" w:rsidP="00335E4B">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والرصد المستمر لغاز العيِّنة المشبَّع بالماء من جهاز تنظيف رطب هو أسلوب يمارس بصورة شائعة رغم أنه يتطلب إجراءات أكثر تفصيلاً. ويستعمل مجس مرشح ثابت خاص لتجنب الانسداد من تكثف المياه ويستخدم هذا المرشح نمطياً دورة تنظيف متكررة لوسائط المرشح باستعمال الهواء المضغوط. وتستعمل جميع تطبيقات الرصد المستمر خطوط عيِّنات مسخَّنة مع تنظيم دقيق لدرجة حرارة العينة من أجل تجنب تكثف المياه وامتزاز الزئبق المؤكسد في هذا الماء نتيجة ذلك.</w:t>
      </w:r>
    </w:p>
    <w:p w:rsidR="00335E4B" w:rsidRPr="00335E4B" w:rsidRDefault="00335E4B" w:rsidP="00335E4B">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 xml:space="preserve">ويوفِّر جهاز الرصد المستمر للانبعاثات لمشغِّل حرق الفحم تحليلاً للزئبق في الوقت الحقيقي ويمكن أن يستعمل هذا التحليل في حلقة التأثيرات المرتدة مع معدات حقن المادة الماصة أو معدات تلقيم المواد المضافة إلى الفحم. وتسمح هذه السمة بالضبط الدقيق لتركيز انبعاثات الزئبق رغم التغيُّرات في تركيز الزئبق في الوقود. </w:t>
      </w:r>
    </w:p>
    <w:p w:rsidR="00335E4B" w:rsidRPr="00335E4B" w:rsidRDefault="00335E4B" w:rsidP="00335E4B">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ويتيح الرصد المستمر أيضاً مزايا تتمثل في الحساسية للتركيزات المنخفضة من الزئبق التي تصل إلى 0.5 ميكروغرام/م</w:t>
      </w:r>
      <w:r w:rsidRPr="00335E4B">
        <w:rPr>
          <w:rFonts w:cs="Traditional Arabic" w:hint="cs"/>
          <w:w w:val="103"/>
          <w:kern w:val="14"/>
          <w:sz w:val="20"/>
          <w:szCs w:val="30"/>
          <w:vertAlign w:val="superscript"/>
          <w:rtl/>
          <w:lang w:bidi="ar-EG"/>
        </w:rPr>
        <w:t>3</w:t>
      </w:r>
      <w:r w:rsidRPr="00335E4B">
        <w:rPr>
          <w:rFonts w:cs="Traditional Arabic" w:hint="cs"/>
          <w:w w:val="103"/>
          <w:kern w:val="14"/>
          <w:sz w:val="20"/>
          <w:szCs w:val="30"/>
          <w:rtl/>
          <w:lang w:bidi="ar-EG"/>
        </w:rPr>
        <w:t xml:space="preserve">، والقياسات القائمة على تنوعات الزئبق والموثوقية العالية للنتائج عند معايرتها بمنهجية دينامية لتسمير الزئبق. </w:t>
      </w:r>
    </w:p>
    <w:p w:rsidR="00335E4B" w:rsidRPr="00335E4B" w:rsidRDefault="00335E4B" w:rsidP="00335E4B">
      <w:pPr>
        <w:keepNext/>
        <w:spacing w:before="120" w:after="120" w:line="400" w:lineRule="exact"/>
        <w:ind w:left="707" w:hanging="709"/>
        <w:jc w:val="both"/>
        <w:outlineLvl w:val="0"/>
        <w:rPr>
          <w:rFonts w:cs="Traditional Arabic"/>
          <w:b/>
          <w:bCs/>
          <w:sz w:val="30"/>
          <w:szCs w:val="30"/>
          <w:rtl/>
        </w:rPr>
      </w:pPr>
      <w:bookmarkStart w:id="1119" w:name="_Toc440456873"/>
      <w:bookmarkStart w:id="1120" w:name="_Toc440526947"/>
      <w:bookmarkStart w:id="1121" w:name="_Toc440527808"/>
      <w:bookmarkStart w:id="1122" w:name="_Toc440550508"/>
      <w:bookmarkStart w:id="1123" w:name="_Toc441577767"/>
      <w:bookmarkStart w:id="1124" w:name="_Toc441577946"/>
      <w:bookmarkStart w:id="1125" w:name="_Toc441579172"/>
      <w:bookmarkStart w:id="1126" w:name="_Toc441580780"/>
      <w:bookmarkStart w:id="1127" w:name="_Toc441585911"/>
      <w:bookmarkStart w:id="1128" w:name="_Toc441586247"/>
      <w:bookmarkStart w:id="1129" w:name="_Toc441586697"/>
      <w:bookmarkStart w:id="1130" w:name="_Toc441586876"/>
      <w:bookmarkStart w:id="1131" w:name="_Toc441666725"/>
      <w:bookmarkStart w:id="1132" w:name="_Toc441673786"/>
      <w:r w:rsidRPr="00335E4B">
        <w:rPr>
          <w:rFonts w:cs="Traditional Arabic" w:hint="cs"/>
          <w:b/>
          <w:bCs/>
          <w:sz w:val="30"/>
          <w:szCs w:val="30"/>
          <w:rtl/>
        </w:rPr>
        <w:t>رصد المصيدة الماصة</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rsidR="00335E4B" w:rsidRPr="00335E4B" w:rsidRDefault="00335E4B" w:rsidP="00335E4B">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أثبتت المصائد الماصة لرصد الزئبق في تيارات غاز حرق الفحم أنها توفِّر بيانات دقيقة وقابلة للاستنساخ عن انبعاثات الزئبق، حتى عند تركيزات منخفضة جداً (ساروناك، 2007). ومن الممكن القيام بالرصد باستعمال مجموعة من المصائد خلال فترة أخذ عينات تمتد عدة أيام في منشآت حرق الفحم.</w:t>
      </w:r>
    </w:p>
    <w:p w:rsidR="00335E4B" w:rsidRPr="00335E4B" w:rsidRDefault="00335E4B" w:rsidP="00335E4B">
      <w:pPr>
        <w:keepNext/>
        <w:spacing w:before="120" w:after="120" w:line="400" w:lineRule="exact"/>
        <w:ind w:left="707" w:hanging="709"/>
        <w:jc w:val="both"/>
        <w:outlineLvl w:val="0"/>
        <w:rPr>
          <w:rFonts w:cs="Traditional Arabic"/>
          <w:b/>
          <w:bCs/>
          <w:sz w:val="30"/>
          <w:szCs w:val="30"/>
          <w:rtl/>
        </w:rPr>
      </w:pPr>
      <w:bookmarkStart w:id="1133" w:name="_Toc440456874"/>
      <w:bookmarkStart w:id="1134" w:name="_Toc440526948"/>
      <w:bookmarkStart w:id="1135" w:name="_Toc440527809"/>
      <w:bookmarkStart w:id="1136" w:name="_Toc440550509"/>
      <w:bookmarkStart w:id="1137" w:name="_Toc441577768"/>
      <w:bookmarkStart w:id="1138" w:name="_Toc441577947"/>
      <w:bookmarkStart w:id="1139" w:name="_Toc441579173"/>
      <w:bookmarkStart w:id="1140" w:name="_Toc441580781"/>
      <w:bookmarkStart w:id="1141" w:name="_Toc441585912"/>
      <w:bookmarkStart w:id="1142" w:name="_Toc441586248"/>
      <w:bookmarkStart w:id="1143" w:name="_Toc441586698"/>
      <w:bookmarkStart w:id="1144" w:name="_Toc441586877"/>
      <w:bookmarkStart w:id="1145" w:name="_Toc441666726"/>
      <w:bookmarkStart w:id="1146" w:name="_Toc441673787"/>
      <w:r w:rsidRPr="00335E4B">
        <w:rPr>
          <w:rFonts w:cs="Traditional Arabic" w:hint="cs"/>
          <w:b/>
          <w:bCs/>
          <w:sz w:val="30"/>
          <w:szCs w:val="30"/>
          <w:rtl/>
        </w:rPr>
        <w:t>أخذ العينات بجهاز الارتطام</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rsidR="00335E4B" w:rsidRPr="00335E4B" w:rsidRDefault="00335E4B" w:rsidP="00E371AF">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كان استخدام أساليب الارتطام لرصد الزئبق في منشآت احتراق الفحم هو الأسلوب الأبرز تاريخياً. وأساليب الارتطام غير ملائمة للفترات الطويلة لأخذ العينات وهي تقتصر في الممارسة العملية على عدة ساعات (ساروناك، 2007).</w:t>
      </w:r>
    </w:p>
    <w:p w:rsidR="00335E4B" w:rsidRPr="00335E4B" w:rsidRDefault="00335E4B" w:rsidP="00335E4B">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وتستخدم أساليب كثيرة من أساليب الارتطام لجمع الزئبق العالق بالجسيمات والزئبق المؤكسد والزئبق النقي بصورة منفصلة وهي لذلك مفيدة في منشآت حرق الفحم من أجل تحديد تنوع الزئبق.</w:t>
      </w:r>
    </w:p>
    <w:p w:rsidR="00335E4B" w:rsidRPr="00335E4B" w:rsidRDefault="00335E4B" w:rsidP="00335E4B">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وتستعمل أساليب الارتطام سلسلة من أجهزة ارتطام متعددة لتسمح بقدر معيَّن من مراقبة الجودة.</w:t>
      </w:r>
    </w:p>
    <w:p w:rsidR="00335E4B" w:rsidRPr="00335E4B" w:rsidRDefault="00335E4B" w:rsidP="00335E4B">
      <w:pPr>
        <w:keepNext/>
        <w:spacing w:before="120" w:after="120" w:line="400" w:lineRule="exact"/>
        <w:ind w:left="709" w:hanging="709"/>
        <w:jc w:val="both"/>
        <w:outlineLvl w:val="0"/>
        <w:rPr>
          <w:rFonts w:cs="Traditional Arabic"/>
          <w:b/>
          <w:bCs/>
          <w:sz w:val="30"/>
          <w:szCs w:val="30"/>
          <w:rtl/>
        </w:rPr>
      </w:pPr>
      <w:bookmarkStart w:id="1147" w:name="_Toc440456875"/>
      <w:bookmarkStart w:id="1148" w:name="_Toc440526949"/>
      <w:bookmarkStart w:id="1149" w:name="_Toc440527810"/>
      <w:bookmarkStart w:id="1150" w:name="_Toc440550510"/>
      <w:bookmarkStart w:id="1151" w:name="_Toc441577769"/>
      <w:bookmarkStart w:id="1152" w:name="_Toc441577948"/>
      <w:bookmarkStart w:id="1153" w:name="_Toc441579174"/>
      <w:bookmarkStart w:id="1154" w:name="_Toc441580782"/>
      <w:bookmarkStart w:id="1155" w:name="_Toc441585913"/>
      <w:bookmarkStart w:id="1156" w:name="_Toc441586249"/>
      <w:bookmarkStart w:id="1157" w:name="_Toc441586699"/>
      <w:bookmarkStart w:id="1158" w:name="_Toc441586878"/>
      <w:bookmarkStart w:id="1159" w:name="_Toc441666727"/>
      <w:bookmarkStart w:id="1160" w:name="_Toc441673788"/>
      <w:r w:rsidRPr="00335E4B">
        <w:rPr>
          <w:rFonts w:cs="Traditional Arabic" w:hint="cs"/>
          <w:b/>
          <w:bCs/>
          <w:sz w:val="30"/>
          <w:szCs w:val="30"/>
          <w:rtl/>
        </w:rPr>
        <w:t>توازن الكتلة</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rsidR="00335E4B" w:rsidRPr="00335E4B" w:rsidRDefault="00335E4B" w:rsidP="00335E4B">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قياسات توازن الكتلة في منشآت حرق الفحم ليست أسلوباً مباشراً لرصد انبعاثات الزئبق في الهواء ويمكن أن نتوقع انخفاض دقة الانبعاثات المحسوبة من توازن الكتلة.</w:t>
      </w:r>
    </w:p>
    <w:p w:rsidR="00335E4B" w:rsidRPr="00335E4B" w:rsidRDefault="00335E4B" w:rsidP="00335E4B">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والبيانات المطلوبة للقيام بقياس توازن الكتلة للزئبق في منشآت حرق الفحم متوافرة بسهولة في بعض المناطق لأن محتوى الزئبق من تيارات النفايات الصلبة والسائلة من المنشأة يخضع للتنظيم. وتشمل تيارات النفايات رماد القاعدة والرماد المتطاير ونفايات مياه أجهزة التنظيف ومنتجات أجهزة التنظيف مثل الجبس والنفايات الصلبة لأجهزة التنظيف. ويجري قياس الزئبق من الفحم المحترق بانتظام أيضاً في بعض المناطق وهو ضروري لحساب توازن الكتلة.</w:t>
      </w:r>
    </w:p>
    <w:p w:rsidR="00335E4B" w:rsidRPr="00335E4B" w:rsidRDefault="00335E4B" w:rsidP="00E371AF">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وتتوقف دقة توازن الكتلة بشدة على أخذ العينات التمثيلية من الفحم وتيارات النفايات وعلى الاستقرار الصحيح للعينات. ويجب اتباع إجراءات خاصة لتجنب ضياع الزئبق من العينات التي يتم جمعها. ويمكن تحقيق دقة أكبر لنتائج توازن الكتلة بزيادة عدد العينات التي يتم جمعها وتحليلها. ويمكن توقع حدوث تباين كبير في محتوى الفحم من الزئبق، ولهذا يتطلب الأمر تحليلاً متكرراً للفحم للحصول على القيمة الدقيقة لـمُدخلات الزئبق. ويجب القيام برصد دوري لانبعاثات الزئبق في الهواء من أجل إثبات صحة حسابات توازن الكتلة.</w:t>
      </w:r>
    </w:p>
    <w:p w:rsidR="00335E4B" w:rsidRPr="00335E4B" w:rsidRDefault="00335E4B" w:rsidP="00335E4B">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وبالنظر إلى عدد تيارات المواد التي تتطلب الرصد وتواتر أخذ العينات من أجل التوصل إلى توازن كتلة دقيق، فقد يكون استعمال أسلوب توازن الكتلة لرصد انبعاث الزئبق في الهواء في منشآت حرق الفحم أكثر صعوبة من استعمال أسلوب الرصد المباشر لغاز المدخنة.</w:t>
      </w:r>
    </w:p>
    <w:p w:rsidR="00335E4B" w:rsidRPr="00335E4B" w:rsidRDefault="00335E4B" w:rsidP="00C30591">
      <w:pPr>
        <w:keepNext/>
        <w:spacing w:before="120" w:after="120" w:line="400" w:lineRule="exact"/>
        <w:ind w:left="709" w:hanging="709"/>
        <w:jc w:val="both"/>
        <w:outlineLvl w:val="0"/>
        <w:rPr>
          <w:rFonts w:cs="Traditional Arabic"/>
          <w:b/>
          <w:bCs/>
          <w:sz w:val="30"/>
          <w:szCs w:val="30"/>
          <w:rtl/>
        </w:rPr>
      </w:pPr>
      <w:bookmarkStart w:id="1161" w:name="_Toc441577770"/>
      <w:bookmarkStart w:id="1162" w:name="_Toc441577949"/>
      <w:bookmarkStart w:id="1163" w:name="_Toc441579175"/>
      <w:bookmarkStart w:id="1164" w:name="_Toc441580783"/>
      <w:bookmarkStart w:id="1165" w:name="_Toc441585914"/>
      <w:bookmarkStart w:id="1166" w:name="_Toc441586250"/>
      <w:bookmarkStart w:id="1167" w:name="_Toc441586700"/>
      <w:bookmarkStart w:id="1168" w:name="_Toc441586879"/>
      <w:bookmarkStart w:id="1169" w:name="_Toc441666728"/>
      <w:bookmarkStart w:id="1170" w:name="_Toc441673789"/>
      <w:bookmarkStart w:id="1171" w:name="_Toc440456876"/>
      <w:bookmarkStart w:id="1172" w:name="_Toc440526950"/>
      <w:bookmarkStart w:id="1173" w:name="_Toc440527811"/>
      <w:bookmarkStart w:id="1174" w:name="_Toc440550511"/>
      <w:r w:rsidRPr="00335E4B">
        <w:rPr>
          <w:rFonts w:cs="Traditional Arabic" w:hint="cs"/>
          <w:b/>
          <w:bCs/>
          <w:sz w:val="30"/>
          <w:szCs w:val="30"/>
          <w:rtl/>
        </w:rPr>
        <w:t>النُظم التنبؤية لرصد الانبعاثات</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rsidR="00335E4B" w:rsidRPr="00335E4B" w:rsidRDefault="00335E4B" w:rsidP="00335E4B">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الرصد التنبؤي للانبعاثات هو أداة فرز جيدة لمنشآت حرق الفحم ولكنها ليست وسيلة دقيقة لرصد انبعاثات الزئبق في الهواء بسبب التباين الواسع لمحتوى الزئبق في الفحم.</w:t>
      </w:r>
    </w:p>
    <w:p w:rsidR="00335E4B" w:rsidRPr="00335E4B" w:rsidRDefault="00335E4B" w:rsidP="00335E4B">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والنُظم التنبؤية لرصد الانبعاثات مفيدة لتقدير انبعاثات الزئبق في الهواء استعداداً لوضع المصيدة الماصة أو غير ذلك من أنشطة الرصد. ويسمح التقدير الجيد لنطاق الانبعاثات في الهواء بزيادة كفاءة اختبار المصيدة الماصة.</w:t>
      </w:r>
    </w:p>
    <w:p w:rsidR="00335E4B" w:rsidRPr="00335E4B" w:rsidRDefault="00335E4B" w:rsidP="00335E4B">
      <w:pPr>
        <w:keepNext/>
        <w:spacing w:before="120" w:after="120" w:line="400" w:lineRule="exact"/>
        <w:ind w:left="709" w:hanging="709"/>
        <w:jc w:val="both"/>
        <w:outlineLvl w:val="0"/>
        <w:rPr>
          <w:rFonts w:cs="Traditional Arabic"/>
          <w:b/>
          <w:bCs/>
          <w:sz w:val="30"/>
          <w:szCs w:val="30"/>
          <w:rtl/>
        </w:rPr>
      </w:pPr>
      <w:bookmarkStart w:id="1175" w:name="_Toc440456877"/>
      <w:bookmarkStart w:id="1176" w:name="_Toc440526951"/>
      <w:bookmarkStart w:id="1177" w:name="_Toc440527812"/>
      <w:bookmarkStart w:id="1178" w:name="_Toc440550512"/>
      <w:bookmarkStart w:id="1179" w:name="_Toc441577771"/>
      <w:bookmarkStart w:id="1180" w:name="_Toc441577950"/>
      <w:bookmarkStart w:id="1181" w:name="_Toc441579176"/>
      <w:bookmarkStart w:id="1182" w:name="_Toc441580784"/>
      <w:bookmarkStart w:id="1183" w:name="_Toc441585915"/>
      <w:bookmarkStart w:id="1184" w:name="_Toc441586251"/>
      <w:bookmarkStart w:id="1185" w:name="_Toc441586701"/>
      <w:bookmarkStart w:id="1186" w:name="_Toc441586880"/>
      <w:bookmarkStart w:id="1187" w:name="_Toc441666729"/>
      <w:bookmarkStart w:id="1188" w:name="_Toc441673790"/>
      <w:r w:rsidRPr="00335E4B">
        <w:rPr>
          <w:rFonts w:cs="Traditional Arabic" w:hint="cs"/>
          <w:b/>
          <w:bCs/>
          <w:sz w:val="30"/>
          <w:szCs w:val="30"/>
          <w:rtl/>
        </w:rPr>
        <w:t>عوامل الانبعاثات</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rsidR="00335E4B" w:rsidRPr="00335E4B" w:rsidRDefault="00335E4B" w:rsidP="00335E4B">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لا تمثل عوامل الانبعاثات وسيلة دقيقة لرصد انبعاثات الزئبق في الهواء في تيارات غاز حرق الفحم. ويرجع ذلك إلى تباين محتوى الزئبق في الفحم والتباين الواسع لالتقاط الزئبق داخل معدات ضبط الانبعاثات المقامة في منشأة حرق الفحم. وهذه النقطة الأخيرة تجعل من الصعب جداً تطبيق عوامل الانبعاثات عبر أسطول منشآت حرق الفحم.</w:t>
      </w:r>
    </w:p>
    <w:p w:rsidR="00335E4B" w:rsidRPr="00335E4B" w:rsidRDefault="00335E4B" w:rsidP="00335E4B">
      <w:pPr>
        <w:keepNext/>
        <w:spacing w:before="120" w:after="120" w:line="400" w:lineRule="exact"/>
        <w:ind w:left="709" w:hanging="709"/>
        <w:jc w:val="both"/>
        <w:outlineLvl w:val="0"/>
        <w:rPr>
          <w:rFonts w:cs="Traditional Arabic"/>
          <w:b/>
          <w:bCs/>
          <w:sz w:val="30"/>
          <w:szCs w:val="30"/>
          <w:rtl/>
        </w:rPr>
      </w:pPr>
      <w:bookmarkStart w:id="1189" w:name="_Toc440456878"/>
      <w:bookmarkStart w:id="1190" w:name="_Toc440526952"/>
      <w:bookmarkStart w:id="1191" w:name="_Toc440527813"/>
      <w:bookmarkStart w:id="1192" w:name="_Toc440550513"/>
      <w:bookmarkStart w:id="1193" w:name="_Toc441577772"/>
      <w:bookmarkStart w:id="1194" w:name="_Toc441577951"/>
      <w:bookmarkStart w:id="1195" w:name="_Toc441579177"/>
      <w:bookmarkStart w:id="1196" w:name="_Toc441580785"/>
      <w:bookmarkStart w:id="1197" w:name="_Toc441585916"/>
      <w:bookmarkStart w:id="1198" w:name="_Toc441586252"/>
      <w:bookmarkStart w:id="1199" w:name="_Toc441586702"/>
      <w:bookmarkStart w:id="1200" w:name="_Toc441586881"/>
      <w:bookmarkStart w:id="1201" w:name="_Toc441666730"/>
      <w:bookmarkStart w:id="1202" w:name="_Toc441673791"/>
      <w:r w:rsidRPr="00335E4B">
        <w:rPr>
          <w:rFonts w:cs="Traditional Arabic" w:hint="cs"/>
          <w:b/>
          <w:bCs/>
          <w:sz w:val="30"/>
          <w:szCs w:val="30"/>
          <w:rtl/>
        </w:rPr>
        <w:t>التقديرات الهندسية</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rsidR="00335E4B" w:rsidRPr="00335E4B" w:rsidRDefault="00335E4B" w:rsidP="00335E4B">
      <w:pPr>
        <w:tabs>
          <w:tab w:val="left" w:pos="663"/>
          <w:tab w:val="left" w:pos="1267"/>
          <w:tab w:val="left" w:pos="1930"/>
          <w:tab w:val="left" w:pos="2592"/>
          <w:tab w:val="left" w:pos="3254"/>
          <w:tab w:val="left" w:pos="3917"/>
          <w:tab w:val="left" w:pos="4579"/>
          <w:tab w:val="left" w:pos="5242"/>
          <w:tab w:val="left" w:pos="5904"/>
          <w:tab w:val="left" w:pos="6566"/>
        </w:tabs>
        <w:spacing w:after="120" w:line="400" w:lineRule="exact"/>
        <w:jc w:val="both"/>
        <w:rPr>
          <w:rFonts w:cs="Traditional Arabic"/>
          <w:w w:val="103"/>
          <w:kern w:val="14"/>
          <w:sz w:val="20"/>
          <w:szCs w:val="30"/>
          <w:rtl/>
          <w:lang w:bidi="ar-EG"/>
        </w:rPr>
      </w:pPr>
      <w:r w:rsidRPr="00335E4B">
        <w:rPr>
          <w:rFonts w:cs="Traditional Arabic" w:hint="cs"/>
          <w:w w:val="103"/>
          <w:kern w:val="14"/>
          <w:sz w:val="20"/>
          <w:szCs w:val="30"/>
          <w:rtl/>
          <w:lang w:bidi="ar-EG"/>
        </w:rPr>
        <w:t>التقديرات الهندسية ليست أسلوباً دقيقاً لرصد انبعاثات الزئبق في الهواء من منشآت حرق الفحم.</w:t>
      </w:r>
    </w:p>
    <w:p w:rsidR="00335E4B" w:rsidRPr="00335E4B" w:rsidRDefault="00335E4B" w:rsidP="00022A53">
      <w:pPr>
        <w:keepNext/>
        <w:spacing w:before="120" w:after="240" w:line="360" w:lineRule="exact"/>
        <w:ind w:left="567" w:hanging="567"/>
        <w:jc w:val="both"/>
        <w:outlineLvl w:val="1"/>
        <w:rPr>
          <w:rFonts w:cs="Traditional Arabic"/>
          <w:b/>
          <w:bCs/>
          <w:sz w:val="32"/>
          <w:szCs w:val="32"/>
          <w:rtl/>
          <w:lang w:bidi="ar-EG"/>
        </w:rPr>
      </w:pPr>
      <w:r w:rsidRPr="00335E4B">
        <w:rPr>
          <w:rFonts w:cs="Traditional Arabic"/>
          <w:b/>
          <w:bCs/>
          <w:sz w:val="32"/>
          <w:szCs w:val="32"/>
          <w:u w:val="single"/>
          <w:rtl/>
          <w:lang w:bidi="ar-EG"/>
        </w:rPr>
        <w:br w:type="page"/>
      </w:r>
      <w:bookmarkStart w:id="1203" w:name="_Toc440456879"/>
      <w:bookmarkStart w:id="1204" w:name="_Toc440526953"/>
      <w:bookmarkStart w:id="1205" w:name="_Toc440527814"/>
      <w:bookmarkStart w:id="1206" w:name="_Toc440550514"/>
      <w:bookmarkStart w:id="1207" w:name="_Toc441577773"/>
      <w:bookmarkStart w:id="1208" w:name="_Toc441577952"/>
      <w:bookmarkStart w:id="1209" w:name="_Toc441579178"/>
      <w:bookmarkStart w:id="1210" w:name="_Toc441580786"/>
      <w:bookmarkStart w:id="1211" w:name="_Toc441585917"/>
      <w:bookmarkStart w:id="1212" w:name="_Toc441586253"/>
      <w:bookmarkStart w:id="1213" w:name="_Toc441586703"/>
      <w:bookmarkStart w:id="1214" w:name="_Toc441586882"/>
      <w:bookmarkStart w:id="1215" w:name="_Toc441666731"/>
      <w:bookmarkStart w:id="1216" w:name="_Toc441673792"/>
      <w:r w:rsidRPr="00335E4B">
        <w:rPr>
          <w:rFonts w:cs="Traditional Arabic" w:hint="cs"/>
          <w:b/>
          <w:bCs/>
          <w:sz w:val="32"/>
          <w:szCs w:val="32"/>
          <w:rtl/>
          <w:lang w:bidi="ar-EG"/>
        </w:rPr>
        <w:t>المراجع</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rsidR="00335E4B" w:rsidRPr="00335E4B" w:rsidRDefault="00335E4B" w:rsidP="00335E4B">
      <w:pPr>
        <w:bidi w:val="0"/>
        <w:spacing w:after="120"/>
        <w:rPr>
          <w:rFonts w:eastAsia="SimSun" w:cs="Times New Roman"/>
          <w:sz w:val="20"/>
          <w:szCs w:val="22"/>
        </w:rPr>
      </w:pPr>
      <w:r w:rsidRPr="00335E4B">
        <w:rPr>
          <w:rFonts w:eastAsia="SimSun" w:cs="Times New Roman"/>
          <w:sz w:val="20"/>
          <w:szCs w:val="22"/>
          <w:lang w:val="en-GB"/>
        </w:rPr>
        <w:t>ACAP (2004). Assessment of mercury releases from the Russian Federation. Russian Federal Service for Environmental, Technological and Atomic Supervision, Danish Environment Protection Agency for Arctic Council, COWI, December 2004.</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Ake, Terrence; Sulfur Dioxide Control for Small Utility Boilers, Air and Waste Management Association, 2009. </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Amar, P, C. Senior and R. Afonso (2008). NESCAUM Report: Applicability and Feasibility of NOx, SO2, and PM Emissions Control Technologies for Industrial, Commercial, and Institutional (ICI) Boilers (http://www.nescaum.org/activities/major-reports).</w:t>
      </w:r>
    </w:p>
    <w:p w:rsidR="00335E4B" w:rsidRPr="00F82635" w:rsidRDefault="00335E4B" w:rsidP="00335E4B">
      <w:pPr>
        <w:bidi w:val="0"/>
        <w:spacing w:after="120"/>
        <w:rPr>
          <w:rFonts w:eastAsia="SimSun" w:cs="Times New Roman"/>
          <w:sz w:val="20"/>
          <w:szCs w:val="22"/>
        </w:rPr>
      </w:pPr>
      <w:r w:rsidRPr="00335E4B">
        <w:rPr>
          <w:rFonts w:eastAsia="SimSun" w:cs="Times New Roman"/>
          <w:sz w:val="20"/>
          <w:szCs w:val="22"/>
          <w:lang w:val="en-GB"/>
        </w:rPr>
        <w:t>Amar, P, C. Senior, R. Afonso and J. Staudt (2010). NESCAUM Report “Technologies for Control and Measurement of Mercury Emissions from Coal-Fired Power Plants in the United States: A 2010 Status Report”.</w:t>
      </w:r>
    </w:p>
    <w:p w:rsidR="00335E4B" w:rsidRPr="00335E4B" w:rsidRDefault="00335E4B" w:rsidP="00335E4B">
      <w:pPr>
        <w:bidi w:val="0"/>
        <w:spacing w:after="120"/>
        <w:rPr>
          <w:rFonts w:eastAsia="SimSun" w:cs="Times New Roman"/>
          <w:sz w:val="20"/>
          <w:szCs w:val="22"/>
        </w:rPr>
      </w:pPr>
      <w:r w:rsidRPr="003033D5">
        <w:rPr>
          <w:rFonts w:eastAsia="SimSun" w:cs="Times New Roman"/>
          <w:sz w:val="20"/>
          <w:szCs w:val="22"/>
          <w:lang w:val="de-CH"/>
        </w:rPr>
        <w:t xml:space="preserve">Ancora, M. P., L. Zhang, S.X. Wang, J. Schreifels and J.M Hao (2015). </w:t>
      </w:r>
      <w:r w:rsidRPr="00335E4B">
        <w:rPr>
          <w:rFonts w:eastAsia="SimSun" w:cs="Times New Roman"/>
          <w:sz w:val="20"/>
          <w:szCs w:val="22"/>
          <w:lang w:val="en-GB"/>
        </w:rPr>
        <w:t>Economic Analysis of Atmospheric Mercury Emission Control for Coal-Fired Power Plants in China. Journal of Environmental Sciences vol. 27, issue 7, pp125–134..</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ASTM D388 (2012). Standard Classification of Coals by Rank.</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Babcock Power, Circulating Dry Scrubbers (CDS) Webinar Presentation, 2012 Mid-Atlantic Regional Air Management Association, 19 July 2012.</w:t>
      </w:r>
      <w:r w:rsidRPr="00335E4B">
        <w:rPr>
          <w:rFonts w:eastAsia="SimSun" w:cs="Times New Roman"/>
          <w:sz w:val="20"/>
          <w:szCs w:val="22"/>
          <w:lang w:val="en-GB"/>
        </w:rPr>
        <w:tab/>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Bertole, C., 2013; SCR Catalyst Management and Improvement to Achieve and Maintain Mercury Oxidation Levels, May 2013 (2013).</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Bojkowska, I., Sokolowska, G., 2001. Mercury in mineral raw materials exploited in Poland as potential sources of environmental pollution (In Polish), Biuletyn PIG, No. 5, p. 53.</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Brown, T. D., D.N. Smith, R.A. Hargis, Jr., W.J. O’Dowd. (1999). 1999 Critical Review: Mercury Measurement and Its Control: What We Know, Have Learned, and Need to Further Investigate, Journal of the Air &amp; Waste Management Association, vol., 49, pp. 1–97.</w:t>
      </w:r>
    </w:p>
    <w:p w:rsidR="00335E4B" w:rsidRPr="00335E4B" w:rsidRDefault="00335E4B" w:rsidP="00335E4B">
      <w:pPr>
        <w:bidi w:val="0"/>
        <w:spacing w:after="120"/>
        <w:rPr>
          <w:rFonts w:eastAsia="SimSun" w:cs="Times New Roman"/>
          <w:sz w:val="20"/>
          <w:szCs w:val="22"/>
          <w:lang w:val="en-GB"/>
        </w:rPr>
      </w:pPr>
      <w:r w:rsidRPr="003033D5">
        <w:rPr>
          <w:rFonts w:eastAsia="SimSun" w:cs="Times New Roman"/>
          <w:sz w:val="20"/>
          <w:szCs w:val="22"/>
          <w:lang w:val="de-CH"/>
        </w:rPr>
        <w:t xml:space="preserve">Buschmann, J., Lindau, L., Vosteen, B.W. (2006). </w:t>
      </w:r>
      <w:r w:rsidRPr="00335E4B">
        <w:rPr>
          <w:rFonts w:eastAsia="SimSun" w:cs="Times New Roman"/>
          <w:sz w:val="20"/>
          <w:szCs w:val="22"/>
          <w:lang w:val="en-GB"/>
        </w:rPr>
        <w:t>The KNXTM Coal Additive Technology –a Simple Solution for Mercury Emissions Control, Power Gen USA, December 2005.</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Celebi, M. (2014). "Coal Plant Retirements and Market Impacts", The Brattle Group, presented to Wartsila Flexible Power Symposium, Vail, CO, February 2014.</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Chang, R., Dombrowski, K., Senior, C. (2008). Near and Long-Term Options for Controlling Mercury Emissions from Power Plants, The MEGA Symposium, Baltimore, MD, 2008.</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Chathen, A., Blythe, G., Richardson, M., Dene, C., (2014). Srubber Additives for Mercury Re-Emission Control, The MEGA Symposium, Baltimore, MD, August 2014.</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Chu, P. (2004). Effects of SCRs on Mercury, Mercury Experts Conference, Glasgow, Scotland, May 2004.</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Clack, H.L. (2006). Mass Transfer within ESPs: Trace Gas Adsorption by Sorbent-covered Plate Electrodes, Journal of the Air &amp; Waste Management Association, vol. 56, pp. 759–766.</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Clack, H.L. (2009). Mercury Capture within Coal-Fired Power Plant Electrostatic Precipitators: Model Evaluation, Environ. Sci. Technol., vol. 43, pp. 1460–1466.</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CRIEPI and FEPC (2012). Data evaluated by CRIEPI (Central Research Institute of Electric Power Industry) in 2012, based on the data provided by FEPC (the Federation of Electric Power Companies of Japan).</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DeVito, M.S., Rosenhoover, W.A. (1999). Hg Flue Gas Measurements from Coal-fired Utilities Equipped with Wet Scrubbers, 92nd Annual Meeting of the Air &amp; Waste Management Association, St. Louis, MO, June 1999.</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Deye, C.S., Layman C.M. (2008). A Review of Electrostatic Precipitator Upgrades and SO2 Reduction at the Tennessee Valley Authority Johnsonville Fossil Plant, The MEGA Symposium, Baltimore, MD, 2008.</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Dombrowski, K., S. McDowell, et al. (2008). The balance-of-plant impacts of calcium bromide injection as a mercury oxidation technology in power plants. A&amp;WMA Mega Symposium. Baltimore, MD.</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Duan, Y. F. , Zhuo, Y. Q., Wang, Y. J. , Zhang, L. , Yang, L. G., Zhao, C. S., 2010. Mercury Emission and Removal of a 135MW CFB Utility Boiler. Proceedings of the 20th International Conference on Fluidized Bed Combustion 2010, 189–194.</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Eurelectric, 2003, Efficiency in Electricity Generation, EURELECTRIC "Preservation of Resources" Working Group, in collaboration with VGB, July 2003. </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European IPPC Bureau (EIPPCB) (2013). Best Available Techniques (BAT) Reference Document for the Large Combustion Plants–first draft (not adopted), June 2013 </w:t>
      </w:r>
      <w:hyperlink r:id="rId28" w:history="1">
        <w:r w:rsidRPr="00335E4B">
          <w:rPr>
            <w:rFonts w:eastAsia="SimSun" w:cs="Times New Roman"/>
            <w:sz w:val="20"/>
            <w:szCs w:val="22"/>
            <w:lang w:val="en-GB"/>
          </w:rPr>
          <w:t>http://eippcb.jrc.ec.europa.eu/reference/BREF/LCP_D1_June2013_online.pdf</w:t>
        </w:r>
      </w:hyperlink>
      <w:r w:rsidRPr="00335E4B">
        <w:rPr>
          <w:rFonts w:eastAsia="SimSun" w:cs="Times New Roman"/>
          <w:sz w:val="20"/>
          <w:szCs w:val="22"/>
          <w:lang w:val="en-GB"/>
        </w:rPr>
        <w:t>.</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Favale, A., Nakamoto, T, Kato, Y., and Nagai Y. (2013), Mercury Mitigation Strategy through the Co-Beneift Of Mercury Oxidation With SCR Catalyst, Power Engineering, January 2013. </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Feeley, T., III, Brickett, L.A., O’Palko, B.A., Jones, A.P. (2008). DOE/NETL’s Mercury Control Technology R&amp;D Program – Taking Technology from Concept to Commercial Reality, presented at the MEGA Symposium, Baltimore, MD, 2008.</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Feeley, T. J. and Jones, A. P. (2009). An Update on DOE/NETL’s Mercury Control Technology Field Testing Program. U.S. Department of Energy, available at https://www.netl.doe.gov/File%20Library/NewsRoom/Updated-netl-Hg-program-white-paper-FINAL-July2008.pdf.</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Feng, W., Kwon, S., Feng, X., Borguet, E., M.ASCE, R. D. V. (2006). Sulfur Impregnation on Activated Carbon Fibers through H2S Oxidation for Vapor Phase Mercury Removal. Journal of Environmental Engineering, 292–300. </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Finkelman B. Personal communication: USGS, 2003 // United Nations Environment Programme (UNEP). Toolkit for Identification and Quantification of Mercury Releases. Geneva, Switzerland: UNEP, 2005.</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Finkelman B. Personal communication: USGS, 2004 // United Nations Environment Programme (UNEP). Toolkit for Identification and Quantification of Mercury Releases. Geneva, Switzerland: UNEP, 2005.</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Galbreath, K.C. and Zygarlicke, C.J. (2000). Mercury Transformations in Coal Combustion Flue Gas, Fuel Process. Technol, 65–66, 289.</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GAO (2009). Preliminary Observations on the Effectiveness and Costs of Mercury Control Technologies at Coal-fired Power Plants, United States Government Accountability Office, GAO-09-860T, Washington, DC, 2009.</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Ghorishi, S. B., Keeney, R. M., Serre, S. D., Gullett, B. K., Jozewicz, W. S. (2002). Development of a Cl-Impregnated Activated Carbon for Entrained-Flow Capture of Elemental Mercury, Environ. Sci. Technol., vol. 36, pp. 4454.</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Graydon J. W., Zhang, X. Z., Kirk, D. W., Jia, C.Q. (2009). Sorption and stability of mercury on activated carbon for emission control. Journal of hazardous materials, 168(2-3): 978–82</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ICAC (2010). Enhancing Mercury Control on Coal-fired Boilers with SCR, Oxidation Catalyst, and FGD, Institute of Clean Air Companies. Available at: </w:t>
      </w:r>
      <w:hyperlink r:id="rId29" w:history="1">
        <w:r w:rsidRPr="00335E4B">
          <w:rPr>
            <w:rFonts w:eastAsia="SimSun" w:cs="Times New Roman"/>
            <w:sz w:val="20"/>
            <w:szCs w:val="22"/>
            <w:lang w:val="en-GB"/>
          </w:rPr>
          <w:t>www.icac.com</w:t>
        </w:r>
      </w:hyperlink>
      <w:r w:rsidRPr="00335E4B">
        <w:rPr>
          <w:rFonts w:eastAsia="SimSun" w:cs="Times New Roman"/>
          <w:sz w:val="20"/>
          <w:szCs w:val="22"/>
          <w:lang w:val="en-GB"/>
        </w:rPr>
        <w:t>.</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ICAC (2010a). Commercial Bookings List, June 2010. Available at: www.icac.com/files/members/Commercial_Hg_Bookings_060410.pdf. </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ICAC (2012). Sorbent Injection Technology for Control of Mercury Emissions from Coal-Fired Boilers. Available at: </w:t>
      </w:r>
      <w:hyperlink r:id="rId30" w:history="1">
        <w:r w:rsidRPr="00335E4B">
          <w:rPr>
            <w:rFonts w:eastAsia="SimSun" w:cs="Times New Roman"/>
            <w:sz w:val="20"/>
            <w:szCs w:val="22"/>
            <w:lang w:val="en-GB"/>
          </w:rPr>
          <w:t>www.icac.com</w:t>
        </w:r>
      </w:hyperlink>
      <w:r w:rsidRPr="00335E4B">
        <w:rPr>
          <w:rFonts w:eastAsia="SimSun" w:cs="Times New Roman"/>
          <w:sz w:val="20"/>
          <w:szCs w:val="22"/>
          <w:lang w:val="en-GB"/>
        </w:rPr>
        <w:t>.</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IEA, 2012, High-Efficiency, Low-Emissions Coal-Fired Power Generation-Technology Roadmap, International Energy Agency, Paris, France, 2012. </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IJC, International Joint Commission (2005) Consultation on emissions from coal-fired electrical utilities. Background report from the International Joint Commission and the Commission for Environmental Cooperation, International Air Quality Advisory Board, Montreal, QC, Canada, vp (Apr 2005).</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Institution of Chemical Engineers, Controlling Industrial Emissions-Practical Experience SS143 (Symposium). 1997.</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Ito S., Yokoyama T., Asakura K. (2006). Emission of mercury and other trace elements from coal-fired power plants in Japan, Science of the Total Environment, vol.368, pp. 397–402. </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Jia B J, Chen Y, Feng Q Z, Liu L Y (2013) Research progress of plasma technology in treating NO, SO2 and Hg0 from flue gas. Applied Mechanics and Materials, 295-298: 1293–1298.</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Jones A P, Hoffman JW, Smith D N, Feeley T J, Murphy J T (2007) DOE/NETL’s Phase II mercury control technology field testing program: preliminary economic analysis of activated carbon injection. Environmental Science and Technology; 41 (4); 1365–1371.</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Kang, S.; Edberg, C.; Rebula, E.; Noceti, P. (2007). Demonstration of Mer-Cure™ Technology for Enhanced Mercury Control, DOE/NETL Mercury Control Technology Conference, Pittsburgh, PA, 11–13 December 2007.</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Keiser, B., Glesmann, S., Taff, B., Senior, C., Ghorishi, B., Miller, J., Mimna, R., Byrne, H., Improving Capture of Mercury Efficiency in WFGDs by Reducing Mercury Reemissions, ICAC, June 2014</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Kilgroe, J. D., C. B. Sedman, R. K. Srivastava, J. V. Ryan, C. Lee and S. A. Thorneloe (2001). Control of mercury emissions from coal-fired electric utility boilers: interim report including errata dated 3-21-02. Carbon, U.S. Environmental Protection Agency, Office of Research and Development, National Risk Management Research Laboratory, Air Pollution Prevention and Control Division, 5: 33.</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Ko K B, Byun Y, Cho M, Hamilton I P, Shin D N, Koh D J, and Kim K T (2008) Pulsed Corona Discharge for Oxidation of Gaseous Elemental Mercury. Chemistry Faculty Publications. Paper 2. http://scholars.wlu.ca/chem_faculty/2.</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Landreth, R. and Royer, D., (2012). Extended use of concrete-friendly C-PAC sorbent at PPL Montana Corette Station, MEGA Symposium, Baltimore, MD, 2012.</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Laudal, D.L.; Thompson, J.S.; Pavlish, J.H.; Brickett, L.; Chu, P.; Srivastava, R.K.; Lee, C.W.; Kilgroe, J.D. (2002) Evaluation of Mercury Speciation at Power Plants Using SCR and SCR NOx Control Technologies, 3rd International Air Quality Conference, Arlington, Virginia, September 9–12, 2002.</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Lawless, P. (1996). Particle Charging Bounds, Symmetry Relations, and Analytic Charging Rate Model for the Continuum Regime, J. Aerosol Sci., vol. 27, no. 2, pp. 191–215, 1996.</w:t>
      </w:r>
    </w:p>
    <w:p w:rsidR="00335E4B" w:rsidRPr="003033D5" w:rsidRDefault="00335E4B" w:rsidP="00335E4B">
      <w:pPr>
        <w:bidi w:val="0"/>
        <w:spacing w:after="120"/>
        <w:rPr>
          <w:rFonts w:eastAsia="SimSun" w:cs="Times New Roman"/>
          <w:sz w:val="20"/>
          <w:szCs w:val="22"/>
          <w:lang w:val="de-CH"/>
        </w:rPr>
      </w:pPr>
      <w:r w:rsidRPr="00335E4B">
        <w:rPr>
          <w:rFonts w:eastAsia="SimSun" w:cs="Times New Roman"/>
          <w:sz w:val="20"/>
          <w:szCs w:val="22"/>
          <w:lang w:val="en-GB"/>
        </w:rPr>
        <w:t xml:space="preserve">Leaner, J.J., Dabrowski, J.M., Mason, R.P., Resane, T., Richardson, M., Ginster, M., Gericke, G., Petersen, C.R., Masekoameng, E., Ashton, P.J., Murray, K., (2009). Mercury Emissions from Point Sources in South Africa, In: Pirrone, N., and Mason, R. (eds.) </w:t>
      </w:r>
      <w:r w:rsidRPr="003033D5">
        <w:rPr>
          <w:rFonts w:eastAsia="SimSun" w:cs="Times New Roman"/>
          <w:sz w:val="20"/>
          <w:szCs w:val="22"/>
          <w:lang w:val="de-CH"/>
        </w:rPr>
        <w:t>Mercury Fate and Transport in the Global Atmosphere, Springer.</w:t>
      </w:r>
    </w:p>
    <w:p w:rsidR="00335E4B" w:rsidRPr="003033D5" w:rsidRDefault="00335E4B" w:rsidP="00335E4B">
      <w:pPr>
        <w:bidi w:val="0"/>
        <w:spacing w:after="120"/>
        <w:rPr>
          <w:rFonts w:eastAsia="SimSun" w:cs="Times New Roman"/>
          <w:sz w:val="20"/>
          <w:szCs w:val="22"/>
          <w:lang w:val="de-CH"/>
        </w:rPr>
      </w:pPr>
      <w:r w:rsidRPr="003033D5">
        <w:rPr>
          <w:rFonts w:eastAsia="SimSun" w:cs="Times New Roman"/>
          <w:sz w:val="20"/>
          <w:szCs w:val="22"/>
          <w:lang w:val="de-CH"/>
        </w:rPr>
        <w:t>Leitfaden zur energetischen Verwertung von Abfällen in Zement- Kalk und Kraftwerken in Nordrhein-Westfalen, 2. Auflage Ministerium für Umwelt und Naturschutz, Landwirtschaft und Verbraucherschutz des Landes Nordrhein-Westfalen, Düsseldorf, September 2005.</w:t>
      </w:r>
    </w:p>
    <w:p w:rsidR="00335E4B" w:rsidRPr="003033D5" w:rsidRDefault="00335E4B" w:rsidP="00335E4B">
      <w:pPr>
        <w:bidi w:val="0"/>
        <w:spacing w:after="120"/>
        <w:rPr>
          <w:rFonts w:eastAsia="SimSun" w:cs="Times New Roman"/>
          <w:sz w:val="20"/>
          <w:szCs w:val="22"/>
          <w:lang w:val="fr-CH"/>
        </w:rPr>
      </w:pPr>
      <w:r w:rsidRPr="00335E4B">
        <w:rPr>
          <w:rFonts w:eastAsia="SimSun" w:cs="Times New Roman"/>
          <w:sz w:val="20"/>
          <w:szCs w:val="22"/>
          <w:lang w:val="en-GB"/>
        </w:rPr>
        <w:t xml:space="preserve">Liu X.L., Wang S.X., Zhang L., Wu Y., Duan L., Hao J.M. (2013) Speciation of mercury in FGD gypsum and mercury emission during the wallboard production in China. </w:t>
      </w:r>
      <w:r w:rsidRPr="003033D5">
        <w:rPr>
          <w:rFonts w:eastAsia="SimSun" w:cs="Times New Roman"/>
          <w:sz w:val="20"/>
          <w:szCs w:val="22"/>
          <w:lang w:val="fr-CH"/>
        </w:rPr>
        <w:t>Fuel, vol. 111, pp. 621–627.</w:t>
      </w:r>
    </w:p>
    <w:p w:rsidR="00335E4B" w:rsidRPr="00335E4B" w:rsidRDefault="00335E4B" w:rsidP="00335E4B">
      <w:pPr>
        <w:bidi w:val="0"/>
        <w:spacing w:after="120"/>
        <w:rPr>
          <w:rFonts w:eastAsia="SimSun" w:cs="Times New Roman"/>
          <w:sz w:val="20"/>
          <w:szCs w:val="22"/>
          <w:lang w:val="en-GB"/>
        </w:rPr>
      </w:pPr>
      <w:r w:rsidRPr="003033D5">
        <w:rPr>
          <w:rFonts w:eastAsia="SimSun" w:cs="Times New Roman"/>
          <w:sz w:val="20"/>
          <w:szCs w:val="22"/>
          <w:lang w:val="fr-CH"/>
        </w:rPr>
        <w:t xml:space="preserve">Lu, Y., Rostam-Abadi, M., Chang, R., Richardson, C., Paradis J. (2007). </w:t>
      </w:r>
      <w:r w:rsidRPr="00335E4B">
        <w:rPr>
          <w:rFonts w:eastAsia="SimSun" w:cs="Times New Roman"/>
          <w:sz w:val="20"/>
          <w:szCs w:val="22"/>
          <w:lang w:val="en-GB"/>
        </w:rPr>
        <w:t>Characteristics of Fly Ashes from Full-Scale Coal-Fired Power Plants and Their Relationship to Mercury Adsorption, Energy &amp; Fuels, vol. 21, pp. 2112–2120.</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Marshall, J., Blythe, G.M., and Richardson, M. (2005). Fate of Mercury in Synthetic Gypsum Used for Wallboard Production. Topical report, Task 1 Wallboard Plant Test Results, DE-TC26-04NT42080, April 2005.</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Martin, C. (2009). Activated Carbon Injection for Mercury Control from Coal-Fired Boilers, An Overview, Presented at the Energy Efficiency and Air Pollutant Control Conference, Wroclaw, Poland, September 2009.</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Massachusetts Department of Environmental Proteection (2015). Annual Compliance Reports for SO2, NOx, and Mercury Emissions from Coal-Fired Power Plants (also, similar annual compliance reports from power plants in States of New Jersey and Connecticut).</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McTigue, N. E., Cornwell, D. A., Graf, K., &amp; Brown, R. (2014). Occurrence and consequences of increased bromide in drinking water sources. JOURNAL AWWA, 106, 11. </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Miller, C., Feeley, III, T., Aljoe W., Lani, B., Schroeder, K., Kairies, C., McNemar, A., Jones A., Murphy, J. (2006). Mercury Capture and Fate Using Wet FGD at Coal-Fired Power Plants, DOE/NETL Mercury and Wet FGD R&amp;D, Pittsburgh, PA, August 2006.</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Nakayama, Y., Nakamura, S., Takeuchi, Y., Itoh, M, Okino, S., Honjo, S. (2006). MHI High Efficiency System; Proven technology for multi pollutant removal, The MEGA Symposium, Baltimore, MD, 2006.</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Napolitano, S. (1998). "Analyzing Electric Power Generation under the CAAA", US EPA, March 1998.</w:t>
      </w:r>
    </w:p>
    <w:p w:rsidR="00335E4B" w:rsidRPr="003033D5" w:rsidRDefault="00335E4B" w:rsidP="00335E4B">
      <w:pPr>
        <w:bidi w:val="0"/>
        <w:spacing w:after="120"/>
        <w:rPr>
          <w:rFonts w:eastAsia="SimSun" w:cs="Times New Roman"/>
          <w:sz w:val="20"/>
          <w:szCs w:val="22"/>
          <w:lang w:val="fr-CH"/>
        </w:rPr>
      </w:pPr>
      <w:r w:rsidRPr="00335E4B">
        <w:rPr>
          <w:rFonts w:eastAsia="SimSun" w:cs="Times New Roman"/>
          <w:sz w:val="20"/>
          <w:szCs w:val="22"/>
          <w:lang w:val="en-GB"/>
        </w:rPr>
        <w:t xml:space="preserve">Nelson P. F. (2007) Atmospheric emissions of mercury from Australian point sources. </w:t>
      </w:r>
      <w:r w:rsidRPr="003033D5">
        <w:rPr>
          <w:rFonts w:eastAsia="SimSun" w:cs="Times New Roman"/>
          <w:sz w:val="20"/>
          <w:szCs w:val="22"/>
          <w:lang w:val="fr-CH"/>
        </w:rPr>
        <w:t>Atmospheric Environment, vol. 41, pp. 1717–1724.</w:t>
      </w:r>
    </w:p>
    <w:p w:rsidR="00335E4B" w:rsidRPr="00335E4B" w:rsidRDefault="00335E4B" w:rsidP="00335E4B">
      <w:pPr>
        <w:bidi w:val="0"/>
        <w:spacing w:after="120"/>
        <w:rPr>
          <w:rFonts w:eastAsia="SimSun" w:cs="Times New Roman"/>
          <w:sz w:val="20"/>
          <w:szCs w:val="22"/>
          <w:lang w:val="en-GB"/>
        </w:rPr>
      </w:pPr>
      <w:r w:rsidRPr="003033D5">
        <w:rPr>
          <w:rFonts w:eastAsia="SimSun" w:cs="Times New Roman"/>
          <w:sz w:val="20"/>
          <w:szCs w:val="22"/>
          <w:lang w:val="fr-CH"/>
        </w:rPr>
        <w:t xml:space="preserve">Nelson, S., Landreth, R., Zhou, Q., Miller, J. (2004). </w:t>
      </w:r>
      <w:r w:rsidRPr="00335E4B">
        <w:rPr>
          <w:rFonts w:eastAsia="SimSun" w:cs="Times New Roman"/>
          <w:sz w:val="20"/>
          <w:szCs w:val="22"/>
          <w:lang w:val="en-GB"/>
        </w:rPr>
        <w:t>Accumulated Power-Plant Mercury-Removal Experience with Brominated PAC Injection, Joint EPRI DOE EPA Combined Utility Air Pollution Control Symposium, The MEGA Symposium, Washington, DC, 2004.</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Nelson, S.; Landreth, R.; Liu, X.; Tang, Z.; Miller, J.; Brickett, L. (2006). Brominated Sorbents for Small Cold-Side ESPs, Hot-Side ESPs, and Fly Ash Use in Concrete, DOE/NETL Mercury Control Technology Conference, Pittsburgh, PA, December 11–13, 2006.</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Niksa, S., Fujiwara, N. (2004). The Impact of Wet FGD Scrubbing On Hg Emissions From Coal-Fired Power Stations, The MEGA Symposium, Washington, DC, 2004.</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Nolan, P., Downs, W., Bailey, R., Vecci, S. (2003). Use of Sulfide Containing Liquors for Removing Mercury from Flue Gases, US Patent 6,503,470, 7 January 2003.</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Pacyna, J., Sundseth, K., Pacyna, E.G., Jozewicz, W., Munthe, J., Belhaj, M., Astrom, S. (2010). An Assessment of Costs and Benefits Associated with Mercury Emission Reductions from Major Anthropogenic Sources, Journal of the Air &amp; Waste Management, vol. 60, pp. 302–315, 2010.</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Peters, H. James (2010) Regenerative Activated Coke Technology with No Water Consumption, RMEL Spring Conference, Santa Fe NM, 17 March 2010 (http://www.hamonusa.com/sites/default/files/Regenerative%20Activated%20Coke%20Technology%20with%20No%20Water%20Consumption.pdf).</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Pirrone N, Munthe J, Barregård L, Ehrlich H C, Petersen G, Fernandez R, Hansen J C,Grandjean P, Horvat M, Steinnes E, Ahrens R, Pacyna J M, Borowiak A, Boffetta P., Wichmann-Fiebig M. EU ambient air pollution by mercury (Hg) - position paper. Italy: Office for Official Publications of the European Communities, 2001.</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Redinger, K.E., Evans, A., Bailey, R., Nolan, P. (1997). Mercury Emissions Control in FGD Systems, EPRI/DOE/EPA Combined Air Pollutant Control System, Washington, DC, 1997.</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Richardson, S. D., Plewa, M. J., Wagner, E. D., Schoeny, R., &amp; DeMarini, D. M. (2007). Occurrence, genotoxicity, and carcinogenicity of regulated and emerging disinfection by-products in drinking water: a review and roadmap for research. Mutation Research/Reviews in Mutation Research, 636(1), 178–242.</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Rini, M.J., Vosteen, B.W. (2008). Full-scale Test Results From a 600 MW PRB-fired Unit Using Alstom’s KNX™ Technology for Mercury Emissions Control, The MEGA Symposium 2008, Baltimore, MD, 2008.</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Rini, M.J., Vosteen, B.W. (2009). Full-Scale Test Results from a 600 MW PRB-fired Unit Using Alstom’s KNX™ Technology for Mercury Control, MEC-6 Conference, Ljubljana, Slovenia, April 2009.</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Romanov, A., Sloss, L. and Jozewicz, W. (2012). Mercury emissions from the coal-fired energy generation sector of the Russian Federation. Energy &amp; Fuels, vol. 26, pp. 4647–4654.</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Rupesh, K. (2013). Fuels and its Combustion in Boiler, Steag, 2013. Available at: </w:t>
      </w:r>
      <w:hyperlink r:id="rId31" w:history="1">
        <w:r w:rsidRPr="00335E4B">
          <w:rPr>
            <w:rFonts w:eastAsia="SimSun" w:cs="Times New Roman"/>
            <w:sz w:val="20"/>
            <w:szCs w:val="22"/>
            <w:lang w:val="en-GB"/>
          </w:rPr>
          <w:t>http://www.eecpowerindia.com/codelibrary/ckeditor/ckfinder/userfiles/files/Session%202%20%20module%202-%20Fuels%20and%20its%20Combustion%20in%20Boiler.pdf</w:t>
        </w:r>
      </w:hyperlink>
      <w:r w:rsidRPr="00335E4B">
        <w:rPr>
          <w:rFonts w:eastAsia="SimSun" w:cs="Times New Roman"/>
          <w:sz w:val="20"/>
          <w:szCs w:val="22"/>
          <w:lang w:val="en-GB"/>
        </w:rPr>
        <w:t>.</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Sargent &amp; Lundy (2007). Flue Gas Desulfurization Technology Evaluation (Dry Lime vs. Wet Limestone FGD), Project Number 11311-001 (2007).</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EPRI (2006). Status of Mercury Control Technologies: Activated Carbon Injection and Boiler Chemical Additives, Technical Report of EPRI (2006).</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Sarunac, Nenad, Evaluation and Comparison of US and EU Reference Methods for Measurement of Mercury, Heavy Metals, PM2.5 and PM10 Emission From Fossil-Fired Power Plants, Lehigh University, February 2007.</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Satyamurty, M. (2007). Coal Beneficiation Technology – 2007 Initiatives, Policies and Practices, presented at Workshop on Coal Beneficiation and Utilization of Rejects: Initiatives, Policies and Practice, Ranchi, India, 22–24 August 2007.</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Senior, C.L. (2000). Behavior of Mercury in Air Pollution Control Devices on Coal-fired Utility Boilers, Power Production in the 21st Century Conference, Snowbird, UT, USA, 2000.</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Senior, C. (2004). Modelling Mercury Behavior in Combustion Systems: Status and Future Prospects, In Proceedings of the Mercury Experts Conference MEC-1, Glasgow, Scotland, May 2004.</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Senior, C., Fry, A., Cauch, B. (2008). Modeling Mercury Behavior in Coal-Fired Boilers with Halogen Addition, The MEGA Symposium, Baltimore, MD, August 2008.</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Senior, C., Johnson, S. (2008). Impact of Carbon-in-Ash on Mercury Removal across Particulate Control Devices in Coal-Fired Power Plants, Energy &amp; Fuels, vol. 19, pp. 859–863, 2005.</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Serre, S., Lee CW, Chu, P., Hastings T. (2008). Evaluation of the Impact of Chlorine on Mercury Oxidation in a Pilot-Scale Coal Combustor ─ The Effect of Coal Blending, The MEGA Symposium, Baltimore, MD, August 2008.</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Singer, J.G. (1991). Combustion Fossil Power, 1991.</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Sloss, L. (2008). Economics of Mercury Control, Clean Coal Centre, ISBN: 978-92-9029-453-5, January 2008.</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Sloss, L. (2009). Implications of emission legislation for existing coal-fired plants, Clean Coal Centre, ISBN: 978-92-90290464-1, February 2009.</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Sloss, L. (2015). The emerging market for mercury control, IEA, CCC, February 2015.</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Srinivasan, N. and Dene. C. (2013). Bromine Related Corrosion Issues, July 2013. Available at: </w:t>
      </w:r>
      <w:hyperlink r:id="rId32" w:history="1">
        <w:r w:rsidRPr="00335E4B">
          <w:rPr>
            <w:rFonts w:eastAsia="SimSun" w:cs="Times New Roman"/>
            <w:sz w:val="20"/>
            <w:szCs w:val="22"/>
            <w:lang w:val="en-GB"/>
          </w:rPr>
          <w:t>http://aepevents.com/files/presentations/2013-general-session-bromine-additon-for-mercury-capturesrinivasan-and-dene-epri-1378922295.pdf</w:t>
        </w:r>
      </w:hyperlink>
      <w:r w:rsidRPr="00335E4B">
        <w:rPr>
          <w:rFonts w:eastAsia="SimSun" w:cs="Times New Roman"/>
          <w:sz w:val="20"/>
          <w:szCs w:val="22"/>
          <w:lang w:val="en-GB"/>
        </w:rPr>
        <w:t>.</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Srivastava, R., Martin, B., Princiotta, F, Staudt, J. (2006). Control of Mercury Emissions from Coal-Fired Electric Utility Boilers, Environ. Sci. Technol., vol. 40, pp. 1385–1392, 2006.</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Srivastava, R.K., Jozewicz, W. (2001). Flue Gas Desulfurization: The State of the Art, Journal of the Air &amp; Waste Management Association, vol.51, no.12, pp.1676–1688, 2001.</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Tewalt, S.J., Belkin, H.E., SanFilipo, J.R., Merrill, M.D., Palmer, C.A., Warwick, P.D., Karlsen, A.W., Finkelman, R.B., and Park, A.J., comp., 2010, Chemical analyses in the World Coal Quality Inventory, version 1: U.S. Geological Survey Open-File Report 2010-1196, </w:t>
      </w:r>
      <w:hyperlink r:id="rId33" w:history="1">
        <w:r w:rsidRPr="00335E4B">
          <w:rPr>
            <w:rFonts w:eastAsia="SimSun" w:cs="Times New Roman"/>
            <w:sz w:val="20"/>
            <w:szCs w:val="22"/>
            <w:lang w:val="en-GB"/>
          </w:rPr>
          <w:t>http://pubs.usgs.gov/of/2010/1196/</w:t>
        </w:r>
      </w:hyperlink>
      <w:r w:rsidRPr="00335E4B">
        <w:rPr>
          <w:rFonts w:eastAsia="SimSun" w:cs="Times New Roman"/>
          <w:sz w:val="20"/>
          <w:szCs w:val="22"/>
          <w:lang w:val="en-GB"/>
        </w:rPr>
        <w:t>.</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Timpe, R.C.; Mann, M.D.; Pavlish, J.H. (2001). Organic Sulfur and HAP Removal from Coal Using Hydrothermal Treatment, Fuel Process. Technol., vol. 73, no.2, pp.127–141, 2001.</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Toole-O’Neil, B., Tewalt, S.J., Finkleman, R.B., Akers. R. (1999). Mercury Concentration in Coal-Unraveling the Puzzle, Fuel, vol. 78, pp. 47–54, 1999.</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UK Department of Trade and Industry (2000), Flue Gas Desulphurization (FGD) Technologies, Technology Status Report No.12. </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UNEP (2008). The Global Atmospheric Mercury Assessment: Sources, Emissions and Transport. United Nations Environmental Programme, Chemicals Branch, DTIE, Geneva, Switzerland, December, 2008.</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UNEP (2010). Process Optimization Guidance Document, United Nations Environmental Programme, Chemicals Branch, Geneva, Switzerland, January 2011.</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UNEP (2011). Reducing mercury emissions from coal combustion in the energy sector. United Nations Environmental Programme, Chemicals Branch, Geneva, Switzerland, February 2011. Available at: </w:t>
      </w:r>
      <w:hyperlink r:id="rId34" w:history="1">
        <w:r w:rsidRPr="00335E4B">
          <w:rPr>
            <w:rFonts w:eastAsia="SimSun" w:cs="Times New Roman"/>
            <w:sz w:val="20"/>
            <w:szCs w:val="22"/>
            <w:lang w:val="en-GB"/>
          </w:rPr>
          <w:t>http://www.unep.org/chemicalsandwaste/Portals/9/Mercury/Documents/coal/FINAL%20Chinese_Coal%20Report%20-%2011%20March%202011.pdf</w:t>
        </w:r>
      </w:hyperlink>
      <w:r w:rsidRPr="00335E4B">
        <w:rPr>
          <w:rFonts w:eastAsia="SimSun" w:cs="Times New Roman"/>
          <w:sz w:val="20"/>
          <w:szCs w:val="22"/>
          <w:lang w:val="en-GB"/>
        </w:rPr>
        <w:t>.</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UNEP (2013a). Global mercury assessment 2013: sources, emissions, releases, and environmental transport. United Nations Environmental Programme, Chemicals Branch, Geneva. Available at: </w:t>
      </w:r>
      <w:hyperlink r:id="rId35" w:history="1">
        <w:r w:rsidRPr="00335E4B">
          <w:rPr>
            <w:rFonts w:eastAsia="SimSun" w:cs="Times New Roman"/>
            <w:sz w:val="20"/>
            <w:szCs w:val="22"/>
            <w:lang w:val="en-GB"/>
          </w:rPr>
          <w:t>http://www.unep.org/PDF/PressReleases/GlobalMercuryAssessment2013.pdf</w:t>
        </w:r>
      </w:hyperlink>
      <w:r w:rsidRPr="00335E4B">
        <w:rPr>
          <w:rFonts w:eastAsia="SimSun" w:cs="Times New Roman"/>
          <w:sz w:val="20"/>
          <w:szCs w:val="22"/>
          <w:lang w:val="en-GB"/>
        </w:rPr>
        <w:t>.</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UNEP (2013b). Reducing mercury emissions from coal combustion in the energy sector of the Russian Federation. United Nations Environmental Programme, Chemicals Branch, Geneva. Available at: </w:t>
      </w:r>
      <w:hyperlink r:id="rId36" w:history="1">
        <w:r w:rsidRPr="00335E4B">
          <w:rPr>
            <w:rFonts w:eastAsia="SimSun" w:cs="Times New Roman"/>
            <w:sz w:val="20"/>
            <w:szCs w:val="22"/>
            <w:lang w:val="en-GB"/>
          </w:rPr>
          <w:t>http://www.unep.org/chemicalsandwaste/Portals/9/Mercury/Documents/coal/Report%20Demo-Toliatti%20FINAL%20Report%2027%20Nov%202013.pdf</w:t>
        </w:r>
      </w:hyperlink>
      <w:r w:rsidRPr="00335E4B">
        <w:rPr>
          <w:rFonts w:eastAsia="SimSun" w:cs="Times New Roman"/>
          <w:sz w:val="20"/>
          <w:szCs w:val="22"/>
          <w:lang w:val="en-GB"/>
        </w:rPr>
        <w:t>.</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US DOE (2005). Feeley, .J. III, Brickett, L.A, O’Palko A., Murphy J.T., Field Testing of Mercury Control Technologies for Coal-Fired Power Plants, Mercury R&amp;D Review Meeting, December 2005.</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USEPA (1997). Mercury Study Report to Congress, Volume I, Office of Air Quality Planning and Standards and Office of Research and Development, Research Triangle Park, NC, EPA-452/R-97-004b, December 1997.</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USEPA (2001). Database of information collected in the Electric Utility Steam Generating Unit Mercury Emissions Information Collection Effort, OMB Control No. 2060–0396, Office of Air Quality Planning and Standards. Research Triangle Park, NC, April 2001. Available at: http://www.epa.gov/ttn/atw/combust/utiltox/utoxpg.html.</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USEPA (2002). Control of Mercury Emissions from Coal-Fired Electric Utility Boilers: Interim Report Including Errata Dated 3-31-02, Air Pollution Prevention and Control Division, National Risk Management Research Laboratory, Office of Research and Development, U.S. Environmental Protection Agency, Research Triangle Park, NC, EPA-600/R-01-109, April 2002.</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USEPA (2005). Multipollutant Emission Control Technology Options for Coal-fired Power Plants, Air Pollution Prevention and Control Division, National Risk Management Research Laboratory, Office of Research and Development, U.S. Environmental Protection Agency, Research Triangle Park, NC, EPA-600/R-05-034, March 2005.</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USEPA (2006). Characterization of Mercury-Enriched Coal Combustion Residues from Electric Utilities Using Enhanced Sorbents for Mercury Control, Air Pollution Prevention and Control Division, National Risk Management Research Laboratory, Office of Research and Development, U.S. Environmental Protection Agency, Research Triangle Park, NC, EPA-600/R-06-008, February 2006.</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USEPA (2008). Characterization of Coal Combustion Residues from Electric Utilities Using Wet Scrubbers for Multi-Pollutant Control, Air Pollution Prevention and Control Division, National Risk Management Research Laboratory, Office of Research and Development, U.S. Environmental Protection Agency, Research Triangle Park, NC, EPA-600/R-08-077, July 2008.</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USEPA (2009). CUECost Workbook Development, Documentation, Air Pollution Prevention and Control Division, National Risk Management Research Laboratory, Office of Research and Development, U.S. Environmental Protection Agency, Research Triangle Park, NC, EPA-600/R-09-131, September 2009. </w:t>
      </w:r>
      <w:hyperlink r:id="rId37" w:history="1">
        <w:r w:rsidRPr="00335E4B">
          <w:rPr>
            <w:rFonts w:eastAsia="SimSun" w:cs="Times New Roman"/>
            <w:sz w:val="20"/>
            <w:szCs w:val="22"/>
            <w:lang w:val="en-GB"/>
          </w:rPr>
          <w:t>http://nepis.epa.gov/Adobe/PDF/P1005ODM.pdf</w:t>
        </w:r>
      </w:hyperlink>
      <w:r w:rsidRPr="00335E4B">
        <w:rPr>
          <w:rFonts w:eastAsia="SimSun" w:cs="Times New Roman"/>
          <w:sz w:val="20"/>
          <w:szCs w:val="22"/>
          <w:lang w:val="en-GB"/>
        </w:rPr>
        <w:t>.</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USEPA (2009a). Characterization of Coal Combustion Residues from Electric Utilities-Leaching and Characterization Data, Air Pollution Prevention and Control Division, National Risk Management Research Laboratory, Office of Research and Development, U.S. Environmental Protection Agency, Research Triangle Park, NC, EPA-600/R-09-151, December 2009.</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USEPA (2010). Documentation for EPA Base Case v.4.10 Using the Integrated Planning Model, EPA 430R10010.</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USEPA (2013). Documentation for EPA Base Case v.5.13 Using the Integrated Planning Model EPA# 450R13002. </w:t>
      </w:r>
      <w:hyperlink r:id="rId38" w:history="1">
        <w:r w:rsidRPr="00335E4B">
          <w:rPr>
            <w:rFonts w:eastAsia="SimSun" w:cs="Times New Roman"/>
            <w:sz w:val="20"/>
            <w:szCs w:val="22"/>
            <w:lang w:val="en-GB"/>
          </w:rPr>
          <w:t>http://www.epa.gov/airmarkets/programs/ipm/psmodel.html</w:t>
        </w:r>
      </w:hyperlink>
      <w:r w:rsidRPr="00335E4B">
        <w:rPr>
          <w:rFonts w:eastAsia="SimSun" w:cs="Times New Roman"/>
          <w:sz w:val="20"/>
          <w:szCs w:val="22"/>
          <w:lang w:val="en-GB"/>
        </w:rPr>
        <w:t>.</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USGS (2014). Collaborative Studies for Mercury Characterization in Coal and Coal Combustion Products, Republic of South Africa, U.S. Geological Survey, Eastern Energy Resources Science Center, Reston, VA 20192, USA, January 2014.</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Vassileva, S.V.; Eskenazy, G.M.; Vassileva, C.G. (2000). Contents, modes of occurrence and origin of chlorine and bromine in coal. Fuel, vol. 79, pp 903–921.</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Vosteen, B.W., Beyer, J. et al. (2002). Process for Removing Mercury from Flue Gases, Patent Application DE 102 33 173, July 2002. </w:t>
      </w:r>
    </w:p>
    <w:p w:rsidR="00335E4B" w:rsidRPr="00335E4B" w:rsidRDefault="00335E4B" w:rsidP="00335E4B">
      <w:pPr>
        <w:bidi w:val="0"/>
        <w:spacing w:after="120"/>
        <w:rPr>
          <w:rFonts w:eastAsia="SimSun" w:cs="Times New Roman"/>
          <w:sz w:val="20"/>
          <w:szCs w:val="22"/>
          <w:lang w:val="en-GB"/>
        </w:rPr>
      </w:pPr>
      <w:r w:rsidRPr="003033D5">
        <w:rPr>
          <w:rFonts w:eastAsia="SimSun" w:cs="Times New Roman"/>
          <w:sz w:val="20"/>
          <w:szCs w:val="22"/>
          <w:lang w:val="de-CH"/>
        </w:rPr>
        <w:t xml:space="preserve">Vosteen, B.W., Beyer, J., Bonkhofer, Th.-G., Pohontsch, A., Wieland, A. (2003). Hg-Rückhaltung im reingasseitigen SCR-Katalysatorbett hinter der Rauchgaswäsche einer Sonderabfallverbrennungsanlage, VGB PowerTech 4/2003, 76-91. </w:t>
      </w:r>
      <w:r w:rsidRPr="00335E4B">
        <w:rPr>
          <w:rFonts w:eastAsia="SimSun" w:cs="Times New Roman"/>
          <w:sz w:val="20"/>
          <w:szCs w:val="22"/>
          <w:lang w:val="en-GB"/>
        </w:rPr>
        <w:t>April 2003.</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Vosteen, B. W., Beyer, J., Bonkhofer, Th.-G., Kanefke, R. , Ulrich, R. (2003b). Mercury-Related Chemistry in Waste Incineration and Thermal Process Flue Gases, Poster, Air Quality Conference VI, Arlington VA, September 2003.</w:t>
      </w:r>
    </w:p>
    <w:p w:rsidR="00335E4B" w:rsidRPr="003033D5" w:rsidRDefault="00335E4B" w:rsidP="00335E4B">
      <w:pPr>
        <w:bidi w:val="0"/>
        <w:spacing w:after="120"/>
        <w:rPr>
          <w:rFonts w:eastAsia="SimSun" w:cs="Times New Roman"/>
          <w:sz w:val="20"/>
          <w:szCs w:val="22"/>
          <w:lang w:val="de-CH"/>
        </w:rPr>
      </w:pPr>
      <w:r w:rsidRPr="003033D5">
        <w:rPr>
          <w:rFonts w:eastAsia="SimSun" w:cs="Times New Roman"/>
          <w:sz w:val="20"/>
          <w:szCs w:val="22"/>
          <w:lang w:val="de-CH"/>
        </w:rPr>
        <w:t xml:space="preserve">Vosteen, B. W., Kanefke, R. (2003c). Bromgestützte Quecksilberabscheidung aus den Abgasen von Ver- brennungsanlagen, Studie im Auftrag des Landesumweltamts Nordrhein-Westfalen, Cologne, Germany, December 2003, available at: http://vosteen-consulting.de/sites/Vosteen-Consulting/de_1958.asp. </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Vosteen, B.W., Lindau, L. (2006). Bromine Based Mercury Abatement-Promising Results from Further Full Scale Testing, MEC-3 Conference, Katowice, Poland, June 2006.</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Vosteen, B.W.; Kanefke, R.; Koeser, H. (2006b). Bromine-enhanced Mercury Abatement from Combustion Flue Gases – Recent Industrial Applications and Laboratory Research, VGB PowerTech 3/2006, 70-75. March 2006.</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Vosteen, B.W. (2010). Chinese Coals Need Bromine for Co-Benefit Mercury Capture, paper # C2-8 in Proceedings of 13th Electric Utilities Environmental Conference (EUEC), Phoenix, AZ, February 1-3, 2010.Wang Y., Duan Y., Yang L., Jiang Y., Wu C., Wang Q., Yang X. (2008). Comparison of Mercury Removal Characteristic between Fabric Filter and Electrostatic Precipitators of Coal-fired Power Plants, J Fuel Chem Technol, vol. 36, no. 1, pp. 23–29, 2008.</w:t>
      </w:r>
    </w:p>
    <w:p w:rsidR="00335E4B" w:rsidRPr="00335E4B" w:rsidRDefault="00335E4B" w:rsidP="00335E4B">
      <w:pPr>
        <w:bidi w:val="0"/>
        <w:spacing w:after="120"/>
        <w:rPr>
          <w:rFonts w:eastAsia="SimSun" w:cs="Times New Roman"/>
          <w:sz w:val="20"/>
          <w:szCs w:val="22"/>
          <w:lang w:val="en-GB"/>
        </w:rPr>
      </w:pPr>
      <w:r w:rsidRPr="003033D5">
        <w:rPr>
          <w:rFonts w:eastAsia="SimSun" w:cs="Times New Roman"/>
          <w:sz w:val="20"/>
          <w:szCs w:val="22"/>
          <w:lang w:val="de-CH"/>
        </w:rPr>
        <w:t xml:space="preserve">Wang, S., Zhang, L., Wu, Y., Ancora, M., Zhao, Y., Hao, J. (2010). </w:t>
      </w:r>
      <w:r w:rsidRPr="00335E4B">
        <w:rPr>
          <w:rFonts w:eastAsia="SimSun" w:cs="Times New Roman"/>
          <w:sz w:val="20"/>
          <w:szCs w:val="22"/>
          <w:lang w:val="en-GB"/>
        </w:rPr>
        <w:t>Synergistic Mercury Removal by Conventional Pollutant Control Strategies for Coal-fired Power Plants in China, Journal of the Air &amp; Waste Management Association, vol. 60, no.6, pp. 722–730.</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Wang, S. X., Zhang, L., Li, G. H., Wu, Y., Hao, J. M., Pirrone, N., Sprovieri, F., Ancora, M. P. (2010) Mercury emission and speciation of coal-fired power plants in China. Atmospheric Chemistry and Physics, 10(3): 1183–1192.</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 xml:space="preserve">WCA (2014). World Coal Association. Available at </w:t>
      </w:r>
      <w:hyperlink r:id="rId39" w:history="1">
        <w:r w:rsidRPr="00335E4B">
          <w:rPr>
            <w:rFonts w:eastAsia="SimSun" w:cs="Times New Roman"/>
            <w:sz w:val="20"/>
            <w:szCs w:val="22"/>
            <w:lang w:val="en-GB"/>
          </w:rPr>
          <w:t>http://www.worldcoal.org/coal/what-is-coal/</w:t>
        </w:r>
      </w:hyperlink>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Xu F, Luo Z, Cao W, Wang P, Wei B, Gao X, Fang M, Cen K (2009) Simultaneous oxidation of NO, SO2 and Hg0 from flue gas by pulsed corona discharge, Journal of Environmental Sciences, 21: 328~332.</w:t>
      </w:r>
    </w:p>
    <w:p w:rsidR="00335E4B" w:rsidRPr="003033D5" w:rsidRDefault="00335E4B" w:rsidP="00335E4B">
      <w:pPr>
        <w:bidi w:val="0"/>
        <w:spacing w:after="120"/>
        <w:rPr>
          <w:rFonts w:eastAsia="SimSun" w:cs="Times New Roman"/>
          <w:sz w:val="20"/>
          <w:szCs w:val="22"/>
          <w:lang w:val="de-CH"/>
        </w:rPr>
      </w:pPr>
      <w:r w:rsidRPr="003033D5">
        <w:rPr>
          <w:rFonts w:eastAsia="SimSun" w:cs="Times New Roman"/>
          <w:sz w:val="20"/>
          <w:szCs w:val="22"/>
          <w:lang w:val="de-CH"/>
        </w:rPr>
        <w:t xml:space="preserve">Zhang, L., Wang, S. X., Meng, Y., Hao, J.M. (2012). </w:t>
      </w:r>
      <w:r w:rsidRPr="00335E4B">
        <w:rPr>
          <w:rFonts w:eastAsia="SimSun" w:cs="Times New Roman"/>
          <w:sz w:val="20"/>
          <w:szCs w:val="22"/>
          <w:lang w:val="en-GB"/>
        </w:rPr>
        <w:t xml:space="preserve">Influence of Mercury and Chlorine Content of Coal on Mercury Emissions from Coal-Fired Power Plants in China. </w:t>
      </w:r>
      <w:r w:rsidRPr="003033D5">
        <w:rPr>
          <w:rFonts w:eastAsia="SimSun" w:cs="Times New Roman"/>
          <w:sz w:val="20"/>
          <w:szCs w:val="22"/>
          <w:lang w:val="de-CH"/>
        </w:rPr>
        <w:t>Environ. Sci. Technol., 46 (11), pp. 6385–6392.</w:t>
      </w:r>
    </w:p>
    <w:p w:rsidR="00335E4B" w:rsidRPr="00335E4B" w:rsidRDefault="00335E4B" w:rsidP="00335E4B">
      <w:pPr>
        <w:bidi w:val="0"/>
        <w:spacing w:after="120"/>
        <w:rPr>
          <w:rFonts w:eastAsia="SimSun" w:cs="Times New Roman"/>
          <w:sz w:val="20"/>
          <w:szCs w:val="22"/>
          <w:lang w:val="en-GB"/>
        </w:rPr>
      </w:pPr>
      <w:r w:rsidRPr="003033D5">
        <w:rPr>
          <w:rFonts w:eastAsia="SimSun" w:cs="Times New Roman"/>
          <w:sz w:val="20"/>
          <w:szCs w:val="22"/>
          <w:lang w:val="de-CH"/>
        </w:rPr>
        <w:t xml:space="preserve">Zhang, L., Wang, S. X., Wang, F. Y., Yang, H., Wu, Q. R., Hao, J. M. (2013). </w:t>
      </w:r>
      <w:r w:rsidRPr="00335E4B">
        <w:rPr>
          <w:rFonts w:eastAsia="SimSun" w:cs="Times New Roman"/>
          <w:sz w:val="20"/>
          <w:szCs w:val="22"/>
          <w:lang w:val="en-GB"/>
        </w:rPr>
        <w:t>Mercury transformation and removal in three coal-fired power plants with selective catalytic reduction systems. The 11th International Conference on Mercury as a Global Pollutant, Edinburgh, Scotland, UK, 2013.</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Zhang, L., Wang, S.X., Wang, L., Wu, Y., Duan, L., Wu, Q.R., Wang, F. Y., Yang, M., Yang, H., Hao, J.M, Liu, X. (2015). Updated emission inventories for speciated atmospheric mercury from anthropogenic sources in China. Environ Sci Technol., 49(5):3185-94. doi: 10.1021/es504840m.</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Zhang, L. (2015). Mechanism of mercury transformation and synergistic removal from coal combustion. Postdoctoral Research Report, Beijing, China, 2015.</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Zhuo, Y. (2007). Hg Emission from Six Coal-fired Power Plants in China and Its Implications, Mercury Emission from Coal, The 4th International Experts’ Workshop MEC-4, Tokyo, Japan, 13 –15 June 2007.</w:t>
      </w:r>
    </w:p>
    <w:p w:rsidR="00335E4B" w:rsidRPr="00335E4B" w:rsidRDefault="00335E4B" w:rsidP="00335E4B">
      <w:pPr>
        <w:bidi w:val="0"/>
        <w:spacing w:after="120"/>
        <w:rPr>
          <w:rFonts w:eastAsia="SimSun" w:cs="Times New Roman"/>
          <w:sz w:val="20"/>
          <w:szCs w:val="22"/>
          <w:lang w:val="en-GB"/>
        </w:rPr>
      </w:pPr>
      <w:r w:rsidRPr="00335E4B">
        <w:rPr>
          <w:rFonts w:eastAsia="SimSun" w:cs="Times New Roman"/>
          <w:sz w:val="20"/>
          <w:szCs w:val="22"/>
          <w:lang w:val="en-GB"/>
        </w:rPr>
        <w:t>ZMWG (2015) ZMWG Comments on Guidance on BAT/BEP for Coal</w:t>
      </w:r>
      <w:r w:rsidRPr="00335E4B">
        <w:rPr>
          <w:rFonts w:ascii="Cambria Math" w:eastAsia="SimSun" w:hAnsi="Cambria Math" w:cs="Cambria Math"/>
          <w:sz w:val="20"/>
          <w:szCs w:val="22"/>
          <w:lang w:val="en-GB"/>
        </w:rPr>
        <w:t>‐</w:t>
      </w:r>
      <w:r w:rsidRPr="00335E4B">
        <w:rPr>
          <w:rFonts w:eastAsia="SimSun" w:cs="Times New Roman"/>
          <w:sz w:val="20"/>
          <w:szCs w:val="22"/>
          <w:lang w:val="en-GB"/>
        </w:rPr>
        <w:t>fired power plants and Coal</w:t>
      </w:r>
      <w:r w:rsidRPr="00335E4B">
        <w:rPr>
          <w:rFonts w:ascii="Cambria Math" w:eastAsia="SimSun" w:hAnsi="Cambria Math" w:cs="Cambria Math"/>
          <w:sz w:val="20"/>
          <w:szCs w:val="22"/>
          <w:lang w:val="en-GB"/>
        </w:rPr>
        <w:t>‐</w:t>
      </w:r>
      <w:r w:rsidRPr="00335E4B">
        <w:rPr>
          <w:rFonts w:eastAsia="SimSun" w:cs="Times New Roman"/>
          <w:sz w:val="20"/>
          <w:szCs w:val="22"/>
          <w:lang w:val="en-GB"/>
        </w:rPr>
        <w:t>fired industrial boilers 1 August 2015; http://mercuryconvention.org/Portals/11/documents/BAT-BEP%20draft%20guidance/Submissions/ZMWG_3.pdf</w:t>
      </w:r>
    </w:p>
    <w:p w:rsidR="00335E4B" w:rsidRPr="00335E4B" w:rsidRDefault="00335E4B" w:rsidP="00335E4B">
      <w:pPr>
        <w:bidi w:val="0"/>
        <w:spacing w:after="120"/>
        <w:rPr>
          <w:rFonts w:eastAsia="SimSun" w:cs="Times New Roman"/>
          <w:sz w:val="20"/>
          <w:szCs w:val="22"/>
        </w:rPr>
      </w:pPr>
      <w:r w:rsidRPr="00335E4B">
        <w:rPr>
          <w:rFonts w:eastAsia="SimSun" w:cs="Times New Roman"/>
          <w:sz w:val="20"/>
          <w:szCs w:val="22"/>
          <w:lang w:val="en-GB"/>
        </w:rPr>
        <w:t>Zykov, A.M., Kolchin, K.I., Tumanovsky, A.G., Jozewicz, W. (2004). Joint Russian-American Project to Enhance Performance of Electrostatic Precipitators Used at Power Plants in the Newly Independent States, The MEGA Symposium, Washington, DC, 2004.</w:t>
      </w:r>
    </w:p>
    <w:p w:rsidR="00335E4B" w:rsidRPr="00335E4B" w:rsidRDefault="00335E4B" w:rsidP="00335E4B">
      <w:pPr>
        <w:bidi w:val="0"/>
        <w:spacing w:after="120"/>
        <w:rPr>
          <w:rFonts w:eastAsia="SimSun" w:cs="Times New Roman"/>
          <w:sz w:val="20"/>
          <w:szCs w:val="22"/>
        </w:rPr>
      </w:pPr>
    </w:p>
    <w:p w:rsidR="00335E4B" w:rsidRPr="00335E4B" w:rsidRDefault="00335E4B" w:rsidP="00C84078">
      <w:pPr>
        <w:tabs>
          <w:tab w:val="left" w:pos="5527"/>
        </w:tabs>
        <w:spacing w:after="240" w:line="400" w:lineRule="exact"/>
        <w:ind w:firstLine="720"/>
        <w:jc w:val="both"/>
        <w:rPr>
          <w:rFonts w:ascii="Traditional Arabic" w:hAnsi="Traditional Arabic" w:cs="Traditional Arabic"/>
          <w:b/>
          <w:bCs/>
          <w:sz w:val="34"/>
          <w:szCs w:val="34"/>
          <w:rtl/>
          <w:lang w:val="en-GB"/>
        </w:rPr>
      </w:pPr>
      <w:r w:rsidRPr="00335E4B">
        <w:rPr>
          <w:rFonts w:ascii="Traditional Arabic" w:hAnsi="Traditional Arabic" w:cs="Traditional Arabic"/>
          <w:b/>
          <w:bCs/>
          <w:sz w:val="34"/>
          <w:szCs w:val="34"/>
          <w:rtl/>
        </w:rPr>
        <w:br w:type="page"/>
      </w:r>
      <w:r w:rsidR="006C7ECA">
        <w:rPr>
          <w:rFonts w:ascii="Traditional Arabic" w:hAnsi="Traditional Arabic" w:cs="Traditional Arabic"/>
          <w:b/>
          <w:bCs/>
          <w:sz w:val="34"/>
          <w:szCs w:val="34"/>
          <w:rtl/>
        </w:rPr>
        <w:t>الفصل</w:t>
      </w:r>
      <w:r w:rsidR="006C7ECA">
        <w:rPr>
          <w:rFonts w:ascii="Traditional Arabic" w:hAnsi="Traditional Arabic" w:cs="Traditional Arabic" w:hint="cs"/>
          <w:b/>
          <w:bCs/>
          <w:sz w:val="34"/>
          <w:szCs w:val="34"/>
          <w:rtl/>
        </w:rPr>
        <w:t xml:space="preserve"> </w:t>
      </w:r>
      <w:r w:rsidR="006C7ECA" w:rsidRPr="006C7ECA">
        <w:rPr>
          <w:rFonts w:ascii="Traditional Arabic" w:hAnsi="Traditional Arabic" w:cs="Traditional Arabic"/>
          <w:b/>
          <w:bCs/>
          <w:sz w:val="34"/>
          <w:szCs w:val="34"/>
          <w:rtl/>
        </w:rPr>
        <w:t>‏</w:t>
      </w:r>
      <w:r w:rsidRPr="00335E4B">
        <w:rPr>
          <w:rFonts w:ascii="Traditional Arabic" w:hAnsi="Traditional Arabic" w:cs="Traditional Arabic"/>
          <w:b/>
          <w:bCs/>
          <w:sz w:val="34"/>
          <w:szCs w:val="34"/>
          <w:rtl/>
        </w:rPr>
        <w:t>الخامس</w:t>
      </w:r>
    </w:p>
    <w:p w:rsidR="00335E4B" w:rsidRPr="00335E4B" w:rsidRDefault="00335E4B" w:rsidP="00C84078">
      <w:pPr>
        <w:tabs>
          <w:tab w:val="left" w:pos="5527"/>
        </w:tabs>
        <w:spacing w:after="240" w:line="400" w:lineRule="exact"/>
        <w:ind w:left="707"/>
        <w:jc w:val="both"/>
        <w:rPr>
          <w:rFonts w:ascii="Traditional Arabic" w:hAnsi="Traditional Arabic" w:cs="Traditional Arabic"/>
          <w:b/>
          <w:bCs/>
          <w:sz w:val="34"/>
          <w:szCs w:val="34"/>
          <w:rtl/>
        </w:rPr>
      </w:pPr>
      <w:r w:rsidRPr="00335E4B">
        <w:rPr>
          <w:rFonts w:ascii="Traditional Arabic" w:hAnsi="Traditional Arabic" w:cs="Traditional Arabic"/>
          <w:b/>
          <w:bCs/>
          <w:sz w:val="34"/>
          <w:szCs w:val="34"/>
          <w:rtl/>
        </w:rPr>
        <w:t>عمليات الصهر والتحميص المستخدمة في إنتاج المعادن</w:t>
      </w:r>
      <w:r w:rsidRPr="00335E4B">
        <w:rPr>
          <w:rFonts w:ascii="Traditional Arabic" w:hAnsi="Traditional Arabic" w:cs="Traditional Arabic" w:hint="cs"/>
          <w:b/>
          <w:bCs/>
          <w:sz w:val="34"/>
          <w:szCs w:val="34"/>
          <w:rtl/>
        </w:rPr>
        <w:t xml:space="preserve"> </w:t>
      </w:r>
      <w:r w:rsidRPr="00335E4B">
        <w:rPr>
          <w:rFonts w:ascii="Traditional Arabic" w:hAnsi="Traditional Arabic" w:cs="Traditional Arabic"/>
          <w:b/>
          <w:bCs/>
          <w:sz w:val="34"/>
          <w:szCs w:val="34"/>
          <w:rtl/>
        </w:rPr>
        <w:t>غير الحديدية</w:t>
      </w:r>
      <w:r w:rsidRPr="00335E4B">
        <w:rPr>
          <w:rFonts w:ascii="Traditional Arabic" w:hAnsi="Traditional Arabic" w:cs="Traditional Arabic" w:hint="cs"/>
          <w:b/>
          <w:bCs/>
          <w:sz w:val="34"/>
          <w:szCs w:val="34"/>
          <w:rtl/>
        </w:rPr>
        <w:t xml:space="preserve"> </w:t>
      </w:r>
      <w:r w:rsidRPr="00335E4B">
        <w:rPr>
          <w:rFonts w:ascii="Traditional Arabic" w:hAnsi="Traditional Arabic" w:cs="Traditional Arabic"/>
          <w:b/>
          <w:bCs/>
          <w:sz w:val="34"/>
          <w:szCs w:val="34"/>
          <w:rtl/>
        </w:rPr>
        <w:t>(الرصاص والزنك والنحاس والذهب المنتج صناعياً</w:t>
      </w:r>
      <w:r w:rsidRPr="00335E4B">
        <w:rPr>
          <w:rFonts w:ascii="Traditional Arabic" w:hAnsi="Traditional Arabic" w:cs="Traditional Arabic" w:hint="cs"/>
          <w:b/>
          <w:bCs/>
          <w:sz w:val="34"/>
          <w:szCs w:val="34"/>
          <w:rtl/>
        </w:rPr>
        <w:t xml:space="preserve"> </w:t>
      </w:r>
      <w:r w:rsidRPr="00335E4B">
        <w:rPr>
          <w:rFonts w:ascii="Traditional Arabic" w:hAnsi="Traditional Arabic" w:cs="Traditional Arabic"/>
          <w:b/>
          <w:bCs/>
          <w:sz w:val="34"/>
          <w:szCs w:val="34"/>
          <w:rtl/>
        </w:rPr>
        <w:t>على النحو المحدد في المرفق دال من الاتفاقية)</w:t>
      </w:r>
    </w:p>
    <w:p w:rsidR="00335E4B" w:rsidRPr="00335E4B" w:rsidRDefault="00335E4B" w:rsidP="00335E4B">
      <w:pPr>
        <w:spacing w:after="120" w:line="400" w:lineRule="exact"/>
        <w:jc w:val="both"/>
        <w:rPr>
          <w:rFonts w:cs="Traditional Arabic"/>
          <w:b/>
          <w:bCs/>
          <w:sz w:val="32"/>
          <w:szCs w:val="32"/>
          <w:rtl/>
        </w:rPr>
      </w:pPr>
      <w:r w:rsidRPr="00335E4B">
        <w:rPr>
          <w:rFonts w:cs="Traditional Arabic"/>
          <w:b/>
          <w:bCs/>
          <w:sz w:val="32"/>
          <w:szCs w:val="32"/>
          <w:rtl/>
        </w:rPr>
        <w:t>المجموعات الفرعية لصهر المعادن غير الحديدية (النحاس والذهب والرصاص والزنك)</w:t>
      </w:r>
    </w:p>
    <w:p w:rsidR="00335E4B" w:rsidRPr="00335E4B" w:rsidRDefault="00335E4B" w:rsidP="00335E4B">
      <w:pPr>
        <w:spacing w:after="120" w:line="400" w:lineRule="exact"/>
        <w:jc w:val="both"/>
        <w:rPr>
          <w:rFonts w:cs="Traditional Arabic"/>
          <w:b/>
          <w:bCs/>
          <w:sz w:val="32"/>
          <w:szCs w:val="32"/>
          <w:rtl/>
        </w:rPr>
      </w:pPr>
      <w:r w:rsidRPr="00335E4B">
        <w:rPr>
          <w:rFonts w:cs="Traditional Arabic"/>
          <w:b/>
          <w:bCs/>
          <w:sz w:val="32"/>
          <w:szCs w:val="32"/>
          <w:rtl/>
        </w:rPr>
        <w:t>أفضل التكنولوجيات المتاحة</w:t>
      </w:r>
      <w:r w:rsidRPr="00335E4B">
        <w:rPr>
          <w:rFonts w:cs="Traditional Arabic"/>
          <w:b/>
          <w:bCs/>
          <w:sz w:val="32"/>
          <w:szCs w:val="32"/>
          <w:rtl/>
          <w:lang w:val="en-GB" w:bidi="ar-EG"/>
        </w:rPr>
        <w:t>/</w:t>
      </w:r>
      <w:r w:rsidRPr="00335E4B">
        <w:rPr>
          <w:rFonts w:cs="Traditional Arabic"/>
          <w:b/>
          <w:bCs/>
          <w:sz w:val="32"/>
          <w:szCs w:val="32"/>
          <w:rtl/>
        </w:rPr>
        <w:t>أفضل الممارسات البيئية ودراسات الحالات الإفرادية</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موجز</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يتمثل الهدف الرئيسي لعملية الصهر في تحويل الفلزات المركزة من حالتها الأصلية إلى معادن نقية؛ وبالتالي، يعتبر الصهر شكلاً من أشكال الميتالورجيا الاستخراجية</w:t>
      </w:r>
      <w:r w:rsidRPr="00335E4B">
        <w:rPr>
          <w:rFonts w:cs="Traditional Arabic"/>
          <w:sz w:val="20"/>
          <w:szCs w:val="30"/>
          <w:rtl/>
          <w:lang w:val="en-GB" w:bidi="ar-EG"/>
        </w:rPr>
        <w:t>.</w:t>
      </w:r>
      <w:r w:rsidRPr="00335E4B">
        <w:rPr>
          <w:rFonts w:cs="Traditional Arabic"/>
          <w:sz w:val="20"/>
          <w:szCs w:val="30"/>
          <w:rtl/>
        </w:rPr>
        <w:t xml:space="preserve"> وتوجد الفلزات في الطبيعة عادة على هيئة أكسيدات أو كبريتيدات أو كربونات، ويتطلب الصهر حدوث تفاعل كيميائي في وجود عامل مختزل لتحرير الفلز</w:t>
      </w:r>
      <w:r w:rsidRPr="00335E4B">
        <w:rPr>
          <w:rFonts w:cs="Traditional Arabic"/>
          <w:sz w:val="20"/>
          <w:szCs w:val="30"/>
          <w:rtl/>
          <w:lang w:val="en-GB" w:bidi="ar-EG"/>
        </w:rPr>
        <w:t>.</w:t>
      </w:r>
      <w:r w:rsidRPr="00335E4B">
        <w:rPr>
          <w:rFonts w:cs="Traditional Arabic"/>
          <w:sz w:val="20"/>
          <w:szCs w:val="30"/>
          <w:rtl/>
        </w:rPr>
        <w:t xml:space="preserve"> ويوجد الزئبق بكميات ضئيلة في أغلب المواد المعدنية الخام تقريباً، ويمكن أن تؤدي العملية الحرارية إلى إطلاق هذا الزئبق في الغلاف الجوي</w:t>
      </w:r>
      <w:r w:rsidRPr="00335E4B">
        <w:rPr>
          <w:rFonts w:cs="Traditional Arabic"/>
          <w:sz w:val="20"/>
          <w:szCs w:val="30"/>
          <w:rtl/>
          <w:lang w:val="en-GB"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ويمثل إنتاج المعادن بوجه عام، وإنتاج المعادن غير الحديدية بوجه خاص، مصدراً كبيراً لانبعاثات الزئبق البشرية المنشأ، وتشير التقديرات إلى أنه مسؤول عن حوالي</w:t>
      </w:r>
      <w:r w:rsidRPr="00335E4B">
        <w:rPr>
          <w:rFonts w:cs="Traditional Arabic"/>
          <w:sz w:val="20"/>
          <w:szCs w:val="30"/>
          <w:rtl/>
          <w:lang w:val="en-GB" w:bidi="ar-EG"/>
        </w:rPr>
        <w:t xml:space="preserve"> 10 </w:t>
      </w:r>
      <w:r w:rsidRPr="00335E4B">
        <w:rPr>
          <w:rFonts w:cs="Traditional Arabic"/>
          <w:sz w:val="20"/>
          <w:szCs w:val="30"/>
          <w:rtl/>
        </w:rPr>
        <w:t>في المائة من الانبعاثات العالمية</w:t>
      </w:r>
      <w:r w:rsidRPr="00335E4B">
        <w:rPr>
          <w:rFonts w:cs="Traditional Arabic"/>
          <w:sz w:val="20"/>
          <w:szCs w:val="30"/>
          <w:rtl/>
          <w:lang w:val="en-GB" w:bidi="ar-EG"/>
        </w:rPr>
        <w:t>.</w:t>
      </w:r>
      <w:r w:rsidRPr="00335E4B">
        <w:rPr>
          <w:rFonts w:cs="Traditional Arabic"/>
          <w:sz w:val="20"/>
          <w:szCs w:val="30"/>
          <w:rtl/>
        </w:rPr>
        <w:t xml:space="preserve"> وي</w:t>
      </w:r>
      <w:r w:rsidRPr="00335E4B">
        <w:rPr>
          <w:rFonts w:cs="Traditional Arabic" w:hint="cs"/>
          <w:sz w:val="20"/>
          <w:szCs w:val="30"/>
          <w:rtl/>
        </w:rPr>
        <w:t>ُ</w:t>
      </w:r>
      <w:r w:rsidRPr="00335E4B">
        <w:rPr>
          <w:rFonts w:cs="Traditional Arabic"/>
          <w:sz w:val="20"/>
          <w:szCs w:val="30"/>
          <w:rtl/>
        </w:rPr>
        <w:t>عترف بأن هذا التقدير ينطوي على قدر كبير من عدم الموثوقية، وأنه ستلزم بيانات خاصة بكل موقع لإدارة الزئبق على مستوى المنشآت المحلية</w:t>
      </w:r>
      <w:r w:rsidRPr="00335E4B">
        <w:rPr>
          <w:rFonts w:cs="Traditional Arabic"/>
          <w:sz w:val="20"/>
          <w:szCs w:val="30"/>
          <w:rtl/>
          <w:lang w:val="en-GB"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ويقدم هذا الفصل التوجيهات المتعلقة بخيارات </w:t>
      </w:r>
      <w:r w:rsidRPr="00335E4B">
        <w:rPr>
          <w:rFonts w:cs="Traditional Arabic" w:hint="cs"/>
          <w:sz w:val="20"/>
          <w:szCs w:val="30"/>
          <w:rtl/>
        </w:rPr>
        <w:t xml:space="preserve">ضبط </w:t>
      </w:r>
      <w:r w:rsidRPr="00335E4B">
        <w:rPr>
          <w:rFonts w:cs="Traditional Arabic"/>
          <w:sz w:val="20"/>
          <w:szCs w:val="30"/>
          <w:rtl/>
        </w:rPr>
        <w:t>الزئبق الناتج من قطاع المعادن غير الحديدية (وبخاصة النحاس، والزنك والذهب الصناعي، على النحو الوارد في الاتفاقية)</w:t>
      </w:r>
      <w:r w:rsidRPr="00335E4B">
        <w:rPr>
          <w:rFonts w:cs="Traditional Arabic"/>
          <w:sz w:val="20"/>
          <w:szCs w:val="30"/>
          <w:rtl/>
          <w:lang w:val="en-GB" w:bidi="ar-EG"/>
        </w:rPr>
        <w:t>.</w:t>
      </w:r>
      <w:r w:rsidRPr="00335E4B">
        <w:rPr>
          <w:rFonts w:cs="Traditional Arabic"/>
          <w:sz w:val="20"/>
          <w:szCs w:val="30"/>
          <w:rtl/>
        </w:rPr>
        <w:t xml:space="preserve"> والهدف منه أن يوفر للأطراف في اتفاقية ميناماتا المبادئ التوجيهية للتعرف على أفضل التكنولوجيات المتاحة وأفضل الممارسات البيئية، من أجل تمكينها من تلبية التزاماتها بموجب الاتفاقية</w:t>
      </w:r>
      <w:r w:rsidRPr="00335E4B">
        <w:rPr>
          <w:rFonts w:cs="Traditional Arabic"/>
          <w:sz w:val="20"/>
          <w:szCs w:val="30"/>
          <w:rtl/>
          <w:lang w:val="en-GB"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وتقتصر المبادئ التوجيهية على الإشارة إلى الانبعاثات الناجمة عن عمليات الصهر والتحميص المستخدمة في إنتاج المعادن غير الحديدية المشار إليها أعلاه</w:t>
      </w:r>
      <w:r w:rsidRPr="00335E4B">
        <w:rPr>
          <w:rFonts w:cs="Traditional Arabic"/>
          <w:sz w:val="20"/>
          <w:szCs w:val="30"/>
          <w:rtl/>
          <w:lang w:val="en-GB" w:bidi="ar-EG"/>
        </w:rPr>
        <w:t>.</w:t>
      </w:r>
      <w:r w:rsidRPr="00335E4B">
        <w:rPr>
          <w:rFonts w:cs="Traditional Arabic"/>
          <w:sz w:val="20"/>
          <w:szCs w:val="30"/>
          <w:rtl/>
        </w:rPr>
        <w:t xml:space="preserve"> فالعمليات الأخرى غير الصهر والتحميص، مثل عمليات المعالجة الميتالورجية بالسوائل قد تؤدي أيضاً إلى انبعاثات الزئبق ولكنها غير مدرجة في المرفق دال من الاتفاقية</w:t>
      </w:r>
      <w:r w:rsidRPr="00335E4B">
        <w:rPr>
          <w:rFonts w:cs="Traditional Arabic"/>
          <w:sz w:val="20"/>
          <w:szCs w:val="30"/>
          <w:rtl/>
          <w:lang w:val="en-GB" w:bidi="ar-EG"/>
        </w:rPr>
        <w:t>.</w:t>
      </w:r>
      <w:r w:rsidRPr="00335E4B">
        <w:rPr>
          <w:rFonts w:cs="Traditional Arabic"/>
          <w:sz w:val="20"/>
          <w:szCs w:val="30"/>
          <w:rtl/>
        </w:rPr>
        <w:t xml:space="preserve"> ولذلك لا ترد معالجة هذه العمليات الأخرى ضمن هذه المبادئ التوجيهية</w:t>
      </w:r>
      <w:r w:rsidRPr="00335E4B">
        <w:rPr>
          <w:rFonts w:cs="Traditional Arabic"/>
          <w:sz w:val="20"/>
          <w:szCs w:val="30"/>
          <w:rtl/>
          <w:lang w:val="en-GB"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وفي العادة ينتج صهر المعادن في قطاع المعادن غير الحديدية كميات لا تذكر من انبعاثات الزئبق، لأن عمليات إعادة التدوير لهذه المعادن تستخدم الخردة المعدنية وكميات خبث المعادن كمواد </w:t>
      </w:r>
      <w:r w:rsidRPr="00335E4B">
        <w:rPr>
          <w:rFonts w:cs="Traditional Arabic" w:hint="cs"/>
          <w:sz w:val="20"/>
          <w:szCs w:val="30"/>
          <w:rtl/>
        </w:rPr>
        <w:t>تلقيم أولية</w:t>
      </w:r>
      <w:r w:rsidRPr="00335E4B">
        <w:rPr>
          <w:rFonts w:cs="Traditional Arabic"/>
          <w:sz w:val="20"/>
          <w:szCs w:val="30"/>
          <w:rtl/>
          <w:lang w:val="en-GB" w:bidi="ar-EG"/>
        </w:rPr>
        <w:t>.</w:t>
      </w:r>
      <w:r w:rsidRPr="00335E4B">
        <w:rPr>
          <w:rFonts w:cs="Traditional Arabic"/>
          <w:sz w:val="20"/>
          <w:szCs w:val="30"/>
          <w:rtl/>
        </w:rPr>
        <w:t xml:space="preserve"> وقد يستثنى من ذلك عمليات الصهر الثانوية للنفايات الإلكترونية ولكن يرجح أن التقنيات المستخدمة لتخفيض الانبعاثات من عمليات الصهر الثانوية لن تختلف اختلافاً كبيراً عن تلك المستخدمة للصهر الأولي</w:t>
      </w:r>
      <w:r w:rsidRPr="00335E4B">
        <w:rPr>
          <w:rFonts w:cs="Traditional Arabic"/>
          <w:sz w:val="20"/>
          <w:szCs w:val="30"/>
          <w:rtl/>
          <w:lang w:val="en-GB" w:bidi="ar-EG"/>
        </w:rPr>
        <w:t>.</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ويعرض هذا الفصل العمليات المطلوبة في إنتاج المعادن التي تغطيها المبادئ التوجيهية (النحاس والزنك والرصاص والذهب الصناعي)</w:t>
      </w:r>
      <w:r w:rsidRPr="00335E4B">
        <w:rPr>
          <w:rFonts w:cs="Traditional Arabic"/>
          <w:sz w:val="20"/>
          <w:szCs w:val="30"/>
          <w:rtl/>
          <w:lang w:val="en-GB" w:bidi="ar-EG"/>
        </w:rPr>
        <w:t>.</w:t>
      </w:r>
      <w:r w:rsidRPr="00335E4B">
        <w:rPr>
          <w:rFonts w:cs="Traditional Arabic"/>
          <w:sz w:val="20"/>
          <w:szCs w:val="30"/>
          <w:rtl/>
        </w:rPr>
        <w:t xml:space="preserve"> ويشمل أيضاً تقنيات </w:t>
      </w:r>
      <w:r w:rsidRPr="00335E4B">
        <w:rPr>
          <w:rFonts w:cs="Traditional Arabic" w:hint="cs"/>
          <w:sz w:val="20"/>
          <w:szCs w:val="30"/>
          <w:rtl/>
        </w:rPr>
        <w:t>الضبط</w:t>
      </w:r>
      <w:r w:rsidRPr="00335E4B">
        <w:rPr>
          <w:rFonts w:cs="Traditional Arabic"/>
          <w:sz w:val="20"/>
          <w:szCs w:val="30"/>
          <w:rtl/>
        </w:rPr>
        <w:t xml:space="preserve"> بما في ذلك التقنيات المصممة خصيصاً لضبط انبعاثات الزئبق، وكذلك تقنيات </w:t>
      </w:r>
      <w:r w:rsidRPr="00335E4B">
        <w:rPr>
          <w:rFonts w:cs="Traditional Arabic" w:hint="cs"/>
          <w:sz w:val="20"/>
          <w:szCs w:val="30"/>
          <w:rtl/>
        </w:rPr>
        <w:t>ضبط</w:t>
      </w:r>
      <w:r w:rsidRPr="00335E4B">
        <w:rPr>
          <w:rFonts w:cs="Traditional Arabic"/>
          <w:sz w:val="20"/>
          <w:szCs w:val="30"/>
          <w:rtl/>
        </w:rPr>
        <w:t xml:space="preserve"> الملوثات الأخرى التي قد تصاحبها منافع مشتركة في التقليل من انبعاثات الزئبق</w:t>
      </w:r>
      <w:r w:rsidRPr="00335E4B">
        <w:rPr>
          <w:rFonts w:cs="Traditional Arabic"/>
          <w:sz w:val="20"/>
          <w:szCs w:val="30"/>
          <w:rtl/>
          <w:lang w:val="en-GB" w:bidi="ar-EG"/>
        </w:rPr>
        <w:t>.</w:t>
      </w:r>
      <w:r w:rsidRPr="00335E4B">
        <w:rPr>
          <w:rFonts w:cs="Traditional Arabic"/>
          <w:sz w:val="20"/>
          <w:szCs w:val="30"/>
          <w:rtl/>
        </w:rPr>
        <w:t xml:space="preserve"> ويقدم فيه وصف للتكنولوجيات الناشئة، والتوجيهات المتعلقة بأفضل التكنولوجيات المتاحة وأفضل الممارسات البيئية</w:t>
      </w:r>
      <w:r w:rsidRPr="00335E4B">
        <w:rPr>
          <w:rFonts w:cs="Traditional Arabic"/>
          <w:sz w:val="20"/>
          <w:szCs w:val="30"/>
          <w:rtl/>
          <w:lang w:val="en-GB" w:bidi="ar-EG"/>
        </w:rPr>
        <w:t>.</w:t>
      </w:r>
      <w:r w:rsidRPr="00335E4B">
        <w:rPr>
          <w:rFonts w:cs="Traditional Arabic"/>
          <w:sz w:val="20"/>
          <w:szCs w:val="30"/>
          <w:rtl/>
        </w:rPr>
        <w:t xml:space="preserve"> وتقدم أيضاً المعلومات المتعلقة بالرصد التي تخص قطاع المعادن غير الحديدي</w:t>
      </w:r>
      <w:r w:rsidRPr="00335E4B">
        <w:rPr>
          <w:rFonts w:cs="Traditional Arabic" w:hint="cs"/>
          <w:sz w:val="20"/>
          <w:szCs w:val="30"/>
          <w:rtl/>
        </w:rPr>
        <w:t>ة.</w:t>
      </w:r>
    </w:p>
    <w:p w:rsidR="00335E4B" w:rsidRPr="008318BD" w:rsidRDefault="00335E4B" w:rsidP="00335E4B">
      <w:pPr>
        <w:tabs>
          <w:tab w:val="left" w:pos="707"/>
          <w:tab w:val="right" w:leader="dot" w:pos="9212"/>
        </w:tabs>
        <w:spacing w:after="120" w:line="340" w:lineRule="exact"/>
        <w:ind w:left="849" w:hanging="851"/>
        <w:jc w:val="center"/>
        <w:rPr>
          <w:rFonts w:cs="Traditional Arabic"/>
          <w:noProof/>
          <w:sz w:val="18"/>
          <w:rtl/>
          <w:lang w:bidi="ar-EG"/>
        </w:rPr>
      </w:pPr>
      <w:r w:rsidRPr="00335E4B">
        <w:rPr>
          <w:rFonts w:cs="Traditional Arabic"/>
          <w:b/>
          <w:bCs/>
          <w:noProof/>
          <w:sz w:val="18"/>
          <w:rtl/>
          <w:lang w:bidi="ar-EG"/>
        </w:rPr>
        <w:br w:type="page"/>
      </w:r>
      <w:r w:rsidRPr="008318BD">
        <w:rPr>
          <w:rFonts w:cs="Traditional Arabic"/>
          <w:b/>
          <w:bCs/>
          <w:noProof/>
          <w:sz w:val="36"/>
          <w:szCs w:val="36"/>
          <w:rtl/>
          <w:lang w:bidi="ar-EG"/>
        </w:rPr>
        <w:t>المحتويات</w:t>
      </w:r>
      <w:r w:rsidRPr="008318BD">
        <w:rPr>
          <w:rFonts w:cs="Traditional Arabic"/>
          <w:noProof/>
          <w:sz w:val="18"/>
          <w:rtl/>
          <w:lang w:bidi="ar-EG"/>
        </w:rPr>
        <w:fldChar w:fldCharType="begin"/>
      </w:r>
      <w:r w:rsidRPr="008318BD">
        <w:rPr>
          <w:rFonts w:cs="Traditional Arabic"/>
          <w:noProof/>
          <w:sz w:val="18"/>
          <w:rtl/>
          <w:lang w:bidi="ar-EG"/>
        </w:rPr>
        <w:instrText xml:space="preserve"> TOC \o "1-3" \h \z \u </w:instrText>
      </w:r>
      <w:r w:rsidRPr="008318BD">
        <w:rPr>
          <w:rFonts w:cs="Traditional Arabic"/>
          <w:noProof/>
          <w:sz w:val="18"/>
          <w:rtl/>
          <w:lang w:bidi="ar-EG"/>
        </w:rPr>
        <w:fldChar w:fldCharType="separate"/>
      </w:r>
    </w:p>
    <w:p w:rsidR="00335E4B" w:rsidRPr="008318BD" w:rsidRDefault="00F37B77" w:rsidP="0084698E">
      <w:pPr>
        <w:tabs>
          <w:tab w:val="right" w:leader="dot" w:pos="9212"/>
        </w:tabs>
        <w:spacing w:after="120" w:line="340" w:lineRule="exact"/>
        <w:ind w:left="707" w:hanging="709"/>
        <w:rPr>
          <w:rFonts w:ascii="Traditional Arabic" w:hAnsi="Traditional Arabic" w:cs="Traditional Arabic"/>
          <w:noProof/>
          <w:sz w:val="30"/>
          <w:rtl/>
          <w:lang w:bidi="ar-EG"/>
        </w:rPr>
      </w:pPr>
      <w:hyperlink w:anchor="_Toc440550515" w:history="1">
        <w:r w:rsidR="00335E4B" w:rsidRPr="008318BD">
          <w:rPr>
            <w:rFonts w:ascii="Traditional Arabic" w:hAnsi="Traditional Arabic" w:cs="Traditional Arabic"/>
            <w:noProof/>
            <w:sz w:val="30"/>
            <w:rtl/>
            <w:lang w:bidi="ar-EG"/>
          </w:rPr>
          <w:t>١-</w:t>
        </w:r>
        <w:r w:rsidR="00335E4B" w:rsidRPr="008318BD">
          <w:rPr>
            <w:rFonts w:ascii="Traditional Arabic" w:hAnsi="Traditional Arabic" w:cs="Traditional Arabic"/>
            <w:noProof/>
            <w:sz w:val="30"/>
            <w:rtl/>
            <w:lang w:bidi="ar-EG"/>
          </w:rPr>
          <w:tab/>
          <w:t>مقدمة</w:t>
        </w:r>
        <w:r w:rsidR="00335E4B" w:rsidRPr="008318BD">
          <w:rPr>
            <w:rFonts w:ascii="Traditional Arabic" w:hAnsi="Traditional Arabic" w:cs="Traditional Arabic"/>
            <w:noProof/>
            <w:webHidden/>
            <w:sz w:val="30"/>
            <w:rtl/>
            <w:lang w:bidi="ar-EG"/>
          </w:rPr>
          <w:tab/>
        </w:r>
      </w:hyperlink>
      <w:r w:rsidR="0084698E">
        <w:rPr>
          <w:rFonts w:ascii="Traditional Arabic" w:hAnsi="Traditional Arabic" w:cs="Traditional Arabic" w:hint="cs"/>
          <w:noProof/>
          <w:sz w:val="30"/>
          <w:rtl/>
          <w:lang w:bidi="ar-EG"/>
        </w:rPr>
        <w:t>85</w:t>
      </w:r>
    </w:p>
    <w:p w:rsidR="00335E4B" w:rsidRPr="008318BD" w:rsidRDefault="00F37B77" w:rsidP="0084698E">
      <w:pPr>
        <w:tabs>
          <w:tab w:val="left" w:pos="707"/>
          <w:tab w:val="right" w:leader="dot" w:pos="9212"/>
        </w:tabs>
        <w:spacing w:after="120" w:line="340" w:lineRule="exact"/>
        <w:ind w:left="707" w:hanging="709"/>
        <w:rPr>
          <w:rFonts w:ascii="Traditional Arabic" w:hAnsi="Traditional Arabic" w:cs="Traditional Arabic"/>
          <w:noProof/>
          <w:sz w:val="30"/>
          <w:rtl/>
          <w:lang w:bidi="ar-EG"/>
        </w:rPr>
      </w:pPr>
      <w:hyperlink w:anchor="_Toc440550516" w:history="1">
        <w:r w:rsidR="00335E4B" w:rsidRPr="008318BD">
          <w:rPr>
            <w:rFonts w:ascii="Traditional Arabic" w:hAnsi="Traditional Arabic" w:cs="Traditional Arabic"/>
            <w:noProof/>
            <w:sz w:val="30"/>
            <w:rtl/>
            <w:lang w:bidi="ar-EG"/>
          </w:rPr>
          <w:t>2-</w:t>
        </w:r>
        <w:r w:rsidR="00335E4B" w:rsidRPr="008318BD">
          <w:rPr>
            <w:rFonts w:ascii="Traditional Arabic" w:hAnsi="Traditional Arabic" w:cs="Traditional Arabic"/>
            <w:noProof/>
            <w:sz w:val="30"/>
            <w:rtl/>
            <w:lang w:bidi="ar-EG"/>
          </w:rPr>
          <w:tab/>
          <w:t>وصف العملية</w:t>
        </w:r>
      </w:hyperlink>
      <w:r w:rsidR="00335E4B" w:rsidRPr="008318BD">
        <w:rPr>
          <w:rFonts w:ascii="Traditional Arabic" w:hAnsi="Traditional Arabic" w:cs="Traditional Arabic" w:hint="cs"/>
          <w:noProof/>
          <w:sz w:val="30"/>
          <w:rtl/>
          <w:lang w:bidi="ar-EG"/>
        </w:rPr>
        <w:tab/>
        <w:t>85</w:t>
      </w:r>
    </w:p>
    <w:p w:rsidR="0084698E" w:rsidRDefault="0084698E" w:rsidP="004F5C55">
      <w:pPr>
        <w:tabs>
          <w:tab w:val="left" w:pos="1416"/>
          <w:tab w:val="left" w:pos="1699"/>
          <w:tab w:val="right" w:leader="dot" w:pos="9212"/>
        </w:tabs>
        <w:spacing w:after="120" w:line="340" w:lineRule="exact"/>
        <w:ind w:left="707" w:hanging="851"/>
        <w:rPr>
          <w:rFonts w:ascii="Traditional Arabic" w:hAnsi="Traditional Arabic" w:cs="Traditional Arabic"/>
          <w:noProof/>
          <w:sz w:val="30"/>
          <w:rtl/>
          <w:lang w:bidi="ar-EG"/>
        </w:rPr>
      </w:pPr>
      <w:r>
        <w:rPr>
          <w:rFonts w:hint="cs"/>
          <w:rtl/>
        </w:rPr>
        <w:tab/>
      </w:r>
      <w:hyperlink w:anchor="_Toc440550517" w:history="1">
        <w:r w:rsidR="00335E4B" w:rsidRPr="008318BD">
          <w:rPr>
            <w:rFonts w:ascii="Traditional Arabic" w:hAnsi="Traditional Arabic" w:cs="Traditional Arabic"/>
            <w:noProof/>
            <w:sz w:val="30"/>
            <w:rtl/>
            <w:lang w:bidi="ar-EG"/>
          </w:rPr>
          <w:t>2-1</w:t>
        </w:r>
        <w:r w:rsidR="00335E4B" w:rsidRPr="008318BD">
          <w:rPr>
            <w:rFonts w:ascii="Traditional Arabic" w:hAnsi="Traditional Arabic" w:cs="Traditional Arabic"/>
            <w:noProof/>
            <w:sz w:val="30"/>
            <w:rtl/>
            <w:lang w:bidi="ar-EG"/>
          </w:rPr>
          <w:tab/>
          <w:t>خطوات التصنيع في إنتاج الرصاص</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8</w:t>
      </w:r>
      <w:r w:rsidR="004F5C55">
        <w:rPr>
          <w:rFonts w:ascii="Traditional Arabic" w:hAnsi="Traditional Arabic" w:cs="Traditional Arabic" w:hint="cs"/>
          <w:noProof/>
          <w:sz w:val="30"/>
          <w:rtl/>
          <w:lang w:bidi="ar-EG"/>
        </w:rPr>
        <w:t>6</w:t>
      </w:r>
    </w:p>
    <w:p w:rsidR="00335E4B" w:rsidRPr="008318BD" w:rsidRDefault="0084698E" w:rsidP="0084698E">
      <w:pPr>
        <w:tabs>
          <w:tab w:val="left" w:pos="1416"/>
          <w:tab w:val="left" w:pos="1699"/>
          <w:tab w:val="right" w:leader="dot" w:pos="9212"/>
        </w:tabs>
        <w:spacing w:after="120" w:line="340" w:lineRule="exact"/>
        <w:ind w:left="707"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hyperlink w:anchor="_Toc440550518" w:history="1">
        <w:r w:rsidR="00335E4B" w:rsidRPr="008318BD">
          <w:rPr>
            <w:rFonts w:ascii="Traditional Arabic" w:hAnsi="Traditional Arabic" w:cs="Traditional Arabic"/>
            <w:noProof/>
            <w:sz w:val="30"/>
            <w:rtl/>
            <w:lang w:bidi="ar-EG"/>
          </w:rPr>
          <w:t>2-1-1</w:t>
        </w:r>
        <w:r w:rsidR="00335E4B" w:rsidRPr="008318BD">
          <w:rPr>
            <w:rFonts w:ascii="Traditional Arabic" w:hAnsi="Traditional Arabic" w:cs="Traditional Arabic"/>
            <w:noProof/>
            <w:sz w:val="30"/>
            <w:rtl/>
            <w:lang w:bidi="ar-EG"/>
          </w:rPr>
          <w:tab/>
          <w:t>المعالجة الأولية للخام المركَّز</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86</w:t>
      </w:r>
    </w:p>
    <w:p w:rsidR="0084698E" w:rsidRDefault="0084698E" w:rsidP="004F5C55">
      <w:pPr>
        <w:tabs>
          <w:tab w:val="left" w:pos="1416"/>
          <w:tab w:val="left" w:pos="2408"/>
          <w:tab w:val="right" w:leader="dot" w:pos="9212"/>
        </w:tabs>
        <w:spacing w:after="120" w:line="340" w:lineRule="exact"/>
        <w:ind w:left="707" w:hanging="709"/>
        <w:rPr>
          <w:rFonts w:ascii="Traditional Arabic" w:hAnsi="Traditional Arabic" w:cs="Traditional Arabic"/>
          <w:noProof/>
          <w:sz w:val="30"/>
          <w:rtl/>
          <w:lang w:bidi="ar-EG"/>
        </w:rPr>
      </w:pPr>
      <w:r>
        <w:rPr>
          <w:rFonts w:hint="cs"/>
          <w:rtl/>
        </w:rPr>
        <w:tab/>
      </w:r>
      <w:r>
        <w:rPr>
          <w:rFonts w:hint="cs"/>
          <w:rtl/>
        </w:rPr>
        <w:tab/>
      </w:r>
      <w:hyperlink w:anchor="_Toc440550519" w:history="1">
        <w:r w:rsidR="00335E4B" w:rsidRPr="008318BD">
          <w:rPr>
            <w:rFonts w:ascii="Traditional Arabic" w:hAnsi="Traditional Arabic" w:cs="Traditional Arabic"/>
            <w:noProof/>
            <w:sz w:val="30"/>
            <w:rtl/>
            <w:lang w:bidi="ar-EG"/>
          </w:rPr>
          <w:t>2-1-2</w:t>
        </w:r>
        <w:r w:rsidR="00335E4B" w:rsidRPr="008318BD">
          <w:rPr>
            <w:rFonts w:ascii="Traditional Arabic" w:hAnsi="Traditional Arabic" w:cs="Traditional Arabic"/>
            <w:noProof/>
            <w:sz w:val="30"/>
            <w:rtl/>
            <w:lang w:bidi="ar-EG"/>
          </w:rPr>
          <w:tab/>
          <w:t>الصهر</w:t>
        </w:r>
        <w:r w:rsidR="00335E4B" w:rsidRPr="008318BD">
          <w:rPr>
            <w:rFonts w:ascii="Traditional Arabic" w:hAnsi="Traditional Arabic" w:cs="Traditional Arabic"/>
            <w:noProof/>
            <w:webHidden/>
            <w:sz w:val="30"/>
            <w:rtl/>
            <w:lang w:bidi="ar-EG"/>
          </w:rPr>
          <w:tab/>
        </w:r>
        <w:r w:rsidR="004F5C55">
          <w:rPr>
            <w:rFonts w:ascii="Traditional Arabic" w:hAnsi="Traditional Arabic" w:cs="Traditional Arabic" w:hint="cs"/>
            <w:noProof/>
            <w:webHidden/>
            <w:sz w:val="30"/>
            <w:rtl/>
            <w:lang w:bidi="ar-EG"/>
          </w:rPr>
          <w:t>87</w:t>
        </w:r>
      </w:hyperlink>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20" w:history="1">
        <w:r w:rsidR="00335E4B" w:rsidRPr="008318BD">
          <w:rPr>
            <w:rFonts w:ascii="Traditional Arabic" w:hAnsi="Traditional Arabic" w:cs="Traditional Arabic"/>
            <w:noProof/>
            <w:sz w:val="30"/>
            <w:rtl/>
            <w:lang w:bidi="ar-EG"/>
          </w:rPr>
          <w:t>2-1-3</w:t>
        </w:r>
        <w:r w:rsidR="00335E4B" w:rsidRPr="008318BD">
          <w:rPr>
            <w:rFonts w:ascii="Traditional Arabic" w:hAnsi="Traditional Arabic" w:cs="Traditional Arabic"/>
            <w:noProof/>
            <w:sz w:val="30"/>
            <w:rtl/>
            <w:lang w:bidi="ar-EG"/>
          </w:rPr>
          <w:tab/>
          <w:t>التنقية</w:t>
        </w:r>
      </w:hyperlink>
      <w:r w:rsidR="00335E4B" w:rsidRPr="008318BD">
        <w:rPr>
          <w:rFonts w:ascii="Traditional Arabic" w:hAnsi="Traditional Arabic" w:cs="Traditional Arabic" w:hint="cs"/>
          <w:noProof/>
          <w:sz w:val="30"/>
          <w:rtl/>
          <w:lang w:bidi="ar-EG"/>
        </w:rPr>
        <w:tab/>
        <w:t>8</w:t>
      </w:r>
      <w:r w:rsidR="004F5C55">
        <w:rPr>
          <w:rFonts w:ascii="Traditional Arabic" w:hAnsi="Traditional Arabic" w:cs="Traditional Arabic" w:hint="cs"/>
          <w:noProof/>
          <w:sz w:val="30"/>
          <w:rtl/>
          <w:lang w:bidi="ar-EG"/>
        </w:rPr>
        <w:t>7</w:t>
      </w:r>
    </w:p>
    <w:p w:rsidR="00335E4B" w:rsidRPr="008318BD"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21" w:history="1">
        <w:r w:rsidR="00335E4B" w:rsidRPr="008318BD">
          <w:rPr>
            <w:rFonts w:ascii="Traditional Arabic" w:hAnsi="Traditional Arabic" w:cs="Traditional Arabic"/>
            <w:noProof/>
            <w:sz w:val="30"/>
            <w:rtl/>
            <w:lang w:bidi="ar-EG"/>
          </w:rPr>
          <w:t>2-1-4</w:t>
        </w:r>
        <w:r w:rsidR="00335E4B" w:rsidRPr="008318BD">
          <w:rPr>
            <w:rFonts w:ascii="Traditional Arabic" w:hAnsi="Traditional Arabic" w:cs="Traditional Arabic"/>
            <w:noProof/>
            <w:sz w:val="30"/>
            <w:rtl/>
            <w:lang w:bidi="ar-EG"/>
          </w:rPr>
          <w:tab/>
          <w:t>منشأة تصنيع حمض الكبريتيك</w:t>
        </w:r>
      </w:hyperlink>
      <w:r w:rsidR="00335E4B" w:rsidRPr="008318BD">
        <w:rPr>
          <w:rFonts w:ascii="Traditional Arabic" w:hAnsi="Traditional Arabic" w:cs="Traditional Arabic"/>
          <w:noProof/>
          <w:sz w:val="30"/>
          <w:rtl/>
          <w:lang w:bidi="ar-EG"/>
        </w:rPr>
        <w:tab/>
        <w:t>8</w:t>
      </w:r>
      <w:r w:rsidR="004F5C55">
        <w:rPr>
          <w:rFonts w:ascii="Traditional Arabic" w:hAnsi="Traditional Arabic" w:cs="Traditional Arabic" w:hint="cs"/>
          <w:noProof/>
          <w:sz w:val="30"/>
          <w:rtl/>
          <w:lang w:bidi="ar-EG"/>
        </w:rPr>
        <w:t>7</w:t>
      </w:r>
    </w:p>
    <w:p w:rsidR="00335E4B" w:rsidRPr="008318BD" w:rsidRDefault="0084698E" w:rsidP="004F5C55">
      <w:pPr>
        <w:tabs>
          <w:tab w:val="left" w:pos="1416"/>
          <w:tab w:val="right" w:leader="dot" w:pos="9212"/>
        </w:tabs>
        <w:spacing w:after="120" w:line="340" w:lineRule="exact"/>
        <w:ind w:left="707" w:hanging="709"/>
        <w:rPr>
          <w:rFonts w:ascii="Traditional Arabic" w:hAnsi="Traditional Arabic" w:cs="Traditional Arabic"/>
          <w:noProof/>
          <w:sz w:val="30"/>
          <w:rtl/>
          <w:lang w:bidi="ar-EG"/>
        </w:rPr>
      </w:pPr>
      <w:r>
        <w:rPr>
          <w:rFonts w:hint="cs"/>
          <w:rtl/>
        </w:rPr>
        <w:tab/>
      </w:r>
      <w:hyperlink w:anchor="_Toc440550522" w:history="1">
        <w:r w:rsidR="00335E4B" w:rsidRPr="008318BD">
          <w:rPr>
            <w:rFonts w:ascii="Traditional Arabic" w:hAnsi="Traditional Arabic" w:cs="Traditional Arabic"/>
            <w:noProof/>
            <w:sz w:val="30"/>
            <w:rtl/>
            <w:lang w:bidi="ar-EG"/>
          </w:rPr>
          <w:t>2-2</w:t>
        </w:r>
        <w:r w:rsidR="00335E4B" w:rsidRPr="008318BD">
          <w:rPr>
            <w:rFonts w:ascii="Traditional Arabic" w:hAnsi="Traditional Arabic" w:cs="Traditional Arabic"/>
            <w:noProof/>
            <w:sz w:val="30"/>
            <w:rtl/>
            <w:lang w:bidi="ar-EG"/>
          </w:rPr>
          <w:tab/>
          <w:t>خطوات التصنيع في إنتاج الزنك</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8</w:t>
      </w:r>
      <w:r w:rsidR="004F5C55">
        <w:rPr>
          <w:rFonts w:ascii="Traditional Arabic" w:hAnsi="Traditional Arabic" w:cs="Traditional Arabic" w:hint="cs"/>
          <w:noProof/>
          <w:sz w:val="30"/>
          <w:rtl/>
          <w:lang w:bidi="ar-EG"/>
        </w:rPr>
        <w:t>9</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hint="cs"/>
          <w:rtl/>
        </w:rPr>
        <w:tab/>
      </w:r>
      <w:r>
        <w:rPr>
          <w:rFonts w:hint="cs"/>
          <w:rtl/>
        </w:rPr>
        <w:tab/>
      </w:r>
      <w:hyperlink w:anchor="_Toc440550523" w:history="1">
        <w:r w:rsidR="00335E4B" w:rsidRPr="008318BD">
          <w:rPr>
            <w:rFonts w:ascii="Traditional Arabic" w:hAnsi="Traditional Arabic" w:cs="Traditional Arabic"/>
            <w:noProof/>
            <w:sz w:val="30"/>
            <w:rtl/>
            <w:lang w:bidi="ar-EG"/>
          </w:rPr>
          <w:t>2-2-1</w:t>
        </w:r>
        <w:r w:rsidR="00335E4B" w:rsidRPr="008318BD">
          <w:rPr>
            <w:rFonts w:ascii="Traditional Arabic" w:hAnsi="Traditional Arabic" w:cs="Traditional Arabic"/>
            <w:noProof/>
            <w:sz w:val="30"/>
            <w:rtl/>
            <w:lang w:bidi="ar-EG"/>
          </w:rPr>
          <w:tab/>
          <w:t>الخلط والتحميص واستعادة الغبار</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8</w:t>
      </w:r>
      <w:r w:rsidR="004F5C55">
        <w:rPr>
          <w:rFonts w:ascii="Traditional Arabic" w:hAnsi="Traditional Arabic" w:cs="Traditional Arabic" w:hint="cs"/>
          <w:noProof/>
          <w:sz w:val="30"/>
          <w:rtl/>
          <w:lang w:bidi="ar-EG"/>
        </w:rPr>
        <w:t>9</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24" w:history="1">
        <w:r w:rsidR="00335E4B" w:rsidRPr="008318BD">
          <w:rPr>
            <w:rFonts w:ascii="Traditional Arabic" w:hAnsi="Traditional Arabic" w:cs="Traditional Arabic"/>
            <w:noProof/>
            <w:sz w:val="30"/>
            <w:rtl/>
            <w:lang w:bidi="ar-EG"/>
          </w:rPr>
          <w:t>2-2-2</w:t>
        </w:r>
        <w:r w:rsidR="00335E4B" w:rsidRPr="008318BD">
          <w:rPr>
            <w:rFonts w:ascii="Traditional Arabic" w:hAnsi="Traditional Arabic" w:cs="Traditional Arabic"/>
            <w:noProof/>
            <w:sz w:val="30"/>
            <w:rtl/>
            <w:lang w:bidi="ar-EG"/>
          </w:rPr>
          <w:tab/>
          <w:t>تنظيف الغاز</w:t>
        </w:r>
        <w:r w:rsidR="00335E4B" w:rsidRPr="008318BD">
          <w:rPr>
            <w:rFonts w:ascii="Traditional Arabic" w:hAnsi="Traditional Arabic" w:cs="Traditional Arabic" w:hint="cs"/>
            <w:noProof/>
            <w:webHidden/>
            <w:sz w:val="30"/>
            <w:rtl/>
            <w:lang w:bidi="ar-EG"/>
          </w:rPr>
          <w:tab/>
        </w:r>
        <w:r w:rsidR="004F5C55">
          <w:rPr>
            <w:rFonts w:ascii="Traditional Arabic" w:hAnsi="Traditional Arabic" w:cs="Traditional Arabic" w:hint="cs"/>
            <w:noProof/>
            <w:webHidden/>
            <w:sz w:val="30"/>
            <w:rtl/>
            <w:lang w:bidi="ar-EG"/>
          </w:rPr>
          <w:t>89</w:t>
        </w:r>
      </w:hyperlink>
    </w:p>
    <w:p w:rsidR="0084698E" w:rsidRDefault="0084698E" w:rsidP="0084698E">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hint="cs"/>
          <w:rtl/>
        </w:rPr>
        <w:tab/>
      </w:r>
      <w:r>
        <w:rPr>
          <w:rFonts w:hint="cs"/>
          <w:rtl/>
        </w:rPr>
        <w:tab/>
      </w:r>
      <w:hyperlink w:anchor="_Toc440550525" w:history="1">
        <w:r w:rsidR="00335E4B" w:rsidRPr="008318BD">
          <w:rPr>
            <w:rFonts w:ascii="Traditional Arabic" w:hAnsi="Traditional Arabic" w:cs="Traditional Arabic"/>
            <w:noProof/>
            <w:sz w:val="30"/>
            <w:rtl/>
            <w:lang w:bidi="ar-EG"/>
          </w:rPr>
          <w:t>2-2-3</w:t>
        </w:r>
        <w:r w:rsidR="00335E4B" w:rsidRPr="008318BD">
          <w:rPr>
            <w:rFonts w:ascii="Traditional Arabic" w:hAnsi="Traditional Arabic" w:cs="Traditional Arabic"/>
            <w:noProof/>
            <w:sz w:val="30"/>
            <w:rtl/>
            <w:lang w:bidi="ar-EG"/>
          </w:rPr>
          <w:tab/>
          <w:t>منشأة إنتاج حمض الكبريتيك</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90</w:t>
      </w:r>
    </w:p>
    <w:p w:rsidR="00335E4B" w:rsidRPr="008318BD"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26" w:history="1">
        <w:r w:rsidR="00335E4B" w:rsidRPr="008318BD">
          <w:rPr>
            <w:rFonts w:ascii="Traditional Arabic" w:hAnsi="Traditional Arabic" w:cs="Traditional Arabic"/>
            <w:noProof/>
            <w:sz w:val="30"/>
            <w:rtl/>
            <w:lang w:bidi="ar-EG"/>
          </w:rPr>
          <w:t>2-2-4</w:t>
        </w:r>
        <w:r w:rsidR="00335E4B" w:rsidRPr="008318BD">
          <w:rPr>
            <w:rFonts w:ascii="Traditional Arabic" w:hAnsi="Traditional Arabic" w:cs="Traditional Arabic"/>
            <w:noProof/>
            <w:sz w:val="30"/>
            <w:rtl/>
            <w:lang w:bidi="ar-EG"/>
          </w:rPr>
          <w:tab/>
          <w:t>النض</w:t>
        </w:r>
      </w:hyperlink>
      <w:r w:rsidR="00335E4B" w:rsidRPr="008318BD">
        <w:rPr>
          <w:rFonts w:ascii="Traditional Arabic" w:hAnsi="Traditional Arabic" w:cs="Traditional Arabic" w:hint="cs"/>
          <w:noProof/>
          <w:sz w:val="30"/>
          <w:rtl/>
          <w:lang w:bidi="ar-EG"/>
        </w:rPr>
        <w:tab/>
        <w:t>9</w:t>
      </w:r>
      <w:r w:rsidR="004F5C55">
        <w:rPr>
          <w:rFonts w:ascii="Traditional Arabic" w:hAnsi="Traditional Arabic" w:cs="Traditional Arabic" w:hint="cs"/>
          <w:noProof/>
          <w:sz w:val="30"/>
          <w:rtl/>
          <w:lang w:bidi="ar-EG"/>
        </w:rPr>
        <w:t>1</w:t>
      </w:r>
    </w:p>
    <w:p w:rsidR="0084698E" w:rsidRDefault="0084698E" w:rsidP="004F5C55">
      <w:pPr>
        <w:tabs>
          <w:tab w:val="left" w:pos="1416"/>
          <w:tab w:val="right" w:leader="dot" w:pos="9212"/>
        </w:tabs>
        <w:spacing w:after="120" w:line="340" w:lineRule="exact"/>
        <w:ind w:left="707" w:hanging="709"/>
        <w:rPr>
          <w:rFonts w:ascii="Traditional Arabic" w:hAnsi="Traditional Arabic" w:cs="Traditional Arabic"/>
          <w:noProof/>
          <w:sz w:val="30"/>
          <w:rtl/>
          <w:lang w:bidi="ar-EG"/>
        </w:rPr>
      </w:pPr>
      <w:r>
        <w:rPr>
          <w:rFonts w:hint="cs"/>
          <w:rtl/>
        </w:rPr>
        <w:tab/>
      </w:r>
      <w:hyperlink w:anchor="_Toc440550527" w:history="1">
        <w:r w:rsidR="00335E4B" w:rsidRPr="008318BD">
          <w:rPr>
            <w:rFonts w:ascii="Traditional Arabic" w:hAnsi="Traditional Arabic" w:cs="Traditional Arabic"/>
            <w:noProof/>
            <w:sz w:val="30"/>
            <w:rtl/>
            <w:lang w:bidi="ar-EG"/>
          </w:rPr>
          <w:t>2-3</w:t>
        </w:r>
        <w:r w:rsidR="00335E4B" w:rsidRPr="008318BD">
          <w:rPr>
            <w:rFonts w:ascii="Traditional Arabic" w:hAnsi="Traditional Arabic" w:cs="Traditional Arabic"/>
            <w:noProof/>
            <w:sz w:val="30"/>
            <w:rtl/>
            <w:lang w:bidi="ar-EG"/>
          </w:rPr>
          <w:tab/>
          <w:t>خطوات التصنيع في إنتاج النحاس</w:t>
        </w:r>
      </w:hyperlink>
      <w:r w:rsidR="00335E4B" w:rsidRPr="008318BD">
        <w:rPr>
          <w:rFonts w:ascii="Traditional Arabic" w:hAnsi="Traditional Arabic" w:cs="Traditional Arabic"/>
          <w:noProof/>
          <w:sz w:val="30"/>
          <w:rtl/>
          <w:lang w:bidi="ar-EG"/>
        </w:rPr>
        <w:tab/>
        <w:t>9</w:t>
      </w:r>
      <w:r w:rsidR="004F5C55">
        <w:rPr>
          <w:rFonts w:ascii="Traditional Arabic" w:hAnsi="Traditional Arabic" w:cs="Traditional Arabic" w:hint="cs"/>
          <w:noProof/>
          <w:sz w:val="30"/>
          <w:rtl/>
          <w:lang w:bidi="ar-EG"/>
        </w:rPr>
        <w:t>1</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28" w:history="1">
        <w:r w:rsidR="00335E4B" w:rsidRPr="008318BD">
          <w:rPr>
            <w:rFonts w:ascii="Traditional Arabic" w:hAnsi="Traditional Arabic" w:cs="Traditional Arabic"/>
            <w:noProof/>
            <w:sz w:val="30"/>
            <w:rtl/>
            <w:lang w:bidi="ar-EG"/>
          </w:rPr>
          <w:t>2-3-1</w:t>
        </w:r>
        <w:r w:rsidR="00335E4B" w:rsidRPr="008318BD">
          <w:rPr>
            <w:rFonts w:ascii="Traditional Arabic" w:hAnsi="Traditional Arabic" w:cs="Traditional Arabic"/>
            <w:noProof/>
            <w:sz w:val="30"/>
            <w:rtl/>
            <w:lang w:bidi="ar-EG"/>
          </w:rPr>
          <w:tab/>
          <w:t>تجفيف الخام المركز</w:t>
        </w:r>
      </w:hyperlink>
      <w:r w:rsidR="00335E4B" w:rsidRPr="008318BD">
        <w:rPr>
          <w:rFonts w:ascii="Traditional Arabic" w:hAnsi="Traditional Arabic" w:cs="Traditional Arabic"/>
          <w:noProof/>
          <w:sz w:val="30"/>
          <w:rtl/>
          <w:lang w:bidi="ar-EG"/>
        </w:rPr>
        <w:tab/>
        <w:t>9</w:t>
      </w:r>
      <w:r w:rsidR="004F5C55">
        <w:rPr>
          <w:rFonts w:ascii="Traditional Arabic" w:hAnsi="Traditional Arabic" w:cs="Traditional Arabic" w:hint="cs"/>
          <w:noProof/>
          <w:sz w:val="30"/>
          <w:rtl/>
          <w:lang w:bidi="ar-EG"/>
        </w:rPr>
        <w:t>1</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29" w:history="1">
        <w:r w:rsidR="00335E4B" w:rsidRPr="008318BD">
          <w:rPr>
            <w:rFonts w:ascii="Traditional Arabic" w:hAnsi="Traditional Arabic" w:cs="Traditional Arabic"/>
            <w:noProof/>
            <w:sz w:val="30"/>
            <w:rtl/>
            <w:lang w:bidi="ar-EG"/>
          </w:rPr>
          <w:t>2-3-</w:t>
        </w:r>
        <w:r w:rsidR="00C84078">
          <w:rPr>
            <w:rFonts w:ascii="Traditional Arabic" w:hAnsi="Traditional Arabic" w:cs="Traditional Arabic" w:hint="cs"/>
            <w:noProof/>
            <w:sz w:val="30"/>
            <w:rtl/>
            <w:lang w:bidi="ar-EG"/>
          </w:rPr>
          <w:t>2</w:t>
        </w:r>
        <w:r w:rsidR="00335E4B" w:rsidRPr="008318BD">
          <w:rPr>
            <w:rFonts w:ascii="Traditional Arabic" w:hAnsi="Traditional Arabic" w:cs="Traditional Arabic"/>
            <w:noProof/>
            <w:sz w:val="30"/>
            <w:rtl/>
            <w:lang w:bidi="ar-EG"/>
          </w:rPr>
          <w:tab/>
          <w:t>التحميص</w:t>
        </w:r>
      </w:hyperlink>
      <w:r w:rsidR="00335E4B" w:rsidRPr="008318BD">
        <w:rPr>
          <w:rFonts w:ascii="Traditional Arabic" w:hAnsi="Traditional Arabic" w:cs="Traditional Arabic" w:hint="cs"/>
          <w:noProof/>
          <w:sz w:val="30"/>
          <w:rtl/>
          <w:lang w:bidi="ar-EG"/>
        </w:rPr>
        <w:tab/>
      </w:r>
      <w:r w:rsidR="00335E4B" w:rsidRPr="008318BD">
        <w:rPr>
          <w:rFonts w:ascii="Traditional Arabic" w:hAnsi="Traditional Arabic" w:cs="Traditional Arabic"/>
          <w:noProof/>
          <w:sz w:val="30"/>
          <w:rtl/>
          <w:lang w:bidi="ar-EG"/>
        </w:rPr>
        <w:t>9</w:t>
      </w:r>
      <w:r w:rsidR="004F5C55">
        <w:rPr>
          <w:rFonts w:ascii="Traditional Arabic" w:hAnsi="Traditional Arabic" w:cs="Traditional Arabic" w:hint="cs"/>
          <w:noProof/>
          <w:sz w:val="30"/>
          <w:rtl/>
          <w:lang w:bidi="ar-EG"/>
        </w:rPr>
        <w:t>2</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30" w:history="1">
        <w:r w:rsidR="00335E4B" w:rsidRPr="008318BD">
          <w:rPr>
            <w:rFonts w:ascii="Traditional Arabic" w:hAnsi="Traditional Arabic" w:cs="Traditional Arabic"/>
            <w:noProof/>
            <w:sz w:val="30"/>
            <w:rtl/>
            <w:lang w:bidi="ar-EG"/>
          </w:rPr>
          <w:t>2-3-</w:t>
        </w:r>
        <w:r w:rsidR="00C84078">
          <w:rPr>
            <w:rFonts w:ascii="Traditional Arabic" w:hAnsi="Traditional Arabic" w:cs="Traditional Arabic" w:hint="cs"/>
            <w:noProof/>
            <w:sz w:val="30"/>
            <w:rtl/>
            <w:lang w:bidi="ar-EG"/>
          </w:rPr>
          <w:t>3</w:t>
        </w:r>
        <w:r w:rsidR="00335E4B" w:rsidRPr="008318BD">
          <w:rPr>
            <w:rFonts w:ascii="Traditional Arabic" w:hAnsi="Traditional Arabic" w:cs="Traditional Arabic"/>
            <w:noProof/>
            <w:sz w:val="30"/>
            <w:rtl/>
            <w:lang w:bidi="ar-EG"/>
          </w:rPr>
          <w:tab/>
          <w:t>الصهر</w:t>
        </w:r>
      </w:hyperlink>
      <w:r w:rsidR="00335E4B" w:rsidRPr="008318BD">
        <w:rPr>
          <w:rFonts w:ascii="Traditional Arabic" w:hAnsi="Traditional Arabic" w:cs="Traditional Arabic"/>
          <w:noProof/>
          <w:sz w:val="30"/>
          <w:rtl/>
          <w:lang w:bidi="ar-EG"/>
        </w:rPr>
        <w:tab/>
        <w:t>9</w:t>
      </w:r>
      <w:r w:rsidR="004F5C55">
        <w:rPr>
          <w:rFonts w:ascii="Traditional Arabic" w:hAnsi="Traditional Arabic" w:cs="Traditional Arabic" w:hint="cs"/>
          <w:noProof/>
          <w:sz w:val="30"/>
          <w:rtl/>
          <w:lang w:bidi="ar-EG"/>
        </w:rPr>
        <w:t>2</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31" w:history="1">
        <w:r w:rsidR="00335E4B" w:rsidRPr="008318BD">
          <w:rPr>
            <w:rFonts w:ascii="Traditional Arabic" w:hAnsi="Traditional Arabic" w:cs="Traditional Arabic"/>
            <w:noProof/>
            <w:sz w:val="30"/>
            <w:rtl/>
            <w:lang w:bidi="ar-EG"/>
          </w:rPr>
          <w:t>2-3-4</w:t>
        </w:r>
        <w:r w:rsidR="00335E4B" w:rsidRPr="008318BD">
          <w:rPr>
            <w:rFonts w:ascii="Traditional Arabic" w:hAnsi="Traditional Arabic" w:cs="Traditional Arabic"/>
            <w:noProof/>
            <w:sz w:val="30"/>
            <w:rtl/>
            <w:lang w:bidi="ar-EG"/>
          </w:rPr>
          <w:tab/>
          <w:t>التحويل</w:t>
        </w:r>
      </w:hyperlink>
      <w:r w:rsidR="00335E4B" w:rsidRPr="008318BD">
        <w:rPr>
          <w:rFonts w:ascii="Traditional Arabic" w:hAnsi="Traditional Arabic" w:cs="Traditional Arabic"/>
          <w:noProof/>
          <w:sz w:val="30"/>
          <w:rtl/>
          <w:lang w:bidi="ar-EG"/>
        </w:rPr>
        <w:tab/>
        <w:t>9</w:t>
      </w:r>
      <w:r w:rsidR="004F5C55">
        <w:rPr>
          <w:rFonts w:ascii="Traditional Arabic" w:hAnsi="Traditional Arabic" w:cs="Traditional Arabic" w:hint="cs"/>
          <w:noProof/>
          <w:sz w:val="30"/>
          <w:rtl/>
          <w:lang w:bidi="ar-EG"/>
        </w:rPr>
        <w:t>2</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32" w:history="1">
        <w:r w:rsidR="00335E4B" w:rsidRPr="008318BD">
          <w:rPr>
            <w:rFonts w:ascii="Traditional Arabic" w:hAnsi="Traditional Arabic" w:cs="Traditional Arabic"/>
            <w:noProof/>
            <w:sz w:val="30"/>
            <w:rtl/>
            <w:lang w:bidi="ar-EG"/>
          </w:rPr>
          <w:t>2-3-5</w:t>
        </w:r>
        <w:r w:rsidR="00335E4B" w:rsidRPr="008318BD">
          <w:rPr>
            <w:rFonts w:ascii="Traditional Arabic" w:hAnsi="Traditional Arabic" w:cs="Traditional Arabic"/>
            <w:noProof/>
            <w:sz w:val="30"/>
            <w:rtl/>
            <w:lang w:bidi="ar-EG"/>
          </w:rPr>
          <w:tab/>
          <w:t>التنقية والصب</w:t>
        </w:r>
      </w:hyperlink>
      <w:r w:rsidR="00335E4B" w:rsidRPr="008318BD">
        <w:rPr>
          <w:rFonts w:ascii="Traditional Arabic" w:hAnsi="Traditional Arabic" w:cs="Traditional Arabic" w:hint="cs"/>
          <w:noProof/>
          <w:sz w:val="30"/>
          <w:rtl/>
          <w:lang w:bidi="ar-EG"/>
        </w:rPr>
        <w:tab/>
        <w:t>9</w:t>
      </w:r>
      <w:r w:rsidR="004F5C55">
        <w:rPr>
          <w:rFonts w:ascii="Traditional Arabic" w:hAnsi="Traditional Arabic" w:cs="Traditional Arabic" w:hint="cs"/>
          <w:noProof/>
          <w:sz w:val="30"/>
          <w:rtl/>
          <w:lang w:bidi="ar-EG"/>
        </w:rPr>
        <w:t>2</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33" w:history="1">
        <w:r w:rsidR="00335E4B" w:rsidRPr="008318BD">
          <w:rPr>
            <w:rFonts w:ascii="Traditional Arabic" w:hAnsi="Traditional Arabic" w:cs="Traditional Arabic"/>
            <w:noProof/>
            <w:sz w:val="30"/>
            <w:rtl/>
            <w:lang w:bidi="ar-EG"/>
          </w:rPr>
          <w:t>2-3-6</w:t>
        </w:r>
        <w:r w:rsidR="00335E4B" w:rsidRPr="008318BD">
          <w:rPr>
            <w:rFonts w:ascii="Traditional Arabic" w:hAnsi="Traditional Arabic" w:cs="Traditional Arabic"/>
            <w:noProof/>
            <w:sz w:val="30"/>
            <w:rtl/>
            <w:lang w:bidi="ar-EG"/>
          </w:rPr>
          <w:tab/>
          <w:t>تنظيف الخبث</w:t>
        </w:r>
      </w:hyperlink>
      <w:r w:rsidR="00335E4B" w:rsidRPr="008318BD">
        <w:rPr>
          <w:rFonts w:ascii="Traditional Arabic" w:hAnsi="Traditional Arabic" w:cs="Traditional Arabic" w:hint="cs"/>
          <w:noProof/>
          <w:sz w:val="30"/>
          <w:rtl/>
          <w:lang w:bidi="ar-EG"/>
        </w:rPr>
        <w:tab/>
        <w:t>9</w:t>
      </w:r>
      <w:r w:rsidR="004F5C55">
        <w:rPr>
          <w:rFonts w:ascii="Traditional Arabic" w:hAnsi="Traditional Arabic" w:cs="Traditional Arabic" w:hint="cs"/>
          <w:noProof/>
          <w:sz w:val="30"/>
          <w:rtl/>
          <w:lang w:bidi="ar-EG"/>
        </w:rPr>
        <w:t>3</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34" w:history="1">
        <w:r w:rsidR="00335E4B" w:rsidRPr="008318BD">
          <w:rPr>
            <w:rFonts w:ascii="Traditional Arabic" w:hAnsi="Traditional Arabic" w:cs="Traditional Arabic"/>
            <w:noProof/>
            <w:sz w:val="30"/>
            <w:rtl/>
            <w:lang w:bidi="ar-EG"/>
          </w:rPr>
          <w:t>2-3-7</w:t>
        </w:r>
        <w:r w:rsidR="00335E4B" w:rsidRPr="008318BD">
          <w:rPr>
            <w:rFonts w:ascii="Traditional Arabic" w:hAnsi="Traditional Arabic" w:cs="Traditional Arabic"/>
            <w:noProof/>
            <w:sz w:val="30"/>
            <w:rtl/>
            <w:lang w:bidi="ar-EG"/>
          </w:rPr>
          <w:tab/>
          <w:t>منشأة تصنيع حمض الكبريتيك</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9</w:t>
      </w:r>
      <w:r w:rsidR="004F5C55">
        <w:rPr>
          <w:rFonts w:ascii="Traditional Arabic" w:hAnsi="Traditional Arabic" w:cs="Traditional Arabic" w:hint="cs"/>
          <w:noProof/>
          <w:sz w:val="30"/>
          <w:rtl/>
          <w:lang w:bidi="ar-EG"/>
        </w:rPr>
        <w:t>3</w:t>
      </w:r>
    </w:p>
    <w:p w:rsidR="0084698E" w:rsidRDefault="0084698E" w:rsidP="004F5C55">
      <w:pPr>
        <w:tabs>
          <w:tab w:val="left" w:pos="1416"/>
          <w:tab w:val="left" w:pos="2408"/>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hyperlink w:anchor="_Toc440550535" w:history="1">
        <w:r w:rsidR="00335E4B" w:rsidRPr="008318BD">
          <w:rPr>
            <w:rFonts w:ascii="Traditional Arabic" w:hAnsi="Traditional Arabic" w:cs="Traditional Arabic"/>
            <w:noProof/>
            <w:sz w:val="30"/>
            <w:rtl/>
            <w:lang w:bidi="ar-EG"/>
          </w:rPr>
          <w:t>2-4</w:t>
        </w:r>
        <w:r w:rsidR="00335E4B" w:rsidRPr="008318BD">
          <w:rPr>
            <w:rFonts w:ascii="Traditional Arabic" w:hAnsi="Traditional Arabic" w:cs="Traditional Arabic"/>
            <w:noProof/>
            <w:sz w:val="30"/>
            <w:rtl/>
            <w:lang w:bidi="ar-EG"/>
          </w:rPr>
          <w:tab/>
          <w:t>خطوات التصنيع في إنتاج الذهب</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9</w:t>
      </w:r>
      <w:r w:rsidR="004F5C55">
        <w:rPr>
          <w:rFonts w:ascii="Traditional Arabic" w:hAnsi="Traditional Arabic" w:cs="Traditional Arabic" w:hint="cs"/>
          <w:noProof/>
          <w:sz w:val="30"/>
          <w:rtl/>
          <w:lang w:bidi="ar-EG"/>
        </w:rPr>
        <w:t>4</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36" w:history="1">
        <w:r w:rsidR="00335E4B" w:rsidRPr="008318BD">
          <w:rPr>
            <w:rFonts w:ascii="Traditional Arabic" w:hAnsi="Traditional Arabic" w:cs="Traditional Arabic"/>
            <w:noProof/>
            <w:sz w:val="30"/>
            <w:rtl/>
            <w:lang w:bidi="ar-EG"/>
          </w:rPr>
          <w:t>2-4-1</w:t>
        </w:r>
        <w:r w:rsidR="00335E4B" w:rsidRPr="008318BD">
          <w:rPr>
            <w:rFonts w:ascii="Traditional Arabic" w:hAnsi="Traditional Arabic" w:cs="Traditional Arabic"/>
            <w:noProof/>
            <w:sz w:val="30"/>
            <w:rtl/>
            <w:lang w:bidi="ar-EG"/>
          </w:rPr>
          <w:tab/>
          <w:t>التحميص</w:t>
        </w:r>
      </w:hyperlink>
      <w:r w:rsidR="00335E4B" w:rsidRPr="008318BD">
        <w:rPr>
          <w:rFonts w:ascii="Traditional Arabic" w:hAnsi="Traditional Arabic" w:cs="Traditional Arabic" w:hint="cs"/>
          <w:noProof/>
          <w:sz w:val="30"/>
          <w:rtl/>
          <w:lang w:bidi="ar-EG"/>
        </w:rPr>
        <w:tab/>
        <w:t>9</w:t>
      </w:r>
      <w:r w:rsidR="004F5C55">
        <w:rPr>
          <w:rFonts w:ascii="Traditional Arabic" w:hAnsi="Traditional Arabic" w:cs="Traditional Arabic" w:hint="cs"/>
          <w:noProof/>
          <w:sz w:val="30"/>
          <w:rtl/>
          <w:lang w:bidi="ar-EG"/>
        </w:rPr>
        <w:t>5</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37" w:history="1">
        <w:r w:rsidR="00335E4B" w:rsidRPr="008318BD">
          <w:rPr>
            <w:rFonts w:ascii="Traditional Arabic" w:hAnsi="Traditional Arabic" w:cs="Traditional Arabic"/>
            <w:noProof/>
            <w:sz w:val="30"/>
            <w:rtl/>
            <w:lang w:bidi="ar-EG"/>
          </w:rPr>
          <w:t>2-4-2</w:t>
        </w:r>
        <w:r w:rsidR="00335E4B" w:rsidRPr="008318BD">
          <w:rPr>
            <w:rFonts w:ascii="Traditional Arabic" w:hAnsi="Traditional Arabic" w:cs="Traditional Arabic"/>
            <w:noProof/>
            <w:sz w:val="30"/>
            <w:rtl/>
            <w:lang w:bidi="ar-EG"/>
          </w:rPr>
          <w:tab/>
          <w:t>النض</w:t>
        </w:r>
      </w:hyperlink>
      <w:r w:rsidR="00335E4B" w:rsidRPr="008318BD">
        <w:rPr>
          <w:rFonts w:ascii="Traditional Arabic" w:hAnsi="Traditional Arabic" w:cs="Traditional Arabic" w:hint="cs"/>
          <w:noProof/>
          <w:sz w:val="30"/>
          <w:rtl/>
          <w:lang w:bidi="ar-EG"/>
        </w:rPr>
        <w:tab/>
        <w:t>9</w:t>
      </w:r>
      <w:r w:rsidR="004F5C55">
        <w:rPr>
          <w:rFonts w:ascii="Traditional Arabic" w:hAnsi="Traditional Arabic" w:cs="Traditional Arabic" w:hint="cs"/>
          <w:noProof/>
          <w:sz w:val="30"/>
          <w:rtl/>
          <w:lang w:bidi="ar-EG"/>
        </w:rPr>
        <w:t>5</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38" w:history="1">
        <w:r w:rsidR="00335E4B" w:rsidRPr="008318BD">
          <w:rPr>
            <w:rFonts w:ascii="Traditional Arabic" w:hAnsi="Traditional Arabic" w:cs="Traditional Arabic"/>
            <w:noProof/>
            <w:sz w:val="30"/>
            <w:rtl/>
            <w:lang w:bidi="ar-EG"/>
          </w:rPr>
          <w:t>2-4-3</w:t>
        </w:r>
        <w:r w:rsidR="00335E4B" w:rsidRPr="008318BD">
          <w:rPr>
            <w:rFonts w:ascii="Traditional Arabic" w:hAnsi="Traditional Arabic" w:cs="Traditional Arabic"/>
            <w:noProof/>
            <w:sz w:val="30"/>
            <w:rtl/>
            <w:lang w:bidi="ar-EG"/>
          </w:rPr>
          <w:tab/>
          <w:t>التجريد وإعادة التشكيل</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9</w:t>
      </w:r>
      <w:r w:rsidR="004F5C55">
        <w:rPr>
          <w:rFonts w:ascii="Traditional Arabic" w:hAnsi="Traditional Arabic" w:cs="Traditional Arabic" w:hint="cs"/>
          <w:noProof/>
          <w:sz w:val="30"/>
          <w:rtl/>
          <w:lang w:bidi="ar-EG"/>
        </w:rPr>
        <w:t>5</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39" w:history="1">
        <w:r w:rsidR="00335E4B" w:rsidRPr="008318BD">
          <w:rPr>
            <w:rFonts w:ascii="Traditional Arabic" w:hAnsi="Traditional Arabic" w:cs="Traditional Arabic"/>
            <w:noProof/>
            <w:sz w:val="30"/>
            <w:rtl/>
            <w:lang w:bidi="ar-EG"/>
          </w:rPr>
          <w:t>2-4-4</w:t>
        </w:r>
        <w:r w:rsidR="00335E4B" w:rsidRPr="008318BD">
          <w:rPr>
            <w:rFonts w:ascii="Traditional Arabic" w:hAnsi="Traditional Arabic" w:cs="Traditional Arabic"/>
            <w:noProof/>
            <w:sz w:val="30"/>
            <w:rtl/>
            <w:lang w:bidi="ar-EG"/>
          </w:rPr>
          <w:tab/>
          <w:t>التنقية</w:t>
        </w:r>
      </w:hyperlink>
      <w:r w:rsidR="00335E4B" w:rsidRPr="008318BD">
        <w:rPr>
          <w:rFonts w:ascii="Traditional Arabic" w:hAnsi="Traditional Arabic" w:cs="Traditional Arabic" w:hint="cs"/>
          <w:noProof/>
          <w:sz w:val="30"/>
          <w:rtl/>
          <w:lang w:bidi="ar-EG"/>
        </w:rPr>
        <w:tab/>
        <w:t>9</w:t>
      </w:r>
      <w:r w:rsidR="004F5C55">
        <w:rPr>
          <w:rFonts w:ascii="Traditional Arabic" w:hAnsi="Traditional Arabic" w:cs="Traditional Arabic" w:hint="cs"/>
          <w:noProof/>
          <w:sz w:val="30"/>
          <w:rtl/>
          <w:lang w:bidi="ar-EG"/>
        </w:rPr>
        <w:t>6</w:t>
      </w:r>
    </w:p>
    <w:p w:rsidR="00335E4B" w:rsidRPr="008318BD"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40" w:history="1">
        <w:r w:rsidR="00335E4B" w:rsidRPr="008318BD">
          <w:rPr>
            <w:rFonts w:ascii="Traditional Arabic" w:hAnsi="Traditional Arabic" w:cs="Traditional Arabic"/>
            <w:noProof/>
            <w:sz w:val="30"/>
            <w:rtl/>
            <w:lang w:bidi="ar-EG"/>
          </w:rPr>
          <w:t>2-4-5</w:t>
        </w:r>
        <w:r w:rsidR="00335E4B" w:rsidRPr="008318BD">
          <w:rPr>
            <w:rFonts w:ascii="Traditional Arabic" w:hAnsi="Traditional Arabic" w:cs="Traditional Arabic"/>
            <w:noProof/>
            <w:sz w:val="30"/>
            <w:rtl/>
            <w:lang w:bidi="ar-EG"/>
          </w:rPr>
          <w:tab/>
          <w:t>الفرن</w:t>
        </w:r>
      </w:hyperlink>
      <w:r w:rsidR="00335E4B" w:rsidRPr="008318BD">
        <w:rPr>
          <w:rFonts w:ascii="Traditional Arabic" w:hAnsi="Traditional Arabic" w:cs="Traditional Arabic"/>
          <w:noProof/>
          <w:sz w:val="30"/>
          <w:rtl/>
          <w:lang w:bidi="ar-EG"/>
        </w:rPr>
        <w:tab/>
        <w:t>9</w:t>
      </w:r>
      <w:r w:rsidR="004F5C55">
        <w:rPr>
          <w:rFonts w:ascii="Traditional Arabic" w:hAnsi="Traditional Arabic" w:cs="Traditional Arabic" w:hint="cs"/>
          <w:noProof/>
          <w:sz w:val="30"/>
          <w:rtl/>
          <w:lang w:bidi="ar-EG"/>
        </w:rPr>
        <w:t>6</w:t>
      </w:r>
    </w:p>
    <w:p w:rsidR="00335E4B" w:rsidRPr="008318BD" w:rsidRDefault="00F37B77" w:rsidP="004F5C55">
      <w:pPr>
        <w:tabs>
          <w:tab w:val="left" w:pos="707"/>
          <w:tab w:val="right" w:leader="dot" w:pos="9212"/>
        </w:tabs>
        <w:spacing w:after="120" w:line="340" w:lineRule="exact"/>
        <w:ind w:left="707" w:hanging="709"/>
        <w:rPr>
          <w:rFonts w:ascii="Traditional Arabic" w:hAnsi="Traditional Arabic" w:cs="Traditional Arabic"/>
          <w:noProof/>
          <w:sz w:val="30"/>
          <w:rtl/>
          <w:lang w:bidi="ar-EG"/>
        </w:rPr>
      </w:pPr>
      <w:hyperlink w:anchor="_Toc440550541" w:history="1">
        <w:r w:rsidR="00335E4B" w:rsidRPr="008318BD">
          <w:rPr>
            <w:rFonts w:ascii="Traditional Arabic" w:hAnsi="Traditional Arabic" w:cs="Traditional Arabic"/>
            <w:noProof/>
            <w:sz w:val="30"/>
            <w:rtl/>
            <w:lang w:bidi="ar-EG"/>
          </w:rPr>
          <w:t>3-</w:t>
        </w:r>
        <w:r w:rsidR="00335E4B" w:rsidRPr="008318BD">
          <w:rPr>
            <w:rFonts w:ascii="Traditional Arabic" w:hAnsi="Traditional Arabic" w:cs="Traditional Arabic"/>
            <w:noProof/>
            <w:sz w:val="30"/>
            <w:rtl/>
            <w:lang w:bidi="ar-EG"/>
          </w:rPr>
          <w:tab/>
          <w:t>تقنيات ضبط الانبعاثات</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9</w:t>
      </w:r>
      <w:r w:rsidR="004F5C55">
        <w:rPr>
          <w:rFonts w:ascii="Traditional Arabic" w:hAnsi="Traditional Arabic" w:cs="Traditional Arabic" w:hint="cs"/>
          <w:noProof/>
          <w:sz w:val="30"/>
          <w:rtl/>
          <w:lang w:bidi="ar-EG"/>
        </w:rPr>
        <w:t>8</w:t>
      </w:r>
    </w:p>
    <w:p w:rsidR="0084698E" w:rsidRDefault="0084698E" w:rsidP="004F5C55">
      <w:pPr>
        <w:tabs>
          <w:tab w:val="left" w:pos="1416"/>
          <w:tab w:val="right" w:leader="dot" w:pos="9212"/>
        </w:tabs>
        <w:spacing w:after="120" w:line="340" w:lineRule="exact"/>
        <w:ind w:left="707" w:hanging="709"/>
        <w:rPr>
          <w:rFonts w:ascii="Traditional Arabic" w:hAnsi="Traditional Arabic" w:cs="Traditional Arabic"/>
          <w:noProof/>
          <w:sz w:val="30"/>
          <w:rtl/>
          <w:lang w:bidi="ar-EG"/>
        </w:rPr>
      </w:pPr>
      <w:r>
        <w:rPr>
          <w:rFonts w:hint="cs"/>
          <w:rtl/>
        </w:rPr>
        <w:tab/>
      </w:r>
      <w:hyperlink w:anchor="_Toc440550542" w:history="1">
        <w:r w:rsidR="00335E4B" w:rsidRPr="008318BD">
          <w:rPr>
            <w:rFonts w:ascii="Traditional Arabic" w:hAnsi="Traditional Arabic" w:cs="Traditional Arabic"/>
            <w:noProof/>
            <w:sz w:val="30"/>
            <w:rtl/>
            <w:lang w:bidi="ar-EG"/>
          </w:rPr>
          <w:t>3-1</w:t>
        </w:r>
        <w:r w:rsidR="00335E4B" w:rsidRPr="008318BD">
          <w:rPr>
            <w:rFonts w:ascii="Traditional Arabic" w:hAnsi="Traditional Arabic" w:cs="Traditional Arabic"/>
            <w:noProof/>
            <w:sz w:val="30"/>
            <w:rtl/>
            <w:lang w:bidi="ar-EG"/>
          </w:rPr>
          <w:tab/>
          <w:t>عملية بوليدين-نورزينك</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9</w:t>
      </w:r>
      <w:r w:rsidR="004F5C55">
        <w:rPr>
          <w:rFonts w:ascii="Traditional Arabic" w:hAnsi="Traditional Arabic" w:cs="Traditional Arabic" w:hint="cs"/>
          <w:noProof/>
          <w:sz w:val="30"/>
          <w:rtl/>
          <w:lang w:bidi="ar-EG"/>
        </w:rPr>
        <w:t>8</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43" w:history="1">
        <w:r w:rsidR="00335E4B" w:rsidRPr="008318BD">
          <w:rPr>
            <w:rFonts w:ascii="Traditional Arabic" w:hAnsi="Traditional Arabic" w:cs="Traditional Arabic"/>
            <w:noProof/>
            <w:sz w:val="30"/>
            <w:rtl/>
            <w:lang w:bidi="ar-EG"/>
          </w:rPr>
          <w:t>3-1-1</w:t>
        </w:r>
        <w:r w:rsidR="00335E4B" w:rsidRPr="008318BD">
          <w:rPr>
            <w:rFonts w:ascii="Traditional Arabic" w:hAnsi="Traditional Arabic" w:cs="Traditional Arabic"/>
            <w:noProof/>
            <w:sz w:val="30"/>
            <w:rtl/>
            <w:lang w:bidi="ar-EG"/>
          </w:rPr>
          <w:tab/>
          <w:t>الوصف</w:t>
        </w:r>
      </w:hyperlink>
      <w:r w:rsidR="00335E4B" w:rsidRPr="008318BD">
        <w:rPr>
          <w:rFonts w:ascii="Traditional Arabic" w:hAnsi="Traditional Arabic" w:cs="Traditional Arabic" w:hint="cs"/>
          <w:noProof/>
          <w:sz w:val="30"/>
          <w:rtl/>
          <w:lang w:bidi="ar-EG"/>
        </w:rPr>
        <w:tab/>
        <w:t>9</w:t>
      </w:r>
      <w:r w:rsidR="004F5C55">
        <w:rPr>
          <w:rFonts w:ascii="Traditional Arabic" w:hAnsi="Traditional Arabic" w:cs="Traditional Arabic" w:hint="cs"/>
          <w:noProof/>
          <w:sz w:val="30"/>
          <w:rtl/>
          <w:lang w:bidi="ar-EG"/>
        </w:rPr>
        <w:t>8</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44" w:history="1">
        <w:r w:rsidR="00335E4B" w:rsidRPr="008318BD">
          <w:rPr>
            <w:rFonts w:ascii="Traditional Arabic" w:hAnsi="Traditional Arabic" w:cs="Traditional Arabic"/>
            <w:noProof/>
            <w:sz w:val="30"/>
            <w:rtl/>
            <w:lang w:bidi="ar-EG"/>
          </w:rPr>
          <w:t>3-1-2</w:t>
        </w:r>
        <w:r w:rsidR="00335E4B" w:rsidRPr="008318BD">
          <w:rPr>
            <w:rFonts w:ascii="Traditional Arabic" w:hAnsi="Traditional Arabic" w:cs="Traditional Arabic"/>
            <w:noProof/>
            <w:sz w:val="30"/>
            <w:rtl/>
            <w:lang w:bidi="ar-EG"/>
          </w:rPr>
          <w:tab/>
          <w:t>قابلية التطبيق</w:t>
        </w:r>
      </w:hyperlink>
      <w:r w:rsidR="00335E4B" w:rsidRPr="008318BD">
        <w:rPr>
          <w:rFonts w:ascii="Traditional Arabic" w:hAnsi="Traditional Arabic" w:cs="Traditional Arabic" w:hint="cs"/>
          <w:noProof/>
          <w:sz w:val="30"/>
          <w:rtl/>
          <w:lang w:bidi="ar-EG"/>
        </w:rPr>
        <w:tab/>
      </w:r>
      <w:r w:rsidR="004F5C55">
        <w:rPr>
          <w:rFonts w:ascii="Traditional Arabic" w:hAnsi="Traditional Arabic" w:cs="Traditional Arabic" w:hint="cs"/>
          <w:noProof/>
          <w:sz w:val="30"/>
          <w:rtl/>
          <w:lang w:bidi="ar-EG"/>
        </w:rPr>
        <w:t>100</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45" w:history="1">
        <w:r w:rsidR="00335E4B" w:rsidRPr="008318BD">
          <w:rPr>
            <w:rFonts w:ascii="Traditional Arabic" w:hAnsi="Traditional Arabic" w:cs="Traditional Arabic"/>
            <w:noProof/>
            <w:sz w:val="30"/>
            <w:rtl/>
            <w:lang w:bidi="ar-EG"/>
          </w:rPr>
          <w:t>3-1-3</w:t>
        </w:r>
        <w:r w:rsidR="00335E4B" w:rsidRPr="008318BD">
          <w:rPr>
            <w:rFonts w:ascii="Traditional Arabic" w:hAnsi="Traditional Arabic" w:cs="Traditional Arabic"/>
            <w:noProof/>
            <w:sz w:val="30"/>
            <w:rtl/>
            <w:lang w:bidi="ar-EG"/>
          </w:rPr>
          <w:tab/>
          <w:t>الأداء</w:t>
        </w:r>
      </w:hyperlink>
      <w:r w:rsidR="00335E4B" w:rsidRPr="008318BD">
        <w:rPr>
          <w:rFonts w:ascii="Traditional Arabic" w:hAnsi="Traditional Arabic" w:cs="Traditional Arabic" w:hint="cs"/>
          <w:noProof/>
          <w:sz w:val="30"/>
          <w:rtl/>
          <w:lang w:bidi="ar-EG"/>
        </w:rPr>
        <w:tab/>
        <w:t>10</w:t>
      </w:r>
      <w:r w:rsidR="004F5C55">
        <w:rPr>
          <w:rFonts w:ascii="Traditional Arabic" w:hAnsi="Traditional Arabic" w:cs="Traditional Arabic" w:hint="cs"/>
          <w:noProof/>
          <w:sz w:val="30"/>
          <w:rtl/>
          <w:lang w:bidi="ar-EG"/>
        </w:rPr>
        <w:t>1</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46" w:history="1">
        <w:r w:rsidR="00335E4B" w:rsidRPr="008318BD">
          <w:rPr>
            <w:rFonts w:ascii="Traditional Arabic" w:hAnsi="Traditional Arabic" w:cs="Traditional Arabic"/>
            <w:noProof/>
            <w:sz w:val="30"/>
            <w:rtl/>
            <w:lang w:bidi="ar-EG"/>
          </w:rPr>
          <w:t>3-1-4</w:t>
        </w:r>
        <w:r w:rsidR="00335E4B" w:rsidRPr="008318BD">
          <w:rPr>
            <w:rFonts w:ascii="Traditional Arabic" w:hAnsi="Traditional Arabic" w:cs="Traditional Arabic"/>
            <w:noProof/>
            <w:sz w:val="30"/>
            <w:rtl/>
            <w:lang w:bidi="ar-EG"/>
          </w:rPr>
          <w:tab/>
          <w:t xml:space="preserve">الآثار </w:t>
        </w:r>
        <w:r w:rsidR="00C84078">
          <w:rPr>
            <w:rFonts w:ascii="Traditional Arabic" w:hAnsi="Traditional Arabic" w:cs="Traditional Arabic" w:hint="cs"/>
            <w:noProof/>
            <w:sz w:val="30"/>
            <w:rtl/>
            <w:lang w:bidi="ar-EG"/>
          </w:rPr>
          <w:t>الشاملة</w:t>
        </w:r>
        <w:r w:rsidR="00335E4B" w:rsidRPr="008318BD">
          <w:rPr>
            <w:rFonts w:ascii="Traditional Arabic" w:hAnsi="Traditional Arabic" w:cs="Traditional Arabic"/>
            <w:noProof/>
            <w:sz w:val="30"/>
            <w:rtl/>
            <w:lang w:bidi="ar-EG"/>
          </w:rPr>
          <w:t xml:space="preserve"> ل</w:t>
        </w:r>
        <w:r w:rsidR="00C84078">
          <w:rPr>
            <w:rFonts w:ascii="Traditional Arabic" w:hAnsi="Traditional Arabic" w:cs="Traditional Arabic" w:hint="cs"/>
            <w:noProof/>
            <w:sz w:val="30"/>
            <w:rtl/>
            <w:lang w:bidi="ar-EG"/>
          </w:rPr>
          <w:t>عدة أ</w:t>
        </w:r>
        <w:r w:rsidR="00335E4B" w:rsidRPr="008318BD">
          <w:rPr>
            <w:rFonts w:ascii="Traditional Arabic" w:hAnsi="Traditional Arabic" w:cs="Traditional Arabic"/>
            <w:noProof/>
            <w:sz w:val="30"/>
            <w:rtl/>
            <w:lang w:bidi="ar-EG"/>
          </w:rPr>
          <w:t>وساط</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10</w:t>
      </w:r>
      <w:r w:rsidR="004F5C55">
        <w:rPr>
          <w:rFonts w:ascii="Traditional Arabic" w:hAnsi="Traditional Arabic" w:cs="Traditional Arabic" w:hint="cs"/>
          <w:noProof/>
          <w:sz w:val="30"/>
          <w:rtl/>
          <w:lang w:bidi="ar-EG"/>
        </w:rPr>
        <w:t>1</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47" w:history="1">
        <w:r w:rsidR="00335E4B" w:rsidRPr="008318BD">
          <w:rPr>
            <w:rFonts w:ascii="Traditional Arabic" w:hAnsi="Traditional Arabic" w:cs="Traditional Arabic"/>
            <w:noProof/>
            <w:sz w:val="30"/>
            <w:rtl/>
            <w:lang w:bidi="ar-EG"/>
          </w:rPr>
          <w:t>3-1-5</w:t>
        </w:r>
        <w:r w:rsidR="00335E4B" w:rsidRPr="008318BD">
          <w:rPr>
            <w:rFonts w:ascii="Traditional Arabic" w:hAnsi="Traditional Arabic" w:cs="Traditional Arabic"/>
            <w:noProof/>
            <w:sz w:val="30"/>
            <w:rtl/>
            <w:lang w:bidi="ar-EG"/>
          </w:rPr>
          <w:tab/>
          <w:t>تكاليف التركيب والتشغيل</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10</w:t>
      </w:r>
      <w:r w:rsidR="004F5C55">
        <w:rPr>
          <w:rFonts w:ascii="Traditional Arabic" w:hAnsi="Traditional Arabic" w:cs="Traditional Arabic" w:hint="cs"/>
          <w:noProof/>
          <w:sz w:val="30"/>
          <w:rtl/>
          <w:lang w:bidi="ar-EG"/>
        </w:rPr>
        <w:t>1</w:t>
      </w:r>
    </w:p>
    <w:p w:rsidR="0084698E" w:rsidRDefault="0084698E" w:rsidP="004F5C55">
      <w:pPr>
        <w:tabs>
          <w:tab w:val="left" w:pos="1416"/>
          <w:tab w:val="left" w:pos="2408"/>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hyperlink w:anchor="_Toc440550548" w:history="1">
        <w:r w:rsidR="00335E4B" w:rsidRPr="008318BD">
          <w:rPr>
            <w:rFonts w:ascii="Traditional Arabic" w:hAnsi="Traditional Arabic" w:cs="Traditional Arabic"/>
            <w:noProof/>
            <w:sz w:val="30"/>
            <w:rtl/>
            <w:lang w:bidi="ar-EG"/>
          </w:rPr>
          <w:t>3-2</w:t>
        </w:r>
        <w:r w:rsidR="00335E4B" w:rsidRPr="008318BD">
          <w:rPr>
            <w:rFonts w:ascii="Traditional Arabic" w:hAnsi="Traditional Arabic" w:cs="Traditional Arabic"/>
            <w:noProof/>
            <w:sz w:val="30"/>
            <w:rtl/>
            <w:lang w:bidi="ar-EG"/>
          </w:rPr>
          <w:tab/>
          <w:t>مرشح السلنيوم</w:t>
        </w:r>
      </w:hyperlink>
      <w:r w:rsidR="00335E4B" w:rsidRPr="008318BD">
        <w:rPr>
          <w:rFonts w:ascii="Traditional Arabic" w:hAnsi="Traditional Arabic" w:cs="Traditional Arabic" w:hint="cs"/>
          <w:noProof/>
          <w:sz w:val="30"/>
          <w:rtl/>
          <w:lang w:bidi="ar-EG"/>
        </w:rPr>
        <w:tab/>
        <w:t>10</w:t>
      </w:r>
      <w:r w:rsidR="004F5C55">
        <w:rPr>
          <w:rFonts w:ascii="Traditional Arabic" w:hAnsi="Traditional Arabic" w:cs="Traditional Arabic" w:hint="cs"/>
          <w:noProof/>
          <w:sz w:val="30"/>
          <w:rtl/>
          <w:lang w:bidi="ar-EG"/>
        </w:rPr>
        <w:t>2</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49" w:history="1">
        <w:r w:rsidR="00335E4B" w:rsidRPr="008318BD">
          <w:rPr>
            <w:rFonts w:ascii="Traditional Arabic" w:hAnsi="Traditional Arabic" w:cs="Traditional Arabic"/>
            <w:noProof/>
            <w:sz w:val="30"/>
            <w:rtl/>
            <w:lang w:bidi="ar-EG"/>
          </w:rPr>
          <w:t>3-2-1</w:t>
        </w:r>
        <w:r w:rsidR="00335E4B" w:rsidRPr="008318BD">
          <w:rPr>
            <w:rFonts w:ascii="Traditional Arabic" w:hAnsi="Traditional Arabic" w:cs="Traditional Arabic"/>
            <w:noProof/>
            <w:sz w:val="30"/>
            <w:rtl/>
            <w:lang w:bidi="ar-EG"/>
          </w:rPr>
          <w:tab/>
          <w:t>الوصف</w:t>
        </w:r>
      </w:hyperlink>
      <w:r w:rsidR="00335E4B" w:rsidRPr="008318BD">
        <w:rPr>
          <w:rFonts w:ascii="Traditional Arabic" w:hAnsi="Traditional Arabic" w:cs="Traditional Arabic" w:hint="cs"/>
          <w:noProof/>
          <w:sz w:val="30"/>
          <w:rtl/>
          <w:lang w:bidi="ar-EG"/>
        </w:rPr>
        <w:tab/>
        <w:t>10</w:t>
      </w:r>
      <w:r w:rsidR="004F5C55">
        <w:rPr>
          <w:rFonts w:ascii="Traditional Arabic" w:hAnsi="Traditional Arabic" w:cs="Traditional Arabic" w:hint="cs"/>
          <w:noProof/>
          <w:sz w:val="30"/>
          <w:rtl/>
          <w:lang w:bidi="ar-EG"/>
        </w:rPr>
        <w:t>2</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50" w:history="1">
        <w:r w:rsidR="00335E4B" w:rsidRPr="008318BD">
          <w:rPr>
            <w:rFonts w:ascii="Traditional Arabic" w:hAnsi="Traditional Arabic" w:cs="Traditional Arabic"/>
            <w:noProof/>
            <w:sz w:val="30"/>
            <w:rtl/>
            <w:lang w:bidi="ar-EG"/>
          </w:rPr>
          <w:t>3-2-2</w:t>
        </w:r>
        <w:r w:rsidR="00335E4B" w:rsidRPr="008318BD">
          <w:rPr>
            <w:rFonts w:ascii="Traditional Arabic" w:hAnsi="Traditional Arabic" w:cs="Traditional Arabic"/>
            <w:noProof/>
            <w:sz w:val="30"/>
            <w:rtl/>
            <w:lang w:bidi="ar-EG"/>
          </w:rPr>
          <w:tab/>
          <w:t>قابلية التطبيق</w:t>
        </w:r>
      </w:hyperlink>
      <w:r w:rsidR="00335E4B" w:rsidRPr="008318BD">
        <w:rPr>
          <w:rFonts w:ascii="Traditional Arabic" w:hAnsi="Traditional Arabic" w:cs="Traditional Arabic" w:hint="cs"/>
          <w:noProof/>
          <w:sz w:val="30"/>
          <w:rtl/>
          <w:lang w:bidi="ar-EG"/>
        </w:rPr>
        <w:tab/>
        <w:t>10</w:t>
      </w:r>
      <w:r w:rsidR="004F5C55">
        <w:rPr>
          <w:rFonts w:ascii="Traditional Arabic" w:hAnsi="Traditional Arabic" w:cs="Traditional Arabic" w:hint="cs"/>
          <w:noProof/>
          <w:sz w:val="30"/>
          <w:rtl/>
          <w:lang w:bidi="ar-EG"/>
        </w:rPr>
        <w:t>3</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51" w:history="1">
        <w:r w:rsidR="00335E4B" w:rsidRPr="008318BD">
          <w:rPr>
            <w:rFonts w:ascii="Traditional Arabic" w:hAnsi="Traditional Arabic" w:cs="Traditional Arabic"/>
            <w:noProof/>
            <w:sz w:val="30"/>
            <w:rtl/>
            <w:lang w:bidi="ar-EG"/>
          </w:rPr>
          <w:t>3-2-3</w:t>
        </w:r>
        <w:r w:rsidR="00335E4B" w:rsidRPr="008318BD">
          <w:rPr>
            <w:rFonts w:ascii="Traditional Arabic" w:hAnsi="Traditional Arabic" w:cs="Traditional Arabic"/>
            <w:noProof/>
            <w:sz w:val="30"/>
            <w:rtl/>
            <w:lang w:bidi="ar-EG"/>
          </w:rPr>
          <w:tab/>
          <w:t>مستوى الأداء</w:t>
        </w:r>
      </w:hyperlink>
      <w:r w:rsidR="00335E4B" w:rsidRPr="008318BD">
        <w:rPr>
          <w:rFonts w:ascii="Traditional Arabic" w:hAnsi="Traditional Arabic" w:cs="Traditional Arabic" w:hint="cs"/>
          <w:noProof/>
          <w:sz w:val="30"/>
          <w:rtl/>
          <w:lang w:bidi="ar-EG"/>
        </w:rPr>
        <w:tab/>
        <w:t>10</w:t>
      </w:r>
      <w:r w:rsidR="004F5C55">
        <w:rPr>
          <w:rFonts w:ascii="Traditional Arabic" w:hAnsi="Traditional Arabic" w:cs="Traditional Arabic" w:hint="cs"/>
          <w:noProof/>
          <w:sz w:val="30"/>
          <w:rtl/>
          <w:lang w:bidi="ar-EG"/>
        </w:rPr>
        <w:t>3</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52" w:history="1">
        <w:r w:rsidR="00335E4B" w:rsidRPr="008318BD">
          <w:rPr>
            <w:rFonts w:ascii="Traditional Arabic" w:hAnsi="Traditional Arabic" w:cs="Traditional Arabic"/>
            <w:noProof/>
            <w:sz w:val="30"/>
            <w:rtl/>
            <w:lang w:bidi="ar-EG"/>
          </w:rPr>
          <w:t>3-2-4</w:t>
        </w:r>
        <w:r w:rsidR="00335E4B" w:rsidRPr="008318BD">
          <w:rPr>
            <w:rFonts w:ascii="Traditional Arabic" w:hAnsi="Traditional Arabic" w:cs="Traditional Arabic"/>
            <w:noProof/>
            <w:sz w:val="30"/>
            <w:rtl/>
            <w:lang w:bidi="ar-EG"/>
          </w:rPr>
          <w:tab/>
          <w:t>تكاليف التركيب والتشغيل</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10</w:t>
      </w:r>
      <w:r w:rsidR="004F5C55">
        <w:rPr>
          <w:rFonts w:ascii="Traditional Arabic" w:hAnsi="Traditional Arabic" w:cs="Traditional Arabic" w:hint="cs"/>
          <w:noProof/>
          <w:sz w:val="30"/>
          <w:rtl/>
          <w:lang w:bidi="ar-EG"/>
        </w:rPr>
        <w:t>3</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53" w:history="1">
        <w:r w:rsidR="00335E4B" w:rsidRPr="008318BD">
          <w:rPr>
            <w:rFonts w:ascii="Traditional Arabic" w:hAnsi="Traditional Arabic" w:cs="Traditional Arabic"/>
            <w:noProof/>
            <w:sz w:val="30"/>
            <w:rtl/>
            <w:lang w:bidi="ar-EG"/>
          </w:rPr>
          <w:t>3-2-5</w:t>
        </w:r>
        <w:r w:rsidR="00335E4B" w:rsidRPr="008318BD">
          <w:rPr>
            <w:rFonts w:ascii="Traditional Arabic" w:hAnsi="Traditional Arabic" w:cs="Traditional Arabic"/>
            <w:noProof/>
            <w:sz w:val="30"/>
            <w:rtl/>
            <w:lang w:bidi="ar-EG"/>
          </w:rPr>
          <w:tab/>
          <w:t xml:space="preserve">الآثار </w:t>
        </w:r>
        <w:r w:rsidR="00C84078" w:rsidRPr="00C84078">
          <w:rPr>
            <w:rFonts w:ascii="Traditional Arabic" w:hAnsi="Traditional Arabic" w:cs="Traditional Arabic" w:hint="cs"/>
            <w:noProof/>
            <w:sz w:val="30"/>
            <w:rtl/>
            <w:lang w:bidi="ar-EG"/>
          </w:rPr>
          <w:t>الشاملة</w:t>
        </w:r>
        <w:r w:rsidR="00C84078" w:rsidRPr="00C84078">
          <w:rPr>
            <w:rFonts w:ascii="Traditional Arabic" w:hAnsi="Traditional Arabic" w:cs="Traditional Arabic"/>
            <w:noProof/>
            <w:sz w:val="30"/>
            <w:rtl/>
            <w:lang w:bidi="ar-EG"/>
          </w:rPr>
          <w:t xml:space="preserve"> ل</w:t>
        </w:r>
        <w:r w:rsidR="00C84078" w:rsidRPr="00C84078">
          <w:rPr>
            <w:rFonts w:ascii="Traditional Arabic" w:hAnsi="Traditional Arabic" w:cs="Traditional Arabic" w:hint="cs"/>
            <w:noProof/>
            <w:sz w:val="30"/>
            <w:rtl/>
            <w:lang w:bidi="ar-EG"/>
          </w:rPr>
          <w:t>عدة أ</w:t>
        </w:r>
        <w:r w:rsidR="00C84078" w:rsidRPr="00C84078">
          <w:rPr>
            <w:rFonts w:ascii="Traditional Arabic" w:hAnsi="Traditional Arabic" w:cs="Traditional Arabic"/>
            <w:noProof/>
            <w:sz w:val="30"/>
            <w:rtl/>
            <w:lang w:bidi="ar-EG"/>
          </w:rPr>
          <w:t>وساط</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10</w:t>
      </w:r>
      <w:r w:rsidR="004F5C55">
        <w:rPr>
          <w:rFonts w:ascii="Traditional Arabic" w:hAnsi="Traditional Arabic" w:cs="Traditional Arabic" w:hint="cs"/>
          <w:noProof/>
          <w:sz w:val="30"/>
          <w:rtl/>
          <w:lang w:bidi="ar-EG"/>
        </w:rPr>
        <w:t>4</w:t>
      </w:r>
    </w:p>
    <w:p w:rsidR="0084698E" w:rsidRDefault="0084698E" w:rsidP="004F5C55">
      <w:pPr>
        <w:tabs>
          <w:tab w:val="left" w:pos="1416"/>
          <w:tab w:val="left" w:pos="2408"/>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hyperlink w:anchor="_Toc440550554" w:history="1">
        <w:r w:rsidR="00335E4B" w:rsidRPr="008318BD">
          <w:rPr>
            <w:rFonts w:ascii="Traditional Arabic" w:hAnsi="Traditional Arabic" w:cs="Traditional Arabic"/>
            <w:noProof/>
            <w:sz w:val="30"/>
            <w:rtl/>
            <w:lang w:bidi="ar-EG"/>
          </w:rPr>
          <w:t>3-3</w:t>
        </w:r>
        <w:r w:rsidR="00335E4B" w:rsidRPr="008318BD">
          <w:rPr>
            <w:rFonts w:ascii="Traditional Arabic" w:hAnsi="Traditional Arabic" w:cs="Traditional Arabic"/>
            <w:noProof/>
            <w:sz w:val="30"/>
            <w:rtl/>
            <w:lang w:bidi="ar-EG"/>
          </w:rPr>
          <w:tab/>
          <w:t>الكربون المنشط</w:t>
        </w:r>
      </w:hyperlink>
      <w:r w:rsidR="00335E4B" w:rsidRPr="008318BD">
        <w:rPr>
          <w:rFonts w:ascii="Traditional Arabic" w:hAnsi="Traditional Arabic" w:cs="Traditional Arabic" w:hint="cs"/>
          <w:noProof/>
          <w:sz w:val="30"/>
          <w:rtl/>
          <w:lang w:bidi="ar-EG"/>
        </w:rPr>
        <w:tab/>
        <w:t>10</w:t>
      </w:r>
      <w:r w:rsidR="004F5C55">
        <w:rPr>
          <w:rFonts w:ascii="Traditional Arabic" w:hAnsi="Traditional Arabic" w:cs="Traditional Arabic" w:hint="cs"/>
          <w:noProof/>
          <w:sz w:val="30"/>
          <w:rtl/>
          <w:lang w:bidi="ar-EG"/>
        </w:rPr>
        <w:t>4</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55" w:history="1">
        <w:r w:rsidR="00335E4B" w:rsidRPr="008318BD">
          <w:rPr>
            <w:rFonts w:ascii="Traditional Arabic" w:hAnsi="Traditional Arabic" w:cs="Traditional Arabic"/>
            <w:noProof/>
            <w:sz w:val="30"/>
            <w:rtl/>
            <w:lang w:bidi="ar-EG"/>
          </w:rPr>
          <w:t>3-3-1</w:t>
        </w:r>
        <w:r w:rsidR="00335E4B" w:rsidRPr="008318BD">
          <w:rPr>
            <w:rFonts w:ascii="Traditional Arabic" w:hAnsi="Traditional Arabic" w:cs="Traditional Arabic"/>
            <w:noProof/>
            <w:sz w:val="30"/>
            <w:rtl/>
            <w:lang w:bidi="ar-EG"/>
          </w:rPr>
          <w:tab/>
          <w:t>الوصف</w:t>
        </w:r>
      </w:hyperlink>
      <w:r w:rsidR="00335E4B" w:rsidRPr="008318BD">
        <w:rPr>
          <w:rFonts w:ascii="Traditional Arabic" w:hAnsi="Traditional Arabic" w:cs="Traditional Arabic" w:hint="cs"/>
          <w:noProof/>
          <w:sz w:val="30"/>
          <w:rtl/>
          <w:lang w:bidi="ar-EG"/>
        </w:rPr>
        <w:tab/>
        <w:t>10</w:t>
      </w:r>
      <w:r w:rsidR="004F5C55">
        <w:rPr>
          <w:rFonts w:ascii="Traditional Arabic" w:hAnsi="Traditional Arabic" w:cs="Traditional Arabic" w:hint="cs"/>
          <w:noProof/>
          <w:sz w:val="30"/>
          <w:rtl/>
          <w:lang w:bidi="ar-EG"/>
        </w:rPr>
        <w:t>4</w:t>
      </w:r>
      <w:r>
        <w:rPr>
          <w:rFonts w:ascii="Traditional Arabic" w:hAnsi="Traditional Arabic" w:cs="Traditional Arabic" w:hint="cs"/>
          <w:noProof/>
          <w:sz w:val="30"/>
          <w:rtl/>
          <w:lang w:bidi="ar-EG"/>
        </w:rPr>
        <w:tab/>
      </w:r>
      <w:hyperlink w:anchor="_Toc440550556" w:history="1">
        <w:r w:rsidR="00335E4B" w:rsidRPr="008318BD">
          <w:rPr>
            <w:rFonts w:ascii="Traditional Arabic" w:hAnsi="Traditional Arabic" w:cs="Traditional Arabic"/>
            <w:noProof/>
            <w:sz w:val="30"/>
            <w:rtl/>
            <w:lang w:bidi="ar-EG"/>
          </w:rPr>
          <w:t>3-3-2</w:t>
        </w:r>
        <w:r w:rsidR="00335E4B" w:rsidRPr="008318BD">
          <w:rPr>
            <w:rFonts w:ascii="Traditional Arabic" w:hAnsi="Traditional Arabic" w:cs="Traditional Arabic"/>
            <w:noProof/>
            <w:sz w:val="30"/>
            <w:rtl/>
            <w:lang w:bidi="ar-EG"/>
          </w:rPr>
          <w:tab/>
          <w:t>قابلية التطبيق</w:t>
        </w:r>
      </w:hyperlink>
      <w:r w:rsidR="00335E4B" w:rsidRPr="008318BD">
        <w:rPr>
          <w:rFonts w:ascii="Traditional Arabic" w:hAnsi="Traditional Arabic" w:cs="Traditional Arabic" w:hint="cs"/>
          <w:noProof/>
          <w:sz w:val="30"/>
          <w:rtl/>
          <w:lang w:bidi="ar-EG"/>
        </w:rPr>
        <w:tab/>
        <w:t>10</w:t>
      </w:r>
      <w:r w:rsidR="004F5C55">
        <w:rPr>
          <w:rFonts w:ascii="Traditional Arabic" w:hAnsi="Traditional Arabic" w:cs="Traditional Arabic" w:hint="cs"/>
          <w:noProof/>
          <w:sz w:val="30"/>
          <w:rtl/>
          <w:lang w:bidi="ar-EG"/>
        </w:rPr>
        <w:t>4</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57" w:history="1">
        <w:r w:rsidR="00335E4B" w:rsidRPr="008318BD">
          <w:rPr>
            <w:rFonts w:ascii="Traditional Arabic" w:hAnsi="Traditional Arabic" w:cs="Traditional Arabic"/>
            <w:noProof/>
            <w:sz w:val="30"/>
            <w:rtl/>
            <w:lang w:bidi="ar-EG"/>
          </w:rPr>
          <w:t>3-3-3</w:t>
        </w:r>
        <w:r w:rsidR="00335E4B" w:rsidRPr="008318BD">
          <w:rPr>
            <w:rFonts w:ascii="Traditional Arabic" w:hAnsi="Traditional Arabic" w:cs="Traditional Arabic"/>
            <w:noProof/>
            <w:sz w:val="30"/>
            <w:rtl/>
            <w:lang w:bidi="ar-EG"/>
          </w:rPr>
          <w:tab/>
          <w:t>مستوى الأداء</w:t>
        </w:r>
      </w:hyperlink>
      <w:r w:rsidR="00335E4B" w:rsidRPr="008318BD">
        <w:rPr>
          <w:rFonts w:ascii="Traditional Arabic" w:hAnsi="Traditional Arabic" w:cs="Traditional Arabic" w:hint="cs"/>
          <w:noProof/>
          <w:sz w:val="30"/>
          <w:rtl/>
          <w:lang w:bidi="ar-EG"/>
        </w:rPr>
        <w:tab/>
        <w:t>10</w:t>
      </w:r>
      <w:r w:rsidR="004F5C55">
        <w:rPr>
          <w:rFonts w:ascii="Traditional Arabic" w:hAnsi="Traditional Arabic" w:cs="Traditional Arabic" w:hint="cs"/>
          <w:noProof/>
          <w:sz w:val="30"/>
          <w:rtl/>
          <w:lang w:bidi="ar-EG"/>
        </w:rPr>
        <w:t>4</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58" w:history="1">
        <w:r w:rsidR="00335E4B" w:rsidRPr="008318BD">
          <w:rPr>
            <w:rFonts w:ascii="Traditional Arabic" w:hAnsi="Traditional Arabic" w:cs="Traditional Arabic"/>
            <w:noProof/>
            <w:sz w:val="30"/>
            <w:rtl/>
            <w:lang w:bidi="ar-EG"/>
          </w:rPr>
          <w:t>3-3-4</w:t>
        </w:r>
        <w:r w:rsidR="00335E4B" w:rsidRPr="008318BD">
          <w:rPr>
            <w:rFonts w:ascii="Traditional Arabic" w:hAnsi="Traditional Arabic" w:cs="Traditional Arabic"/>
            <w:noProof/>
            <w:sz w:val="30"/>
            <w:rtl/>
            <w:lang w:bidi="ar-EG"/>
          </w:rPr>
          <w:tab/>
          <w:t>تكاليف التركيب والتشغيل</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10</w:t>
      </w:r>
      <w:r w:rsidR="004F5C55">
        <w:rPr>
          <w:rFonts w:ascii="Traditional Arabic" w:hAnsi="Traditional Arabic" w:cs="Traditional Arabic" w:hint="cs"/>
          <w:noProof/>
          <w:sz w:val="30"/>
          <w:rtl/>
          <w:lang w:bidi="ar-EG"/>
        </w:rPr>
        <w:t>5</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59" w:history="1">
        <w:r w:rsidR="00335E4B" w:rsidRPr="008318BD">
          <w:rPr>
            <w:rFonts w:ascii="Traditional Arabic" w:hAnsi="Traditional Arabic" w:cs="Traditional Arabic"/>
            <w:noProof/>
            <w:sz w:val="30"/>
            <w:rtl/>
            <w:lang w:bidi="ar-EG"/>
          </w:rPr>
          <w:t>3-3-5</w:t>
        </w:r>
        <w:r w:rsidR="00335E4B" w:rsidRPr="008318BD">
          <w:rPr>
            <w:rFonts w:ascii="Traditional Arabic" w:hAnsi="Traditional Arabic" w:cs="Traditional Arabic"/>
            <w:noProof/>
            <w:sz w:val="30"/>
            <w:rtl/>
            <w:lang w:bidi="ar-EG"/>
          </w:rPr>
          <w:tab/>
          <w:t>المنافع المشتركة</w:t>
        </w:r>
      </w:hyperlink>
      <w:r w:rsidR="00335E4B" w:rsidRPr="008318BD">
        <w:rPr>
          <w:rFonts w:ascii="Traditional Arabic" w:hAnsi="Traditional Arabic" w:cs="Traditional Arabic" w:hint="cs"/>
          <w:noProof/>
          <w:sz w:val="30"/>
          <w:rtl/>
          <w:lang w:bidi="ar-EG"/>
        </w:rPr>
        <w:tab/>
        <w:t>10</w:t>
      </w:r>
      <w:r w:rsidR="004F5C55">
        <w:rPr>
          <w:rFonts w:ascii="Traditional Arabic" w:hAnsi="Traditional Arabic" w:cs="Traditional Arabic" w:hint="cs"/>
          <w:noProof/>
          <w:sz w:val="30"/>
          <w:rtl/>
          <w:lang w:bidi="ar-EG"/>
        </w:rPr>
        <w:t>5</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60" w:history="1">
        <w:r w:rsidR="00335E4B" w:rsidRPr="008318BD">
          <w:rPr>
            <w:rFonts w:ascii="Traditional Arabic" w:hAnsi="Traditional Arabic" w:cs="Traditional Arabic"/>
            <w:noProof/>
            <w:sz w:val="30"/>
            <w:rtl/>
            <w:lang w:bidi="ar-EG"/>
          </w:rPr>
          <w:t>3-3-6</w:t>
        </w:r>
        <w:r w:rsidR="00335E4B" w:rsidRPr="008318BD">
          <w:rPr>
            <w:rFonts w:ascii="Traditional Arabic" w:hAnsi="Traditional Arabic" w:cs="Traditional Arabic"/>
            <w:noProof/>
            <w:sz w:val="30"/>
            <w:rtl/>
            <w:lang w:bidi="ar-EG"/>
          </w:rPr>
          <w:tab/>
          <w:t xml:space="preserve">الآثار </w:t>
        </w:r>
        <w:r w:rsidR="00C84078" w:rsidRPr="00C84078">
          <w:rPr>
            <w:rFonts w:ascii="Traditional Arabic" w:hAnsi="Traditional Arabic" w:cs="Traditional Arabic" w:hint="cs"/>
            <w:noProof/>
            <w:sz w:val="30"/>
            <w:rtl/>
            <w:lang w:bidi="ar-EG"/>
          </w:rPr>
          <w:t>الشاملة</w:t>
        </w:r>
        <w:r w:rsidR="00C84078" w:rsidRPr="00C84078">
          <w:rPr>
            <w:rFonts w:ascii="Traditional Arabic" w:hAnsi="Traditional Arabic" w:cs="Traditional Arabic"/>
            <w:noProof/>
            <w:sz w:val="30"/>
            <w:rtl/>
            <w:lang w:bidi="ar-EG"/>
          </w:rPr>
          <w:t xml:space="preserve"> ل</w:t>
        </w:r>
        <w:r w:rsidR="00C84078" w:rsidRPr="00C84078">
          <w:rPr>
            <w:rFonts w:ascii="Traditional Arabic" w:hAnsi="Traditional Arabic" w:cs="Traditional Arabic" w:hint="cs"/>
            <w:noProof/>
            <w:sz w:val="30"/>
            <w:rtl/>
            <w:lang w:bidi="ar-EG"/>
          </w:rPr>
          <w:t>عدة أ</w:t>
        </w:r>
        <w:r w:rsidR="00C84078" w:rsidRPr="00C84078">
          <w:rPr>
            <w:rFonts w:ascii="Traditional Arabic" w:hAnsi="Traditional Arabic" w:cs="Traditional Arabic"/>
            <w:noProof/>
            <w:sz w:val="30"/>
            <w:rtl/>
            <w:lang w:bidi="ar-EG"/>
          </w:rPr>
          <w:t>وساط</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10</w:t>
      </w:r>
      <w:r w:rsidR="004F5C55">
        <w:rPr>
          <w:rFonts w:ascii="Traditional Arabic" w:hAnsi="Traditional Arabic" w:cs="Traditional Arabic" w:hint="cs"/>
          <w:noProof/>
          <w:sz w:val="30"/>
          <w:rtl/>
          <w:lang w:bidi="ar-EG"/>
        </w:rPr>
        <w:t>5</w:t>
      </w:r>
    </w:p>
    <w:p w:rsidR="0084698E" w:rsidRDefault="0084698E" w:rsidP="0084698E">
      <w:pPr>
        <w:tabs>
          <w:tab w:val="left" w:pos="1416"/>
          <w:tab w:val="left" w:pos="2408"/>
          <w:tab w:val="right" w:leader="dot" w:pos="9212"/>
        </w:tabs>
        <w:spacing w:after="120" w:line="340" w:lineRule="exact"/>
        <w:ind w:left="707" w:hanging="709"/>
        <w:rPr>
          <w:rFonts w:cs="Traditional Arabic"/>
          <w:noProof/>
          <w:sz w:val="18"/>
          <w:rtl/>
          <w:lang w:bidi="ar-EG"/>
        </w:rPr>
      </w:pPr>
      <w:r>
        <w:rPr>
          <w:rFonts w:ascii="Traditional Arabic" w:hAnsi="Traditional Arabic" w:cs="Traditional Arabic" w:hint="cs"/>
          <w:noProof/>
          <w:sz w:val="30"/>
          <w:rtl/>
          <w:lang w:bidi="ar-EG"/>
        </w:rPr>
        <w:tab/>
      </w:r>
      <w:hyperlink w:anchor="_Toc440550561" w:history="1">
        <w:r w:rsidR="00335E4B" w:rsidRPr="0084698E">
          <w:rPr>
            <w:rFonts w:cs="Traditional Arabic"/>
            <w:noProof/>
            <w:w w:val="95"/>
            <w:sz w:val="18"/>
            <w:rtl/>
            <w:lang w:bidi="ar-EG"/>
          </w:rPr>
          <w:t>3-4</w:t>
        </w:r>
        <w:r w:rsidR="00335E4B" w:rsidRPr="0084698E">
          <w:rPr>
            <w:rFonts w:cs="Traditional Arabic"/>
            <w:noProof/>
            <w:w w:val="95"/>
            <w:sz w:val="18"/>
            <w:rtl/>
            <w:lang w:bidi="ar-EG"/>
          </w:rPr>
          <w:tab/>
          <w:t xml:space="preserve">عملية مرشح دووا </w:t>
        </w:r>
        <w:r w:rsidR="00335E4B" w:rsidRPr="0084698E">
          <w:rPr>
            <w:rFonts w:asciiTheme="majorBidi" w:hAnsiTheme="majorBidi" w:cstheme="majorBidi"/>
            <w:noProof/>
            <w:w w:val="95"/>
            <w:sz w:val="18"/>
            <w:szCs w:val="18"/>
            <w:rtl/>
            <w:lang w:bidi="ar-EG"/>
          </w:rPr>
          <w:t>(DOWA)</w:t>
        </w:r>
        <w:r w:rsidR="00335E4B" w:rsidRPr="0084698E">
          <w:rPr>
            <w:rFonts w:cs="Traditional Arabic"/>
            <w:noProof/>
            <w:w w:val="95"/>
            <w:sz w:val="18"/>
            <w:rtl/>
            <w:lang w:bidi="ar-EG"/>
          </w:rPr>
          <w:t xml:space="preserve"> (مرشح من حجر الخفاف مكسو بطبقة من كبريتيد الرصاص</w:t>
        </w:r>
        <w:r w:rsidR="00C84078" w:rsidRPr="0084698E">
          <w:rPr>
            <w:rFonts w:cs="Traditional Arabic" w:hint="cs"/>
            <w:noProof/>
            <w:w w:val="95"/>
            <w:sz w:val="18"/>
            <w:rtl/>
            <w:lang w:bidi="ar-EG"/>
          </w:rPr>
          <w:t xml:space="preserve"> </w:t>
        </w:r>
        <w:r w:rsidR="00335E4B" w:rsidRPr="0084698E">
          <w:rPr>
            <w:rFonts w:cs="Traditional Arabic"/>
            <w:noProof/>
            <w:w w:val="95"/>
            <w:sz w:val="18"/>
            <w:rtl/>
            <w:lang w:bidi="ar-EG"/>
          </w:rPr>
          <w:t>(ثنائي التكافؤ))</w:t>
        </w:r>
        <w:r w:rsidR="00335E4B" w:rsidRPr="008318BD">
          <w:rPr>
            <w:rFonts w:cs="Traditional Arabic"/>
            <w:noProof/>
            <w:webHidden/>
            <w:sz w:val="18"/>
            <w:rtl/>
            <w:lang w:bidi="ar-EG"/>
          </w:rPr>
          <w:tab/>
        </w:r>
      </w:hyperlink>
      <w:r w:rsidR="00335E4B" w:rsidRPr="008318BD">
        <w:rPr>
          <w:rFonts w:cs="Traditional Arabic" w:hint="cs"/>
          <w:noProof/>
          <w:sz w:val="18"/>
          <w:rtl/>
          <w:lang w:bidi="ar-EG"/>
        </w:rPr>
        <w:t>105</w:t>
      </w:r>
    </w:p>
    <w:p w:rsidR="0084698E" w:rsidRDefault="0084698E" w:rsidP="004F5C55">
      <w:pPr>
        <w:tabs>
          <w:tab w:val="left" w:pos="1416"/>
          <w:tab w:val="left" w:pos="2408"/>
          <w:tab w:val="right" w:leader="dot" w:pos="9212"/>
        </w:tabs>
        <w:spacing w:after="120" w:line="340" w:lineRule="exact"/>
        <w:ind w:left="707" w:hanging="709"/>
        <w:rPr>
          <w:rFonts w:ascii="Traditional Arabic" w:hAnsi="Traditional Arabic" w:cs="Traditional Arabic"/>
          <w:noProof/>
          <w:sz w:val="30"/>
          <w:rtl/>
          <w:lang w:bidi="ar-EG"/>
        </w:rPr>
      </w:pPr>
      <w:r>
        <w:rPr>
          <w:rFonts w:cs="Traditional Arabic" w:hint="cs"/>
          <w:noProof/>
          <w:sz w:val="18"/>
          <w:rtl/>
          <w:lang w:bidi="ar-EG"/>
        </w:rPr>
        <w:tab/>
      </w:r>
      <w:hyperlink w:anchor="_Toc440550562" w:history="1">
        <w:r w:rsidR="00335E4B" w:rsidRPr="008318BD">
          <w:rPr>
            <w:rFonts w:ascii="Traditional Arabic" w:hAnsi="Traditional Arabic" w:cs="Traditional Arabic"/>
            <w:noProof/>
            <w:sz w:val="30"/>
            <w:rtl/>
            <w:lang w:bidi="ar-EG"/>
          </w:rPr>
          <w:t>3-5</w:t>
        </w:r>
        <w:r w:rsidR="00335E4B" w:rsidRPr="008318BD">
          <w:rPr>
            <w:rFonts w:ascii="Traditional Arabic" w:hAnsi="Traditional Arabic" w:cs="Traditional Arabic"/>
            <w:noProof/>
            <w:sz w:val="30"/>
            <w:rtl/>
            <w:lang w:bidi="ar-EG"/>
          </w:rPr>
          <w:tab/>
          <w:t xml:space="preserve">عملية جيريت </w:t>
        </w:r>
        <w:r w:rsidR="00335E4B" w:rsidRPr="00C84078">
          <w:rPr>
            <w:rFonts w:asciiTheme="majorBidi" w:hAnsiTheme="majorBidi" w:cstheme="majorBidi"/>
            <w:noProof/>
            <w:sz w:val="18"/>
            <w:szCs w:val="18"/>
            <w:rtl/>
            <w:lang w:bidi="ar-EG"/>
          </w:rPr>
          <w:t>(Jerritt process)</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10</w:t>
      </w:r>
      <w:r w:rsidR="004F5C55">
        <w:rPr>
          <w:rFonts w:ascii="Traditional Arabic" w:hAnsi="Traditional Arabic" w:cs="Traditional Arabic" w:hint="cs"/>
          <w:noProof/>
          <w:sz w:val="30"/>
          <w:rtl/>
          <w:lang w:bidi="ar-EG"/>
        </w:rPr>
        <w:t>6</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63" w:history="1">
        <w:r w:rsidR="00335E4B" w:rsidRPr="008318BD">
          <w:rPr>
            <w:rFonts w:ascii="Traditional Arabic" w:hAnsi="Traditional Arabic" w:cs="Traditional Arabic"/>
            <w:noProof/>
            <w:sz w:val="30"/>
            <w:rtl/>
            <w:lang w:bidi="ar-EG"/>
          </w:rPr>
          <w:t>3-5-1</w:t>
        </w:r>
        <w:r w:rsidR="00335E4B" w:rsidRPr="008318BD">
          <w:rPr>
            <w:rFonts w:ascii="Traditional Arabic" w:hAnsi="Traditional Arabic" w:cs="Traditional Arabic"/>
            <w:noProof/>
            <w:sz w:val="30"/>
            <w:rtl/>
            <w:lang w:bidi="ar-EG"/>
          </w:rPr>
          <w:tab/>
          <w:t>الوصف</w:t>
        </w:r>
      </w:hyperlink>
      <w:r w:rsidR="00335E4B" w:rsidRPr="008318BD">
        <w:rPr>
          <w:rFonts w:ascii="Traditional Arabic" w:hAnsi="Traditional Arabic" w:cs="Traditional Arabic" w:hint="cs"/>
          <w:noProof/>
          <w:sz w:val="30"/>
          <w:rtl/>
          <w:lang w:bidi="ar-EG"/>
        </w:rPr>
        <w:tab/>
        <w:t>10</w:t>
      </w:r>
      <w:r w:rsidR="004F5C55">
        <w:rPr>
          <w:rFonts w:ascii="Traditional Arabic" w:hAnsi="Traditional Arabic" w:cs="Traditional Arabic" w:hint="cs"/>
          <w:noProof/>
          <w:sz w:val="30"/>
          <w:rtl/>
          <w:lang w:bidi="ar-EG"/>
        </w:rPr>
        <w:t>6</w:t>
      </w:r>
    </w:p>
    <w:p w:rsidR="0084698E" w:rsidRDefault="0084698E" w:rsidP="0084698E">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64" w:history="1">
        <w:r w:rsidR="00335E4B" w:rsidRPr="008318BD">
          <w:rPr>
            <w:rFonts w:ascii="Traditional Arabic" w:hAnsi="Traditional Arabic" w:cs="Traditional Arabic"/>
            <w:noProof/>
            <w:sz w:val="30"/>
            <w:rtl/>
            <w:lang w:bidi="ar-EG"/>
          </w:rPr>
          <w:t>3-5-2</w:t>
        </w:r>
        <w:r w:rsidR="00335E4B" w:rsidRPr="008318BD">
          <w:rPr>
            <w:rFonts w:ascii="Traditional Arabic" w:hAnsi="Traditional Arabic" w:cs="Traditional Arabic"/>
            <w:noProof/>
            <w:sz w:val="30"/>
            <w:rtl/>
            <w:lang w:bidi="ar-EG"/>
          </w:rPr>
          <w:tab/>
          <w:t>قابلية التطبيق</w:t>
        </w:r>
      </w:hyperlink>
      <w:r w:rsidR="00335E4B" w:rsidRPr="008318BD">
        <w:rPr>
          <w:rFonts w:ascii="Traditional Arabic" w:hAnsi="Traditional Arabic" w:cs="Traditional Arabic" w:hint="cs"/>
          <w:noProof/>
          <w:sz w:val="30"/>
          <w:rtl/>
          <w:lang w:bidi="ar-EG"/>
        </w:rPr>
        <w:tab/>
        <w:t>106</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65" w:history="1">
        <w:r w:rsidR="00335E4B" w:rsidRPr="008318BD">
          <w:rPr>
            <w:rFonts w:ascii="Traditional Arabic" w:hAnsi="Traditional Arabic" w:cs="Traditional Arabic"/>
            <w:noProof/>
            <w:sz w:val="30"/>
            <w:rtl/>
            <w:lang w:bidi="ar-EG"/>
          </w:rPr>
          <w:t>3-5-3</w:t>
        </w:r>
        <w:r w:rsidR="00335E4B" w:rsidRPr="008318BD">
          <w:rPr>
            <w:rFonts w:ascii="Traditional Arabic" w:hAnsi="Traditional Arabic" w:cs="Traditional Arabic"/>
            <w:noProof/>
            <w:sz w:val="30"/>
            <w:rtl/>
            <w:lang w:bidi="ar-EG"/>
          </w:rPr>
          <w:tab/>
          <w:t>الأداء</w:t>
        </w:r>
      </w:hyperlink>
      <w:r w:rsidR="00335E4B" w:rsidRPr="008318BD">
        <w:rPr>
          <w:rFonts w:ascii="Traditional Arabic" w:hAnsi="Traditional Arabic" w:cs="Traditional Arabic" w:hint="cs"/>
          <w:noProof/>
          <w:sz w:val="30"/>
          <w:rtl/>
          <w:lang w:bidi="ar-EG"/>
        </w:rPr>
        <w:tab/>
        <w:t>10</w:t>
      </w:r>
      <w:r w:rsidR="004F5C55">
        <w:rPr>
          <w:rFonts w:ascii="Traditional Arabic" w:hAnsi="Traditional Arabic" w:cs="Traditional Arabic" w:hint="cs"/>
          <w:noProof/>
          <w:sz w:val="30"/>
          <w:rtl/>
          <w:lang w:bidi="ar-EG"/>
        </w:rPr>
        <w:t>7</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66" w:history="1">
        <w:r w:rsidR="00335E4B" w:rsidRPr="008318BD">
          <w:rPr>
            <w:rFonts w:ascii="Traditional Arabic" w:hAnsi="Traditional Arabic" w:cs="Traditional Arabic"/>
            <w:noProof/>
            <w:sz w:val="30"/>
            <w:rtl/>
            <w:lang w:bidi="ar-EG"/>
          </w:rPr>
          <w:t>3-5-4</w:t>
        </w:r>
        <w:r w:rsidR="00335E4B" w:rsidRPr="008318BD">
          <w:rPr>
            <w:rFonts w:ascii="Traditional Arabic" w:hAnsi="Traditional Arabic" w:cs="Traditional Arabic"/>
            <w:noProof/>
            <w:sz w:val="30"/>
            <w:rtl/>
            <w:lang w:bidi="ar-EG"/>
          </w:rPr>
          <w:tab/>
          <w:t>الآثار عبر الوسائط</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10</w:t>
      </w:r>
      <w:r w:rsidR="004F5C55">
        <w:rPr>
          <w:rFonts w:ascii="Traditional Arabic" w:hAnsi="Traditional Arabic" w:cs="Traditional Arabic" w:hint="cs"/>
          <w:noProof/>
          <w:sz w:val="30"/>
          <w:rtl/>
          <w:lang w:bidi="ar-EG"/>
        </w:rPr>
        <w:t>7</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67" w:history="1">
        <w:r w:rsidR="00335E4B" w:rsidRPr="008318BD">
          <w:rPr>
            <w:rFonts w:ascii="Traditional Arabic" w:hAnsi="Traditional Arabic" w:cs="Traditional Arabic"/>
            <w:noProof/>
            <w:sz w:val="30"/>
            <w:rtl/>
            <w:lang w:bidi="ar-EG"/>
          </w:rPr>
          <w:t>3-5-5</w:t>
        </w:r>
        <w:r w:rsidR="00335E4B" w:rsidRPr="008318BD">
          <w:rPr>
            <w:rFonts w:ascii="Traditional Arabic" w:hAnsi="Traditional Arabic" w:cs="Traditional Arabic"/>
            <w:noProof/>
            <w:sz w:val="30"/>
            <w:rtl/>
            <w:lang w:bidi="ar-EG"/>
          </w:rPr>
          <w:tab/>
          <w:t>تكاليف التركيب والتشغيل</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10</w:t>
      </w:r>
      <w:r w:rsidR="004F5C55">
        <w:rPr>
          <w:rFonts w:ascii="Traditional Arabic" w:hAnsi="Traditional Arabic" w:cs="Traditional Arabic" w:hint="cs"/>
          <w:noProof/>
          <w:sz w:val="30"/>
          <w:rtl/>
          <w:lang w:bidi="ar-EG"/>
        </w:rPr>
        <w:t>7</w:t>
      </w:r>
    </w:p>
    <w:p w:rsidR="0084698E" w:rsidRDefault="0084698E" w:rsidP="004F5C55">
      <w:pPr>
        <w:tabs>
          <w:tab w:val="left" w:pos="1416"/>
          <w:tab w:val="left" w:pos="2408"/>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hyperlink w:anchor="_Toc440550568" w:history="1">
        <w:r w:rsidR="00335E4B" w:rsidRPr="008318BD">
          <w:rPr>
            <w:rFonts w:ascii="Traditional Arabic" w:hAnsi="Traditional Arabic" w:cs="Traditional Arabic"/>
            <w:noProof/>
            <w:sz w:val="30"/>
            <w:rtl/>
            <w:lang w:bidi="ar-EG"/>
          </w:rPr>
          <w:t>3-6</w:t>
        </w:r>
        <w:r w:rsidR="00335E4B" w:rsidRPr="008318BD">
          <w:rPr>
            <w:rFonts w:ascii="Traditional Arabic" w:hAnsi="Traditional Arabic" w:cs="Traditional Arabic"/>
            <w:noProof/>
            <w:sz w:val="30"/>
            <w:rtl/>
            <w:lang w:bidi="ar-EG"/>
          </w:rPr>
          <w:tab/>
        </w:r>
        <w:r w:rsidR="00335E4B" w:rsidRPr="0084698E">
          <w:rPr>
            <w:rFonts w:ascii="Traditional Arabic" w:hAnsi="Traditional Arabic" w:cs="Traditional Arabic"/>
            <w:noProof/>
            <w:w w:val="90"/>
            <w:sz w:val="30"/>
            <w:rtl/>
            <w:lang w:bidi="ar-EG"/>
          </w:rPr>
          <w:t xml:space="preserve">المنافع المشتركة للتكنولوجيات الشائعة الرامية إلى تخفيض تلوث الهواء وتقنيات </w:t>
        </w:r>
        <w:r w:rsidR="00C84078" w:rsidRPr="0084698E">
          <w:rPr>
            <w:rFonts w:ascii="Traditional Arabic" w:hAnsi="Traditional Arabic" w:cs="Traditional Arabic" w:hint="cs"/>
            <w:noProof/>
            <w:w w:val="90"/>
            <w:sz w:val="30"/>
            <w:rtl/>
            <w:lang w:bidi="ar-EG"/>
          </w:rPr>
          <w:t>ضبط</w:t>
        </w:r>
        <w:r w:rsidR="00335E4B" w:rsidRPr="0084698E">
          <w:rPr>
            <w:rFonts w:ascii="Traditional Arabic" w:hAnsi="Traditional Arabic" w:cs="Traditional Arabic"/>
            <w:noProof/>
            <w:w w:val="90"/>
            <w:sz w:val="30"/>
            <w:rtl/>
            <w:lang w:bidi="ar-EG"/>
          </w:rPr>
          <w:t xml:space="preserve"> الزئبق في منشآت</w:t>
        </w:r>
        <w:r w:rsidR="00C84078" w:rsidRPr="0084698E">
          <w:rPr>
            <w:rFonts w:ascii="Traditional Arabic" w:hAnsi="Traditional Arabic" w:cs="Traditional Arabic" w:hint="cs"/>
            <w:noProof/>
            <w:w w:val="90"/>
            <w:sz w:val="30"/>
            <w:rtl/>
            <w:lang w:bidi="ar-EG"/>
          </w:rPr>
          <w:t xml:space="preserve"> </w:t>
        </w:r>
        <w:r w:rsidR="00335E4B" w:rsidRPr="0084698E">
          <w:rPr>
            <w:rFonts w:ascii="Traditional Arabic" w:hAnsi="Traditional Arabic" w:cs="Traditional Arabic"/>
            <w:noProof/>
            <w:w w:val="90"/>
            <w:sz w:val="30"/>
            <w:rtl/>
            <w:lang w:bidi="ar-EG"/>
          </w:rPr>
          <w:t>تصنيع الحمض</w:t>
        </w:r>
      </w:hyperlink>
      <w:r w:rsidR="00335E4B" w:rsidRPr="008318BD">
        <w:rPr>
          <w:rFonts w:ascii="Traditional Arabic" w:hAnsi="Traditional Arabic" w:cs="Traditional Arabic" w:hint="cs"/>
          <w:noProof/>
          <w:sz w:val="30"/>
          <w:rtl/>
          <w:lang w:bidi="ar-EG"/>
        </w:rPr>
        <w:tab/>
        <w:t>10</w:t>
      </w:r>
      <w:r w:rsidR="004F5C55">
        <w:rPr>
          <w:rFonts w:ascii="Traditional Arabic" w:hAnsi="Traditional Arabic" w:cs="Traditional Arabic" w:hint="cs"/>
          <w:noProof/>
          <w:sz w:val="30"/>
          <w:rtl/>
          <w:lang w:bidi="ar-EG"/>
        </w:rPr>
        <w:t>8</w:t>
      </w:r>
    </w:p>
    <w:p w:rsidR="0084698E" w:rsidRDefault="0084698E" w:rsidP="004F5C55">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69" w:history="1">
        <w:r w:rsidR="00335E4B" w:rsidRPr="008318BD">
          <w:rPr>
            <w:rFonts w:ascii="Traditional Arabic" w:hAnsi="Traditional Arabic" w:cs="Traditional Arabic"/>
            <w:noProof/>
            <w:sz w:val="30"/>
            <w:rtl/>
            <w:lang w:bidi="ar-EG"/>
          </w:rPr>
          <w:t>3-6-1</w:t>
        </w:r>
        <w:r w:rsidR="00335E4B" w:rsidRPr="008318BD">
          <w:rPr>
            <w:rFonts w:ascii="Traditional Arabic" w:hAnsi="Traditional Arabic" w:cs="Traditional Arabic"/>
            <w:noProof/>
            <w:sz w:val="30"/>
            <w:rtl/>
            <w:lang w:bidi="ar-EG"/>
          </w:rPr>
          <w:tab/>
          <w:t>تكنولوجيات تخفيض التلوث</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10</w:t>
      </w:r>
      <w:r w:rsidR="004F5C55">
        <w:rPr>
          <w:rFonts w:ascii="Traditional Arabic" w:hAnsi="Traditional Arabic" w:cs="Traditional Arabic" w:hint="cs"/>
          <w:noProof/>
          <w:sz w:val="30"/>
          <w:rtl/>
          <w:lang w:bidi="ar-EG"/>
        </w:rPr>
        <w:t>8</w:t>
      </w:r>
    </w:p>
    <w:p w:rsidR="0084698E" w:rsidRDefault="0084698E" w:rsidP="0084698E">
      <w:pPr>
        <w:tabs>
          <w:tab w:val="left" w:pos="1416"/>
          <w:tab w:val="left" w:pos="2408"/>
          <w:tab w:val="right" w:leader="dot" w:pos="9212"/>
        </w:tabs>
        <w:spacing w:after="120" w:line="340" w:lineRule="exact"/>
        <w:ind w:left="849" w:hanging="851"/>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73" w:history="1">
        <w:r w:rsidR="00335E4B" w:rsidRPr="008318BD">
          <w:rPr>
            <w:rFonts w:ascii="Traditional Arabic" w:hAnsi="Traditional Arabic" w:cs="Traditional Arabic"/>
            <w:noProof/>
            <w:sz w:val="30"/>
            <w:rtl/>
            <w:lang w:bidi="ar-EG"/>
          </w:rPr>
          <w:t>3-6-2</w:t>
        </w:r>
        <w:r w:rsidR="00335E4B" w:rsidRPr="008318BD">
          <w:rPr>
            <w:rFonts w:ascii="Traditional Arabic" w:hAnsi="Traditional Arabic" w:cs="Traditional Arabic"/>
            <w:noProof/>
            <w:sz w:val="30"/>
            <w:rtl/>
            <w:lang w:bidi="ar-EG"/>
          </w:rPr>
          <w:tab/>
          <w:t>الجمع بين تنظيف الغاز ومنشآت تصنيع الحمض</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108</w:t>
      </w:r>
    </w:p>
    <w:p w:rsidR="00335E4B" w:rsidRPr="008318BD" w:rsidRDefault="00F37B77" w:rsidP="004F5C55">
      <w:pPr>
        <w:tabs>
          <w:tab w:val="left" w:pos="1416"/>
          <w:tab w:val="left" w:pos="2408"/>
          <w:tab w:val="right" w:leader="dot" w:pos="9212"/>
        </w:tabs>
        <w:spacing w:after="120" w:line="340" w:lineRule="exact"/>
        <w:ind w:left="707" w:hanging="709"/>
        <w:rPr>
          <w:rFonts w:ascii="Traditional Arabic" w:hAnsi="Traditional Arabic" w:cs="Traditional Arabic"/>
          <w:noProof/>
          <w:sz w:val="30"/>
          <w:rtl/>
          <w:lang w:bidi="ar-EG"/>
        </w:rPr>
      </w:pPr>
      <w:hyperlink w:anchor="_Toc440550584" w:history="1">
        <w:r w:rsidR="00F82635">
          <w:rPr>
            <w:rFonts w:ascii="Traditional Arabic" w:hAnsi="Traditional Arabic" w:cs="Traditional Arabic" w:hint="cs"/>
            <w:noProof/>
            <w:sz w:val="30"/>
            <w:rtl/>
          </w:rPr>
          <w:t>4</w:t>
        </w:r>
        <w:r w:rsidR="00335E4B" w:rsidRPr="008318BD">
          <w:rPr>
            <w:rFonts w:ascii="Traditional Arabic" w:hAnsi="Traditional Arabic" w:cs="Traditional Arabic"/>
            <w:noProof/>
            <w:sz w:val="30"/>
            <w:rtl/>
            <w:lang w:bidi="ar-EG"/>
          </w:rPr>
          <w:t>-</w:t>
        </w:r>
        <w:r w:rsidR="00335E4B" w:rsidRPr="008318BD">
          <w:rPr>
            <w:rFonts w:ascii="Traditional Arabic" w:hAnsi="Traditional Arabic" w:cs="Traditional Arabic"/>
            <w:noProof/>
            <w:sz w:val="30"/>
            <w:rtl/>
            <w:lang w:bidi="ar-EG"/>
          </w:rPr>
          <w:tab/>
          <w:t>أفضل التقنيات المتاحة وأفضل الممارسات البيئية</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11</w:t>
      </w:r>
      <w:r w:rsidR="004F5C55">
        <w:rPr>
          <w:rFonts w:ascii="Traditional Arabic" w:hAnsi="Traditional Arabic" w:cs="Traditional Arabic" w:hint="cs"/>
          <w:noProof/>
          <w:sz w:val="30"/>
          <w:rtl/>
          <w:lang w:bidi="ar-EG"/>
        </w:rPr>
        <w:t>1</w:t>
      </w:r>
    </w:p>
    <w:p w:rsidR="0084698E" w:rsidRDefault="0084698E" w:rsidP="004F5C55">
      <w:pPr>
        <w:tabs>
          <w:tab w:val="left" w:pos="1416"/>
          <w:tab w:val="right" w:leader="dot" w:pos="9212"/>
        </w:tabs>
        <w:spacing w:after="120" w:line="340" w:lineRule="exact"/>
        <w:ind w:left="707" w:hanging="709"/>
        <w:rPr>
          <w:rFonts w:ascii="Traditional Arabic" w:hAnsi="Traditional Arabic" w:cs="Traditional Arabic"/>
          <w:noProof/>
          <w:sz w:val="30"/>
          <w:rtl/>
          <w:lang w:bidi="ar-EG"/>
        </w:rPr>
      </w:pPr>
      <w:r>
        <w:rPr>
          <w:rFonts w:hint="cs"/>
          <w:rtl/>
        </w:rPr>
        <w:tab/>
      </w:r>
      <w:hyperlink w:anchor="_Toc440550585" w:history="1">
        <w:r w:rsidR="00F82635">
          <w:rPr>
            <w:rFonts w:ascii="Traditional Arabic" w:hAnsi="Traditional Arabic" w:cs="Traditional Arabic" w:hint="cs"/>
            <w:noProof/>
            <w:sz w:val="30"/>
            <w:rtl/>
            <w:lang w:bidi="ar-EG"/>
          </w:rPr>
          <w:t>4</w:t>
        </w:r>
        <w:r w:rsidR="00335E4B" w:rsidRPr="008318BD">
          <w:rPr>
            <w:rFonts w:ascii="Traditional Arabic" w:hAnsi="Traditional Arabic" w:cs="Traditional Arabic"/>
            <w:noProof/>
            <w:sz w:val="30"/>
            <w:rtl/>
            <w:lang w:bidi="ar-EG"/>
          </w:rPr>
          <w:t>-1</w:t>
        </w:r>
        <w:r w:rsidR="00335E4B" w:rsidRPr="008318BD">
          <w:rPr>
            <w:rFonts w:ascii="Traditional Arabic" w:hAnsi="Traditional Arabic" w:cs="Traditional Arabic"/>
            <w:noProof/>
            <w:sz w:val="30"/>
            <w:rtl/>
            <w:lang w:bidi="ar-EG"/>
          </w:rPr>
          <w:tab/>
          <w:t>لمحة عامة عن أفضل التقنيات المتاحة</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11</w:t>
      </w:r>
      <w:r w:rsidR="004F5C55">
        <w:rPr>
          <w:rFonts w:ascii="Traditional Arabic" w:hAnsi="Traditional Arabic" w:cs="Traditional Arabic" w:hint="cs"/>
          <w:noProof/>
          <w:sz w:val="30"/>
          <w:rtl/>
          <w:lang w:bidi="ar-EG"/>
        </w:rPr>
        <w:t>1</w:t>
      </w:r>
    </w:p>
    <w:p w:rsidR="00335E4B" w:rsidRPr="008318BD" w:rsidRDefault="0084698E" w:rsidP="004F5C55">
      <w:pPr>
        <w:tabs>
          <w:tab w:val="left" w:pos="1416"/>
          <w:tab w:val="left" w:pos="3117"/>
          <w:tab w:val="right" w:leader="dot" w:pos="9212"/>
        </w:tabs>
        <w:spacing w:after="120" w:line="340" w:lineRule="exact"/>
        <w:ind w:left="2266" w:right="709" w:hanging="2268"/>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hyperlink w:anchor="_Toc440550586" w:history="1">
        <w:r w:rsidR="00F82635">
          <w:rPr>
            <w:rFonts w:ascii="Traditional Arabic" w:hAnsi="Traditional Arabic" w:cs="Traditional Arabic" w:hint="cs"/>
            <w:noProof/>
            <w:sz w:val="30"/>
            <w:rtl/>
            <w:lang w:bidi="ar-EG"/>
          </w:rPr>
          <w:t>4</w:t>
        </w:r>
        <w:r w:rsidR="00335E4B" w:rsidRPr="008318BD">
          <w:rPr>
            <w:rFonts w:ascii="Traditional Arabic" w:hAnsi="Traditional Arabic" w:cs="Traditional Arabic"/>
            <w:noProof/>
            <w:sz w:val="30"/>
            <w:rtl/>
            <w:lang w:bidi="ar-EG"/>
          </w:rPr>
          <w:t>-1-1</w:t>
        </w:r>
        <w:r w:rsidR="00335E4B" w:rsidRPr="008318BD">
          <w:rPr>
            <w:rFonts w:ascii="Traditional Arabic" w:hAnsi="Traditional Arabic" w:cs="Traditional Arabic"/>
            <w:noProof/>
            <w:sz w:val="30"/>
            <w:rtl/>
            <w:lang w:bidi="ar-EG"/>
          </w:rPr>
          <w:tab/>
          <w:t>بعض الاعتبارات الأخرى في اختيار تقنيات التحكم بالزئبق لعمليات الصهر والتحميص في قطاع</w:t>
        </w:r>
        <w:r w:rsidR="004F5C55">
          <w:rPr>
            <w:rFonts w:ascii="Traditional Arabic" w:hAnsi="Traditional Arabic" w:cs="Traditional Arabic" w:hint="cs"/>
            <w:noProof/>
            <w:sz w:val="30"/>
            <w:rtl/>
            <w:lang w:bidi="ar-EG"/>
          </w:rPr>
          <w:t xml:space="preserve"> </w:t>
        </w:r>
        <w:r w:rsidR="00335E4B" w:rsidRPr="008318BD">
          <w:rPr>
            <w:rFonts w:ascii="Traditional Arabic" w:hAnsi="Traditional Arabic" w:cs="Traditional Arabic"/>
            <w:noProof/>
            <w:sz w:val="30"/>
            <w:rtl/>
            <w:lang w:bidi="ar-EG"/>
          </w:rPr>
          <w:t>المعادن غير الحديدية</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11</w:t>
      </w:r>
      <w:r w:rsidR="004F5C55">
        <w:rPr>
          <w:rFonts w:ascii="Traditional Arabic" w:hAnsi="Traditional Arabic" w:cs="Traditional Arabic" w:hint="cs"/>
          <w:noProof/>
          <w:sz w:val="30"/>
          <w:rtl/>
          <w:lang w:bidi="ar-EG"/>
        </w:rPr>
        <w:t>2</w:t>
      </w:r>
    </w:p>
    <w:p w:rsidR="00021934" w:rsidRDefault="00021934" w:rsidP="00021934">
      <w:pPr>
        <w:tabs>
          <w:tab w:val="left" w:pos="1416"/>
          <w:tab w:val="right" w:leader="dot" w:pos="9212"/>
        </w:tabs>
        <w:spacing w:after="120" w:line="340" w:lineRule="exact"/>
        <w:ind w:left="707" w:hanging="709"/>
        <w:rPr>
          <w:rFonts w:ascii="Traditional Arabic" w:hAnsi="Traditional Arabic" w:cs="Traditional Arabic"/>
          <w:noProof/>
          <w:sz w:val="30"/>
          <w:rtl/>
          <w:lang w:bidi="ar-EG"/>
        </w:rPr>
      </w:pPr>
      <w:r>
        <w:rPr>
          <w:rFonts w:hint="cs"/>
          <w:rtl/>
        </w:rPr>
        <w:tab/>
      </w:r>
      <w:hyperlink w:anchor="_Toc440550587" w:history="1">
        <w:r w:rsidR="00F82635">
          <w:rPr>
            <w:rFonts w:ascii="Traditional Arabic" w:hAnsi="Traditional Arabic" w:cs="Traditional Arabic" w:hint="cs"/>
            <w:noProof/>
            <w:sz w:val="30"/>
            <w:rtl/>
            <w:lang w:bidi="ar-EG"/>
          </w:rPr>
          <w:t>4</w:t>
        </w:r>
        <w:r w:rsidR="00335E4B" w:rsidRPr="008318BD">
          <w:rPr>
            <w:rFonts w:ascii="Traditional Arabic" w:hAnsi="Traditional Arabic" w:cs="Traditional Arabic"/>
            <w:noProof/>
            <w:sz w:val="30"/>
            <w:rtl/>
            <w:lang w:bidi="ar-EG"/>
          </w:rPr>
          <w:t>-2</w:t>
        </w:r>
        <w:r w:rsidR="00335E4B" w:rsidRPr="008318BD">
          <w:rPr>
            <w:rFonts w:ascii="Traditional Arabic" w:hAnsi="Traditional Arabic" w:cs="Traditional Arabic"/>
            <w:noProof/>
            <w:sz w:val="30"/>
            <w:rtl/>
            <w:lang w:bidi="ar-EG"/>
          </w:rPr>
          <w:tab/>
          <w:t>أفضل الممارسات البيئية</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116</w:t>
      </w:r>
    </w:p>
    <w:p w:rsidR="00021934" w:rsidRDefault="00021934" w:rsidP="00021934">
      <w:pPr>
        <w:tabs>
          <w:tab w:val="left" w:pos="1416"/>
          <w:tab w:val="left" w:pos="2266"/>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88" w:history="1">
        <w:r w:rsidR="00F82635">
          <w:rPr>
            <w:rFonts w:ascii="Traditional Arabic" w:hAnsi="Traditional Arabic" w:cs="Traditional Arabic" w:hint="cs"/>
            <w:noProof/>
            <w:sz w:val="30"/>
            <w:rtl/>
            <w:lang w:bidi="ar-EG"/>
          </w:rPr>
          <w:t>4</w:t>
        </w:r>
        <w:r w:rsidR="00335E4B" w:rsidRPr="008318BD">
          <w:rPr>
            <w:rFonts w:ascii="Traditional Arabic" w:hAnsi="Traditional Arabic" w:cs="Traditional Arabic"/>
            <w:noProof/>
            <w:sz w:val="30"/>
            <w:rtl/>
            <w:lang w:bidi="ar-EG"/>
          </w:rPr>
          <w:t>-2-1</w:t>
        </w:r>
        <w:r w:rsidR="00335E4B" w:rsidRPr="008318BD">
          <w:rPr>
            <w:rFonts w:ascii="Traditional Arabic" w:hAnsi="Traditional Arabic" w:cs="Traditional Arabic"/>
            <w:noProof/>
            <w:sz w:val="30"/>
            <w:rtl/>
            <w:lang w:bidi="ar-EG"/>
          </w:rPr>
          <w:tab/>
          <w:t>نظم الإدارة البيئية</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116</w:t>
      </w:r>
    </w:p>
    <w:p w:rsidR="00021934" w:rsidRDefault="00021934" w:rsidP="00021934">
      <w:pPr>
        <w:tabs>
          <w:tab w:val="left" w:pos="1416"/>
          <w:tab w:val="left" w:pos="2266"/>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89" w:history="1">
        <w:r w:rsidR="00F82635">
          <w:rPr>
            <w:rFonts w:ascii="Traditional Arabic" w:hAnsi="Traditional Arabic" w:cs="Traditional Arabic" w:hint="cs"/>
            <w:noProof/>
            <w:sz w:val="30"/>
            <w:rtl/>
            <w:lang w:bidi="ar-EG"/>
          </w:rPr>
          <w:t>4</w:t>
        </w:r>
        <w:r w:rsidR="00335E4B" w:rsidRPr="008318BD">
          <w:rPr>
            <w:rFonts w:ascii="Traditional Arabic" w:hAnsi="Traditional Arabic" w:cs="Traditional Arabic"/>
            <w:noProof/>
            <w:sz w:val="30"/>
            <w:rtl/>
            <w:lang w:bidi="ar-EG"/>
          </w:rPr>
          <w:t>-2-2</w:t>
        </w:r>
        <w:r w:rsidR="00335E4B" w:rsidRPr="008318BD">
          <w:rPr>
            <w:rFonts w:ascii="Traditional Arabic" w:hAnsi="Traditional Arabic" w:cs="Traditional Arabic"/>
            <w:noProof/>
            <w:sz w:val="30"/>
            <w:rtl/>
            <w:lang w:bidi="ar-EG"/>
          </w:rPr>
          <w:tab/>
          <w:t>مزج المواد الأولية للتحكم في انبعاثات الزئبق</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116</w:t>
      </w:r>
    </w:p>
    <w:p w:rsidR="00021934" w:rsidRDefault="00021934" w:rsidP="00021934">
      <w:pPr>
        <w:tabs>
          <w:tab w:val="left" w:pos="1416"/>
          <w:tab w:val="left" w:pos="2266"/>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90" w:history="1">
        <w:r w:rsidR="00F82635">
          <w:rPr>
            <w:rFonts w:ascii="Traditional Arabic" w:hAnsi="Traditional Arabic" w:cs="Traditional Arabic" w:hint="cs"/>
            <w:noProof/>
            <w:sz w:val="30"/>
            <w:rtl/>
            <w:lang w:bidi="ar-EG"/>
          </w:rPr>
          <w:t>4</w:t>
        </w:r>
        <w:r w:rsidR="00335E4B" w:rsidRPr="008318BD">
          <w:rPr>
            <w:rFonts w:ascii="Traditional Arabic" w:hAnsi="Traditional Arabic" w:cs="Traditional Arabic"/>
            <w:noProof/>
            <w:sz w:val="30"/>
            <w:rtl/>
            <w:lang w:bidi="ar-EG"/>
          </w:rPr>
          <w:t>-2-3</w:t>
        </w:r>
        <w:r w:rsidR="00335E4B" w:rsidRPr="008318BD">
          <w:rPr>
            <w:rFonts w:ascii="Traditional Arabic" w:hAnsi="Traditional Arabic" w:cs="Traditional Arabic"/>
            <w:noProof/>
            <w:sz w:val="30"/>
            <w:rtl/>
            <w:lang w:bidi="ar-EG"/>
          </w:rPr>
          <w:tab/>
          <w:t>انبعاثات الزئبق إلى الغلاف الجوي</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117</w:t>
      </w:r>
    </w:p>
    <w:p w:rsidR="00021934" w:rsidRDefault="00021934" w:rsidP="00021934">
      <w:pPr>
        <w:tabs>
          <w:tab w:val="left" w:pos="1416"/>
          <w:tab w:val="left" w:pos="2266"/>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91" w:history="1">
        <w:r w:rsidR="00F82635">
          <w:rPr>
            <w:rFonts w:ascii="Traditional Arabic" w:hAnsi="Traditional Arabic" w:cs="Traditional Arabic" w:hint="cs"/>
            <w:noProof/>
            <w:sz w:val="30"/>
            <w:rtl/>
            <w:lang w:bidi="ar-EG"/>
          </w:rPr>
          <w:t>4</w:t>
        </w:r>
        <w:r w:rsidR="00335E4B" w:rsidRPr="008318BD">
          <w:rPr>
            <w:rFonts w:ascii="Traditional Arabic" w:hAnsi="Traditional Arabic" w:cs="Traditional Arabic"/>
            <w:noProof/>
            <w:sz w:val="30"/>
            <w:rtl/>
            <w:lang w:bidi="ar-EG"/>
          </w:rPr>
          <w:t>-2-4</w:t>
        </w:r>
        <w:r w:rsidR="00335E4B" w:rsidRPr="008318BD">
          <w:rPr>
            <w:rFonts w:ascii="Traditional Arabic" w:hAnsi="Traditional Arabic" w:cs="Traditional Arabic"/>
            <w:noProof/>
            <w:sz w:val="30"/>
            <w:rtl/>
            <w:lang w:bidi="ar-EG"/>
          </w:rPr>
          <w:tab/>
          <w:t>التحكم بالمواد الجسيمية</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117</w:t>
      </w:r>
    </w:p>
    <w:p w:rsidR="00335E4B" w:rsidRPr="008318BD" w:rsidRDefault="00021934" w:rsidP="00021934">
      <w:pPr>
        <w:tabs>
          <w:tab w:val="left" w:pos="1416"/>
          <w:tab w:val="left" w:pos="2266"/>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92" w:history="1">
        <w:r w:rsidR="00F82635">
          <w:rPr>
            <w:rFonts w:ascii="Traditional Arabic" w:hAnsi="Traditional Arabic" w:cs="Traditional Arabic" w:hint="cs"/>
            <w:noProof/>
            <w:sz w:val="30"/>
            <w:rtl/>
            <w:lang w:bidi="ar-EG"/>
          </w:rPr>
          <w:t>4</w:t>
        </w:r>
        <w:r w:rsidR="00335E4B" w:rsidRPr="008318BD">
          <w:rPr>
            <w:rFonts w:ascii="Traditional Arabic" w:hAnsi="Traditional Arabic" w:cs="Traditional Arabic"/>
            <w:noProof/>
            <w:sz w:val="30"/>
            <w:rtl/>
            <w:lang w:bidi="ar-EG"/>
          </w:rPr>
          <w:t>-2-5</w:t>
        </w:r>
        <w:r w:rsidR="00335E4B" w:rsidRPr="008318BD">
          <w:rPr>
            <w:rFonts w:ascii="Traditional Arabic" w:hAnsi="Traditional Arabic" w:cs="Traditional Arabic"/>
            <w:noProof/>
            <w:sz w:val="30"/>
            <w:rtl/>
            <w:lang w:bidi="ar-EG"/>
          </w:rPr>
          <w:tab/>
          <w:t>إدارة النفايات الناتجة عن التحكم بتلوث الهواء والتخلص منها على نحو سليم بيئياً</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118</w:t>
      </w:r>
    </w:p>
    <w:p w:rsidR="00021934" w:rsidRDefault="00F37B77" w:rsidP="00021934">
      <w:pPr>
        <w:tabs>
          <w:tab w:val="left" w:pos="707"/>
          <w:tab w:val="right" w:leader="dot" w:pos="9212"/>
        </w:tabs>
        <w:spacing w:after="120" w:line="340" w:lineRule="exact"/>
        <w:ind w:left="707" w:hanging="709"/>
        <w:rPr>
          <w:rFonts w:ascii="Traditional Arabic" w:hAnsi="Traditional Arabic" w:cs="Traditional Arabic"/>
          <w:noProof/>
          <w:sz w:val="30"/>
          <w:rtl/>
          <w:lang w:bidi="ar-EG"/>
        </w:rPr>
      </w:pPr>
      <w:hyperlink w:anchor="_Toc440550593" w:history="1">
        <w:r w:rsidR="00F82635">
          <w:rPr>
            <w:rFonts w:ascii="Traditional Arabic" w:hAnsi="Traditional Arabic" w:cs="Traditional Arabic" w:hint="cs"/>
            <w:noProof/>
            <w:sz w:val="30"/>
            <w:rtl/>
            <w:lang w:bidi="ar-EG"/>
          </w:rPr>
          <w:t>5</w:t>
        </w:r>
        <w:r w:rsidR="00335E4B" w:rsidRPr="008318BD">
          <w:rPr>
            <w:rFonts w:ascii="Traditional Arabic" w:hAnsi="Traditional Arabic" w:cs="Traditional Arabic"/>
            <w:noProof/>
            <w:sz w:val="30"/>
            <w:rtl/>
            <w:lang w:bidi="ar-EG"/>
          </w:rPr>
          <w:t>-</w:t>
        </w:r>
        <w:r w:rsidR="00335E4B" w:rsidRPr="008318BD">
          <w:rPr>
            <w:rFonts w:ascii="Traditional Arabic" w:hAnsi="Traditional Arabic" w:cs="Traditional Arabic"/>
            <w:noProof/>
            <w:sz w:val="30"/>
            <w:rtl/>
            <w:lang w:bidi="ar-EG"/>
          </w:rPr>
          <w:tab/>
          <w:t>رصد الزئبق في عمليات الصهر والتحميص المستخدمة في إنتاج المعادن غير الحديدية</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119</w:t>
      </w:r>
    </w:p>
    <w:p w:rsidR="00021934" w:rsidRDefault="00021934" w:rsidP="00021934">
      <w:pPr>
        <w:tabs>
          <w:tab w:val="left" w:pos="1416"/>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hyperlink w:anchor="_Toc440550594" w:history="1">
        <w:r w:rsidR="00F82635">
          <w:rPr>
            <w:rFonts w:ascii="Traditional Arabic" w:hAnsi="Traditional Arabic" w:cs="Traditional Arabic" w:hint="cs"/>
            <w:noProof/>
            <w:sz w:val="30"/>
            <w:rtl/>
            <w:lang w:bidi="ar-EG"/>
          </w:rPr>
          <w:t>5</w:t>
        </w:r>
        <w:r w:rsidR="00335E4B" w:rsidRPr="008318BD">
          <w:rPr>
            <w:rFonts w:ascii="Traditional Arabic" w:hAnsi="Traditional Arabic" w:cs="Traditional Arabic"/>
            <w:noProof/>
            <w:sz w:val="30"/>
            <w:rtl/>
            <w:lang w:bidi="ar-EG"/>
          </w:rPr>
          <w:t>-1</w:t>
        </w:r>
        <w:r w:rsidR="00335E4B" w:rsidRPr="008318BD">
          <w:rPr>
            <w:rFonts w:ascii="Traditional Arabic" w:hAnsi="Traditional Arabic" w:cs="Traditional Arabic"/>
            <w:noProof/>
            <w:sz w:val="30"/>
            <w:rtl/>
            <w:lang w:bidi="ar-EG"/>
          </w:rPr>
          <w:tab/>
          <w:t>أساليب القياس المباشر</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119</w:t>
      </w:r>
    </w:p>
    <w:p w:rsidR="00021934" w:rsidRDefault="00021934" w:rsidP="00021934">
      <w:pPr>
        <w:tabs>
          <w:tab w:val="left" w:pos="1416"/>
          <w:tab w:val="left" w:pos="2266"/>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95" w:history="1">
        <w:r w:rsidR="00F82635">
          <w:rPr>
            <w:rFonts w:ascii="Traditional Arabic" w:hAnsi="Traditional Arabic" w:cs="Traditional Arabic" w:hint="cs"/>
            <w:noProof/>
            <w:sz w:val="30"/>
            <w:rtl/>
            <w:lang w:bidi="ar-EG"/>
          </w:rPr>
          <w:t>5</w:t>
        </w:r>
        <w:r w:rsidR="00335E4B" w:rsidRPr="008318BD">
          <w:rPr>
            <w:rFonts w:ascii="Traditional Arabic" w:hAnsi="Traditional Arabic" w:cs="Traditional Arabic"/>
            <w:noProof/>
            <w:sz w:val="30"/>
            <w:rtl/>
            <w:lang w:bidi="ar-EG"/>
          </w:rPr>
          <w:t>-1-1</w:t>
        </w:r>
        <w:r w:rsidR="00335E4B" w:rsidRPr="008318BD">
          <w:rPr>
            <w:rFonts w:ascii="Traditional Arabic" w:hAnsi="Traditional Arabic" w:cs="Traditional Arabic"/>
            <w:noProof/>
            <w:sz w:val="30"/>
            <w:rtl/>
            <w:lang w:bidi="ar-EG"/>
          </w:rPr>
          <w:tab/>
          <w:t>أخذ العينات بواسطة جهاز الارتطام</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119</w:t>
      </w:r>
    </w:p>
    <w:p w:rsidR="00021934" w:rsidRDefault="00021934" w:rsidP="00021934">
      <w:pPr>
        <w:tabs>
          <w:tab w:val="left" w:pos="1416"/>
          <w:tab w:val="left" w:pos="2266"/>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96" w:history="1">
        <w:r w:rsidR="00F82635">
          <w:rPr>
            <w:rFonts w:ascii="Traditional Arabic" w:hAnsi="Traditional Arabic" w:cs="Traditional Arabic" w:hint="cs"/>
            <w:noProof/>
            <w:sz w:val="30"/>
            <w:rtl/>
            <w:lang w:bidi="ar-EG"/>
          </w:rPr>
          <w:t>5</w:t>
        </w:r>
        <w:r w:rsidR="00335E4B" w:rsidRPr="008318BD">
          <w:rPr>
            <w:rFonts w:ascii="Traditional Arabic" w:hAnsi="Traditional Arabic" w:cs="Traditional Arabic"/>
            <w:noProof/>
            <w:sz w:val="30"/>
            <w:rtl/>
            <w:lang w:bidi="ar-EG"/>
          </w:rPr>
          <w:t>-1-2</w:t>
        </w:r>
        <w:r w:rsidR="00335E4B" w:rsidRPr="008318BD">
          <w:rPr>
            <w:rFonts w:ascii="Traditional Arabic" w:hAnsi="Traditional Arabic" w:cs="Traditional Arabic"/>
            <w:noProof/>
            <w:sz w:val="30"/>
            <w:rtl/>
            <w:lang w:bidi="ar-EG"/>
          </w:rPr>
          <w:tab/>
          <w:t>مصائد المواد الماصة ونظم الرصد القائمة عليها</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119</w:t>
      </w:r>
    </w:p>
    <w:p w:rsidR="00021934" w:rsidRDefault="00021934" w:rsidP="00021934">
      <w:pPr>
        <w:tabs>
          <w:tab w:val="left" w:pos="1416"/>
          <w:tab w:val="left" w:pos="2266"/>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97" w:history="1">
        <w:r w:rsidR="00F82635">
          <w:rPr>
            <w:rFonts w:ascii="Traditional Arabic" w:hAnsi="Traditional Arabic" w:cs="Traditional Arabic" w:hint="cs"/>
            <w:noProof/>
            <w:sz w:val="30"/>
            <w:rtl/>
            <w:lang w:bidi="ar-EG"/>
          </w:rPr>
          <w:t>5</w:t>
        </w:r>
        <w:r w:rsidR="00335E4B" w:rsidRPr="008318BD">
          <w:rPr>
            <w:rFonts w:ascii="Traditional Arabic" w:hAnsi="Traditional Arabic" w:cs="Traditional Arabic"/>
            <w:noProof/>
            <w:sz w:val="30"/>
            <w:rtl/>
            <w:lang w:bidi="ar-EG"/>
          </w:rPr>
          <w:t>-1-3</w:t>
        </w:r>
        <w:r w:rsidR="00335E4B" w:rsidRPr="008318BD">
          <w:rPr>
            <w:rFonts w:ascii="Traditional Arabic" w:hAnsi="Traditional Arabic" w:cs="Traditional Arabic"/>
            <w:noProof/>
            <w:sz w:val="30"/>
            <w:rtl/>
            <w:lang w:bidi="ar-EG"/>
          </w:rPr>
          <w:tab/>
          <w:t>نظم الرصد المستمرة للانبعاثات</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120</w:t>
      </w:r>
    </w:p>
    <w:p w:rsidR="00021934" w:rsidRDefault="00021934" w:rsidP="00021934">
      <w:pPr>
        <w:tabs>
          <w:tab w:val="left" w:pos="1416"/>
          <w:tab w:val="left" w:pos="2266"/>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hyperlink w:anchor="_Toc440550598" w:history="1">
        <w:r w:rsidR="00F82635">
          <w:rPr>
            <w:rFonts w:ascii="Traditional Arabic" w:hAnsi="Traditional Arabic" w:cs="Traditional Arabic" w:hint="cs"/>
            <w:noProof/>
            <w:sz w:val="30"/>
            <w:rtl/>
            <w:lang w:bidi="ar-EG"/>
          </w:rPr>
          <w:t>5</w:t>
        </w:r>
        <w:r w:rsidR="00335E4B" w:rsidRPr="008318BD">
          <w:rPr>
            <w:rFonts w:ascii="Traditional Arabic" w:hAnsi="Traditional Arabic" w:cs="Traditional Arabic"/>
            <w:noProof/>
            <w:sz w:val="30"/>
            <w:rtl/>
            <w:lang w:bidi="ar-EG"/>
          </w:rPr>
          <w:t>-2</w:t>
        </w:r>
        <w:r w:rsidR="00335E4B" w:rsidRPr="008318BD">
          <w:rPr>
            <w:rFonts w:ascii="Traditional Arabic" w:hAnsi="Traditional Arabic" w:cs="Traditional Arabic"/>
            <w:noProof/>
            <w:sz w:val="30"/>
            <w:rtl/>
            <w:lang w:bidi="ar-EG"/>
          </w:rPr>
          <w:tab/>
          <w:t>الأساليب غير المباشرة للقياس</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120</w:t>
      </w:r>
    </w:p>
    <w:p w:rsidR="00021934" w:rsidRDefault="00021934" w:rsidP="00021934">
      <w:pPr>
        <w:tabs>
          <w:tab w:val="left" w:pos="1416"/>
          <w:tab w:val="left" w:pos="2266"/>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599" w:history="1">
        <w:r w:rsidR="00F82635">
          <w:rPr>
            <w:rFonts w:ascii="Traditional Arabic" w:hAnsi="Traditional Arabic" w:cs="Traditional Arabic" w:hint="cs"/>
            <w:noProof/>
            <w:sz w:val="30"/>
            <w:rtl/>
            <w:lang w:bidi="ar-EG"/>
          </w:rPr>
          <w:t>5</w:t>
        </w:r>
        <w:r w:rsidR="00335E4B" w:rsidRPr="008318BD">
          <w:rPr>
            <w:rFonts w:ascii="Traditional Arabic" w:hAnsi="Traditional Arabic" w:cs="Traditional Arabic"/>
            <w:noProof/>
            <w:sz w:val="30"/>
            <w:rtl/>
            <w:lang w:bidi="ar-EG"/>
          </w:rPr>
          <w:t>-2-1</w:t>
        </w:r>
        <w:r w:rsidR="00335E4B" w:rsidRPr="008318BD">
          <w:rPr>
            <w:rFonts w:ascii="Traditional Arabic" w:hAnsi="Traditional Arabic" w:cs="Traditional Arabic"/>
            <w:noProof/>
            <w:sz w:val="30"/>
            <w:rtl/>
            <w:lang w:bidi="ar-EG"/>
          </w:rPr>
          <w:tab/>
          <w:t>توازن الكتلة</w:t>
        </w:r>
      </w:hyperlink>
      <w:r w:rsidR="00335E4B" w:rsidRPr="008318BD">
        <w:rPr>
          <w:rFonts w:ascii="Traditional Arabic" w:hAnsi="Traditional Arabic" w:cs="Traditional Arabic" w:hint="cs"/>
          <w:noProof/>
          <w:sz w:val="30"/>
          <w:rtl/>
          <w:lang w:bidi="ar-EG"/>
        </w:rPr>
        <w:tab/>
        <w:t>120</w:t>
      </w:r>
    </w:p>
    <w:p w:rsidR="00021934" w:rsidRDefault="00021934" w:rsidP="00021934">
      <w:pPr>
        <w:tabs>
          <w:tab w:val="left" w:pos="1416"/>
          <w:tab w:val="left" w:pos="2266"/>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600" w:history="1">
        <w:r w:rsidR="00F82635">
          <w:rPr>
            <w:rFonts w:ascii="Traditional Arabic" w:hAnsi="Traditional Arabic" w:cs="Traditional Arabic" w:hint="cs"/>
            <w:noProof/>
            <w:sz w:val="30"/>
            <w:rtl/>
            <w:lang w:bidi="ar-EG"/>
          </w:rPr>
          <w:t>5</w:t>
        </w:r>
        <w:r w:rsidR="00335E4B" w:rsidRPr="008318BD">
          <w:rPr>
            <w:rFonts w:ascii="Traditional Arabic" w:hAnsi="Traditional Arabic" w:cs="Traditional Arabic"/>
            <w:noProof/>
            <w:sz w:val="30"/>
            <w:rtl/>
            <w:lang w:bidi="ar-EG"/>
          </w:rPr>
          <w:t>-2-2</w:t>
        </w:r>
        <w:r w:rsidR="00335E4B" w:rsidRPr="008318BD">
          <w:rPr>
            <w:rFonts w:ascii="Traditional Arabic" w:hAnsi="Traditional Arabic" w:cs="Traditional Arabic"/>
            <w:noProof/>
            <w:sz w:val="30"/>
            <w:rtl/>
            <w:lang w:bidi="ar-EG"/>
          </w:rPr>
          <w:tab/>
          <w:t>النظم التنبؤية لرصد الانبعاثات</w:t>
        </w:r>
        <w:r w:rsidR="00335E4B" w:rsidRPr="008318BD">
          <w:rPr>
            <w:rFonts w:ascii="Traditional Arabic" w:hAnsi="Traditional Arabic" w:cs="Traditional Arabic"/>
            <w:noProof/>
            <w:webHidden/>
            <w:sz w:val="30"/>
            <w:rtl/>
            <w:lang w:bidi="ar-EG"/>
          </w:rPr>
          <w:tab/>
        </w:r>
      </w:hyperlink>
      <w:r w:rsidR="00335E4B" w:rsidRPr="008318BD">
        <w:rPr>
          <w:rFonts w:ascii="Traditional Arabic" w:hAnsi="Traditional Arabic" w:cs="Traditional Arabic" w:hint="cs"/>
          <w:noProof/>
          <w:sz w:val="30"/>
          <w:rtl/>
          <w:lang w:bidi="ar-EG"/>
        </w:rPr>
        <w:t>121</w:t>
      </w:r>
    </w:p>
    <w:p w:rsidR="00335E4B" w:rsidRPr="008318BD" w:rsidRDefault="00021934" w:rsidP="00021934">
      <w:pPr>
        <w:tabs>
          <w:tab w:val="left" w:pos="1416"/>
          <w:tab w:val="left" w:pos="2266"/>
          <w:tab w:val="right" w:leader="dot" w:pos="9212"/>
        </w:tabs>
        <w:spacing w:after="120" w:line="340" w:lineRule="exact"/>
        <w:ind w:left="707" w:hanging="709"/>
        <w:rPr>
          <w:rFonts w:ascii="Traditional Arabic" w:hAnsi="Traditional Arabic" w:cs="Traditional Arabic"/>
          <w:noProof/>
          <w:sz w:val="30"/>
          <w:rtl/>
          <w:lang w:bidi="ar-EG"/>
        </w:rPr>
      </w:pPr>
      <w:r>
        <w:rPr>
          <w:rFonts w:ascii="Traditional Arabic" w:hAnsi="Traditional Arabic" w:cs="Traditional Arabic" w:hint="cs"/>
          <w:noProof/>
          <w:sz w:val="30"/>
          <w:rtl/>
          <w:lang w:bidi="ar-EG"/>
        </w:rPr>
        <w:tab/>
      </w:r>
      <w:r>
        <w:rPr>
          <w:rFonts w:ascii="Traditional Arabic" w:hAnsi="Traditional Arabic" w:cs="Traditional Arabic" w:hint="cs"/>
          <w:noProof/>
          <w:sz w:val="30"/>
          <w:rtl/>
          <w:lang w:bidi="ar-EG"/>
        </w:rPr>
        <w:tab/>
      </w:r>
      <w:hyperlink w:anchor="_Toc440550601" w:history="1">
        <w:r w:rsidR="00F82635">
          <w:rPr>
            <w:rFonts w:ascii="Traditional Arabic" w:hAnsi="Traditional Arabic" w:cs="Traditional Arabic" w:hint="cs"/>
            <w:noProof/>
            <w:sz w:val="30"/>
            <w:rtl/>
            <w:lang w:bidi="ar-EG"/>
          </w:rPr>
          <w:t>5</w:t>
        </w:r>
        <w:r w:rsidR="00335E4B" w:rsidRPr="008318BD">
          <w:rPr>
            <w:rFonts w:ascii="Traditional Arabic" w:hAnsi="Traditional Arabic" w:cs="Traditional Arabic"/>
            <w:noProof/>
            <w:sz w:val="30"/>
            <w:rtl/>
            <w:lang w:bidi="ar-EG"/>
          </w:rPr>
          <w:t>-2-3</w:t>
        </w:r>
        <w:r w:rsidR="00335E4B" w:rsidRPr="008318BD">
          <w:rPr>
            <w:rFonts w:ascii="Traditional Arabic" w:hAnsi="Traditional Arabic" w:cs="Traditional Arabic"/>
            <w:noProof/>
            <w:sz w:val="30"/>
            <w:rtl/>
            <w:lang w:bidi="ar-EG"/>
          </w:rPr>
          <w:tab/>
          <w:t>عوامل الانبعاث</w:t>
        </w:r>
      </w:hyperlink>
      <w:r w:rsidR="00335E4B" w:rsidRPr="008318BD">
        <w:rPr>
          <w:rFonts w:ascii="Traditional Arabic" w:hAnsi="Traditional Arabic" w:cs="Traditional Arabic" w:hint="cs"/>
          <w:noProof/>
          <w:sz w:val="30"/>
          <w:rtl/>
          <w:lang w:bidi="ar-EG"/>
        </w:rPr>
        <w:tab/>
        <w:t>121</w:t>
      </w:r>
    </w:p>
    <w:p w:rsidR="00335E4B" w:rsidRPr="008318BD" w:rsidRDefault="00F37B77" w:rsidP="00021934">
      <w:pPr>
        <w:tabs>
          <w:tab w:val="right" w:leader="dot" w:pos="9212"/>
        </w:tabs>
        <w:spacing w:after="120" w:line="340" w:lineRule="exact"/>
        <w:ind w:left="707" w:hanging="709"/>
        <w:rPr>
          <w:rFonts w:ascii="Traditional Arabic" w:hAnsi="Traditional Arabic" w:cs="Traditional Arabic"/>
          <w:noProof/>
          <w:sz w:val="30"/>
          <w:rtl/>
          <w:lang w:bidi="ar-EG"/>
        </w:rPr>
      </w:pPr>
      <w:hyperlink w:anchor="_Toc440550602" w:history="1">
        <w:r w:rsidR="00F82635">
          <w:rPr>
            <w:rFonts w:ascii="Traditional Arabic" w:hAnsi="Traditional Arabic" w:cs="Traditional Arabic" w:hint="cs"/>
            <w:noProof/>
            <w:sz w:val="30"/>
            <w:rtl/>
            <w:lang w:bidi="ar-EG"/>
          </w:rPr>
          <w:t>6</w:t>
        </w:r>
        <w:r w:rsidR="00335E4B" w:rsidRPr="008318BD">
          <w:rPr>
            <w:rFonts w:ascii="Traditional Arabic" w:hAnsi="Traditional Arabic" w:cs="Traditional Arabic"/>
            <w:noProof/>
            <w:sz w:val="30"/>
            <w:rtl/>
            <w:lang w:bidi="ar-EG"/>
          </w:rPr>
          <w:t>-</w:t>
        </w:r>
        <w:r w:rsidR="00335E4B" w:rsidRPr="008318BD">
          <w:rPr>
            <w:rFonts w:ascii="Traditional Arabic" w:hAnsi="Traditional Arabic" w:cs="Traditional Arabic"/>
            <w:noProof/>
            <w:sz w:val="30"/>
            <w:rtl/>
            <w:lang w:bidi="ar-EG"/>
          </w:rPr>
          <w:tab/>
          <w:t>المراجع</w:t>
        </w:r>
      </w:hyperlink>
      <w:r w:rsidR="00335E4B" w:rsidRPr="008318BD">
        <w:rPr>
          <w:rFonts w:ascii="Traditional Arabic" w:hAnsi="Traditional Arabic" w:cs="Traditional Arabic"/>
          <w:noProof/>
          <w:sz w:val="30"/>
          <w:rtl/>
          <w:lang w:bidi="ar-EG"/>
        </w:rPr>
        <w:tab/>
      </w:r>
      <w:r w:rsidR="00335E4B" w:rsidRPr="008318BD">
        <w:rPr>
          <w:rFonts w:ascii="Traditional Arabic" w:hAnsi="Traditional Arabic" w:cs="Traditional Arabic" w:hint="cs"/>
          <w:noProof/>
          <w:sz w:val="30"/>
          <w:rtl/>
          <w:lang w:bidi="ar-EG"/>
        </w:rPr>
        <w:t>122</w:t>
      </w:r>
    </w:p>
    <w:p w:rsidR="00335E4B" w:rsidRPr="008318BD" w:rsidRDefault="00335E4B" w:rsidP="00335E4B">
      <w:pPr>
        <w:bidi w:val="0"/>
        <w:jc w:val="right"/>
        <w:rPr>
          <w:rFonts w:cs="Traditional Arabic"/>
          <w:sz w:val="20"/>
          <w:szCs w:val="30"/>
          <w:rtl/>
          <w:lang w:bidi="ar-EG"/>
        </w:rPr>
      </w:pPr>
    </w:p>
    <w:p w:rsidR="00335E4B" w:rsidRPr="008318BD" w:rsidRDefault="00335E4B" w:rsidP="00335E4B">
      <w:pPr>
        <w:bidi w:val="0"/>
        <w:jc w:val="right"/>
        <w:rPr>
          <w:rFonts w:cs="Traditional Arabic"/>
          <w:sz w:val="20"/>
          <w:szCs w:val="30"/>
          <w:rtl/>
          <w:lang w:bidi="ar-EG"/>
        </w:rPr>
      </w:pPr>
    </w:p>
    <w:p w:rsidR="00335E4B" w:rsidRPr="00335E4B" w:rsidRDefault="00335E4B" w:rsidP="00335E4B">
      <w:pPr>
        <w:rPr>
          <w:rFonts w:cs="Traditional Arabic"/>
          <w:b/>
          <w:bCs/>
          <w:sz w:val="20"/>
          <w:szCs w:val="30"/>
          <w:rtl/>
        </w:rPr>
      </w:pPr>
      <w:r w:rsidRPr="008318BD">
        <w:rPr>
          <w:rFonts w:cs="Traditional Arabic"/>
          <w:sz w:val="20"/>
          <w:szCs w:val="30"/>
          <w:lang w:bidi="ar-EG"/>
        </w:rPr>
        <w:br w:type="page"/>
      </w:r>
      <w:r w:rsidRPr="008318BD">
        <w:rPr>
          <w:rFonts w:cs="Traditional Arabic"/>
          <w:sz w:val="20"/>
          <w:szCs w:val="30"/>
          <w:rtl/>
        </w:rPr>
        <w:fldChar w:fldCharType="end"/>
      </w:r>
      <w:bookmarkStart w:id="1217" w:name="_Toc441577774"/>
      <w:bookmarkStart w:id="1218" w:name="_Toc441577953"/>
      <w:bookmarkStart w:id="1219" w:name="_Toc441579179"/>
      <w:bookmarkStart w:id="1220" w:name="_Toc441580787"/>
      <w:bookmarkStart w:id="1221" w:name="_Toc441585918"/>
      <w:bookmarkStart w:id="1222" w:name="_Toc441586254"/>
      <w:bookmarkStart w:id="1223" w:name="_Toc441586704"/>
      <w:bookmarkStart w:id="1224" w:name="_Toc441586883"/>
      <w:bookmarkStart w:id="1225" w:name="_Toc441666732"/>
      <w:bookmarkStart w:id="1226" w:name="_Toc441673793"/>
      <w:r w:rsidRPr="00335E4B">
        <w:rPr>
          <w:rFonts w:cs="Traditional Arabic"/>
          <w:b/>
          <w:bCs/>
          <w:sz w:val="20"/>
          <w:szCs w:val="30"/>
          <w:rtl/>
        </w:rPr>
        <w:t>١-</w:t>
      </w:r>
      <w:r w:rsidRPr="00335E4B">
        <w:rPr>
          <w:rFonts w:cs="Traditional Arabic"/>
          <w:b/>
          <w:bCs/>
          <w:sz w:val="20"/>
          <w:szCs w:val="30"/>
          <w:rtl/>
        </w:rPr>
        <w:tab/>
        <w:t>مقدمة</w:t>
      </w:r>
      <w:bookmarkEnd w:id="1217"/>
      <w:bookmarkEnd w:id="1218"/>
      <w:bookmarkEnd w:id="1219"/>
      <w:bookmarkEnd w:id="1220"/>
      <w:bookmarkEnd w:id="1221"/>
      <w:bookmarkEnd w:id="1222"/>
      <w:bookmarkEnd w:id="1223"/>
      <w:bookmarkEnd w:id="1224"/>
      <w:bookmarkEnd w:id="1225"/>
      <w:bookmarkEnd w:id="1226"/>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يوجد الزئبق كعنصر نزر في أغلب المواد المعدنية الخام تقريباً، ولذلك يحتمل أن تؤدي العمليات الحرارية وغيرها من عمليات الصهر إلى إطلاق الزئبق في الغلاف الجوي. وتهدف عملية الصهر بشكل رئيسي إلى تحويل المعادن من حالتها الأصلية الخام في الركازات إلى معادن نقية، وبالتالي يعتبر الصهر شكلاً من أشكال الميتالورجيا الاستخراجية. وتوجد الفلزات في الطبيعة عادة على هيئة أكسيدات أو كبريتيدات أو كربونات، ويتطلب الصهر حدوث تفاعل كيميائي في وجود عامل مختزل لتحرير الفلز.</w:t>
      </w:r>
    </w:p>
    <w:p w:rsidR="00335E4B" w:rsidRPr="00335E4B" w:rsidRDefault="00335E4B" w:rsidP="0039298D">
      <w:pPr>
        <w:spacing w:after="120" w:line="400" w:lineRule="exact"/>
        <w:jc w:val="both"/>
        <w:rPr>
          <w:rFonts w:cs="Traditional Arabic"/>
          <w:sz w:val="20"/>
          <w:szCs w:val="30"/>
          <w:rtl/>
        </w:rPr>
      </w:pPr>
      <w:r w:rsidRPr="00335E4B">
        <w:rPr>
          <w:rFonts w:cs="Traditional Arabic"/>
          <w:sz w:val="20"/>
          <w:szCs w:val="30"/>
          <w:rtl/>
        </w:rPr>
        <w:t xml:space="preserve">يقدم تقرير برنامج الأمم المتحدة للبيئة عن التقييم العالمي للزئبق لعام 2013 </w:t>
      </w:r>
      <w:r w:rsidRPr="00335E4B">
        <w:rPr>
          <w:rFonts w:cs="Times New Roman"/>
          <w:sz w:val="20"/>
          <w:szCs w:val="20"/>
          <w:rtl/>
        </w:rPr>
        <w:t>(</w:t>
      </w:r>
      <w:r w:rsidRPr="00335E4B">
        <w:rPr>
          <w:rFonts w:cs="Times New Roman"/>
          <w:sz w:val="20"/>
          <w:szCs w:val="20"/>
        </w:rPr>
        <w:t>AMAP/UNEP 2013</w:t>
      </w:r>
      <w:r w:rsidRPr="00335E4B">
        <w:rPr>
          <w:rFonts w:cs="Times New Roman"/>
          <w:sz w:val="20"/>
          <w:szCs w:val="20"/>
          <w:rtl/>
        </w:rPr>
        <w:t>)</w:t>
      </w:r>
      <w:r w:rsidRPr="00335E4B">
        <w:rPr>
          <w:rFonts w:cs="Traditional Arabic"/>
          <w:sz w:val="20"/>
          <w:szCs w:val="30"/>
          <w:rtl/>
        </w:rPr>
        <w:t xml:space="preserve"> جرداً لانبعاثات العام 2010، ورغم </w:t>
      </w:r>
      <w:r w:rsidRPr="00335E4B">
        <w:rPr>
          <w:rFonts w:cs="Traditional Arabic" w:hint="cs"/>
          <w:sz w:val="20"/>
          <w:szCs w:val="30"/>
          <w:rtl/>
        </w:rPr>
        <w:t>أن</w:t>
      </w:r>
      <w:r w:rsidRPr="00335E4B">
        <w:rPr>
          <w:rFonts w:cs="Traditional Arabic"/>
          <w:sz w:val="20"/>
          <w:szCs w:val="30"/>
          <w:rtl/>
        </w:rPr>
        <w:t xml:space="preserve"> هذا الجرد الأخير </w:t>
      </w:r>
      <w:r w:rsidRPr="00335E4B">
        <w:rPr>
          <w:rFonts w:cs="Traditional Arabic" w:hint="cs"/>
          <w:sz w:val="20"/>
          <w:szCs w:val="30"/>
          <w:rtl/>
        </w:rPr>
        <w:t xml:space="preserve">يعتمد </w:t>
      </w:r>
      <w:r w:rsidRPr="00335E4B">
        <w:rPr>
          <w:rFonts w:cs="Traditional Arabic"/>
          <w:sz w:val="20"/>
          <w:szCs w:val="30"/>
          <w:rtl/>
        </w:rPr>
        <w:t>على جرد الانبعاثات لعام 2005 الذي ق</w:t>
      </w:r>
      <w:r w:rsidRPr="00335E4B">
        <w:rPr>
          <w:rFonts w:cs="Traditional Arabic" w:hint="cs"/>
          <w:sz w:val="20"/>
          <w:szCs w:val="30"/>
          <w:rtl/>
        </w:rPr>
        <w:t>ُ</w:t>
      </w:r>
      <w:r w:rsidRPr="00335E4B">
        <w:rPr>
          <w:rFonts w:cs="Traditional Arabic"/>
          <w:sz w:val="20"/>
          <w:szCs w:val="30"/>
          <w:rtl/>
        </w:rPr>
        <w:t>د</w:t>
      </w:r>
      <w:r w:rsidRPr="00335E4B">
        <w:rPr>
          <w:rFonts w:cs="Traditional Arabic" w:hint="cs"/>
          <w:sz w:val="20"/>
          <w:szCs w:val="30"/>
          <w:rtl/>
        </w:rPr>
        <w:t>ِّ</w:t>
      </w:r>
      <w:r w:rsidRPr="00335E4B">
        <w:rPr>
          <w:rFonts w:cs="Traditional Arabic"/>
          <w:sz w:val="20"/>
          <w:szCs w:val="30"/>
          <w:rtl/>
        </w:rPr>
        <w:t xml:space="preserve">م في تقرير من تقارير البرنامج للعام 2008 </w:t>
      </w:r>
      <w:r w:rsidRPr="00335E4B">
        <w:rPr>
          <w:rFonts w:cs="Times New Roman"/>
          <w:sz w:val="20"/>
          <w:szCs w:val="20"/>
          <w:rtl/>
        </w:rPr>
        <w:t>(</w:t>
      </w:r>
      <w:r w:rsidRPr="00335E4B">
        <w:rPr>
          <w:rFonts w:cs="Times New Roman"/>
          <w:sz w:val="20"/>
          <w:szCs w:val="20"/>
        </w:rPr>
        <w:t>AMAP/UNEP 2008</w:t>
      </w:r>
      <w:r w:rsidRPr="00335E4B">
        <w:rPr>
          <w:rFonts w:cs="Times New Roman"/>
          <w:sz w:val="20"/>
          <w:szCs w:val="20"/>
          <w:rtl/>
        </w:rPr>
        <w:t>)</w:t>
      </w:r>
      <w:r w:rsidRPr="00335E4B">
        <w:rPr>
          <w:rFonts w:cs="Traditional Arabic"/>
          <w:sz w:val="20"/>
          <w:szCs w:val="30"/>
          <w:rtl/>
        </w:rPr>
        <w:t xml:space="preserve">، </w:t>
      </w:r>
      <w:r w:rsidRPr="00335E4B">
        <w:rPr>
          <w:rFonts w:cs="Traditional Arabic" w:hint="cs"/>
          <w:sz w:val="20"/>
          <w:szCs w:val="30"/>
          <w:rtl/>
        </w:rPr>
        <w:t>ويتشابه</w:t>
      </w:r>
      <w:r w:rsidRPr="00335E4B">
        <w:rPr>
          <w:rFonts w:cs="Traditional Arabic"/>
          <w:sz w:val="20"/>
          <w:szCs w:val="30"/>
          <w:rtl/>
        </w:rPr>
        <w:t xml:space="preserve"> معه في المجموع، فهو يتضمن اختلافات لا يستهان بها </w:t>
      </w:r>
      <w:r w:rsidRPr="00335E4B">
        <w:rPr>
          <w:rFonts w:cs="Traditional Arabic" w:hint="cs"/>
          <w:sz w:val="20"/>
          <w:szCs w:val="30"/>
          <w:rtl/>
        </w:rPr>
        <w:t>عنه</w:t>
      </w:r>
      <w:r w:rsidRPr="00335E4B">
        <w:rPr>
          <w:rFonts w:cs="Traditional Arabic"/>
          <w:sz w:val="20"/>
          <w:szCs w:val="30"/>
          <w:rtl/>
        </w:rPr>
        <w:t xml:space="preserve"> في عدد من القطاعات الرئيسية. وتظهر البيانات الواردة في كل من قوائم الجرد أن إنتاج المعادن بوجه عام، وإنتاج المعادن غير الحديدية بوجه خاص، يمثل مصدراً كبيراً لانبعاثات الزئبق البشرية المنشأ، وتشير التقديرات إلى أنه مسؤول عن حوالي 10 في المائة من الانبعاثات العالمية. وي</w:t>
      </w:r>
      <w:r w:rsidRPr="00335E4B">
        <w:rPr>
          <w:rFonts w:cs="Traditional Arabic" w:hint="cs"/>
          <w:sz w:val="20"/>
          <w:szCs w:val="30"/>
          <w:rtl/>
        </w:rPr>
        <w:t>ُ</w:t>
      </w:r>
      <w:r w:rsidRPr="00335E4B">
        <w:rPr>
          <w:rFonts w:cs="Traditional Arabic"/>
          <w:sz w:val="20"/>
          <w:szCs w:val="30"/>
          <w:rtl/>
        </w:rPr>
        <w:t>عترف بأن هذا التقدير ينطوي على قدر كبير من عدم الموثوقية، وأنه ستلزم بيانات خاصة بكل موقع لإدارة الزئبق على مستوى المنشآت المحلية.</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 xml:space="preserve">وتعالج هذه الوثيقة التوجيهية خيارات </w:t>
      </w:r>
      <w:r w:rsidRPr="00335E4B">
        <w:rPr>
          <w:rFonts w:cs="Traditional Arabic" w:hint="cs"/>
          <w:sz w:val="20"/>
          <w:szCs w:val="30"/>
          <w:rtl/>
        </w:rPr>
        <w:t>ضبط</w:t>
      </w:r>
      <w:r w:rsidRPr="00335E4B">
        <w:rPr>
          <w:rFonts w:cs="Traditional Arabic"/>
          <w:sz w:val="20"/>
          <w:szCs w:val="30"/>
          <w:rtl/>
        </w:rPr>
        <w:t xml:space="preserve"> الزئبق الناتج من قطاع المعادن غير الحديدية (وبخاصة النحاس، والزنك والذهب الصناعي، على النحو الوارد في الاتفاقية). وتهدف إلى أن توفر للأطراف في اتفاقية ميناماتا التوجيهات المتعلقة بتحديد أفضل التكنولوجيات المتاحة وأفضل الممارسات البيئية لتمكينها من الوفاء بالتزاماتها بموجب الاتفاقية.</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وتقتصر المبادئ التوجيهية على الإشارة إلى الانبعاثات الناجمة عن عمليات الصهر والتحميص المستخدمة في إنتاج المعادن غير الحديدية المشار إليها أعلاه. فالعمليات الأخرى غير الصهر والتحميص، مثل عمليات المعالجة الميتالورجية بالسوائل قد تؤدي أيضاً إلى انبعاثات الزئبق ولكنها غير مدرجة في المرفق دال من الاتفاقية.</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وتنتج عمليات الصهر الثانوية للمعادن كميات لا تذكر من انبعاثات الزئبق لأنها في الواقع عمليات إعادة تدوير للمعادن تستخدم الخردة المعدنية ومواد خبث المعادن كمدخلات. والحالة الوحيدة التي قد تنتج عنها كميات قليلة من إطلاقات الزئبق تحدث خلال إعادة تدوير بطاريات الزنك التي تحتوي على كميات ضئيلة من العنصر. وبالنظر إلى الشروط التي تفرضها المعاهدة على المنتجات (الخاضعة للمراقبة بموجب المادة 4، مع السماح بمحتوى الزئبق في البطاريات الزر</w:t>
      </w:r>
      <w:r w:rsidRPr="00335E4B">
        <w:rPr>
          <w:rFonts w:cs="Traditional Arabic" w:hint="cs"/>
          <w:sz w:val="20"/>
          <w:szCs w:val="30"/>
          <w:rtl/>
        </w:rPr>
        <w:t>ّ</w:t>
      </w:r>
      <w:r w:rsidRPr="00335E4B">
        <w:rPr>
          <w:rFonts w:cs="Traditional Arabic"/>
          <w:sz w:val="20"/>
          <w:szCs w:val="30"/>
          <w:rtl/>
        </w:rPr>
        <w:t>ية المصنوعة من الزنك وأكسيد الفضة المذكورة في المرفق ألف)، يتوقع أن ينخفض محتوى الزئبق في البطاريات بشكل كبير أيضاً.</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وتدعم ذلك البيانات المتاحة فيما يتعلق بانبعاثات الزئبق من المصاهر الثانوية. فعلى سبيل المثال، طلبت الوكالة الأمريكية لحماية البيئة إجراء اختبارات لانبعاثات الزئبق من عدة مصاهر ثانوية للرصاص في الولايات المتحدة في عام 2010، ووجدت أنه في حوالي 70 في المائة من الحالات، كانت الانبعاثات دون الحد الأدنى الممكن كشفه.</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وفي بعض الحالات، قد يسفر الصهر الثانوي للمواد الإلكترونية عن انبعاثات كبيرة من الزئبق. ولكن في مثل هذه الحالات، يستخدم الكربون المنشط عادة للتقليل من الانبعاثات وبالتالي لا تتم معالجة الصهر الثانوي بشكل منفصل في هذه الوثيقة التوجيهية.</w:t>
      </w:r>
    </w:p>
    <w:p w:rsidR="00335E4B" w:rsidRPr="00335E4B" w:rsidRDefault="0032206D" w:rsidP="00E42C76">
      <w:pPr>
        <w:keepNext/>
        <w:spacing w:before="120" w:after="120" w:line="400" w:lineRule="exact"/>
        <w:jc w:val="both"/>
        <w:outlineLvl w:val="0"/>
        <w:rPr>
          <w:rFonts w:cs="Traditional Arabic"/>
          <w:b/>
          <w:bCs/>
          <w:sz w:val="32"/>
          <w:szCs w:val="32"/>
          <w:rtl/>
          <w:lang w:bidi="ar-EG"/>
        </w:rPr>
      </w:pPr>
      <w:bookmarkStart w:id="1227" w:name="_Toc433095387"/>
      <w:bookmarkStart w:id="1228" w:name="_Toc434239921"/>
      <w:bookmarkStart w:id="1229" w:name="_Toc440550516"/>
      <w:bookmarkStart w:id="1230" w:name="_Toc441577775"/>
      <w:bookmarkStart w:id="1231" w:name="_Toc441577954"/>
      <w:bookmarkStart w:id="1232" w:name="_Toc441580788"/>
      <w:bookmarkStart w:id="1233" w:name="_Toc441585919"/>
      <w:bookmarkStart w:id="1234" w:name="_Toc441586255"/>
      <w:bookmarkStart w:id="1235" w:name="_Toc441586705"/>
      <w:bookmarkStart w:id="1236" w:name="_Toc441586884"/>
      <w:bookmarkStart w:id="1237" w:name="_Toc441666733"/>
      <w:bookmarkStart w:id="1238" w:name="_Toc441673794"/>
      <w:r>
        <w:rPr>
          <w:rFonts w:cs="Traditional Arabic" w:hint="cs"/>
          <w:b/>
          <w:bCs/>
          <w:sz w:val="32"/>
          <w:szCs w:val="32"/>
          <w:rtl/>
          <w:lang w:bidi="ar-EG"/>
        </w:rPr>
        <w:t>2-</w:t>
      </w:r>
      <w:r>
        <w:rPr>
          <w:rFonts w:cs="Traditional Arabic" w:hint="cs"/>
          <w:b/>
          <w:bCs/>
          <w:sz w:val="32"/>
          <w:szCs w:val="32"/>
          <w:rtl/>
          <w:lang w:bidi="ar-EG"/>
        </w:rPr>
        <w:tab/>
      </w:r>
      <w:r w:rsidR="00335E4B" w:rsidRPr="00335E4B">
        <w:rPr>
          <w:rFonts w:cs="Traditional Arabic"/>
          <w:b/>
          <w:bCs/>
          <w:sz w:val="32"/>
          <w:szCs w:val="32"/>
          <w:rtl/>
          <w:lang w:bidi="ar-EG"/>
        </w:rPr>
        <w:t>وصف العملية</w:t>
      </w:r>
      <w:bookmarkEnd w:id="1227"/>
      <w:bookmarkEnd w:id="1228"/>
      <w:bookmarkEnd w:id="1229"/>
      <w:bookmarkEnd w:id="1230"/>
      <w:bookmarkEnd w:id="1231"/>
      <w:bookmarkEnd w:id="1232"/>
      <w:bookmarkEnd w:id="1233"/>
      <w:bookmarkEnd w:id="1234"/>
      <w:bookmarkEnd w:id="1235"/>
      <w:bookmarkEnd w:id="1236"/>
      <w:bookmarkEnd w:id="1237"/>
      <w:bookmarkEnd w:id="1238"/>
    </w:p>
    <w:p w:rsidR="00335E4B" w:rsidRPr="00335E4B" w:rsidRDefault="00335E4B" w:rsidP="00335E4B">
      <w:pPr>
        <w:spacing w:after="120" w:line="380" w:lineRule="exact"/>
        <w:jc w:val="both"/>
        <w:rPr>
          <w:rFonts w:cs="Traditional Arabic"/>
          <w:sz w:val="20"/>
          <w:szCs w:val="30"/>
          <w:rtl/>
        </w:rPr>
      </w:pPr>
      <w:r w:rsidRPr="00335E4B">
        <w:rPr>
          <w:rFonts w:cs="Traditional Arabic"/>
          <w:sz w:val="20"/>
          <w:szCs w:val="30"/>
          <w:rtl/>
        </w:rPr>
        <w:t>تعتمد تشكيلة عمليات الصهر والتحميص على ظروف الموقع والخصائص المحددة للخامات أو الخامات المركزة التي يجري تصنيعها، وكثيراً ما ينطوي ذلك على خطوات متعددة</w:t>
      </w:r>
      <w:r w:rsidRPr="00335E4B">
        <w:rPr>
          <w:rFonts w:cs="Traditional Arabic"/>
          <w:sz w:val="20"/>
          <w:szCs w:val="30"/>
          <w:rtl/>
          <w:lang w:val="en-GB" w:bidi="ar-EG"/>
        </w:rPr>
        <w:t>.</w:t>
      </w:r>
      <w:r w:rsidRPr="00335E4B">
        <w:rPr>
          <w:rFonts w:cs="Traditional Arabic"/>
          <w:sz w:val="20"/>
          <w:szCs w:val="30"/>
          <w:rtl/>
        </w:rPr>
        <w:t xml:space="preserve"> ويورد هذا القسم وصفاً عاماً وموجزاً لعمليات الصهر والتحميص ذات الصلة في قطاعات الرصاص والزنك والنحاس والذهب الصناعي</w:t>
      </w:r>
      <w:r w:rsidRPr="00335E4B">
        <w:rPr>
          <w:rFonts w:cs="Traditional Arabic"/>
          <w:sz w:val="20"/>
          <w:szCs w:val="30"/>
          <w:rtl/>
          <w:lang w:val="en-GB" w:bidi="ar-EG"/>
        </w:rPr>
        <w:t>.</w:t>
      </w:r>
    </w:p>
    <w:p w:rsidR="00335E4B" w:rsidRPr="00335E4B" w:rsidRDefault="00335E4B" w:rsidP="004F5C55">
      <w:pPr>
        <w:spacing w:after="120" w:line="380" w:lineRule="exact"/>
        <w:jc w:val="both"/>
        <w:rPr>
          <w:rFonts w:cs="Traditional Arabic"/>
          <w:sz w:val="20"/>
          <w:szCs w:val="30"/>
          <w:rtl/>
        </w:rPr>
      </w:pPr>
      <w:r w:rsidRPr="00335E4B">
        <w:rPr>
          <w:rFonts w:cs="Traditional Arabic"/>
          <w:sz w:val="20"/>
          <w:szCs w:val="30"/>
          <w:rtl/>
        </w:rPr>
        <w:t>والمرحلة الأولى في تصنيع ركازات الرصاص والزنك والنحاس هي إنتاج الخامات المركزة</w:t>
      </w:r>
      <w:r w:rsidRPr="00335E4B">
        <w:rPr>
          <w:rFonts w:cs="Traditional Arabic"/>
          <w:sz w:val="20"/>
          <w:szCs w:val="30"/>
          <w:rtl/>
          <w:lang w:val="en-GB" w:bidi="ar-EG"/>
        </w:rPr>
        <w:t>.</w:t>
      </w:r>
      <w:r w:rsidRPr="00335E4B">
        <w:rPr>
          <w:rFonts w:cs="Traditional Arabic"/>
          <w:sz w:val="20"/>
          <w:szCs w:val="30"/>
          <w:rtl/>
        </w:rPr>
        <w:t xml:space="preserve"> بعدئذ كثيراً ما تعالج المركزات في البداية باستخدام عمليات درجات الحرارة العالية مثل التحميص أو التلبيد أو الصهر</w:t>
      </w:r>
      <w:r w:rsidRPr="00335E4B">
        <w:rPr>
          <w:rFonts w:cs="Traditional Arabic"/>
          <w:sz w:val="20"/>
          <w:szCs w:val="30"/>
          <w:rtl/>
          <w:lang w:val="en-GB" w:bidi="ar-EG"/>
        </w:rPr>
        <w:t>.</w:t>
      </w:r>
      <w:r w:rsidRPr="00335E4B">
        <w:rPr>
          <w:rFonts w:cs="Traditional Arabic"/>
          <w:sz w:val="20"/>
          <w:szCs w:val="30"/>
          <w:rtl/>
        </w:rPr>
        <w:t xml:space="preserve"> ونظرا</w:t>
      </w:r>
      <w:r w:rsidRPr="00335E4B">
        <w:rPr>
          <w:rFonts w:cs="Traditional Arabic" w:hint="cs"/>
          <w:sz w:val="20"/>
          <w:szCs w:val="30"/>
          <w:rtl/>
        </w:rPr>
        <w:t>ً</w:t>
      </w:r>
      <w:r w:rsidRPr="00335E4B">
        <w:rPr>
          <w:rFonts w:cs="Traditional Arabic"/>
          <w:sz w:val="20"/>
          <w:szCs w:val="30"/>
          <w:rtl/>
        </w:rPr>
        <w:t xml:space="preserve"> لارتفاع درجة الحرارة، سيتحول الزئبق إلى بخار ويكون بالتالي موجوداً في غازات العادم</w:t>
      </w:r>
      <w:r w:rsidRPr="00335E4B">
        <w:rPr>
          <w:rFonts w:cs="Traditional Arabic"/>
          <w:sz w:val="20"/>
          <w:szCs w:val="30"/>
          <w:rtl/>
          <w:lang w:val="en-GB" w:bidi="ar-EG"/>
        </w:rPr>
        <w:t>.</w:t>
      </w:r>
    </w:p>
    <w:p w:rsidR="00335E4B" w:rsidRPr="00335E4B" w:rsidRDefault="00335E4B" w:rsidP="004F5C55">
      <w:pPr>
        <w:spacing w:after="120" w:line="380" w:lineRule="exact"/>
        <w:jc w:val="both"/>
        <w:rPr>
          <w:rFonts w:cs="Traditional Arabic"/>
          <w:sz w:val="20"/>
          <w:szCs w:val="30"/>
          <w:rtl/>
        </w:rPr>
      </w:pPr>
      <w:r w:rsidRPr="00335E4B">
        <w:rPr>
          <w:rFonts w:cs="Traditional Arabic"/>
          <w:sz w:val="20"/>
          <w:szCs w:val="30"/>
          <w:rtl/>
        </w:rPr>
        <w:t>ومن غازات العادم سيجري امتصاص الزئبق في المواد الجسيمية أو يترسب كمركبات زئبق قابلة للذوبان (مثل كلوريد الزئبق (ثنائي التكافؤ)</w:t>
      </w:r>
      <w:r w:rsidRPr="00335E4B">
        <w:rPr>
          <w:rFonts w:cs="Traditional Arabic" w:hint="cs"/>
          <w:sz w:val="20"/>
          <w:szCs w:val="30"/>
          <w:rtl/>
        </w:rPr>
        <w:t>-المسمى أيضاً كلوريد الزئبقيك</w:t>
      </w:r>
      <w:r w:rsidRPr="00335E4B">
        <w:rPr>
          <w:rFonts w:cs="Traditional Arabic"/>
          <w:sz w:val="20"/>
          <w:szCs w:val="30"/>
          <w:rtl/>
        </w:rPr>
        <w:t>)، كما يمكن أن يوجد أيضاً كزئبق أولي</w:t>
      </w:r>
      <w:r w:rsidRPr="00335E4B">
        <w:rPr>
          <w:rFonts w:cs="Traditional Arabic"/>
          <w:sz w:val="20"/>
          <w:szCs w:val="30"/>
          <w:rtl/>
          <w:lang w:val="en-GB" w:bidi="ar-EG"/>
        </w:rPr>
        <w:t>.</w:t>
      </w:r>
      <w:r w:rsidRPr="00335E4B">
        <w:rPr>
          <w:rFonts w:cs="Traditional Arabic"/>
          <w:sz w:val="20"/>
          <w:szCs w:val="30"/>
          <w:rtl/>
        </w:rPr>
        <w:t xml:space="preserve"> ويمكن في العادة إزالة الأصناف المؤكسدة من الزئبق باستخدام معدات الشطف</w:t>
      </w:r>
      <w:r w:rsidRPr="00335E4B">
        <w:rPr>
          <w:rFonts w:cs="Traditional Arabic" w:hint="cs"/>
          <w:sz w:val="20"/>
          <w:szCs w:val="30"/>
          <w:rtl/>
        </w:rPr>
        <w:t xml:space="preserve"> </w:t>
      </w:r>
      <w:r w:rsidRPr="0039298D">
        <w:rPr>
          <w:rFonts w:asciiTheme="majorBidi" w:hAnsiTheme="majorBidi" w:cstheme="majorBidi"/>
          <w:sz w:val="20"/>
          <w:szCs w:val="20"/>
          <w:rtl/>
        </w:rPr>
        <w:t>(</w:t>
      </w:r>
      <w:r w:rsidRPr="0039298D">
        <w:rPr>
          <w:rFonts w:asciiTheme="majorBidi" w:hAnsiTheme="majorBidi" w:cstheme="majorBidi"/>
          <w:sz w:val="20"/>
          <w:szCs w:val="20"/>
          <w:lang w:val="de-DE"/>
        </w:rPr>
        <w:t>Scrubbers</w:t>
      </w:r>
      <w:r w:rsidRPr="0039298D">
        <w:rPr>
          <w:rFonts w:asciiTheme="majorBidi" w:hAnsiTheme="majorBidi" w:cstheme="majorBidi"/>
          <w:sz w:val="20"/>
          <w:szCs w:val="20"/>
          <w:rtl/>
        </w:rPr>
        <w:t>)</w:t>
      </w:r>
      <w:r w:rsidRPr="00335E4B">
        <w:rPr>
          <w:rFonts w:cs="Traditional Arabic"/>
          <w:sz w:val="20"/>
          <w:szCs w:val="30"/>
          <w:rtl/>
        </w:rPr>
        <w:t xml:space="preserve"> أو المرسبات الكهروستاتيكية الرطبة</w:t>
      </w:r>
      <w:r w:rsidRPr="00335E4B">
        <w:rPr>
          <w:rFonts w:cs="Traditional Arabic"/>
          <w:sz w:val="20"/>
          <w:szCs w:val="30"/>
          <w:rtl/>
          <w:lang w:val="en-GB" w:bidi="ar-EG"/>
        </w:rPr>
        <w:t>.</w:t>
      </w:r>
      <w:r w:rsidRPr="00335E4B">
        <w:rPr>
          <w:rFonts w:cs="Traditional Arabic"/>
          <w:sz w:val="20"/>
          <w:szCs w:val="30"/>
          <w:rtl/>
        </w:rPr>
        <w:t xml:space="preserve"> في حين يمكن إزالة الزئبق المرتبط بالجسيمات عن طريق </w:t>
      </w:r>
      <w:r w:rsidRPr="00335E4B">
        <w:rPr>
          <w:rFonts w:cs="Traditional Arabic" w:hint="cs"/>
          <w:sz w:val="20"/>
          <w:szCs w:val="30"/>
          <w:rtl/>
          <w:lang w:val="en-GB" w:bidi="ar-SY"/>
        </w:rPr>
        <w:t>حجرات</w:t>
      </w:r>
      <w:r w:rsidRPr="00335E4B">
        <w:rPr>
          <w:rFonts w:cs="Traditional Arabic"/>
          <w:sz w:val="20"/>
          <w:szCs w:val="30"/>
          <w:rtl/>
        </w:rPr>
        <w:t xml:space="preserve"> المرشحات الكيسية </w:t>
      </w:r>
      <w:r w:rsidRPr="0039298D">
        <w:rPr>
          <w:rFonts w:asciiTheme="majorBidi" w:hAnsiTheme="majorBidi" w:cstheme="majorBidi"/>
          <w:sz w:val="20"/>
          <w:szCs w:val="20"/>
          <w:rtl/>
        </w:rPr>
        <w:t>(</w:t>
      </w:r>
      <w:r w:rsidRPr="0039298D">
        <w:rPr>
          <w:rFonts w:asciiTheme="majorBidi" w:hAnsiTheme="majorBidi" w:cstheme="majorBidi"/>
          <w:sz w:val="20"/>
          <w:szCs w:val="20"/>
          <w:lang w:val="en-GB" w:bidi="ar-EG"/>
        </w:rPr>
        <w:t>baghouses</w:t>
      </w:r>
      <w:r w:rsidRPr="0039298D">
        <w:rPr>
          <w:rFonts w:asciiTheme="majorBidi" w:hAnsiTheme="majorBidi" w:cstheme="majorBidi"/>
          <w:sz w:val="20"/>
          <w:szCs w:val="20"/>
          <w:rtl/>
        </w:rPr>
        <w:t>)</w:t>
      </w:r>
      <w:r w:rsidRPr="00335E4B">
        <w:rPr>
          <w:rFonts w:cs="Traditional Arabic"/>
          <w:sz w:val="20"/>
          <w:szCs w:val="30"/>
          <w:rtl/>
          <w:lang w:val="en-GB" w:bidi="ar-EG"/>
        </w:rPr>
        <w:t>.</w:t>
      </w:r>
      <w:r w:rsidRPr="00335E4B">
        <w:rPr>
          <w:rFonts w:cs="Traditional Arabic"/>
          <w:sz w:val="20"/>
          <w:szCs w:val="30"/>
          <w:rtl/>
        </w:rPr>
        <w:t xml:space="preserve"> ولكن الزئبق النقي يمر من خلال جميع هذه المعدات القياسية المستخدمة لتنظيف الغازات</w:t>
      </w:r>
      <w:r w:rsidRPr="00335E4B">
        <w:rPr>
          <w:rFonts w:cs="Traditional Arabic"/>
          <w:sz w:val="20"/>
          <w:szCs w:val="30"/>
          <w:rtl/>
          <w:lang w:val="en-GB" w:bidi="ar-EG"/>
        </w:rPr>
        <w:t>.</w:t>
      </w:r>
      <w:r w:rsidRPr="00335E4B">
        <w:rPr>
          <w:rFonts w:cs="Traditional Arabic"/>
          <w:sz w:val="20"/>
          <w:szCs w:val="30"/>
          <w:rtl/>
        </w:rPr>
        <w:t xml:space="preserve"> ولذلك قد تلزم مرحلة ثانية لإزالة الزئبق من أجل </w:t>
      </w:r>
      <w:r w:rsidRPr="00335E4B">
        <w:rPr>
          <w:rFonts w:cs="Traditional Arabic" w:hint="cs"/>
          <w:sz w:val="20"/>
          <w:szCs w:val="30"/>
          <w:rtl/>
        </w:rPr>
        <w:t>تخفيض</w:t>
      </w:r>
      <w:r w:rsidRPr="00335E4B">
        <w:rPr>
          <w:rFonts w:cs="Traditional Arabic"/>
          <w:sz w:val="20"/>
          <w:szCs w:val="30"/>
          <w:rtl/>
        </w:rPr>
        <w:t xml:space="preserve"> محتوى الزئبق إلى تركيزات مقبولة إذا كان موجوداً في الركاز</w:t>
      </w:r>
      <w:r w:rsidRPr="00335E4B">
        <w:rPr>
          <w:rFonts w:cs="Traditional Arabic"/>
          <w:sz w:val="20"/>
          <w:szCs w:val="30"/>
          <w:rtl/>
          <w:lang w:val="en-GB" w:bidi="ar-EG"/>
        </w:rPr>
        <w:t xml:space="preserve">. </w:t>
      </w:r>
      <w:r w:rsidRPr="00335E4B">
        <w:rPr>
          <w:rFonts w:cs="Traditional Arabic"/>
          <w:sz w:val="20"/>
          <w:szCs w:val="30"/>
          <w:rtl/>
        </w:rPr>
        <w:t>وتقدم الخيارات</w:t>
      </w:r>
      <w:r w:rsidRPr="00335E4B">
        <w:rPr>
          <w:rFonts w:cs="Traditional Arabic" w:hint="cs"/>
          <w:sz w:val="20"/>
          <w:szCs w:val="30"/>
          <w:rtl/>
        </w:rPr>
        <w:t xml:space="preserve"> المتعلقة بذلك</w:t>
      </w:r>
      <w:r w:rsidRPr="00335E4B">
        <w:rPr>
          <w:rFonts w:cs="Traditional Arabic"/>
          <w:sz w:val="20"/>
          <w:szCs w:val="30"/>
          <w:rtl/>
        </w:rPr>
        <w:t xml:space="preserve"> في القسم</w:t>
      </w:r>
      <w:r w:rsidRPr="00335E4B">
        <w:rPr>
          <w:rFonts w:cs="Traditional Arabic"/>
          <w:sz w:val="20"/>
          <w:szCs w:val="30"/>
          <w:rtl/>
          <w:lang w:val="en-GB" w:bidi="ar-EG"/>
        </w:rPr>
        <w:t xml:space="preserve"> 3.</w:t>
      </w:r>
    </w:p>
    <w:p w:rsidR="00335E4B" w:rsidRPr="00335E4B" w:rsidRDefault="00335E4B" w:rsidP="004F5C55">
      <w:pPr>
        <w:spacing w:after="120" w:line="380" w:lineRule="exact"/>
        <w:jc w:val="both"/>
        <w:rPr>
          <w:rFonts w:cs="Traditional Arabic"/>
          <w:sz w:val="20"/>
          <w:szCs w:val="30"/>
          <w:rtl/>
        </w:rPr>
      </w:pPr>
      <w:r w:rsidRPr="00335E4B">
        <w:rPr>
          <w:rFonts w:cs="Traditional Arabic"/>
          <w:sz w:val="20"/>
          <w:szCs w:val="30"/>
          <w:rtl/>
        </w:rPr>
        <w:t>ولا يمكن إزالة الزئبق النقي بفعالية من تيار غازي بدرجة حرارة الوسط المحيط عن طريق الشطف بالماء وحده، وذلك لأن قابلية ذوبانه في الماء منخفضة</w:t>
      </w:r>
      <w:r w:rsidRPr="00335E4B">
        <w:rPr>
          <w:rFonts w:cs="Traditional Arabic"/>
          <w:sz w:val="20"/>
          <w:szCs w:val="30"/>
          <w:rtl/>
          <w:lang w:val="en-GB" w:bidi="ar-EG"/>
        </w:rPr>
        <w:t>.</w:t>
      </w:r>
      <w:r w:rsidRPr="00335E4B">
        <w:rPr>
          <w:rFonts w:cs="Traditional Arabic"/>
          <w:sz w:val="20"/>
          <w:szCs w:val="30"/>
          <w:rtl/>
        </w:rPr>
        <w:t xml:space="preserve"> ويتمثل أحد الاحتمالات في امتصاص الزئبق بواسطة عوامل </w:t>
      </w:r>
      <w:r w:rsidRPr="00335E4B">
        <w:rPr>
          <w:rFonts w:cs="Traditional Arabic" w:hint="cs"/>
          <w:sz w:val="20"/>
          <w:szCs w:val="30"/>
          <w:rtl/>
        </w:rPr>
        <w:t>امتزاز</w:t>
      </w:r>
      <w:r w:rsidRPr="00335E4B">
        <w:rPr>
          <w:rFonts w:cs="Traditional Arabic"/>
          <w:sz w:val="20"/>
          <w:szCs w:val="30"/>
          <w:rtl/>
        </w:rPr>
        <w:t xml:space="preserve"> من قبيل الكربون المنشَّط</w:t>
      </w:r>
      <w:r w:rsidRPr="00335E4B">
        <w:rPr>
          <w:rFonts w:cs="Traditional Arabic"/>
          <w:sz w:val="20"/>
          <w:szCs w:val="30"/>
          <w:rtl/>
          <w:lang w:val="en-GB" w:bidi="ar-EG"/>
        </w:rPr>
        <w:t>.</w:t>
      </w:r>
      <w:r w:rsidRPr="00335E4B">
        <w:rPr>
          <w:rFonts w:cs="Traditional Arabic"/>
          <w:sz w:val="20"/>
          <w:szCs w:val="30"/>
          <w:rtl/>
        </w:rPr>
        <w:t xml:space="preserve"> وأحد الاحتمالات الأخرى هو أكسدة الزئبق بإحدى الطرق المناسبة، لكي يمكن بعدئذ جمعه في محلول أو على شكل مركب صلب</w:t>
      </w:r>
      <w:r w:rsidRPr="00335E4B">
        <w:rPr>
          <w:rFonts w:cs="Traditional Arabic"/>
          <w:sz w:val="20"/>
          <w:szCs w:val="30"/>
          <w:rtl/>
          <w:lang w:val="en-GB" w:bidi="ar-EG"/>
        </w:rPr>
        <w:t>.</w:t>
      </w:r>
    </w:p>
    <w:p w:rsidR="00335E4B" w:rsidRPr="00335E4B" w:rsidRDefault="00335E4B" w:rsidP="004F5C55">
      <w:pPr>
        <w:spacing w:after="120" w:line="380" w:lineRule="exact"/>
        <w:jc w:val="both"/>
        <w:rPr>
          <w:rFonts w:cs="Traditional Arabic"/>
          <w:sz w:val="20"/>
          <w:szCs w:val="30"/>
          <w:rtl/>
        </w:rPr>
      </w:pPr>
      <w:r w:rsidRPr="00335E4B">
        <w:rPr>
          <w:rFonts w:cs="Traditional Arabic"/>
          <w:sz w:val="20"/>
          <w:szCs w:val="30"/>
          <w:rtl/>
        </w:rPr>
        <w:t>وإذا جرى تصنيع المواد الخام الكبريتيدية، سيحتوي الغاز على ثنائي أكسيد الكبريت، الذي يستخدم عادة لإنتاج حمض الكبريتيك</w:t>
      </w:r>
      <w:r w:rsidRPr="00335E4B">
        <w:rPr>
          <w:rFonts w:cs="Traditional Arabic"/>
          <w:sz w:val="20"/>
          <w:szCs w:val="30"/>
          <w:rtl/>
          <w:lang w:val="en-GB" w:bidi="ar-EG"/>
        </w:rPr>
        <w:t>.</w:t>
      </w:r>
      <w:r w:rsidRPr="00335E4B">
        <w:rPr>
          <w:rFonts w:cs="Traditional Arabic"/>
          <w:sz w:val="20"/>
          <w:szCs w:val="30"/>
          <w:rtl/>
        </w:rPr>
        <w:t xml:space="preserve"> ولإنتاج حمض الكبريتيك الملبي للمعايير التجارية، يشترط انخفاض محتوى الحمض من الزئبق وسيتوقف ذلك على الاستخدام النهائي للحمض</w:t>
      </w:r>
      <w:r w:rsidRPr="00335E4B">
        <w:rPr>
          <w:rFonts w:cs="Traditional Arabic"/>
          <w:sz w:val="20"/>
          <w:szCs w:val="30"/>
          <w:rtl/>
          <w:lang w:val="en-GB" w:bidi="ar-EG"/>
        </w:rPr>
        <w:t>.</w:t>
      </w:r>
    </w:p>
    <w:p w:rsidR="00335E4B" w:rsidRPr="00335E4B" w:rsidRDefault="00335E4B" w:rsidP="004F5C55">
      <w:pPr>
        <w:spacing w:after="120" w:line="380" w:lineRule="exact"/>
        <w:jc w:val="both"/>
        <w:rPr>
          <w:rFonts w:cs="Traditional Arabic"/>
          <w:sz w:val="20"/>
          <w:szCs w:val="30"/>
          <w:rtl/>
        </w:rPr>
      </w:pPr>
      <w:r w:rsidRPr="00335E4B">
        <w:rPr>
          <w:rFonts w:cs="Traditional Arabic"/>
          <w:sz w:val="20"/>
          <w:szCs w:val="30"/>
          <w:rtl/>
        </w:rPr>
        <w:t>والتقنيات الرامية إلى الحد من انبعاثات الزئبق الناجمة عن الصهر والتحميص في القطاعات غير الحديدية قد تسفر أيضاً عن إنتاج المواد المحتوية على الزئبق</w:t>
      </w:r>
      <w:r w:rsidRPr="00335E4B">
        <w:rPr>
          <w:rFonts w:cs="Traditional Arabic"/>
          <w:sz w:val="20"/>
          <w:szCs w:val="30"/>
          <w:rtl/>
          <w:lang w:val="en-GB" w:bidi="ar-EG"/>
        </w:rPr>
        <w:t>.</w:t>
      </w:r>
      <w:r w:rsidRPr="00335E4B">
        <w:rPr>
          <w:rFonts w:cs="Traditional Arabic"/>
          <w:sz w:val="20"/>
          <w:szCs w:val="30"/>
          <w:rtl/>
        </w:rPr>
        <w:t xml:space="preserve"> ومن الأمثلة على ذلك الكالوميل </w:t>
      </w:r>
      <w:r w:rsidRPr="00335E4B">
        <w:rPr>
          <w:rFonts w:cs="Times New Roman"/>
          <w:sz w:val="20"/>
          <w:szCs w:val="20"/>
          <w:rtl/>
        </w:rPr>
        <w:t>(</w:t>
      </w:r>
      <w:r w:rsidRPr="00335E4B">
        <w:rPr>
          <w:rFonts w:cs="Times New Roman"/>
          <w:sz w:val="20"/>
          <w:szCs w:val="20"/>
          <w:lang w:val="en-GB" w:bidi="ar-EG"/>
        </w:rPr>
        <w:t>calomel</w:t>
      </w:r>
      <w:r w:rsidRPr="00335E4B">
        <w:rPr>
          <w:rFonts w:cs="Times New Roman"/>
          <w:sz w:val="20"/>
          <w:szCs w:val="20"/>
          <w:rtl/>
        </w:rPr>
        <w:t>)</w:t>
      </w:r>
      <w:r w:rsidRPr="00335E4B">
        <w:rPr>
          <w:rFonts w:cs="Traditional Arabic"/>
          <w:sz w:val="20"/>
          <w:szCs w:val="30"/>
          <w:rtl/>
        </w:rPr>
        <w:t xml:space="preserve"> (كلوريد الزئبق (أحادي التكافؤ))، الناتج عن عملية بوليدين</w:t>
      </w:r>
      <w:r w:rsidR="0039298D">
        <w:rPr>
          <w:rFonts w:cs="Traditional Arabic" w:hint="cs"/>
          <w:sz w:val="20"/>
          <w:szCs w:val="30"/>
          <w:rtl/>
          <w:lang w:val="en-GB" w:bidi="ar-EG"/>
        </w:rPr>
        <w:t>-</w:t>
      </w:r>
      <w:r w:rsidRPr="00335E4B">
        <w:rPr>
          <w:rFonts w:cs="Traditional Arabic"/>
          <w:sz w:val="20"/>
          <w:szCs w:val="30"/>
          <w:rtl/>
        </w:rPr>
        <w:t xml:space="preserve">نورزينك </w:t>
      </w:r>
      <w:r w:rsidRPr="00335E4B">
        <w:rPr>
          <w:rFonts w:cs="Times New Roman"/>
          <w:sz w:val="20"/>
          <w:szCs w:val="20"/>
          <w:rtl/>
        </w:rPr>
        <w:t>(</w:t>
      </w:r>
      <w:r w:rsidRPr="00335E4B">
        <w:rPr>
          <w:rFonts w:cs="Times New Roman"/>
          <w:sz w:val="20"/>
          <w:szCs w:val="20"/>
        </w:rPr>
        <w:t>Boliden-Norzink process</w:t>
      </w:r>
      <w:r w:rsidRPr="00335E4B">
        <w:rPr>
          <w:rFonts w:cs="Times New Roman"/>
          <w:sz w:val="20"/>
          <w:szCs w:val="20"/>
          <w:rtl/>
        </w:rPr>
        <w:t>)</w:t>
      </w:r>
      <w:r w:rsidRPr="00335E4B">
        <w:rPr>
          <w:rFonts w:cs="Traditional Arabic"/>
          <w:sz w:val="20"/>
          <w:szCs w:val="30"/>
          <w:rtl/>
        </w:rPr>
        <w:t xml:space="preserve"> (انظر القسم</w:t>
      </w:r>
      <w:r w:rsidRPr="00335E4B">
        <w:rPr>
          <w:rFonts w:cs="Traditional Arabic"/>
          <w:sz w:val="20"/>
          <w:szCs w:val="30"/>
          <w:rtl/>
          <w:lang w:val="en-GB" w:bidi="ar-EG"/>
        </w:rPr>
        <w:t xml:space="preserve"> </w:t>
      </w:r>
      <w:r w:rsidR="00E42C76">
        <w:rPr>
          <w:rFonts w:cs="Traditional Arabic" w:hint="cs"/>
          <w:sz w:val="20"/>
          <w:szCs w:val="30"/>
          <w:rtl/>
          <w:lang w:val="en-GB" w:bidi="ar-EG"/>
        </w:rPr>
        <w:t>0</w:t>
      </w:r>
      <w:r w:rsidRPr="00335E4B">
        <w:rPr>
          <w:rFonts w:cs="Traditional Arabic"/>
          <w:sz w:val="20"/>
          <w:szCs w:val="30"/>
          <w:rtl/>
        </w:rPr>
        <w:t>)</w:t>
      </w:r>
      <w:r w:rsidRPr="00335E4B">
        <w:rPr>
          <w:rFonts w:cs="Traditional Arabic"/>
          <w:sz w:val="20"/>
          <w:szCs w:val="30"/>
          <w:rtl/>
          <w:lang w:val="en-GB" w:bidi="ar-EG"/>
        </w:rPr>
        <w:t xml:space="preserve">. </w:t>
      </w:r>
      <w:r w:rsidRPr="00335E4B">
        <w:rPr>
          <w:rFonts w:cs="Traditional Arabic"/>
          <w:sz w:val="20"/>
          <w:szCs w:val="30"/>
          <w:rtl/>
        </w:rPr>
        <w:t>ولا تتناول هذه الوثيقة التوجيهية إدارة هذه المواد، ولكنها بموجب المادة</w:t>
      </w:r>
      <w:r w:rsidRPr="00335E4B">
        <w:rPr>
          <w:rFonts w:cs="Traditional Arabic"/>
          <w:sz w:val="20"/>
          <w:szCs w:val="30"/>
          <w:rtl/>
          <w:lang w:val="en-GB" w:bidi="ar-EG"/>
        </w:rPr>
        <w:t xml:space="preserve"> 11 </w:t>
      </w:r>
      <w:r w:rsidRPr="00335E4B">
        <w:rPr>
          <w:rFonts w:cs="Traditional Arabic"/>
          <w:sz w:val="20"/>
          <w:szCs w:val="30"/>
          <w:rtl/>
        </w:rPr>
        <w:t>من الاتفاقية ينبغي أن تخزن أو يتم التخلص منها كنفايات على نحو سليم بيئياً</w:t>
      </w:r>
      <w:r w:rsidRPr="00335E4B">
        <w:rPr>
          <w:rFonts w:cs="Traditional Arabic"/>
          <w:sz w:val="20"/>
          <w:szCs w:val="30"/>
          <w:rtl/>
          <w:lang w:val="en-GB" w:bidi="ar-EG"/>
        </w:rPr>
        <w:t>.</w:t>
      </w:r>
    </w:p>
    <w:p w:rsidR="00335E4B" w:rsidRPr="00335E4B" w:rsidRDefault="00335E4B" w:rsidP="004F5C55">
      <w:pPr>
        <w:spacing w:after="120" w:line="380" w:lineRule="exact"/>
        <w:jc w:val="both"/>
        <w:rPr>
          <w:rFonts w:cs="Traditional Arabic"/>
          <w:b/>
          <w:bCs/>
          <w:sz w:val="30"/>
          <w:szCs w:val="30"/>
          <w:rtl/>
          <w:lang w:bidi="ar-EG"/>
        </w:rPr>
      </w:pPr>
      <w:r w:rsidRPr="00335E4B">
        <w:rPr>
          <w:rFonts w:cs="Traditional Arabic"/>
          <w:sz w:val="20"/>
          <w:szCs w:val="30"/>
          <w:rtl/>
        </w:rPr>
        <w:t>وقد يوجد الزئبق أيضاً في المياه المستعملة الناتجة عن هذه العمليات، وسيتطلب إجراءات مماثلة للتخزين والإدارة</w:t>
      </w:r>
      <w:r w:rsidRPr="00335E4B">
        <w:rPr>
          <w:rFonts w:cs="Traditional Arabic"/>
          <w:sz w:val="20"/>
          <w:szCs w:val="30"/>
          <w:rtl/>
          <w:lang w:val="en-GB" w:bidi="ar-EG"/>
        </w:rPr>
        <w:t>.</w:t>
      </w:r>
      <w:r w:rsidRPr="00335E4B">
        <w:rPr>
          <w:rFonts w:cs="Traditional Arabic"/>
          <w:sz w:val="20"/>
          <w:szCs w:val="30"/>
          <w:rtl/>
        </w:rPr>
        <w:t xml:space="preserve"> وتجري عادة معالجة مياه الصرف الناتجة عن مناطق مختلفة من المنشآت الصناعية</w:t>
      </w:r>
      <w:r w:rsidRPr="00335E4B">
        <w:rPr>
          <w:rFonts w:cs="Traditional Arabic" w:hint="cs"/>
          <w:sz w:val="20"/>
          <w:szCs w:val="30"/>
          <w:rtl/>
        </w:rPr>
        <w:t>، وذلك</w:t>
      </w:r>
      <w:r w:rsidRPr="00335E4B">
        <w:rPr>
          <w:rFonts w:cs="Traditional Arabic"/>
          <w:sz w:val="20"/>
          <w:szCs w:val="30"/>
          <w:rtl/>
        </w:rPr>
        <w:t xml:space="preserve"> لإزالة العناصر الضارة، مثل المعادن الثقيلة، و</w:t>
      </w:r>
      <w:r w:rsidRPr="00335E4B">
        <w:rPr>
          <w:rFonts w:cs="Traditional Arabic" w:hint="cs"/>
          <w:sz w:val="20"/>
          <w:szCs w:val="30"/>
          <w:rtl/>
        </w:rPr>
        <w:t>ب</w:t>
      </w:r>
      <w:r w:rsidRPr="00335E4B">
        <w:rPr>
          <w:rFonts w:cs="Traditional Arabic"/>
          <w:sz w:val="20"/>
          <w:szCs w:val="30"/>
          <w:rtl/>
        </w:rPr>
        <w:t>قايا الزيوت أو الكميات النزرة من الكواشف الكيميائية</w:t>
      </w:r>
      <w:r w:rsidRPr="00335E4B">
        <w:rPr>
          <w:rFonts w:cs="Traditional Arabic"/>
          <w:sz w:val="20"/>
          <w:szCs w:val="30"/>
          <w:rtl/>
          <w:lang w:val="en-GB" w:bidi="ar-EG"/>
        </w:rPr>
        <w:t>.</w:t>
      </w:r>
      <w:r w:rsidRPr="00335E4B">
        <w:rPr>
          <w:rFonts w:cs="Traditional Arabic"/>
          <w:sz w:val="20"/>
          <w:szCs w:val="30"/>
          <w:rtl/>
        </w:rPr>
        <w:t xml:space="preserve"> وكثيراً ما يترسب الزئبق كمركب كبريتيد الزئبق الذي لا يذوب بسهولة في الماء ويزال بالسكب والترشيح</w:t>
      </w:r>
      <w:r w:rsidRPr="00335E4B">
        <w:rPr>
          <w:rFonts w:cs="Traditional Arabic"/>
          <w:sz w:val="20"/>
          <w:szCs w:val="30"/>
          <w:rtl/>
          <w:lang w:val="en-GB" w:bidi="ar-EG"/>
        </w:rPr>
        <w:t>.</w:t>
      </w:r>
      <w:r w:rsidRPr="00335E4B">
        <w:rPr>
          <w:rFonts w:cs="Traditional Arabic"/>
          <w:sz w:val="20"/>
          <w:szCs w:val="30"/>
          <w:rtl/>
        </w:rPr>
        <w:t xml:space="preserve"> ويجري تخزين الحمأة الأخيرة الناتجة عن معالجة مياه الصرف على النحو المناسب كنفايات</w:t>
      </w:r>
      <w:r w:rsidRPr="00335E4B">
        <w:rPr>
          <w:rFonts w:cs="Traditional Arabic"/>
          <w:sz w:val="20"/>
          <w:szCs w:val="30"/>
          <w:rtl/>
          <w:lang w:val="en-GB" w:bidi="ar-EG"/>
        </w:rPr>
        <w:t>.</w:t>
      </w:r>
      <w:r w:rsidRPr="00335E4B">
        <w:rPr>
          <w:rFonts w:cs="Traditional Arabic"/>
          <w:sz w:val="20"/>
          <w:szCs w:val="30"/>
          <w:rtl/>
        </w:rPr>
        <w:t xml:space="preserve"> أما الحمأة المحتوية على الزئبق فينبغي إدارتها بصورة سليمة بيئياً على نحو متوافق مع المواد الأخرى ذات الصلة من الاتفاقية</w:t>
      </w:r>
      <w:r w:rsidRPr="00335E4B">
        <w:rPr>
          <w:rFonts w:cs="Traditional Arabic"/>
          <w:sz w:val="20"/>
          <w:szCs w:val="30"/>
          <w:rtl/>
          <w:lang w:val="en-GB" w:bidi="ar-EG"/>
        </w:rPr>
        <w:t>.</w:t>
      </w:r>
      <w:bookmarkStart w:id="1239" w:name="_Toc433095388"/>
      <w:bookmarkStart w:id="1240" w:name="_Toc434239922"/>
      <w:bookmarkStart w:id="1241" w:name="_Toc440550517"/>
    </w:p>
    <w:p w:rsidR="00335E4B" w:rsidRPr="00335E4B" w:rsidRDefault="0032206D" w:rsidP="004F5C55">
      <w:pPr>
        <w:keepNext/>
        <w:spacing w:before="120" w:after="120" w:line="380" w:lineRule="exact"/>
        <w:jc w:val="both"/>
        <w:outlineLvl w:val="0"/>
        <w:rPr>
          <w:rFonts w:cs="Traditional Arabic"/>
          <w:b/>
          <w:bCs/>
          <w:sz w:val="32"/>
          <w:szCs w:val="32"/>
          <w:rtl/>
          <w:lang w:bidi="ar-EG"/>
        </w:rPr>
      </w:pPr>
      <w:bookmarkStart w:id="1242" w:name="_Toc441577776"/>
      <w:bookmarkStart w:id="1243" w:name="_Toc441577955"/>
      <w:bookmarkStart w:id="1244" w:name="_Toc441580789"/>
      <w:bookmarkStart w:id="1245" w:name="_Toc441585920"/>
      <w:bookmarkStart w:id="1246" w:name="_Toc441586256"/>
      <w:bookmarkStart w:id="1247" w:name="_Toc441586706"/>
      <w:bookmarkStart w:id="1248" w:name="_Toc441586885"/>
      <w:bookmarkStart w:id="1249" w:name="_Toc441666734"/>
      <w:bookmarkStart w:id="1250" w:name="_Toc441673795"/>
      <w:r>
        <w:rPr>
          <w:rFonts w:cs="Traditional Arabic" w:hint="cs"/>
          <w:b/>
          <w:bCs/>
          <w:sz w:val="32"/>
          <w:szCs w:val="32"/>
          <w:rtl/>
          <w:lang w:bidi="ar-EG"/>
        </w:rPr>
        <w:t>2-1</w:t>
      </w:r>
      <w:r>
        <w:rPr>
          <w:rFonts w:cs="Traditional Arabic" w:hint="cs"/>
          <w:b/>
          <w:bCs/>
          <w:sz w:val="32"/>
          <w:szCs w:val="32"/>
          <w:rtl/>
          <w:lang w:bidi="ar-EG"/>
        </w:rPr>
        <w:tab/>
      </w:r>
      <w:r w:rsidR="00335E4B" w:rsidRPr="00335E4B">
        <w:rPr>
          <w:rFonts w:cs="Traditional Arabic"/>
          <w:b/>
          <w:bCs/>
          <w:sz w:val="32"/>
          <w:szCs w:val="32"/>
          <w:rtl/>
          <w:lang w:bidi="ar-EG"/>
        </w:rPr>
        <w:t>خطوات التصنيع في إنتاج الرصاص</w:t>
      </w:r>
      <w:bookmarkEnd w:id="1239"/>
      <w:bookmarkEnd w:id="1240"/>
      <w:bookmarkEnd w:id="1241"/>
      <w:bookmarkEnd w:id="1242"/>
      <w:bookmarkEnd w:id="1243"/>
      <w:bookmarkEnd w:id="1244"/>
      <w:bookmarkEnd w:id="1245"/>
      <w:bookmarkEnd w:id="1246"/>
      <w:bookmarkEnd w:id="1247"/>
      <w:bookmarkEnd w:id="1248"/>
      <w:bookmarkEnd w:id="1249"/>
      <w:bookmarkEnd w:id="1250"/>
    </w:p>
    <w:p w:rsidR="00335E4B" w:rsidRPr="00335E4B" w:rsidRDefault="00335E4B" w:rsidP="004F5C55">
      <w:pPr>
        <w:spacing w:after="120" w:line="380" w:lineRule="exact"/>
        <w:jc w:val="both"/>
        <w:rPr>
          <w:rFonts w:cs="Traditional Arabic"/>
          <w:sz w:val="20"/>
          <w:szCs w:val="30"/>
          <w:rtl/>
        </w:rPr>
      </w:pPr>
      <w:r w:rsidRPr="00335E4B">
        <w:rPr>
          <w:rFonts w:cs="Traditional Arabic"/>
          <w:sz w:val="20"/>
          <w:szCs w:val="30"/>
          <w:rtl/>
        </w:rPr>
        <w:t>تتألف العملية الأساسية لإنتاج الرصاص من ثلاث مراحل رئيسية</w:t>
      </w:r>
      <w:r w:rsidRPr="00335E4B">
        <w:rPr>
          <w:rFonts w:cs="Traditional Arabic"/>
          <w:sz w:val="20"/>
          <w:szCs w:val="30"/>
          <w:rtl/>
          <w:lang w:val="en-GB" w:bidi="ar-EG"/>
        </w:rPr>
        <w:t xml:space="preserve">: </w:t>
      </w:r>
      <w:r w:rsidRPr="00335E4B">
        <w:rPr>
          <w:rFonts w:cs="Traditional Arabic"/>
          <w:sz w:val="20"/>
          <w:szCs w:val="30"/>
          <w:rtl/>
        </w:rPr>
        <w:t xml:space="preserve">المعالجة الأولية للخام المركَّز؛ </w:t>
      </w:r>
      <w:r w:rsidRPr="00335E4B">
        <w:rPr>
          <w:rFonts w:cs="Traditional Arabic" w:hint="cs"/>
          <w:sz w:val="20"/>
          <w:szCs w:val="30"/>
          <w:rtl/>
        </w:rPr>
        <w:t>و</w:t>
      </w:r>
      <w:r w:rsidRPr="00335E4B">
        <w:rPr>
          <w:rFonts w:cs="Traditional Arabic"/>
          <w:sz w:val="20"/>
          <w:szCs w:val="30"/>
          <w:rtl/>
        </w:rPr>
        <w:t>التلبيد أو الصهر؛ والتنقية</w:t>
      </w:r>
      <w:r w:rsidRPr="00335E4B">
        <w:rPr>
          <w:rFonts w:cs="Traditional Arabic"/>
          <w:sz w:val="20"/>
          <w:szCs w:val="30"/>
          <w:rtl/>
          <w:lang w:val="en-GB" w:bidi="ar-EG"/>
        </w:rPr>
        <w:t>.</w:t>
      </w:r>
      <w:r w:rsidRPr="00335E4B">
        <w:rPr>
          <w:rFonts w:cs="Traditional Arabic"/>
          <w:sz w:val="20"/>
          <w:szCs w:val="30"/>
          <w:rtl/>
        </w:rPr>
        <w:t xml:space="preserve"> و</w:t>
      </w:r>
      <w:r w:rsidRPr="00335E4B">
        <w:rPr>
          <w:rFonts w:cs="Traditional Arabic" w:hint="cs"/>
          <w:sz w:val="20"/>
          <w:szCs w:val="30"/>
          <w:rtl/>
        </w:rPr>
        <w:t>ي</w:t>
      </w:r>
      <w:r w:rsidRPr="00335E4B">
        <w:rPr>
          <w:rFonts w:cs="Traditional Arabic"/>
          <w:sz w:val="20"/>
          <w:szCs w:val="30"/>
          <w:rtl/>
        </w:rPr>
        <w:t>ظهر الشكل</w:t>
      </w:r>
      <w:r w:rsidRPr="00335E4B">
        <w:rPr>
          <w:rFonts w:cs="Traditional Arabic"/>
          <w:sz w:val="20"/>
          <w:szCs w:val="30"/>
          <w:rtl/>
          <w:lang w:val="en-GB" w:bidi="ar-EG"/>
        </w:rPr>
        <w:t xml:space="preserve"> </w:t>
      </w:r>
      <w:r w:rsidRPr="00335E4B">
        <w:rPr>
          <w:rFonts w:cs="Traditional Arabic" w:hint="cs"/>
          <w:sz w:val="20"/>
          <w:szCs w:val="30"/>
          <w:rtl/>
          <w:lang w:val="en-GB" w:bidi="ar-EG"/>
        </w:rPr>
        <w:t>1</w:t>
      </w:r>
      <w:r w:rsidRPr="00335E4B">
        <w:rPr>
          <w:rFonts w:cs="Traditional Arabic"/>
          <w:sz w:val="20"/>
          <w:szCs w:val="30"/>
          <w:rtl/>
          <w:lang w:val="en-GB" w:bidi="ar-EG"/>
        </w:rPr>
        <w:t xml:space="preserve"> </w:t>
      </w:r>
      <w:r w:rsidRPr="00335E4B">
        <w:rPr>
          <w:rFonts w:cs="Traditional Arabic"/>
          <w:sz w:val="20"/>
          <w:szCs w:val="30"/>
          <w:rtl/>
        </w:rPr>
        <w:t>تمثيلاً تخطيطياً للعملية</w:t>
      </w:r>
      <w:r w:rsidRPr="00335E4B">
        <w:rPr>
          <w:rFonts w:cs="Traditional Arabic"/>
          <w:sz w:val="20"/>
          <w:szCs w:val="30"/>
          <w:rtl/>
          <w:lang w:val="en-GB" w:bidi="ar-EG"/>
        </w:rPr>
        <w:t xml:space="preserve">. </w:t>
      </w:r>
      <w:r w:rsidRPr="00335E4B">
        <w:rPr>
          <w:rFonts w:cs="Traditional Arabic"/>
          <w:sz w:val="20"/>
          <w:szCs w:val="30"/>
          <w:rtl/>
        </w:rPr>
        <w:t xml:space="preserve">ويتحرر الزئبق بصورة أساسية أثناء عمليتي التلبيد والصهر، وينبغي احتجازه </w:t>
      </w:r>
      <w:r w:rsidRPr="00335E4B">
        <w:rPr>
          <w:rFonts w:cs="Traditional Arabic" w:hint="cs"/>
          <w:sz w:val="20"/>
          <w:szCs w:val="30"/>
          <w:rtl/>
        </w:rPr>
        <w:t xml:space="preserve">(أو التقاطه) </w:t>
      </w:r>
      <w:r w:rsidRPr="00335E4B">
        <w:rPr>
          <w:rFonts w:cs="Traditional Arabic"/>
          <w:sz w:val="20"/>
          <w:szCs w:val="30"/>
          <w:rtl/>
        </w:rPr>
        <w:t>لتقليل الانبعاثات الصادرة عن المدخنة النهائية إلى أدنى حد ممكن</w:t>
      </w:r>
      <w:r w:rsidRPr="00335E4B">
        <w:rPr>
          <w:rFonts w:cs="Traditional Arabic"/>
          <w:sz w:val="20"/>
          <w:szCs w:val="30"/>
          <w:rtl/>
          <w:lang w:val="en-GB" w:bidi="ar-EG"/>
        </w:rPr>
        <w:t>.</w:t>
      </w:r>
    </w:p>
    <w:p w:rsidR="00335E4B" w:rsidRPr="00335E4B" w:rsidRDefault="0032206D" w:rsidP="004F5C55">
      <w:pPr>
        <w:keepNext/>
        <w:spacing w:before="120" w:after="120" w:line="380" w:lineRule="exact"/>
        <w:ind w:left="990" w:hanging="990"/>
        <w:jc w:val="both"/>
        <w:outlineLvl w:val="0"/>
        <w:rPr>
          <w:rFonts w:cs="Traditional Arabic"/>
          <w:b/>
          <w:bCs/>
          <w:sz w:val="32"/>
          <w:szCs w:val="32"/>
          <w:rtl/>
          <w:lang w:bidi="ar-EG"/>
        </w:rPr>
      </w:pPr>
      <w:bookmarkStart w:id="1251" w:name="_Toc433095389"/>
      <w:bookmarkStart w:id="1252" w:name="_Toc434239923"/>
      <w:bookmarkStart w:id="1253" w:name="_Toc440550518"/>
      <w:bookmarkStart w:id="1254" w:name="_Toc441577777"/>
      <w:bookmarkStart w:id="1255" w:name="_Toc441577956"/>
      <w:bookmarkStart w:id="1256" w:name="_Toc441580790"/>
      <w:bookmarkStart w:id="1257" w:name="_Toc441585921"/>
      <w:bookmarkStart w:id="1258" w:name="_Toc441586257"/>
      <w:bookmarkStart w:id="1259" w:name="_Toc441586707"/>
      <w:bookmarkStart w:id="1260" w:name="_Toc441586886"/>
      <w:bookmarkStart w:id="1261" w:name="_Toc441666735"/>
      <w:bookmarkStart w:id="1262" w:name="_Toc441673796"/>
      <w:r>
        <w:rPr>
          <w:rFonts w:cs="Traditional Arabic" w:hint="cs"/>
          <w:b/>
          <w:bCs/>
          <w:sz w:val="32"/>
          <w:szCs w:val="32"/>
          <w:rtl/>
          <w:lang w:bidi="ar-EG"/>
        </w:rPr>
        <w:t>2-1-1</w:t>
      </w:r>
      <w:r>
        <w:rPr>
          <w:rFonts w:cs="Traditional Arabic" w:hint="cs"/>
          <w:b/>
          <w:bCs/>
          <w:sz w:val="32"/>
          <w:szCs w:val="32"/>
          <w:rtl/>
          <w:lang w:bidi="ar-EG"/>
        </w:rPr>
        <w:tab/>
      </w:r>
      <w:r w:rsidR="00335E4B" w:rsidRPr="00335E4B">
        <w:rPr>
          <w:rFonts w:cs="Traditional Arabic"/>
          <w:b/>
          <w:bCs/>
          <w:sz w:val="32"/>
          <w:szCs w:val="32"/>
          <w:rtl/>
          <w:lang w:bidi="ar-EG"/>
        </w:rPr>
        <w:t>المعالجة الأولية للخام المركَّز</w:t>
      </w:r>
      <w:bookmarkEnd w:id="1251"/>
      <w:bookmarkEnd w:id="1252"/>
      <w:bookmarkEnd w:id="1253"/>
      <w:bookmarkEnd w:id="1254"/>
      <w:bookmarkEnd w:id="1255"/>
      <w:bookmarkEnd w:id="1256"/>
      <w:bookmarkEnd w:id="1257"/>
      <w:bookmarkEnd w:id="1258"/>
      <w:bookmarkEnd w:id="1259"/>
      <w:bookmarkEnd w:id="1260"/>
      <w:bookmarkEnd w:id="1261"/>
      <w:bookmarkEnd w:id="1262"/>
    </w:p>
    <w:p w:rsidR="00335E4B" w:rsidRPr="00335E4B" w:rsidRDefault="00335E4B" w:rsidP="004F5C55">
      <w:pPr>
        <w:tabs>
          <w:tab w:val="center" w:pos="5468"/>
        </w:tabs>
        <w:spacing w:after="120" w:line="380" w:lineRule="exact"/>
        <w:jc w:val="both"/>
        <w:rPr>
          <w:rFonts w:cs="Traditional Arabic"/>
          <w:sz w:val="20"/>
          <w:szCs w:val="30"/>
          <w:rtl/>
        </w:rPr>
      </w:pPr>
      <w:r w:rsidRPr="00335E4B">
        <w:rPr>
          <w:rFonts w:cs="Traditional Arabic"/>
          <w:sz w:val="20"/>
          <w:szCs w:val="30"/>
          <w:rtl/>
        </w:rPr>
        <w:t>في مرحلة المعالجة الأولية للخام المركَّز، يجري خلط مركبات متنوعة لتركيز الرصاص من أجل تشكيل خليط متجانس يستخدم كمادة أولية لعملية الصهر</w:t>
      </w:r>
      <w:r w:rsidRPr="00335E4B">
        <w:rPr>
          <w:rFonts w:cs="Traditional Arabic"/>
          <w:sz w:val="20"/>
          <w:szCs w:val="30"/>
          <w:rtl/>
          <w:lang w:val="en-GB" w:bidi="ar-EG"/>
        </w:rPr>
        <w:t>.</w:t>
      </w:r>
      <w:r w:rsidRPr="00335E4B">
        <w:rPr>
          <w:rFonts w:cs="Traditional Arabic"/>
          <w:sz w:val="20"/>
          <w:szCs w:val="30"/>
          <w:rtl/>
        </w:rPr>
        <w:t xml:space="preserve"> وتنتج عملية خلط المادة المركَّزة محتوى معدنياً أكثر تجانساً في مواد التلقيم الأولية وتقلل من طفرات الشوائب التي قد تسبب اضطرابات في عمليات الإنتاج أو اختلالات بيئية أو مشكلات في جودة المنتج</w:t>
      </w:r>
      <w:r w:rsidRPr="00335E4B">
        <w:rPr>
          <w:rFonts w:cs="Traditional Arabic"/>
          <w:sz w:val="20"/>
          <w:szCs w:val="30"/>
          <w:rtl/>
          <w:lang w:val="en-GB" w:bidi="ar-EG"/>
        </w:rPr>
        <w:t>.</w:t>
      </w:r>
      <w:r w:rsidRPr="00335E4B">
        <w:rPr>
          <w:rFonts w:cs="Traditional Arabic"/>
          <w:sz w:val="20"/>
          <w:szCs w:val="30"/>
          <w:rtl/>
        </w:rPr>
        <w:t xml:space="preserve"> وخلال الخلط، يمكن إضافة مواد خام أخرى، مثل العوامل الصَّهورة أو المواد الجسيمية المستردة من المراحل النهائية بواسطة أجهزة </w:t>
      </w:r>
      <w:r w:rsidRPr="00335E4B">
        <w:rPr>
          <w:rFonts w:cs="Traditional Arabic" w:hint="cs"/>
          <w:sz w:val="20"/>
          <w:szCs w:val="30"/>
          <w:rtl/>
        </w:rPr>
        <w:t>ضبط</w:t>
      </w:r>
      <w:r w:rsidRPr="00335E4B">
        <w:rPr>
          <w:rFonts w:cs="Traditional Arabic"/>
          <w:sz w:val="20"/>
          <w:szCs w:val="30"/>
          <w:rtl/>
        </w:rPr>
        <w:t xml:space="preserve"> التلوث</w:t>
      </w:r>
      <w:r w:rsidRPr="00335E4B">
        <w:rPr>
          <w:rFonts w:cs="Traditional Arabic"/>
          <w:sz w:val="20"/>
          <w:szCs w:val="30"/>
          <w:rtl/>
          <w:lang w:val="en-GB" w:bidi="ar-EG"/>
        </w:rPr>
        <w:t>.</w:t>
      </w:r>
      <w:r w:rsidRPr="00335E4B">
        <w:rPr>
          <w:rFonts w:cs="Traditional Arabic"/>
          <w:sz w:val="20"/>
          <w:szCs w:val="30"/>
          <w:rtl/>
        </w:rPr>
        <w:t xml:space="preserve"> واعتماداً على متطلبات العملية، يمكن تجفيف مُركَّزات الرصاص المخلوطة لتخفيض محتواها من الرطوبة</w:t>
      </w:r>
      <w:r w:rsidRPr="00335E4B">
        <w:rPr>
          <w:rFonts w:cs="Traditional Arabic"/>
          <w:sz w:val="20"/>
          <w:szCs w:val="30"/>
          <w:rtl/>
          <w:lang w:val="en-GB" w:bidi="ar-EG"/>
        </w:rPr>
        <w:t>.</w:t>
      </w:r>
      <w:r w:rsidRPr="00335E4B">
        <w:rPr>
          <w:rFonts w:cs="Traditional Arabic"/>
          <w:sz w:val="20"/>
          <w:szCs w:val="30"/>
          <w:rtl/>
        </w:rPr>
        <w:t xml:space="preserve"> ويمكن أن تُطل</w:t>
      </w:r>
      <w:r w:rsidRPr="00335E4B">
        <w:rPr>
          <w:rFonts w:cs="Traditional Arabic" w:hint="cs"/>
          <w:sz w:val="20"/>
          <w:szCs w:val="30"/>
          <w:rtl/>
        </w:rPr>
        <w:t>َ</w:t>
      </w:r>
      <w:r w:rsidRPr="00335E4B">
        <w:rPr>
          <w:rFonts w:cs="Traditional Arabic"/>
          <w:sz w:val="20"/>
          <w:szCs w:val="30"/>
          <w:rtl/>
        </w:rPr>
        <w:t>ق بعض انبعاثات الزئبق أثناء التجفيف، إما كزئبق في الحالة الغازية أو كمواد جسيمية</w:t>
      </w:r>
      <w:r w:rsidRPr="00335E4B">
        <w:rPr>
          <w:rFonts w:cs="Traditional Arabic"/>
          <w:sz w:val="20"/>
          <w:szCs w:val="30"/>
          <w:rtl/>
          <w:lang w:val="en-GB" w:bidi="ar-EG"/>
        </w:rPr>
        <w:t>.</w:t>
      </w:r>
    </w:p>
    <w:p w:rsidR="00335E4B" w:rsidRPr="00335E4B" w:rsidRDefault="0032206D" w:rsidP="00335E4B">
      <w:pPr>
        <w:keepNext/>
        <w:tabs>
          <w:tab w:val="left" w:pos="991"/>
        </w:tabs>
        <w:spacing w:before="120" w:after="120" w:line="400" w:lineRule="exact"/>
        <w:jc w:val="both"/>
        <w:outlineLvl w:val="0"/>
        <w:rPr>
          <w:rFonts w:cs="Traditional Arabic"/>
          <w:b/>
          <w:bCs/>
          <w:sz w:val="30"/>
          <w:szCs w:val="30"/>
          <w:rtl/>
          <w:lang w:bidi="ar-EG"/>
        </w:rPr>
      </w:pPr>
      <w:bookmarkStart w:id="1263" w:name="_Toc433095390"/>
      <w:bookmarkStart w:id="1264" w:name="_Toc434239924"/>
      <w:bookmarkStart w:id="1265" w:name="_Toc440550519"/>
      <w:bookmarkStart w:id="1266" w:name="_Toc441577778"/>
      <w:bookmarkStart w:id="1267" w:name="_Toc441577957"/>
      <w:bookmarkStart w:id="1268" w:name="_Toc441580791"/>
      <w:bookmarkStart w:id="1269" w:name="_Toc441585922"/>
      <w:bookmarkStart w:id="1270" w:name="_Toc441586258"/>
      <w:bookmarkStart w:id="1271" w:name="_Toc441586708"/>
      <w:bookmarkStart w:id="1272" w:name="_Toc441586887"/>
      <w:bookmarkStart w:id="1273" w:name="_Toc441666736"/>
      <w:bookmarkStart w:id="1274" w:name="_Toc441673797"/>
      <w:r>
        <w:rPr>
          <w:rFonts w:cs="Traditional Arabic" w:hint="cs"/>
          <w:b/>
          <w:bCs/>
          <w:sz w:val="30"/>
          <w:szCs w:val="30"/>
          <w:rtl/>
          <w:lang w:bidi="ar-EG"/>
        </w:rPr>
        <w:t>2-1-2</w:t>
      </w:r>
      <w:r>
        <w:rPr>
          <w:rFonts w:cs="Traditional Arabic" w:hint="cs"/>
          <w:b/>
          <w:bCs/>
          <w:sz w:val="30"/>
          <w:szCs w:val="30"/>
          <w:rtl/>
          <w:lang w:bidi="ar-EG"/>
        </w:rPr>
        <w:tab/>
      </w:r>
      <w:r w:rsidR="00335E4B" w:rsidRPr="00335E4B">
        <w:rPr>
          <w:rFonts w:cs="Traditional Arabic"/>
          <w:b/>
          <w:bCs/>
          <w:sz w:val="30"/>
          <w:szCs w:val="30"/>
          <w:rtl/>
          <w:lang w:bidi="ar-EG"/>
        </w:rPr>
        <w:t>الصهر</w:t>
      </w:r>
      <w:bookmarkEnd w:id="1263"/>
      <w:bookmarkEnd w:id="1264"/>
      <w:bookmarkEnd w:id="1265"/>
      <w:bookmarkEnd w:id="1266"/>
      <w:bookmarkEnd w:id="1267"/>
      <w:bookmarkEnd w:id="1268"/>
      <w:bookmarkEnd w:id="1269"/>
      <w:bookmarkEnd w:id="1270"/>
      <w:bookmarkEnd w:id="1271"/>
      <w:bookmarkEnd w:id="1272"/>
      <w:bookmarkEnd w:id="1273"/>
      <w:bookmarkEnd w:id="1274"/>
    </w:p>
    <w:p w:rsidR="00335E4B" w:rsidRPr="00335E4B" w:rsidRDefault="00335E4B" w:rsidP="00335E4B">
      <w:pPr>
        <w:tabs>
          <w:tab w:val="center" w:pos="5468"/>
        </w:tabs>
        <w:spacing w:after="120" w:line="400" w:lineRule="exact"/>
        <w:jc w:val="both"/>
        <w:rPr>
          <w:rFonts w:cs="Traditional Arabic"/>
          <w:sz w:val="20"/>
          <w:szCs w:val="30"/>
          <w:rtl/>
        </w:rPr>
      </w:pPr>
      <w:r w:rsidRPr="00335E4B">
        <w:rPr>
          <w:rFonts w:cs="Traditional Arabic"/>
          <w:sz w:val="20"/>
          <w:szCs w:val="30"/>
          <w:rtl/>
        </w:rPr>
        <w:t>توجد عمليتان رئيسيتان لصهر مركَّزات الرصاص</w:t>
      </w:r>
      <w:r w:rsidRPr="00335E4B">
        <w:rPr>
          <w:rFonts w:cs="Traditional Arabic"/>
          <w:sz w:val="20"/>
          <w:szCs w:val="30"/>
          <w:rtl/>
          <w:lang w:val="en-GB" w:bidi="ar-EG"/>
        </w:rPr>
        <w:t>.</w:t>
      </w:r>
      <w:r w:rsidRPr="00335E4B">
        <w:rPr>
          <w:rFonts w:cs="Traditional Arabic"/>
          <w:sz w:val="20"/>
          <w:szCs w:val="30"/>
          <w:rtl/>
        </w:rPr>
        <w:t xml:space="preserve"> وتتألف العملية التقليدية من تلبيد مركزات الرصاص المخلوطة أولاً لإزالة الكبريت والحصول على أكسيد الرصاص</w:t>
      </w:r>
      <w:r w:rsidRPr="00335E4B">
        <w:rPr>
          <w:rFonts w:cs="Traditional Arabic"/>
          <w:sz w:val="20"/>
          <w:szCs w:val="30"/>
          <w:rtl/>
          <w:lang w:val="en-GB" w:bidi="ar-EG"/>
        </w:rPr>
        <w:t>.</w:t>
      </w:r>
      <w:r w:rsidRPr="00335E4B">
        <w:rPr>
          <w:rFonts w:cs="Traditional Arabic"/>
          <w:sz w:val="20"/>
          <w:szCs w:val="30"/>
          <w:rtl/>
        </w:rPr>
        <w:t xml:space="preserve"> ويجري بعد ذلك تلقيم أكسيد الرصاص الناتج بالتلبيد إلى فرن الصهر العالي، حيث يجري اختزاله باستخدام فحم الكوك إلى سبائك من الرصاص</w:t>
      </w:r>
      <w:r w:rsidRPr="00335E4B">
        <w:rPr>
          <w:rFonts w:cs="Traditional Arabic"/>
          <w:sz w:val="20"/>
          <w:szCs w:val="30"/>
          <w:rtl/>
          <w:lang w:val="en-GB" w:bidi="ar-EG"/>
        </w:rPr>
        <w:t>.</w:t>
      </w:r>
    </w:p>
    <w:p w:rsidR="00335E4B" w:rsidRPr="00335E4B" w:rsidRDefault="00335E4B" w:rsidP="00335E4B">
      <w:pPr>
        <w:tabs>
          <w:tab w:val="center" w:pos="5468"/>
        </w:tabs>
        <w:spacing w:after="120" w:line="400" w:lineRule="exact"/>
        <w:jc w:val="both"/>
        <w:rPr>
          <w:rFonts w:cs="Traditional Arabic"/>
          <w:sz w:val="20"/>
          <w:szCs w:val="30"/>
          <w:rtl/>
        </w:rPr>
      </w:pPr>
      <w:r w:rsidRPr="00335E4B">
        <w:rPr>
          <w:rFonts w:cs="Traditional Arabic"/>
          <w:sz w:val="20"/>
          <w:szCs w:val="30"/>
          <w:rtl/>
        </w:rPr>
        <w:t>و</w:t>
      </w:r>
      <w:r w:rsidRPr="00335E4B">
        <w:rPr>
          <w:rFonts w:cs="Traditional Arabic" w:hint="cs"/>
          <w:sz w:val="20"/>
          <w:szCs w:val="30"/>
          <w:rtl/>
        </w:rPr>
        <w:t xml:space="preserve">العملية </w:t>
      </w:r>
      <w:r w:rsidRPr="00335E4B">
        <w:rPr>
          <w:rFonts w:cs="Traditional Arabic"/>
          <w:sz w:val="20"/>
          <w:szCs w:val="30"/>
          <w:rtl/>
        </w:rPr>
        <w:t xml:space="preserve">الثانية، </w:t>
      </w:r>
      <w:r w:rsidRPr="00335E4B">
        <w:rPr>
          <w:rFonts w:cs="Traditional Arabic" w:hint="cs"/>
          <w:sz w:val="20"/>
          <w:szCs w:val="30"/>
          <w:rtl/>
        </w:rPr>
        <w:t>ال</w:t>
      </w:r>
      <w:r w:rsidRPr="00335E4B">
        <w:rPr>
          <w:rFonts w:cs="Traditional Arabic"/>
          <w:sz w:val="20"/>
          <w:szCs w:val="30"/>
          <w:rtl/>
        </w:rPr>
        <w:t xml:space="preserve">أحدث تطوراً، هي الصهر المباشر لمركزات الرصاص (وتعرف أيضاً </w:t>
      </w:r>
      <w:r w:rsidRPr="00335E4B">
        <w:rPr>
          <w:rFonts w:cs="Traditional Arabic" w:hint="cs"/>
          <w:sz w:val="20"/>
          <w:szCs w:val="30"/>
          <w:rtl/>
        </w:rPr>
        <w:t>ب</w:t>
      </w:r>
      <w:r w:rsidRPr="00335E4B">
        <w:rPr>
          <w:rFonts w:cs="Traditional Arabic"/>
          <w:sz w:val="20"/>
          <w:szCs w:val="30"/>
          <w:rtl/>
        </w:rPr>
        <w:t>الصهر السريع)</w:t>
      </w:r>
      <w:r w:rsidRPr="00335E4B">
        <w:rPr>
          <w:rFonts w:cs="Traditional Arabic"/>
          <w:sz w:val="20"/>
          <w:szCs w:val="30"/>
          <w:rtl/>
          <w:lang w:val="en-GB" w:bidi="ar-EG"/>
        </w:rPr>
        <w:t>.</w:t>
      </w:r>
      <w:r w:rsidRPr="00335E4B">
        <w:rPr>
          <w:rFonts w:cs="Traditional Arabic"/>
          <w:sz w:val="20"/>
          <w:szCs w:val="30"/>
          <w:rtl/>
        </w:rPr>
        <w:t xml:space="preserve"> وفي الصهر المباشر، تتم عمليتا أكسدة الرصاص واختزاله داخل فرن واحد</w:t>
      </w:r>
      <w:r w:rsidRPr="00335E4B">
        <w:rPr>
          <w:rFonts w:cs="Traditional Arabic"/>
          <w:sz w:val="20"/>
          <w:szCs w:val="30"/>
          <w:rtl/>
          <w:lang w:val="en-GB" w:bidi="ar-EG"/>
        </w:rPr>
        <w:t>.</w:t>
      </w:r>
      <w:r w:rsidRPr="00335E4B">
        <w:rPr>
          <w:rFonts w:cs="Traditional Arabic"/>
          <w:sz w:val="20"/>
          <w:szCs w:val="30"/>
          <w:rtl/>
        </w:rPr>
        <w:t xml:space="preserve"> وتؤدي الحرارة المنطلقة من أكسدة الكبريت الموجود في المركَّز إلى انطلاق تفاعل الاختزال اللاحق الذي ينتج السبائك باستخدام الفحم</w:t>
      </w:r>
      <w:r w:rsidRPr="00335E4B">
        <w:rPr>
          <w:rFonts w:cs="Traditional Arabic"/>
          <w:sz w:val="20"/>
          <w:szCs w:val="30"/>
          <w:rtl/>
          <w:lang w:val="en-GB" w:bidi="ar-EG"/>
        </w:rPr>
        <w:t>.</w:t>
      </w:r>
      <w:r w:rsidRPr="00335E4B">
        <w:rPr>
          <w:rFonts w:cs="Traditional Arabic"/>
          <w:sz w:val="20"/>
          <w:szCs w:val="30"/>
          <w:rtl/>
        </w:rPr>
        <w:t xml:space="preserve"> وبالمقارنة مع عملية صهر الخام الناتج عن التلبيد في الفرن العالي، تستخدم عملية الصهر المباشر طاقة أقل، وتولد انبعاثات منخفضة في الهواء نتيجة لإحكام إغلاقها واحتجاز الغازات المنبعثة على نحو أفضل</w:t>
      </w:r>
      <w:r w:rsidRPr="00335E4B">
        <w:rPr>
          <w:rFonts w:cs="Traditional Arabic"/>
          <w:sz w:val="20"/>
          <w:szCs w:val="30"/>
          <w:rtl/>
          <w:lang w:val="en-GB" w:bidi="ar-EG"/>
        </w:rPr>
        <w:t>.</w:t>
      </w:r>
    </w:p>
    <w:p w:rsidR="00335E4B" w:rsidRPr="00335E4B" w:rsidRDefault="00335E4B" w:rsidP="00335E4B">
      <w:pPr>
        <w:tabs>
          <w:tab w:val="center" w:pos="5468"/>
        </w:tabs>
        <w:spacing w:after="120" w:line="400" w:lineRule="exact"/>
        <w:jc w:val="both"/>
        <w:rPr>
          <w:rFonts w:cs="Traditional Arabic"/>
          <w:sz w:val="20"/>
          <w:szCs w:val="30"/>
          <w:rtl/>
        </w:rPr>
      </w:pPr>
      <w:r w:rsidRPr="00335E4B">
        <w:rPr>
          <w:rFonts w:cs="Traditional Arabic"/>
          <w:sz w:val="20"/>
          <w:szCs w:val="30"/>
          <w:rtl/>
        </w:rPr>
        <w:t>وتحتوي الغازات المنبعثة من عمليات التلبيد أو الصهر المباشر على المواد الجسيمية، وثنائي أكسيد الكبريت، والزئبق وغير ذلك من الشوائب</w:t>
      </w:r>
      <w:r w:rsidRPr="00335E4B">
        <w:rPr>
          <w:rFonts w:cs="Traditional Arabic"/>
          <w:sz w:val="20"/>
          <w:szCs w:val="30"/>
          <w:rtl/>
          <w:lang w:val="en-GB" w:bidi="ar-EG"/>
        </w:rPr>
        <w:t>.</w:t>
      </w:r>
      <w:r w:rsidRPr="00335E4B">
        <w:rPr>
          <w:rFonts w:cs="Traditional Arabic"/>
          <w:sz w:val="20"/>
          <w:szCs w:val="30"/>
          <w:rtl/>
        </w:rPr>
        <w:t xml:space="preserve"> ويجب أن تخضع الغازات المنبعثة لعملية تنظيف الغاز قبل إنتاج حمض الكبريتيك</w:t>
      </w:r>
      <w:r w:rsidRPr="00335E4B">
        <w:rPr>
          <w:rFonts w:cs="Traditional Arabic"/>
          <w:sz w:val="20"/>
          <w:szCs w:val="30"/>
          <w:rtl/>
          <w:lang w:val="en-GB" w:bidi="ar-EG"/>
        </w:rPr>
        <w:t>.</w:t>
      </w:r>
    </w:p>
    <w:p w:rsidR="00335E4B" w:rsidRPr="00335E4B" w:rsidRDefault="0032206D" w:rsidP="00335E4B">
      <w:pPr>
        <w:keepNext/>
        <w:tabs>
          <w:tab w:val="left" w:pos="991"/>
        </w:tabs>
        <w:spacing w:before="120" w:after="120" w:line="400" w:lineRule="exact"/>
        <w:jc w:val="both"/>
        <w:outlineLvl w:val="0"/>
        <w:rPr>
          <w:rFonts w:cs="Traditional Arabic"/>
          <w:b/>
          <w:bCs/>
          <w:sz w:val="30"/>
          <w:szCs w:val="30"/>
          <w:rtl/>
          <w:lang w:bidi="ar-EG"/>
        </w:rPr>
      </w:pPr>
      <w:bookmarkStart w:id="1275" w:name="_Toc433095391"/>
      <w:bookmarkStart w:id="1276" w:name="_Toc434239925"/>
      <w:bookmarkStart w:id="1277" w:name="_Toc440550520"/>
      <w:bookmarkStart w:id="1278" w:name="_Toc441577779"/>
      <w:bookmarkStart w:id="1279" w:name="_Toc441577958"/>
      <w:bookmarkStart w:id="1280" w:name="_Toc441580792"/>
      <w:bookmarkStart w:id="1281" w:name="_Toc441585923"/>
      <w:bookmarkStart w:id="1282" w:name="_Toc441586259"/>
      <w:bookmarkStart w:id="1283" w:name="_Toc441586709"/>
      <w:bookmarkStart w:id="1284" w:name="_Toc441586888"/>
      <w:bookmarkStart w:id="1285" w:name="_Toc441666737"/>
      <w:bookmarkStart w:id="1286" w:name="_Toc441673798"/>
      <w:r>
        <w:rPr>
          <w:rFonts w:cs="Traditional Arabic" w:hint="cs"/>
          <w:b/>
          <w:bCs/>
          <w:sz w:val="30"/>
          <w:szCs w:val="30"/>
          <w:rtl/>
          <w:lang w:bidi="ar-EG"/>
        </w:rPr>
        <w:t>2-1-3</w:t>
      </w:r>
      <w:r>
        <w:rPr>
          <w:rFonts w:cs="Traditional Arabic" w:hint="cs"/>
          <w:b/>
          <w:bCs/>
          <w:sz w:val="30"/>
          <w:szCs w:val="30"/>
          <w:rtl/>
          <w:lang w:bidi="ar-EG"/>
        </w:rPr>
        <w:tab/>
      </w:r>
      <w:r w:rsidR="00335E4B" w:rsidRPr="00335E4B">
        <w:rPr>
          <w:rFonts w:cs="Traditional Arabic"/>
          <w:b/>
          <w:bCs/>
          <w:sz w:val="30"/>
          <w:szCs w:val="30"/>
          <w:rtl/>
          <w:lang w:bidi="ar-EG"/>
        </w:rPr>
        <w:t>التنقية</w:t>
      </w:r>
      <w:bookmarkEnd w:id="1275"/>
      <w:bookmarkEnd w:id="1276"/>
      <w:bookmarkEnd w:id="1277"/>
      <w:bookmarkEnd w:id="1278"/>
      <w:bookmarkEnd w:id="1279"/>
      <w:bookmarkEnd w:id="1280"/>
      <w:bookmarkEnd w:id="1281"/>
      <w:bookmarkEnd w:id="1282"/>
      <w:bookmarkEnd w:id="1283"/>
      <w:bookmarkEnd w:id="1284"/>
      <w:bookmarkEnd w:id="1285"/>
      <w:bookmarkEnd w:id="1286"/>
    </w:p>
    <w:p w:rsidR="00335E4B" w:rsidRPr="00335E4B" w:rsidRDefault="00335E4B" w:rsidP="0039298D">
      <w:pPr>
        <w:tabs>
          <w:tab w:val="center" w:pos="5468"/>
        </w:tabs>
        <w:spacing w:after="120" w:line="400" w:lineRule="exact"/>
        <w:jc w:val="both"/>
        <w:rPr>
          <w:rFonts w:cs="Traditional Arabic"/>
          <w:sz w:val="20"/>
          <w:szCs w:val="30"/>
          <w:rtl/>
        </w:rPr>
      </w:pPr>
      <w:r w:rsidRPr="00335E4B">
        <w:rPr>
          <w:rFonts w:cs="Traditional Arabic"/>
          <w:sz w:val="20"/>
          <w:szCs w:val="30"/>
          <w:rtl/>
        </w:rPr>
        <w:t>تجري تنقية سبائك الرصاص من خلال عدة مراحل من المعالجة الميتالورجية الحرارية لإزالة المعادن والشوائب الأخرى</w:t>
      </w:r>
      <w:r w:rsidRPr="00335E4B">
        <w:rPr>
          <w:rFonts w:cs="Traditional Arabic"/>
          <w:sz w:val="20"/>
          <w:szCs w:val="30"/>
          <w:rtl/>
          <w:lang w:val="en-GB" w:bidi="ar-EG"/>
        </w:rPr>
        <w:t>.</w:t>
      </w:r>
      <w:r w:rsidRPr="00335E4B">
        <w:rPr>
          <w:rFonts w:cs="Traditional Arabic"/>
          <w:sz w:val="20"/>
          <w:szCs w:val="30"/>
          <w:rtl/>
        </w:rPr>
        <w:t xml:space="preserve"> وخلال مرحلة فصل النفايات، يجري تبريد سبائك الرصاص في حوض غلي حتى يتكون الخبث على السطح</w:t>
      </w:r>
      <w:r w:rsidRPr="00335E4B">
        <w:rPr>
          <w:rFonts w:cs="Traditional Arabic"/>
          <w:sz w:val="20"/>
          <w:szCs w:val="30"/>
          <w:rtl/>
          <w:lang w:val="en-GB" w:bidi="ar-EG"/>
        </w:rPr>
        <w:t>.</w:t>
      </w:r>
      <w:r w:rsidRPr="00335E4B">
        <w:rPr>
          <w:rFonts w:cs="Traditional Arabic"/>
          <w:sz w:val="20"/>
          <w:szCs w:val="30"/>
          <w:rtl/>
        </w:rPr>
        <w:t xml:space="preserve"> ويكشط بعدئذ الخبث الذي يحتوي على أكسيد الرصاص وفلزات أخرى، ويؤخذ لمعالجته في مكان آخر لاسترداد المعادن الأخرى</w:t>
      </w:r>
      <w:r w:rsidRPr="00335E4B">
        <w:rPr>
          <w:rFonts w:cs="Traditional Arabic"/>
          <w:sz w:val="20"/>
          <w:szCs w:val="30"/>
          <w:rtl/>
          <w:lang w:val="en-GB" w:bidi="ar-EG"/>
        </w:rPr>
        <w:t>.</w:t>
      </w:r>
      <w:r w:rsidRPr="00335E4B">
        <w:rPr>
          <w:rFonts w:cs="Traditional Arabic"/>
          <w:sz w:val="20"/>
          <w:szCs w:val="30"/>
          <w:rtl/>
        </w:rPr>
        <w:t xml:space="preserve"> وتخضع سبائك الرصاص إلى عمليات تنقية أخرى بإضافة عدد من المواد الكاشفة خلال مراحل مختلفة لإزالة شوائب معدنية معينة</w:t>
      </w:r>
      <w:r w:rsidRPr="00335E4B">
        <w:rPr>
          <w:rFonts w:cs="Traditional Arabic"/>
          <w:sz w:val="20"/>
          <w:szCs w:val="30"/>
          <w:rtl/>
          <w:lang w:val="en-GB" w:bidi="ar-EG"/>
        </w:rPr>
        <w:t>.</w:t>
      </w:r>
      <w:r w:rsidRPr="00335E4B">
        <w:rPr>
          <w:rFonts w:cs="Traditional Arabic"/>
          <w:sz w:val="20"/>
          <w:szCs w:val="30"/>
          <w:rtl/>
        </w:rPr>
        <w:t xml:space="preserve"> ويمكن بعدئذ صب الناتج النهائي من الرصاص النقي في أشكال معينة أو خلطه مع معادن أخرى لإنتاج السبائك المعدنية</w:t>
      </w:r>
      <w:r w:rsidRPr="00335E4B">
        <w:rPr>
          <w:rFonts w:cs="Traditional Arabic"/>
          <w:sz w:val="20"/>
          <w:szCs w:val="30"/>
          <w:rtl/>
          <w:lang w:val="en-GB" w:bidi="ar-EG"/>
        </w:rPr>
        <w:t>.</w:t>
      </w:r>
      <w:r w:rsidRPr="00335E4B">
        <w:rPr>
          <w:rFonts w:cs="Traditional Arabic"/>
          <w:sz w:val="20"/>
          <w:szCs w:val="30"/>
          <w:rtl/>
        </w:rPr>
        <w:t xml:space="preserve"> ويمكن بدلاً من ذلك أيضاً تنفيذ عملية التنقية باستخدام تقنية التنقية الكهربائية التي تنتج أقطاباً مهبطية (كاثود) من الرصاص</w:t>
      </w:r>
      <w:r w:rsidRPr="00335E4B">
        <w:rPr>
          <w:rFonts w:cs="Traditional Arabic"/>
          <w:sz w:val="20"/>
          <w:szCs w:val="30"/>
          <w:rtl/>
          <w:lang w:val="en-GB" w:bidi="ar-EG"/>
        </w:rPr>
        <w:t>.</w:t>
      </w:r>
      <w:r w:rsidRPr="00335E4B">
        <w:rPr>
          <w:rFonts w:cs="Traditional Arabic"/>
          <w:sz w:val="20"/>
          <w:szCs w:val="30"/>
          <w:rtl/>
        </w:rPr>
        <w:t xml:space="preserve"> ولا</w:t>
      </w:r>
      <w:r w:rsidR="0039298D">
        <w:rPr>
          <w:rFonts w:cs="Traditional Arabic" w:hint="cs"/>
          <w:sz w:val="20"/>
          <w:szCs w:val="30"/>
          <w:rtl/>
        </w:rPr>
        <w:t> </w:t>
      </w:r>
      <w:r w:rsidRPr="00335E4B">
        <w:rPr>
          <w:rFonts w:cs="Traditional Arabic"/>
          <w:sz w:val="20"/>
          <w:szCs w:val="30"/>
          <w:rtl/>
        </w:rPr>
        <w:t>يتوقع حدوث انبعاثات كبيرة من الزئبق أثناء مرحلة التنقية</w:t>
      </w:r>
      <w:r w:rsidRPr="00335E4B">
        <w:rPr>
          <w:rFonts w:cs="Traditional Arabic"/>
          <w:sz w:val="20"/>
          <w:szCs w:val="30"/>
          <w:rtl/>
          <w:lang w:val="en-GB" w:bidi="ar-EG"/>
        </w:rPr>
        <w:t>.</w:t>
      </w:r>
    </w:p>
    <w:p w:rsidR="00335E4B" w:rsidRPr="00335E4B" w:rsidRDefault="0032206D" w:rsidP="00335E4B">
      <w:pPr>
        <w:keepNext/>
        <w:tabs>
          <w:tab w:val="left" w:pos="991"/>
        </w:tabs>
        <w:spacing w:before="120" w:after="120" w:line="400" w:lineRule="exact"/>
        <w:jc w:val="both"/>
        <w:outlineLvl w:val="0"/>
        <w:rPr>
          <w:rFonts w:cs="Traditional Arabic"/>
          <w:b/>
          <w:bCs/>
          <w:sz w:val="30"/>
          <w:szCs w:val="30"/>
          <w:rtl/>
          <w:lang w:bidi="ar-EG"/>
        </w:rPr>
      </w:pPr>
      <w:bookmarkStart w:id="1287" w:name="_Toc433095392"/>
      <w:bookmarkStart w:id="1288" w:name="_Toc434239926"/>
      <w:bookmarkStart w:id="1289" w:name="_Toc440550521"/>
      <w:bookmarkStart w:id="1290" w:name="_Toc441577780"/>
      <w:bookmarkStart w:id="1291" w:name="_Toc441577959"/>
      <w:bookmarkStart w:id="1292" w:name="_Toc441580793"/>
      <w:bookmarkStart w:id="1293" w:name="_Toc441585924"/>
      <w:bookmarkStart w:id="1294" w:name="_Toc441586260"/>
      <w:bookmarkStart w:id="1295" w:name="_Toc441586710"/>
      <w:bookmarkStart w:id="1296" w:name="_Toc441586889"/>
      <w:bookmarkStart w:id="1297" w:name="_Toc441666738"/>
      <w:bookmarkStart w:id="1298" w:name="_Toc441673799"/>
      <w:r>
        <w:rPr>
          <w:rFonts w:cs="Traditional Arabic" w:hint="cs"/>
          <w:b/>
          <w:bCs/>
          <w:sz w:val="30"/>
          <w:szCs w:val="30"/>
          <w:rtl/>
          <w:lang w:bidi="ar-EG"/>
        </w:rPr>
        <w:t>2-1-4</w:t>
      </w:r>
      <w:r>
        <w:rPr>
          <w:rFonts w:cs="Traditional Arabic" w:hint="cs"/>
          <w:b/>
          <w:bCs/>
          <w:sz w:val="30"/>
          <w:szCs w:val="30"/>
          <w:rtl/>
          <w:lang w:bidi="ar-EG"/>
        </w:rPr>
        <w:tab/>
      </w:r>
      <w:r w:rsidR="00335E4B" w:rsidRPr="00335E4B">
        <w:rPr>
          <w:rFonts w:cs="Traditional Arabic"/>
          <w:b/>
          <w:bCs/>
          <w:sz w:val="30"/>
          <w:szCs w:val="30"/>
          <w:rtl/>
          <w:lang w:bidi="ar-EG"/>
        </w:rPr>
        <w:t xml:space="preserve">منشأة </w:t>
      </w:r>
      <w:r w:rsidR="00335E4B" w:rsidRPr="00335E4B">
        <w:rPr>
          <w:rFonts w:cs="Traditional Arabic" w:hint="cs"/>
          <w:b/>
          <w:bCs/>
          <w:sz w:val="30"/>
          <w:szCs w:val="30"/>
          <w:rtl/>
          <w:lang w:bidi="ar-EG"/>
        </w:rPr>
        <w:t>تصنيع</w:t>
      </w:r>
      <w:r w:rsidR="00335E4B" w:rsidRPr="00335E4B">
        <w:rPr>
          <w:rFonts w:cs="Traditional Arabic"/>
          <w:b/>
          <w:bCs/>
          <w:sz w:val="30"/>
          <w:szCs w:val="30"/>
          <w:rtl/>
          <w:lang w:bidi="ar-EG"/>
        </w:rPr>
        <w:t xml:space="preserve"> حمض الكبريتيك</w:t>
      </w:r>
      <w:bookmarkEnd w:id="1287"/>
      <w:bookmarkEnd w:id="1288"/>
      <w:bookmarkEnd w:id="1289"/>
      <w:bookmarkEnd w:id="1290"/>
      <w:bookmarkEnd w:id="1291"/>
      <w:bookmarkEnd w:id="1292"/>
      <w:bookmarkEnd w:id="1293"/>
      <w:bookmarkEnd w:id="1294"/>
      <w:bookmarkEnd w:id="1295"/>
      <w:bookmarkEnd w:id="1296"/>
      <w:bookmarkEnd w:id="1297"/>
      <w:bookmarkEnd w:id="1298"/>
    </w:p>
    <w:p w:rsidR="00335E4B" w:rsidRPr="00335E4B" w:rsidRDefault="00335E4B" w:rsidP="00335E4B">
      <w:pPr>
        <w:tabs>
          <w:tab w:val="center" w:pos="5468"/>
        </w:tabs>
        <w:spacing w:after="120" w:line="400" w:lineRule="exact"/>
        <w:jc w:val="both"/>
        <w:rPr>
          <w:rFonts w:cs="Traditional Arabic"/>
          <w:sz w:val="20"/>
          <w:szCs w:val="30"/>
          <w:rtl/>
        </w:rPr>
      </w:pPr>
      <w:r w:rsidRPr="00335E4B">
        <w:rPr>
          <w:rFonts w:cs="Traditional Arabic"/>
          <w:sz w:val="20"/>
          <w:szCs w:val="30"/>
          <w:rtl/>
        </w:rPr>
        <w:t>تتم معالجة الغازات المنبعثة من منشآت الصهر أو التلبيد لإزالة المواد الجسيمية ومعظم المعادن، بما في ذلك الزئبق، وتجري هذه المعالجة باستخدام أجهزة تنظيف الغازات مثل معدات الشطف والمرسبات الكهروستاتيكية</w:t>
      </w:r>
      <w:r w:rsidRPr="00335E4B">
        <w:rPr>
          <w:rFonts w:cs="Traditional Arabic"/>
          <w:sz w:val="20"/>
          <w:szCs w:val="30"/>
          <w:rtl/>
          <w:lang w:val="en-GB" w:bidi="ar-EG"/>
        </w:rPr>
        <w:t>.</w:t>
      </w:r>
      <w:r w:rsidRPr="00335E4B">
        <w:rPr>
          <w:rFonts w:cs="Traditional Arabic"/>
          <w:sz w:val="20"/>
          <w:szCs w:val="30"/>
          <w:rtl/>
        </w:rPr>
        <w:t xml:space="preserve"> فإذا ظل الغاز يحتوي على كميات كبيرة من الزئبق، فهو يخضع بعد ذلك لمرحلة إزالة الزئبق، حيث يزال العنصر كنفايات</w:t>
      </w:r>
      <w:r w:rsidRPr="00335E4B">
        <w:rPr>
          <w:rFonts w:cs="Traditional Arabic"/>
          <w:sz w:val="20"/>
          <w:szCs w:val="30"/>
          <w:rtl/>
          <w:lang w:val="en-GB" w:bidi="ar-EG"/>
        </w:rPr>
        <w:t>.</w:t>
      </w:r>
      <w:r w:rsidRPr="00335E4B">
        <w:rPr>
          <w:rFonts w:cs="Traditional Arabic"/>
          <w:sz w:val="20"/>
          <w:szCs w:val="30"/>
          <w:rtl/>
        </w:rPr>
        <w:t xml:space="preserve"> وينبغي أن تكون إدارة المواد المحتوية على الزئبق، بما في ذلك تخزينها والتخلص منها، والتجارة فيها، متسقة مع المواد الأخرى ذات الصلة في الاتفاقية</w:t>
      </w:r>
      <w:r w:rsidRPr="00335E4B">
        <w:rPr>
          <w:rFonts w:cs="Traditional Arabic"/>
          <w:sz w:val="20"/>
          <w:szCs w:val="30"/>
          <w:rtl/>
          <w:lang w:val="en-GB" w:bidi="ar-EG"/>
        </w:rPr>
        <w:t>.</w:t>
      </w:r>
    </w:p>
    <w:p w:rsidR="00335E4B" w:rsidRPr="00335E4B" w:rsidRDefault="00335E4B" w:rsidP="00335E4B">
      <w:pPr>
        <w:spacing w:after="120" w:line="400" w:lineRule="exact"/>
        <w:jc w:val="both"/>
        <w:rPr>
          <w:rFonts w:cs="Traditional Arabic"/>
          <w:sz w:val="20"/>
          <w:szCs w:val="30"/>
        </w:rPr>
      </w:pPr>
      <w:r w:rsidRPr="00335E4B">
        <w:rPr>
          <w:rFonts w:cs="Traditional Arabic"/>
          <w:sz w:val="20"/>
          <w:szCs w:val="30"/>
          <w:rtl/>
        </w:rPr>
        <w:t xml:space="preserve">وبعد إزالة الزئبق، يحتوى الغاز على تركيز عال من ثنائي أكسيد الكبريت، الذي يجري تحويله عادة إلى حمض الكبريتيك في منشأة </w:t>
      </w:r>
      <w:r w:rsidRPr="00335E4B">
        <w:rPr>
          <w:rFonts w:cs="Traditional Arabic" w:hint="cs"/>
          <w:sz w:val="20"/>
          <w:szCs w:val="30"/>
          <w:rtl/>
        </w:rPr>
        <w:t>تصنيع</w:t>
      </w:r>
      <w:r w:rsidRPr="00335E4B">
        <w:rPr>
          <w:rFonts w:cs="Traditional Arabic"/>
          <w:sz w:val="20"/>
          <w:szCs w:val="30"/>
          <w:rtl/>
        </w:rPr>
        <w:t xml:space="preserve"> الحمض</w:t>
      </w:r>
      <w:r w:rsidRPr="00335E4B">
        <w:rPr>
          <w:rFonts w:cs="Traditional Arabic"/>
          <w:sz w:val="20"/>
          <w:szCs w:val="30"/>
          <w:rtl/>
          <w:lang w:val="en-GB" w:bidi="ar-EG"/>
        </w:rPr>
        <w:t>.</w:t>
      </w:r>
      <w:r w:rsidRPr="00335E4B">
        <w:rPr>
          <w:rFonts w:cs="Traditional Arabic"/>
          <w:sz w:val="20"/>
          <w:szCs w:val="30"/>
          <w:rtl/>
        </w:rPr>
        <w:t xml:space="preserve"> وأي كمية باقية من الزئبق ستظل موجودة في الحمض</w:t>
      </w:r>
      <w:r w:rsidRPr="00335E4B">
        <w:rPr>
          <w:rFonts w:cs="Traditional Arabic"/>
          <w:sz w:val="20"/>
          <w:szCs w:val="30"/>
          <w:rtl/>
          <w:lang w:val="en-GB" w:bidi="ar-EG"/>
        </w:rPr>
        <w:t>.</w:t>
      </w:r>
      <w:r w:rsidRPr="00335E4B">
        <w:rPr>
          <w:rFonts w:cs="Traditional Arabic"/>
          <w:sz w:val="20"/>
          <w:szCs w:val="30"/>
          <w:rtl/>
        </w:rPr>
        <w:t xml:space="preserve"> ولكن تركيز الزئبق في النوعيات التجارية يحدد في العادة بقيم أقل من</w:t>
      </w:r>
      <w:r w:rsidRPr="00335E4B">
        <w:rPr>
          <w:rFonts w:cs="Traditional Arabic"/>
          <w:sz w:val="20"/>
          <w:szCs w:val="30"/>
          <w:rtl/>
          <w:lang w:val="en-GB" w:bidi="ar-EG"/>
        </w:rPr>
        <w:t xml:space="preserve"> </w:t>
      </w:r>
      <w:r w:rsidRPr="00335E4B">
        <w:rPr>
          <w:rFonts w:cs="Traditional Arabic" w:hint="cs"/>
          <w:sz w:val="20"/>
          <w:szCs w:val="30"/>
          <w:rtl/>
          <w:lang w:val="en-GB" w:bidi="ar-EG"/>
        </w:rPr>
        <w:t>جزء واحد</w:t>
      </w:r>
      <w:r w:rsidRPr="00335E4B">
        <w:rPr>
          <w:rFonts w:cs="Traditional Arabic"/>
          <w:sz w:val="20"/>
          <w:szCs w:val="30"/>
          <w:rtl/>
        </w:rPr>
        <w:t xml:space="preserve"> من الزئبق لكل مليون جزء من الحمض، ولذلك تكون ا</w:t>
      </w:r>
      <w:r w:rsidRPr="00335E4B">
        <w:rPr>
          <w:rFonts w:cs="Traditional Arabic" w:hint="cs"/>
          <w:sz w:val="20"/>
          <w:szCs w:val="30"/>
          <w:rtl/>
        </w:rPr>
        <w:t>لإزال</w:t>
      </w:r>
      <w:r w:rsidRPr="00335E4B">
        <w:rPr>
          <w:rFonts w:cs="Traditional Arabic"/>
          <w:sz w:val="20"/>
          <w:szCs w:val="30"/>
          <w:rtl/>
        </w:rPr>
        <w:t>ة الفعالة للزئبق مطلوبة قبل منشأة تصنيع الحمض</w:t>
      </w:r>
      <w:r w:rsidRPr="00335E4B">
        <w:rPr>
          <w:rFonts w:cs="Traditional Arabic"/>
          <w:sz w:val="20"/>
          <w:szCs w:val="30"/>
          <w:rtl/>
          <w:lang w:val="en-GB" w:bidi="ar-EG"/>
        </w:rPr>
        <w:t>.</w:t>
      </w:r>
      <w:r w:rsidRPr="00335E4B">
        <w:rPr>
          <w:rFonts w:cs="Traditional Arabic"/>
          <w:sz w:val="20"/>
          <w:szCs w:val="30"/>
          <w:rtl/>
        </w:rPr>
        <w:t xml:space="preserve"> ومن المتوقع أن تحتوي الانبعاثات الصادرة من المدخنة النهائية على تركيزات نزرة من</w:t>
      </w:r>
      <w:r w:rsidRPr="00335E4B">
        <w:rPr>
          <w:rFonts w:cs="Traditional Arabic" w:hint="cs"/>
          <w:sz w:val="20"/>
          <w:szCs w:val="30"/>
          <w:rtl/>
        </w:rPr>
        <w:t xml:space="preserve"> الزئبق.</w:t>
      </w:r>
    </w:p>
    <w:p w:rsidR="00335E4B" w:rsidRPr="00335E4B" w:rsidRDefault="00335E4B" w:rsidP="00335E4B">
      <w:pPr>
        <w:bidi w:val="0"/>
        <w:rPr>
          <w:rFonts w:cs="Traditional Arabic"/>
          <w:sz w:val="20"/>
          <w:szCs w:val="30"/>
        </w:rPr>
      </w:pPr>
    </w:p>
    <w:p w:rsidR="00335E4B" w:rsidRPr="00335E4B" w:rsidRDefault="00335E4B" w:rsidP="00335E4B">
      <w:pPr>
        <w:bidi w:val="0"/>
        <w:rPr>
          <w:rFonts w:cs="Traditional Arabic"/>
          <w:sz w:val="20"/>
          <w:szCs w:val="30"/>
        </w:rPr>
      </w:pPr>
      <w:r>
        <w:rPr>
          <w:rFonts w:cs="Traditional Arabic"/>
          <w:noProof/>
          <w:sz w:val="20"/>
          <w:szCs w:val="30"/>
          <w:lang w:val="en-GB" w:eastAsia="zh-CN"/>
        </w:rPr>
        <mc:AlternateContent>
          <mc:Choice Requires="wpc">
            <w:drawing>
              <wp:inline distT="0" distB="0" distL="0" distR="0" wp14:anchorId="5F2BD051" wp14:editId="2EE3A89D">
                <wp:extent cx="5949950" cy="6858000"/>
                <wp:effectExtent l="14605" t="23495" r="7620" b="5080"/>
                <wp:docPr id="523" name="Canvas 5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469" name="Rounded Rectangle 16"/>
                        <wps:cNvSpPr>
                          <a:spLocks noChangeArrowheads="1"/>
                        </wps:cNvSpPr>
                        <wps:spPr bwMode="auto">
                          <a:xfrm>
                            <a:off x="1043940" y="806450"/>
                            <a:ext cx="1368425" cy="50292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39298D" w:rsidRDefault="00670B40" w:rsidP="00335E4B">
                              <w:pPr>
                                <w:spacing w:after="40"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rPr>
                                <w:t>المعالجة الأولية للخام المركز</w:t>
                              </w:r>
                            </w:p>
                          </w:txbxContent>
                        </wps:txbx>
                        <wps:bodyPr rot="0" vert="horz" wrap="square" lIns="91440" tIns="45720" rIns="91440" bIns="45720" anchor="ctr" anchorCtr="0" upright="1">
                          <a:noAutofit/>
                        </wps:bodyPr>
                      </wps:wsp>
                      <wps:wsp>
                        <wps:cNvPr id="470" name="Straight Arrow Connector 28"/>
                        <wps:cNvCnPr>
                          <a:cxnSpLocks noChangeShapeType="1"/>
                        </wps:cNvCnPr>
                        <wps:spPr bwMode="auto">
                          <a:xfrm>
                            <a:off x="1802352" y="298161"/>
                            <a:ext cx="0" cy="50798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71" name="Straight Arrow Connector 29"/>
                        <wps:cNvCnPr>
                          <a:cxnSpLocks noChangeShapeType="1"/>
                        </wps:cNvCnPr>
                        <wps:spPr bwMode="auto">
                          <a:xfrm>
                            <a:off x="4914357" y="2036013"/>
                            <a:ext cx="0" cy="535131"/>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72" name="Straight Arrow Connector 30"/>
                        <wps:cNvCnPr>
                          <a:cxnSpLocks noChangeShapeType="1"/>
                        </wps:cNvCnPr>
                        <wps:spPr bwMode="auto">
                          <a:xfrm flipV="1">
                            <a:off x="447504" y="3288647"/>
                            <a:ext cx="1" cy="1626253"/>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73" name="Straight Arrow Connector 31"/>
                        <wps:cNvCnPr>
                          <a:cxnSpLocks noChangeShapeType="1"/>
                        </wps:cNvCnPr>
                        <wps:spPr bwMode="auto">
                          <a:xfrm>
                            <a:off x="1720639" y="5129257"/>
                            <a:ext cx="6400" cy="723897"/>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74" name="Text Box 32"/>
                        <wps:cNvSpPr txBox="1">
                          <a:spLocks noChangeArrowheads="1"/>
                        </wps:cNvSpPr>
                        <wps:spPr bwMode="auto">
                          <a:xfrm>
                            <a:off x="817880" y="24765"/>
                            <a:ext cx="2057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after="120" w:line="300" w:lineRule="exact"/>
                                <w:jc w:val="center"/>
                                <w:rPr>
                                  <w:rFonts w:ascii="Traditional Arabic" w:hAnsi="Traditional Arabic" w:cs="Traditional Arabic"/>
                                  <w:sz w:val="26"/>
                                  <w:szCs w:val="26"/>
                                  <w:lang w:val="en-CA"/>
                                </w:rPr>
                              </w:pPr>
                              <w:r w:rsidRPr="0039298D">
                                <w:rPr>
                                  <w:rFonts w:ascii="Traditional Arabic" w:hAnsi="Traditional Arabic" w:cs="Traditional Arabic"/>
                                  <w:sz w:val="26"/>
                                  <w:szCs w:val="26"/>
                                  <w:rtl/>
                                  <w:lang w:val="en-CA"/>
                                </w:rPr>
                                <w:t>مركزات الرصاص، العوامل الصهورة</w:t>
                              </w:r>
                              <w:r w:rsidRPr="0039298D">
                                <w:rPr>
                                  <w:rFonts w:ascii="Traditional Arabic" w:hAnsi="Traditional Arabic" w:cs="Traditional Arabic"/>
                                  <w:sz w:val="26"/>
                                  <w:szCs w:val="26"/>
                                  <w:lang w:val="en-CA"/>
                                </w:rPr>
                                <w:t xml:space="preserve"> </w:t>
                              </w:r>
                            </w:p>
                          </w:txbxContent>
                        </wps:txbx>
                        <wps:bodyPr rot="0" vert="horz" wrap="square" lIns="91440" tIns="45720" rIns="91440" bIns="45720" anchor="t" anchorCtr="0" upright="1">
                          <a:noAutofit/>
                        </wps:bodyPr>
                      </wps:wsp>
                      <wps:wsp>
                        <wps:cNvPr id="475" name="Text Box 33"/>
                        <wps:cNvSpPr txBox="1">
                          <a:spLocks noChangeArrowheads="1"/>
                        </wps:cNvSpPr>
                        <wps:spPr bwMode="auto">
                          <a:xfrm>
                            <a:off x="1143027" y="5829300"/>
                            <a:ext cx="1185705" cy="357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line="280" w:lineRule="exact"/>
                                <w:jc w:val="center"/>
                                <w:rPr>
                                  <w:rFonts w:ascii="Traditional Arabic" w:hAnsi="Traditional Arabic" w:cs="Traditional Arabic"/>
                                  <w:lang w:val="en-CA"/>
                                </w:rPr>
                              </w:pPr>
                              <w:r w:rsidRPr="0039298D">
                                <w:rPr>
                                  <w:rFonts w:ascii="Traditional Arabic" w:hAnsi="Traditional Arabic" w:cs="Traditional Arabic"/>
                                  <w:sz w:val="28"/>
                                  <w:rtl/>
                                  <w:lang w:val="en-CA" w:bidi="ar-SY"/>
                                </w:rPr>
                                <w:t>معدن الرصاص</w:t>
                              </w:r>
                            </w:p>
                          </w:txbxContent>
                        </wps:txbx>
                        <wps:bodyPr rot="0" vert="horz" wrap="square" lIns="91440" tIns="45720" rIns="91440" bIns="45720" anchor="t" anchorCtr="0" upright="1">
                          <a:noAutofit/>
                        </wps:bodyPr>
                      </wps:wsp>
                      <wps:wsp>
                        <wps:cNvPr id="476" name="Straight Arrow Connector 40"/>
                        <wps:cNvCnPr>
                          <a:cxnSpLocks noChangeShapeType="1"/>
                        </wps:cNvCnPr>
                        <wps:spPr bwMode="auto">
                          <a:xfrm>
                            <a:off x="1257338" y="1351592"/>
                            <a:ext cx="0" cy="362908"/>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77" name="Rounded Rectangle 55"/>
                        <wps:cNvSpPr>
                          <a:spLocks noChangeArrowheads="1"/>
                        </wps:cNvSpPr>
                        <wps:spPr bwMode="auto">
                          <a:xfrm>
                            <a:off x="4229100" y="4455687"/>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39298D" w:rsidRDefault="00670B40" w:rsidP="00335E4B">
                              <w:pPr>
                                <w:spacing w:after="40"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منشأة تصنيع حمض الكبريتيك</w:t>
                              </w:r>
                            </w:p>
                          </w:txbxContent>
                        </wps:txbx>
                        <wps:bodyPr rot="0" vert="horz" wrap="square" lIns="91440" tIns="45720" rIns="91440" bIns="45720" anchor="ctr" anchorCtr="0" upright="1">
                          <a:noAutofit/>
                        </wps:bodyPr>
                      </wps:wsp>
                      <wps:wsp>
                        <wps:cNvPr id="478" name="Straight Arrow Connector 56"/>
                        <wps:cNvCnPr>
                          <a:cxnSpLocks noChangeShapeType="1"/>
                        </wps:cNvCnPr>
                        <wps:spPr bwMode="auto">
                          <a:xfrm>
                            <a:off x="1260030" y="2259946"/>
                            <a:ext cx="0" cy="48318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79" name="Straight Connector 34"/>
                        <wps:cNvCnPr>
                          <a:cxnSpLocks noChangeShapeType="1"/>
                        </wps:cNvCnPr>
                        <wps:spPr bwMode="auto">
                          <a:xfrm flipH="1">
                            <a:off x="447551" y="4914900"/>
                            <a:ext cx="571500" cy="0"/>
                          </a:xfrm>
                          <a:prstGeom prst="line">
                            <a:avLst/>
                          </a:prstGeom>
                          <a:noFill/>
                          <a:ln w="38100" algn="ctr">
                            <a:solidFill>
                              <a:srgbClr val="4A7EBB"/>
                            </a:solidFill>
                            <a:bevel/>
                            <a:headEnd/>
                            <a:tailEnd/>
                          </a:ln>
                          <a:extLst>
                            <a:ext uri="{909E8E84-426E-40DD-AFC4-6F175D3DCCD1}">
                              <a14:hiddenFill xmlns:a14="http://schemas.microsoft.com/office/drawing/2010/main">
                                <a:noFill/>
                              </a14:hiddenFill>
                            </a:ext>
                          </a:extLst>
                        </wps:spPr>
                        <wps:bodyPr/>
                      </wps:wsp>
                      <wps:wsp>
                        <wps:cNvPr id="480" name="Straight Arrow Connector 62"/>
                        <wps:cNvCnPr>
                          <a:cxnSpLocks noChangeShapeType="1"/>
                          <a:endCxn id="493" idx="0"/>
                        </wps:cNvCnPr>
                        <wps:spPr bwMode="auto">
                          <a:xfrm>
                            <a:off x="4914900" y="3109636"/>
                            <a:ext cx="0" cy="40051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81" name="Straight Arrow Connector 63"/>
                        <wps:cNvCnPr>
                          <a:cxnSpLocks noChangeShapeType="1"/>
                        </wps:cNvCnPr>
                        <wps:spPr bwMode="auto">
                          <a:xfrm>
                            <a:off x="4928616" y="4055168"/>
                            <a:ext cx="0" cy="40051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82" name="Straight Arrow Connector 64"/>
                        <wps:cNvCnPr>
                          <a:cxnSpLocks noChangeShapeType="1"/>
                        </wps:cNvCnPr>
                        <wps:spPr bwMode="auto">
                          <a:xfrm>
                            <a:off x="5257792" y="5005600"/>
                            <a:ext cx="8" cy="4808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83" name="Straight Connector 37"/>
                        <wps:cNvCnPr>
                          <a:cxnSpLocks noChangeShapeType="1"/>
                        </wps:cNvCnPr>
                        <wps:spPr bwMode="auto">
                          <a:xfrm flipH="1">
                            <a:off x="903414" y="4023249"/>
                            <a:ext cx="1505941" cy="0"/>
                          </a:xfrm>
                          <a:prstGeom prst="line">
                            <a:avLst/>
                          </a:prstGeom>
                          <a:noFill/>
                          <a:ln w="38100" algn="ctr">
                            <a:solidFill>
                              <a:srgbClr val="4A7EBB"/>
                            </a:solidFill>
                            <a:bevel/>
                            <a:headEnd/>
                            <a:tailEnd/>
                          </a:ln>
                          <a:extLst>
                            <a:ext uri="{909E8E84-426E-40DD-AFC4-6F175D3DCCD1}">
                              <a14:hiddenFill xmlns:a14="http://schemas.microsoft.com/office/drawing/2010/main">
                                <a:noFill/>
                              </a14:hiddenFill>
                            </a:ext>
                          </a:extLst>
                        </wps:spPr>
                        <wps:bodyPr/>
                      </wps:wsp>
                      <wps:wsp>
                        <wps:cNvPr id="484" name="Straight Arrow Connector 39"/>
                        <wps:cNvCnPr>
                          <a:cxnSpLocks noChangeShapeType="1"/>
                        </wps:cNvCnPr>
                        <wps:spPr bwMode="auto">
                          <a:xfrm flipH="1">
                            <a:off x="3167727" y="2628900"/>
                            <a:ext cx="1061130"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485" name="Text Box 60"/>
                        <wps:cNvSpPr txBox="1">
                          <a:spLocks noChangeArrowheads="1"/>
                        </wps:cNvSpPr>
                        <wps:spPr bwMode="auto">
                          <a:xfrm>
                            <a:off x="3050952" y="2628900"/>
                            <a:ext cx="1116884" cy="545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المواد الجسيمية</w:t>
                              </w:r>
                            </w:p>
                          </w:txbxContent>
                        </wps:txbx>
                        <wps:bodyPr rot="0" vert="horz" wrap="square" lIns="91440" tIns="45720" rIns="91440" bIns="45720" anchor="t" anchorCtr="0" upright="1">
                          <a:noAutofit/>
                        </wps:bodyPr>
                      </wps:wsp>
                      <wps:wsp>
                        <wps:cNvPr id="486" name="Straight Arrow Connector 61"/>
                        <wps:cNvCnPr>
                          <a:cxnSpLocks noChangeShapeType="1"/>
                        </wps:cNvCnPr>
                        <wps:spPr bwMode="auto">
                          <a:xfrm>
                            <a:off x="3164414" y="2304124"/>
                            <a:ext cx="1760755"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487" name="Text Box 68"/>
                        <wps:cNvSpPr txBox="1">
                          <a:spLocks noChangeArrowheads="1"/>
                        </wps:cNvSpPr>
                        <wps:spPr bwMode="auto">
                          <a:xfrm>
                            <a:off x="3436620" y="2023745"/>
                            <a:ext cx="91948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after="40" w:line="280" w:lineRule="exact"/>
                                <w:jc w:val="center"/>
                                <w:rPr>
                                  <w:rFonts w:ascii="Traditional Arabic" w:hAnsi="Traditional Arabic" w:cs="Traditional Arabic"/>
                                  <w:sz w:val="26"/>
                                  <w:szCs w:val="26"/>
                                  <w:lang w:val="en-CA"/>
                                </w:rPr>
                              </w:pPr>
                              <w:r w:rsidRPr="0039298D">
                                <w:rPr>
                                  <w:rFonts w:ascii="Traditional Arabic" w:hAnsi="Traditional Arabic" w:cs="Traditional Arabic"/>
                                  <w:sz w:val="26"/>
                                  <w:szCs w:val="26"/>
                                  <w:rtl/>
                                  <w:lang w:val="en-CA"/>
                                </w:rPr>
                                <w:t>الغاز المنبعث</w:t>
                              </w:r>
                            </w:p>
                          </w:txbxContent>
                        </wps:txbx>
                        <wps:bodyPr rot="0" vert="horz" wrap="square" lIns="91440" tIns="45720" rIns="91440" bIns="45720" anchor="t" anchorCtr="0" upright="1">
                          <a:noAutofit/>
                        </wps:bodyPr>
                      </wps:wsp>
                      <wps:wsp>
                        <wps:cNvPr id="488" name="Text Box 70"/>
                        <wps:cNvSpPr txBox="1">
                          <a:spLocks noChangeArrowheads="1"/>
                        </wps:cNvSpPr>
                        <wps:spPr bwMode="auto">
                          <a:xfrm>
                            <a:off x="1706245" y="4055745"/>
                            <a:ext cx="98425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line="280" w:lineRule="exact"/>
                                <w:jc w:val="center"/>
                                <w:rPr>
                                  <w:rFonts w:ascii="Traditional Arabic" w:hAnsi="Traditional Arabic" w:cs="Traditional Arabic"/>
                                  <w:lang w:val="en-CA" w:bidi="ar-SY"/>
                                </w:rPr>
                              </w:pPr>
                              <w:r w:rsidRPr="0039298D">
                                <w:rPr>
                                  <w:rFonts w:ascii="Traditional Arabic" w:hAnsi="Traditional Arabic" w:cs="Traditional Arabic"/>
                                  <w:sz w:val="28"/>
                                  <w:rtl/>
                                  <w:lang w:val="en-CA" w:bidi="ar-SY"/>
                                </w:rPr>
                                <w:t>سبائك الرصاص</w:t>
                              </w:r>
                            </w:p>
                          </w:txbxContent>
                        </wps:txbx>
                        <wps:bodyPr rot="0" vert="horz" wrap="square" lIns="91440" tIns="45720" rIns="91440" bIns="45720" anchor="t" anchorCtr="0" upright="1">
                          <a:noAutofit/>
                        </wps:bodyPr>
                      </wps:wsp>
                      <wps:wsp>
                        <wps:cNvPr id="489" name="Text Box 71"/>
                        <wps:cNvSpPr txBox="1">
                          <a:spLocks noChangeArrowheads="1"/>
                        </wps:cNvSpPr>
                        <wps:spPr bwMode="auto">
                          <a:xfrm>
                            <a:off x="4800724" y="5486400"/>
                            <a:ext cx="1028700"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حمض الكبريتيك</w:t>
                              </w:r>
                            </w:p>
                          </w:txbxContent>
                        </wps:txbx>
                        <wps:bodyPr rot="0" vert="horz" wrap="square" lIns="91440" tIns="45720" rIns="91440" bIns="45720" anchor="t" anchorCtr="0" upright="1">
                          <a:noAutofit/>
                        </wps:bodyPr>
                      </wps:wsp>
                      <wps:wsp>
                        <wps:cNvPr id="490" name="Straight Connector 75"/>
                        <wps:cNvCnPr>
                          <a:cxnSpLocks noChangeShapeType="1"/>
                        </wps:cNvCnPr>
                        <wps:spPr bwMode="auto">
                          <a:xfrm flipH="1">
                            <a:off x="3657594" y="3826568"/>
                            <a:ext cx="571388"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491" name="Straight Arrow Connector 76"/>
                        <wps:cNvCnPr>
                          <a:cxnSpLocks noChangeShapeType="1"/>
                        </wps:cNvCnPr>
                        <wps:spPr bwMode="auto">
                          <a:xfrm>
                            <a:off x="3657594" y="3826568"/>
                            <a:ext cx="0" cy="108833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92" name="Text Box 77"/>
                        <wps:cNvSpPr txBox="1">
                          <a:spLocks noChangeArrowheads="1"/>
                        </wps:cNvSpPr>
                        <wps:spPr bwMode="auto">
                          <a:xfrm>
                            <a:off x="3200492" y="4902043"/>
                            <a:ext cx="832663" cy="43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نفايات الزئبق</w:t>
                              </w:r>
                            </w:p>
                          </w:txbxContent>
                        </wps:txbx>
                        <wps:bodyPr rot="0" vert="horz" wrap="square" lIns="91440" tIns="45720" rIns="91440" bIns="45720" anchor="t" anchorCtr="0" upright="1">
                          <a:noAutofit/>
                        </wps:bodyPr>
                      </wps:wsp>
                      <wps:wsp>
                        <wps:cNvPr id="493" name="Rounded Rectangle 54"/>
                        <wps:cNvSpPr>
                          <a:spLocks noChangeArrowheads="1"/>
                        </wps:cNvSpPr>
                        <wps:spPr bwMode="auto">
                          <a:xfrm>
                            <a:off x="4229100" y="3510155"/>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39298D" w:rsidRDefault="00670B40" w:rsidP="00335E4B">
                              <w:pPr>
                                <w:spacing w:before="120" w:after="40"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إزالة الزئبق</w:t>
                              </w:r>
                            </w:p>
                          </w:txbxContent>
                        </wps:txbx>
                        <wps:bodyPr rot="0" vert="horz" wrap="square" lIns="91440" tIns="45720" rIns="91440" bIns="45720" anchor="ctr" anchorCtr="0" upright="1">
                          <a:noAutofit/>
                        </wps:bodyPr>
                      </wps:wsp>
                      <wps:wsp>
                        <wps:cNvPr id="494" name="Rounded Rectangle 17"/>
                        <wps:cNvSpPr>
                          <a:spLocks noChangeArrowheads="1"/>
                        </wps:cNvSpPr>
                        <wps:spPr bwMode="auto">
                          <a:xfrm>
                            <a:off x="1802130" y="2197735"/>
                            <a:ext cx="1365885" cy="51689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39298D" w:rsidRDefault="00670B40" w:rsidP="00335E4B">
                              <w:pPr>
                                <w:spacing w:before="120" w:after="40"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الصهر المباشر</w:t>
                              </w:r>
                            </w:p>
                          </w:txbxContent>
                        </wps:txbx>
                        <wps:bodyPr rot="0" vert="horz" wrap="square" lIns="91440" tIns="45720" rIns="91440" bIns="45720" anchor="ctr" anchorCtr="0" upright="1">
                          <a:noAutofit/>
                        </wps:bodyPr>
                      </wps:wsp>
                      <wps:wsp>
                        <wps:cNvPr id="495" name="Rounded Rectangle 18"/>
                        <wps:cNvSpPr>
                          <a:spLocks noChangeArrowheads="1"/>
                        </wps:cNvSpPr>
                        <wps:spPr bwMode="auto">
                          <a:xfrm>
                            <a:off x="1009056" y="4591065"/>
                            <a:ext cx="1344306"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39298D" w:rsidRDefault="00670B40" w:rsidP="00335E4B">
                              <w:pPr>
                                <w:spacing w:before="120" w:after="40" w:line="280" w:lineRule="exact"/>
                                <w:jc w:val="center"/>
                                <w:rPr>
                                  <w:rFonts w:ascii="Traditional Arabic" w:hAnsi="Traditional Arabic" w:cs="Traditional Arabic"/>
                                </w:rPr>
                              </w:pPr>
                              <w:r w:rsidRPr="0039298D">
                                <w:rPr>
                                  <w:rFonts w:ascii="Traditional Arabic" w:hAnsi="Traditional Arabic" w:cs="Traditional Arabic"/>
                                  <w:sz w:val="28"/>
                                  <w:rtl/>
                                  <w:lang w:val="en-CA" w:bidi="ar-SY"/>
                                </w:rPr>
                                <w:t>التنقية</w:t>
                              </w:r>
                            </w:p>
                          </w:txbxContent>
                        </wps:txbx>
                        <wps:bodyPr rot="0" vert="horz" wrap="square" lIns="91440" tIns="45720" rIns="91440" bIns="45720" anchor="ctr" anchorCtr="0" upright="1">
                          <a:noAutofit/>
                        </wps:bodyPr>
                      </wps:wsp>
                      <wps:wsp>
                        <wps:cNvPr id="496" name="Rounded Rectangle 41"/>
                        <wps:cNvSpPr>
                          <a:spLocks noChangeArrowheads="1"/>
                        </wps:cNvSpPr>
                        <wps:spPr bwMode="auto">
                          <a:xfrm>
                            <a:off x="228600" y="2743200"/>
                            <a:ext cx="1365250"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39298D" w:rsidRDefault="00670B40" w:rsidP="00335E4B">
                              <w:pPr>
                                <w:spacing w:before="120" w:after="40" w:line="280" w:lineRule="exact"/>
                                <w:jc w:val="center"/>
                                <w:rPr>
                                  <w:rFonts w:ascii="Traditional Arabic" w:hAnsi="Traditional Arabic" w:cs="Traditional Arabic"/>
                                  <w:sz w:val="28"/>
                                  <w:rtl/>
                                  <w:lang w:val="en-GB" w:bidi="ar-SY"/>
                                </w:rPr>
                              </w:pPr>
                              <w:r w:rsidRPr="0039298D">
                                <w:rPr>
                                  <w:rFonts w:ascii="Traditional Arabic" w:hAnsi="Traditional Arabic" w:cs="Traditional Arabic"/>
                                  <w:sz w:val="28"/>
                                  <w:rtl/>
                                  <w:lang w:val="en-GB" w:bidi="ar-SY"/>
                                </w:rPr>
                                <w:t>الصهر في الفرن العالي</w:t>
                              </w:r>
                            </w:p>
                          </w:txbxContent>
                        </wps:txbx>
                        <wps:bodyPr rot="0" vert="horz" wrap="square" lIns="91440" tIns="45720" rIns="91440" bIns="45720" anchor="ctr" anchorCtr="0" upright="1">
                          <a:noAutofit/>
                        </wps:bodyPr>
                      </wps:wsp>
                      <wps:wsp>
                        <wps:cNvPr id="497" name="Straight Arrow Connector 45"/>
                        <wps:cNvCnPr>
                          <a:cxnSpLocks noChangeShapeType="1"/>
                        </wps:cNvCnPr>
                        <wps:spPr bwMode="auto">
                          <a:xfrm>
                            <a:off x="2161103" y="1350601"/>
                            <a:ext cx="0" cy="846996"/>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98" name="Straight Arrow Connector 46"/>
                        <wps:cNvCnPr>
                          <a:cxnSpLocks noChangeShapeType="1"/>
                        </wps:cNvCnPr>
                        <wps:spPr bwMode="auto">
                          <a:xfrm flipH="1">
                            <a:off x="1714391" y="4023249"/>
                            <a:ext cx="116" cy="567816"/>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99" name="Straight Arrow Connector 47"/>
                        <wps:cNvCnPr>
                          <a:cxnSpLocks noChangeShapeType="1"/>
                          <a:stCxn id="496" idx="2"/>
                        </wps:cNvCnPr>
                        <wps:spPr bwMode="auto">
                          <a:xfrm flipH="1">
                            <a:off x="911225" y="3288665"/>
                            <a:ext cx="1" cy="76644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00" name="Straight Arrow Connector 48"/>
                        <wps:cNvCnPr>
                          <a:cxnSpLocks noChangeShapeType="1"/>
                        </wps:cNvCnPr>
                        <wps:spPr bwMode="auto">
                          <a:xfrm>
                            <a:off x="2412365" y="2714625"/>
                            <a:ext cx="1" cy="130429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01" name="Straight Connector 49"/>
                        <wps:cNvCnPr>
                          <a:cxnSpLocks noChangeShapeType="1"/>
                        </wps:cNvCnPr>
                        <wps:spPr bwMode="auto">
                          <a:xfrm flipH="1" flipV="1">
                            <a:off x="1714294" y="1485900"/>
                            <a:ext cx="166" cy="2286000"/>
                          </a:xfrm>
                          <a:prstGeom prst="line">
                            <a:avLst/>
                          </a:prstGeom>
                          <a:noFill/>
                          <a:ln w="25400" cap="rnd" algn="ctr">
                            <a:solidFill>
                              <a:srgbClr val="000000"/>
                            </a:solidFill>
                            <a:prstDash val="dash"/>
                            <a:bevel/>
                            <a:headEnd/>
                            <a:tailEnd/>
                          </a:ln>
                          <a:extLst>
                            <a:ext uri="{909E8E84-426E-40DD-AFC4-6F175D3DCCD1}">
                              <a14:hiddenFill xmlns:a14="http://schemas.microsoft.com/office/drawing/2010/main">
                                <a:noFill/>
                              </a14:hiddenFill>
                            </a:ext>
                          </a:extLst>
                        </wps:spPr>
                        <wps:bodyPr/>
                      </wps:wsp>
                      <wps:wsp>
                        <wps:cNvPr id="502" name="Straight Arrow Connector 50"/>
                        <wps:cNvCnPr>
                          <a:cxnSpLocks noChangeShapeType="1"/>
                        </wps:cNvCnPr>
                        <wps:spPr bwMode="auto">
                          <a:xfrm flipV="1">
                            <a:off x="2838718" y="2743200"/>
                            <a:ext cx="78" cy="2171700"/>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03" name="Straight Connector 51"/>
                        <wps:cNvCnPr>
                          <a:cxnSpLocks noChangeShapeType="1"/>
                        </wps:cNvCnPr>
                        <wps:spPr bwMode="auto">
                          <a:xfrm flipH="1">
                            <a:off x="2355978" y="4914900"/>
                            <a:ext cx="482672" cy="0"/>
                          </a:xfrm>
                          <a:prstGeom prst="line">
                            <a:avLst/>
                          </a:prstGeom>
                          <a:noFill/>
                          <a:ln w="38100" algn="ctr">
                            <a:solidFill>
                              <a:srgbClr val="4A7EBB"/>
                            </a:solidFill>
                            <a:bevel/>
                            <a:headEnd/>
                            <a:tailEnd/>
                          </a:ln>
                          <a:extLst>
                            <a:ext uri="{909E8E84-426E-40DD-AFC4-6F175D3DCCD1}">
                              <a14:hiddenFill xmlns:a14="http://schemas.microsoft.com/office/drawing/2010/main">
                                <a:noFill/>
                              </a14:hiddenFill>
                            </a:ext>
                          </a:extLst>
                        </wps:spPr>
                        <wps:bodyPr/>
                      </wps:wsp>
                      <wps:wsp>
                        <wps:cNvPr id="504" name="Text Box 52"/>
                        <wps:cNvSpPr txBox="1">
                          <a:spLocks noChangeArrowheads="1"/>
                        </wps:cNvSpPr>
                        <wps:spPr bwMode="auto">
                          <a:xfrm>
                            <a:off x="2328534" y="4902254"/>
                            <a:ext cx="871866" cy="698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الخبث، المواد الجسيمية</w:t>
                              </w:r>
                              <w:r w:rsidRPr="0039298D">
                                <w:rPr>
                                  <w:rFonts w:ascii="Traditional Arabic" w:hAnsi="Traditional Arabic" w:cs="Traditional Arabic"/>
                                  <w:sz w:val="28"/>
                                  <w:lang w:val="en-CA" w:bidi="ar-SY"/>
                                </w:rPr>
                                <w:t xml:space="preserve"> </w:t>
                              </w:r>
                            </w:p>
                          </w:txbxContent>
                        </wps:txbx>
                        <wps:bodyPr rot="0" vert="horz" wrap="square" lIns="91440" tIns="45720" rIns="91440" bIns="45720" anchor="t" anchorCtr="0" upright="1">
                          <a:noAutofit/>
                        </wps:bodyPr>
                      </wps:wsp>
                      <wps:wsp>
                        <wps:cNvPr id="505" name="Straight Arrow Connector 65"/>
                        <wps:cNvCnPr>
                          <a:cxnSpLocks noChangeShapeType="1"/>
                        </wps:cNvCnPr>
                        <wps:spPr bwMode="auto">
                          <a:xfrm>
                            <a:off x="2272910" y="2036013"/>
                            <a:ext cx="2641991"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506" name="Straight Connector 69"/>
                        <wps:cNvCnPr>
                          <a:cxnSpLocks noChangeShapeType="1"/>
                        </wps:cNvCnPr>
                        <wps:spPr bwMode="auto">
                          <a:xfrm flipH="1">
                            <a:off x="1594064" y="2036013"/>
                            <a:ext cx="448476"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g:wgp>
                        <wpg:cNvPr id="507" name="Group 4"/>
                        <wpg:cNvGrpSpPr>
                          <a:grpSpLocks/>
                        </wpg:cNvGrpSpPr>
                        <wpg:grpSpPr bwMode="auto">
                          <a:xfrm>
                            <a:off x="2042540" y="1943027"/>
                            <a:ext cx="233342" cy="228673"/>
                            <a:chOff x="3010859" y="685763"/>
                            <a:chExt cx="233342" cy="228673"/>
                          </a:xfrm>
                        </wpg:grpSpPr>
                        <wps:wsp>
                          <wps:cNvPr id="508" name="Arc 2"/>
                          <wps:cNvSpPr>
                            <a:spLocks/>
                          </wps:cNvSpPr>
                          <wps:spPr bwMode="auto">
                            <a:xfrm>
                              <a:off x="3010859" y="685800"/>
                              <a:ext cx="228673" cy="228600"/>
                            </a:xfrm>
                            <a:custGeom>
                              <a:avLst/>
                              <a:gdLst>
                                <a:gd name="T0" fmla="*/ 114336 w 228673"/>
                                <a:gd name="T1" fmla="*/ 0 h 228600"/>
                                <a:gd name="T2" fmla="*/ 225864 w 228673"/>
                                <a:gd name="T3" fmla="*/ 89119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9" name="Arc 73"/>
                          <wps:cNvSpPr>
                            <a:spLocks/>
                          </wps:cNvSpPr>
                          <wps:spPr bwMode="auto">
                            <a:xfrm rot="-4509104">
                              <a:off x="3015564" y="685800"/>
                              <a:ext cx="228673" cy="228600"/>
                            </a:xfrm>
                            <a:custGeom>
                              <a:avLst/>
                              <a:gdLst>
                                <a:gd name="T0" fmla="*/ 114336 w 228673"/>
                                <a:gd name="T1" fmla="*/ 0 h 228600"/>
                                <a:gd name="T2" fmla="*/ 225864 w 228673"/>
                                <a:gd name="T3" fmla="*/ 89119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510" name="Rounded Rectangle 44"/>
                        <wps:cNvSpPr>
                          <a:spLocks noChangeArrowheads="1"/>
                        </wps:cNvSpPr>
                        <wps:spPr bwMode="auto">
                          <a:xfrm>
                            <a:off x="238760" y="1714500"/>
                            <a:ext cx="1365250" cy="51498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39298D" w:rsidRDefault="00670B40" w:rsidP="00335E4B">
                              <w:pPr>
                                <w:spacing w:before="120" w:after="40" w:line="30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rPr>
                                <w:t>التلبيد</w:t>
                              </w:r>
                            </w:p>
                          </w:txbxContent>
                        </wps:txbx>
                        <wps:bodyPr rot="0" vert="horz" wrap="square" lIns="91440" tIns="45720" rIns="91440" bIns="45720" anchor="ctr" anchorCtr="0" upright="1">
                          <a:noAutofit/>
                        </wps:bodyPr>
                      </wps:wsp>
                      <wps:wsp>
                        <wps:cNvPr id="511" name="Text Box 81"/>
                        <wps:cNvSpPr txBox="1">
                          <a:spLocks noChangeArrowheads="1"/>
                        </wps:cNvSpPr>
                        <wps:spPr bwMode="auto">
                          <a:xfrm>
                            <a:off x="3436620" y="2304415"/>
                            <a:ext cx="8801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after="40"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الغاز المنبعث</w:t>
                              </w:r>
                            </w:p>
                          </w:txbxContent>
                        </wps:txbx>
                        <wps:bodyPr rot="0" vert="horz" wrap="square" lIns="91440" tIns="45720" rIns="91440" bIns="45720" anchor="t" anchorCtr="0" upright="1">
                          <a:noAutofit/>
                        </wps:bodyPr>
                      </wps:wsp>
                      <wps:wsp>
                        <wps:cNvPr id="512" name="Text Box 82"/>
                        <wps:cNvSpPr txBox="1">
                          <a:spLocks noChangeArrowheads="1"/>
                        </wps:cNvSpPr>
                        <wps:spPr bwMode="auto">
                          <a:xfrm>
                            <a:off x="214958" y="4902254"/>
                            <a:ext cx="871866" cy="698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الخبث، المواد الجسيمية</w:t>
                              </w:r>
                            </w:p>
                          </w:txbxContent>
                        </wps:txbx>
                        <wps:bodyPr rot="0" vert="horz" wrap="square" lIns="91440" tIns="45720" rIns="91440" bIns="45720" anchor="t" anchorCtr="0" upright="1">
                          <a:noAutofit/>
                        </wps:bodyPr>
                      </wps:wsp>
                      <wpg:wgp>
                        <wpg:cNvPr id="513" name="Group 83"/>
                        <wpg:cNvGrpSpPr>
                          <a:grpSpLocks/>
                        </wpg:cNvGrpSpPr>
                        <wpg:grpSpPr bwMode="auto">
                          <a:xfrm>
                            <a:off x="2037872" y="1739586"/>
                            <a:ext cx="233342" cy="228673"/>
                            <a:chOff x="3010859" y="685763"/>
                            <a:chExt cx="233342" cy="228673"/>
                          </a:xfrm>
                        </wpg:grpSpPr>
                        <wps:wsp>
                          <wps:cNvPr id="514" name="Arc 84"/>
                          <wps:cNvSpPr>
                            <a:spLocks/>
                          </wps:cNvSpPr>
                          <wps:spPr bwMode="auto">
                            <a:xfrm>
                              <a:off x="3010859" y="685800"/>
                              <a:ext cx="228673" cy="228600"/>
                            </a:xfrm>
                            <a:custGeom>
                              <a:avLst/>
                              <a:gdLst>
                                <a:gd name="T0" fmla="*/ 114336 w 228673"/>
                                <a:gd name="T1" fmla="*/ 0 h 228600"/>
                                <a:gd name="T2" fmla="*/ 225864 w 228673"/>
                                <a:gd name="T3" fmla="*/ 89119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5" name="Arc 85"/>
                          <wps:cNvSpPr>
                            <a:spLocks/>
                          </wps:cNvSpPr>
                          <wps:spPr bwMode="auto">
                            <a:xfrm rot="-4509104">
                              <a:off x="3015564" y="685800"/>
                              <a:ext cx="228673" cy="228600"/>
                            </a:xfrm>
                            <a:custGeom>
                              <a:avLst/>
                              <a:gdLst>
                                <a:gd name="T0" fmla="*/ 114336 w 228673"/>
                                <a:gd name="T1" fmla="*/ 0 h 228600"/>
                                <a:gd name="T2" fmla="*/ 225864 w 228673"/>
                                <a:gd name="T3" fmla="*/ 89119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516" name="Straight Connector 86"/>
                        <wps:cNvCnPr>
                          <a:cxnSpLocks noChangeShapeType="1"/>
                        </wps:cNvCnPr>
                        <wps:spPr bwMode="auto">
                          <a:xfrm flipH="1">
                            <a:off x="2272847" y="1828800"/>
                            <a:ext cx="2984806"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517" name="Straight Arrow Connector 87"/>
                        <wps:cNvCnPr>
                          <a:cxnSpLocks noChangeShapeType="1"/>
                        </wps:cNvCnPr>
                        <wps:spPr bwMode="auto">
                          <a:xfrm flipV="1">
                            <a:off x="5257506" y="1828800"/>
                            <a:ext cx="294" cy="735824"/>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18" name="Rounded Rectangle 53"/>
                        <wps:cNvSpPr>
                          <a:spLocks noChangeArrowheads="1"/>
                        </wps:cNvSpPr>
                        <wps:spPr bwMode="auto">
                          <a:xfrm>
                            <a:off x="4229100" y="2564623"/>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39298D" w:rsidRDefault="00670B40" w:rsidP="00335E4B">
                              <w:pPr>
                                <w:spacing w:before="120" w:after="40"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تنظيف الغاز</w:t>
                              </w:r>
                            </w:p>
                          </w:txbxContent>
                        </wps:txbx>
                        <wps:bodyPr rot="0" vert="horz" wrap="square" lIns="91440" tIns="45720" rIns="91440" bIns="45720" anchor="ctr" anchorCtr="0" upright="1">
                          <a:noAutofit/>
                        </wps:bodyPr>
                      </wps:wsp>
                      <wps:wsp>
                        <wps:cNvPr id="519" name="Straight Arrow Connector 88"/>
                        <wps:cNvCnPr>
                          <a:cxnSpLocks noChangeShapeType="1"/>
                        </wps:cNvCnPr>
                        <wps:spPr bwMode="auto">
                          <a:xfrm flipH="1">
                            <a:off x="1604130" y="1828800"/>
                            <a:ext cx="438353" cy="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20" name="Text Box 89"/>
                        <wps:cNvSpPr txBox="1">
                          <a:spLocks noChangeArrowheads="1"/>
                        </wps:cNvSpPr>
                        <wps:spPr bwMode="auto">
                          <a:xfrm>
                            <a:off x="3051175" y="1485900"/>
                            <a:ext cx="134493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after="40"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rPr>
                                <w:t>الم</w:t>
                              </w:r>
                              <w:r w:rsidRPr="0039298D">
                                <w:rPr>
                                  <w:rFonts w:ascii="Traditional Arabic" w:hAnsi="Traditional Arabic" w:cs="Traditional Arabic"/>
                                  <w:sz w:val="28"/>
                                  <w:rtl/>
                                  <w:lang w:val="en-CA" w:bidi="ar-SY"/>
                                </w:rPr>
                                <w:t xml:space="preserve">واد </w:t>
                              </w:r>
                              <w:r w:rsidRPr="0039298D">
                                <w:rPr>
                                  <w:rFonts w:ascii="Traditional Arabic" w:hAnsi="Traditional Arabic" w:cs="Traditional Arabic"/>
                                  <w:sz w:val="28"/>
                                  <w:rtl/>
                                  <w:lang w:val="en-CA"/>
                                </w:rPr>
                                <w:t>الجسيمية</w:t>
                              </w:r>
                            </w:p>
                          </w:txbxContent>
                        </wps:txbx>
                        <wps:bodyPr rot="0" vert="horz" wrap="square" lIns="91440" tIns="45720" rIns="91440" bIns="45720" anchor="t" anchorCtr="0" upright="1">
                          <a:noAutofit/>
                        </wps:bodyPr>
                      </wps:wsp>
                      <wps:wsp>
                        <wps:cNvPr id="521" name="Straight Arrow Connector 57"/>
                        <wps:cNvCnPr>
                          <a:cxnSpLocks noChangeShapeType="1"/>
                        </wps:cNvCnPr>
                        <wps:spPr bwMode="auto">
                          <a:xfrm>
                            <a:off x="4572019" y="5000700"/>
                            <a:ext cx="0" cy="8286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522" name="Text Box 58"/>
                        <wps:cNvSpPr txBox="1">
                          <a:spLocks noChangeArrowheads="1"/>
                        </wps:cNvSpPr>
                        <wps:spPr bwMode="auto">
                          <a:xfrm>
                            <a:off x="3905275" y="5821404"/>
                            <a:ext cx="1371578"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انبعاثات المدخنة</w:t>
                              </w:r>
                            </w:p>
                          </w:txbxContent>
                        </wps:txbx>
                        <wps:bodyPr rot="0" vert="horz" wrap="square" lIns="91440" tIns="45720" rIns="91440" bIns="45720" anchor="t" anchorCtr="0" upright="1">
                          <a:noAutofit/>
                        </wps:bodyPr>
                      </wps:wsp>
                    </wpc:wpc>
                  </a:graphicData>
                </a:graphic>
              </wp:inline>
            </w:drawing>
          </mc:Choice>
          <mc:Fallback>
            <w:pict>
              <v:group id="Canvas 523" o:spid="_x0000_s1104" editas="canvas" style="width:468.5pt;height:540pt;mso-position-horizontal-relative:char;mso-position-vertical-relative:line" coordsize="5949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width:59499;height:68580;visibility:visible;mso-wrap-style:square" stroked="t">
                  <v:fill o:detectmouseclick="t"/>
                  <v:path o:connecttype="none"/>
                </v:shape>
                <v:roundrect id="Rounded Rectangle 16" o:spid="_x0000_s1106" style="position:absolute;left:10439;top:8064;width:13684;height:5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D8scA&#10;AADcAAAADwAAAGRycy9kb3ducmV2LnhtbESPT2vCQBTE7wW/w/KEXopubEvQ6CoqiNKD4B/Q4yP7&#10;TILZtzG7auqndwsFj8PM/IYZTRpTihvVrrCsoNeNQBCnVhecKdjvFp0+COeRNZaWScEvOZiMW28j&#10;TLS984ZuW5+JAGGXoILc+yqR0qU5GXRdWxEH72Rrgz7IOpO6xnuAm1J+RlEsDRYcFnKsaJ5Tet5e&#10;jYJjvNRr3M+i8+Dx8XNYfh2LS7ZS6r3dTIcgPDX+Ff5vr7SC73gAf2fCEZDj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Vg/L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93783C" w:rsidRPr="0039298D" w:rsidRDefault="0093783C" w:rsidP="00335E4B">
                        <w:pPr>
                          <w:spacing w:after="40"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rPr>
                          <w:t>المعالجة الأولية للخام المركز</w:t>
                        </w:r>
                      </w:p>
                    </w:txbxContent>
                  </v:textbox>
                </v:roundrect>
                <v:shapetype id="_x0000_t32" coordsize="21600,21600" o:spt="32" o:oned="t" path="m,l21600,21600e" filled="f">
                  <v:path arrowok="t" fillok="f" o:connecttype="none"/>
                  <o:lock v:ext="edit" shapetype="t"/>
                </v:shapetype>
                <v:shape id="Straight Arrow Connector 28" o:spid="_x0000_s1107" type="#_x0000_t32" style="position:absolute;left:18023;top:2981;width:0;height:5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5qsQAAADcAAAADwAAAGRycy9kb3ducmV2LnhtbERPS0/CQBC+m/gfNmPCxcBWgiCVhSgJ&#10;ifGA4XGQ26Q7thu7s6W70PrvnYOJxy/fe7Hqfa2u1EYX2MDDKANFXATruDRwPGyGT6BiQrZYByYD&#10;PxRhtby9WWBuQ8c7uu5TqSSEY44GqpSaXOtYVOQxjkJDLNxXaD0mgW2pbYudhPtaj7Nsqj06loYK&#10;G1pXVHzvL97AxH2cu/dH93reboOefxaXcJrcGzO461+eQSXq07/4z/1mxTeT+XJGjo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HmqxAAAANwAAAAPAAAAAAAAAAAA&#10;AAAAAKECAABkcnMvZG93bnJldi54bWxQSwUGAAAAAAQABAD5AAAAkgMAAAAA&#10;" strokecolor="#4a7ebb" strokeweight="3pt">
                  <v:stroke startarrowwidth="wide" startarrowlength="long" endarrow="block"/>
                </v:shape>
                <v:shape id="Straight Arrow Connector 29" o:spid="_x0000_s1108" type="#_x0000_t32" style="position:absolute;left:49143;top:20360;width:0;height:5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5MUAAADcAAAADwAAAGRycy9kb3ducmV2LnhtbESPQWvCQBSE7wX/w/IEL6FuNG1tU1cR&#10;QezFg1Y8P7LPTWj2bciuMf57Vyh4HGbmG2a+7G0tOmp95VjBZJyCIC6crtgoOP5uXj9B+ICssXZM&#10;Cm7kYbkYvMwx1+7Ke+oOwYgIYZ+jgjKEJpfSFyVZ9GPXEEfv7FqLIcrWSN3iNcJtLadp+iEtVhwX&#10;SmxoXVLxd7hYBevL+bQ76m3ynu2+kqIzWZqYTKnRsF99gwjUh2f4v/2jFbzNJ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n5MUAAADcAAAADwAAAAAAAAAA&#10;AAAAAAChAgAAZHJzL2Rvd25yZXYueG1sUEsFBgAAAAAEAAQA+QAAAJMDAAAAAA==&#10;" strokecolor="#4a7ebb" strokeweight="3pt">
                  <v:stroke startarrowwidth="wide" startarrowlength="long" endarrow="block" endcap="round"/>
                </v:shape>
                <v:shape id="Straight Arrow Connector 30" o:spid="_x0000_s1109" type="#_x0000_t32" style="position:absolute;left:4475;top:32886;width:0;height:162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6McEAAADcAAAADwAAAGRycy9kb3ducmV2LnhtbESPQYvCMBSE7wv+h/AEb2uiuHWpRllE&#10;Ya/q4vnRPJti81KbbFv/vVlY8DjMzDfMeju4WnTUhsqzhtlUgSAuvKm41PBzPrx/gggR2WDtmTQ8&#10;KMB2M3pbY258z0fqTrEUCcIhRw02xiaXMhSWHIapb4iTd/Wtw5hkW0rTYp/grpZzpTLpsOK0YLGh&#10;naXidvp1iTI72n5nu5gtL3e5N4W6fGRK68l4+FqBiDTEV/i//W00LJZz+DuTj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ADoxwQAAANwAAAAPAAAAAAAAAAAAAAAA&#10;AKECAABkcnMvZG93bnJldi54bWxQSwUGAAAAAAQABAD5AAAAjwMAAAAA&#10;" strokecolor="#4a7ebb" strokeweight="3pt">
                  <v:stroke startarrowwidth="wide" startarrowlength="long" endarrow="block" endcap="round"/>
                </v:shape>
                <v:shape id="Straight Arrow Connector 31" o:spid="_x0000_s1110" type="#_x0000_t32" style="position:absolute;left:17206;top:51292;width:64;height:7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n3ccAAADcAAAADwAAAGRycy9kb3ducmV2LnhtbESPQWsCMRSE7wX/Q3hCL0Wzrdrq1iit&#10;IBQPSrUHvT02r7uhm5d1E9313xtB6HGY+WaY6by1pThT7Y1jBc/9BARx5rThXMHPbtkbg/ABWWPp&#10;mBRcyMN81nmYYqpdw9903oZcxBL2KSooQqhSKX1WkEXfdxVx9H5dbTFEWedS19jEclvKlyR5lRYN&#10;x4UCK1oUlP1tT1bB0GyOzWpkPo/rtZOTfXZyh+GTUo/d9uMdRKA2/Ifv9JeO3NsAbmfi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6ufdxwAAANwAAAAPAAAAAAAA&#10;AAAAAAAAAKECAABkcnMvZG93bnJldi54bWxQSwUGAAAAAAQABAD5AAAAlQMAAAAA&#10;" strokecolor="#4a7ebb" strokeweight="3pt">
                  <v:stroke startarrowwidth="wide" startarrowlength="long" endarrow="block"/>
                </v:shape>
                <v:shape id="Text Box 32" o:spid="_x0000_s1111" type="#_x0000_t202" style="position:absolute;left:8178;top:247;width:20574;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c+ccA&#10;AADcAAAADwAAAGRycy9kb3ducmV2LnhtbESPQWvCQBSE70L/w/IKvemmE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H3PnHAAAA3AAAAA8AAAAAAAAAAAAAAAAAmAIAAGRy&#10;cy9kb3ducmV2LnhtbFBLBQYAAAAABAAEAPUAAACMAwAAAAA=&#10;" filled="f" stroked="f" strokeweight=".5pt">
                  <v:textbox>
                    <w:txbxContent>
                      <w:p w:rsidR="0093783C" w:rsidRPr="0039298D" w:rsidRDefault="0093783C" w:rsidP="00335E4B">
                        <w:pPr>
                          <w:spacing w:after="120" w:line="300" w:lineRule="exact"/>
                          <w:jc w:val="center"/>
                          <w:rPr>
                            <w:rFonts w:ascii="Traditional Arabic" w:hAnsi="Traditional Arabic" w:cs="Traditional Arabic"/>
                            <w:sz w:val="26"/>
                            <w:szCs w:val="26"/>
                            <w:lang w:val="en-CA"/>
                          </w:rPr>
                        </w:pPr>
                        <w:r w:rsidRPr="0039298D">
                          <w:rPr>
                            <w:rFonts w:ascii="Traditional Arabic" w:hAnsi="Traditional Arabic" w:cs="Traditional Arabic"/>
                            <w:sz w:val="26"/>
                            <w:szCs w:val="26"/>
                            <w:rtl/>
                            <w:lang w:val="en-CA"/>
                          </w:rPr>
                          <w:t>مركزات الرصاص، العوامل الصهورة</w:t>
                        </w:r>
                        <w:r w:rsidRPr="0039298D">
                          <w:rPr>
                            <w:rFonts w:ascii="Traditional Arabic" w:hAnsi="Traditional Arabic" w:cs="Traditional Arabic"/>
                            <w:sz w:val="26"/>
                            <w:szCs w:val="26"/>
                            <w:lang w:val="en-CA"/>
                          </w:rPr>
                          <w:t xml:space="preserve"> </w:t>
                        </w:r>
                      </w:p>
                    </w:txbxContent>
                  </v:textbox>
                </v:shape>
                <v:shape id="Text Box 33" o:spid="_x0000_s1112" type="#_x0000_t202" style="position:absolute;left:11430;top:58293;width:11857;height:3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5YscA&#10;AADcAAAADwAAAGRycy9kb3ducmV2LnhtbESPQWvCQBSE7wX/w/KE3upGqTVEV5GAWEp70ObS2zP7&#10;TILZtzG7TdL++m5B8DjMzDfMajOYWnTUusqygukkAkGcW11xoSD73D3FIJxH1lhbJgU/5GCzHj2s&#10;MNG25wN1R1+IAGGXoILS+yaR0uUlGXQT2xAH72xbgz7ItpC6xT7ATS1nUfQiDVYcFkpsKC0pvxy/&#10;jYK3dPeBh9PMxL91un8/b5tr9jVX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LeWLHAAAA3AAAAA8AAAAAAAAAAAAAAAAAmAIAAGRy&#10;cy9kb3ducmV2LnhtbFBLBQYAAAAABAAEAPUAAACMAwAAAAA=&#10;" filled="f" stroked="f" strokeweight=".5pt">
                  <v:textbox>
                    <w:txbxContent>
                      <w:p w:rsidR="0093783C" w:rsidRPr="0039298D" w:rsidRDefault="0093783C" w:rsidP="00335E4B">
                        <w:pPr>
                          <w:spacing w:line="280" w:lineRule="exact"/>
                          <w:jc w:val="center"/>
                          <w:rPr>
                            <w:rFonts w:ascii="Traditional Arabic" w:hAnsi="Traditional Arabic" w:cs="Traditional Arabic"/>
                            <w:lang w:val="en-CA"/>
                          </w:rPr>
                        </w:pPr>
                        <w:r w:rsidRPr="0039298D">
                          <w:rPr>
                            <w:rFonts w:ascii="Traditional Arabic" w:hAnsi="Traditional Arabic" w:cs="Traditional Arabic"/>
                            <w:sz w:val="28"/>
                            <w:rtl/>
                            <w:lang w:val="en-CA" w:bidi="ar-SY"/>
                          </w:rPr>
                          <w:t>معدن الرصاص</w:t>
                        </w:r>
                      </w:p>
                    </w:txbxContent>
                  </v:textbox>
                </v:shape>
                <v:shape id="Straight Arrow Connector 40" o:spid="_x0000_s1113" type="#_x0000_t32" style="position:absolute;left:12573;top:13515;width:0;height:3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1ERcYAAADcAAAADwAAAGRycy9kb3ducmV2LnhtbESPQWvCQBSE70L/w/IKvUjdWKyt0VVa&#10;QZAeFKOHentkn8li9m3Mrib++26h0OMw880ws0VnK3GjxhvHCoaDBARx7rThQsFhv3p+B+EDssbK&#10;MSm4k4fF/KE3w1S7lnd0y0IhYgn7FBWUIdSplD4vyaIfuJo4eifXWAxRNoXUDbax3FbyJUnG0qLh&#10;uFBiTcuS8nN2tQpGZntpv17N52WzcXLynV/dcdRX6umx+5iCCNSF//AfvdaRexvD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dREXGAAAA3AAAAA8AAAAAAAAA&#10;AAAAAAAAoQIAAGRycy9kb3ducmV2LnhtbFBLBQYAAAAABAAEAPkAAACUAwAAAAA=&#10;" strokecolor="#4a7ebb" strokeweight="3pt">
                  <v:stroke startarrowwidth="wide" startarrowlength="long" endarrow="block"/>
                </v:shape>
                <v:roundrect id="Rounded Rectangle 55" o:spid="_x0000_s1114" style="position:absolute;left:42291;top:44556;width:13716;height:5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kxscA&#10;AADcAAAADwAAAGRycy9kb3ducmV2LnhtbESPQWvCQBSE7wX/w/IEL6VubEVrzCpWKIqHglZojo/s&#10;Mwlm38bsqqm/3i0UPA4z8w2TzFtTiQs1rrSsYNCPQBBnVpecK9h/f768g3AeWWNlmRT8koP5rPOU&#10;YKztlbd02flcBAi7GBUU3texlC4ryKDr25o4eAfbGPRBNrnUDV4D3FTyNYpG0mDJYaHAmpYFZcfd&#10;2ShIRyv9hfuP6Di5PW9+Vm9pecrXSvW67WIKwlPrH+H/9lorGI7H8HcmH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fJMb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93783C" w:rsidRPr="0039298D" w:rsidRDefault="0093783C" w:rsidP="00335E4B">
                        <w:pPr>
                          <w:spacing w:after="40"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منشأة تصنيع حمض الكبريتيك</w:t>
                        </w:r>
                      </w:p>
                    </w:txbxContent>
                  </v:textbox>
                </v:roundrect>
                <v:shape id="Straight Arrow Connector 56" o:spid="_x0000_s1115" type="#_x0000_t32" style="position:absolute;left:12600;top:22599;width:0;height:4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51rMQAAADcAAAADwAAAGRycy9kb3ducmV2LnhtbERPS0/CQBC+m/gfNmPCxcBWgiCVhSgJ&#10;ifGA4XGQ26Q7thu7s6W70PrvnYOJxy/fe7Hqfa2u1EYX2MDDKANFXATruDRwPGyGT6BiQrZYByYD&#10;PxRhtby9WWBuQ8c7uu5TqSSEY44GqpSaXOtYVOQxjkJDLNxXaD0mgW2pbYudhPtaj7Nsqj06loYK&#10;G1pXVHzvL97AxH2cu/dH93reboOefxaXcJrcGzO461+eQSXq07/4z/1mxTeTtXJGjo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nWsxAAAANwAAAAPAAAAAAAAAAAA&#10;AAAAAKECAABkcnMvZG93bnJldi54bWxQSwUGAAAAAAQABAD5AAAAkgMAAAAA&#10;" strokecolor="#4a7ebb" strokeweight="3pt">
                  <v:stroke startarrowwidth="wide" startarrowlength="long" endarrow="block"/>
                </v:shape>
                <v:line id="Straight Connector 34" o:spid="_x0000_s1116" style="position:absolute;flip:x;visibility:visible;mso-wrap-style:square" from="4475,49149" to="10190,4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k/MQAAADcAAAADwAAAGRycy9kb3ducmV2LnhtbESPT4vCMBTE7wt+h/CEvSyaKrJqNYoI&#10;gpc9+O/g7ZE822rzUpq0dr/9RhD2OMzMb5jlurOlaKn2hWMFo2ECglg7U3Cm4HzaDWYgfEA2WDom&#10;Bb/kYb3qfSwxNe7JB2qPIRMRwj5FBXkIVSql1zlZ9ENXEUfv5mqLIco6k6bGZ4TbUo6T5FtaLDgu&#10;5FjRNif9ODZWQev2+n72o9vlR1+/HoVs0HaNUp/9brMAEagL/+F3e28UTKZzeJ2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mT8xAAAANwAAAAPAAAAAAAAAAAA&#10;AAAAAKECAABkcnMvZG93bnJldi54bWxQSwUGAAAAAAQABAD5AAAAkgMAAAAA&#10;" strokecolor="#4a7ebb" strokeweight="3pt">
                  <v:stroke joinstyle="bevel"/>
                </v:line>
                <v:shape id="Straight Arrow Connector 62" o:spid="_x0000_s1117" type="#_x0000_t32" style="position:absolute;left:49149;top:31096;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JjcMAAADcAAAADwAAAGRycy9kb3ducmV2LnhtbERPTWvCQBC9C/0PyxR6KXXTomKjq1Sh&#10;UHqwVHuotyE7JovZ2ZhdTfrvnUPB4+N9z5e9r9WF2ugCG3geZqCIi2AdlwZ+du9PU1AxIVusA5OB&#10;P4qwXNwN5pjb0PE3XbapVBLCMUcDVUpNrnUsKvIYh6EhFu4QWo9JYFtq22In4b7WL1k20R4dS0OF&#10;Da0rKo7bszcwcl+n7nPsVqfNJujX3+Ic9qNHYx7u+7cZqER9uon/3R9WfFOZL2fkCO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CY3DAAAA3AAAAA8AAAAAAAAAAAAA&#10;AAAAoQIAAGRycy9kb3ducmV2LnhtbFBLBQYAAAAABAAEAPkAAACRAwAAAAA=&#10;" strokecolor="#4a7ebb" strokeweight="3pt">
                  <v:stroke startarrowwidth="wide" startarrowlength="long" endarrow="block"/>
                </v:shape>
                <v:shape id="Straight Arrow Connector 63" o:spid="_x0000_s1118" type="#_x0000_t32" style="position:absolute;left:49286;top:40551;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GsFsYAAADcAAAADwAAAGRycy9kb3ducmV2LnhtbESPQWsCMRSE74L/ITzBS9GsxYquRtGC&#10;UHqwVD3o7bF57gY3L+smutt/3xQKHoeZb4ZZrFpbigfV3jhWMBomIIgzpw3nCo6H7WAKwgdkjaVj&#10;UvBDHlbLbmeBqXYNf9NjH3IRS9inqKAIoUql9FlBFv3QVcTRu7jaYoiyzqWusYnltpSvSTKRFg3H&#10;hQIrei8ou+7vVsHYfN2azzezue12Ts5O2d2dxy9K9Xvteg4iUBue4X/6Q0duOoK/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hrBbGAAAA3AAAAA8AAAAAAAAA&#10;AAAAAAAAoQIAAGRycy9kb3ducmV2LnhtbFBLBQYAAAAABAAEAPkAAACUAwAAAAA=&#10;" strokecolor="#4a7ebb" strokeweight="3pt">
                  <v:stroke startarrowwidth="wide" startarrowlength="long" endarrow="block"/>
                </v:shape>
                <v:shape id="Straight Arrow Connector 64" o:spid="_x0000_s1119" type="#_x0000_t32" style="position:absolute;left:52577;top:50056;width:1;height:4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yYcYAAADcAAAADwAAAGRycy9kb3ducmV2LnhtbESPQWvCQBSE70L/w/IKvUjdVLRo6iZU&#10;oVA8KNoe7O2RfU2WZt/G7GrSf+8Kgsdh5pthFnlva3Gm1hvHCl5GCQjiwmnDpYLvr4/nGQgfkDXW&#10;jknBP3nIs4fBAlPtOt7ReR9KEUvYp6igCqFJpfRFRRb9yDXE0ft1rcUQZVtK3WIXy20tx0nyKi0a&#10;jgsVNrSqqPjbn6yCidkeu/XULI+bjZPzQ3FyP5OhUk+P/fsbiEB9uIdv9KeO3GwM1zPxCMj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zMmHGAAAA3AAAAA8AAAAAAAAA&#10;AAAAAAAAoQIAAGRycy9kb3ducmV2LnhtbFBLBQYAAAAABAAEAPkAAACUAwAAAAA=&#10;" strokecolor="#4a7ebb" strokeweight="3pt">
                  <v:stroke startarrowwidth="wide" startarrowlength="long" endarrow="block"/>
                </v:shape>
                <v:line id="Straight Connector 37" o:spid="_x0000_s1120" style="position:absolute;flip:x;visibility:visible;mso-wrap-style:square" from="9034,40232" to="24093,4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cjMcUAAADcAAAADwAAAGRycy9kb3ducmV2LnhtbESPzWrDMBCE74W+g9hAL6WR3YZi3Cim&#10;BAK59JDEOfS2SOufxFoZS3bct48KhR6HmfmGWRez7cREg28dK0iXCQhi7UzLtYLytHvJQPiAbLBz&#10;TAp+yEOxeXxYY27cjQ80HUMtIoR9jgqaEPpcSq8bsuiXrieOXuUGiyHKoZZmwFuE206+Jsm7tNhy&#10;XGiwp21D+nocrYLJ7fWl9Gl1/tLfz9dWjmjnUamnxfz5ASLQHP7Df+29UbDK3uD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cjMcUAAADcAAAADwAAAAAAAAAA&#10;AAAAAAChAgAAZHJzL2Rvd25yZXYueG1sUEsFBgAAAAAEAAQA+QAAAJMDAAAAAA==&#10;" strokecolor="#4a7ebb" strokeweight="3pt">
                  <v:stroke joinstyle="bevel"/>
                </v:line>
                <v:shape id="Straight Arrow Connector 39" o:spid="_x0000_s1121" type="#_x0000_t32" style="position:absolute;left:31677;top:26289;width:106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Xh8UAAADcAAAADwAAAGRycy9kb3ducmV2LnhtbESPQUsDMRSE74L/ITzBi9hspbR1bVqq&#10;KHjttkiPz+R1s7h5WTbPduuvN4LQ4zAz3zCL1RBadaQ+NZENjEcFKGIbXcO1gd327X4OKgmywzYy&#10;GThTgtXy+mqBpYsn3tCxklplCKcSDXiRrtQ6WU8B0yh2xNk7xD6gZNnX2vV4yvDQ6oeimOqADecF&#10;jx29eLJf1XcwMLWfh/1+56w/V8+Pd5uZvP58iDG3N8P6CZTQIJfwf/vdGZjMJ/B3Jh8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fXh8UAAADcAAAADwAAAAAAAAAA&#10;AAAAAAChAgAAZHJzL2Rvd25yZXYueG1sUEsFBgAAAAAEAAQA+QAAAJMDAAAAAA==&#10;" strokecolor="#4a7ebb" strokeweight="3pt">
                  <v:stroke startarrowwidth="wide" startarrowlength="long" endarrow="block" joinstyle="bevel" endcap="round"/>
                </v:shape>
                <v:shape id="Text Box 60" o:spid="_x0000_s1122" type="#_x0000_t202" style="position:absolute;left:30509;top:26289;width:11169;height:5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JRccA&#10;AADcAAAADwAAAGRycy9kb3ducmV2LnhtbESPQWvCQBSE7wX/w/IK3uqmQ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CUXHAAAA3AAAAA8AAAAAAAAAAAAAAAAAmAIAAGRy&#10;cy9kb3ducmV2LnhtbFBLBQYAAAAABAAEAPUAAACMAwAAAAA=&#10;" filled="f" stroked="f" strokeweight=".5pt">
                  <v:textbox>
                    <w:txbxContent>
                      <w:p w:rsidR="0093783C" w:rsidRPr="0039298D" w:rsidRDefault="0093783C" w:rsidP="00335E4B">
                        <w:pP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المواد الجسيمية</w:t>
                        </w:r>
                      </w:p>
                    </w:txbxContent>
                  </v:textbox>
                </v:shape>
                <v:shape id="Straight Arrow Connector 61" o:spid="_x0000_s1123" type="#_x0000_t32" style="position:absolute;left:31644;top:23041;width:17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6sUAAADcAAAADwAAAGRycy9kb3ducmV2LnhtbESPQWsCMRSE7wX/Q3hCbzVra0VWo6yC&#10;IJQetAU9PjbP3W03L2mSuuu/N4WCx2FmvmEWq9604kI+NJYVjEcZCOLS6oYrBZ8f26cZiBCRNbaW&#10;ScGVAqyWg4cF5tp2vKfLIVYiQTjkqKCO0eVShrImg2FkHXHyztYbjEn6SmqPXYKbVj5n2VQabDgt&#10;1OhoU1P5ffg1Ck776+sbrQvjd++Fc1/HLnv5KZR6HPbFHESkPt7D/+2dVjCZTe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I6sUAAADcAAAADwAAAAAAAAAA&#10;AAAAAAChAgAAZHJzL2Rvd25yZXYueG1sUEsFBgAAAAAEAAQA+QAAAJMDAAAAAA==&#10;" strokecolor="#4a7ebb" strokeweight="3pt">
                  <v:stroke startarrowwidth="wide" startarrowlength="long" endarrow="block" joinstyle="bevel" endcap="round"/>
                </v:shape>
                <v:shape id="_x0000_s1124" type="#_x0000_t202" style="position:absolute;left:34366;top:20237;width:9195;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yqccA&#10;AADcAAAADwAAAGRycy9kb3ducmV2LnhtbESPzWvCQBTE70L/h+UVetNNp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MqnHAAAA3AAAAA8AAAAAAAAAAAAAAAAAmAIAAGRy&#10;cy9kb3ducmV2LnhtbFBLBQYAAAAABAAEAPUAAACMAwAAAAA=&#10;" filled="f" stroked="f" strokeweight=".5pt">
                  <v:textbox>
                    <w:txbxContent>
                      <w:p w:rsidR="0093783C" w:rsidRPr="0039298D" w:rsidRDefault="0093783C" w:rsidP="00335E4B">
                        <w:pPr>
                          <w:spacing w:after="40" w:line="280" w:lineRule="exact"/>
                          <w:jc w:val="center"/>
                          <w:rPr>
                            <w:rFonts w:ascii="Traditional Arabic" w:hAnsi="Traditional Arabic" w:cs="Traditional Arabic"/>
                            <w:sz w:val="26"/>
                            <w:szCs w:val="26"/>
                            <w:lang w:val="en-CA"/>
                          </w:rPr>
                        </w:pPr>
                        <w:r w:rsidRPr="0039298D">
                          <w:rPr>
                            <w:rFonts w:ascii="Traditional Arabic" w:hAnsi="Traditional Arabic" w:cs="Traditional Arabic"/>
                            <w:sz w:val="26"/>
                            <w:szCs w:val="26"/>
                            <w:rtl/>
                            <w:lang w:val="en-CA"/>
                          </w:rPr>
                          <w:t>الغاز المنبعث</w:t>
                        </w:r>
                      </w:p>
                    </w:txbxContent>
                  </v:textbox>
                </v:shape>
                <v:shape id="_x0000_s1125" type="#_x0000_t202" style="position:absolute;left:17062;top:40557;width:9842;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28QA&#10;AADcAAAADwAAAGRycy9kb3ducmV2LnhtbERPTWvCQBC9F/wPywi9NRtF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ptvEAAAA3AAAAA8AAAAAAAAAAAAAAAAAmAIAAGRycy9k&#10;b3ducmV2LnhtbFBLBQYAAAAABAAEAPUAAACJAwAAAAA=&#10;" filled="f" stroked="f" strokeweight=".5pt">
                  <v:textbox>
                    <w:txbxContent>
                      <w:p w:rsidR="0093783C" w:rsidRPr="0039298D" w:rsidRDefault="0093783C" w:rsidP="00335E4B">
                        <w:pPr>
                          <w:spacing w:line="280" w:lineRule="exact"/>
                          <w:jc w:val="center"/>
                          <w:rPr>
                            <w:rFonts w:ascii="Traditional Arabic" w:hAnsi="Traditional Arabic" w:cs="Traditional Arabic"/>
                            <w:lang w:val="en-CA" w:bidi="ar-SY"/>
                          </w:rPr>
                        </w:pPr>
                        <w:r w:rsidRPr="0039298D">
                          <w:rPr>
                            <w:rFonts w:ascii="Traditional Arabic" w:hAnsi="Traditional Arabic" w:cs="Traditional Arabic"/>
                            <w:sz w:val="28"/>
                            <w:rtl/>
                            <w:lang w:val="en-CA" w:bidi="ar-SY"/>
                          </w:rPr>
                          <w:t>سبائك الرصاص</w:t>
                        </w:r>
                      </w:p>
                    </w:txbxContent>
                  </v:textbox>
                </v:shape>
                <v:shape id="_x0000_s1126" type="#_x0000_t202" style="position:absolute;left:48007;top:54864;width:10287;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QMYA&#10;AADcAAAADwAAAGRycy9kb3ducmV2LnhtbESPQWvCQBSE70L/w/IKvemmo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DQMYAAADcAAAADwAAAAAAAAAAAAAAAACYAgAAZHJz&#10;L2Rvd25yZXYueG1sUEsFBgAAAAAEAAQA9QAAAIsDAAAAAA==&#10;" filled="f" stroked="f" strokeweight=".5pt">
                  <v:textbox>
                    <w:txbxContent>
                      <w:p w:rsidR="0093783C" w:rsidRPr="0039298D" w:rsidRDefault="0093783C" w:rsidP="00335E4B">
                        <w:pPr>
                          <w:spacing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حمض الكبريتيك</w:t>
                        </w:r>
                      </w:p>
                    </w:txbxContent>
                  </v:textbox>
                </v:shape>
                <v:line id="Straight Connector 75" o:spid="_x0000_s1127" style="position:absolute;flip:x;visibility:visible;mso-wrap-style:square" from="36575,38265" to="42289,3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3+38AAAADcAAAADwAAAGRycy9kb3ducmV2LnhtbERPTYvCMBC9L/gfwgje1tS1LGs1iggr&#10;ggdZt+J1aMa22ExKEmv99+YgeHy878WqN43oyPnasoLJOAFBXFhdc6kg///9/AHhA7LGxjIpeJCH&#10;1XLwscBM2zv/UXcMpYgh7DNUUIXQZlL6oiKDfmxb4shdrDMYInSl1A7vMdw08itJvqXBmmNDhS1t&#10;Kiqux5tR0K3zWXrdTo3r93VqT/nuEM5WqdGwX89BBOrDW/xy77SCdBbnxzPxCM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d/t/AAAAA3AAAAA8AAAAAAAAAAAAAAAAA&#10;oQIAAGRycy9kb3ducmV2LnhtbFBLBQYAAAAABAAEAPkAAACOAwAAAAA=&#10;" strokecolor="#4a7ebb" strokeweight="3pt">
                  <v:stroke endcap="round"/>
                </v:line>
                <v:shape id="Straight Arrow Connector 76" o:spid="_x0000_s1128" type="#_x0000_t32" style="position:absolute;left:36575;top:38265;width:0;height:108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6y8YAAADcAAAADwAAAGRycy9kb3ducmV2LnhtbESPQWvCQBSE74L/YXlCL1I3FpWauglt&#10;oVB6sFQ92Nsj+0wWs29jdjXpv+8Kgsdh5pthVnlva3Gh1hvHCqaTBARx4bThUsFu+/H4DMIHZI21&#10;Y1LwRx7ybDhYYapdxz902YRSxBL2KSqoQmhSKX1RkUU/cQ1x9A6utRiibEupW+xiua3lU5IspEXD&#10;caHCht4rKo6bs1UwM9+n7mtu3k7rtZPLfXF2v7OxUg+j/vUFRKA+3MM3+lNHbjmF65l4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4OsvGAAAA3AAAAA8AAAAAAAAA&#10;AAAAAAAAoQIAAGRycy9kb3ducmV2LnhtbFBLBQYAAAAABAAEAPkAAACUAwAAAAA=&#10;" strokecolor="#4a7ebb" strokeweight="3pt">
                  <v:stroke startarrowwidth="wide" startarrowlength="long" endarrow="block"/>
                </v:shape>
                <v:shape id="_x0000_s1129" type="#_x0000_t202" style="position:absolute;left:32004;top:49020;width:8327;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H7McA&#10;AADcAAAADwAAAGRycy9kb3ducmV2LnhtbESPzWvCQBTE7wX/h+UJ3urG0BaNWUUC0lLswY+Lt2f2&#10;5QOzb2N21dS/vlso9DjMzG+YdNmbRtyoc7VlBZNxBII4t7rmUsFhv36egnAeWWNjmRR8k4PlYvCU&#10;YqLtnbd02/lSBAi7BBVU3reJlC6vyKAb25Y4eIXtDPogu1LqDu8BbhoZR9GbNFhzWKiwpayi/Ly7&#10;GgWf2foLt6fYTB9N9r4pVu3lcHxVajTsV3MQnnr/H/5rf2gFL7M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uB+zHAAAA3AAAAA8AAAAAAAAAAAAAAAAAmAIAAGRy&#10;cy9kb3ducmV2LnhtbFBLBQYAAAAABAAEAPUAAACMAwAAAAA=&#10;" filled="f" stroked="f" strokeweight=".5pt">
                  <v:textbox>
                    <w:txbxContent>
                      <w:p w:rsidR="0093783C" w:rsidRPr="0039298D" w:rsidRDefault="0093783C" w:rsidP="00335E4B">
                        <w:pPr>
                          <w:spacing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نفايات الزئبق</w:t>
                        </w:r>
                      </w:p>
                    </w:txbxContent>
                  </v:textbox>
                </v:shape>
                <v:roundrect id="Rounded Rectangle 54" o:spid="_x0000_s1130" style="position:absolute;left:42291;top:35101;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EP8cA&#10;AADcAAAADwAAAGRycy9kb3ducmV2LnhtbESPQWvCQBSE7wX/w/KEXopu2hSp0VXaQknwIGgFPT6y&#10;zySYfZtmtyb117tCweMwM98w82VvanGm1lWWFTyPIxDEudUVFwp231+jNxDOI2usLZOCP3KwXAwe&#10;5pho2/GGzltfiABhl6CC0vsmkdLlJRl0Y9sQB+9oW4M+yLaQusUuwE0tX6JoIg1WHBZKbOizpPy0&#10;/TUKDpNUr3H3EZ2ml6fVPo0P1U+RKfU47N9nIDz1/h7+b2dawes0htuZc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oxD/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93783C" w:rsidRPr="0039298D" w:rsidRDefault="0093783C" w:rsidP="00335E4B">
                        <w:pPr>
                          <w:spacing w:before="120" w:after="40"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إزالة الزئبق</w:t>
                        </w:r>
                      </w:p>
                    </w:txbxContent>
                  </v:textbox>
                </v:roundrect>
                <v:roundrect id="Rounded Rectangle 17" o:spid="_x0000_s1131" style="position:absolute;left:18021;top:21977;width:13659;height:51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cS8gA&#10;AADcAAAADwAAAGRycy9kb3ducmV2LnhtbESPT2vCQBTE7wW/w/KEXkrdaEU0dRUVSqQHwT9Qj4/s&#10;axLMvo27W5P203cLBY/DzPyGmS87U4sbOV9ZVjAcJCCIc6srLhScjm/PUxA+IGusLZOCb/KwXPQe&#10;5phq2/KebodQiAhhn6KCMoQmldLnJRn0A9sQR+/TOoMhSldI7bCNcFPLUZJMpMGK40KJDW1Kyi+H&#10;L6PgPMn0Dk/r5DL7eXr/yF7O1bXYKvXY71avIAJ14R7+b2+1gvFsDH9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AVxLyAAAANwAAAAPAAAAAAAAAAAAAAAAAJgCAABk&#10;cnMvZG93bnJldi54bWxQSwUGAAAAAAQABAD1AAAAjQMAAAAA&#10;" fillcolor="#a3c4ff" strokecolor="#4a7ebb">
                  <v:fill color2="#e5eeff" rotate="t" angle="180" colors="0 #a3c4ff;22938f #bfd5ff;1 #e5eeff" focus="100%" type="gradient"/>
                  <v:shadow on="t" color="black" opacity="24903f" origin=",.5" offset="0,.55556mm"/>
                  <v:textbox>
                    <w:txbxContent>
                      <w:p w:rsidR="0093783C" w:rsidRPr="0039298D" w:rsidRDefault="0093783C" w:rsidP="00335E4B">
                        <w:pPr>
                          <w:spacing w:before="120" w:after="40"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الصهر المباشر</w:t>
                        </w:r>
                      </w:p>
                    </w:txbxContent>
                  </v:textbox>
                </v:roundrect>
                <v:roundrect id="Rounded Rectangle 18" o:spid="_x0000_s1132" style="position:absolute;left:10090;top:45910;width:13443;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50McA&#10;AADcAAAADwAAAGRycy9kb3ducmV2LnhtbESPQWvCQBSE70L/w/IKXsRsqq1odJW2IIqHQqNgjo/s&#10;Mwlm36bZrcb+erdQ6HGYmW+YxaoztbhQ6yrLCp6iGARxbnXFhYLDfj2cgnAeWWNtmRTcyMFq+dBb&#10;YKLtlT/pkvpCBAi7BBWU3jeJlC4vyaCLbEMcvJNtDfog20LqFq8Bbmo5iuOJNFhxWCixofeS8nP6&#10;bRRkk43+wMNbfJ79DHbHzTirvoqtUv3H7nUOwlPn/8N/7a1W8Dx7gd8z4Qj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N+dD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93783C" w:rsidRPr="0039298D" w:rsidRDefault="0093783C" w:rsidP="00335E4B">
                        <w:pPr>
                          <w:spacing w:before="120" w:after="40" w:line="280" w:lineRule="exact"/>
                          <w:jc w:val="center"/>
                          <w:rPr>
                            <w:rFonts w:ascii="Traditional Arabic" w:hAnsi="Traditional Arabic" w:cs="Traditional Arabic"/>
                          </w:rPr>
                        </w:pPr>
                        <w:r w:rsidRPr="0039298D">
                          <w:rPr>
                            <w:rFonts w:ascii="Traditional Arabic" w:hAnsi="Traditional Arabic" w:cs="Traditional Arabic"/>
                            <w:sz w:val="28"/>
                            <w:rtl/>
                            <w:lang w:val="en-CA" w:bidi="ar-SY"/>
                          </w:rPr>
                          <w:t>التنقية</w:t>
                        </w:r>
                      </w:p>
                    </w:txbxContent>
                  </v:textbox>
                </v:roundrect>
                <v:roundrect id="Rounded Rectangle 41" o:spid="_x0000_s1133" style="position:absolute;left:2286;top:27432;width:13652;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np8cA&#10;AADcAAAADwAAAGRycy9kb3ducmV2LnhtbESPT2vCQBTE7wW/w/KEXopubEvQ6CoqiNKD4B/Q4yP7&#10;TILZtzG7auqndwsFj8PM/IYZTRpTihvVrrCsoNeNQBCnVhecKdjvFp0+COeRNZaWScEvOZiMW28j&#10;TLS984ZuW5+JAGGXoILc+yqR0qU5GXRdWxEH72Rrgz7IOpO6xnuAm1J+RlEsDRYcFnKsaJ5Tet5e&#10;jYJjvNRr3M+i8+Dx8XNYfh2LS7ZS6r3dTIcgPDX+Ff5vr7SC70EMf2fCEZDj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fZ6f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93783C" w:rsidRPr="0039298D" w:rsidRDefault="0093783C" w:rsidP="00335E4B">
                        <w:pPr>
                          <w:spacing w:before="120" w:after="40" w:line="280" w:lineRule="exact"/>
                          <w:jc w:val="center"/>
                          <w:rPr>
                            <w:rFonts w:ascii="Traditional Arabic" w:hAnsi="Traditional Arabic" w:cs="Traditional Arabic"/>
                            <w:sz w:val="28"/>
                            <w:rtl/>
                            <w:lang w:val="en-GB" w:bidi="ar-SY"/>
                          </w:rPr>
                        </w:pPr>
                        <w:r w:rsidRPr="0039298D">
                          <w:rPr>
                            <w:rFonts w:ascii="Traditional Arabic" w:hAnsi="Traditional Arabic" w:cs="Traditional Arabic"/>
                            <w:sz w:val="28"/>
                            <w:rtl/>
                            <w:lang w:val="en-GB" w:bidi="ar-SY"/>
                          </w:rPr>
                          <w:t>الصهر في الفرن العالي</w:t>
                        </w:r>
                      </w:p>
                    </w:txbxContent>
                  </v:textbox>
                </v:roundrect>
                <v:shape id="Straight Arrow Connector 45" o:spid="_x0000_s1134" type="#_x0000_t32" style="position:absolute;left:21611;top:13506;width:0;height:8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0HJMYAAADcAAAADwAAAGRycy9kb3ducmV2LnhtbESPQWvCQBSE70L/w/IKXkQ3LVo1dZVW&#10;KBQPSqMHe3tkX5Ol2bcxu5r033cFweMw880wi1VnK3GhxhvHCp5GCQji3GnDhYLD/mM4A+EDssbK&#10;MSn4Iw+r5UNvgal2LX/RJQuFiCXsU1RQhlCnUvq8JIt+5Gri6P24xmKIsimkbrCN5baSz0nyIi0a&#10;jgsl1rQuKf/NzlbB2OxO7WZi3k/brZPzY3523+OBUv3H7u0VRKAu3MM3+lNHbj6F65l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dByTGAAAA3AAAAA8AAAAAAAAA&#10;AAAAAAAAoQIAAGRycy9kb3ducmV2LnhtbFBLBQYAAAAABAAEAPkAAACUAwAAAAA=&#10;" strokecolor="#4a7ebb" strokeweight="3pt">
                  <v:stroke startarrowwidth="wide" startarrowlength="long" endarrow="block"/>
                </v:shape>
                <v:shape id="Straight Arrow Connector 46" o:spid="_x0000_s1135" type="#_x0000_t32" style="position:absolute;left:17143;top:40232;width:2;height:56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b9v8AAAADcAAAADwAAAGRycy9kb3ducmV2LnhtbERPTYvCMBC9L/gfwgje1lQRWatRRHAp&#10;LIKrgtexGdvaZlKabNv99+YgeHy879WmN5VoqXGFZQWTcQSCOLW64EzB5bz//ALhPLLGyjIp+CcH&#10;m/XgY4Wxth3/UnvymQgh7GJUkHtfx1K6NCeDbmxr4sDdbWPQB9hkUjfYhXBTyWkUzaXBgkNDjjXt&#10;ckrL059RcOO2pIM0j/L4Q7fvJLmedcdKjYb9dgnCU+/f4pc70Qpmi7A2nAlH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W/b/AAAAA3AAAAA8AAAAAAAAAAAAAAAAA&#10;oQIAAGRycy9kb3ducmV2LnhtbFBLBQYAAAAABAAEAPkAAACOAwAAAAA=&#10;" strokecolor="#4a7ebb" strokeweight="3pt">
                  <v:stroke startarrowwidth="wide" startarrowlength="long" endarrow="block"/>
                </v:shape>
                <v:shape id="Straight Arrow Connector 47" o:spid="_x0000_s1136" type="#_x0000_t32" style="position:absolute;left:9112;top:32886;width:0;height:76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pYJMMAAADcAAAADwAAAGRycy9kb3ducmV2LnhtbESP3WrCQBSE7wu+w3IE7+rGIkWjq4hQ&#10;CZRC/QFvj9ljEpM9G7Jrkr59VxC8HGbmG2a57k0lWmpcYVnBZByBIE6tLjhTcDp+vc9AOI+ssbJM&#10;Cv7IwXo1eFtirG3He2oPPhMBwi5GBbn3dSylS3My6Ma2Jg7e1TYGfZBNJnWDXYCbSn5E0ac0WHBY&#10;yLGmbU5pebgbBRduS/qR5lb+ftNllyTno+5YqdGw3yxAeOr9K/xsJ1rBdD6Hx5lw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aWCTDAAAA3AAAAA8AAAAAAAAAAAAA&#10;AAAAoQIAAGRycy9kb3ducmV2LnhtbFBLBQYAAAAABAAEAPkAAACRAwAAAAA=&#10;" strokecolor="#4a7ebb" strokeweight="3pt">
                  <v:stroke startarrowwidth="wide" startarrowlength="long" endarrow="block"/>
                </v:shape>
                <v:shape id="Straight Arrow Connector 48" o:spid="_x0000_s1137" type="#_x0000_t32" style="position:absolute;left:24123;top:27146;width:0;height:130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8FSsMAAADcAAAADwAAAGRycy9kb3ducmV2LnhtbERPz2vCMBS+D/wfwhO8DE0nKlqN4gRh&#10;eHBMPejt0TzbYPNSm2i7/94cBjt+fL8Xq9aW4km1N44VfAwSEMSZ04ZzBafjtj8F4QOyxtIxKfgl&#10;D6tl522BqXYN/9DzEHIRQ9inqKAIoUql9FlBFv3AVcSRu7raYoiwzqWusYnhtpTDJJlIi4ZjQ4EV&#10;bQrKboeHVTAy3/dmNzaf9/3eydk5e7jL6F2pXrddz0EEasO/+M/9pRWMkzg/no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fBUrDAAAA3AAAAA8AAAAAAAAAAAAA&#10;AAAAoQIAAGRycy9kb3ducmV2LnhtbFBLBQYAAAAABAAEAPkAAACRAwAAAAA=&#10;" strokecolor="#4a7ebb" strokeweight="3pt">
                  <v:stroke startarrowwidth="wide" startarrowlength="long" endarrow="block"/>
                </v:shape>
                <v:line id="Straight Connector 49" o:spid="_x0000_s1138" style="position:absolute;flip:x y;visibility:visible;mso-wrap-style:square" from="17142,14859" to="17144,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3PoMQAAADcAAAADwAAAGRycy9kb3ducmV2LnhtbESPUWvCMBSF3wf+h3AHe5upE6d0RpEO&#10;YTCEWYW9XpprU9bctE3U7N8bYbDHwznnO5zlOtpWXGjwjWMFk3EGgrhyuuFawfGwfV6A8AFZY+uY&#10;FPySh/Vq9LDEXLsr7+lShlokCPscFZgQulxKXxmy6MeuI07eyQ0WQ5JDLfWA1wS3rXzJsldpseG0&#10;YLCjwlD1U56tgoI/TTWdzr/tjr7KPp76+F70Sj09xs0biEAx/If/2h9awSybwP1MO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c+gxAAAANwAAAAPAAAAAAAAAAAA&#10;AAAAAKECAABkcnMvZG93bnJldi54bWxQSwUGAAAAAAQABAD5AAAAkgMAAAAA&#10;" strokeweight="2pt">
                  <v:stroke dashstyle="dash" joinstyle="bevel" endcap="round"/>
                </v:line>
                <v:shape id="Straight Arrow Connector 50" o:spid="_x0000_s1139" type="#_x0000_t32" style="position:absolute;left:28387;top:27432;width:0;height:217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G0cAAAADcAAAADwAAAGRycy9kb3ducmV2LnhtbESPQYvCMBSE7wv+h/AEb2uiYFeqUUR2&#10;wavu4vnRPJti81Kb2NZ/bwRhj8PMfMOst4OrRUdtqDxrmE0VCOLCm4pLDX+/P59LECEiG6w9k4YH&#10;BdhuRh9rzI3v+UjdKZYiQTjkqMHG2ORShsKSwzD1DXHyLr51GJNsS2la7BPc1XKuVCYdVpwWLDa0&#10;t1RcT3eXKLOj7fe2i9nX+Sa/TaHOi0xpPRkPuxWISEP8D7/bB6NhoebwOpOOgN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nRtHAAAAA3AAAAA8AAAAAAAAAAAAAAAAA&#10;oQIAAGRycy9kb3ducmV2LnhtbFBLBQYAAAAABAAEAPkAAACOAwAAAAA=&#10;" strokecolor="#4a7ebb" strokeweight="3pt">
                  <v:stroke startarrowwidth="wide" startarrowlength="long" endarrow="block" endcap="round"/>
                </v:shape>
                <v:line id="Straight Connector 51" o:spid="_x0000_s1140" style="position:absolute;flip:x;visibility:visible;mso-wrap-style:square" from="23559,49149" to="28386,4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9sMAAADcAAAADwAAAGRycy9kb3ducmV2LnhtbESPQYvCMBSE7wv+h/AEL4umurhINYoI&#10;ghcPavfg7ZE822rzUpq01n9vFhb2OMzMN8xq09tKdNT40rGC6SQBQaydKTlXkF324wUIH5ANVo5J&#10;wYs8bNaDjxWmxj35RN055CJC2KeooAihTqX0uiCLfuJq4ujdXGMxRNnk0jT4jHBbyVmSfEuLJceF&#10;AmvaFaQf59Yq6NxB3zM/vf0c9fXzUcoWbd8qNRr22yWIQH34D/+1D0bBPPmC3zPxCMj1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lL/bDAAAA3AAAAA8AAAAAAAAAAAAA&#10;AAAAoQIAAGRycy9kb3ducmV2LnhtbFBLBQYAAAAABAAEAPkAAACRAwAAAAA=&#10;" strokecolor="#4a7ebb" strokeweight="3pt">
                  <v:stroke joinstyle="bevel"/>
                </v:line>
                <v:shape id="Text Box 52" o:spid="_x0000_s1141" type="#_x0000_t202" style="position:absolute;left:23285;top:49022;width:8719;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gGcYA&#10;AADcAAAADwAAAGRycy9kb3ducmV2LnhtbESPQWvCQBSE74X+h+UJvdWN0ohEVwkBaSn2oPXi7Zl9&#10;JsHs2zS7TaK/3i0IPQ4z8w2zXA+mFh21rrKsYDKOQBDnVldcKDh8b17nIJxH1lhbJgVXcrBePT8t&#10;MdG25x11e1+IAGGXoILS+yaR0uUlGXRj2xAH72xbgz7ItpC6xT7ATS2nUTSTBisOCyU2lJWUX/a/&#10;RsFntvnC3Wlq5rc6e9+e0+bncIyVehkN6QKEp8H/hx/tD60gjt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CgGcYAAADcAAAADwAAAAAAAAAAAAAAAACYAgAAZHJz&#10;L2Rvd25yZXYueG1sUEsFBgAAAAAEAAQA9QAAAIsDAAAAAA==&#10;" filled="f" stroked="f" strokeweight=".5pt">
                  <v:textbox>
                    <w:txbxContent>
                      <w:p w:rsidR="0093783C" w:rsidRPr="0039298D" w:rsidRDefault="0093783C" w:rsidP="00335E4B">
                        <w:pPr>
                          <w:spacing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الخبث، المواد الجسيمية</w:t>
                        </w:r>
                        <w:r w:rsidRPr="0039298D">
                          <w:rPr>
                            <w:rFonts w:ascii="Traditional Arabic" w:hAnsi="Traditional Arabic" w:cs="Traditional Arabic"/>
                            <w:sz w:val="28"/>
                            <w:lang w:val="en-CA" w:bidi="ar-SY"/>
                          </w:rPr>
                          <w:t xml:space="preserve"> </w:t>
                        </w:r>
                      </w:p>
                    </w:txbxContent>
                  </v:textbox>
                </v:shape>
                <v:shape id="Straight Arrow Connector 65" o:spid="_x0000_s1142" type="#_x0000_t32" style="position:absolute;left:22729;top:20360;width:26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8aWsUAAADcAAAADwAAAGRycy9kb3ducmV2LnhtbESPQUsDMRSE74L/ITyhN5vYsiJr07IK&#10;hULpoa2gx8fmubu6eYlJ2t3++0YQPA4z8w2zWI22F2cKsXOs4WGqQBDXznTcaHg7ru+fQMSEbLB3&#10;TBouFGG1vL1ZYGncwHs6H1IjMoRjiRralHwpZaxbshinzhNn79MFiynL0EgTcMhw28uZUo/SYsd5&#10;oUVPry3V34eT1fCxvxRbeqls2Owq77/eBzX/qbSe3I3VM4hEY/oP/7U3RkOhCvg9k4+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8aWsUAAADcAAAADwAAAAAAAAAA&#10;AAAAAAChAgAAZHJzL2Rvd25yZXYueG1sUEsFBgAAAAAEAAQA+QAAAJMDAAAAAA==&#10;" strokecolor="#4a7ebb" strokeweight="3pt">
                  <v:stroke startarrowwidth="wide" startarrowlength="long" endarrow="block" joinstyle="bevel" endcap="round"/>
                </v:shape>
                <v:line id="Straight Connector 69" o:spid="_x0000_s1143" style="position:absolute;flip:x;visibility:visible;mso-wrap-style:square" from="15940,20360" to="20425,2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ZKsUAAADcAAAADwAAAGRycy9kb3ducmV2LnhtbESPT2vCQBTE7wW/w/IEb3Xjn0qbuooI&#10;iuChNI14fWSfSTD7NuyuMX57t1DocZiZ3zDLdW8a0ZHztWUFk3ECgriwuuZSQf6ze30H4QOyxsYy&#10;KXiQh/Vq8LLEVNs7f1OXhVJECPsUFVQhtKmUvqjIoB/bljh6F+sMhihdKbXDe4SbRk6TZCEN1hwX&#10;KmxpW1FxzW5GQbfJP+bX/cy4/ljP7Sk/fIWzVWo07DefIAL14T/81z5oBW/JAn7PxCM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NZKsUAAADcAAAADwAAAAAAAAAA&#10;AAAAAAChAgAAZHJzL2Rvd25yZXYueG1sUEsFBgAAAAAEAAQA+QAAAJMDAAAAAA==&#10;" strokecolor="#4a7ebb" strokeweight="3pt">
                  <v:stroke endcap="round"/>
                </v:line>
                <v:group id="Group 4" o:spid="_x0000_s1144" style="position:absolute;left:20425;top:19430;width:2333;height:2287" coordorigin="30108,6857" coordsize="233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Arc 2" o:spid="_x0000_s1145" style="position:absolute;left:30108;top:6858;width:2287;height:2286;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Ngb8A&#10;AADcAAAADwAAAGRycy9kb3ducmV2LnhtbERPzWoCMRC+F3yHMIK3mihY6tYoRRC9Se0+wLgZN2k3&#10;k3UT1/XtzaHQ48f3v9oMvhE9ddEF1jCbKhDEVTCOaw3l9+71HURMyAabwKThQRE269HLCgsT7vxF&#10;/SnVIodwLFCDTaktpIyVJY9xGlrizF1C5zFl2NXSdHjP4b6Rc6XepEfHucFiS1tL1e/p5jXs99ej&#10;w3PPP5emtmp55dItWOvJePj8AJFoSP/iP/fBaFiovDafyUd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qI2BvwAAANwAAAAPAAAAAAAAAAAAAAAAAJgCAABkcnMvZG93bnJl&#10;di54bWxQSwUGAAAAAAQABAD1AAAAhAMAAAAA&#10;" path="m114336,nsc167778,,214090,37007,225864,89119l114337,114300v,-38100,-1,-76200,-1,-114300xem114336,nfc167778,,214090,37007,225864,89119e" filled="f" strokecolor="#4a7ebb" strokeweight="3pt">
                    <v:stroke endcap="round"/>
                    <v:path arrowok="t" o:connecttype="custom" o:connectlocs="114336,0;225864,89119" o:connectangles="0,0"/>
                  </v:shape>
                  <v:shape id="Arc 73" o:spid="_x0000_s1146" style="position:absolute;left:30155;top:6858;width:2287;height:2286;rotation:-4925144fd;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anMQA&#10;AADcAAAADwAAAGRycy9kb3ducmV2LnhtbESPQUsDMRSE74L/ITzBm80qrOi2aSmCKMUeXMXz6+Z1&#10;s3Tz3rKJbdpf3whCj8PMfMPMFsn3ak9j6IQN3E8KUMSN2I5bA99fr3dPoEJEttgLk4EjBVjMr69m&#10;WFk58Cft69iqDOFQoQEX41BpHRpHHsNEBuLsbWX0GLMcW21HPGS47/VDUTxqjx3nBYcDvThqdvWv&#10;NyCn02btJeGq/pDk3qj8WdrSmNubtJyCipTiJfzffrcGyuIZ/s7kI6D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EGpzEAAAA3AAAAA8AAAAAAAAAAAAAAAAAmAIAAGRycy9k&#10;b3ducmV2LnhtbFBLBQYAAAAABAAEAPUAAACJAwAAAAA=&#10;" path="m114336,nsc167778,,214090,37007,225864,89119l114337,114300v,-38100,-1,-76200,-1,-114300xem114336,nfc167778,,214090,37007,225864,89119e" filled="f" strokecolor="#4a7ebb" strokeweight="3pt">
                    <v:stroke endcap="round"/>
                    <v:path arrowok="t" o:connecttype="custom" o:connectlocs="114336,0;225864,89119" o:connectangles="0,0"/>
                  </v:shape>
                </v:group>
                <v:roundrect id="Rounded Rectangle 44" o:spid="_x0000_s1147" style="position:absolute;left:2387;top:17145;width:13653;height:51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hWj8MA&#10;AADcAAAADwAAAGRycy9kb3ducmV2LnhtbERPy4rCMBTdC/5DuMJsRFNHFK1GcQZEcSH4AF1emmtb&#10;bG46TUarX28WgsvDeU/ntSnEjSqXW1bQ60YgiBOrc04VHA/LzgiE88gaC8uk4EEO5rNmY4qxtnfe&#10;0W3vUxFC2MWoIPO+jKV0SUYGXdeWxIG72MqgD7BKpa7wHsJNIb+jaCgN5hwaMizpN6Pkuv83Cs7D&#10;ld7i8Se6jp/tzWnVP+d/6Vqpr1a9mIDwVPuP+O1eawWDXpgfzo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hWj8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93783C" w:rsidRPr="0039298D" w:rsidRDefault="0093783C" w:rsidP="00335E4B">
                        <w:pPr>
                          <w:spacing w:before="120" w:after="40" w:line="30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rPr>
                          <w:t>التلبيد</w:t>
                        </w:r>
                      </w:p>
                    </w:txbxContent>
                  </v:textbox>
                </v:roundrect>
                <v:shape id="Text Box 81" o:spid="_x0000_s1148" type="#_x0000_t202" style="position:absolute;left:34366;top:23044;width:880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VXMYA&#10;AADcAAAADwAAAGRycy9kb3ducmV2LnhtbESPQWvCQBSE74X+h+UVvNVNBEtIXUUC0iL2YMylt2f2&#10;mQR336bZrcb++m6h4HGYmW+YxWq0Rlxo8J1jBek0AUFcO91xo6A6bJ4zED4gazSOScGNPKyWjw8L&#10;zLW78p4uZWhEhLDPUUEbQp9L6euWLPqp64mjd3KDxRDl0Eg94DXCrZGzJHmRFjuOCy32VLRUn8tv&#10;q2BbbD5wf5zZ7McUb7vTuv+qPudKTZ7G9SuIQGO4h//b71rBPE3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6VXMYAAADcAAAADwAAAAAAAAAAAAAAAACYAgAAZHJz&#10;L2Rvd25yZXYueG1sUEsFBgAAAAAEAAQA9QAAAIsDAAAAAA==&#10;" filled="f" stroked="f" strokeweight=".5pt">
                  <v:textbox>
                    <w:txbxContent>
                      <w:p w:rsidR="0093783C" w:rsidRPr="0039298D" w:rsidRDefault="0093783C" w:rsidP="00335E4B">
                        <w:pPr>
                          <w:spacing w:after="40"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الغاز المنبعث</w:t>
                        </w:r>
                      </w:p>
                    </w:txbxContent>
                  </v:textbox>
                </v:shape>
                <v:shape id="_x0000_s1149" type="#_x0000_t202" style="position:absolute;left:2149;top:49022;width:8719;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LK8YA&#10;AADcAAAADwAAAGRycy9kb3ducmV2LnhtbESPQWvCQBSE74X+h+UVvDUbAxZJs4YQkBaxBzWX3p7Z&#10;ZxLMvk2zW4399d1CweMwM98wWT6ZXlxodJ1lBfMoBkFcW91xo6A6rJ+XIJxH1thbJgU3cpCvHh8y&#10;TLW98o4ue9+IAGGXooLW+yGV0tUtGXSRHYiDd7KjQR/k2Eg94jXATS+TOH6RBjsOCy0OVLZUn/ff&#10;RsGmXH/g7piY5U9fvm1PxfBVfS6Umj1NxSsIT5O/h//b71rBYp7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wLK8YAAADcAAAADwAAAAAAAAAAAAAAAACYAgAAZHJz&#10;L2Rvd25yZXYueG1sUEsFBgAAAAAEAAQA9QAAAIsDAAAAAA==&#10;" filled="f" stroked="f" strokeweight=".5pt">
                  <v:textbox>
                    <w:txbxContent>
                      <w:p w:rsidR="0093783C" w:rsidRPr="0039298D" w:rsidRDefault="0093783C" w:rsidP="00335E4B">
                        <w:pPr>
                          <w:spacing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الخبث، المواد الجسيمية</w:t>
                        </w:r>
                      </w:p>
                    </w:txbxContent>
                  </v:textbox>
                </v:shape>
                <v:group id="Group 83" o:spid="_x0000_s1150" style="position:absolute;left:20378;top:17395;width:2334;height:2287" coordorigin="30108,6857" coordsize="233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Arc 84" o:spid="_x0000_s1151" style="position:absolute;left:30108;top:6858;width:2287;height:2286;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RWcIA&#10;AADcAAAADwAAAGRycy9kb3ducmV2LnhtbESP0WoCMRRE3wv+Q7iCbzWraLFbo4gg+iZVP+C6uW7S&#10;bm7WTVzXvzdCoY/DzJxh5svOVaKlJljPCkbDDARx4bXlUsHpuHmfgQgRWWPlmRQ8KMBy0XubY679&#10;nb+pPcRSJAiHHBWYGOtcylAYchiGviZO3sU3DmOSTSl1g/cEd5UcZ9mHdGg5LRisaW2o+D3cnILt&#10;9rq3eG7551KVJvu88slOWalBv1t9gYjUxf/wX3unFUxHE3idS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BFZwgAAANwAAAAPAAAAAAAAAAAAAAAAAJgCAABkcnMvZG93&#10;bnJldi54bWxQSwUGAAAAAAQABAD1AAAAhwMAAAAA&#10;" path="m114336,nsc167778,,214090,37007,225864,89119l114337,114300v,-38100,-1,-76200,-1,-114300xem114336,nfc167778,,214090,37007,225864,89119e" filled="f" strokecolor="#4a7ebb" strokeweight="3pt">
                    <v:stroke endcap="round"/>
                    <v:path arrowok="t" o:connecttype="custom" o:connectlocs="114336,0;225864,89119" o:connectangles="0,0"/>
                  </v:shape>
                  <v:shape id="Arc 85" o:spid="_x0000_s1152" style="position:absolute;left:30155;top:6858;width:2287;height:2286;rotation:-4925144fd;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GRMQA&#10;AADcAAAADwAAAGRycy9kb3ducmV2LnhtbESPQUsDMRSE74L/ITzBm81W2CLbpqUIoogeuhXPr5vX&#10;zdLNe8smtrG/3hQKHoeZ+YZZrJLv1ZHG0AkbmE4KUMSN2I5bA1/bl4cnUCEiW+yFycAvBVgtb28W&#10;WFk58YaOdWxVhnCo0ICLcai0Do0jj2EiA3H29jJ6jFmOrbYjnjLc9/qxKGbaY8d5weFAz46aQ/3j&#10;Dcj5vPv0kvC9/pDkXqn8XtvSmPu7tJ6DipTif/jafrMGymkJlzP5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hkTEAAAA3AAAAA8AAAAAAAAAAAAAAAAAmAIAAGRycy9k&#10;b3ducmV2LnhtbFBLBQYAAAAABAAEAPUAAACJAwAAAAA=&#10;" path="m114336,nsc167778,,214090,37007,225864,89119l114337,114300v,-38100,-1,-76200,-1,-114300xem114336,nfc167778,,214090,37007,225864,89119e" filled="f" strokecolor="#4a7ebb" strokeweight="3pt">
                    <v:stroke endcap="round"/>
                    <v:path arrowok="t" o:connecttype="custom" o:connectlocs="114336,0;225864,89119" o:connectangles="0,0"/>
                  </v:shape>
                </v:group>
                <v:line id="Straight Connector 86" o:spid="_x0000_s1153" style="position:absolute;flip:x;visibility:visible;mso-wrap-style:square" from="22728,18288" to="5257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P98UAAADcAAAADwAAAGRycy9kb3ducmV2LnhtbESPQWvCQBSE7wX/w/KE3upGa6WNbkSE&#10;FsFDMab0+sg+k5Ds27C7jem/dwsFj8PMfMNstqPpxEDON5YVzGcJCOLS6oYrBcX5/ekVhA/IGjvL&#10;pOCXPGyzycMGU22vfKIhD5WIEPYpKqhD6FMpfVmTQT+zPXH0LtYZDFG6SmqH1wg3nVwkyUoabDgu&#10;1NjTvqayzX+MgmFXvC3bj2fjxmOztF/F4TN8W6Uep+NuDSLQGO7h//ZBK3iZr+DvTDwC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rP98UAAADcAAAADwAAAAAAAAAA&#10;AAAAAAChAgAAZHJzL2Rvd25yZXYueG1sUEsFBgAAAAAEAAQA+QAAAJMDAAAAAA==&#10;" strokecolor="#4a7ebb" strokeweight="3pt">
                  <v:stroke endcap="round"/>
                </v:line>
                <v:shape id="Straight Arrow Connector 87" o:spid="_x0000_s1154" type="#_x0000_t32" style="position:absolute;left:52575;top:18288;width:3;height:7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zlMEAAADcAAAADwAAAGRycy9kb3ducmV2LnhtbESPzWrDMBCE74W8g9hAb43kQpzgRgkh&#10;tNBrfvB5sbaWqbVyLcV23z4KBHIcZuYbZrObXCsG6kPjWUO2UCCIK28arjVczl9vaxAhIhtsPZOG&#10;fwqw285eNlgYP/KRhlOsRYJwKFCDjbErpAyVJYdh4Tvi5P343mFMsq+l6XFMcNfKd6Vy6bDhtGCx&#10;o4Ol6vd0dYmSHe14sEPMV+Wf/DSVKpe50vp1Pu0/QESa4jP8aH8bDctsBfcz6QjI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SXOUwQAAANwAAAAPAAAAAAAAAAAAAAAA&#10;AKECAABkcnMvZG93bnJldi54bWxQSwUGAAAAAAQABAD5AAAAjwMAAAAA&#10;" strokecolor="#4a7ebb" strokeweight="3pt">
                  <v:stroke startarrowwidth="wide" startarrowlength="long" endarrow="block" endcap="round"/>
                </v:shape>
                <v:roundrect id="Rounded Rectangle 53" o:spid="_x0000_s1155" style="position:absolute;left:42291;top:25646;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aicMA&#10;AADcAAAADwAAAGRycy9kb3ducmV2LnhtbERPy4rCMBTdC/5DuMJsRFNHFK1GcQZEcSH4AF1emmtb&#10;bG46TUarX28WgsvDeU/ntSnEjSqXW1bQ60YgiBOrc04VHA/LzgiE88gaC8uk4EEO5rNmY4qxtnfe&#10;0W3vUxFC2MWoIPO+jKV0SUYGXdeWxIG72MqgD7BKpa7wHsJNIb+jaCgN5hwaMizpN6Pkuv83Cs7D&#10;ld7i8Se6jp/tzWnVP+d/6Vqpr1a9mIDwVPuP+O1eawWDXlgbzo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5aic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93783C" w:rsidRPr="0039298D" w:rsidRDefault="0093783C" w:rsidP="00335E4B">
                        <w:pPr>
                          <w:spacing w:before="120" w:after="40"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تنظيف الغاز</w:t>
                        </w:r>
                      </w:p>
                    </w:txbxContent>
                  </v:textbox>
                </v:roundrect>
                <v:shape id="Straight Arrow Connector 88" o:spid="_x0000_s1156" type="#_x0000_t32" style="position:absolute;left:16041;top:18288;width:43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hU48QAAADcAAAADwAAAGRycy9kb3ducmV2LnhtbESPQWvCQBSE70L/w/IKvelGodKm2Ugp&#10;WAIiWFPo9Zl9JjHZtyG7TeK/dwsFj8PMfMMkm8m0YqDe1ZYVLBcRCOLC6ppLBd/5dv4Cwnlkja1l&#10;UnAlB5v0YZZgrO3IXzQcfSkChF2MCirvu1hKV1Rk0C1sRxy8s+0N+iD7UuoexwA3rVxF0VoarDks&#10;VNjRR0VFc/w1Ck48NLSX5tIcdnT6zLKfXI+s1NPj9P4GwtPk7+H/dqYVPC9f4e9MOAI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qFTjxAAAANwAAAAPAAAAAAAAAAAA&#10;AAAAAKECAABkcnMvZG93bnJldi54bWxQSwUGAAAAAAQABAD5AAAAkgMAAAAA&#10;" strokecolor="#4a7ebb" strokeweight="3pt">
                  <v:stroke startarrowwidth="wide" startarrowlength="long" endarrow="block"/>
                </v:shape>
                <v:shape id="Text Box 89" o:spid="_x0000_s1157" type="#_x0000_t202" style="position:absolute;left:30511;top:14859;width:13450;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6esMA&#10;AADcAAAADwAAAGRycy9kb3ducmV2LnhtbERPy2rCQBTdF/yH4Qru6sSARdKMIgGpiF3EuunuNnPz&#10;wMydNDOa2K/vLASXh/NON6NpxY1611hWsJhHIIgLqxuuFJy/dq8rEM4ja2wtk4I7OdisJy8pJtoO&#10;nNPt5CsRQtglqKD2vkukdEVNBt3cdsSBK21v0AfYV1L3OIRw08o4it6kwYZDQ40dZTUVl9PVKDhk&#10;u0/Mf2Kz+muzj2O57X7P30ulZtNx+w7C0+if4od7rxUs4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76esMAAADcAAAADwAAAAAAAAAAAAAAAACYAgAAZHJzL2Rv&#10;d25yZXYueG1sUEsFBgAAAAAEAAQA9QAAAIgDAAAAAA==&#10;" filled="f" stroked="f" strokeweight=".5pt">
                  <v:textbox>
                    <w:txbxContent>
                      <w:p w:rsidR="0093783C" w:rsidRPr="0039298D" w:rsidRDefault="0093783C" w:rsidP="00335E4B">
                        <w:pPr>
                          <w:spacing w:after="40"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rPr>
                          <w:t>الم</w:t>
                        </w:r>
                        <w:r w:rsidRPr="0039298D">
                          <w:rPr>
                            <w:rFonts w:ascii="Traditional Arabic" w:hAnsi="Traditional Arabic" w:cs="Traditional Arabic"/>
                            <w:sz w:val="28"/>
                            <w:rtl/>
                            <w:lang w:val="en-CA" w:bidi="ar-SY"/>
                          </w:rPr>
                          <w:t xml:space="preserve">واد </w:t>
                        </w:r>
                        <w:r w:rsidRPr="0039298D">
                          <w:rPr>
                            <w:rFonts w:ascii="Traditional Arabic" w:hAnsi="Traditional Arabic" w:cs="Traditional Arabic"/>
                            <w:sz w:val="28"/>
                            <w:rtl/>
                            <w:lang w:val="en-CA"/>
                          </w:rPr>
                          <w:t>الجسيمية</w:t>
                        </w:r>
                      </w:p>
                    </w:txbxContent>
                  </v:textbox>
                </v:shape>
                <v:shape id="Straight Arrow Connector 57" o:spid="_x0000_s1158" type="#_x0000_t32" style="position:absolute;left:45720;top:50007;width:0;height:8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b8scYAAADcAAAADwAAAGRycy9kb3ducmV2LnhtbESPQWsCMRSE74L/ITyhF6lZRcVujaKF&#10;QvGgqD20t8fmuRvcvKyb6K7/vikIHoeZ+YaZL1tbihvV3jhWMBwkIIgzpw3nCr6Pn68zED4gaywd&#10;k4I7eVguup05pto1vKfbIeQiQtinqKAIoUql9FlBFv3AVcTRO7naYoiyzqWusYlwW8pRkkylRcNx&#10;ocCKPgrKzoerVTA2u0uzmZj1Zbt18u0nu7rfcV+pl167egcRqA3P8KP9pRVMRkP4P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m/LHGAAAA3AAAAA8AAAAAAAAA&#10;AAAAAAAAoQIAAGRycy9kb3ducmV2LnhtbFBLBQYAAAAABAAEAPkAAACUAwAAAAA=&#10;" strokecolor="#4a7ebb" strokeweight="3pt">
                  <v:stroke startarrowwidth="wide" startarrowlength="long" endarrow="block"/>
                </v:shape>
                <v:shape id="Text Box 58" o:spid="_x0000_s1159" type="#_x0000_t202" style="position:absolute;left:39052;top:58214;width:13716;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BlsYA&#10;AADcAAAADwAAAGRycy9kb3ducmV2LnhtbESPQWvCQBSE74X+h+UVems2BiySZhUJSKXoQZtLb6/Z&#10;ZxLMvk2zaxL99d1CweMwM98w2WoyrRiod41lBbMoBkFcWt1wpaD43LwsQDiPrLG1TAqu5GC1fHzI&#10;MNV25AMNR1+JAGGXooLa+y6V0pU1GXSR7YiDd7K9QR9kX0nd4xjgppVJHL9Kgw2HhRo7ymsqz8eL&#10;UfCRb/Z4+E7M4tbm77vTuvspvuZKPT9N6zcQniZ/D/+3t1rBPEn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DBlsYAAADcAAAADwAAAAAAAAAAAAAAAACYAgAAZHJz&#10;L2Rvd25yZXYueG1sUEsFBgAAAAAEAAQA9QAAAIsDAAAAAA==&#10;" filled="f" stroked="f" strokeweight=".5pt">
                  <v:textbox>
                    <w:txbxContent>
                      <w:p w:rsidR="0093783C" w:rsidRPr="0039298D" w:rsidRDefault="0093783C" w:rsidP="00335E4B">
                        <w:pPr>
                          <w:spacing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انبعاثات المدخنة</w:t>
                        </w:r>
                      </w:p>
                    </w:txbxContent>
                  </v:textbox>
                </v:shape>
                <w10:anchorlock/>
              </v:group>
            </w:pict>
          </mc:Fallback>
        </mc:AlternateContent>
      </w:r>
    </w:p>
    <w:p w:rsidR="00335E4B" w:rsidRPr="00335E4B" w:rsidRDefault="00335E4B" w:rsidP="007A68F7">
      <w:pPr>
        <w:spacing w:before="120" w:after="240" w:line="400" w:lineRule="exact"/>
        <w:ind w:left="142"/>
        <w:jc w:val="both"/>
        <w:rPr>
          <w:rFonts w:cs="Traditional Arabic"/>
          <w:sz w:val="20"/>
          <w:szCs w:val="30"/>
        </w:rPr>
      </w:pPr>
      <w:r w:rsidRPr="00335E4B">
        <w:rPr>
          <w:rFonts w:cs="Traditional Arabic"/>
          <w:b/>
          <w:bCs/>
          <w:sz w:val="20"/>
          <w:szCs w:val="30"/>
          <w:rtl/>
        </w:rPr>
        <w:t>الشكل</w:t>
      </w:r>
      <w:r w:rsidRPr="00335E4B">
        <w:rPr>
          <w:rFonts w:cs="Traditional Arabic"/>
          <w:b/>
          <w:bCs/>
          <w:sz w:val="20"/>
          <w:szCs w:val="30"/>
          <w:rtl/>
          <w:lang w:val="en-GB" w:bidi="ar-EG"/>
        </w:rPr>
        <w:t xml:space="preserve"> </w:t>
      </w:r>
      <w:r w:rsidRPr="00335E4B">
        <w:rPr>
          <w:rFonts w:cs="Traditional Arabic" w:hint="cs"/>
          <w:b/>
          <w:bCs/>
          <w:sz w:val="20"/>
          <w:szCs w:val="30"/>
          <w:rtl/>
          <w:lang w:val="en-GB" w:bidi="ar-EG"/>
        </w:rPr>
        <w:t>1</w:t>
      </w:r>
      <w:r w:rsidR="007A68F7">
        <w:rPr>
          <w:rFonts w:cs="Traditional Arabic" w:hint="cs"/>
          <w:b/>
          <w:bCs/>
          <w:sz w:val="20"/>
          <w:szCs w:val="30"/>
          <w:rtl/>
          <w:lang w:val="en-GB" w:bidi="ar-EG"/>
        </w:rPr>
        <w:t>-</w:t>
      </w:r>
      <w:r w:rsidRPr="00335E4B">
        <w:rPr>
          <w:rFonts w:cs="Traditional Arabic"/>
          <w:b/>
          <w:bCs/>
          <w:sz w:val="20"/>
          <w:szCs w:val="30"/>
          <w:rtl/>
          <w:lang w:val="en-GB" w:bidi="ar-EG"/>
        </w:rPr>
        <w:t xml:space="preserve"> </w:t>
      </w:r>
      <w:r w:rsidRPr="00335E4B">
        <w:rPr>
          <w:rFonts w:cs="Traditional Arabic"/>
          <w:b/>
          <w:bCs/>
          <w:sz w:val="20"/>
          <w:szCs w:val="30"/>
          <w:rtl/>
        </w:rPr>
        <w:t>العمليات التي ينطوي عليها الإنتاج الأساسي</w:t>
      </w:r>
      <w:r w:rsidRPr="00335E4B">
        <w:rPr>
          <w:rFonts w:cs="Traditional Arabic" w:hint="cs"/>
          <w:b/>
          <w:bCs/>
          <w:sz w:val="20"/>
          <w:szCs w:val="30"/>
          <w:rtl/>
        </w:rPr>
        <w:t xml:space="preserve"> للرصاص</w:t>
      </w:r>
    </w:p>
    <w:p w:rsidR="00335E4B" w:rsidRPr="00335E4B" w:rsidRDefault="00335E4B" w:rsidP="004F5C55">
      <w:pPr>
        <w:keepNext/>
        <w:tabs>
          <w:tab w:val="left" w:pos="849"/>
        </w:tabs>
        <w:spacing w:before="120" w:after="120" w:line="400" w:lineRule="exact"/>
        <w:jc w:val="both"/>
        <w:outlineLvl w:val="0"/>
        <w:rPr>
          <w:rFonts w:cs="Traditional Arabic"/>
          <w:b/>
          <w:bCs/>
          <w:sz w:val="30"/>
          <w:szCs w:val="30"/>
          <w:rtl/>
          <w:lang w:bidi="ar-EG"/>
        </w:rPr>
      </w:pPr>
      <w:bookmarkStart w:id="1299" w:name="_Toc433095393"/>
      <w:bookmarkStart w:id="1300" w:name="_Toc434239927"/>
      <w:bookmarkStart w:id="1301" w:name="_Toc440550522"/>
      <w:r w:rsidRPr="00335E4B">
        <w:rPr>
          <w:rFonts w:cs="Traditional Arabic"/>
          <w:b/>
          <w:bCs/>
          <w:sz w:val="30"/>
          <w:szCs w:val="30"/>
          <w:rtl/>
          <w:lang w:bidi="ar-EG"/>
        </w:rPr>
        <w:br w:type="page"/>
      </w:r>
      <w:bookmarkStart w:id="1302" w:name="_Toc441577781"/>
      <w:bookmarkStart w:id="1303" w:name="_Toc441577960"/>
      <w:bookmarkStart w:id="1304" w:name="_Toc441580794"/>
      <w:bookmarkStart w:id="1305" w:name="_Toc441585925"/>
      <w:bookmarkStart w:id="1306" w:name="_Toc441586261"/>
      <w:bookmarkStart w:id="1307" w:name="_Toc441586711"/>
      <w:bookmarkStart w:id="1308" w:name="_Toc441586890"/>
      <w:bookmarkStart w:id="1309" w:name="_Toc441666739"/>
      <w:bookmarkStart w:id="1310" w:name="_Toc441673800"/>
      <w:r w:rsidR="0032206D">
        <w:rPr>
          <w:rFonts w:cs="Traditional Arabic" w:hint="cs"/>
          <w:b/>
          <w:bCs/>
          <w:sz w:val="30"/>
          <w:szCs w:val="30"/>
          <w:rtl/>
          <w:lang w:bidi="ar-EG"/>
        </w:rPr>
        <w:t>2-2</w:t>
      </w:r>
      <w:r w:rsidR="0032206D">
        <w:rPr>
          <w:rFonts w:cs="Traditional Arabic" w:hint="cs"/>
          <w:b/>
          <w:bCs/>
          <w:sz w:val="30"/>
          <w:szCs w:val="30"/>
          <w:rtl/>
          <w:lang w:bidi="ar-EG"/>
        </w:rPr>
        <w:tab/>
      </w:r>
      <w:r w:rsidRPr="00335E4B">
        <w:rPr>
          <w:rFonts w:cs="Traditional Arabic"/>
          <w:b/>
          <w:bCs/>
          <w:sz w:val="30"/>
          <w:szCs w:val="30"/>
          <w:rtl/>
          <w:lang w:bidi="ar-EG"/>
        </w:rPr>
        <w:t xml:space="preserve">خطوات التصنيع في إنتاج </w:t>
      </w:r>
      <w:r w:rsidRPr="00335E4B">
        <w:rPr>
          <w:rFonts w:cs="Traditional Arabic" w:hint="cs"/>
          <w:b/>
          <w:bCs/>
          <w:sz w:val="30"/>
          <w:szCs w:val="30"/>
          <w:rtl/>
          <w:lang w:bidi="ar-EG"/>
        </w:rPr>
        <w:t>الزنك</w:t>
      </w:r>
      <w:bookmarkEnd w:id="1299"/>
      <w:bookmarkEnd w:id="1300"/>
      <w:bookmarkEnd w:id="1301"/>
      <w:bookmarkEnd w:id="1302"/>
      <w:bookmarkEnd w:id="1303"/>
      <w:bookmarkEnd w:id="1304"/>
      <w:bookmarkEnd w:id="1305"/>
      <w:bookmarkEnd w:id="1306"/>
      <w:bookmarkEnd w:id="1307"/>
      <w:bookmarkEnd w:id="1308"/>
      <w:bookmarkEnd w:id="1309"/>
      <w:bookmarkEnd w:id="1310"/>
    </w:p>
    <w:p w:rsidR="00335E4B" w:rsidRPr="00335E4B" w:rsidRDefault="00335E4B" w:rsidP="004F5C55">
      <w:pPr>
        <w:tabs>
          <w:tab w:val="left" w:pos="849"/>
          <w:tab w:val="center" w:pos="5468"/>
        </w:tabs>
        <w:spacing w:after="120" w:line="400" w:lineRule="exact"/>
        <w:jc w:val="both"/>
        <w:rPr>
          <w:rFonts w:cs="Traditional Arabic"/>
          <w:sz w:val="20"/>
          <w:szCs w:val="30"/>
          <w:rtl/>
        </w:rPr>
      </w:pPr>
      <w:r w:rsidRPr="00335E4B">
        <w:rPr>
          <w:rFonts w:cs="Traditional Arabic"/>
          <w:sz w:val="20"/>
          <w:szCs w:val="30"/>
          <w:rtl/>
        </w:rPr>
        <w:t>تتألف العملية الأساسية لإنتاج الزنك من خمس مراحل رئيسية</w:t>
      </w:r>
      <w:r w:rsidRPr="00335E4B">
        <w:rPr>
          <w:rFonts w:cs="Traditional Arabic"/>
          <w:sz w:val="20"/>
          <w:szCs w:val="30"/>
          <w:rtl/>
          <w:lang w:val="en-GB" w:bidi="ar-EG"/>
        </w:rPr>
        <w:t xml:space="preserve">: </w:t>
      </w:r>
      <w:r w:rsidRPr="00335E4B">
        <w:rPr>
          <w:rFonts w:cs="Traditional Arabic"/>
          <w:sz w:val="20"/>
          <w:szCs w:val="30"/>
          <w:rtl/>
        </w:rPr>
        <w:t xml:space="preserve">خلط الخام المركَّز؛ والتحميص أو التلبيد والصهر؛ والنض والتنقية؛ </w:t>
      </w:r>
      <w:r w:rsidRPr="00335E4B">
        <w:rPr>
          <w:rFonts w:cs="Traditional Arabic" w:hint="cs"/>
          <w:sz w:val="20"/>
          <w:szCs w:val="30"/>
          <w:rtl/>
        </w:rPr>
        <w:t>و</w:t>
      </w:r>
      <w:r w:rsidRPr="00335E4B">
        <w:rPr>
          <w:rFonts w:cs="Traditional Arabic"/>
          <w:sz w:val="20"/>
          <w:szCs w:val="30"/>
          <w:rtl/>
        </w:rPr>
        <w:t>التحليل الكهربائي لاستخلاص المعدن؛ والتذويب والسبك</w:t>
      </w:r>
      <w:r w:rsidRPr="00335E4B">
        <w:rPr>
          <w:rFonts w:cs="Traditional Arabic"/>
          <w:sz w:val="20"/>
          <w:szCs w:val="30"/>
          <w:rtl/>
          <w:lang w:val="en-GB" w:bidi="ar-EG"/>
        </w:rPr>
        <w:t>.</w:t>
      </w:r>
      <w:r w:rsidRPr="00335E4B">
        <w:rPr>
          <w:rFonts w:cs="Traditional Arabic"/>
          <w:sz w:val="20"/>
          <w:szCs w:val="30"/>
          <w:rtl/>
        </w:rPr>
        <w:t xml:space="preserve"> ويبين الشكل</w:t>
      </w:r>
      <w:r w:rsidRPr="00335E4B">
        <w:rPr>
          <w:rFonts w:cs="Traditional Arabic"/>
          <w:sz w:val="20"/>
          <w:szCs w:val="30"/>
          <w:rtl/>
          <w:lang w:val="en-GB" w:bidi="ar-EG"/>
        </w:rPr>
        <w:t xml:space="preserve"> </w:t>
      </w:r>
      <w:r w:rsidRPr="00335E4B">
        <w:rPr>
          <w:rFonts w:cs="Traditional Arabic" w:hint="cs"/>
          <w:sz w:val="20"/>
          <w:szCs w:val="30"/>
          <w:rtl/>
          <w:lang w:val="en-GB" w:bidi="ar-EG"/>
        </w:rPr>
        <w:t>2</w:t>
      </w:r>
      <w:r w:rsidRPr="00335E4B">
        <w:rPr>
          <w:rFonts w:cs="Traditional Arabic"/>
          <w:sz w:val="20"/>
          <w:szCs w:val="30"/>
          <w:rtl/>
          <w:lang w:val="en-GB" w:bidi="ar-EG"/>
        </w:rPr>
        <w:t xml:space="preserve"> </w:t>
      </w:r>
      <w:r w:rsidRPr="00335E4B">
        <w:rPr>
          <w:rFonts w:cs="Traditional Arabic"/>
          <w:sz w:val="20"/>
          <w:szCs w:val="30"/>
          <w:rtl/>
        </w:rPr>
        <w:t>تمثيلاً تخطيطياً للعمليات</w:t>
      </w:r>
      <w:r w:rsidRPr="00335E4B">
        <w:rPr>
          <w:rFonts w:cs="Traditional Arabic"/>
          <w:sz w:val="20"/>
          <w:szCs w:val="30"/>
          <w:rtl/>
          <w:lang w:val="en-GB" w:bidi="ar-EG"/>
        </w:rPr>
        <w:t>.</w:t>
      </w:r>
      <w:r w:rsidRPr="00335E4B">
        <w:rPr>
          <w:rFonts w:cs="Traditional Arabic"/>
          <w:sz w:val="20"/>
          <w:szCs w:val="30"/>
          <w:rtl/>
        </w:rPr>
        <w:t xml:space="preserve"> </w:t>
      </w:r>
      <w:r w:rsidRPr="00335E4B">
        <w:rPr>
          <w:rFonts w:cs="Traditional Arabic" w:hint="cs"/>
          <w:sz w:val="20"/>
          <w:szCs w:val="30"/>
          <w:rtl/>
        </w:rPr>
        <w:t>و</w:t>
      </w:r>
      <w:r w:rsidRPr="00335E4B">
        <w:rPr>
          <w:rFonts w:cs="Traditional Arabic"/>
          <w:sz w:val="20"/>
          <w:szCs w:val="30"/>
          <w:rtl/>
        </w:rPr>
        <w:t>يتحرر الزئبق أساساً أثناء عملية التحميص ويجب احتجازه للتقليل إلى أدنى حد ممكن من انبعاثات الزئبق من المدخنة النهائية</w:t>
      </w:r>
      <w:r w:rsidRPr="00335E4B">
        <w:rPr>
          <w:rFonts w:cs="Traditional Arabic"/>
          <w:sz w:val="20"/>
          <w:szCs w:val="30"/>
          <w:rtl/>
          <w:lang w:val="en-GB" w:bidi="ar-EG"/>
        </w:rPr>
        <w:t>.</w:t>
      </w:r>
    </w:p>
    <w:p w:rsidR="00335E4B" w:rsidRPr="00335E4B" w:rsidRDefault="0032206D" w:rsidP="004F5C55">
      <w:pPr>
        <w:keepNext/>
        <w:tabs>
          <w:tab w:val="left" w:pos="849"/>
        </w:tabs>
        <w:spacing w:before="120" w:after="120" w:line="400" w:lineRule="exact"/>
        <w:jc w:val="both"/>
        <w:outlineLvl w:val="0"/>
        <w:rPr>
          <w:rFonts w:cs="Traditional Arabic"/>
          <w:b/>
          <w:bCs/>
          <w:sz w:val="30"/>
          <w:szCs w:val="30"/>
          <w:rtl/>
          <w:lang w:bidi="ar-EG"/>
        </w:rPr>
      </w:pPr>
      <w:bookmarkStart w:id="1311" w:name="_Toc433095394"/>
      <w:bookmarkStart w:id="1312" w:name="_Toc434239928"/>
      <w:bookmarkStart w:id="1313" w:name="_Toc440550523"/>
      <w:bookmarkStart w:id="1314" w:name="_Toc441577782"/>
      <w:bookmarkStart w:id="1315" w:name="_Toc441577961"/>
      <w:bookmarkStart w:id="1316" w:name="_Toc441580795"/>
      <w:bookmarkStart w:id="1317" w:name="_Toc441585926"/>
      <w:bookmarkStart w:id="1318" w:name="_Toc441586262"/>
      <w:bookmarkStart w:id="1319" w:name="_Toc441586712"/>
      <w:bookmarkStart w:id="1320" w:name="_Toc441586891"/>
      <w:bookmarkStart w:id="1321" w:name="_Toc441666740"/>
      <w:bookmarkStart w:id="1322" w:name="_Toc441673801"/>
      <w:r>
        <w:rPr>
          <w:rFonts w:cs="Traditional Arabic" w:hint="cs"/>
          <w:b/>
          <w:bCs/>
          <w:sz w:val="30"/>
          <w:szCs w:val="30"/>
          <w:rtl/>
          <w:lang w:bidi="ar-EG"/>
        </w:rPr>
        <w:t>2-2-1</w:t>
      </w:r>
      <w:r>
        <w:rPr>
          <w:rFonts w:cs="Traditional Arabic" w:hint="cs"/>
          <w:b/>
          <w:bCs/>
          <w:sz w:val="30"/>
          <w:szCs w:val="30"/>
          <w:rtl/>
          <w:lang w:bidi="ar-EG"/>
        </w:rPr>
        <w:tab/>
      </w:r>
      <w:r w:rsidR="00335E4B" w:rsidRPr="00335E4B">
        <w:rPr>
          <w:rFonts w:cs="Traditional Arabic"/>
          <w:b/>
          <w:bCs/>
          <w:sz w:val="30"/>
          <w:szCs w:val="30"/>
          <w:rtl/>
          <w:lang w:bidi="ar-EG"/>
        </w:rPr>
        <w:t>الخلط والتحميص واستعادة الغبار</w:t>
      </w:r>
      <w:bookmarkEnd w:id="1311"/>
      <w:bookmarkEnd w:id="1312"/>
      <w:bookmarkEnd w:id="1313"/>
      <w:bookmarkEnd w:id="1314"/>
      <w:bookmarkEnd w:id="1315"/>
      <w:bookmarkEnd w:id="1316"/>
      <w:bookmarkEnd w:id="1317"/>
      <w:bookmarkEnd w:id="1318"/>
      <w:bookmarkEnd w:id="1319"/>
      <w:bookmarkEnd w:id="1320"/>
      <w:bookmarkEnd w:id="1321"/>
      <w:bookmarkEnd w:id="1322"/>
    </w:p>
    <w:p w:rsidR="00335E4B" w:rsidRPr="00335E4B" w:rsidRDefault="00335E4B" w:rsidP="0039298D">
      <w:pPr>
        <w:tabs>
          <w:tab w:val="center" w:pos="5468"/>
        </w:tabs>
        <w:spacing w:after="120" w:line="400" w:lineRule="exact"/>
        <w:jc w:val="both"/>
        <w:rPr>
          <w:rFonts w:cs="Traditional Arabic"/>
          <w:sz w:val="20"/>
          <w:szCs w:val="30"/>
          <w:rtl/>
        </w:rPr>
      </w:pPr>
      <w:r w:rsidRPr="00335E4B">
        <w:rPr>
          <w:rFonts w:cs="Traditional Arabic"/>
          <w:sz w:val="20"/>
          <w:szCs w:val="30"/>
          <w:rtl/>
        </w:rPr>
        <w:t xml:space="preserve">ويبين الشكل </w:t>
      </w:r>
      <w:r w:rsidRPr="00335E4B">
        <w:rPr>
          <w:rFonts w:cs="Traditional Arabic" w:hint="cs"/>
          <w:sz w:val="20"/>
          <w:szCs w:val="30"/>
          <w:rtl/>
        </w:rPr>
        <w:t>2</w:t>
      </w:r>
      <w:r w:rsidRPr="00335E4B">
        <w:rPr>
          <w:rFonts w:cs="Traditional Arabic"/>
          <w:sz w:val="20"/>
          <w:szCs w:val="30"/>
          <w:rtl/>
        </w:rPr>
        <w:t xml:space="preserve"> تمثيلاً تخطيطياً لخطوات عمليات إنتاج الزنك. وللأغراض التجارية واللوجستية تقوم كل منشأة من منشآت استخلاص وتنقية الزنك بشراء مركَّزات الخام من عدة جهات تعدين مختلفة. ويختلف محتوى الزئبق من كل منجم منفرد بين 1 و200 جزء في المليون، ولكن نطاق المحتوى قد يرتفع إلى نحو </w:t>
      </w:r>
      <w:r w:rsidR="0039298D">
        <w:rPr>
          <w:rFonts w:cs="Traditional Arabic" w:hint="cs"/>
          <w:sz w:val="20"/>
          <w:szCs w:val="30"/>
          <w:rtl/>
        </w:rPr>
        <w:t>1</w:t>
      </w:r>
      <w:r w:rsidRPr="00335E4B">
        <w:rPr>
          <w:rFonts w:cs="Traditional Arabic"/>
          <w:sz w:val="20"/>
          <w:szCs w:val="30"/>
          <w:rtl/>
        </w:rPr>
        <w:t>000 جزء في المليون. وأساس العمليات السلسة، المدارة بيئياً والتي تتسم بالفعالية هو كفالة إدخال جميع الشوائب، بما في ذلك الزئبق، في عمليات الزنك بمعدلات خاضعة للمراقبة. والخلط هو إحدى العمليات الراسخة لتجهيز المدخلات وتهدف إلى خلط المركَّزات ذات النوعيات المختلفة. وتحول هذه العملية دون حدوث زيادات كبيرة وغير متوقعة في الشوائب، مما قد يسبب اضطرابات في العمليات أو اختلالات بيئية أو قد يؤدي إلى مشاكل في نوعية الإنتاج.</w:t>
      </w:r>
    </w:p>
    <w:p w:rsidR="00335E4B" w:rsidRPr="00335E4B" w:rsidRDefault="00335E4B" w:rsidP="00335E4B">
      <w:pPr>
        <w:tabs>
          <w:tab w:val="center" w:pos="5468"/>
        </w:tabs>
        <w:spacing w:after="120" w:line="400" w:lineRule="exact"/>
        <w:jc w:val="both"/>
        <w:rPr>
          <w:rFonts w:cs="Traditional Arabic"/>
          <w:sz w:val="20"/>
          <w:szCs w:val="30"/>
          <w:rtl/>
        </w:rPr>
      </w:pPr>
      <w:r w:rsidRPr="00335E4B">
        <w:rPr>
          <w:rFonts w:cs="Traditional Arabic"/>
          <w:sz w:val="20"/>
          <w:szCs w:val="30"/>
          <w:rtl/>
        </w:rPr>
        <w:t xml:space="preserve">يجري تحميص مركَّزات الزنك بحقنها في فرن صهر ذي </w:t>
      </w:r>
      <w:r w:rsidRPr="00335E4B">
        <w:rPr>
          <w:rFonts w:cs="Traditional Arabic" w:hint="cs"/>
          <w:sz w:val="20"/>
          <w:szCs w:val="30"/>
          <w:rtl/>
        </w:rPr>
        <w:t>قاعدة</w:t>
      </w:r>
      <w:r w:rsidRPr="00335E4B">
        <w:rPr>
          <w:rFonts w:cs="Traditional Arabic"/>
          <w:sz w:val="20"/>
          <w:szCs w:val="30"/>
          <w:rtl/>
        </w:rPr>
        <w:t xml:space="preserve"> مـُمَيَّعة (</w:t>
      </w:r>
      <w:r w:rsidRPr="00335E4B">
        <w:rPr>
          <w:rFonts w:cs="Traditional Arabic"/>
          <w:sz w:val="20"/>
          <w:szCs w:val="30"/>
        </w:rPr>
        <w:t>fluidized bed furnace</w:t>
      </w:r>
      <w:r w:rsidRPr="00335E4B">
        <w:rPr>
          <w:rFonts w:cs="Traditional Arabic"/>
          <w:sz w:val="20"/>
          <w:szCs w:val="30"/>
          <w:rtl/>
        </w:rPr>
        <w:t>) عند نقطة حرارة 950 درجة مئوية، حيث تتحول الكبريتيدات (بالتحميص) إلى أكسيدات وغاز ثنائي أكسيد الكبريت (</w:t>
      </w:r>
      <w:r w:rsidRPr="00335E4B">
        <w:rPr>
          <w:rFonts w:cs="Traditional Arabic"/>
          <w:sz w:val="20"/>
          <w:szCs w:val="30"/>
        </w:rPr>
        <w:t>SO</w:t>
      </w:r>
      <w:r w:rsidRPr="00335E4B">
        <w:rPr>
          <w:rFonts w:cs="Traditional Arabic"/>
          <w:sz w:val="20"/>
          <w:szCs w:val="30"/>
          <w:vertAlign w:val="subscript"/>
        </w:rPr>
        <w:t>2</w:t>
      </w:r>
      <w:r w:rsidRPr="00335E4B">
        <w:rPr>
          <w:rFonts w:cs="Traditional Arabic"/>
          <w:sz w:val="20"/>
          <w:szCs w:val="30"/>
          <w:rtl/>
        </w:rPr>
        <w:t>). ولتجنب انتشار الانبعاثات، يتم تشغيل الفرن تحت ضغط سلبي. وعملياً تتبخر جميع مركبات الزئبق الموجودة في المركَّزات في هذا الفرن. ويسترد الغبار، الذي يعرف أيضاً باسم المواد الجسيمية، من تيار الغاز. ويذهب هذا الغبار إلى قسم النض، مع أكسيدات الزنك الناتجة عن التحميص. ويتدفق الغاز متجهاً إلى مرحلة تنظيف الغاز.</w:t>
      </w:r>
    </w:p>
    <w:p w:rsidR="00335E4B" w:rsidRPr="00335E4B" w:rsidRDefault="00335E4B" w:rsidP="00335E4B">
      <w:pPr>
        <w:tabs>
          <w:tab w:val="center" w:pos="5468"/>
        </w:tabs>
        <w:spacing w:after="120" w:line="400" w:lineRule="exact"/>
        <w:jc w:val="both"/>
        <w:rPr>
          <w:rFonts w:cs="Traditional Arabic"/>
          <w:sz w:val="20"/>
          <w:szCs w:val="30"/>
          <w:rtl/>
        </w:rPr>
      </w:pPr>
      <w:r w:rsidRPr="00335E4B">
        <w:rPr>
          <w:rFonts w:cs="Traditional Arabic"/>
          <w:sz w:val="20"/>
          <w:szCs w:val="30"/>
          <w:rtl/>
        </w:rPr>
        <w:t>وبالمقابل، في عملية الصهر بالفرن العالي (</w:t>
      </w:r>
      <w:r w:rsidRPr="00335E4B">
        <w:rPr>
          <w:rFonts w:cs="Traditional Arabic"/>
          <w:sz w:val="20"/>
          <w:szCs w:val="30"/>
        </w:rPr>
        <w:t>Imperial Smelting</w:t>
      </w:r>
      <w:r w:rsidRPr="00335E4B">
        <w:rPr>
          <w:rFonts w:cs="Traditional Arabic"/>
          <w:sz w:val="20"/>
          <w:szCs w:val="30"/>
          <w:rtl/>
        </w:rPr>
        <w:t>)، يجري أولاً تلبيد مركَّزات الزنك أو مركزات الكتل المعدنية الأخرى التي تحتوى على الزنك والرصاص، ثم يتم صهرها في فرن عال (</w:t>
      </w:r>
      <w:r w:rsidRPr="00335E4B">
        <w:rPr>
          <w:rFonts w:cs="Traditional Arabic"/>
          <w:sz w:val="20"/>
          <w:szCs w:val="30"/>
        </w:rPr>
        <w:t>Morgan 1968</w:t>
      </w:r>
      <w:r w:rsidRPr="00335E4B">
        <w:rPr>
          <w:rFonts w:cs="Traditional Arabic"/>
          <w:sz w:val="20"/>
          <w:szCs w:val="30"/>
          <w:rtl/>
        </w:rPr>
        <w:t>).</w:t>
      </w:r>
    </w:p>
    <w:p w:rsidR="00335E4B" w:rsidRPr="00335E4B" w:rsidRDefault="0032206D" w:rsidP="00335E4B">
      <w:pPr>
        <w:keepNext/>
        <w:tabs>
          <w:tab w:val="left" w:pos="991"/>
        </w:tabs>
        <w:spacing w:before="120" w:after="120" w:line="400" w:lineRule="exact"/>
        <w:jc w:val="both"/>
        <w:outlineLvl w:val="0"/>
        <w:rPr>
          <w:rFonts w:cs="Traditional Arabic"/>
          <w:b/>
          <w:bCs/>
          <w:sz w:val="30"/>
          <w:szCs w:val="30"/>
          <w:rtl/>
          <w:lang w:bidi="ar-EG"/>
        </w:rPr>
      </w:pPr>
      <w:bookmarkStart w:id="1323" w:name="_Toc433095395"/>
      <w:bookmarkStart w:id="1324" w:name="_Toc434239929"/>
      <w:bookmarkStart w:id="1325" w:name="_Toc440550524"/>
      <w:bookmarkStart w:id="1326" w:name="_Toc441577783"/>
      <w:bookmarkStart w:id="1327" w:name="_Toc441577962"/>
      <w:bookmarkStart w:id="1328" w:name="_Toc441580796"/>
      <w:bookmarkStart w:id="1329" w:name="_Toc441585927"/>
      <w:bookmarkStart w:id="1330" w:name="_Toc441586263"/>
      <w:bookmarkStart w:id="1331" w:name="_Toc441586713"/>
      <w:bookmarkStart w:id="1332" w:name="_Toc441586892"/>
      <w:bookmarkStart w:id="1333" w:name="_Toc441666741"/>
      <w:bookmarkStart w:id="1334" w:name="_Toc441673802"/>
      <w:r>
        <w:rPr>
          <w:rFonts w:cs="Traditional Arabic" w:hint="cs"/>
          <w:b/>
          <w:bCs/>
          <w:sz w:val="30"/>
          <w:szCs w:val="30"/>
          <w:rtl/>
          <w:lang w:bidi="ar-EG"/>
        </w:rPr>
        <w:t>2-2-2</w:t>
      </w:r>
      <w:r>
        <w:rPr>
          <w:rFonts w:cs="Traditional Arabic" w:hint="cs"/>
          <w:b/>
          <w:bCs/>
          <w:sz w:val="30"/>
          <w:szCs w:val="30"/>
          <w:rtl/>
          <w:lang w:bidi="ar-EG"/>
        </w:rPr>
        <w:tab/>
      </w:r>
      <w:r w:rsidR="00335E4B" w:rsidRPr="00335E4B">
        <w:rPr>
          <w:rFonts w:cs="Traditional Arabic"/>
          <w:b/>
          <w:bCs/>
          <w:sz w:val="30"/>
          <w:szCs w:val="30"/>
          <w:rtl/>
          <w:lang w:bidi="ar-EG"/>
        </w:rPr>
        <w:t>تنظيف الغاز</w:t>
      </w:r>
      <w:bookmarkEnd w:id="1323"/>
      <w:bookmarkEnd w:id="1324"/>
      <w:bookmarkEnd w:id="1325"/>
      <w:bookmarkEnd w:id="1326"/>
      <w:bookmarkEnd w:id="1327"/>
      <w:bookmarkEnd w:id="1328"/>
      <w:bookmarkEnd w:id="1329"/>
      <w:bookmarkEnd w:id="1330"/>
      <w:bookmarkEnd w:id="1331"/>
      <w:bookmarkEnd w:id="1332"/>
      <w:bookmarkEnd w:id="1333"/>
      <w:bookmarkEnd w:id="1334"/>
    </w:p>
    <w:p w:rsidR="00335E4B" w:rsidRPr="00335E4B" w:rsidRDefault="00335E4B" w:rsidP="00335E4B">
      <w:pPr>
        <w:tabs>
          <w:tab w:val="center" w:pos="5468"/>
        </w:tabs>
        <w:spacing w:after="120" w:line="400" w:lineRule="exact"/>
        <w:jc w:val="both"/>
        <w:rPr>
          <w:rFonts w:cs="Traditional Arabic"/>
          <w:sz w:val="20"/>
          <w:szCs w:val="30"/>
          <w:rtl/>
        </w:rPr>
      </w:pPr>
      <w:r w:rsidRPr="00335E4B">
        <w:rPr>
          <w:rFonts w:cs="Traditional Arabic"/>
          <w:sz w:val="20"/>
          <w:szCs w:val="30"/>
          <w:rtl/>
        </w:rPr>
        <w:t>في عملية تنظيف الغاز بالسوائل تجري إزالة آخر آثار الغبار باستخدام أجهزة إزالة المواد الجسيمية مثل معدات الشطف والمرسبات الكهروستاتيكية. و</w:t>
      </w:r>
      <w:r w:rsidRPr="00335E4B">
        <w:rPr>
          <w:rFonts w:cs="Traditional Arabic" w:hint="cs"/>
          <w:sz w:val="20"/>
          <w:szCs w:val="30"/>
          <w:rtl/>
        </w:rPr>
        <w:t xml:space="preserve">تحتوي </w:t>
      </w:r>
      <w:r w:rsidRPr="00335E4B">
        <w:rPr>
          <w:rFonts w:cs="Traditional Arabic"/>
          <w:sz w:val="20"/>
          <w:szCs w:val="30"/>
          <w:rtl/>
        </w:rPr>
        <w:t>مياه الصرف الناتجة عن هذا التنظيف للغاز على الزئبق وغيره من المعادن الثقيلة، وتجري معالجتها في منشأة لمعالجة المياه المستعملة أو تحقن في فرن تحميص لجمع أكبر قدر من الزئبق منها عن طريق عملية مخصصة لإزالة الزئبق. وفيما يلي وصف للأنواع المختلفة من عمليات إزالة الزئبق. وتعمل هذه الوحدات لإزالة الزئبق على تخفيض تركيز الزئبق إلى مستويات منخفضة. وينتج عن عملية إزالة الزئبق على هذا النحو الزئبق المركز. ونحو 50 إلى 90 في المائة من إجمالي مدخلات الزئبق ينتهي بها المطاف في هذا</w:t>
      </w:r>
      <w:r w:rsidRPr="00335E4B">
        <w:rPr>
          <w:rFonts w:cs="Traditional Arabic" w:hint="cs"/>
          <w:sz w:val="20"/>
          <w:szCs w:val="30"/>
          <w:rtl/>
        </w:rPr>
        <w:t xml:space="preserve"> المركز.</w:t>
      </w:r>
    </w:p>
    <w:p w:rsidR="00335E4B" w:rsidRPr="00335E4B" w:rsidRDefault="00335E4B" w:rsidP="004F5C55">
      <w:pPr>
        <w:spacing w:before="120" w:after="120" w:line="400" w:lineRule="exact"/>
        <w:jc w:val="both"/>
        <w:rPr>
          <w:rFonts w:cs="Traditional Arabic"/>
          <w:b/>
          <w:bCs/>
          <w:sz w:val="20"/>
          <w:szCs w:val="30"/>
          <w:rtl/>
          <w:lang w:bidi="ar-EG"/>
        </w:rPr>
      </w:pPr>
      <w:r w:rsidRPr="00335E4B">
        <w:rPr>
          <w:rFonts w:cs="Traditional Arabic"/>
          <w:sz w:val="20"/>
          <w:szCs w:val="30"/>
          <w:rtl/>
        </w:rPr>
        <w:br w:type="page"/>
      </w:r>
      <w:r>
        <w:rPr>
          <w:rFonts w:cs="Traditional Arabic" w:hint="cs"/>
          <w:b/>
          <w:bCs/>
          <w:noProof/>
          <w:sz w:val="20"/>
          <w:szCs w:val="30"/>
          <w:rtl/>
          <w:lang w:val="en-GB" w:eastAsia="zh-CN"/>
        </w:rPr>
        <mc:AlternateContent>
          <mc:Choice Requires="wpc">
            <w:drawing>
              <wp:anchor distT="0" distB="0" distL="114300" distR="114300" simplePos="0" relativeHeight="251681792" behindDoc="1" locked="0" layoutInCell="1" allowOverlap="1" wp14:anchorId="6EC86C2B" wp14:editId="19EAA55C">
                <wp:simplePos x="0" y="0"/>
                <wp:positionH relativeFrom="column">
                  <wp:posOffset>33020</wp:posOffset>
                </wp:positionH>
                <wp:positionV relativeFrom="paragraph">
                  <wp:posOffset>98425</wp:posOffset>
                </wp:positionV>
                <wp:extent cx="5950585" cy="7772400"/>
                <wp:effectExtent l="19050" t="17145" r="12065" b="11430"/>
                <wp:wrapTight wrapText="bothSides">
                  <wp:wrapPolygon edited="0">
                    <wp:start x="-69" y="-53"/>
                    <wp:lineTo x="-69" y="21600"/>
                    <wp:lineTo x="21635" y="21600"/>
                    <wp:lineTo x="21635" y="-53"/>
                    <wp:lineTo x="-69" y="-53"/>
                  </wp:wrapPolygon>
                </wp:wrapTight>
                <wp:docPr id="468" name="Canvas 4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428" name="Straight Arrow Connector 28"/>
                        <wps:cNvCnPr>
                          <a:cxnSpLocks noChangeShapeType="1"/>
                        </wps:cNvCnPr>
                        <wps:spPr bwMode="auto">
                          <a:xfrm>
                            <a:off x="1818730" y="534612"/>
                            <a:ext cx="0" cy="58619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29" name="Straight Arrow Connector 29"/>
                        <wps:cNvCnPr>
                          <a:cxnSpLocks noChangeShapeType="1"/>
                        </wps:cNvCnPr>
                        <wps:spPr bwMode="auto">
                          <a:xfrm>
                            <a:off x="1820280" y="1643508"/>
                            <a:ext cx="0" cy="94038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30" name="Straight Arrow Connector 30"/>
                        <wps:cNvCnPr>
                          <a:cxnSpLocks noChangeShapeType="1"/>
                        </wps:cNvCnPr>
                        <wps:spPr bwMode="auto">
                          <a:xfrm>
                            <a:off x="1811821" y="3129335"/>
                            <a:ext cx="0" cy="94038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31" name="Straight Arrow Connector 31"/>
                        <wps:cNvCnPr>
                          <a:cxnSpLocks noChangeShapeType="1"/>
                        </wps:cNvCnPr>
                        <wps:spPr bwMode="auto">
                          <a:xfrm>
                            <a:off x="1828998" y="4588690"/>
                            <a:ext cx="6401" cy="55481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32" name="Text Box 32"/>
                        <wps:cNvSpPr txBox="1">
                          <a:spLocks noChangeArrowheads="1"/>
                        </wps:cNvSpPr>
                        <wps:spPr bwMode="auto">
                          <a:xfrm>
                            <a:off x="781050" y="171450"/>
                            <a:ext cx="205740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4F5C55" w:rsidRDefault="00670B40" w:rsidP="00335E4B">
                              <w:pPr>
                                <w:spacing w:line="280" w:lineRule="exact"/>
                                <w:jc w:val="center"/>
                                <w:rPr>
                                  <w:rFonts w:ascii="Traditional Arabic" w:hAnsi="Traditional Arabic" w:cs="Traditional Arabic"/>
                                  <w:sz w:val="28"/>
                                  <w:rtl/>
                                  <w:lang w:val="en-GB" w:bidi="ar-SY"/>
                                </w:rPr>
                              </w:pPr>
                              <w:r w:rsidRPr="004F5C55">
                                <w:rPr>
                                  <w:rFonts w:ascii="Traditional Arabic" w:hAnsi="Traditional Arabic" w:cs="Traditional Arabic"/>
                                  <w:sz w:val="28"/>
                                  <w:rtl/>
                                  <w:lang w:val="en-GB" w:bidi="ar-SY"/>
                                </w:rPr>
                                <w:t>مركَّزات الزنك</w:t>
                              </w:r>
                            </w:p>
                          </w:txbxContent>
                        </wps:txbx>
                        <wps:bodyPr rot="0" vert="horz" wrap="square" lIns="91440" tIns="45720" rIns="91440" bIns="45720" anchor="t" anchorCtr="0" upright="1">
                          <a:noAutofit/>
                        </wps:bodyPr>
                      </wps:wsp>
                      <wps:wsp>
                        <wps:cNvPr id="433" name="Text Box 33"/>
                        <wps:cNvSpPr txBox="1">
                          <a:spLocks noChangeArrowheads="1"/>
                        </wps:cNvSpPr>
                        <wps:spPr bwMode="auto">
                          <a:xfrm>
                            <a:off x="1906905" y="5829300"/>
                            <a:ext cx="117030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7A68F7" w:rsidRDefault="00670B40" w:rsidP="00335E4B">
                              <w:pPr>
                                <w:spacing w:line="280" w:lineRule="exact"/>
                                <w:jc w:val="right"/>
                                <w:rPr>
                                  <w:rFonts w:ascii="Traditional Arabic" w:hAnsi="Traditional Arabic" w:cs="Traditional Arabic"/>
                                  <w:lang w:val="en-CA"/>
                                </w:rPr>
                              </w:pPr>
                              <w:r w:rsidRPr="007A68F7">
                                <w:rPr>
                                  <w:rFonts w:ascii="Traditional Arabic" w:hAnsi="Traditional Arabic" w:cs="Traditional Arabic"/>
                                  <w:sz w:val="28"/>
                                  <w:rtl/>
                                  <w:lang w:val="en-GB" w:bidi="ar-SY"/>
                                </w:rPr>
                                <w:t>مهبط (كاثود) الزنك</w:t>
                              </w:r>
                            </w:p>
                          </w:txbxContent>
                        </wps:txbx>
                        <wps:bodyPr rot="0" vert="horz" wrap="square" lIns="91440" tIns="45720" rIns="91440" bIns="45720" anchor="t" anchorCtr="0" upright="1">
                          <a:noAutofit/>
                        </wps:bodyPr>
                      </wps:wsp>
                      <wps:wsp>
                        <wps:cNvPr id="434" name="Rounded Rectangle 55"/>
                        <wps:cNvSpPr>
                          <a:spLocks noChangeArrowheads="1"/>
                        </wps:cNvSpPr>
                        <wps:spPr bwMode="auto">
                          <a:xfrm>
                            <a:off x="4229735" y="4455795"/>
                            <a:ext cx="1371599" cy="54991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39298D" w:rsidRDefault="00670B40" w:rsidP="0039298D">
                              <w:pPr>
                                <w:spacing w:line="30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منشأة تصنيع حمض الكبريتيك</w:t>
                              </w:r>
                            </w:p>
                            <w:p w:rsidR="00670B40" w:rsidRDefault="00670B40"/>
                          </w:txbxContent>
                        </wps:txbx>
                        <wps:bodyPr rot="0" vert="horz" wrap="square" lIns="91440" tIns="45720" rIns="91440" bIns="45720" anchor="ctr" anchorCtr="0" upright="1">
                          <a:noAutofit/>
                        </wps:bodyPr>
                      </wps:wsp>
                      <wps:wsp>
                        <wps:cNvPr id="435" name="Straight Arrow Connector 62"/>
                        <wps:cNvCnPr>
                          <a:cxnSpLocks noChangeShapeType="1"/>
                          <a:endCxn id="449" idx="0"/>
                        </wps:cNvCnPr>
                        <wps:spPr bwMode="auto">
                          <a:xfrm>
                            <a:off x="4915425" y="3109636"/>
                            <a:ext cx="0" cy="40051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36" name="Straight Arrow Connector 63"/>
                        <wps:cNvCnPr>
                          <a:cxnSpLocks noChangeShapeType="1"/>
                        </wps:cNvCnPr>
                        <wps:spPr bwMode="auto">
                          <a:xfrm>
                            <a:off x="4929142" y="4055168"/>
                            <a:ext cx="0" cy="400519"/>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37" name="Straight Arrow Connector 64"/>
                        <wps:cNvCnPr>
                          <a:cxnSpLocks noChangeShapeType="1"/>
                        </wps:cNvCnPr>
                        <wps:spPr bwMode="auto">
                          <a:xfrm>
                            <a:off x="5258499" y="5005600"/>
                            <a:ext cx="0" cy="535208"/>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38" name="Straight Connector 66"/>
                        <wps:cNvCnPr>
                          <a:cxnSpLocks noChangeShapeType="1"/>
                        </wps:cNvCnPr>
                        <wps:spPr bwMode="auto">
                          <a:xfrm flipH="1">
                            <a:off x="3200552" y="2886236"/>
                            <a:ext cx="1028646" cy="0"/>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439" name="Straight Connector 38"/>
                        <wps:cNvCnPr>
                          <a:cxnSpLocks noChangeShapeType="1"/>
                        </wps:cNvCnPr>
                        <wps:spPr bwMode="auto">
                          <a:xfrm flipV="1">
                            <a:off x="3200818" y="2912126"/>
                            <a:ext cx="0" cy="1437206"/>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440" name="Straight Arrow Connector 39"/>
                        <wps:cNvCnPr>
                          <a:cxnSpLocks noChangeShapeType="1"/>
                        </wps:cNvCnPr>
                        <wps:spPr bwMode="auto">
                          <a:xfrm flipH="1">
                            <a:off x="2514788" y="4349332"/>
                            <a:ext cx="685940"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441" name="Text Box 67"/>
                        <wps:cNvSpPr txBox="1">
                          <a:spLocks noChangeArrowheads="1"/>
                        </wps:cNvSpPr>
                        <wps:spPr bwMode="auto">
                          <a:xfrm>
                            <a:off x="3200827" y="2918092"/>
                            <a:ext cx="932788"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line="280" w:lineRule="exact"/>
                                <w:jc w:val="center"/>
                                <w:rPr>
                                  <w:rFonts w:ascii="Traditional Arabic" w:hAnsi="Traditional Arabic" w:cs="Traditional Arabic"/>
                                  <w:lang w:val="en-CA" w:bidi="ar-SY"/>
                                </w:rPr>
                              </w:pPr>
                              <w:r w:rsidRPr="0039298D">
                                <w:rPr>
                                  <w:rFonts w:ascii="Traditional Arabic" w:hAnsi="Traditional Arabic" w:cs="Traditional Arabic"/>
                                  <w:sz w:val="28"/>
                                  <w:rtl/>
                                  <w:lang w:val="en-GB" w:bidi="ar-SY"/>
                                </w:rPr>
                                <w:t>المواد الجسيمية</w:t>
                              </w:r>
                            </w:p>
                          </w:txbxContent>
                        </wps:txbx>
                        <wps:bodyPr rot="0" vert="horz" wrap="square" lIns="91440" tIns="45720" rIns="91440" bIns="45720" anchor="t" anchorCtr="0" upright="1">
                          <a:noAutofit/>
                        </wps:bodyPr>
                      </wps:wsp>
                      <wps:wsp>
                        <wps:cNvPr id="442" name="Straight Arrow Connector 61"/>
                        <wps:cNvCnPr>
                          <a:cxnSpLocks noChangeShapeType="1"/>
                        </wps:cNvCnPr>
                        <wps:spPr bwMode="auto">
                          <a:xfrm>
                            <a:off x="2517977" y="2682654"/>
                            <a:ext cx="1711457"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443" name="Text Box 68"/>
                        <wps:cNvSpPr txBox="1">
                          <a:spLocks noChangeArrowheads="1"/>
                        </wps:cNvSpPr>
                        <wps:spPr bwMode="auto">
                          <a:xfrm>
                            <a:off x="2809875" y="2423160"/>
                            <a:ext cx="9620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line="28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الغاز المنبعث</w:t>
                              </w:r>
                            </w:p>
                          </w:txbxContent>
                        </wps:txbx>
                        <wps:bodyPr rot="0" vert="horz" wrap="square" lIns="91440" tIns="45720" rIns="91440" bIns="45720" anchor="t" anchorCtr="0" upright="1">
                          <a:noAutofit/>
                        </wps:bodyPr>
                      </wps:wsp>
                      <wps:wsp>
                        <wps:cNvPr id="444" name="Text Box 70"/>
                        <wps:cNvSpPr txBox="1">
                          <a:spLocks noChangeArrowheads="1"/>
                        </wps:cNvSpPr>
                        <wps:spPr bwMode="auto">
                          <a:xfrm>
                            <a:off x="1864360" y="3331845"/>
                            <a:ext cx="65913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line="340" w:lineRule="exact"/>
                                <w:jc w:val="center"/>
                                <w:rPr>
                                  <w:rFonts w:ascii="Traditional Arabic" w:hAnsi="Traditional Arabic" w:cs="Traditional Arabic"/>
                                  <w:lang w:val="en-CA" w:bidi="ar-SY"/>
                                </w:rPr>
                              </w:pPr>
                              <w:r w:rsidRPr="0039298D">
                                <w:rPr>
                                  <w:rFonts w:ascii="Traditional Arabic" w:hAnsi="Traditional Arabic" w:cs="Traditional Arabic"/>
                                  <w:sz w:val="28"/>
                                  <w:rtl/>
                                  <w:lang w:val="en-GB" w:bidi="ar-SY"/>
                                </w:rPr>
                                <w:t>حميص الزنك</w:t>
                              </w:r>
                            </w:p>
                          </w:txbxContent>
                        </wps:txbx>
                        <wps:bodyPr rot="0" vert="horz" wrap="square" lIns="91440" tIns="45720" rIns="91440" bIns="45720" anchor="t" anchorCtr="0" upright="1">
                          <a:noAutofit/>
                        </wps:bodyPr>
                      </wps:wsp>
                      <wps:wsp>
                        <wps:cNvPr id="445" name="Text Box 71"/>
                        <wps:cNvSpPr txBox="1">
                          <a:spLocks noChangeArrowheads="1"/>
                        </wps:cNvSpPr>
                        <wps:spPr bwMode="auto">
                          <a:xfrm>
                            <a:off x="4744085" y="5541010"/>
                            <a:ext cx="102870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7A68F7">
                              <w:pPr>
                                <w:spacing w:line="28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حمض الكبريتيك</w:t>
                              </w:r>
                            </w:p>
                          </w:txbxContent>
                        </wps:txbx>
                        <wps:bodyPr rot="0" vert="horz" wrap="square" lIns="91440" tIns="45720" rIns="91440" bIns="45720" anchor="t" anchorCtr="0" upright="1">
                          <a:noAutofit/>
                        </wps:bodyPr>
                      </wps:wsp>
                      <wps:wsp>
                        <wps:cNvPr id="446" name="Straight Connector 75"/>
                        <wps:cNvCnPr>
                          <a:cxnSpLocks noChangeShapeType="1"/>
                        </wps:cNvCnPr>
                        <wps:spPr bwMode="auto">
                          <a:xfrm flipH="1">
                            <a:off x="3772294" y="3826568"/>
                            <a:ext cx="457140"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447" name="Straight Arrow Connector 76"/>
                        <wps:cNvCnPr>
                          <a:cxnSpLocks noChangeShapeType="1"/>
                        </wps:cNvCnPr>
                        <wps:spPr bwMode="auto">
                          <a:xfrm>
                            <a:off x="3772399" y="3826568"/>
                            <a:ext cx="0" cy="94038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48" name="Text Box 77"/>
                        <wps:cNvSpPr txBox="1">
                          <a:spLocks noChangeArrowheads="1"/>
                        </wps:cNvSpPr>
                        <wps:spPr bwMode="auto">
                          <a:xfrm>
                            <a:off x="3158490" y="4779010"/>
                            <a:ext cx="9753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line="280" w:lineRule="exact"/>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نفايات الزئبق</w:t>
                              </w:r>
                            </w:p>
                          </w:txbxContent>
                        </wps:txbx>
                        <wps:bodyPr rot="0" vert="horz" wrap="square" lIns="91440" tIns="45720" rIns="91440" bIns="45720" anchor="t" anchorCtr="0" upright="1">
                          <a:noAutofit/>
                        </wps:bodyPr>
                      </wps:wsp>
                      <wps:wsp>
                        <wps:cNvPr id="449" name="Rounded Rectangle 54"/>
                        <wps:cNvSpPr>
                          <a:spLocks noChangeArrowheads="1"/>
                        </wps:cNvSpPr>
                        <wps:spPr bwMode="auto">
                          <a:xfrm>
                            <a:off x="4229735" y="3510280"/>
                            <a:ext cx="1371599" cy="51562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39298D" w:rsidRDefault="00670B40" w:rsidP="00335E4B">
                              <w:pPr>
                                <w:spacing w:before="120" w:line="28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إزالة الزئبق</w:t>
                              </w:r>
                            </w:p>
                          </w:txbxContent>
                        </wps:txbx>
                        <wps:bodyPr rot="0" vert="horz" wrap="square" lIns="91440" tIns="45720" rIns="91440" bIns="45720" anchor="ctr" anchorCtr="0" upright="1">
                          <a:noAutofit/>
                        </wps:bodyPr>
                      </wps:wsp>
                      <wps:wsp>
                        <wps:cNvPr id="450" name="Rounded Rectangle 17"/>
                        <wps:cNvSpPr>
                          <a:spLocks noChangeArrowheads="1"/>
                        </wps:cNvSpPr>
                        <wps:spPr bwMode="auto">
                          <a:xfrm>
                            <a:off x="1152525" y="2583815"/>
                            <a:ext cx="1365250" cy="52578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39298D" w:rsidRDefault="00670B40" w:rsidP="00335E4B">
                              <w:pPr>
                                <w:spacing w:before="120" w:line="28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التحميص</w:t>
                              </w:r>
                            </w:p>
                          </w:txbxContent>
                        </wps:txbx>
                        <wps:bodyPr rot="0" vert="horz" wrap="square" lIns="91440" tIns="45720" rIns="91440" bIns="45720" anchor="ctr" anchorCtr="0" upright="1">
                          <a:noAutofit/>
                        </wps:bodyPr>
                      </wps:wsp>
                      <wps:wsp>
                        <wps:cNvPr id="451" name="Rounded Rectangle 41"/>
                        <wps:cNvSpPr>
                          <a:spLocks noChangeArrowheads="1"/>
                        </wps:cNvSpPr>
                        <wps:spPr bwMode="auto">
                          <a:xfrm>
                            <a:off x="1170311" y="5143500"/>
                            <a:ext cx="1344449"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4914D2" w:rsidRDefault="00670B40" w:rsidP="00335E4B">
                              <w:pPr>
                                <w:spacing w:before="120" w:line="280" w:lineRule="exact"/>
                                <w:jc w:val="center"/>
                                <w:rPr>
                                  <w:sz w:val="28"/>
                                  <w:lang w:val="en-GB" w:bidi="ar-SY"/>
                                </w:rPr>
                              </w:pPr>
                              <w:r w:rsidRPr="004914D2">
                                <w:rPr>
                                  <w:rFonts w:hint="cs"/>
                                  <w:sz w:val="28"/>
                                  <w:rtl/>
                                  <w:lang w:val="en-GB" w:bidi="ar-SY"/>
                                </w:rPr>
                                <w:t>التحليل الكهربائي</w:t>
                              </w:r>
                            </w:p>
                          </w:txbxContent>
                        </wps:txbx>
                        <wps:bodyPr rot="0" vert="horz" wrap="square" lIns="91440" tIns="45720" rIns="91440" bIns="45720" anchor="ctr" anchorCtr="0" upright="1">
                          <a:noAutofit/>
                        </wps:bodyPr>
                      </wps:wsp>
                      <wps:wsp>
                        <wps:cNvPr id="452" name="Straight Arrow Connector 42"/>
                        <wps:cNvCnPr>
                          <a:cxnSpLocks noChangeShapeType="1"/>
                        </wps:cNvCnPr>
                        <wps:spPr bwMode="auto">
                          <a:xfrm>
                            <a:off x="1828364" y="5691489"/>
                            <a:ext cx="583" cy="59501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53" name="Straight Connector 43"/>
                        <wps:cNvCnPr>
                          <a:cxnSpLocks noChangeShapeType="1"/>
                        </wps:cNvCnPr>
                        <wps:spPr bwMode="auto">
                          <a:xfrm flipH="1">
                            <a:off x="571511" y="1371600"/>
                            <a:ext cx="580841"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454" name="Straight Connector 44"/>
                        <wps:cNvCnPr>
                          <a:cxnSpLocks noChangeShapeType="1"/>
                        </wps:cNvCnPr>
                        <wps:spPr bwMode="auto">
                          <a:xfrm flipH="1" flipV="1">
                            <a:off x="571527" y="1380227"/>
                            <a:ext cx="7215" cy="2848873"/>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455" name="Straight Arrow Connector 45"/>
                        <wps:cNvCnPr>
                          <a:cxnSpLocks noChangeShapeType="1"/>
                        </wps:cNvCnPr>
                        <wps:spPr bwMode="auto">
                          <a:xfrm>
                            <a:off x="578726" y="4229100"/>
                            <a:ext cx="597914" cy="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56" name="Rounded Rectangle 16"/>
                        <wps:cNvSpPr>
                          <a:spLocks noChangeArrowheads="1"/>
                        </wps:cNvSpPr>
                        <wps:spPr bwMode="auto">
                          <a:xfrm>
                            <a:off x="1152525" y="1110615"/>
                            <a:ext cx="1344295" cy="48387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39298D" w:rsidRDefault="00670B40" w:rsidP="0039298D">
                              <w:pPr>
                                <w:spacing w:before="120" w:line="28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خلط الخام المركز</w:t>
                              </w:r>
                            </w:p>
                          </w:txbxContent>
                        </wps:txbx>
                        <wps:bodyPr rot="0" vert="horz" wrap="square" lIns="91440" tIns="45720" rIns="91440" bIns="45720" anchor="ctr" anchorCtr="0" upright="1">
                          <a:noAutofit/>
                        </wps:bodyPr>
                      </wps:wsp>
                      <wps:wsp>
                        <wps:cNvPr id="457" name="Rounded Rectangle 53"/>
                        <wps:cNvSpPr>
                          <a:spLocks noChangeArrowheads="1"/>
                        </wps:cNvSpPr>
                        <wps:spPr bwMode="auto">
                          <a:xfrm>
                            <a:off x="4229735" y="2564765"/>
                            <a:ext cx="1371599" cy="54483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39298D" w:rsidRDefault="00670B40" w:rsidP="00335E4B">
                              <w:pPr>
                                <w:spacing w:before="120" w:line="28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تنظيف الغاز</w:t>
                              </w:r>
                            </w:p>
                          </w:txbxContent>
                        </wps:txbx>
                        <wps:bodyPr rot="0" vert="horz" wrap="square" lIns="91440" tIns="45720" rIns="91440" bIns="45720" anchor="ctr" anchorCtr="0" upright="1">
                          <a:noAutofit/>
                        </wps:bodyPr>
                      </wps:wsp>
                      <wps:wsp>
                        <wps:cNvPr id="458" name="Straight Connector 37"/>
                        <wps:cNvCnPr>
                          <a:cxnSpLocks noChangeShapeType="1"/>
                        </wps:cNvCnPr>
                        <wps:spPr bwMode="auto">
                          <a:xfrm flipH="1">
                            <a:off x="593540" y="4455687"/>
                            <a:ext cx="576771"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459" name="Straight Arrow Connector 40"/>
                        <wps:cNvCnPr>
                          <a:cxnSpLocks noChangeShapeType="1"/>
                        </wps:cNvCnPr>
                        <wps:spPr bwMode="auto">
                          <a:xfrm>
                            <a:off x="593557" y="4455687"/>
                            <a:ext cx="0" cy="39560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60" name="Rounded Rectangle 18"/>
                        <wps:cNvSpPr>
                          <a:spLocks noChangeArrowheads="1"/>
                        </wps:cNvSpPr>
                        <wps:spPr bwMode="auto">
                          <a:xfrm>
                            <a:off x="1170497" y="4055171"/>
                            <a:ext cx="1344449"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39298D" w:rsidRDefault="00670B40" w:rsidP="00335E4B">
                              <w:pPr>
                                <w:spacing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النض والتنقية</w:t>
                              </w:r>
                            </w:p>
                          </w:txbxContent>
                        </wps:txbx>
                        <wps:bodyPr rot="0" vert="horz" wrap="square" lIns="91440" tIns="45720" rIns="91440" bIns="45720" anchor="ctr" anchorCtr="0" upright="1">
                          <a:noAutofit/>
                        </wps:bodyPr>
                      </wps:wsp>
                      <wps:wsp>
                        <wps:cNvPr id="461" name="Text Box 79"/>
                        <wps:cNvSpPr txBox="1">
                          <a:spLocks noChangeArrowheads="1"/>
                        </wps:cNvSpPr>
                        <wps:spPr bwMode="auto">
                          <a:xfrm>
                            <a:off x="158115" y="4851400"/>
                            <a:ext cx="868680"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9298D" w:rsidRDefault="00670B40" w:rsidP="00335E4B">
                              <w:pPr>
                                <w:spacing w:line="28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بقايا النض والمواد الوسيطة</w:t>
                              </w:r>
                            </w:p>
                          </w:txbxContent>
                        </wps:txbx>
                        <wps:bodyPr rot="0" vert="horz" wrap="square" lIns="91440" tIns="45720" rIns="91440" bIns="45720" anchor="t" anchorCtr="0" upright="1">
                          <a:noAutofit/>
                        </wps:bodyPr>
                      </wps:wsp>
                      <wps:wsp>
                        <wps:cNvPr id="462" name="Straight Arrow Connector 49"/>
                        <wps:cNvCnPr>
                          <a:cxnSpLocks noChangeShapeType="1"/>
                        </wps:cNvCnPr>
                        <wps:spPr bwMode="auto">
                          <a:xfrm>
                            <a:off x="4572507" y="5005600"/>
                            <a:ext cx="0" cy="11666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63" name="Text Box 50"/>
                        <wps:cNvSpPr txBox="1">
                          <a:spLocks noChangeArrowheads="1"/>
                        </wps:cNvSpPr>
                        <wps:spPr bwMode="auto">
                          <a:xfrm>
                            <a:off x="3949700" y="6178550"/>
                            <a:ext cx="1257299"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7A68F7" w:rsidRDefault="00670B40" w:rsidP="00335E4B">
                              <w:pPr>
                                <w:spacing w:line="280" w:lineRule="exact"/>
                                <w:jc w:val="center"/>
                                <w:rPr>
                                  <w:rFonts w:ascii="Traditional Arabic" w:hAnsi="Traditional Arabic" w:cs="Traditional Arabic"/>
                                  <w:sz w:val="28"/>
                                  <w:lang w:val="en-GB" w:bidi="ar-SY"/>
                                </w:rPr>
                              </w:pPr>
                              <w:r w:rsidRPr="007A68F7">
                                <w:rPr>
                                  <w:rFonts w:ascii="Traditional Arabic" w:hAnsi="Traditional Arabic" w:cs="Traditional Arabic"/>
                                  <w:sz w:val="28"/>
                                  <w:rtl/>
                                  <w:lang w:val="en-GB" w:bidi="ar-SY"/>
                                </w:rPr>
                                <w:t>الانبعاثات إلى المدخنة</w:t>
                              </w:r>
                            </w:p>
                          </w:txbxContent>
                        </wps:txbx>
                        <wps:bodyPr rot="0" vert="horz" wrap="square" lIns="91440" tIns="45720" rIns="91440" bIns="45720" anchor="t" anchorCtr="0" upright="1">
                          <a:noAutofit/>
                        </wps:bodyPr>
                      </wps:wsp>
                      <wps:wsp>
                        <wps:cNvPr id="464" name="Rounded Rectangle 46"/>
                        <wps:cNvSpPr>
                          <a:spLocks noChangeArrowheads="1"/>
                        </wps:cNvSpPr>
                        <wps:spPr bwMode="auto">
                          <a:xfrm>
                            <a:off x="1152353" y="6280049"/>
                            <a:ext cx="1344449"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7A68F7" w:rsidRDefault="00670B40" w:rsidP="00335E4B">
                              <w:pPr>
                                <w:spacing w:before="120" w:line="280" w:lineRule="exact"/>
                                <w:jc w:val="center"/>
                                <w:rPr>
                                  <w:rFonts w:ascii="Traditional Arabic" w:hAnsi="Traditional Arabic" w:cs="Traditional Arabic"/>
                                  <w:sz w:val="28"/>
                                  <w:lang w:val="en-GB" w:bidi="ar-SY"/>
                                </w:rPr>
                              </w:pPr>
                              <w:r w:rsidRPr="007A68F7">
                                <w:rPr>
                                  <w:rFonts w:ascii="Traditional Arabic" w:hAnsi="Traditional Arabic" w:cs="Traditional Arabic"/>
                                  <w:sz w:val="28"/>
                                  <w:rtl/>
                                  <w:lang w:val="en-GB" w:bidi="ar-SY"/>
                                </w:rPr>
                                <w:t>التذويب والسبك</w:t>
                              </w:r>
                            </w:p>
                          </w:txbxContent>
                        </wps:txbx>
                        <wps:bodyPr rot="0" vert="horz" wrap="square" lIns="91440" tIns="45720" rIns="91440" bIns="45720" anchor="ctr" anchorCtr="0" upright="1">
                          <a:noAutofit/>
                        </wps:bodyPr>
                      </wps:wsp>
                      <wps:wsp>
                        <wps:cNvPr id="465" name="Straight Arrow Connector 47"/>
                        <wps:cNvCnPr>
                          <a:cxnSpLocks noChangeShapeType="1"/>
                        </wps:cNvCnPr>
                        <wps:spPr bwMode="auto">
                          <a:xfrm>
                            <a:off x="1814488" y="6825495"/>
                            <a:ext cx="583" cy="59501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66" name="Text Box 51"/>
                        <wps:cNvSpPr txBox="1">
                          <a:spLocks noChangeArrowheads="1"/>
                        </wps:cNvSpPr>
                        <wps:spPr bwMode="auto">
                          <a:xfrm>
                            <a:off x="951230" y="7420610"/>
                            <a:ext cx="1675766"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7A68F7" w:rsidRDefault="00670B40" w:rsidP="00335E4B">
                              <w:pPr>
                                <w:spacing w:line="280" w:lineRule="exact"/>
                                <w:jc w:val="center"/>
                                <w:rPr>
                                  <w:rFonts w:ascii="Traditional Arabic" w:hAnsi="Traditional Arabic" w:cs="Traditional Arabic"/>
                                  <w:sz w:val="28"/>
                                  <w:lang w:val="en-GB" w:bidi="ar-SY"/>
                                </w:rPr>
                              </w:pPr>
                              <w:r w:rsidRPr="007A68F7">
                                <w:rPr>
                                  <w:rFonts w:ascii="Traditional Arabic" w:hAnsi="Traditional Arabic" w:cs="Traditional Arabic"/>
                                  <w:rtl/>
                                  <w:lang w:val="en-CA" w:bidi="ar-SY"/>
                                </w:rPr>
                                <w:t>معادن الزنك، سبائك الزنك</w:t>
                              </w:r>
                            </w:p>
                          </w:txbxContent>
                        </wps:txbx>
                        <wps:bodyPr rot="0" vert="horz" wrap="square" lIns="91440" tIns="45720" rIns="91440" bIns="45720" anchor="t" anchorCtr="0" upright="1">
                          <a:noAutofit/>
                        </wps:bodyPr>
                      </wps:wsp>
                      <wps:wsp>
                        <wps:cNvPr id="467" name="Straight Arrow Connector 52"/>
                        <wps:cNvCnPr>
                          <a:cxnSpLocks noChangeShapeType="1"/>
                        </wps:cNvCnPr>
                        <wps:spPr bwMode="auto">
                          <a:xfrm flipH="1">
                            <a:off x="2514788" y="2884251"/>
                            <a:ext cx="685940"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468" o:spid="_x0000_s1160" editas="canvas" style="position:absolute;left:0;text-align:left;margin-left:2.6pt;margin-top:7.75pt;width:468.55pt;height:612pt;z-index:-251634688;mso-position-horizontal-relative:text;mso-position-vertical-relative:text" coordsize="59505,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width:59505;height:77724;visibility:visible;mso-wrap-style:square" stroked="t">
                  <v:fill o:detectmouseclick="t"/>
                  <v:path o:connecttype="none"/>
                </v:shape>
                <v:shapetype id="_x0000_t32" coordsize="21600,21600" o:spt="32" o:oned="t" path="m,l21600,21600e" filled="f">
                  <v:path arrowok="t" fillok="f" o:connecttype="none"/>
                  <o:lock v:ext="edit" shapetype="t"/>
                </v:shapetype>
                <v:shape id="Straight Arrow Connector 28" o:spid="_x0000_s1162" type="#_x0000_t32" style="position:absolute;left:18187;top:5346;width:0;height:5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ascMAAADcAAAADwAAAGRycy9kb3ducmV2LnhtbERPTWvCQBC9F/wPyxR6Ed0oVmzqKloo&#10;lB4sVQ/2NmSnydLsbMyuJv33nYPQ4+N9L9e9r9WV2ugCG5iMM1DERbCOSwPHw+toASomZIt1YDLw&#10;SxHWq8HdEnMbOv6k6z6VSkI45migSqnJtY5FRR7jODTEwn2H1mMS2JbatthJuK/1NMvm2qNjaaiw&#10;oZeKip/9xRuYuY9z9/7otufdLuinU3EJX7OhMQ/3/eYZVKI+/Ytv7jcrvqmslTNy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9WrHDAAAA3AAAAA8AAAAAAAAAAAAA&#10;AAAAoQIAAGRycy9kb3ducmV2LnhtbFBLBQYAAAAABAAEAPkAAACRAwAAAAA=&#10;" strokecolor="#4a7ebb" strokeweight="3pt">
                  <v:stroke startarrowwidth="wide" startarrowlength="long" endarrow="block"/>
                </v:shape>
                <v:shape id="Straight Arrow Connector 29" o:spid="_x0000_s1163" type="#_x0000_t32" style="position:absolute;left:18202;top:16435;width:0;height:9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H/KsYAAADcAAAADwAAAGRycy9kb3ducmV2LnhtbESPQWvCQBSE7wX/w/KEXqRuKio1dRPa&#10;QkF6sFQ92Nsj+0wWs29jdjXx33cFocdh5pthlnlva3Gh1hvHCp7HCQjiwmnDpYLd9vPpBYQPyBpr&#10;x6TgSh7ybPCwxFS7jn/osgmliCXsU1RQhdCkUvqiIot+7Bri6B1cazFE2ZZSt9jFclvLSZLMpUXD&#10;caHChj4qKo6bs1UwNd+n7mtm3k/rtZOLfXF2v9ORUo/D/u0VRKA+/Ifv9EpHbrKA25l4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x/yrGAAAA3AAAAA8AAAAAAAAA&#10;AAAAAAAAoQIAAGRycy9kb3ducmV2LnhtbFBLBQYAAAAABAAEAPkAAACUAwAAAAA=&#10;" strokecolor="#4a7ebb" strokeweight="3pt">
                  <v:stroke startarrowwidth="wide" startarrowlength="long" endarrow="block"/>
                </v:shape>
                <v:shape id="Straight Arrow Connector 30" o:spid="_x0000_s1164" type="#_x0000_t32" style="position:absolute;left:18118;top:31293;width:0;height:9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AasQAAADcAAAADwAAAGRycy9kb3ducmV2LnhtbERPTU/CQBC9m/AfNkPCxchWBCOVhQAJ&#10;ifGAAT3IbdId243d2dJdaP33zsHE48v7Xqx6X6srtdEFNnA/zkARF8E6Lg18vO/unkDFhGyxDkwG&#10;fijCajm4WWBuQ8cHuh5TqSSEY44GqpSaXOtYVOQxjkNDLNxXaD0mgW2pbYudhPtaT7LsUXt0LA0V&#10;NrStqPg+XryBqXs7d68ztznv90HPP4tLOE1vjRkN+/UzqER9+hf/uV+s+B5kvpyR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UsBqxAAAANwAAAAPAAAAAAAAAAAA&#10;AAAAAKECAABkcnMvZG93bnJldi54bWxQSwUGAAAAAAQABAD5AAAAkgMAAAAA&#10;" strokecolor="#4a7ebb" strokeweight="3pt">
                  <v:stroke startarrowwidth="wide" startarrowlength="long" endarrow="block"/>
                </v:shape>
                <v:shape id="Straight Arrow Connector 31" o:spid="_x0000_s1165" type="#_x0000_t32" style="position:absolute;left:18289;top:45886;width:64;height:5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5l8ccAAADcAAAADwAAAGRycy9kb3ducmV2LnhtbESPT2sCMRTE74V+h/AKXkSz/qnY1ShV&#10;EEoPStWDvT02z93Qzcu6ie722zeC0OMw85th5svWluJGtTeOFQz6CQjizGnDuYLjYdObgvABWWPp&#10;mBT8kofl4vlpjql2DX/RbR9yEUvYp6igCKFKpfRZQRZ931XE0Tu72mKIss6lrrGJ5baUwySZSIuG&#10;40KBFa0Lyn72V6tgbHaX5vPVrC7brZNvp+zqvsddpTov7fsMRKA2/Icf9IeO3GgA9zPx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mXxxwAAANwAAAAPAAAAAAAA&#10;AAAAAAAAAKECAABkcnMvZG93bnJldi54bWxQSwUGAAAAAAQABAD5AAAAlQMAAAAA&#10;" strokecolor="#4a7ebb" strokeweight="3pt">
                  <v:stroke startarrowwidth="wide" startarrowlength="long" endarrow="block"/>
                </v:shape>
                <v:shape id="Text Box 32" o:spid="_x0000_s1166" type="#_x0000_t202" style="position:absolute;left:7810;top:1714;width:2057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Y1scA&#10;AADcAAAADwAAAGRycy9kb3ducmV2LnhtbESPzWvCQBTE70L/h+UVetNN01YkZhUJSEXagx8Xb8/s&#10;ywdm36bZrab9611B8DjMzG+YdN6bRpypc7VlBa+jCARxbnXNpYL9bjmcgHAeWWNjmRT8kYP57GmQ&#10;YqLthTd03vpSBAi7BBVU3reJlC6vyKAb2ZY4eIXtDPogu1LqDi8BbhoZR9FYGqw5LFTYUlZRftr+&#10;GgXrbPmNm2NsJv9N9vlVLNqf/eFDqZfnfjEF4an3j/C9vdIK3t9i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IWNbHAAAA3AAAAA8AAAAAAAAAAAAAAAAAmAIAAGRy&#10;cy9kb3ducmV2LnhtbFBLBQYAAAAABAAEAPUAAACMAwAAAAA=&#10;" filled="f" stroked="f" strokeweight=".5pt">
                  <v:textbox>
                    <w:txbxContent>
                      <w:p w:rsidR="00670B40" w:rsidRPr="004F5C55" w:rsidRDefault="00670B40" w:rsidP="00335E4B">
                        <w:pPr>
                          <w:spacing w:line="280" w:lineRule="exact"/>
                          <w:jc w:val="center"/>
                          <w:rPr>
                            <w:rFonts w:ascii="Traditional Arabic" w:hAnsi="Traditional Arabic" w:cs="Traditional Arabic"/>
                            <w:sz w:val="28"/>
                            <w:rtl/>
                            <w:lang w:val="en-GB" w:bidi="ar-SY"/>
                          </w:rPr>
                        </w:pPr>
                        <w:r w:rsidRPr="004F5C55">
                          <w:rPr>
                            <w:rFonts w:ascii="Traditional Arabic" w:hAnsi="Traditional Arabic" w:cs="Traditional Arabic"/>
                            <w:sz w:val="28"/>
                            <w:rtl/>
                            <w:lang w:val="en-GB" w:bidi="ar-SY"/>
                          </w:rPr>
                          <w:t>مركَّزات الزنك</w:t>
                        </w:r>
                      </w:p>
                    </w:txbxContent>
                  </v:textbox>
                </v:shape>
                <v:shape id="Text Box 33" o:spid="_x0000_s1167" type="#_x0000_t202" style="position:absolute;left:19069;top:58293;width:11703;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9TccA&#10;AADcAAAADwAAAGRycy9kb3ducmV2LnhtbESPQWvCQBSE70L/w/IKvemmxhaJriIBqUh7iPXS2zP7&#10;TEKzb9PsNon99a4g9DjMzDfMcj2YWnTUusqygudJBII4t7riQsHxczueg3AeWWNtmRRcyMF69TBa&#10;YqJtzxl1B1+IAGGXoILS+yaR0uUlGXQT2xAH72xbgz7ItpC6xT7ATS2nUfQqDVYcFkpsKC0p/z78&#10;GgX7dPuB2Wlq5n91+vZ+3jQ/x68XpZ4eh80ChKfB/4fv7Z1WMIt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E/U3HAAAA3AAAAA8AAAAAAAAAAAAAAAAAmAIAAGRy&#10;cy9kb3ducmV2LnhtbFBLBQYAAAAABAAEAPUAAACMAwAAAAA=&#10;" filled="f" stroked="f" strokeweight=".5pt">
                  <v:textbox>
                    <w:txbxContent>
                      <w:p w:rsidR="00670B40" w:rsidRPr="007A68F7" w:rsidRDefault="00670B40" w:rsidP="00335E4B">
                        <w:pPr>
                          <w:spacing w:line="280" w:lineRule="exact"/>
                          <w:jc w:val="right"/>
                          <w:rPr>
                            <w:rFonts w:ascii="Traditional Arabic" w:hAnsi="Traditional Arabic" w:cs="Traditional Arabic"/>
                            <w:lang w:val="en-CA"/>
                          </w:rPr>
                        </w:pPr>
                        <w:r w:rsidRPr="007A68F7">
                          <w:rPr>
                            <w:rFonts w:ascii="Traditional Arabic" w:hAnsi="Traditional Arabic" w:cs="Traditional Arabic"/>
                            <w:sz w:val="28"/>
                            <w:rtl/>
                            <w:lang w:val="en-GB" w:bidi="ar-SY"/>
                          </w:rPr>
                          <w:t>مهبط (كاثود) الزنك</w:t>
                        </w:r>
                      </w:p>
                    </w:txbxContent>
                  </v:textbox>
                </v:shape>
                <v:roundrect id="Rounded Rectangle 55" o:spid="_x0000_s1168" style="position:absolute;left:42297;top:44557;width:13716;height:55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DcccA&#10;AADcAAAADwAAAGRycy9kb3ducmV2LnhtbESPQWvCQBSE7wX/w/KEXkrdtAaxqauoUAw9CMZAPT6y&#10;zySYfZtmt5r217tCweMwM98ws0VvGnGmztWWFbyMIhDEhdU1lwry/cfzFITzyBoby6Tglxws5oOH&#10;GSbaXnhH58yXIkDYJaig8r5NpHRFRQbdyLbEwTvazqAPsiul7vAS4KaRr1E0kQZrDgsVtrSuqDhl&#10;P0bBYbLRW8xX0ent7+nzazM+1N9lqtTjsF++g/DU+3v4v51qBfE4ht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nA3H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670B40" w:rsidRPr="0039298D" w:rsidRDefault="00670B40" w:rsidP="0039298D">
                        <w:pPr>
                          <w:spacing w:line="30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منشأة تصنيع حمض الكبريتيك</w:t>
                        </w:r>
                      </w:p>
                      <w:p w:rsidR="00670B40" w:rsidRDefault="00670B40"/>
                    </w:txbxContent>
                  </v:textbox>
                </v:roundrect>
                <v:shape id="Straight Arrow Connector 62" o:spid="_x0000_s1169" type="#_x0000_t32" style="position:absolute;left:49154;top:31096;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j8sYAAADcAAAADwAAAGRycy9kb3ducmV2LnhtbESPQWvCQBSE74X+h+UVeil1Y9VSo6u0&#10;giAeFKOHentkn8li9m3Mrib9992C0OMw880w03lnK3GjxhvHCvq9BARx7rThQsFhv3z9AOEDssbK&#10;MSn4IQ/z2ePDFFPtWt7RLQuFiCXsU1RQhlCnUvq8JIu+52ri6J1cYzFE2RRSN9jGclvJtyR5lxYN&#10;x4USa1qUlJ+zq1UwNNtLux6Zr8tm4+T4O7+64/BFqeen7nMCIlAX/sN3eqUjNxjB35l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lY/LGAAAA3AAAAA8AAAAAAAAA&#10;AAAAAAAAoQIAAGRycy9kb3ducmV2LnhtbFBLBQYAAAAABAAEAPkAAACUAwAAAAA=&#10;" strokecolor="#4a7ebb" strokeweight="3pt">
                  <v:stroke startarrowwidth="wide" startarrowlength="long" endarrow="block"/>
                </v:shape>
                <v:shape id="Straight Arrow Connector 63" o:spid="_x0000_s1170" type="#_x0000_t32" style="position:absolute;left:49291;top:40551;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f9hcYAAADcAAAADwAAAGRycy9kb3ducmV2LnhtbESPQWvCQBSE7wX/w/IKXkrd2GqwqatY&#10;oSAeFK2H9vbIviaL2bcxu5r4712h0OMw880w03lnK3GhxhvHCoaDBARx7rThQsHh6/N5AsIHZI2V&#10;Y1JwJQ/zWe9hipl2Le/osg+FiCXsM1RQhlBnUvq8JIt+4Gri6P26xmKIsimkbrCN5baSL0mSSouG&#10;40KJNS1Lyo/7s1UwMttTux6bj9Nm4+Tbd352P6MnpfqP3eIdRKAu/If/6JWO3Gs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3/YXGAAAA3AAAAA8AAAAAAAAA&#10;AAAAAAAAoQIAAGRycy9kb3ducmV2LnhtbFBLBQYAAAAABAAEAPkAAACUAwAAAAA=&#10;" strokecolor="#4a7ebb" strokeweight="3pt">
                  <v:stroke startarrowwidth="wide" startarrowlength="long" endarrow="block"/>
                </v:shape>
                <v:shape id="Straight Arrow Connector 64" o:spid="_x0000_s1171" type="#_x0000_t32" style="position:absolute;left:52584;top:50056;width:0;height:5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tYHscAAADcAAAADwAAAGRycy9kb3ducmV2LnhtbESPQWsCMRSE7wX/Q3hCL0Wzrdrq1iit&#10;IBQPSrUHvT02r7uhm5d1E9313xtB6HGY+WaY6by1pThT7Y1jBc/9BARx5rThXMHPbtkbg/ABWWPp&#10;mBRcyMN81nmYYqpdw9903oZcxBL2KSooQqhSKX1WkEXfdxVx9H5dbTFEWedS19jEclvKlyR5lRYN&#10;x4UCK1oUlP1tT1bB0GyOzWpkPo/rtZOTfXZyh+GTUo/d9uMdRKA2/Ifv9JeO3OANbmfi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1gexwAAANwAAAAPAAAAAAAA&#10;AAAAAAAAAKECAABkcnMvZG93bnJldi54bWxQSwUGAAAAAAQABAD5AAAAlQMAAAAA&#10;" strokecolor="#4a7ebb" strokeweight="3pt">
                  <v:stroke startarrowwidth="wide" startarrowlength="long" endarrow="block"/>
                </v:shape>
                <v:line id="Straight Connector 66" o:spid="_x0000_s1172" style="position:absolute;flip:x;visibility:visible;mso-wrap-style:square" from="32005,28862" to="42291,2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qmcMEAAADcAAAADwAAAGRycy9kb3ducmV2LnhtbERPy4rCMBTdD/gP4QruxlQdBqlGEd8M&#10;KFgVt5fm2habm9JE2/l7sxiY5eG8p/PWlOJFtSssKxj0IxDEqdUFZwou583nGITzyBpLy6TglxzM&#10;Z52PKcbaNnyiV+IzEULYxagg976KpXRpTgZd31bEgbvb2qAPsM6krrEJ4aaUwyj6lgYLDg05VrTM&#10;KX0kT6Ng2xzcoDleV7vsNjr/3NP1rVyslep128UEhKfW/4v/3Hut4GsU1oYz4QjI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WqZwwQAAANwAAAAPAAAAAAAAAAAAAAAA&#10;AKECAABkcnMvZG93bnJldi54bWxQSwUGAAAAAAQABAD5AAAAjwMAAAAA&#10;" strokecolor="#4a7ebb" strokeweight="3pt">
                  <v:stroke joinstyle="bevel" endcap="round"/>
                </v:line>
                <v:line id="Straight Connector 38" o:spid="_x0000_s1173" style="position:absolute;flip:y;visibility:visible;mso-wrap-style:square" from="32008,29121" to="32008,4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D68YAAADcAAAADwAAAGRycy9kb3ducmV2LnhtbESPQWvCQBSE74L/YXmCN7NRS7HRVURt&#10;lUKFaovXR/aZBLNvQ3Zr4r93C4LHYWa+YWaL1pTiSrUrLCsYRjEI4tTqgjMFP8f3wQSE88gaS8uk&#10;4EYOFvNuZ4aJtg1/0/XgMxEg7BJUkHtfJVK6NCeDLrIVcfDOtjbog6wzqWtsAtyUchTHr9JgwWEh&#10;x4pWOaWXw59R8NF8uWGz/11vs9P4+HlON6dyuVGq32uXUxCeWv8MP9o7reBl/Ab/Z8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WA+vGAAAA3AAAAA8AAAAAAAAA&#10;AAAAAAAAoQIAAGRycy9kb3ducmV2LnhtbFBLBQYAAAAABAAEAPkAAACUAwAAAAA=&#10;" strokecolor="#4a7ebb" strokeweight="3pt">
                  <v:stroke joinstyle="bevel" endcap="round"/>
                </v:line>
                <v:shape id="Straight Arrow Connector 39" o:spid="_x0000_s1174" type="#_x0000_t32" style="position:absolute;left:25147;top:43493;width:68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VrHsIAAADcAAAADwAAAGRycy9kb3ducmV2LnhtbERPTU8CMRC9m/gfmjHxYqCrISArhajR&#10;hCsLMRzHdthu3E432xEWf709kHB8ed+L1RBadaQ+NZENPI4LUMQ2uoZrA7vt5+gZVBJkh21kMnCm&#10;BKvl7c0CSxdPvKFjJbXKIZxKNOBFulLrZD0FTOPYEWfuEPuAkmFfa9fjKYeHVj8VxVQHbDg3eOzo&#10;3ZP9qX6Dgan9Puz3O2f9uXqbP2xm8vH3Jcbc3w2vL6CEBrmKL+61MzCZ5Pn5TD4Ce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VrHsIAAADcAAAADwAAAAAAAAAAAAAA&#10;AAChAgAAZHJzL2Rvd25yZXYueG1sUEsFBgAAAAAEAAQA+QAAAJADAAAAAA==&#10;" strokecolor="#4a7ebb" strokeweight="3pt">
                  <v:stroke startarrowwidth="wide" startarrowlength="long" endarrow="block" joinstyle="bevel" endcap="round"/>
                </v:shape>
                <v:shape id="_x0000_s1175" type="#_x0000_t202" style="position:absolute;left:32008;top:29180;width:932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3MYA&#10;AADcAAAADwAAAGRycy9kb3ducmV2LnhtbESPT4vCMBTE74LfITxhb5oqupSuUaQgLqIH/1y8vW2e&#10;bbF5qU3Uup9+Iyx4HGbmN8x03ppK3KlxpWUFw0EEgjizuuRcwfGw7McgnEfWWFkmBU9yMJ91O1NM&#10;tH3wju57n4sAYZeggsL7OpHSZQUZdANbEwfvbBuDPsgml7rBR4CbSo6i6FMaLDksFFhTWlB22d+M&#10;gnW63OLuZ2Ti3ypdbc6L+no8TZT66LWLLxCeWv8O/7e/tYLx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13MYAAADcAAAADwAAAAAAAAAAAAAAAACYAgAAZHJz&#10;L2Rvd25yZXYueG1sUEsFBgAAAAAEAAQA9QAAAIsDAAAAAA==&#10;" filled="f" stroked="f" strokeweight=".5pt">
                  <v:textbox>
                    <w:txbxContent>
                      <w:p w:rsidR="00670B40" w:rsidRPr="0039298D" w:rsidRDefault="00670B40" w:rsidP="00335E4B">
                        <w:pPr>
                          <w:spacing w:line="280" w:lineRule="exact"/>
                          <w:jc w:val="center"/>
                          <w:rPr>
                            <w:rFonts w:ascii="Traditional Arabic" w:hAnsi="Traditional Arabic" w:cs="Traditional Arabic"/>
                            <w:lang w:val="en-CA" w:bidi="ar-SY"/>
                          </w:rPr>
                        </w:pPr>
                        <w:r w:rsidRPr="0039298D">
                          <w:rPr>
                            <w:rFonts w:ascii="Traditional Arabic" w:hAnsi="Traditional Arabic" w:cs="Traditional Arabic"/>
                            <w:sz w:val="28"/>
                            <w:rtl/>
                            <w:lang w:val="en-GB" w:bidi="ar-SY"/>
                          </w:rPr>
                          <w:t>المواد الجسيمية</w:t>
                        </w:r>
                      </w:p>
                    </w:txbxContent>
                  </v:textbox>
                </v:shape>
                <v:shape id="Straight Arrow Connector 61" o:spid="_x0000_s1176" type="#_x0000_t32" style="position:absolute;left:25179;top:26826;width:17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00c8YAAADcAAAADwAAAGRycy9kb3ducmV2LnhtbESPT2sCMRTE74V+h/AEbzXrn5ayNcq2&#10;IAjiQVtoj4/N6+7q5iVNort+eyMUPA4z8xtmvuxNK87kQ2NZwXiUgSAurW64UvD1uXp6BREissbW&#10;Mim4UIDl4vFhjrm2He/ovI+VSBAOOSqoY3S5lKGsyWAYWUecvF/rDcYkfSW1xy7BTSsnWfYiDTac&#10;Fmp09FFTedyfjIKf3eV5Q++F8ett4dzhu8umf4VSw0FfvIGI1Md7+L+91gpmswnczq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dNHPGAAAA3AAAAA8AAAAAAAAA&#10;AAAAAAAAoQIAAGRycy9kb3ducmV2LnhtbFBLBQYAAAAABAAEAPkAAACUAwAAAAA=&#10;" strokecolor="#4a7ebb" strokeweight="3pt">
                  <v:stroke startarrowwidth="wide" startarrowlength="long" endarrow="block" joinstyle="bevel" endcap="round"/>
                </v:shape>
                <v:shape id="_x0000_s1177" type="#_x0000_t202" style="position:absolute;left:28098;top:24231;width:9621;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OMMcA&#10;AADcAAAADwAAAGRycy9kb3ducmV2LnhtbESPQWvCQBSE7wX/w/KE3upGayVEV5GAWEp70ObS2zP7&#10;TILZtzG7TdL++m5B8DjMzDfMajOYWnTUusqygukkAkGcW11xoSD73D3FIJxH1lhbJgU/5GCzHj2s&#10;MNG25wN1R1+IAGGXoILS+yaR0uUlGXQT2xAH72xbgz7ItpC6xT7ATS1nUbSQBisOCyU2lJaUX47f&#10;RsFbuvvAw2lm4t863b+ft801+3pR6nE8bJcgPA3+Hr61X7WC+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jjDHAAAA3AAAAA8AAAAAAAAAAAAAAAAAmAIAAGRy&#10;cy9kb3ducmV2LnhtbFBLBQYAAAAABAAEAPUAAACMAwAAAAA=&#10;" filled="f" stroked="f" strokeweight=".5pt">
                  <v:textbox>
                    <w:txbxContent>
                      <w:p w:rsidR="00670B40" w:rsidRPr="0039298D" w:rsidRDefault="00670B40" w:rsidP="00335E4B">
                        <w:pPr>
                          <w:spacing w:line="28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الغاز المنبعث</w:t>
                        </w:r>
                      </w:p>
                    </w:txbxContent>
                  </v:textbox>
                </v:shape>
                <v:shape id="_x0000_s1178" type="#_x0000_t202" style="position:absolute;left:18643;top:33318;width:6591;height:5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WR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kTHAAAA3AAAAA8AAAAAAAAAAAAAAAAAmAIAAGRy&#10;cy9kb3ducmV2LnhtbFBLBQYAAAAABAAEAPUAAACMAwAAAAA=&#10;" filled="f" stroked="f" strokeweight=".5pt">
                  <v:textbox>
                    <w:txbxContent>
                      <w:p w:rsidR="00670B40" w:rsidRPr="0039298D" w:rsidRDefault="00670B40" w:rsidP="00335E4B">
                        <w:pPr>
                          <w:spacing w:line="340" w:lineRule="exact"/>
                          <w:jc w:val="center"/>
                          <w:rPr>
                            <w:rFonts w:ascii="Traditional Arabic" w:hAnsi="Traditional Arabic" w:cs="Traditional Arabic"/>
                            <w:lang w:val="en-CA" w:bidi="ar-SY"/>
                          </w:rPr>
                        </w:pPr>
                        <w:r w:rsidRPr="0039298D">
                          <w:rPr>
                            <w:rFonts w:ascii="Traditional Arabic" w:hAnsi="Traditional Arabic" w:cs="Traditional Arabic"/>
                            <w:sz w:val="28"/>
                            <w:rtl/>
                            <w:lang w:val="en-GB" w:bidi="ar-SY"/>
                          </w:rPr>
                          <w:t>حميص الزنك</w:t>
                        </w:r>
                      </w:p>
                    </w:txbxContent>
                  </v:textbox>
                </v:shape>
                <v:shape id="_x0000_s1179" type="#_x0000_t202" style="position:absolute;left:47440;top:55410;width:10287;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z38UA&#10;AADcAAAADwAAAGRycy9kb3ducmV2LnhtbESPT4vCMBTE7wt+h/CEva2pootUo0hBlEUP/rl4ezbP&#10;tti81CZq9dMbYcHjMDO/YcbTxpTiRrUrLCvodiIQxKnVBWcK9rv5zxCE88gaS8uk4EEOppPW1xhj&#10;be+8odvWZyJA2MWoIPe+iqV0aU4GXcdWxME72dqgD7LOpK7xHuCmlL0o+pUGCw4LOVaU5JSet1ej&#10;4C+Zr3Fz7Jnhs0wWq9OsuuwPA6W+281sBMJT4z/h//ZSK+j3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7PfxQAAANwAAAAPAAAAAAAAAAAAAAAAAJgCAABkcnMv&#10;ZG93bnJldi54bWxQSwUGAAAAAAQABAD1AAAAigMAAAAA&#10;" filled="f" stroked="f" strokeweight=".5pt">
                  <v:textbox>
                    <w:txbxContent>
                      <w:p w:rsidR="00670B40" w:rsidRPr="0039298D" w:rsidRDefault="00670B40" w:rsidP="007A68F7">
                        <w:pPr>
                          <w:spacing w:line="28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حمض الكبريتيك</w:t>
                        </w:r>
                      </w:p>
                    </w:txbxContent>
                  </v:textbox>
                </v:shape>
                <v:line id="Straight Connector 75" o:spid="_x0000_s1180" style="position:absolute;flip:x;visibility:visible;mso-wrap-style:square" from="37722,38265" to="42294,3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d8QAAADcAAAADwAAAGRycy9kb3ducmV2LnhtbESPQWvCQBSE70L/w/IK3nRTDdKmbkQK&#10;FqEHUVN6fWRfk5Ds27C7jfHfuwXB4zAz3zDrzWg6MZDzjWUFL/MEBHFpdcOVguK8m72C8AFZY2eZ&#10;FFzJwyZ/mqwx0/bCRxpOoRIRwj5DBXUIfSalL2sy6Oe2J47er3UGQ5SuktrhJcJNJxdJspIGG44L&#10;Nfb0UVPZnv6MgmFbvKXt59K48atJ7XexP4Qfq9T0edy+gwg0hkf43t5rBWm6gv8z8Qj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O93xAAAANwAAAAPAAAAAAAAAAAA&#10;AAAAAKECAABkcnMvZG93bnJldi54bWxQSwUGAAAAAAQABAD5AAAAkgMAAAAA&#10;" strokecolor="#4a7ebb" strokeweight="3pt">
                  <v:stroke endcap="round"/>
                </v:line>
                <v:shape id="Straight Arrow Connector 76" o:spid="_x0000_s1181" type="#_x0000_t32" style="position:absolute;left:37723;top:38265;width:0;height:9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0rY8YAAADcAAAADwAAAGRycy9kb3ducmV2LnhtbESPQWvCQBSE7wX/w/IKvRTdKNHa1FW0&#10;UCgelKqH9vbIviaL2bcxu5r4712h0OMw880ws0VnK3GhxhvHCoaDBARx7rThQsFh/9GfgvABWWPl&#10;mBRcycNi3nuYYaZdy1902YVCxBL2GSooQ6gzKX1ekkU/cDVx9H5dYzFE2RRSN9jGclvJUZJMpEXD&#10;caHEmt5Lyo+7s1WQmu2pXY/N6rTZOPn6nZ/dT/qs1NNjt3wDEagL/+E/+lNHLn2B+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9K2PGAAAA3AAAAA8AAAAAAAAA&#10;AAAAAAAAoQIAAGRycy9kb3ducmV2LnhtbFBLBQYAAAAABAAEAPkAAACUAwAAAAA=&#10;" strokecolor="#4a7ebb" strokeweight="3pt">
                  <v:stroke startarrowwidth="wide" startarrowlength="long" endarrow="block"/>
                </v:shape>
                <v:shape id="_x0000_s1182" type="#_x0000_t202" style="position:absolute;left:31584;top:47790;width:9754;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cQcIA&#10;AADcAAAADwAAAGRycy9kb3ducmV2LnhtbERPy4rCMBTdC/5DuII7TUcc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hxBwgAAANwAAAAPAAAAAAAAAAAAAAAAAJgCAABkcnMvZG93&#10;bnJldi54bWxQSwUGAAAAAAQABAD1AAAAhwMAAAAA&#10;" filled="f" stroked="f" strokeweight=".5pt">
                  <v:textbox>
                    <w:txbxContent>
                      <w:p w:rsidR="00670B40" w:rsidRPr="0039298D" w:rsidRDefault="00670B40" w:rsidP="00335E4B">
                        <w:pPr>
                          <w:spacing w:line="280" w:lineRule="exact"/>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نفايات الزئبق</w:t>
                        </w:r>
                      </w:p>
                    </w:txbxContent>
                  </v:textbox>
                </v:shape>
                <v:roundrect id="Rounded Rectangle 54" o:spid="_x0000_s1183" style="position:absolute;left:42297;top:35102;width:13716;height:51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fksgA&#10;AADcAAAADwAAAGRycy9kb3ducmV2LnhtbESPT2vCQBTE7wW/w/KEXkrdaEU0dRUVSqQHwT9Qj4/s&#10;axLMvo27W5P203cLBY/DzPyGmS87U4sbOV9ZVjAcJCCIc6srLhScjm/PUxA+IGusLZOCb/KwXPQe&#10;5phq2/KebodQiAhhn6KCMoQmldLnJRn0A9sQR+/TOoMhSldI7bCNcFPLUZJMpMGK40KJDW1Kyi+H&#10;L6PgPMn0Dk/r5DL7eXr/yF7O1bXYKvXY71avIAJ14R7+b2+1gvF4Bn9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YN+SyAAAANwAAAAPAAAAAAAAAAAAAAAAAJgCAABk&#10;cnMvZG93bnJldi54bWxQSwUGAAAAAAQABAD1AAAAjQMAAAAA&#10;" fillcolor="#a3c4ff" strokecolor="#4a7ebb">
                  <v:fill color2="#e5eeff" rotate="t" angle="180" colors="0 #a3c4ff;22938f #bfd5ff;1 #e5eeff" focus="100%" type="gradient"/>
                  <v:shadow on="t" color="black" opacity="24903f" origin=",.5" offset="0,.55556mm"/>
                  <v:textbox>
                    <w:txbxContent>
                      <w:p w:rsidR="00670B40" w:rsidRPr="0039298D" w:rsidRDefault="00670B40" w:rsidP="00335E4B">
                        <w:pPr>
                          <w:spacing w:before="120" w:line="28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إزالة الزئبق</w:t>
                        </w:r>
                      </w:p>
                    </w:txbxContent>
                  </v:textbox>
                </v:roundrect>
                <v:roundrect id="Rounded Rectangle 17" o:spid="_x0000_s1184" style="position:absolute;left:11525;top:25838;width:13652;height:5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g0sMA&#10;AADcAAAADwAAAGRycy9kb3ducmV2LnhtbERPy4rCMBTdC/MP4Q64kTH1MeJUo6ggiouBUWFcXppr&#10;W2xuahO1+vVmIbg8nPd4WptCXKlyuWUFnXYEgjixOudUwX63/BqCcB5ZY2GZFNzJwXTy0RhjrO2N&#10;/+i69akIIexiVJB5X8ZSuiQjg65tS+LAHW1l0AdYpVJXeAvhppDdKBpIgzmHhgxLWmSUnLYXo+Aw&#10;WOlf3M+j08+jtflf9Q75OV0r1fysZyMQnmr/Fr/ca62g/x3mhzPhCM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Pg0s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670B40" w:rsidRPr="0039298D" w:rsidRDefault="00670B40" w:rsidP="00335E4B">
                        <w:pPr>
                          <w:spacing w:before="120" w:line="28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التحميص</w:t>
                        </w:r>
                      </w:p>
                    </w:txbxContent>
                  </v:textbox>
                </v:roundrect>
                <v:roundrect id="Rounded Rectangle 41" o:spid="_x0000_s1185" style="position:absolute;left:11703;top:51435;width:1344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FSccA&#10;AADcAAAADwAAAGRycy9kb3ducmV2LnhtbESPQWvCQBSE74L/YXlCL6IbWysaXcUWRPFQMAp6fGSf&#10;STD7Ns1uNe2vdwuCx2FmvmFmi8aU4kq1KywrGPQjEMSp1QVnCg77VW8MwnlkjaVlUvBLDhbzdmuG&#10;sbY33tE18ZkIEHYxKsi9r2IpXZqTQde3FXHwzrY26IOsM6lrvAW4KeVrFI2kwYLDQo4VfeaUXpIf&#10;o+A0WusvPHxEl8lfd3tcv52K72yj1EunWU5BeGr8M/xob7SC4fsA/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PRUn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670B40" w:rsidRPr="004914D2" w:rsidRDefault="00670B40" w:rsidP="00335E4B">
                        <w:pPr>
                          <w:spacing w:before="120" w:line="280" w:lineRule="exact"/>
                          <w:jc w:val="center"/>
                          <w:rPr>
                            <w:sz w:val="28"/>
                            <w:lang w:val="en-GB" w:bidi="ar-SY"/>
                          </w:rPr>
                        </w:pPr>
                        <w:r w:rsidRPr="004914D2">
                          <w:rPr>
                            <w:rFonts w:hint="cs"/>
                            <w:sz w:val="28"/>
                            <w:rtl/>
                            <w:lang w:val="en-GB" w:bidi="ar-SY"/>
                          </w:rPr>
                          <w:t>التحليل الكهربائي</w:t>
                        </w:r>
                      </w:p>
                    </w:txbxContent>
                  </v:textbox>
                </v:roundrect>
                <v:shape id="Straight Arrow Connector 42" o:spid="_x0000_s1186" type="#_x0000_t32" style="position:absolute;left:18283;top:56914;width:6;height:5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MeJsYAAADcAAAADwAAAGRycy9kb3ducmV2LnhtbESPQWvCQBSE7wX/w/IKvZS6UVTa6Bq0&#10;UCgeLFUP9vbIPpOl2bdJdjXx37tCocdh5pthFllvK3Gh1hvHCkbDBARx7rThQsFh//HyCsIHZI2V&#10;Y1JwJQ/ZcvCwwFS7jr/psguFiCXsU1RQhlCnUvq8JIt+6Gri6J1cazFE2RZSt9jFclvJcZLMpEXD&#10;caHEmt5Lyn93Z6tgYr6abjM162a7dfLtmJ/dz+RZqafHfjUHEagP/+E/+lNHbjqG+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THibGAAAA3AAAAA8AAAAAAAAA&#10;AAAAAAAAoQIAAGRycy9kb3ducmV2LnhtbFBLBQYAAAAABAAEAPkAAACUAwAAAAA=&#10;" strokecolor="#4a7ebb" strokeweight="3pt">
                  <v:stroke startarrowwidth="wide" startarrowlength="long" endarrow="block"/>
                </v:shape>
                <v:line id="Straight Connector 43" o:spid="_x0000_s1187" style="position:absolute;flip:x;visibility:visible;mso-wrap-style:square" from="5715,13716" to="1152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aMsUAAADcAAAADwAAAGRycy9kb3ducmV2LnhtbESPQWvCQBSE7wX/w/KE3upGTUuNboII&#10;FsFDqU3p9ZF9JsHs27C7xvTfd4VCj8PMfMNsitF0YiDnW8sK5rMEBHFldcu1gvJz//QKwgdkjZ1l&#10;UvBDHop88rDBTNsbf9BwCrWIEPYZKmhC6DMpfdWQQT+zPXH0ztYZDFG6WmqHtwg3nVwkyYs02HJc&#10;aLCnXUPV5XQ1CoZtuUovb0vjxmOb2q/y8B6+rVKP03G7BhFoDP/hv/ZBK0ifl3A/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baMsUAAADcAAAADwAAAAAAAAAA&#10;AAAAAAChAgAAZHJzL2Rvd25yZXYueG1sUEsFBgAAAAAEAAQA+QAAAJMDAAAAAA==&#10;" strokecolor="#4a7ebb" strokeweight="3pt">
                  <v:stroke endcap="round"/>
                </v:line>
                <v:line id="Straight Connector 44" o:spid="_x0000_s1188" style="position:absolute;flip:x y;visibility:visible;mso-wrap-style:square" from="5715,13802" to="5787,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hu/cMAAADcAAAADwAAAGRycy9kb3ducmV2LnhtbESP3YrCMBSE7xd8h3CEvVtTRRetpsUV&#10;BC/9e4Bjc2xrm5PSZGvXpzeCsJfDzHzDrNLe1KKj1pWWFYxHEQjizOqScwXn0/ZrDsJ5ZI21ZVLw&#10;Rw7SZPCxwljbOx+oO/pcBAi7GBUU3jexlC4ryKAb2YY4eFfbGvRBtrnULd4D3NRyEkXf0mDJYaHA&#10;hjYFZdXx1yiwlR4/FtX+No8e/WFSdhVefs5KfQ779RKEp97/h9/tnVYwnU3hdSYcAZk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4bv3DAAAA3AAAAA8AAAAAAAAAAAAA&#10;AAAAoQIAAGRycy9kb3ducmV2LnhtbFBLBQYAAAAABAAEAPkAAACRAwAAAAA=&#10;" strokecolor="#4a7ebb" strokeweight="3pt">
                  <v:stroke joinstyle="bevel" endcap="round"/>
                </v:line>
                <v:shape id="Straight Arrow Connector 45" o:spid="_x0000_s1189" type="#_x0000_t32" style="position:absolute;left:5787;top:42291;width:59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qGUsYAAADcAAAADwAAAGRycy9kb3ducmV2LnhtbESPQWvCQBSE70L/w/IKXqRuKqa0qatU&#10;QRAPStMe2tsj+5oszb6N2dXEf+8Kgsdh5pthZove1uJErTeOFTyPExDEhdOGSwXfX+unVxA+IGus&#10;HZOCM3lYzB8GM8y06/iTTnkoRSxhn6GCKoQmk9IXFVn0Y9cQR+/PtRZDlG0pdYtdLLe1nCTJi7Ro&#10;OC5U2NCqouI/P1oFU7M/dNvULA+7nZNvP8XR/U5HSg0f+493EIH6cA/f6I2OXJrC9Uw8An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6hlLGAAAA3AAAAA8AAAAAAAAA&#10;AAAAAAAAoQIAAGRycy9kb3ducmV2LnhtbFBLBQYAAAAABAAEAPkAAACUAwAAAAA=&#10;" strokecolor="#4a7ebb" strokeweight="3pt">
                  <v:stroke startarrowwidth="wide" startarrowlength="long" endarrow="block"/>
                </v:shape>
                <v:roundrect id="Rounded Rectangle 16" o:spid="_x0000_s1190" style="position:absolute;left:11525;top:11106;width:13443;height:48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dPccA&#10;AADcAAAADwAAAGRycy9kb3ducmV2LnhtbESPT2vCQBTE74V+h+UVeim6sWrQ6Cq2IEoPBf+AHh/Z&#10;ZxLMvk2zW41+elcQPA4z8xtmPG1MKU5Uu8Kygk47AkGcWl1wpmC7mbcGIJxH1lhaJgUXcjCdvL6M&#10;MdH2zCs6rX0mAoRdggpy76tESpfmZNC1bUUcvIOtDfog60zqGs8Bbkr5GUWxNFhwWMixou+c0uP6&#10;3yjYxwv9i9uv6Di8fvzsFt198ZctlXp/a2YjEJ4a/ww/2kutoNeP4X4mH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m3T3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670B40" w:rsidRPr="0039298D" w:rsidRDefault="00670B40" w:rsidP="0039298D">
                        <w:pPr>
                          <w:spacing w:before="120" w:line="28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خلط الخام المركز</w:t>
                        </w:r>
                      </w:p>
                    </w:txbxContent>
                  </v:textbox>
                </v:roundrect>
                <v:roundrect id="Rounded Rectangle 53" o:spid="_x0000_s1191" style="position:absolute;left:42297;top:25647;width:13716;height:5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4psgA&#10;AADcAAAADwAAAGRycy9kb3ducmV2LnhtbESPW2vCQBSE3wv+h+UIvhTdVFsv0VVUKEofBC+gj4fs&#10;MQlmz6bZVVN/vVso9HGYmW+Yyaw2hbhR5XLLCt46EQjixOqcUwWH/Wd7CMJ5ZI2FZVLwQw5m08bL&#10;BGNt77yl286nIkDYxagg876MpXRJRgZdx5bEwTvbyqAPskqlrvAe4KaQ3SjqS4M5h4UMS1pmlFx2&#10;V6Pg1F/pDR4W0WX0eP06rnqn/DtdK9Vq1vMxCE+1/w//tddawfvHAH7PhCMgp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animyAAAANwAAAAPAAAAAAAAAAAAAAAAAJgCAABk&#10;cnMvZG93bnJldi54bWxQSwUGAAAAAAQABAD1AAAAjQMAAAAA&#10;" fillcolor="#a3c4ff" strokecolor="#4a7ebb">
                  <v:fill color2="#e5eeff" rotate="t" angle="180" colors="0 #a3c4ff;22938f #bfd5ff;1 #e5eeff" focus="100%" type="gradient"/>
                  <v:shadow on="t" color="black" opacity="24903f" origin=",.5" offset="0,.55556mm"/>
                  <v:textbox>
                    <w:txbxContent>
                      <w:p w:rsidR="00670B40" w:rsidRPr="0039298D" w:rsidRDefault="00670B40" w:rsidP="00335E4B">
                        <w:pPr>
                          <w:spacing w:before="120" w:line="28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تنظيف الغاز</w:t>
                        </w:r>
                      </w:p>
                    </w:txbxContent>
                  </v:textbox>
                </v:roundrect>
                <v:line id="Straight Connector 37" o:spid="_x0000_s1192" style="position:absolute;flip:x;visibility:visible;mso-wrap-style:square" from="5935,44556" to="11703,4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IQ8EAAADcAAAADwAAAGRycy9kb3ducmV2LnhtbERPz2vCMBS+C/sfwht403SzDq1GkcFE&#10;8CDTitdH89YWm5eSZLX+9+YgePz4fi/XvWlER87XlhV8jBMQxIXVNZcK8tPPaAbCB2SNjWVScCcP&#10;69XbYImZtjf+pe4YShFD2GeooAqhzaT0RUUG/di2xJH7s85giNCVUju8xXDTyM8k+ZIGa44NFbb0&#10;XVFxPf4bBd0mn6fX7cS4fl+n9pzvDuFilRq+95sFiEB9eImf7p1WkE7j2ngmHgG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EkhDwQAAANwAAAAPAAAAAAAAAAAAAAAA&#10;AKECAABkcnMvZG93bnJldi54bWxQSwUGAAAAAAQABAD5AAAAjwMAAAAA&#10;" strokecolor="#4a7ebb" strokeweight="3pt">
                  <v:stroke endcap="round"/>
                </v:line>
                <v:shape id="Straight Arrow Connector 40" o:spid="_x0000_s1193" type="#_x0000_t32" style="position:absolute;left:5935;top:44556;width:0;height:3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MV8YAAADcAAAADwAAAGRycy9kb3ducmV2LnhtbESPQWvCQBSE70L/w/IKvUjdtGipqZtQ&#10;BUE8KFoP9vbIviZLs29jdjXx33cLgsdh5pthZnlva3Gh1hvHCl5GCQjiwmnDpYLD1/L5HYQPyBpr&#10;x6TgSh7y7GEww1S7jnd02YdSxBL2KSqoQmhSKX1RkUU/cg1x9H5cazFE2ZZSt9jFclvL1yR5kxYN&#10;x4UKG1pUVPzuz1bB2GxP3Xpi5qfNxsnpsTi77/FQqafH/vMDRKA+3MM3eqUjN5nC/5l4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3jFfGAAAA3AAAAA8AAAAAAAAA&#10;AAAAAAAAoQIAAGRycy9kb3ducmV2LnhtbFBLBQYAAAAABAAEAPkAAACUAwAAAAA=&#10;" strokecolor="#4a7ebb" strokeweight="3pt">
                  <v:stroke startarrowwidth="wide" startarrowlength="long" endarrow="block"/>
                </v:shape>
                <v:roundrect id="Rounded Rectangle 18" o:spid="_x0000_s1194" style="position:absolute;left:11704;top:40551;width:13445;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qb8MA&#10;AADcAAAADwAAAGRycy9kb3ducmV2LnhtbERPy4rCMBTdD/gP4QpuBk0dh6LVKM6AKC4EH6DLS3Nt&#10;i81Np4la/XqzGHB5OO/JrDGluFHtCssK+r0IBHFqdcGZgsN+0R2CcB5ZY2mZFDzIwWza+phgou2d&#10;t3Tb+UyEEHYJKsi9rxIpXZqTQdezFXHgzrY26AOsM6lrvIdwU8qvKIqlwYJDQ44V/eaUXnZXo+AU&#10;L/UGDz/RZfT8XB+Xg1Pxl62U6rSb+RiEp8a/xf/ulVbwHYf54Uw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8qb8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670B40" w:rsidRPr="0039298D" w:rsidRDefault="00670B40" w:rsidP="00335E4B">
                        <w:pPr>
                          <w:spacing w:line="280" w:lineRule="exact"/>
                          <w:jc w:val="center"/>
                          <w:rPr>
                            <w:rFonts w:ascii="Traditional Arabic" w:hAnsi="Traditional Arabic" w:cs="Traditional Arabic"/>
                            <w:sz w:val="28"/>
                            <w:lang w:val="en-CA" w:bidi="ar-SY"/>
                          </w:rPr>
                        </w:pPr>
                        <w:r w:rsidRPr="0039298D">
                          <w:rPr>
                            <w:rFonts w:ascii="Traditional Arabic" w:hAnsi="Traditional Arabic" w:cs="Traditional Arabic"/>
                            <w:sz w:val="28"/>
                            <w:rtl/>
                            <w:lang w:val="en-CA" w:bidi="ar-SY"/>
                          </w:rPr>
                          <w:t>النض والتنقية</w:t>
                        </w:r>
                      </w:p>
                    </w:txbxContent>
                  </v:textbox>
                </v:roundrect>
                <v:shape id="_x0000_s1195" type="#_x0000_t202" style="position:absolute;left:1581;top:48514;width:8686;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vMUA&#10;AADcAAAADwAAAGRycy9kb3ducmV2LnhtbESPQYvCMBSE78L+h/AEb5oqu1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em8xQAAANwAAAAPAAAAAAAAAAAAAAAAAJgCAABkcnMv&#10;ZG93bnJldi54bWxQSwUGAAAAAAQABAD1AAAAigMAAAAA&#10;" filled="f" stroked="f" strokeweight=".5pt">
                  <v:textbox>
                    <w:txbxContent>
                      <w:p w:rsidR="00670B40" w:rsidRPr="0039298D" w:rsidRDefault="00670B40" w:rsidP="00335E4B">
                        <w:pPr>
                          <w:spacing w:line="280" w:lineRule="exact"/>
                          <w:jc w:val="center"/>
                          <w:rPr>
                            <w:rFonts w:ascii="Traditional Arabic" w:hAnsi="Traditional Arabic" w:cs="Traditional Arabic"/>
                            <w:sz w:val="28"/>
                            <w:lang w:val="en-GB" w:bidi="ar-SY"/>
                          </w:rPr>
                        </w:pPr>
                        <w:r w:rsidRPr="0039298D">
                          <w:rPr>
                            <w:rFonts w:ascii="Traditional Arabic" w:hAnsi="Traditional Arabic" w:cs="Traditional Arabic"/>
                            <w:sz w:val="28"/>
                            <w:rtl/>
                            <w:lang w:val="en-GB" w:bidi="ar-SY"/>
                          </w:rPr>
                          <w:t>بقايا النض والمواد الوسيطة</w:t>
                        </w:r>
                      </w:p>
                    </w:txbxContent>
                  </v:textbox>
                </v:shape>
                <v:shape id="Straight Arrow Connector 49" o:spid="_x0000_s1196" type="#_x0000_t32" style="position:absolute;left:45725;top:50056;width:0;height:11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Um8YAAADcAAAADwAAAGRycy9kb3ducmV2LnhtbESPQWsCMRSE70L/Q3iCF9FsxYpujdIK&#10;gnhQaj3o7bF53Q1uXtZNdNd/3xQKHoeZb4aZL1tbijvV3jhW8DpMQBBnThvOFRy/14MpCB+QNZaO&#10;ScGDPCwXL505pto1/EX3Q8hFLGGfooIihCqV0mcFWfRDVxFH78fVFkOUdS51jU0st6UcJclEWjQc&#10;FwqsaFVQdjncrIKx2V+b7Zv5vO52Ts5O2c2dx32let324x1EoDY8w//0RkduMoK/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1JvGAAAA3AAAAA8AAAAAAAAA&#10;AAAAAAAAoQIAAGRycy9kb3ducmV2LnhtbFBLBQYAAAAABAAEAPkAAACUAwAAAAA=&#10;" strokecolor="#4a7ebb" strokeweight="3pt">
                  <v:stroke startarrowwidth="wide" startarrowlength="long" endarrow="block"/>
                </v:shape>
                <v:shape id="Text Box 50" o:spid="_x0000_s1197" type="#_x0000_t202" style="position:absolute;left:39497;top:61785;width:12572;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UMUA&#10;AADcAAAADwAAAGRycy9kb3ducmV2LnhtbESPT4vCMBTE78J+h/CEvWnqX6QaRQqiyHrQ9eLt2Tzb&#10;YvPSbbJa99MbQdjjMDO/YWaLxpTiRrUrLCvodSMQxKnVBWcKjt+rzgSE88gaS8uk4EEOFvOP1gxj&#10;be+8p9vBZyJA2MWoIPe+iqV0aU4GXddWxMG72NqgD7LOpK7xHuCmlP0oGkuDBYeFHCtKckqvh1+j&#10;YJusdrg/983kr0zWX5dl9XM8jZT6bDfLKQhPjf8Pv9sbrWA4H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9JQxQAAANwAAAAPAAAAAAAAAAAAAAAAAJgCAABkcnMv&#10;ZG93bnJldi54bWxQSwUGAAAAAAQABAD1AAAAigMAAAAA&#10;" filled="f" stroked="f" strokeweight=".5pt">
                  <v:textbox>
                    <w:txbxContent>
                      <w:p w:rsidR="00670B40" w:rsidRPr="007A68F7" w:rsidRDefault="00670B40" w:rsidP="00335E4B">
                        <w:pPr>
                          <w:spacing w:line="280" w:lineRule="exact"/>
                          <w:jc w:val="center"/>
                          <w:rPr>
                            <w:rFonts w:ascii="Traditional Arabic" w:hAnsi="Traditional Arabic" w:cs="Traditional Arabic"/>
                            <w:sz w:val="28"/>
                            <w:lang w:val="en-GB" w:bidi="ar-SY"/>
                          </w:rPr>
                        </w:pPr>
                        <w:r w:rsidRPr="007A68F7">
                          <w:rPr>
                            <w:rFonts w:ascii="Traditional Arabic" w:hAnsi="Traditional Arabic" w:cs="Traditional Arabic"/>
                            <w:sz w:val="28"/>
                            <w:rtl/>
                            <w:lang w:val="en-GB" w:bidi="ar-SY"/>
                          </w:rPr>
                          <w:t>الانبعاثات إلى المدخنة</w:t>
                        </w:r>
                      </w:p>
                    </w:txbxContent>
                  </v:textbox>
                </v:shape>
                <v:roundrect id="Rounded Rectangle 46" o:spid="_x0000_s1198" style="position:absolute;left:11523;top:62800;width:13445;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sbMcA&#10;AADcAAAADwAAAGRycy9kb3ducmV2LnhtbESPQWvCQBSE74L/YXmCF6kbq4Q2zSq2IIqHQlOhOT6y&#10;r0kw+zbNrhr99d2C0OMwM98w6ao3jThT52rLCmbTCARxYXXNpYLD5+bhCYTzyBoby6TgSg5Wy+Eg&#10;xUTbC3/QOfOlCBB2CSqovG8TKV1RkUE3tS1x8L5tZ9AH2ZVSd3gJcNPIxyiKpcGaw0KFLb1VVByz&#10;k1GQx1v9jofX6Ph8m+y/tvO8/il3So1H/foFhKfe/4fv7Z1WsIgX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ULGz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670B40" w:rsidRPr="007A68F7" w:rsidRDefault="00670B40" w:rsidP="00335E4B">
                        <w:pPr>
                          <w:spacing w:before="120" w:line="280" w:lineRule="exact"/>
                          <w:jc w:val="center"/>
                          <w:rPr>
                            <w:rFonts w:ascii="Traditional Arabic" w:hAnsi="Traditional Arabic" w:cs="Traditional Arabic"/>
                            <w:sz w:val="28"/>
                            <w:lang w:val="en-GB" w:bidi="ar-SY"/>
                          </w:rPr>
                        </w:pPr>
                        <w:r w:rsidRPr="007A68F7">
                          <w:rPr>
                            <w:rFonts w:ascii="Traditional Arabic" w:hAnsi="Traditional Arabic" w:cs="Traditional Arabic"/>
                            <w:sz w:val="28"/>
                            <w:rtl/>
                            <w:lang w:val="en-GB" w:bidi="ar-SY"/>
                          </w:rPr>
                          <w:t>التذويب والسبك</w:t>
                        </w:r>
                      </w:p>
                    </w:txbxContent>
                  </v:textbox>
                </v:roundrect>
                <v:shape id="Straight Arrow Connector 47" o:spid="_x0000_s1199" type="#_x0000_t32" style="position:absolute;left:18144;top:68254;width:6;height:5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ZM78cAAADcAAAADwAAAGRycy9kb3ducmV2LnhtbESPT2vCQBTE74LfYXmFXqRuWlTa6Bps&#10;oVB6UPxzsLdH9pkszb5NsqtJv71bEDwOM78ZZpH1thIXar1xrOB5nIAgzp02XCg47D+fXkH4gKyx&#10;ckwK/shDthwOFphq1/GWLrtQiFjCPkUFZQh1KqXPS7Lox64mjt7JtRZDlG0hdYtdLLeVfEmSmbRo&#10;OC6UWNNHSfnv7mwVTMym6b6n5r1Zr518O+Zn9zMZKfX40K/mIAL14R6+0V86crMp/J+JR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kzvxwAAANwAAAAPAAAAAAAA&#10;AAAAAAAAAKECAABkcnMvZG93bnJldi54bWxQSwUGAAAAAAQABAD5AAAAlQMAAAAA&#10;" strokecolor="#4a7ebb" strokeweight="3pt">
                  <v:stroke startarrowwidth="wide" startarrowlength="long" endarrow="block"/>
                </v:shape>
                <v:shape id="Text Box 51" o:spid="_x0000_s1200" type="#_x0000_t202" style="position:absolute;left:9512;top:74206;width:16757;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xyMcA&#10;AADcAAAADwAAAGRycy9kb3ducmV2LnhtbESPQWvCQBSE70L/w/IKvemmoQ0SXUMIBEupB62X3l6z&#10;zySYfZtmV037611B6HGYmW+YZTaaTpxpcK1lBc+zCARxZXXLtYL9Zzmdg3AeWWNnmRT8koNs9TBZ&#10;Yqrthbd03vlaBAi7FBU03veplK5qyKCb2Z44eAc7GPRBDrXUA14C3HQyjqJEGmw5LDTYU9FQddyd&#10;jIL3otzg9js287+uWH8c8v5n//Wq1NPjmC9AeBr9f/jeftMKXp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ccjHAAAA3AAAAA8AAAAAAAAAAAAAAAAAmAIAAGRy&#10;cy9kb3ducmV2LnhtbFBLBQYAAAAABAAEAPUAAACMAwAAAAA=&#10;" filled="f" stroked="f" strokeweight=".5pt">
                  <v:textbox>
                    <w:txbxContent>
                      <w:p w:rsidR="00670B40" w:rsidRPr="007A68F7" w:rsidRDefault="00670B40" w:rsidP="00335E4B">
                        <w:pPr>
                          <w:spacing w:line="280" w:lineRule="exact"/>
                          <w:jc w:val="center"/>
                          <w:rPr>
                            <w:rFonts w:ascii="Traditional Arabic" w:hAnsi="Traditional Arabic" w:cs="Traditional Arabic"/>
                            <w:sz w:val="28"/>
                            <w:lang w:val="en-GB" w:bidi="ar-SY"/>
                          </w:rPr>
                        </w:pPr>
                        <w:r w:rsidRPr="007A68F7">
                          <w:rPr>
                            <w:rFonts w:ascii="Traditional Arabic" w:hAnsi="Traditional Arabic" w:cs="Traditional Arabic"/>
                            <w:rtl/>
                            <w:lang w:val="en-CA" w:bidi="ar-SY"/>
                          </w:rPr>
                          <w:t>معادن الزنك، سبائك الزنك</w:t>
                        </w:r>
                      </w:p>
                    </w:txbxContent>
                  </v:textbox>
                </v:shape>
                <v:shape id="Straight Arrow Connector 52" o:spid="_x0000_s1201" type="#_x0000_t32" style="position:absolute;left:25147;top:28842;width:68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vCsUAAADcAAAADwAAAGRycy9kb3ducmV2LnhtbESPQUsDMRSE70L/Q3iCF7FZRba6Ni1V&#10;FHrtWqTHZ/K6Wdy8LJtnu/XXN4LgcZiZb5j5cgydOtCQ2sgGbqcFKGIbXcuNge37280DqCTIDrvI&#10;ZOBECZaLycUcKxePvKFDLY3KEE4VGvAifaV1sp4CpmnsibO3j0NAyXJotBvwmOGh03dFUeqALecF&#10;jz29eLJf9XcwUNrP/W63ddaf6ufH681MXn8+xJiry3H1BEpolP/wX3vtDNyXM/g9k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mvCsUAAADcAAAADwAAAAAAAAAA&#10;AAAAAAChAgAAZHJzL2Rvd25yZXYueG1sUEsFBgAAAAAEAAQA+QAAAJMDAAAAAA==&#10;" strokecolor="#4a7ebb" strokeweight="3pt">
                  <v:stroke startarrowwidth="wide" startarrowlength="long" endarrow="block" joinstyle="bevel" endcap="round"/>
                </v:shape>
                <w10:wrap type="tight"/>
              </v:group>
            </w:pict>
          </mc:Fallback>
        </mc:AlternateContent>
      </w:r>
      <w:r w:rsidRPr="00335E4B">
        <w:rPr>
          <w:rFonts w:cs="Traditional Arabic"/>
          <w:b/>
          <w:bCs/>
          <w:sz w:val="28"/>
          <w:szCs w:val="30"/>
          <w:rtl/>
        </w:rPr>
        <w:t>الشكل</w:t>
      </w:r>
      <w:r w:rsidRPr="00335E4B">
        <w:rPr>
          <w:rFonts w:cs="Traditional Arabic"/>
          <w:b/>
          <w:bCs/>
          <w:sz w:val="28"/>
          <w:szCs w:val="30"/>
          <w:rtl/>
          <w:lang w:val="en-GB" w:bidi="ar-EG"/>
        </w:rPr>
        <w:t xml:space="preserve"> </w:t>
      </w:r>
      <w:r w:rsidRPr="00335E4B">
        <w:rPr>
          <w:rFonts w:cs="Traditional Arabic" w:hint="cs"/>
          <w:b/>
          <w:bCs/>
          <w:sz w:val="28"/>
          <w:szCs w:val="30"/>
          <w:rtl/>
          <w:lang w:val="en-GB" w:bidi="ar-EG"/>
        </w:rPr>
        <w:t>2</w:t>
      </w:r>
      <w:r w:rsidR="007A68F7">
        <w:rPr>
          <w:rFonts w:cs="Traditional Arabic" w:hint="cs"/>
          <w:b/>
          <w:bCs/>
          <w:sz w:val="28"/>
          <w:szCs w:val="30"/>
          <w:rtl/>
          <w:lang w:val="en-GB" w:bidi="ar-EG"/>
        </w:rPr>
        <w:t>-</w:t>
      </w:r>
      <w:r w:rsidRPr="00335E4B">
        <w:rPr>
          <w:rFonts w:cs="Traditional Arabic"/>
          <w:b/>
          <w:bCs/>
          <w:sz w:val="28"/>
          <w:szCs w:val="30"/>
          <w:rtl/>
          <w:lang w:val="en-GB" w:bidi="ar-EG"/>
        </w:rPr>
        <w:t xml:space="preserve"> </w:t>
      </w:r>
      <w:r w:rsidRPr="00335E4B">
        <w:rPr>
          <w:rFonts w:cs="Traditional Arabic"/>
          <w:b/>
          <w:bCs/>
          <w:sz w:val="28"/>
          <w:szCs w:val="30"/>
          <w:rtl/>
        </w:rPr>
        <w:t>العمليات التي ينطوي عليها الإنتاج الأساسي</w:t>
      </w:r>
      <w:r w:rsidRPr="00335E4B">
        <w:rPr>
          <w:rFonts w:cs="Traditional Arabic" w:hint="cs"/>
          <w:b/>
          <w:bCs/>
          <w:sz w:val="28"/>
          <w:szCs w:val="30"/>
          <w:rtl/>
        </w:rPr>
        <w:t xml:space="preserve"> للزنك</w:t>
      </w:r>
    </w:p>
    <w:p w:rsidR="00335E4B" w:rsidRPr="00335E4B" w:rsidRDefault="0032206D" w:rsidP="00335E4B">
      <w:pPr>
        <w:keepNext/>
        <w:tabs>
          <w:tab w:val="left" w:pos="991"/>
        </w:tabs>
        <w:spacing w:before="120" w:after="120" w:line="400" w:lineRule="exact"/>
        <w:jc w:val="both"/>
        <w:outlineLvl w:val="0"/>
        <w:rPr>
          <w:rFonts w:cs="Traditional Arabic"/>
          <w:b/>
          <w:bCs/>
          <w:sz w:val="30"/>
          <w:szCs w:val="30"/>
          <w:rtl/>
          <w:lang w:bidi="ar-EG"/>
        </w:rPr>
      </w:pPr>
      <w:bookmarkStart w:id="1335" w:name="_Toc433095396"/>
      <w:bookmarkStart w:id="1336" w:name="_Toc434239930"/>
      <w:bookmarkStart w:id="1337" w:name="_Toc440550525"/>
      <w:bookmarkStart w:id="1338" w:name="_Toc441577784"/>
      <w:bookmarkStart w:id="1339" w:name="_Toc441577963"/>
      <w:bookmarkStart w:id="1340" w:name="_Toc441580797"/>
      <w:bookmarkStart w:id="1341" w:name="_Toc441585928"/>
      <w:bookmarkStart w:id="1342" w:name="_Toc441586264"/>
      <w:bookmarkStart w:id="1343" w:name="_Toc441586714"/>
      <w:bookmarkStart w:id="1344" w:name="_Toc441586893"/>
      <w:bookmarkStart w:id="1345" w:name="_Toc441666742"/>
      <w:bookmarkStart w:id="1346" w:name="_Toc441673803"/>
      <w:r>
        <w:rPr>
          <w:rFonts w:cs="Traditional Arabic" w:hint="cs"/>
          <w:b/>
          <w:bCs/>
          <w:sz w:val="20"/>
          <w:szCs w:val="30"/>
          <w:rtl/>
          <w:lang w:bidi="ar-EG"/>
        </w:rPr>
        <w:t>2-2-3</w:t>
      </w:r>
      <w:r>
        <w:rPr>
          <w:rFonts w:cs="Traditional Arabic" w:hint="cs"/>
          <w:b/>
          <w:bCs/>
          <w:sz w:val="20"/>
          <w:szCs w:val="30"/>
          <w:rtl/>
          <w:lang w:bidi="ar-EG"/>
        </w:rPr>
        <w:tab/>
      </w:r>
      <w:r w:rsidR="00335E4B" w:rsidRPr="00335E4B">
        <w:rPr>
          <w:rFonts w:cs="Traditional Arabic"/>
          <w:b/>
          <w:bCs/>
          <w:sz w:val="20"/>
          <w:szCs w:val="30"/>
          <w:rtl/>
          <w:lang w:bidi="ar-EG"/>
        </w:rPr>
        <w:t>منشأة</w:t>
      </w:r>
      <w:r w:rsidR="00335E4B" w:rsidRPr="00335E4B">
        <w:rPr>
          <w:rFonts w:cs="Traditional Arabic"/>
          <w:b/>
          <w:bCs/>
          <w:sz w:val="30"/>
          <w:szCs w:val="30"/>
          <w:rtl/>
          <w:lang w:bidi="ar-EG"/>
        </w:rPr>
        <w:t xml:space="preserve"> إنتاج حمض الكبريتيك</w:t>
      </w:r>
      <w:bookmarkEnd w:id="1335"/>
      <w:bookmarkEnd w:id="1336"/>
      <w:bookmarkEnd w:id="1337"/>
      <w:bookmarkEnd w:id="1338"/>
      <w:bookmarkEnd w:id="1339"/>
      <w:bookmarkEnd w:id="1340"/>
      <w:bookmarkEnd w:id="1341"/>
      <w:bookmarkEnd w:id="1342"/>
      <w:bookmarkEnd w:id="1343"/>
      <w:bookmarkEnd w:id="1344"/>
      <w:bookmarkEnd w:id="1345"/>
      <w:bookmarkEnd w:id="1346"/>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بعد إزالة الزئبق يجري تحويل ثنائي أكسيد الكبريت إلى حمض الكبريتيك. وسيحتبس في الحمض نحو 90 في المائة من الزئبق المتبقي في تيار الغاز. ومن أجل الامتثال للنوعيات التجارية من حمض الكبريتيك، ينبغي أن يكون تركيز الزئبق في الحمض أقل من جزء واحد في المليون. وأقل من 2 في المائة من إجمالي مدخلات الزئبق ينتهي بها المطاف في الحمض. وعند العمل بالضوابط تكون انبعاثات الزئبق من المداخن عادة أقل من 0</w:t>
      </w:r>
      <w:r w:rsidRPr="00335E4B">
        <w:rPr>
          <w:rFonts w:cs="Traditional Arabic" w:hint="cs"/>
          <w:sz w:val="20"/>
          <w:szCs w:val="30"/>
          <w:rtl/>
        </w:rPr>
        <w:t>,</w:t>
      </w:r>
      <w:r w:rsidRPr="00335E4B">
        <w:rPr>
          <w:rFonts w:cs="Traditional Arabic"/>
          <w:sz w:val="20"/>
          <w:szCs w:val="30"/>
          <w:rtl/>
        </w:rPr>
        <w:t>1 جزءاً في المليون أو أقل من 100 ميكروغرام/متر مكعب في الظروف الطبيعية، وهو ما يمثل أقل من 0</w:t>
      </w:r>
      <w:r w:rsidRPr="00335E4B">
        <w:rPr>
          <w:rFonts w:cs="Traditional Arabic" w:hint="cs"/>
          <w:sz w:val="20"/>
          <w:szCs w:val="30"/>
          <w:rtl/>
        </w:rPr>
        <w:t>,</w:t>
      </w:r>
      <w:r w:rsidRPr="00335E4B">
        <w:rPr>
          <w:rFonts w:cs="Traditional Arabic"/>
          <w:sz w:val="20"/>
          <w:szCs w:val="30"/>
          <w:rtl/>
        </w:rPr>
        <w:t>25 في المائة من مدخلات الزئبق.</w:t>
      </w:r>
    </w:p>
    <w:p w:rsidR="00335E4B" w:rsidRPr="00335E4B" w:rsidRDefault="0032206D" w:rsidP="00335E4B">
      <w:pPr>
        <w:keepNext/>
        <w:tabs>
          <w:tab w:val="left" w:pos="991"/>
        </w:tabs>
        <w:spacing w:before="120" w:after="120" w:line="400" w:lineRule="exact"/>
        <w:jc w:val="both"/>
        <w:outlineLvl w:val="0"/>
        <w:rPr>
          <w:rFonts w:cs="Traditional Arabic"/>
          <w:b/>
          <w:bCs/>
          <w:sz w:val="30"/>
          <w:szCs w:val="30"/>
          <w:rtl/>
          <w:lang w:bidi="ar-EG"/>
        </w:rPr>
      </w:pPr>
      <w:bookmarkStart w:id="1347" w:name="_Toc433095397"/>
      <w:bookmarkStart w:id="1348" w:name="_Toc434239931"/>
      <w:bookmarkStart w:id="1349" w:name="_Toc440550526"/>
      <w:bookmarkStart w:id="1350" w:name="_Toc441577785"/>
      <w:bookmarkStart w:id="1351" w:name="_Toc441577964"/>
      <w:bookmarkStart w:id="1352" w:name="_Toc441580798"/>
      <w:bookmarkStart w:id="1353" w:name="_Toc441585929"/>
      <w:bookmarkStart w:id="1354" w:name="_Toc441586265"/>
      <w:bookmarkStart w:id="1355" w:name="_Toc441586715"/>
      <w:bookmarkStart w:id="1356" w:name="_Toc441586894"/>
      <w:bookmarkStart w:id="1357" w:name="_Toc441666743"/>
      <w:bookmarkStart w:id="1358" w:name="_Toc441673804"/>
      <w:r>
        <w:rPr>
          <w:rFonts w:cs="Traditional Arabic" w:hint="cs"/>
          <w:b/>
          <w:bCs/>
          <w:sz w:val="30"/>
          <w:szCs w:val="30"/>
          <w:rtl/>
          <w:lang w:bidi="ar-EG"/>
        </w:rPr>
        <w:t>2-2-4</w:t>
      </w:r>
      <w:r>
        <w:rPr>
          <w:rFonts w:cs="Traditional Arabic" w:hint="cs"/>
          <w:b/>
          <w:bCs/>
          <w:sz w:val="30"/>
          <w:szCs w:val="30"/>
          <w:rtl/>
          <w:lang w:bidi="ar-EG"/>
        </w:rPr>
        <w:tab/>
      </w:r>
      <w:r w:rsidR="00335E4B" w:rsidRPr="00335E4B">
        <w:rPr>
          <w:rFonts w:cs="Traditional Arabic"/>
          <w:b/>
          <w:bCs/>
          <w:sz w:val="30"/>
          <w:szCs w:val="30"/>
          <w:rtl/>
          <w:lang w:bidi="ar-EG"/>
        </w:rPr>
        <w:t>النض</w:t>
      </w:r>
      <w:bookmarkEnd w:id="1347"/>
      <w:bookmarkEnd w:id="1348"/>
      <w:bookmarkEnd w:id="1349"/>
      <w:bookmarkEnd w:id="1350"/>
      <w:bookmarkEnd w:id="1351"/>
      <w:bookmarkEnd w:id="1352"/>
      <w:bookmarkEnd w:id="1353"/>
      <w:bookmarkEnd w:id="1354"/>
      <w:bookmarkEnd w:id="1355"/>
      <w:bookmarkEnd w:id="1356"/>
      <w:bookmarkEnd w:id="1357"/>
      <w:bookmarkEnd w:id="1358"/>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في خطوة النض يجري تذويب مركَّز أكسيد الزنك، (المعروف باسم ”حميص الزنك“ (</w:t>
      </w:r>
      <w:r w:rsidRPr="00335E4B">
        <w:rPr>
          <w:rFonts w:cs="Traditional Arabic"/>
          <w:sz w:val="20"/>
          <w:szCs w:val="30"/>
        </w:rPr>
        <w:t>zinc calcine</w:t>
      </w:r>
      <w:r w:rsidRPr="00335E4B">
        <w:rPr>
          <w:rFonts w:cs="Traditional Arabic"/>
          <w:sz w:val="20"/>
          <w:szCs w:val="30"/>
          <w:rtl/>
        </w:rPr>
        <w:t>))، في الحمض. وتتم تنقية المحلول بالتثبيت في غبار معدن الزنك (مسحوق) الذي لا يحتوي على الزئبق ثم يرسل إلى منشأة للتحليل الكهربائي لاستعادة معدن الزنك. وتتم استعادة المعادن الأخرى -مثل النحاس والكادميوم والرصاص والفضة والكوبالت والنيكل- في أجزاء منفصلة وتجري تنقيتها بعد ذلك في منشآت أخرى. والبقايا النهائية لعملية النض، ستحتوي أساساً على الحديد على هيئة الجاروسيت والغيوثايت</w:t>
      </w:r>
      <w:r w:rsidRPr="00335E4B">
        <w:rPr>
          <w:rFonts w:cs="Traditional Arabic" w:hint="cs"/>
          <w:sz w:val="20"/>
          <w:szCs w:val="30"/>
          <w:rtl/>
        </w:rPr>
        <w:t>،</w:t>
      </w:r>
      <w:r w:rsidRPr="00335E4B">
        <w:rPr>
          <w:rFonts w:cs="Traditional Arabic"/>
          <w:sz w:val="20"/>
          <w:szCs w:val="30"/>
          <w:rtl/>
        </w:rPr>
        <w:t xml:space="preserve"> وكبريتات</w:t>
      </w:r>
      <w:r w:rsidRPr="00335E4B">
        <w:rPr>
          <w:rFonts w:cs="Traditional Arabic" w:hint="cs"/>
          <w:sz w:val="20"/>
          <w:szCs w:val="30"/>
          <w:rtl/>
        </w:rPr>
        <w:t xml:space="preserve"> الرصاص</w:t>
      </w:r>
      <w:r w:rsidRPr="00335E4B">
        <w:rPr>
          <w:rFonts w:cs="Traditional Arabic"/>
          <w:sz w:val="20"/>
          <w:szCs w:val="30"/>
          <w:rtl/>
        </w:rPr>
        <w:t xml:space="preserve"> وسيليكات الرصاص، وستتطلب الإدارة على نحو يتسق مع المواد ذات الصلة من الاتفاقية. وفي كثير من الأحيان يعاد تدوير البقايا الناتجة عن النض، التي قد تحتوي على بعض الزئبق، في عملية صهر الرصاص.</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وقد تنطوي عملية النض أيضاً على تلقيم مباشر لمعادن غير محمصة تحتوي على الزئبق. وفي العادة تشكل مدخلات مُركزات المعادن غير المحمصة نحو 10 في المائة من مجموعة مدخلات المركَّزات إلى عملية النض، ولكن هذه النسبة قد تزداد إلى 50 في المائة عند تطبيق النض المباشر. وينتهي الزئبق الموجود في هذه المركزات غير المحمصة في بقايا النض، ككبريتيد زئبق غير قابل للانحلال تقريباً. ونظراً لعدم ذوبان الزئبق، لا توجد انبعاثات في الهواء من عملية النض. وتبعاً لكمية المركزات غير المحمصة التي توجد في هذه المرحلة من التصنيع، سينتهي المطاف بنحو 5 إلى 50 في المائة من مدخلات الزئبق في مخلفات النض.</w:t>
      </w:r>
    </w:p>
    <w:p w:rsidR="00335E4B" w:rsidRPr="00335E4B" w:rsidRDefault="0032206D" w:rsidP="004F5C55">
      <w:pPr>
        <w:keepNext/>
        <w:tabs>
          <w:tab w:val="left" w:pos="849"/>
        </w:tabs>
        <w:spacing w:before="120" w:after="120" w:line="400" w:lineRule="exact"/>
        <w:jc w:val="both"/>
        <w:outlineLvl w:val="0"/>
        <w:rPr>
          <w:rFonts w:cs="Traditional Arabic"/>
          <w:b/>
          <w:bCs/>
          <w:sz w:val="30"/>
          <w:szCs w:val="30"/>
          <w:rtl/>
          <w:lang w:bidi="ar-EG"/>
        </w:rPr>
      </w:pPr>
      <w:bookmarkStart w:id="1359" w:name="_Toc433095398"/>
      <w:bookmarkStart w:id="1360" w:name="_Toc434239932"/>
      <w:bookmarkStart w:id="1361" w:name="_Toc440550527"/>
      <w:bookmarkStart w:id="1362" w:name="_Toc441577786"/>
      <w:bookmarkStart w:id="1363" w:name="_Toc441577965"/>
      <w:bookmarkStart w:id="1364" w:name="_Toc441580799"/>
      <w:bookmarkStart w:id="1365" w:name="_Toc441585930"/>
      <w:bookmarkStart w:id="1366" w:name="_Toc441586266"/>
      <w:bookmarkStart w:id="1367" w:name="_Toc441586716"/>
      <w:bookmarkStart w:id="1368" w:name="_Toc441586895"/>
      <w:bookmarkStart w:id="1369" w:name="_Toc441666744"/>
      <w:bookmarkStart w:id="1370" w:name="_Toc441673805"/>
      <w:r>
        <w:rPr>
          <w:rFonts w:cs="Traditional Arabic" w:hint="cs"/>
          <w:b/>
          <w:bCs/>
          <w:sz w:val="30"/>
          <w:szCs w:val="30"/>
          <w:rtl/>
          <w:lang w:bidi="ar-EG"/>
        </w:rPr>
        <w:t>2-3</w:t>
      </w:r>
      <w:r>
        <w:rPr>
          <w:rFonts w:cs="Traditional Arabic" w:hint="cs"/>
          <w:b/>
          <w:bCs/>
          <w:sz w:val="30"/>
          <w:szCs w:val="30"/>
          <w:rtl/>
          <w:lang w:bidi="ar-EG"/>
        </w:rPr>
        <w:tab/>
      </w:r>
      <w:r w:rsidR="00335E4B" w:rsidRPr="00335E4B">
        <w:rPr>
          <w:rFonts w:cs="Traditional Arabic"/>
          <w:b/>
          <w:bCs/>
          <w:sz w:val="30"/>
          <w:szCs w:val="30"/>
          <w:rtl/>
          <w:lang w:bidi="ar-EG"/>
        </w:rPr>
        <w:t>خطوات التصنيع في إنتاج النحاس</w:t>
      </w:r>
      <w:bookmarkEnd w:id="1359"/>
      <w:bookmarkEnd w:id="1360"/>
      <w:bookmarkEnd w:id="1361"/>
      <w:bookmarkEnd w:id="1362"/>
      <w:bookmarkEnd w:id="1363"/>
      <w:bookmarkEnd w:id="1364"/>
      <w:bookmarkEnd w:id="1365"/>
      <w:bookmarkEnd w:id="1366"/>
      <w:bookmarkEnd w:id="1367"/>
      <w:bookmarkEnd w:id="1368"/>
      <w:bookmarkEnd w:id="1369"/>
      <w:bookmarkEnd w:id="1370"/>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 xml:space="preserve">يمكن إنتاج النحاس الأولي بعمليات المعالجة الميتالورجية الحرارية أو المعالجة الميتالورجية بالسوائل. وتنتج قرابة 20 إلى 25 في المائة من النحاس الأولي بتقنيات المعالجة الميتالورجية بالسوائل مثل نض الركازات المكونة من أصناف الأكسيد. وتستخدم الأنواع المتبقية لتصنيع النحاس العمليات الميتالورجية الحرارية. وبالنظر إلى أن العمليات الميتالورجية التي تستخدم السوائل لا تنطوي على صهر أو تحميص، فهي غير مشمولة بالمرفق دال من اتفاقية ميناماتا، وهي بالتالي خارج نطاق هذه الوثيقة </w:t>
      </w:r>
      <w:r w:rsidRPr="00335E4B">
        <w:rPr>
          <w:rFonts w:cs="Traditional Arabic" w:hint="cs"/>
          <w:sz w:val="20"/>
          <w:szCs w:val="30"/>
          <w:rtl/>
        </w:rPr>
        <w:t>ال</w:t>
      </w:r>
      <w:r w:rsidRPr="00335E4B">
        <w:rPr>
          <w:rFonts w:cs="Traditional Arabic"/>
          <w:sz w:val="20"/>
          <w:szCs w:val="30"/>
          <w:rtl/>
        </w:rPr>
        <w:t>توجيهية.</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وتكون ركازات النحاس التي تتطلب المعالجة بالعمليات الميتالورجية الحرارية محتوية على الكبريتيدات. وعند استخدام العملية الميتالورجية الحرارية، سيتحرر الزئبق الموجود في الخام المركز وذلك أساساً خلال عملية صهر الخام المركز وتحويل الخليط المتلبد، ليخرج مع الغاز الناتج عن التصنيع. وتبعاً لدرجات حرارة أجهزة التجفيف المستخدمة، يمكن أن ينبعث الزئبق أيضاً أثناء عملية التجفيف في المنشآت التي تستخدم مجففات الخامات المركزة.</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 xml:space="preserve">يبين الشكل </w:t>
      </w:r>
      <w:r w:rsidRPr="00335E4B">
        <w:rPr>
          <w:rFonts w:cs="Traditional Arabic" w:hint="cs"/>
          <w:sz w:val="20"/>
          <w:szCs w:val="30"/>
          <w:rtl/>
        </w:rPr>
        <w:t>3</w:t>
      </w:r>
      <w:r w:rsidRPr="00335E4B">
        <w:rPr>
          <w:rFonts w:cs="Traditional Arabic"/>
          <w:sz w:val="20"/>
          <w:szCs w:val="30"/>
          <w:rtl/>
        </w:rPr>
        <w:t xml:space="preserve"> عرضاً تخطيطياً لعدة عمليات ميتالورجية حرارية متوازية في إنتاج النحاس</w:t>
      </w:r>
      <w:r w:rsidRPr="00335E4B">
        <w:rPr>
          <w:rFonts w:cs="Traditional Arabic" w:hint="cs"/>
          <w:sz w:val="20"/>
          <w:szCs w:val="30"/>
          <w:rtl/>
        </w:rPr>
        <w:t>:</w:t>
      </w:r>
    </w:p>
    <w:p w:rsidR="00335E4B" w:rsidRPr="00335E4B" w:rsidRDefault="00335E4B" w:rsidP="00335E4B">
      <w:pPr>
        <w:numPr>
          <w:ilvl w:val="0"/>
          <w:numId w:val="14"/>
        </w:numPr>
        <w:spacing w:line="400" w:lineRule="exact"/>
        <w:ind w:left="1134" w:hanging="709"/>
        <w:jc w:val="both"/>
        <w:rPr>
          <w:rFonts w:cs="Traditional Arabic"/>
          <w:sz w:val="20"/>
          <w:szCs w:val="30"/>
          <w:rtl/>
        </w:rPr>
      </w:pPr>
      <w:r w:rsidRPr="00335E4B">
        <w:rPr>
          <w:rFonts w:cs="Traditional Arabic"/>
          <w:sz w:val="20"/>
          <w:szCs w:val="30"/>
          <w:rtl/>
        </w:rPr>
        <w:t>التحميص والصهر والتحويل</w:t>
      </w:r>
    </w:p>
    <w:p w:rsidR="00335E4B" w:rsidRPr="00335E4B" w:rsidRDefault="00335E4B" w:rsidP="00335E4B">
      <w:pPr>
        <w:numPr>
          <w:ilvl w:val="0"/>
          <w:numId w:val="14"/>
        </w:numPr>
        <w:spacing w:line="400" w:lineRule="exact"/>
        <w:ind w:left="1134" w:hanging="709"/>
        <w:jc w:val="both"/>
        <w:rPr>
          <w:rFonts w:cs="Traditional Arabic"/>
          <w:sz w:val="20"/>
          <w:szCs w:val="30"/>
          <w:rtl/>
        </w:rPr>
      </w:pPr>
      <w:r w:rsidRPr="00335E4B">
        <w:rPr>
          <w:rFonts w:cs="Traditional Arabic"/>
          <w:sz w:val="20"/>
          <w:szCs w:val="30"/>
          <w:rtl/>
        </w:rPr>
        <w:t>الصهر والتحويل</w:t>
      </w:r>
    </w:p>
    <w:p w:rsidR="00335E4B" w:rsidRPr="00335E4B" w:rsidRDefault="00335E4B" w:rsidP="00335E4B">
      <w:pPr>
        <w:numPr>
          <w:ilvl w:val="0"/>
          <w:numId w:val="14"/>
        </w:numPr>
        <w:spacing w:after="120" w:line="400" w:lineRule="exact"/>
        <w:ind w:left="1134" w:hanging="710"/>
        <w:jc w:val="both"/>
        <w:rPr>
          <w:rFonts w:cs="Traditional Arabic"/>
          <w:sz w:val="20"/>
          <w:szCs w:val="30"/>
          <w:rtl/>
        </w:rPr>
      </w:pPr>
      <w:r w:rsidRPr="00335E4B">
        <w:rPr>
          <w:rFonts w:cs="Traditional Arabic" w:hint="cs"/>
          <w:sz w:val="20"/>
          <w:szCs w:val="30"/>
          <w:rtl/>
        </w:rPr>
        <w:t>الصهر إلى</w:t>
      </w:r>
      <w:r w:rsidRPr="00335E4B">
        <w:rPr>
          <w:rFonts w:cs="Traditional Arabic"/>
          <w:sz w:val="20"/>
          <w:szCs w:val="30"/>
          <w:rtl/>
        </w:rPr>
        <w:t xml:space="preserve"> النحاس مباشرة</w:t>
      </w:r>
    </w:p>
    <w:p w:rsidR="00335E4B" w:rsidRPr="00335E4B" w:rsidRDefault="0032206D" w:rsidP="00335E4B">
      <w:pPr>
        <w:keepNext/>
        <w:tabs>
          <w:tab w:val="left" w:pos="991"/>
        </w:tabs>
        <w:spacing w:after="120" w:line="400" w:lineRule="exact"/>
        <w:jc w:val="both"/>
        <w:outlineLvl w:val="0"/>
        <w:rPr>
          <w:rFonts w:cs="Traditional Arabic"/>
          <w:b/>
          <w:bCs/>
          <w:sz w:val="30"/>
          <w:szCs w:val="30"/>
          <w:rtl/>
          <w:lang w:bidi="ar-EG"/>
        </w:rPr>
      </w:pPr>
      <w:bookmarkStart w:id="1371" w:name="_Toc433095399"/>
      <w:bookmarkStart w:id="1372" w:name="_Toc434239933"/>
      <w:bookmarkStart w:id="1373" w:name="_Toc440550528"/>
      <w:bookmarkStart w:id="1374" w:name="_Toc441577787"/>
      <w:bookmarkStart w:id="1375" w:name="_Toc441577966"/>
      <w:bookmarkStart w:id="1376" w:name="_Toc441580800"/>
      <w:bookmarkStart w:id="1377" w:name="_Toc441585931"/>
      <w:bookmarkStart w:id="1378" w:name="_Toc441586267"/>
      <w:bookmarkStart w:id="1379" w:name="_Toc441586717"/>
      <w:bookmarkStart w:id="1380" w:name="_Toc441586896"/>
      <w:bookmarkStart w:id="1381" w:name="_Toc441666745"/>
      <w:bookmarkStart w:id="1382" w:name="_Toc441673806"/>
      <w:r>
        <w:rPr>
          <w:rFonts w:cs="Traditional Arabic" w:hint="cs"/>
          <w:b/>
          <w:bCs/>
          <w:sz w:val="30"/>
          <w:szCs w:val="30"/>
          <w:rtl/>
          <w:lang w:bidi="ar-EG"/>
        </w:rPr>
        <w:t>2-3-1</w:t>
      </w:r>
      <w:r>
        <w:rPr>
          <w:rFonts w:cs="Traditional Arabic" w:hint="cs"/>
          <w:b/>
          <w:bCs/>
          <w:sz w:val="30"/>
          <w:szCs w:val="30"/>
          <w:rtl/>
          <w:lang w:bidi="ar-EG"/>
        </w:rPr>
        <w:tab/>
      </w:r>
      <w:r w:rsidR="00335E4B" w:rsidRPr="00335E4B">
        <w:rPr>
          <w:rFonts w:cs="Traditional Arabic"/>
          <w:b/>
          <w:bCs/>
          <w:sz w:val="30"/>
          <w:szCs w:val="30"/>
          <w:rtl/>
          <w:lang w:bidi="ar-EG"/>
        </w:rPr>
        <w:t>تجفيف الخام المركز</w:t>
      </w:r>
      <w:bookmarkEnd w:id="1371"/>
      <w:bookmarkEnd w:id="1372"/>
      <w:bookmarkEnd w:id="1373"/>
      <w:bookmarkEnd w:id="1374"/>
      <w:bookmarkEnd w:id="1375"/>
      <w:bookmarkEnd w:id="1376"/>
      <w:bookmarkEnd w:id="1377"/>
      <w:bookmarkEnd w:id="1378"/>
      <w:bookmarkEnd w:id="1379"/>
      <w:bookmarkEnd w:id="1380"/>
      <w:bookmarkEnd w:id="1381"/>
      <w:bookmarkEnd w:id="1382"/>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 xml:space="preserve">تبدأ العملية الميتالورجية الحرارية بخلط الخامات المركزة والمواد الصهورة لإنتاج مادة تلقيم </w:t>
      </w:r>
      <w:r w:rsidRPr="00335E4B">
        <w:rPr>
          <w:rFonts w:cs="Traditional Arabic" w:hint="cs"/>
          <w:sz w:val="20"/>
          <w:szCs w:val="30"/>
          <w:rtl/>
        </w:rPr>
        <w:t xml:space="preserve">أولية </w:t>
      </w:r>
      <w:r w:rsidRPr="00335E4B">
        <w:rPr>
          <w:rFonts w:cs="Traditional Arabic"/>
          <w:sz w:val="20"/>
          <w:szCs w:val="30"/>
          <w:rtl/>
        </w:rPr>
        <w:t>مستقرة ومتجانسة، ولا سيما عند معالجة مركزات مختلفة تحتوي على تركيزات مختلفة من النحاس أو الشوائب</w:t>
      </w:r>
      <w:r w:rsidRPr="00335E4B">
        <w:rPr>
          <w:rFonts w:cs="Traditional Arabic"/>
          <w:sz w:val="20"/>
          <w:szCs w:val="30"/>
          <w:rtl/>
          <w:lang w:val="en-GB" w:bidi="ar-EG"/>
        </w:rPr>
        <w:t>.</w:t>
      </w:r>
      <w:r w:rsidRPr="00335E4B">
        <w:rPr>
          <w:rFonts w:cs="Traditional Arabic"/>
          <w:sz w:val="20"/>
          <w:szCs w:val="30"/>
          <w:rtl/>
        </w:rPr>
        <w:t xml:space="preserve"> وبالنسبة لأوعية الصهر السريع، تخضع المركزات لعملية تجفيف لتخفيف محتواها من الرطوبة</w:t>
      </w:r>
      <w:r w:rsidRPr="00335E4B">
        <w:rPr>
          <w:rFonts w:cs="Traditional Arabic"/>
          <w:sz w:val="20"/>
          <w:szCs w:val="30"/>
          <w:rtl/>
          <w:lang w:val="en-GB" w:bidi="ar-EG"/>
        </w:rPr>
        <w:t>.</w:t>
      </w:r>
      <w:r w:rsidRPr="00335E4B">
        <w:rPr>
          <w:rFonts w:cs="Traditional Arabic"/>
          <w:sz w:val="20"/>
          <w:szCs w:val="30"/>
          <w:rtl/>
        </w:rPr>
        <w:t xml:space="preserve"> وفي هذه المرحلة يتم تجفيف الخام المركَّز إلى نسبة</w:t>
      </w:r>
      <w:r w:rsidRPr="00335E4B">
        <w:rPr>
          <w:rFonts w:cs="Traditional Arabic"/>
          <w:sz w:val="20"/>
          <w:szCs w:val="30"/>
          <w:rtl/>
          <w:lang w:val="en-GB" w:bidi="ar-EG"/>
        </w:rPr>
        <w:t xml:space="preserve"> 0</w:t>
      </w:r>
      <w:r w:rsidRPr="00335E4B">
        <w:rPr>
          <w:rFonts w:cs="Traditional Arabic" w:hint="cs"/>
          <w:sz w:val="20"/>
          <w:szCs w:val="30"/>
          <w:rtl/>
          <w:lang w:val="en-GB" w:bidi="ar-EG"/>
        </w:rPr>
        <w:t>,</w:t>
      </w:r>
      <w:r w:rsidRPr="00335E4B">
        <w:rPr>
          <w:rFonts w:cs="Traditional Arabic"/>
          <w:sz w:val="20"/>
          <w:szCs w:val="30"/>
          <w:rtl/>
          <w:lang w:val="en-GB" w:bidi="ar-EG"/>
        </w:rPr>
        <w:t xml:space="preserve">2 </w:t>
      </w:r>
      <w:r w:rsidRPr="00335E4B">
        <w:rPr>
          <w:rFonts w:cs="Traditional Arabic"/>
          <w:sz w:val="20"/>
          <w:szCs w:val="30"/>
          <w:rtl/>
        </w:rPr>
        <w:t xml:space="preserve">في المائة من الرطوبة، وتستخدم لذلك عادة المجففات الدوارة أو ذات الملفات المتعددة، أو ذات </w:t>
      </w:r>
      <w:r w:rsidRPr="00335E4B">
        <w:rPr>
          <w:rFonts w:cs="Traditional Arabic" w:hint="cs"/>
          <w:sz w:val="20"/>
          <w:szCs w:val="30"/>
          <w:rtl/>
        </w:rPr>
        <w:t>القاعدة</w:t>
      </w:r>
      <w:r w:rsidRPr="00335E4B">
        <w:rPr>
          <w:rFonts w:cs="Traditional Arabic"/>
          <w:sz w:val="20"/>
          <w:szCs w:val="30"/>
          <w:rtl/>
        </w:rPr>
        <w:t xml:space="preserve"> الممي</w:t>
      </w:r>
      <w:r w:rsidRPr="00335E4B">
        <w:rPr>
          <w:rFonts w:cs="Traditional Arabic" w:hint="cs"/>
          <w:sz w:val="20"/>
          <w:szCs w:val="30"/>
          <w:rtl/>
        </w:rPr>
        <w:t>َّ</w:t>
      </w:r>
      <w:r w:rsidRPr="00335E4B">
        <w:rPr>
          <w:rFonts w:cs="Traditional Arabic"/>
          <w:sz w:val="20"/>
          <w:szCs w:val="30"/>
          <w:rtl/>
        </w:rPr>
        <w:t>عة، بحيث تعمل هذه المجففات على رفع درجة حرارة خروج المركزات إلى نطاق يتراوح بين</w:t>
      </w:r>
      <w:r w:rsidRPr="00335E4B">
        <w:rPr>
          <w:rFonts w:cs="Traditional Arabic"/>
          <w:sz w:val="20"/>
          <w:szCs w:val="30"/>
          <w:rtl/>
          <w:lang w:val="en-GB" w:bidi="ar-EG"/>
        </w:rPr>
        <w:t xml:space="preserve"> 100 </w:t>
      </w:r>
      <w:r w:rsidRPr="00335E4B">
        <w:rPr>
          <w:rFonts w:cs="Traditional Arabic"/>
          <w:sz w:val="20"/>
          <w:szCs w:val="30"/>
          <w:rtl/>
        </w:rPr>
        <w:t>و</w:t>
      </w:r>
      <w:r w:rsidRPr="00335E4B">
        <w:rPr>
          <w:rFonts w:cs="Traditional Arabic"/>
          <w:sz w:val="20"/>
          <w:szCs w:val="30"/>
          <w:rtl/>
          <w:lang w:val="en-GB" w:bidi="ar-EG"/>
        </w:rPr>
        <w:t xml:space="preserve">200 </w:t>
      </w:r>
      <w:r w:rsidRPr="00335E4B">
        <w:rPr>
          <w:rFonts w:cs="Traditional Arabic"/>
          <w:sz w:val="20"/>
          <w:szCs w:val="30"/>
          <w:rtl/>
        </w:rPr>
        <w:t>درجة مئوية</w:t>
      </w:r>
      <w:r w:rsidRPr="00335E4B">
        <w:rPr>
          <w:rFonts w:cs="Traditional Arabic"/>
          <w:sz w:val="20"/>
          <w:szCs w:val="30"/>
          <w:rtl/>
          <w:lang w:val="en-GB" w:bidi="ar-EG"/>
        </w:rPr>
        <w:t xml:space="preserve">. </w:t>
      </w:r>
      <w:r w:rsidRPr="00335E4B">
        <w:rPr>
          <w:rFonts w:cs="Traditional Arabic"/>
          <w:sz w:val="20"/>
          <w:szCs w:val="30"/>
          <w:rtl/>
        </w:rPr>
        <w:t xml:space="preserve">وبعدئذ يرسل الخام المركز إلى وعاء الصهر ويزال الغبار من الغاز المستخدم في عملية التجفيف في </w:t>
      </w:r>
      <w:r w:rsidRPr="00335E4B">
        <w:rPr>
          <w:rFonts w:cs="Traditional Arabic" w:hint="cs"/>
          <w:sz w:val="20"/>
          <w:szCs w:val="30"/>
          <w:rtl/>
        </w:rPr>
        <w:t>حجرات</w:t>
      </w:r>
      <w:r w:rsidRPr="00335E4B">
        <w:rPr>
          <w:rFonts w:cs="Traditional Arabic"/>
          <w:sz w:val="20"/>
          <w:szCs w:val="30"/>
          <w:rtl/>
        </w:rPr>
        <w:t xml:space="preserve"> المرشحات الكيسية أو في المرسبات الكهروستاتيكية وبالنسبة للمرافق التي تستخدم تقنيات إيزاسميلت </w:t>
      </w:r>
      <w:r w:rsidRPr="00335E4B">
        <w:rPr>
          <w:rFonts w:cs="Times New Roman"/>
          <w:sz w:val="20"/>
          <w:szCs w:val="20"/>
          <w:rtl/>
        </w:rPr>
        <w:t>(</w:t>
      </w:r>
      <w:r w:rsidRPr="00335E4B">
        <w:rPr>
          <w:rFonts w:cs="Times New Roman"/>
          <w:sz w:val="20"/>
          <w:szCs w:val="20"/>
          <w:lang w:val="en-GB" w:bidi="ar-EG"/>
        </w:rPr>
        <w:t>IsaSmelt</w:t>
      </w:r>
      <w:r w:rsidRPr="00335E4B">
        <w:rPr>
          <w:rFonts w:cs="Times New Roman"/>
          <w:sz w:val="20"/>
          <w:szCs w:val="20"/>
          <w:rtl/>
        </w:rPr>
        <w:t>)</w:t>
      </w:r>
      <w:r w:rsidRPr="00335E4B">
        <w:rPr>
          <w:rFonts w:cs="Traditional Arabic"/>
          <w:sz w:val="20"/>
          <w:szCs w:val="30"/>
          <w:rtl/>
        </w:rPr>
        <w:t xml:space="preserve"> أو التكنولوجيات المماثلة، لا يجري تجفيف خليط الخام المركز قبل أخذه إلى وعاء الصهر لتحويله إلى خليط منصهر من المعدن المتلبد والخبث</w:t>
      </w:r>
      <w:r w:rsidRPr="00335E4B">
        <w:rPr>
          <w:rFonts w:cs="Traditional Arabic"/>
          <w:sz w:val="20"/>
          <w:szCs w:val="30"/>
          <w:rtl/>
          <w:lang w:val="en-GB" w:bidi="ar-EG"/>
        </w:rPr>
        <w:t>.</w:t>
      </w:r>
    </w:p>
    <w:p w:rsidR="00335E4B" w:rsidRPr="00335E4B" w:rsidRDefault="0032206D" w:rsidP="0032206D">
      <w:pPr>
        <w:keepNext/>
        <w:tabs>
          <w:tab w:val="left" w:pos="991"/>
        </w:tabs>
        <w:spacing w:before="120" w:after="120" w:line="400" w:lineRule="exact"/>
        <w:jc w:val="both"/>
        <w:outlineLvl w:val="0"/>
        <w:rPr>
          <w:rFonts w:cs="Traditional Arabic"/>
          <w:b/>
          <w:bCs/>
          <w:sz w:val="30"/>
          <w:szCs w:val="30"/>
          <w:rtl/>
          <w:lang w:bidi="ar-EG"/>
        </w:rPr>
      </w:pPr>
      <w:bookmarkStart w:id="1383" w:name="_Toc433095400"/>
      <w:bookmarkStart w:id="1384" w:name="_Toc434239934"/>
      <w:bookmarkStart w:id="1385" w:name="_Toc440550529"/>
      <w:bookmarkStart w:id="1386" w:name="_Toc441577788"/>
      <w:bookmarkStart w:id="1387" w:name="_Toc441577967"/>
      <w:bookmarkStart w:id="1388" w:name="_Toc441580801"/>
      <w:bookmarkStart w:id="1389" w:name="_Toc441585932"/>
      <w:bookmarkStart w:id="1390" w:name="_Toc441586268"/>
      <w:bookmarkStart w:id="1391" w:name="_Toc441586718"/>
      <w:bookmarkStart w:id="1392" w:name="_Toc441586897"/>
      <w:bookmarkStart w:id="1393" w:name="_Toc441666746"/>
      <w:bookmarkStart w:id="1394" w:name="_Toc441673807"/>
      <w:r>
        <w:rPr>
          <w:rFonts w:cs="Traditional Arabic" w:hint="cs"/>
          <w:b/>
          <w:bCs/>
          <w:sz w:val="30"/>
          <w:szCs w:val="30"/>
          <w:rtl/>
          <w:lang w:bidi="ar-EG"/>
        </w:rPr>
        <w:t>2-3-2</w:t>
      </w:r>
      <w:r>
        <w:rPr>
          <w:rFonts w:cs="Traditional Arabic" w:hint="cs"/>
          <w:b/>
          <w:bCs/>
          <w:sz w:val="30"/>
          <w:szCs w:val="30"/>
          <w:rtl/>
          <w:lang w:bidi="ar-EG"/>
        </w:rPr>
        <w:tab/>
      </w:r>
      <w:r w:rsidR="00335E4B" w:rsidRPr="00335E4B">
        <w:rPr>
          <w:rFonts w:cs="Traditional Arabic" w:hint="cs"/>
          <w:b/>
          <w:bCs/>
          <w:sz w:val="30"/>
          <w:szCs w:val="30"/>
          <w:rtl/>
          <w:lang w:bidi="ar-EG"/>
        </w:rPr>
        <w:t>ا</w:t>
      </w:r>
      <w:r w:rsidR="00335E4B" w:rsidRPr="00335E4B">
        <w:rPr>
          <w:rFonts w:cs="Traditional Arabic"/>
          <w:b/>
          <w:bCs/>
          <w:sz w:val="30"/>
          <w:szCs w:val="30"/>
          <w:rtl/>
          <w:lang w:bidi="ar-EG"/>
        </w:rPr>
        <w:t>لتحميص</w:t>
      </w:r>
      <w:bookmarkEnd w:id="1383"/>
      <w:bookmarkEnd w:id="1384"/>
      <w:bookmarkEnd w:id="1385"/>
      <w:bookmarkEnd w:id="1386"/>
      <w:bookmarkEnd w:id="1387"/>
      <w:bookmarkEnd w:id="1388"/>
      <w:bookmarkEnd w:id="1389"/>
      <w:bookmarkEnd w:id="1390"/>
      <w:bookmarkEnd w:id="1391"/>
      <w:bookmarkEnd w:id="1392"/>
      <w:bookmarkEnd w:id="1393"/>
      <w:bookmarkEnd w:id="1394"/>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لا يزال من الممكن استخدام بعض التقنيات القديمة التي يتم فيها تحميص المركزات قبل صهرها</w:t>
      </w:r>
      <w:r w:rsidRPr="00335E4B">
        <w:rPr>
          <w:rFonts w:cs="Traditional Arabic"/>
          <w:sz w:val="20"/>
          <w:szCs w:val="30"/>
          <w:rtl/>
          <w:lang w:val="en-GB" w:bidi="ar-EG"/>
        </w:rPr>
        <w:t>.</w:t>
      </w:r>
      <w:r w:rsidRPr="00335E4B">
        <w:rPr>
          <w:rFonts w:cs="Traditional Arabic"/>
          <w:sz w:val="20"/>
          <w:szCs w:val="30"/>
          <w:rtl/>
        </w:rPr>
        <w:t xml:space="preserve"> وفي المرافق التي تجري فيها هذه العمليات، يتم أولاً تحميص المركزات المخلوطة لتحويل كبريتيدات النحاس إلى أكسيدات قبل معالجتها في المصهر</w:t>
      </w:r>
      <w:r w:rsidRPr="00335E4B">
        <w:rPr>
          <w:rFonts w:cs="Traditional Arabic"/>
          <w:sz w:val="20"/>
          <w:szCs w:val="30"/>
          <w:rtl/>
          <w:lang w:val="en-GB" w:bidi="ar-EG"/>
        </w:rPr>
        <w:t>.</w:t>
      </w:r>
      <w:r w:rsidRPr="00335E4B">
        <w:rPr>
          <w:rFonts w:cs="Traditional Arabic"/>
          <w:sz w:val="20"/>
          <w:szCs w:val="30"/>
          <w:rtl/>
        </w:rPr>
        <w:t xml:space="preserve"> والغاز المستخدم في عملية التحميص، الذي يحتوي على ثنائي أكسيد الكبريت والقليل من الزئبق، تتم معالجته باستخدام معدات الشطف والمرسبات الكهروستاتيكية لإزالة المواد الجسيمية</w:t>
      </w:r>
      <w:r w:rsidRPr="00335E4B">
        <w:rPr>
          <w:rFonts w:cs="Traditional Arabic"/>
          <w:sz w:val="20"/>
          <w:szCs w:val="30"/>
          <w:rtl/>
          <w:lang w:val="en-GB" w:bidi="ar-EG"/>
        </w:rPr>
        <w:t>.</w:t>
      </w:r>
      <w:r w:rsidRPr="00335E4B">
        <w:rPr>
          <w:rFonts w:cs="Traditional Arabic"/>
          <w:sz w:val="20"/>
          <w:szCs w:val="30"/>
          <w:rtl/>
        </w:rPr>
        <w:t xml:space="preserve"> ويرسل الغاز بعدئذ إلى منشأة تصنيع الحمض</w:t>
      </w:r>
      <w:r w:rsidRPr="00335E4B">
        <w:rPr>
          <w:rFonts w:cs="Traditional Arabic"/>
          <w:sz w:val="20"/>
          <w:szCs w:val="30"/>
          <w:rtl/>
          <w:lang w:val="en-GB" w:bidi="ar-EG"/>
        </w:rPr>
        <w:t>.</w:t>
      </w:r>
    </w:p>
    <w:p w:rsidR="00335E4B" w:rsidRPr="00335E4B" w:rsidRDefault="0032206D" w:rsidP="0032206D">
      <w:pPr>
        <w:keepNext/>
        <w:tabs>
          <w:tab w:val="left" w:pos="991"/>
        </w:tabs>
        <w:spacing w:before="120" w:after="120" w:line="400" w:lineRule="exact"/>
        <w:jc w:val="both"/>
        <w:outlineLvl w:val="0"/>
        <w:rPr>
          <w:rFonts w:cs="Traditional Arabic"/>
          <w:b/>
          <w:bCs/>
          <w:sz w:val="30"/>
          <w:szCs w:val="30"/>
          <w:rtl/>
          <w:lang w:bidi="ar-EG"/>
        </w:rPr>
      </w:pPr>
      <w:bookmarkStart w:id="1395" w:name="_Toc433095401"/>
      <w:bookmarkStart w:id="1396" w:name="_Toc434239935"/>
      <w:bookmarkStart w:id="1397" w:name="_Toc440550530"/>
      <w:bookmarkStart w:id="1398" w:name="_Toc441577789"/>
      <w:bookmarkStart w:id="1399" w:name="_Toc441577968"/>
      <w:bookmarkStart w:id="1400" w:name="_Toc441580802"/>
      <w:bookmarkStart w:id="1401" w:name="_Toc441585933"/>
      <w:bookmarkStart w:id="1402" w:name="_Toc441586269"/>
      <w:bookmarkStart w:id="1403" w:name="_Toc441586719"/>
      <w:bookmarkStart w:id="1404" w:name="_Toc441586898"/>
      <w:bookmarkStart w:id="1405" w:name="_Toc441666747"/>
      <w:bookmarkStart w:id="1406" w:name="_Toc441673808"/>
      <w:r>
        <w:rPr>
          <w:rFonts w:cs="Traditional Arabic" w:hint="cs"/>
          <w:b/>
          <w:bCs/>
          <w:sz w:val="30"/>
          <w:szCs w:val="30"/>
          <w:rtl/>
          <w:lang w:bidi="ar-EG"/>
        </w:rPr>
        <w:t>2-3-3</w:t>
      </w:r>
      <w:r>
        <w:rPr>
          <w:rFonts w:cs="Traditional Arabic" w:hint="cs"/>
          <w:b/>
          <w:bCs/>
          <w:sz w:val="30"/>
          <w:szCs w:val="30"/>
          <w:rtl/>
          <w:lang w:bidi="ar-EG"/>
        </w:rPr>
        <w:tab/>
      </w:r>
      <w:r w:rsidR="00335E4B" w:rsidRPr="00335E4B">
        <w:rPr>
          <w:rFonts w:cs="Traditional Arabic"/>
          <w:b/>
          <w:bCs/>
          <w:sz w:val="30"/>
          <w:szCs w:val="30"/>
          <w:rtl/>
          <w:lang w:bidi="ar-EG"/>
        </w:rPr>
        <w:t>الصهر</w:t>
      </w:r>
      <w:bookmarkEnd w:id="1395"/>
      <w:bookmarkEnd w:id="1396"/>
      <w:bookmarkEnd w:id="1397"/>
      <w:bookmarkEnd w:id="1398"/>
      <w:bookmarkEnd w:id="1399"/>
      <w:bookmarkEnd w:id="1400"/>
      <w:bookmarkEnd w:id="1401"/>
      <w:bookmarkEnd w:id="1402"/>
      <w:bookmarkEnd w:id="1403"/>
      <w:bookmarkEnd w:id="1404"/>
      <w:bookmarkEnd w:id="1405"/>
      <w:bookmarkEnd w:id="1406"/>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بمجرد تجفيف خليط المركزات والمواد الصهورة، يتم صهره لتكوين الخام المتلبد (أو لتحويله في حالات قليلة إلى النحاس المنفَّط)، ويتم ذلك عادة في فرن صهر وفي وسط مغذّى بالأكسجين</w:t>
      </w:r>
      <w:r w:rsidRPr="00335E4B">
        <w:rPr>
          <w:rFonts w:cs="Traditional Arabic"/>
          <w:sz w:val="20"/>
          <w:szCs w:val="30"/>
          <w:rtl/>
          <w:lang w:val="en-GB" w:bidi="ar-EG"/>
        </w:rPr>
        <w:t>.</w:t>
      </w:r>
      <w:r w:rsidRPr="00335E4B">
        <w:rPr>
          <w:rFonts w:cs="Traditional Arabic"/>
          <w:sz w:val="20"/>
          <w:szCs w:val="30"/>
          <w:rtl/>
        </w:rPr>
        <w:t xml:space="preserve"> وتوجد عدة أنواع لعمليات صهر النحاس، وتشمل الصهر السريع والصهر في حوض من الخام المتلبد المنصهر</w:t>
      </w:r>
      <w:r w:rsidRPr="00335E4B">
        <w:rPr>
          <w:rFonts w:cs="Traditional Arabic"/>
          <w:sz w:val="20"/>
          <w:szCs w:val="30"/>
          <w:rtl/>
          <w:lang w:val="en-GB" w:bidi="ar-EG"/>
        </w:rPr>
        <w:t>.</w:t>
      </w:r>
      <w:r w:rsidRPr="00335E4B">
        <w:rPr>
          <w:rFonts w:cs="Traditional Arabic"/>
          <w:sz w:val="20"/>
          <w:szCs w:val="30"/>
          <w:rtl/>
        </w:rPr>
        <w:t xml:space="preserve"> وإحدى العمليات الأخرى غير المبينة في الشكل</w:t>
      </w:r>
      <w:r w:rsidRPr="00335E4B">
        <w:rPr>
          <w:rFonts w:cs="Traditional Arabic"/>
          <w:sz w:val="20"/>
          <w:szCs w:val="30"/>
          <w:rtl/>
          <w:lang w:val="en-GB" w:bidi="ar-EG"/>
        </w:rPr>
        <w:t xml:space="preserve"> </w:t>
      </w:r>
      <w:r w:rsidRPr="00335E4B">
        <w:rPr>
          <w:rFonts w:cs="Traditional Arabic" w:hint="cs"/>
          <w:sz w:val="20"/>
          <w:szCs w:val="30"/>
          <w:rtl/>
          <w:lang w:val="en-GB" w:bidi="ar-EG"/>
        </w:rPr>
        <w:t>3</w:t>
      </w:r>
      <w:r w:rsidRPr="00335E4B">
        <w:rPr>
          <w:rFonts w:cs="Traditional Arabic"/>
          <w:sz w:val="20"/>
          <w:szCs w:val="30"/>
          <w:rtl/>
        </w:rPr>
        <w:t>، تنطوي على مرحلة صهر وتحويل مستمرة بواسطة أفران متعددة، وينتج عنها النحاس المنفَّط</w:t>
      </w:r>
      <w:r w:rsidRPr="00335E4B">
        <w:rPr>
          <w:rFonts w:cs="Traditional Arabic"/>
          <w:sz w:val="20"/>
          <w:szCs w:val="30"/>
          <w:rtl/>
          <w:lang w:val="en-GB" w:bidi="ar-EG"/>
        </w:rPr>
        <w:t>.</w:t>
      </w:r>
    </w:p>
    <w:p w:rsidR="00335E4B" w:rsidRPr="00335E4B" w:rsidRDefault="00335E4B" w:rsidP="00335E4B">
      <w:pPr>
        <w:tabs>
          <w:tab w:val="left" w:pos="2230"/>
        </w:tabs>
        <w:spacing w:after="120" w:line="400" w:lineRule="exact"/>
        <w:jc w:val="both"/>
        <w:rPr>
          <w:rFonts w:cs="Traditional Arabic"/>
          <w:sz w:val="20"/>
          <w:szCs w:val="30"/>
          <w:rtl/>
        </w:rPr>
      </w:pPr>
      <w:r w:rsidRPr="00335E4B">
        <w:rPr>
          <w:rFonts w:cs="Traditional Arabic"/>
          <w:sz w:val="20"/>
          <w:szCs w:val="30"/>
          <w:rtl/>
        </w:rPr>
        <w:t>وبوجه خاص يشيع استخدام الصهر السريع على نطاق واسع، لأنه تقنية تتسم بالكفاءة، فالحرارة المنطلقة من أكسدة الكبريتيدات المعدنية تدفع عملية الصهر</w:t>
      </w:r>
      <w:r w:rsidRPr="00335E4B">
        <w:rPr>
          <w:rFonts w:cs="Traditional Arabic"/>
          <w:sz w:val="20"/>
          <w:szCs w:val="30"/>
          <w:rtl/>
          <w:lang w:val="en-GB" w:bidi="ar-EG"/>
        </w:rPr>
        <w:t>.</w:t>
      </w:r>
      <w:r w:rsidRPr="00335E4B">
        <w:rPr>
          <w:rFonts w:cs="Traditional Arabic"/>
          <w:sz w:val="20"/>
          <w:szCs w:val="30"/>
          <w:rtl/>
        </w:rPr>
        <w:t xml:space="preserve"> وبالإضافة إلى إنتاج الخليط المتلبد (أو النحاس المنفَّط في حالات أقل)، ينتج الخبث عن عملية الصهر</w:t>
      </w:r>
      <w:r w:rsidRPr="00335E4B">
        <w:rPr>
          <w:rFonts w:cs="Traditional Arabic"/>
          <w:sz w:val="20"/>
          <w:szCs w:val="30"/>
          <w:rtl/>
          <w:lang w:val="en-GB" w:bidi="ar-EG"/>
        </w:rPr>
        <w:t>.</w:t>
      </w:r>
      <w:r w:rsidRPr="00335E4B">
        <w:rPr>
          <w:rFonts w:cs="Traditional Arabic"/>
          <w:sz w:val="20"/>
          <w:szCs w:val="30"/>
          <w:rtl/>
        </w:rPr>
        <w:t xml:space="preserve"> وتعمل أفران الصهر ضمن نطاق درجات الحرارة</w:t>
      </w:r>
      <w:r w:rsidRPr="00335E4B">
        <w:rPr>
          <w:rFonts w:cs="Traditional Arabic"/>
          <w:sz w:val="20"/>
          <w:szCs w:val="30"/>
          <w:rtl/>
          <w:lang w:val="en-GB" w:bidi="ar-EG"/>
        </w:rPr>
        <w:t xml:space="preserve"> 1230-1250 </w:t>
      </w:r>
      <w:r w:rsidRPr="00335E4B">
        <w:rPr>
          <w:rFonts w:cs="Traditional Arabic"/>
          <w:sz w:val="20"/>
          <w:szCs w:val="30"/>
          <w:rtl/>
        </w:rPr>
        <w:t>درجة مئوية</w:t>
      </w:r>
      <w:r w:rsidRPr="00335E4B">
        <w:rPr>
          <w:rFonts w:cs="Traditional Arabic"/>
          <w:sz w:val="20"/>
          <w:szCs w:val="30"/>
          <w:rtl/>
          <w:lang w:val="en-GB" w:bidi="ar-EG"/>
        </w:rPr>
        <w:t xml:space="preserve">. </w:t>
      </w:r>
      <w:r w:rsidRPr="00335E4B">
        <w:rPr>
          <w:rFonts w:cs="Traditional Arabic"/>
          <w:sz w:val="20"/>
          <w:szCs w:val="30"/>
          <w:rtl/>
        </w:rPr>
        <w:t>وتؤدي هذه الحرارة إلى التطاير الكامل للزئبق الأولي ومركبات كبريتيد الزئبق</w:t>
      </w:r>
      <w:r w:rsidRPr="00335E4B">
        <w:rPr>
          <w:rFonts w:cs="Traditional Arabic"/>
          <w:sz w:val="20"/>
          <w:szCs w:val="30"/>
          <w:rtl/>
          <w:lang w:val="en-GB" w:bidi="ar-EG"/>
        </w:rPr>
        <w:t>.</w:t>
      </w:r>
      <w:r w:rsidRPr="00335E4B">
        <w:rPr>
          <w:rFonts w:cs="Traditional Arabic"/>
          <w:sz w:val="20"/>
          <w:szCs w:val="30"/>
          <w:rtl/>
        </w:rPr>
        <w:t xml:space="preserve"> ويحتجز الغاز الناتج عن هذه العملية ويرسل إلى نظام تنظيف الغاز</w:t>
      </w:r>
      <w:r w:rsidRPr="00335E4B">
        <w:rPr>
          <w:rFonts w:cs="Traditional Arabic"/>
          <w:sz w:val="20"/>
          <w:szCs w:val="30"/>
          <w:rtl/>
          <w:lang w:val="en-GB" w:bidi="ar-EG"/>
        </w:rPr>
        <w:t>.</w:t>
      </w:r>
    </w:p>
    <w:p w:rsidR="00335E4B" w:rsidRPr="00335E4B" w:rsidRDefault="0032206D" w:rsidP="00335E4B">
      <w:pPr>
        <w:keepNext/>
        <w:tabs>
          <w:tab w:val="left" w:pos="991"/>
        </w:tabs>
        <w:spacing w:before="120" w:after="120" w:line="400" w:lineRule="exact"/>
        <w:jc w:val="both"/>
        <w:outlineLvl w:val="0"/>
        <w:rPr>
          <w:rFonts w:cs="Traditional Arabic"/>
          <w:b/>
          <w:bCs/>
          <w:sz w:val="30"/>
          <w:szCs w:val="30"/>
          <w:rtl/>
          <w:lang w:bidi="ar-EG"/>
        </w:rPr>
      </w:pPr>
      <w:bookmarkStart w:id="1407" w:name="_Toc433095402"/>
      <w:bookmarkStart w:id="1408" w:name="_Toc434239936"/>
      <w:bookmarkStart w:id="1409" w:name="_Toc440550531"/>
      <w:bookmarkStart w:id="1410" w:name="_Toc441577790"/>
      <w:bookmarkStart w:id="1411" w:name="_Toc441577969"/>
      <w:bookmarkStart w:id="1412" w:name="_Toc441580803"/>
      <w:bookmarkStart w:id="1413" w:name="_Toc441585934"/>
      <w:bookmarkStart w:id="1414" w:name="_Toc441586270"/>
      <w:bookmarkStart w:id="1415" w:name="_Toc441586720"/>
      <w:bookmarkStart w:id="1416" w:name="_Toc441586899"/>
      <w:bookmarkStart w:id="1417" w:name="_Toc441666748"/>
      <w:bookmarkStart w:id="1418" w:name="_Toc441673809"/>
      <w:r>
        <w:rPr>
          <w:rFonts w:cs="Traditional Arabic" w:hint="cs"/>
          <w:b/>
          <w:bCs/>
          <w:sz w:val="30"/>
          <w:szCs w:val="30"/>
          <w:rtl/>
          <w:lang w:bidi="ar-EG"/>
        </w:rPr>
        <w:t>2-3-4</w:t>
      </w:r>
      <w:r>
        <w:rPr>
          <w:rFonts w:cs="Traditional Arabic" w:hint="cs"/>
          <w:b/>
          <w:bCs/>
          <w:sz w:val="30"/>
          <w:szCs w:val="30"/>
          <w:rtl/>
          <w:lang w:bidi="ar-EG"/>
        </w:rPr>
        <w:tab/>
      </w:r>
      <w:r w:rsidR="00335E4B" w:rsidRPr="00335E4B">
        <w:rPr>
          <w:rFonts w:cs="Traditional Arabic"/>
          <w:b/>
          <w:bCs/>
          <w:sz w:val="30"/>
          <w:szCs w:val="30"/>
          <w:rtl/>
          <w:lang w:bidi="ar-EG"/>
        </w:rPr>
        <w:t>التحويل</w:t>
      </w:r>
      <w:bookmarkEnd w:id="1407"/>
      <w:bookmarkEnd w:id="1408"/>
      <w:bookmarkEnd w:id="1409"/>
      <w:bookmarkEnd w:id="1410"/>
      <w:bookmarkEnd w:id="1411"/>
      <w:bookmarkEnd w:id="1412"/>
      <w:bookmarkEnd w:id="1413"/>
      <w:bookmarkEnd w:id="1414"/>
      <w:bookmarkEnd w:id="1415"/>
      <w:bookmarkEnd w:id="1416"/>
      <w:bookmarkEnd w:id="1417"/>
      <w:bookmarkEnd w:id="1418"/>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بالنسبة لعمليات الصهر التي تنتج خليط النحاس المتلبد، ينقل الخليط المتلبد بعد ذلك إلى المرحلة التالية</w:t>
      </w:r>
      <w:r w:rsidRPr="00335E4B">
        <w:rPr>
          <w:rFonts w:cs="Traditional Arabic"/>
          <w:sz w:val="20"/>
          <w:szCs w:val="30"/>
          <w:rtl/>
          <w:lang w:val="en-GB" w:bidi="ar-EG"/>
        </w:rPr>
        <w:t xml:space="preserve">: </w:t>
      </w:r>
      <w:r w:rsidRPr="00335E4B">
        <w:rPr>
          <w:rFonts w:cs="Traditional Arabic"/>
          <w:sz w:val="20"/>
          <w:szCs w:val="30"/>
          <w:rtl/>
        </w:rPr>
        <w:t>تحويل الخليط المتلبد أو سبيكة خليط النحاس (التي تنتج من تنظيف ما هو معروف بخبث الصهر ”المباشر إلى المنفَّط“) إلى النحاس المنفَّط</w:t>
      </w:r>
      <w:r w:rsidRPr="00335E4B">
        <w:rPr>
          <w:rFonts w:cs="Traditional Arabic"/>
          <w:sz w:val="20"/>
          <w:szCs w:val="30"/>
          <w:rtl/>
          <w:lang w:val="en-GB" w:bidi="ar-EG"/>
        </w:rPr>
        <w:t>.</w:t>
      </w:r>
      <w:r w:rsidRPr="00335E4B">
        <w:rPr>
          <w:rFonts w:cs="Traditional Arabic"/>
          <w:sz w:val="20"/>
          <w:szCs w:val="30"/>
          <w:rtl/>
        </w:rPr>
        <w:t xml:space="preserve"> ومن النواتج الفرعية لهذه العملية إنتاج خبث التحويل، الذي تعاد معالجته لاسترداد النحاس في فرن لتنظيف الخبث أو يعاد إلى فرن الصهر</w:t>
      </w:r>
      <w:r w:rsidRPr="00335E4B">
        <w:rPr>
          <w:rFonts w:cs="Traditional Arabic"/>
          <w:sz w:val="20"/>
          <w:szCs w:val="30"/>
          <w:rtl/>
          <w:lang w:val="en-GB" w:bidi="ar-EG"/>
        </w:rPr>
        <w:t>.</w:t>
      </w:r>
      <w:r w:rsidRPr="00335E4B">
        <w:rPr>
          <w:rFonts w:cs="Traditional Arabic"/>
          <w:sz w:val="20"/>
          <w:szCs w:val="30"/>
          <w:rtl/>
        </w:rPr>
        <w:t xml:space="preserve"> ويخضع الغاز المتولد من أجهزة التحويل إلى عملية لإزالة المواد الجزيئية، ثم يخلط في النهاية مع الغازات المتولدة من فرن الصهر قبل أن يدخل نظام تنظيف الغاز الخاص بمنشأة حمض الكبريتيك</w:t>
      </w:r>
      <w:r w:rsidRPr="00335E4B">
        <w:rPr>
          <w:rFonts w:cs="Traditional Arabic"/>
          <w:sz w:val="20"/>
          <w:szCs w:val="30"/>
          <w:rtl/>
          <w:lang w:val="en-GB" w:bidi="ar-EG"/>
        </w:rPr>
        <w:t>.</w:t>
      </w:r>
    </w:p>
    <w:p w:rsidR="00335E4B" w:rsidRPr="00335E4B" w:rsidRDefault="0032206D" w:rsidP="00335E4B">
      <w:pPr>
        <w:keepNext/>
        <w:tabs>
          <w:tab w:val="left" w:pos="991"/>
        </w:tabs>
        <w:spacing w:before="120" w:after="120" w:line="400" w:lineRule="exact"/>
        <w:jc w:val="both"/>
        <w:outlineLvl w:val="0"/>
        <w:rPr>
          <w:rFonts w:cs="Traditional Arabic"/>
          <w:b/>
          <w:bCs/>
          <w:sz w:val="30"/>
          <w:szCs w:val="30"/>
          <w:rtl/>
          <w:lang w:bidi="ar-EG"/>
        </w:rPr>
      </w:pPr>
      <w:bookmarkStart w:id="1419" w:name="_Toc433095403"/>
      <w:bookmarkStart w:id="1420" w:name="_Toc434239937"/>
      <w:bookmarkStart w:id="1421" w:name="_Toc440550532"/>
      <w:bookmarkStart w:id="1422" w:name="_Toc441577791"/>
      <w:bookmarkStart w:id="1423" w:name="_Toc441577970"/>
      <w:bookmarkStart w:id="1424" w:name="_Toc441580804"/>
      <w:bookmarkStart w:id="1425" w:name="_Toc441585935"/>
      <w:bookmarkStart w:id="1426" w:name="_Toc441586271"/>
      <w:bookmarkStart w:id="1427" w:name="_Toc441586721"/>
      <w:bookmarkStart w:id="1428" w:name="_Toc441586900"/>
      <w:bookmarkStart w:id="1429" w:name="_Toc441666749"/>
      <w:bookmarkStart w:id="1430" w:name="_Toc441673810"/>
      <w:r>
        <w:rPr>
          <w:rFonts w:cs="Traditional Arabic" w:hint="cs"/>
          <w:b/>
          <w:bCs/>
          <w:sz w:val="30"/>
          <w:szCs w:val="30"/>
          <w:rtl/>
          <w:lang w:bidi="ar-EG"/>
        </w:rPr>
        <w:t>2-3-5</w:t>
      </w:r>
      <w:r>
        <w:rPr>
          <w:rFonts w:cs="Traditional Arabic" w:hint="cs"/>
          <w:b/>
          <w:bCs/>
          <w:sz w:val="30"/>
          <w:szCs w:val="30"/>
          <w:rtl/>
          <w:lang w:bidi="ar-EG"/>
        </w:rPr>
        <w:tab/>
      </w:r>
      <w:r w:rsidR="00335E4B" w:rsidRPr="00335E4B">
        <w:rPr>
          <w:rFonts w:cs="Traditional Arabic"/>
          <w:b/>
          <w:bCs/>
          <w:sz w:val="30"/>
          <w:szCs w:val="30"/>
          <w:rtl/>
          <w:lang w:bidi="ar-EG"/>
        </w:rPr>
        <w:t>التنقية والصب</w:t>
      </w:r>
      <w:bookmarkEnd w:id="1419"/>
      <w:bookmarkEnd w:id="1420"/>
      <w:bookmarkEnd w:id="1421"/>
      <w:bookmarkEnd w:id="1422"/>
      <w:bookmarkEnd w:id="1423"/>
      <w:bookmarkEnd w:id="1424"/>
      <w:bookmarkEnd w:id="1425"/>
      <w:bookmarkEnd w:id="1426"/>
      <w:bookmarkEnd w:id="1427"/>
      <w:bookmarkEnd w:id="1428"/>
      <w:bookmarkEnd w:id="1429"/>
      <w:bookmarkEnd w:id="1430"/>
    </w:p>
    <w:p w:rsidR="00335E4B" w:rsidRPr="00335E4B" w:rsidRDefault="00335E4B" w:rsidP="00335E4B">
      <w:pPr>
        <w:spacing w:after="120" w:line="400" w:lineRule="exact"/>
        <w:jc w:val="both"/>
        <w:rPr>
          <w:rFonts w:cs="Traditional Arabic"/>
          <w:sz w:val="20"/>
          <w:szCs w:val="30"/>
          <w:rtl/>
        </w:rPr>
      </w:pPr>
      <w:r w:rsidRPr="00335E4B">
        <w:rPr>
          <w:rFonts w:cs="Traditional Arabic" w:hint="cs"/>
          <w:sz w:val="20"/>
          <w:szCs w:val="30"/>
          <w:rtl/>
        </w:rPr>
        <w:t>تجري</w:t>
      </w:r>
      <w:r w:rsidRPr="00335E4B">
        <w:rPr>
          <w:rFonts w:cs="Traditional Arabic"/>
          <w:sz w:val="20"/>
          <w:szCs w:val="30"/>
          <w:rtl/>
        </w:rPr>
        <w:t xml:space="preserve"> بعد ذلك تنقية النحاس المنفَّط في أفران الأنود </w:t>
      </w:r>
      <w:r w:rsidRPr="00335E4B">
        <w:rPr>
          <w:rFonts w:cs="Times New Roman"/>
          <w:sz w:val="20"/>
          <w:szCs w:val="20"/>
          <w:rtl/>
        </w:rPr>
        <w:t>(</w:t>
      </w:r>
      <w:r w:rsidRPr="00335E4B">
        <w:rPr>
          <w:rFonts w:cs="Times New Roman"/>
          <w:sz w:val="20"/>
          <w:szCs w:val="20"/>
          <w:lang w:val="en-GB" w:bidi="ar-EG"/>
        </w:rPr>
        <w:t>anode furnaces</w:t>
      </w:r>
      <w:r w:rsidRPr="00335E4B">
        <w:rPr>
          <w:rFonts w:cs="Times New Roman"/>
          <w:sz w:val="20"/>
          <w:szCs w:val="20"/>
          <w:rtl/>
        </w:rPr>
        <w:t>)</w:t>
      </w:r>
      <w:r w:rsidRPr="00335E4B">
        <w:rPr>
          <w:rFonts w:cs="Traditional Arabic"/>
          <w:sz w:val="20"/>
          <w:szCs w:val="30"/>
          <w:rtl/>
        </w:rPr>
        <w:t>، وتتم هذه العملية في المقام الأول للتخلص من الأكسجين والكبريت والملوثات النزرة</w:t>
      </w:r>
      <w:r w:rsidRPr="00335E4B">
        <w:rPr>
          <w:rFonts w:cs="Traditional Arabic"/>
          <w:sz w:val="20"/>
          <w:szCs w:val="30"/>
          <w:rtl/>
          <w:lang w:val="en-GB" w:bidi="ar-EG"/>
        </w:rPr>
        <w:t>.</w:t>
      </w:r>
      <w:r w:rsidRPr="00335E4B">
        <w:rPr>
          <w:rFonts w:cs="Traditional Arabic"/>
          <w:sz w:val="20"/>
          <w:szCs w:val="30"/>
          <w:rtl/>
        </w:rPr>
        <w:t xml:space="preserve"> وتجري معالجة غازات عمليات أفران الأنود بواسطة أجهزة الشطف الرطب ثم تنظيفها بعد ذلك بالمرسبات الكهروستاتيكية الرطبة أو في </w:t>
      </w:r>
      <w:r w:rsidRPr="00335E4B">
        <w:rPr>
          <w:rFonts w:cs="Traditional Arabic" w:hint="cs"/>
          <w:sz w:val="20"/>
          <w:szCs w:val="30"/>
          <w:rtl/>
        </w:rPr>
        <w:t>حجرات</w:t>
      </w:r>
      <w:r w:rsidRPr="00335E4B">
        <w:rPr>
          <w:rFonts w:cs="Traditional Arabic"/>
          <w:sz w:val="20"/>
          <w:szCs w:val="30"/>
          <w:rtl/>
        </w:rPr>
        <w:t xml:space="preserve"> المرشحات الكيسية</w:t>
      </w:r>
      <w:r w:rsidRPr="00335E4B">
        <w:rPr>
          <w:rFonts w:cs="Traditional Arabic"/>
          <w:sz w:val="20"/>
          <w:szCs w:val="30"/>
          <w:rtl/>
          <w:lang w:val="en-GB" w:bidi="ar-EG"/>
        </w:rPr>
        <w:t>.</w:t>
      </w:r>
      <w:r w:rsidRPr="00335E4B">
        <w:rPr>
          <w:rFonts w:cs="Traditional Arabic"/>
          <w:sz w:val="20"/>
          <w:szCs w:val="30"/>
          <w:rtl/>
        </w:rPr>
        <w:t xml:space="preserve"> ويجري صب النحاس بعد ذلك على شكل أقطاب الأنود الموجبة</w:t>
      </w:r>
      <w:r w:rsidRPr="00335E4B">
        <w:rPr>
          <w:rFonts w:cs="Traditional Arabic"/>
          <w:sz w:val="20"/>
          <w:szCs w:val="30"/>
          <w:rtl/>
          <w:lang w:val="en-GB" w:bidi="ar-EG"/>
        </w:rPr>
        <w:t>.</w:t>
      </w:r>
      <w:r w:rsidRPr="00335E4B">
        <w:rPr>
          <w:rFonts w:cs="Traditional Arabic"/>
          <w:sz w:val="20"/>
          <w:szCs w:val="30"/>
          <w:rtl/>
        </w:rPr>
        <w:t xml:space="preserve"> والمرحلة النهائية من إنتاج النحاس هي التنقية الكهربائية لأقطاب الأنود وتحويلها إلى أقطاب كاثود سالبة تكون نسبة النحاس فيها أكثر من</w:t>
      </w:r>
      <w:r w:rsidRPr="00335E4B">
        <w:rPr>
          <w:rFonts w:cs="Traditional Arabic"/>
          <w:sz w:val="20"/>
          <w:szCs w:val="30"/>
          <w:rtl/>
          <w:lang w:val="en-GB" w:bidi="ar-EG"/>
        </w:rPr>
        <w:t xml:space="preserve"> 99,995 </w:t>
      </w:r>
      <w:r w:rsidRPr="00335E4B">
        <w:rPr>
          <w:rFonts w:cs="Traditional Arabic"/>
          <w:sz w:val="20"/>
          <w:szCs w:val="30"/>
          <w:rtl/>
        </w:rPr>
        <w:t>في المائة</w:t>
      </w:r>
      <w:r w:rsidRPr="00335E4B">
        <w:rPr>
          <w:rFonts w:cs="Traditional Arabic"/>
          <w:sz w:val="20"/>
          <w:szCs w:val="30"/>
          <w:rtl/>
          <w:lang w:val="en-GB" w:bidi="ar-EG"/>
        </w:rPr>
        <w:t>.</w:t>
      </w:r>
    </w:p>
    <w:p w:rsidR="00335E4B" w:rsidRPr="00335E4B" w:rsidRDefault="0032206D" w:rsidP="00335E4B">
      <w:pPr>
        <w:keepNext/>
        <w:tabs>
          <w:tab w:val="left" w:pos="991"/>
        </w:tabs>
        <w:spacing w:before="120" w:after="120" w:line="400" w:lineRule="exact"/>
        <w:jc w:val="both"/>
        <w:outlineLvl w:val="0"/>
        <w:rPr>
          <w:rFonts w:cs="Traditional Arabic"/>
          <w:b/>
          <w:bCs/>
          <w:sz w:val="30"/>
          <w:szCs w:val="30"/>
          <w:rtl/>
          <w:lang w:bidi="ar-EG"/>
        </w:rPr>
      </w:pPr>
      <w:bookmarkStart w:id="1431" w:name="_Toc433095404"/>
      <w:bookmarkStart w:id="1432" w:name="_Toc434239938"/>
      <w:bookmarkStart w:id="1433" w:name="_Toc440550533"/>
      <w:bookmarkStart w:id="1434" w:name="_Toc441577792"/>
      <w:bookmarkStart w:id="1435" w:name="_Toc441577971"/>
      <w:bookmarkStart w:id="1436" w:name="_Toc441580805"/>
      <w:bookmarkStart w:id="1437" w:name="_Toc441585936"/>
      <w:bookmarkStart w:id="1438" w:name="_Toc441586272"/>
      <w:bookmarkStart w:id="1439" w:name="_Toc441586722"/>
      <w:bookmarkStart w:id="1440" w:name="_Toc441586901"/>
      <w:bookmarkStart w:id="1441" w:name="_Toc441666750"/>
      <w:bookmarkStart w:id="1442" w:name="_Toc441673811"/>
      <w:r>
        <w:rPr>
          <w:rFonts w:cs="Traditional Arabic" w:hint="cs"/>
          <w:b/>
          <w:bCs/>
          <w:sz w:val="30"/>
          <w:szCs w:val="30"/>
          <w:rtl/>
          <w:lang w:bidi="ar-EG"/>
        </w:rPr>
        <w:t>2-3-6</w:t>
      </w:r>
      <w:r>
        <w:rPr>
          <w:rFonts w:cs="Traditional Arabic" w:hint="cs"/>
          <w:b/>
          <w:bCs/>
          <w:sz w:val="30"/>
          <w:szCs w:val="30"/>
          <w:rtl/>
          <w:lang w:bidi="ar-EG"/>
        </w:rPr>
        <w:tab/>
      </w:r>
      <w:r w:rsidR="00335E4B" w:rsidRPr="00335E4B">
        <w:rPr>
          <w:rFonts w:cs="Traditional Arabic"/>
          <w:b/>
          <w:bCs/>
          <w:sz w:val="30"/>
          <w:szCs w:val="30"/>
          <w:rtl/>
          <w:lang w:bidi="ar-EG"/>
        </w:rPr>
        <w:t>تنظيف الخبث</w:t>
      </w:r>
      <w:bookmarkEnd w:id="1431"/>
      <w:bookmarkEnd w:id="1432"/>
      <w:bookmarkEnd w:id="1433"/>
      <w:bookmarkEnd w:id="1434"/>
      <w:bookmarkEnd w:id="1435"/>
      <w:bookmarkEnd w:id="1436"/>
      <w:bookmarkEnd w:id="1437"/>
      <w:bookmarkEnd w:id="1438"/>
      <w:bookmarkEnd w:id="1439"/>
      <w:bookmarkEnd w:id="1440"/>
      <w:bookmarkEnd w:id="1441"/>
      <w:bookmarkEnd w:id="1442"/>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يمكن معالجة الخبث المنصهر الذي ينتج عن أفران الصهر وأجهزة التحويل في فرن للتنظيف الكهربائي للخبث، وذلك لاسترداد النحاس والمعادن الثمينة الأخرى الموجودة في الخبث</w:t>
      </w:r>
      <w:r w:rsidRPr="00335E4B">
        <w:rPr>
          <w:rFonts w:cs="Traditional Arabic"/>
          <w:sz w:val="20"/>
          <w:szCs w:val="30"/>
          <w:rtl/>
          <w:lang w:val="en-GB" w:bidi="ar-EG"/>
        </w:rPr>
        <w:t>.</w:t>
      </w:r>
      <w:r w:rsidRPr="00335E4B">
        <w:rPr>
          <w:rFonts w:cs="Traditional Arabic"/>
          <w:sz w:val="20"/>
          <w:szCs w:val="30"/>
          <w:rtl/>
        </w:rPr>
        <w:t xml:space="preserve"> وهذا يسفر عن إنتاج خليط معدني متلبد عالي النوعية من أجل نقله إلى أجهزة التحويل</w:t>
      </w:r>
      <w:r w:rsidRPr="00335E4B">
        <w:rPr>
          <w:rFonts w:cs="Traditional Arabic"/>
          <w:sz w:val="20"/>
          <w:szCs w:val="30"/>
          <w:rtl/>
          <w:lang w:val="en-GB" w:bidi="ar-EG"/>
        </w:rPr>
        <w:t>.</w:t>
      </w:r>
      <w:r w:rsidRPr="00335E4B">
        <w:rPr>
          <w:rFonts w:cs="Traditional Arabic"/>
          <w:sz w:val="20"/>
          <w:szCs w:val="30"/>
          <w:rtl/>
        </w:rPr>
        <w:t xml:space="preserve"> وقد يتحول الخبث النهائي إلى حبيبات مع الماء</w:t>
      </w:r>
      <w:r w:rsidRPr="00335E4B">
        <w:rPr>
          <w:rFonts w:cs="Traditional Arabic"/>
          <w:sz w:val="20"/>
          <w:szCs w:val="30"/>
          <w:rtl/>
          <w:lang w:val="en-GB" w:bidi="ar-EG"/>
        </w:rPr>
        <w:t>.</w:t>
      </w:r>
      <w:r w:rsidRPr="00335E4B">
        <w:rPr>
          <w:rFonts w:cs="Traditional Arabic"/>
          <w:sz w:val="20"/>
          <w:szCs w:val="30"/>
          <w:rtl/>
        </w:rPr>
        <w:t xml:space="preserve"> ويرسل الخبث إما للتخلص منه أو يستخدم كمادة من مواد الركام</w:t>
      </w:r>
      <w:r w:rsidRPr="00335E4B">
        <w:rPr>
          <w:rFonts w:cs="Traditional Arabic"/>
          <w:sz w:val="20"/>
          <w:szCs w:val="30"/>
          <w:rtl/>
          <w:lang w:val="en-GB" w:bidi="ar-EG"/>
        </w:rPr>
        <w:t>.</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وفي العمليات التي تنفذ الصهر المباشر إلى النحاس المنفَّط، يمكن أن ينتج تنظيف الخبث سبائك من خليط النحاس، وترسل هذه بعد ذلك إلى المصهر لكي تعاد معالجتها في أجهزة التحويل</w:t>
      </w:r>
      <w:r w:rsidRPr="00335E4B">
        <w:rPr>
          <w:rFonts w:cs="Traditional Arabic"/>
          <w:sz w:val="20"/>
          <w:szCs w:val="30"/>
          <w:rtl/>
          <w:lang w:val="en-GB" w:bidi="ar-EG"/>
        </w:rPr>
        <w:t>.</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وكبديل لعملية المعالجة في فرن لتنظيف الخبث، يمكن أن يتم تنظيف الخبث باستخدام تقنيات للمعالجة المعدنية</w:t>
      </w:r>
      <w:r w:rsidRPr="00335E4B">
        <w:rPr>
          <w:rFonts w:cs="Traditional Arabic"/>
          <w:sz w:val="20"/>
          <w:szCs w:val="30"/>
          <w:rtl/>
          <w:lang w:val="en-GB" w:bidi="ar-EG"/>
        </w:rPr>
        <w:t>.</w:t>
      </w:r>
      <w:r w:rsidRPr="00335E4B">
        <w:rPr>
          <w:rFonts w:cs="Traditional Arabic"/>
          <w:sz w:val="20"/>
          <w:szCs w:val="30"/>
          <w:rtl/>
        </w:rPr>
        <w:t xml:space="preserve"> فبعد انخفاض درجة حرارة الخبث ببطء، يتم سحقه وطحنه ومعالجته بالتعويم</w:t>
      </w:r>
      <w:r w:rsidRPr="00335E4B">
        <w:rPr>
          <w:rFonts w:cs="Traditional Arabic"/>
          <w:sz w:val="20"/>
          <w:szCs w:val="30"/>
          <w:rtl/>
          <w:lang w:val="en-GB" w:bidi="ar-EG"/>
        </w:rPr>
        <w:t>.</w:t>
      </w:r>
      <w:r w:rsidRPr="00335E4B">
        <w:rPr>
          <w:rFonts w:cs="Traditional Arabic"/>
          <w:sz w:val="20"/>
          <w:szCs w:val="30"/>
          <w:rtl/>
        </w:rPr>
        <w:t xml:space="preserve"> وينتج هذا خاماً مركزاً يحتوي على النحاس، يعاد بعد ذلك إلى المصهر</w:t>
      </w:r>
      <w:r w:rsidRPr="00335E4B">
        <w:rPr>
          <w:rFonts w:cs="Traditional Arabic"/>
          <w:sz w:val="20"/>
          <w:szCs w:val="30"/>
          <w:rtl/>
          <w:lang w:val="en-GB" w:bidi="ar-EG"/>
        </w:rPr>
        <w:t>.</w:t>
      </w:r>
    </w:p>
    <w:p w:rsidR="00335E4B" w:rsidRPr="00335E4B" w:rsidRDefault="0032206D" w:rsidP="00335E4B">
      <w:pPr>
        <w:keepNext/>
        <w:tabs>
          <w:tab w:val="left" w:pos="991"/>
        </w:tabs>
        <w:spacing w:before="120" w:after="120" w:line="400" w:lineRule="exact"/>
        <w:jc w:val="both"/>
        <w:outlineLvl w:val="0"/>
        <w:rPr>
          <w:rFonts w:cs="Traditional Arabic"/>
          <w:b/>
          <w:bCs/>
          <w:sz w:val="30"/>
          <w:szCs w:val="30"/>
          <w:rtl/>
          <w:lang w:bidi="ar-EG"/>
        </w:rPr>
      </w:pPr>
      <w:bookmarkStart w:id="1443" w:name="_Toc433095405"/>
      <w:bookmarkStart w:id="1444" w:name="_Toc434239939"/>
      <w:bookmarkStart w:id="1445" w:name="_Toc440550534"/>
      <w:bookmarkStart w:id="1446" w:name="_Toc441577793"/>
      <w:bookmarkStart w:id="1447" w:name="_Toc441577972"/>
      <w:bookmarkStart w:id="1448" w:name="_Toc441580806"/>
      <w:bookmarkStart w:id="1449" w:name="_Toc441585937"/>
      <w:bookmarkStart w:id="1450" w:name="_Toc441586273"/>
      <w:bookmarkStart w:id="1451" w:name="_Toc441586723"/>
      <w:bookmarkStart w:id="1452" w:name="_Toc441586902"/>
      <w:bookmarkStart w:id="1453" w:name="_Toc441666751"/>
      <w:bookmarkStart w:id="1454" w:name="_Toc441673812"/>
      <w:r>
        <w:rPr>
          <w:rFonts w:cs="Traditional Arabic" w:hint="cs"/>
          <w:b/>
          <w:bCs/>
          <w:sz w:val="30"/>
          <w:szCs w:val="30"/>
          <w:rtl/>
          <w:lang w:bidi="ar-EG"/>
        </w:rPr>
        <w:t>2-3-7</w:t>
      </w:r>
      <w:r>
        <w:rPr>
          <w:rFonts w:cs="Traditional Arabic" w:hint="cs"/>
          <w:b/>
          <w:bCs/>
          <w:sz w:val="30"/>
          <w:szCs w:val="30"/>
          <w:rtl/>
          <w:lang w:bidi="ar-EG"/>
        </w:rPr>
        <w:tab/>
      </w:r>
      <w:r w:rsidR="00335E4B" w:rsidRPr="00335E4B">
        <w:rPr>
          <w:rFonts w:cs="Traditional Arabic"/>
          <w:b/>
          <w:bCs/>
          <w:sz w:val="30"/>
          <w:szCs w:val="30"/>
          <w:rtl/>
          <w:lang w:bidi="ar-EG"/>
        </w:rPr>
        <w:t xml:space="preserve">منشأة </w:t>
      </w:r>
      <w:r w:rsidR="00335E4B" w:rsidRPr="00335E4B">
        <w:rPr>
          <w:rFonts w:cs="Traditional Arabic" w:hint="cs"/>
          <w:b/>
          <w:bCs/>
          <w:sz w:val="30"/>
          <w:szCs w:val="30"/>
          <w:rtl/>
          <w:lang w:bidi="ar-EG"/>
        </w:rPr>
        <w:t>تصنيع</w:t>
      </w:r>
      <w:r w:rsidR="00335E4B" w:rsidRPr="00335E4B">
        <w:rPr>
          <w:rFonts w:cs="Traditional Arabic"/>
          <w:b/>
          <w:bCs/>
          <w:sz w:val="30"/>
          <w:szCs w:val="30"/>
          <w:rtl/>
          <w:lang w:bidi="ar-EG"/>
        </w:rPr>
        <w:t xml:space="preserve"> حمض الكبريتيك</w:t>
      </w:r>
      <w:bookmarkEnd w:id="1443"/>
      <w:bookmarkEnd w:id="1444"/>
      <w:bookmarkEnd w:id="1445"/>
      <w:bookmarkEnd w:id="1446"/>
      <w:bookmarkEnd w:id="1447"/>
      <w:bookmarkEnd w:id="1448"/>
      <w:bookmarkEnd w:id="1449"/>
      <w:bookmarkEnd w:id="1450"/>
      <w:bookmarkEnd w:id="1451"/>
      <w:bookmarkEnd w:id="1452"/>
      <w:bookmarkEnd w:id="1453"/>
      <w:bookmarkEnd w:id="1454"/>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توجه غازات عمليتي الصهر والتحويل إلى قسم تنظيف الغاز في منشأة تصنيع حمض الكبريتيك</w:t>
      </w:r>
      <w:r w:rsidRPr="00335E4B">
        <w:rPr>
          <w:rFonts w:cs="Traditional Arabic"/>
          <w:sz w:val="20"/>
          <w:szCs w:val="30"/>
          <w:rtl/>
          <w:lang w:val="en-GB" w:bidi="ar-EG"/>
        </w:rPr>
        <w:t>.</w:t>
      </w:r>
      <w:r w:rsidRPr="00335E4B">
        <w:rPr>
          <w:rFonts w:cs="Traditional Arabic"/>
          <w:sz w:val="20"/>
          <w:szCs w:val="30"/>
          <w:rtl/>
        </w:rPr>
        <w:t xml:space="preserve"> ويجري أولاً تبريد الغاز الناجم عن العمليات ومعالجته لإزالة المواد الجسيمية والمعادن وبخار الحمض باستخدام أجهزة تنظيف الغاز مثل أجهزة الشطف والمرسبات الكهروستاتيكية الرطبة</w:t>
      </w:r>
      <w:r w:rsidRPr="00335E4B">
        <w:rPr>
          <w:rFonts w:cs="Traditional Arabic"/>
          <w:sz w:val="20"/>
          <w:szCs w:val="30"/>
          <w:rtl/>
          <w:lang w:val="en-GB" w:bidi="ar-EG"/>
        </w:rPr>
        <w:t>.</w:t>
      </w:r>
      <w:r w:rsidRPr="00335E4B">
        <w:rPr>
          <w:rFonts w:cs="Traditional Arabic"/>
          <w:sz w:val="20"/>
          <w:szCs w:val="30"/>
          <w:rtl/>
        </w:rPr>
        <w:t xml:space="preserve"> وأثناء تنظيف الغاز، يتم تخفيض درجة حرارته إلى نطاق يتراوح بين</w:t>
      </w:r>
      <w:r w:rsidRPr="00335E4B">
        <w:rPr>
          <w:rFonts w:cs="Traditional Arabic"/>
          <w:sz w:val="20"/>
          <w:szCs w:val="30"/>
          <w:rtl/>
          <w:lang w:val="en-GB" w:bidi="ar-EG"/>
        </w:rPr>
        <w:t xml:space="preserve"> 35 و40 </w:t>
      </w:r>
      <w:r w:rsidRPr="00335E4B">
        <w:rPr>
          <w:rFonts w:cs="Traditional Arabic"/>
          <w:sz w:val="20"/>
          <w:szCs w:val="30"/>
          <w:rtl/>
        </w:rPr>
        <w:t>درجة مئوية</w:t>
      </w:r>
      <w:r w:rsidRPr="00335E4B">
        <w:rPr>
          <w:rFonts w:cs="Traditional Arabic"/>
          <w:sz w:val="20"/>
          <w:szCs w:val="30"/>
          <w:rtl/>
          <w:lang w:val="en-GB" w:bidi="ar-EG"/>
        </w:rPr>
        <w:t xml:space="preserve">. </w:t>
      </w:r>
      <w:r w:rsidRPr="00335E4B">
        <w:rPr>
          <w:rFonts w:cs="Traditional Arabic"/>
          <w:sz w:val="20"/>
          <w:szCs w:val="30"/>
          <w:rtl/>
        </w:rPr>
        <w:t>وفي هذه المرحلة يزال معظم الزئبق القادم من المصهر عن طريق الآليات الثلاث التالية</w:t>
      </w:r>
      <w:r w:rsidRPr="00335E4B">
        <w:rPr>
          <w:rFonts w:cs="Traditional Arabic"/>
          <w:sz w:val="20"/>
          <w:szCs w:val="30"/>
          <w:rtl/>
          <w:lang w:val="en-GB" w:bidi="ar-EG"/>
        </w:rPr>
        <w:t>:</w:t>
      </w:r>
    </w:p>
    <w:p w:rsidR="00335E4B" w:rsidRPr="00335E4B" w:rsidRDefault="00335E4B" w:rsidP="004F5C55">
      <w:pPr>
        <w:numPr>
          <w:ilvl w:val="0"/>
          <w:numId w:val="14"/>
        </w:numPr>
        <w:spacing w:after="120" w:line="400" w:lineRule="exact"/>
        <w:ind w:left="849" w:hanging="425"/>
        <w:jc w:val="both"/>
        <w:rPr>
          <w:rFonts w:cs="Traditional Arabic"/>
          <w:sz w:val="20"/>
          <w:szCs w:val="30"/>
          <w:rtl/>
        </w:rPr>
      </w:pPr>
      <w:r w:rsidRPr="00335E4B">
        <w:rPr>
          <w:rFonts w:cs="Traditional Arabic"/>
          <w:sz w:val="20"/>
          <w:szCs w:val="30"/>
          <w:rtl/>
        </w:rPr>
        <w:t>ويتفاعل جزء من الزئبق لتكوين كبريتات الزئبق الصلبة، التي تزال من الحمأة.</w:t>
      </w:r>
    </w:p>
    <w:p w:rsidR="00335E4B" w:rsidRPr="00335E4B" w:rsidRDefault="00335E4B" w:rsidP="004F5C55">
      <w:pPr>
        <w:numPr>
          <w:ilvl w:val="0"/>
          <w:numId w:val="14"/>
        </w:numPr>
        <w:spacing w:after="120" w:line="400" w:lineRule="exact"/>
        <w:ind w:left="849" w:hanging="425"/>
        <w:jc w:val="both"/>
        <w:rPr>
          <w:rFonts w:cs="Traditional Arabic"/>
          <w:sz w:val="20"/>
          <w:szCs w:val="30"/>
          <w:rtl/>
        </w:rPr>
      </w:pPr>
      <w:r w:rsidRPr="00335E4B">
        <w:rPr>
          <w:rFonts w:cs="Traditional Arabic"/>
          <w:sz w:val="20"/>
          <w:szCs w:val="30"/>
          <w:rtl/>
        </w:rPr>
        <w:t>ويجري تكثيف الزئبق النقي بالإخماد والتبريد السريع في أجهزة الشطف، ويكدس في أبراج للتبريد.</w:t>
      </w:r>
    </w:p>
    <w:p w:rsidR="00335E4B" w:rsidRPr="00335E4B" w:rsidRDefault="00335E4B" w:rsidP="004F5C55">
      <w:pPr>
        <w:numPr>
          <w:ilvl w:val="0"/>
          <w:numId w:val="14"/>
        </w:numPr>
        <w:spacing w:after="120" w:line="400" w:lineRule="exact"/>
        <w:ind w:left="849" w:hanging="425"/>
        <w:jc w:val="both"/>
        <w:rPr>
          <w:rFonts w:cs="Traditional Arabic"/>
          <w:sz w:val="20"/>
          <w:szCs w:val="30"/>
          <w:rtl/>
        </w:rPr>
      </w:pPr>
      <w:r w:rsidRPr="00335E4B">
        <w:rPr>
          <w:rFonts w:cs="Traditional Arabic"/>
          <w:sz w:val="20"/>
          <w:szCs w:val="30"/>
          <w:rtl/>
        </w:rPr>
        <w:t>ويتحرر السلنيوم الموجود في مركَّزات النحاس أثناء عمليات الصهر والتحويل، ويكون موجوداً بعدئذ في غاز عملية الصهر كأكسيد السلنيوم. وينحل أكسيد السلنيوم في محلول الشطف الحمضي الضعيف ويختزل في الحال بواسطة ثنائي أكسيد الكبريت ليشكل السلنيوم الأحمر، الذي يتفاعل بدوره مع الزئبق النقي لتشكيل سلنيد الزئبق (</w:t>
      </w:r>
      <w:r w:rsidRPr="00335E4B">
        <w:rPr>
          <w:rFonts w:cs="Traditional Arabic"/>
          <w:sz w:val="20"/>
          <w:szCs w:val="30"/>
        </w:rPr>
        <w:t>HgSe</w:t>
      </w:r>
      <w:r w:rsidRPr="00335E4B">
        <w:rPr>
          <w:rFonts w:cs="Traditional Arabic"/>
          <w:sz w:val="20"/>
          <w:szCs w:val="30"/>
          <w:rtl/>
        </w:rPr>
        <w:t>). وسلنيد الزئبق هو مركب قابليته منخفضة للغاية للذوبان في الماء، ومستقر في الأوساط الحمضية.</w:t>
      </w:r>
    </w:p>
    <w:p w:rsidR="00335E4B" w:rsidRPr="00335E4B" w:rsidRDefault="00335E4B" w:rsidP="00335E4B">
      <w:pPr>
        <w:spacing w:after="120" w:line="400" w:lineRule="exact"/>
        <w:jc w:val="both"/>
        <w:rPr>
          <w:rFonts w:cs="Traditional Arabic"/>
          <w:sz w:val="20"/>
          <w:szCs w:val="30"/>
          <w:rtl/>
          <w:lang w:val="en-GB" w:bidi="ar-EG"/>
        </w:rPr>
      </w:pPr>
      <w:r w:rsidRPr="00335E4B">
        <w:rPr>
          <w:rFonts w:cs="Traditional Arabic"/>
          <w:sz w:val="20"/>
          <w:szCs w:val="30"/>
          <w:rtl/>
        </w:rPr>
        <w:t>وفي أعقاب تنظيف الغاز، قد تلزم تكنولوجيا محددة لإزالة الزئبق، قبل إنتاج الحمض، وذلك لإزالة الزئبق المتبقي في غاز العمليات من أجل تلبية المعايير التجارية</w:t>
      </w:r>
      <w:r w:rsidRPr="00335E4B">
        <w:rPr>
          <w:rFonts w:cs="Traditional Arabic"/>
          <w:sz w:val="20"/>
          <w:szCs w:val="30"/>
          <w:rtl/>
          <w:lang w:val="en-GB" w:bidi="ar-EG"/>
        </w:rPr>
        <w:t>.</w:t>
      </w:r>
      <w:r w:rsidRPr="00335E4B">
        <w:rPr>
          <w:rFonts w:cs="Traditional Arabic"/>
          <w:sz w:val="20"/>
          <w:szCs w:val="30"/>
          <w:rtl/>
        </w:rPr>
        <w:t xml:space="preserve"> ومن المتوقع أن تحتوي الانبعاثات الصادرة من المدخنة النهائية على تركيزات نزرة من الزئبق</w:t>
      </w:r>
      <w:r w:rsidRPr="00335E4B">
        <w:rPr>
          <w:rFonts w:cs="Traditional Arabic"/>
          <w:sz w:val="20"/>
          <w:szCs w:val="30"/>
          <w:rtl/>
          <w:lang w:val="en-GB" w:bidi="ar-EG"/>
        </w:rPr>
        <w:t>.</w:t>
      </w:r>
      <w:r w:rsidRPr="00335E4B">
        <w:rPr>
          <w:rFonts w:cs="Traditional Arabic"/>
          <w:sz w:val="20"/>
          <w:szCs w:val="30"/>
          <w:rtl/>
        </w:rPr>
        <w:t xml:space="preserve"> وينبغي أن تتم إدارة المخلفات والحمأة الناتجة عن عمليات تنظيف الغاز أو إزالة الزئبق، بما في ذلك تخزينها والتخلص منها، والتجارة فيها، </w:t>
      </w:r>
      <w:r w:rsidRPr="00335E4B">
        <w:rPr>
          <w:rFonts w:cs="Traditional Arabic" w:hint="cs"/>
          <w:sz w:val="20"/>
          <w:szCs w:val="30"/>
          <w:rtl/>
        </w:rPr>
        <w:t>على نحو متسق</w:t>
      </w:r>
      <w:r w:rsidRPr="00335E4B">
        <w:rPr>
          <w:rFonts w:cs="Traditional Arabic"/>
          <w:sz w:val="20"/>
          <w:szCs w:val="30"/>
          <w:rtl/>
        </w:rPr>
        <w:t xml:space="preserve"> مع المواد الأخرى ذات الصلة في الاتفاقية</w:t>
      </w:r>
      <w:r w:rsidRPr="00335E4B">
        <w:rPr>
          <w:rFonts w:cs="Traditional Arabic"/>
          <w:sz w:val="20"/>
          <w:szCs w:val="30"/>
          <w:rtl/>
          <w:lang w:val="en-GB" w:bidi="ar-EG"/>
        </w:rPr>
        <w:t>.</w:t>
      </w:r>
    </w:p>
    <w:p w:rsidR="00335E4B" w:rsidRPr="00335E4B" w:rsidRDefault="00335E4B" w:rsidP="00123425">
      <w:pPr>
        <w:spacing w:before="120" w:after="120" w:line="400" w:lineRule="exact"/>
        <w:jc w:val="both"/>
        <w:rPr>
          <w:rFonts w:cs="Traditional Arabic"/>
          <w:b/>
          <w:bCs/>
          <w:sz w:val="32"/>
          <w:szCs w:val="32"/>
          <w:rtl/>
          <w:lang w:val="en-GB" w:bidi="ar-EG"/>
        </w:rPr>
      </w:pPr>
      <w:r w:rsidRPr="00335E4B">
        <w:rPr>
          <w:rFonts w:cs="Traditional Arabic"/>
          <w:sz w:val="20"/>
          <w:szCs w:val="30"/>
          <w:rtl/>
          <w:lang w:val="en-GB" w:bidi="ar-EG"/>
        </w:rPr>
        <w:br w:type="page"/>
      </w:r>
      <w:bookmarkStart w:id="1455" w:name="_Toc433095406"/>
      <w:bookmarkStart w:id="1456" w:name="_Toc434239940"/>
      <w:bookmarkStart w:id="1457" w:name="_Toc440550535"/>
      <w:r w:rsidRPr="00335E4B">
        <w:rPr>
          <w:rFonts w:cs="Traditional Arabic"/>
          <w:b/>
          <w:bCs/>
          <w:sz w:val="28"/>
          <w:szCs w:val="30"/>
          <w:rtl/>
        </w:rPr>
        <w:t>الشكل</w:t>
      </w:r>
      <w:r w:rsidRPr="00335E4B">
        <w:rPr>
          <w:rFonts w:cs="Traditional Arabic"/>
          <w:b/>
          <w:bCs/>
          <w:sz w:val="28"/>
          <w:szCs w:val="30"/>
          <w:rtl/>
          <w:lang w:val="en-GB" w:bidi="ar-EG"/>
        </w:rPr>
        <w:t xml:space="preserve"> </w:t>
      </w:r>
      <w:r w:rsidRPr="00335E4B">
        <w:rPr>
          <w:rFonts w:cs="Traditional Arabic" w:hint="cs"/>
          <w:b/>
          <w:bCs/>
          <w:sz w:val="28"/>
          <w:szCs w:val="30"/>
          <w:rtl/>
          <w:lang w:val="en-GB" w:bidi="ar-EG"/>
        </w:rPr>
        <w:t>3</w:t>
      </w:r>
      <w:r w:rsidR="00123425">
        <w:rPr>
          <w:rFonts w:cs="Traditional Arabic" w:hint="cs"/>
          <w:b/>
          <w:bCs/>
          <w:sz w:val="28"/>
          <w:szCs w:val="30"/>
          <w:rtl/>
          <w:lang w:val="en-GB" w:bidi="ar-EG"/>
        </w:rPr>
        <w:t>-</w:t>
      </w:r>
      <w:r w:rsidRPr="00335E4B">
        <w:rPr>
          <w:rFonts w:cs="Traditional Arabic"/>
          <w:b/>
          <w:bCs/>
          <w:sz w:val="28"/>
          <w:szCs w:val="30"/>
          <w:rtl/>
          <w:lang w:val="en-GB" w:bidi="ar-EG"/>
        </w:rPr>
        <w:t xml:space="preserve"> </w:t>
      </w:r>
      <w:r w:rsidRPr="00335E4B">
        <w:rPr>
          <w:rFonts w:cs="Traditional Arabic"/>
          <w:b/>
          <w:bCs/>
          <w:sz w:val="28"/>
          <w:szCs w:val="30"/>
          <w:rtl/>
        </w:rPr>
        <w:t>العمليات التي ينطوي عليها الإنتاج الأساسي</w:t>
      </w:r>
      <w:r w:rsidRPr="00335E4B">
        <w:rPr>
          <w:rFonts w:cs="Traditional Arabic" w:hint="cs"/>
          <w:b/>
          <w:bCs/>
          <w:sz w:val="28"/>
          <w:szCs w:val="30"/>
          <w:rtl/>
        </w:rPr>
        <w:t xml:space="preserve"> للنحاس</w:t>
      </w:r>
    </w:p>
    <w:bookmarkStart w:id="1458" w:name="_Toc441577794"/>
    <w:bookmarkStart w:id="1459" w:name="_Toc441577973"/>
    <w:bookmarkStart w:id="1460" w:name="_Toc441580807"/>
    <w:bookmarkStart w:id="1461" w:name="_Toc441585938"/>
    <w:bookmarkStart w:id="1462" w:name="_Toc441586274"/>
    <w:bookmarkStart w:id="1463" w:name="_Toc441586724"/>
    <w:bookmarkStart w:id="1464" w:name="_Toc441586903"/>
    <w:bookmarkStart w:id="1465" w:name="_Toc441666752"/>
    <w:bookmarkStart w:id="1466" w:name="_Toc441673813"/>
    <w:p w:rsidR="00335E4B" w:rsidRPr="00335E4B" w:rsidRDefault="00335E4B" w:rsidP="00E42C76">
      <w:pPr>
        <w:keepNext/>
        <w:tabs>
          <w:tab w:val="left" w:pos="707"/>
        </w:tabs>
        <w:spacing w:before="120" w:after="120" w:line="400" w:lineRule="exact"/>
        <w:jc w:val="both"/>
        <w:outlineLvl w:val="0"/>
        <w:rPr>
          <w:rFonts w:cs="Traditional Arabic"/>
          <w:b/>
          <w:bCs/>
          <w:sz w:val="20"/>
          <w:szCs w:val="30"/>
          <w:rtl/>
          <w:lang w:bidi="ar-EG"/>
        </w:rPr>
      </w:pPr>
      <w:r>
        <w:rPr>
          <w:rFonts w:cs="Traditional Arabic"/>
          <w:b/>
          <w:bCs/>
          <w:noProof/>
          <w:sz w:val="20"/>
          <w:szCs w:val="30"/>
          <w:lang w:val="en-GB" w:eastAsia="zh-CN"/>
        </w:rPr>
        <mc:AlternateContent>
          <mc:Choice Requires="wpc">
            <w:drawing>
              <wp:anchor distT="0" distB="0" distL="114300" distR="114300" simplePos="0" relativeHeight="251682816" behindDoc="1" locked="0" layoutInCell="1" allowOverlap="1" wp14:anchorId="59D677F0" wp14:editId="13C410E6">
                <wp:simplePos x="0" y="0"/>
                <wp:positionH relativeFrom="column">
                  <wp:posOffset>55880</wp:posOffset>
                </wp:positionH>
                <wp:positionV relativeFrom="paragraph">
                  <wp:posOffset>-271780</wp:posOffset>
                </wp:positionV>
                <wp:extent cx="5947410" cy="7543800"/>
                <wp:effectExtent l="22860" t="15240" r="11430" b="13335"/>
                <wp:wrapTight wrapText="bothSides">
                  <wp:wrapPolygon edited="0">
                    <wp:start x="-69" y="-55"/>
                    <wp:lineTo x="-69" y="21600"/>
                    <wp:lineTo x="21635" y="21600"/>
                    <wp:lineTo x="21635" y="-55"/>
                    <wp:lineTo x="-69" y="-55"/>
                  </wp:wrapPolygon>
                </wp:wrapTight>
                <wp:docPr id="427" name="Canvas 4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49" name="Straight Arrow Connector 28"/>
                        <wps:cNvCnPr>
                          <a:cxnSpLocks noChangeShapeType="1"/>
                        </wps:cNvCnPr>
                        <wps:spPr bwMode="auto">
                          <a:xfrm>
                            <a:off x="1819931" y="228600"/>
                            <a:ext cx="53" cy="3429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50" name="Straight Arrow Connector 29"/>
                        <wps:cNvCnPr>
                          <a:cxnSpLocks noChangeShapeType="1"/>
                        </wps:cNvCnPr>
                        <wps:spPr bwMode="auto">
                          <a:xfrm>
                            <a:off x="2085262" y="1116946"/>
                            <a:ext cx="0" cy="128335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51" name="Straight Arrow Connector 30"/>
                        <wps:cNvCnPr>
                          <a:cxnSpLocks noChangeShapeType="1"/>
                        </wps:cNvCnPr>
                        <wps:spPr bwMode="auto">
                          <a:xfrm flipH="1">
                            <a:off x="1943161" y="2945746"/>
                            <a:ext cx="9842" cy="153793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52" name="Straight Arrow Connector 31"/>
                        <wps:cNvCnPr>
                          <a:cxnSpLocks noChangeShapeType="1"/>
                        </wps:cNvCnPr>
                        <wps:spPr bwMode="auto">
                          <a:xfrm>
                            <a:off x="1811834" y="4988271"/>
                            <a:ext cx="8150" cy="49213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53" name="Text Box 32"/>
                        <wps:cNvSpPr txBox="1">
                          <a:spLocks noChangeArrowheads="1"/>
                        </wps:cNvSpPr>
                        <wps:spPr bwMode="auto">
                          <a:xfrm>
                            <a:off x="1083945" y="0"/>
                            <a:ext cx="18230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E82E1B" w:rsidRDefault="00670B4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مركزات النحاس، العوامل الصهورة</w:t>
                              </w:r>
                            </w:p>
                          </w:txbxContent>
                        </wps:txbx>
                        <wps:bodyPr rot="0" vert="horz" wrap="square" lIns="91440" tIns="45720" rIns="91440" bIns="45720" anchor="t" anchorCtr="0" upright="1">
                          <a:noAutofit/>
                        </wps:bodyPr>
                      </wps:wsp>
                      <wps:wsp>
                        <wps:cNvPr id="354" name="Text Box 33"/>
                        <wps:cNvSpPr txBox="1">
                          <a:spLocks noChangeArrowheads="1"/>
                        </wps:cNvSpPr>
                        <wps:spPr bwMode="auto">
                          <a:xfrm>
                            <a:off x="3326765" y="6576060"/>
                            <a:ext cx="128778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after="4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مهبط (كاثود) النحاس</w:t>
                              </w:r>
                            </w:p>
                          </w:txbxContent>
                        </wps:txbx>
                        <wps:bodyPr rot="0" vert="horz" wrap="square" lIns="91440" tIns="45720" rIns="91440" bIns="45720" anchor="t" anchorCtr="0" upright="1">
                          <a:noAutofit/>
                        </wps:bodyPr>
                      </wps:wsp>
                      <wps:wsp>
                        <wps:cNvPr id="355" name="Straight Arrow Connector 62"/>
                        <wps:cNvCnPr>
                          <a:cxnSpLocks noChangeShapeType="1"/>
                          <a:stCxn id="375" idx="2"/>
                        </wps:cNvCnPr>
                        <wps:spPr bwMode="auto">
                          <a:xfrm flipH="1">
                            <a:off x="4914763" y="2945313"/>
                            <a:ext cx="137" cy="826587"/>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56" name="Straight Arrow Connector 63"/>
                        <wps:cNvCnPr>
                          <a:cxnSpLocks noChangeShapeType="1"/>
                          <a:stCxn id="368" idx="2"/>
                        </wps:cNvCnPr>
                        <wps:spPr bwMode="auto">
                          <a:xfrm flipH="1">
                            <a:off x="4914486" y="4319491"/>
                            <a:ext cx="418" cy="501761"/>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57" name="Straight Arrow Connector 64"/>
                        <wps:cNvCnPr>
                          <a:cxnSpLocks noChangeShapeType="1"/>
                        </wps:cNvCnPr>
                        <wps:spPr bwMode="auto">
                          <a:xfrm>
                            <a:off x="5264174" y="5336437"/>
                            <a:ext cx="0" cy="607163"/>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58" name="Straight Connector 66"/>
                        <wps:cNvCnPr>
                          <a:cxnSpLocks noChangeShapeType="1"/>
                        </wps:cNvCnPr>
                        <wps:spPr bwMode="auto">
                          <a:xfrm flipH="1" flipV="1">
                            <a:off x="2496535" y="4766363"/>
                            <a:ext cx="711055" cy="585"/>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359" name="Straight Arrow Connector 39"/>
                        <wps:cNvCnPr>
                          <a:cxnSpLocks noChangeShapeType="1"/>
                        </wps:cNvCnPr>
                        <wps:spPr bwMode="auto">
                          <a:xfrm flipH="1">
                            <a:off x="2496603" y="2628900"/>
                            <a:ext cx="1714500"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360" name="Text Box 67"/>
                        <wps:cNvSpPr txBox="1">
                          <a:spLocks noChangeArrowheads="1"/>
                        </wps:cNvSpPr>
                        <wps:spPr bwMode="auto">
                          <a:xfrm>
                            <a:off x="2628855" y="2292489"/>
                            <a:ext cx="1485871" cy="287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E82E1B" w:rsidRDefault="00670B4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المواد الجسيمية</w:t>
                              </w:r>
                            </w:p>
                          </w:txbxContent>
                        </wps:txbx>
                        <wps:bodyPr rot="0" vert="horz" wrap="square" lIns="91440" tIns="45720" rIns="91440" bIns="45720" anchor="t" anchorCtr="0" upright="1">
                          <a:noAutofit/>
                        </wps:bodyPr>
                      </wps:wsp>
                      <wps:wsp>
                        <wps:cNvPr id="361" name="Straight Arrow Connector 61"/>
                        <wps:cNvCnPr>
                          <a:cxnSpLocks noChangeShapeType="1"/>
                        </wps:cNvCnPr>
                        <wps:spPr bwMode="auto">
                          <a:xfrm>
                            <a:off x="2449002" y="2743200"/>
                            <a:ext cx="1803417"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362" name="Text Box 68"/>
                        <wps:cNvSpPr txBox="1">
                          <a:spLocks noChangeArrowheads="1"/>
                        </wps:cNvSpPr>
                        <wps:spPr bwMode="auto">
                          <a:xfrm>
                            <a:off x="3329019" y="2743288"/>
                            <a:ext cx="881966" cy="342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32206D" w:rsidRDefault="00670B40" w:rsidP="00335E4B">
                              <w:pPr>
                                <w:spacing w:after="40" w:line="280" w:lineRule="exact"/>
                                <w:jc w:val="center"/>
                                <w:rPr>
                                  <w:rFonts w:ascii="Traditional Arabic" w:hAnsi="Traditional Arabic" w:cs="Traditional Arabic"/>
                                  <w:sz w:val="24"/>
                                  <w:szCs w:val="24"/>
                                  <w:rtl/>
                                  <w:lang w:val="en-CA" w:bidi="ar-SY"/>
                                </w:rPr>
                              </w:pPr>
                              <w:r w:rsidRPr="0032206D">
                                <w:rPr>
                                  <w:rFonts w:ascii="Traditional Arabic" w:hAnsi="Traditional Arabic" w:cs="Traditional Arabic"/>
                                  <w:sz w:val="24"/>
                                  <w:szCs w:val="24"/>
                                  <w:rtl/>
                                  <w:lang w:val="en-CA" w:bidi="ar-SY"/>
                                </w:rPr>
                                <w:t>الغاز المنبعث</w:t>
                              </w:r>
                            </w:p>
                            <w:p w:rsidR="00670B40" w:rsidRDefault="00670B40" w:rsidP="00335E4B">
                              <w:pPr>
                                <w:rPr>
                                  <w:rtl/>
                                  <w:lang w:val="en-CA" w:bidi="ar-SY"/>
                                </w:rPr>
                              </w:pPr>
                            </w:p>
                            <w:p w:rsidR="00670B40" w:rsidRPr="00FE29EB" w:rsidRDefault="00670B40" w:rsidP="00335E4B">
                              <w:pPr>
                                <w:rPr>
                                  <w:lang w:val="en-CA" w:bidi="ar-SY"/>
                                </w:rPr>
                              </w:pPr>
                            </w:p>
                          </w:txbxContent>
                        </wps:txbx>
                        <wps:bodyPr rot="0" vert="horz" wrap="square" lIns="91440" tIns="45720" rIns="91440" bIns="45720" anchor="t" anchorCtr="0" upright="1">
                          <a:noAutofit/>
                        </wps:bodyPr>
                      </wps:wsp>
                      <wps:wsp>
                        <wps:cNvPr id="363" name="Text Box 70"/>
                        <wps:cNvSpPr txBox="1">
                          <a:spLocks noChangeArrowheads="1"/>
                        </wps:cNvSpPr>
                        <wps:spPr bwMode="auto">
                          <a:xfrm>
                            <a:off x="1998345" y="3782695"/>
                            <a:ext cx="55245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E82E1B" w:rsidRDefault="00670B40" w:rsidP="00E82E1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النحاس المتلبد</w:t>
                              </w:r>
                            </w:p>
                          </w:txbxContent>
                        </wps:txbx>
                        <wps:bodyPr rot="0" vert="horz" wrap="square" lIns="91440" tIns="45720" rIns="91440" bIns="45720" anchor="t" anchorCtr="0" upright="1">
                          <a:noAutofit/>
                        </wps:bodyPr>
                      </wps:wsp>
                      <wps:wsp>
                        <wps:cNvPr id="364" name="Text Box 71"/>
                        <wps:cNvSpPr txBox="1">
                          <a:spLocks noChangeArrowheads="1"/>
                        </wps:cNvSpPr>
                        <wps:spPr bwMode="auto">
                          <a:xfrm>
                            <a:off x="4735195" y="5909310"/>
                            <a:ext cx="9150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after="4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حمض الكبريتيك</w:t>
                              </w:r>
                            </w:p>
                          </w:txbxContent>
                        </wps:txbx>
                        <wps:bodyPr rot="0" vert="horz" wrap="square" lIns="91440" tIns="45720" rIns="91440" bIns="45720" anchor="t" anchorCtr="0" upright="1">
                          <a:noAutofit/>
                        </wps:bodyPr>
                      </wps:wsp>
                      <wps:wsp>
                        <wps:cNvPr id="365" name="Straight Connector 75"/>
                        <wps:cNvCnPr>
                          <a:cxnSpLocks noChangeShapeType="1"/>
                        </wps:cNvCnPr>
                        <wps:spPr bwMode="auto">
                          <a:xfrm flipH="1">
                            <a:off x="3795328" y="4000500"/>
                            <a:ext cx="457091"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366" name="Straight Arrow Connector 76"/>
                        <wps:cNvCnPr>
                          <a:cxnSpLocks noChangeShapeType="1"/>
                        </wps:cNvCnPr>
                        <wps:spPr bwMode="auto">
                          <a:xfrm flipH="1">
                            <a:off x="3778168" y="4000500"/>
                            <a:ext cx="6972" cy="5715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67" name="Text Box 77"/>
                        <wps:cNvSpPr txBox="1">
                          <a:spLocks noChangeArrowheads="1"/>
                        </wps:cNvSpPr>
                        <wps:spPr bwMode="auto">
                          <a:xfrm>
                            <a:off x="3327056" y="4572000"/>
                            <a:ext cx="867892" cy="43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E82E1B" w:rsidRDefault="00670B4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نفايات الزئبق</w:t>
                              </w:r>
                            </w:p>
                          </w:txbxContent>
                        </wps:txbx>
                        <wps:bodyPr rot="0" vert="horz" wrap="square" lIns="91440" tIns="45720" rIns="91440" bIns="45720" anchor="t" anchorCtr="0" upright="1">
                          <a:noAutofit/>
                        </wps:bodyPr>
                      </wps:wsp>
                      <wps:wsp>
                        <wps:cNvPr id="368" name="Rounded Rectangle 54"/>
                        <wps:cNvSpPr>
                          <a:spLocks noChangeArrowheads="1"/>
                        </wps:cNvSpPr>
                        <wps:spPr bwMode="auto">
                          <a:xfrm>
                            <a:off x="4229104" y="3774478"/>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E82E1B" w:rsidRDefault="00670B40" w:rsidP="00335E4B">
                              <w:pPr>
                                <w:spacing w:before="120"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إزالة الزئبق</w:t>
                              </w:r>
                            </w:p>
                          </w:txbxContent>
                        </wps:txbx>
                        <wps:bodyPr rot="0" vert="horz" wrap="square" lIns="91440" tIns="45720" rIns="91440" bIns="45720" anchor="ctr" anchorCtr="0" upright="1">
                          <a:noAutofit/>
                        </wps:bodyPr>
                      </wps:wsp>
                      <wps:wsp>
                        <wps:cNvPr id="369" name="Rounded Rectangle 41"/>
                        <wps:cNvSpPr>
                          <a:spLocks noChangeArrowheads="1"/>
                        </wps:cNvSpPr>
                        <wps:spPr bwMode="auto">
                          <a:xfrm>
                            <a:off x="1137073" y="5480403"/>
                            <a:ext cx="1344306"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123425" w:rsidRDefault="00670B40" w:rsidP="00335E4B">
                              <w:pPr>
                                <w:spacing w:before="120" w:after="4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التنقية بالنار</w:t>
                              </w:r>
                            </w:p>
                          </w:txbxContent>
                        </wps:txbx>
                        <wps:bodyPr rot="0" vert="horz" wrap="square" lIns="91440" tIns="45720" rIns="91440" bIns="45720" anchor="ctr" anchorCtr="0" upright="1">
                          <a:noAutofit/>
                        </wps:bodyPr>
                      </wps:wsp>
                      <wps:wsp>
                        <wps:cNvPr id="370" name="Straight Arrow Connector 42"/>
                        <wps:cNvCnPr>
                          <a:cxnSpLocks noChangeShapeType="1"/>
                        </wps:cNvCnPr>
                        <wps:spPr bwMode="auto">
                          <a:xfrm>
                            <a:off x="2502579" y="6739478"/>
                            <a:ext cx="792978" cy="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71" name="Straight Connector 43"/>
                        <wps:cNvCnPr>
                          <a:cxnSpLocks noChangeShapeType="1"/>
                        </wps:cNvCnPr>
                        <wps:spPr bwMode="auto">
                          <a:xfrm flipH="1">
                            <a:off x="691441" y="2858648"/>
                            <a:ext cx="460691"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372" name="Straight Connector 44"/>
                        <wps:cNvCnPr>
                          <a:cxnSpLocks noChangeShapeType="1"/>
                        </wps:cNvCnPr>
                        <wps:spPr bwMode="auto">
                          <a:xfrm flipH="1" flipV="1">
                            <a:off x="565676" y="4114800"/>
                            <a:ext cx="4382" cy="664779"/>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373" name="Straight Arrow Connector 45"/>
                        <wps:cNvCnPr>
                          <a:cxnSpLocks noChangeShapeType="1"/>
                        </wps:cNvCnPr>
                        <wps:spPr bwMode="auto">
                          <a:xfrm>
                            <a:off x="575718" y="4800600"/>
                            <a:ext cx="576547" cy="0"/>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74" name="Rounded Rectangle 16"/>
                        <wps:cNvSpPr>
                          <a:spLocks noChangeArrowheads="1"/>
                        </wps:cNvSpPr>
                        <wps:spPr bwMode="auto">
                          <a:xfrm>
                            <a:off x="914401" y="571500"/>
                            <a:ext cx="1365470"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E82E1B" w:rsidRDefault="00670B40" w:rsidP="00335E4B">
                              <w:pPr>
                                <w:spacing w:before="120"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تجفيف الخام المركز</w:t>
                              </w:r>
                            </w:p>
                          </w:txbxContent>
                        </wps:txbx>
                        <wps:bodyPr rot="0" vert="horz" wrap="square" lIns="91440" tIns="45720" rIns="91440" bIns="45720" anchor="ctr" anchorCtr="0" upright="1">
                          <a:noAutofit/>
                        </wps:bodyPr>
                      </wps:wsp>
                      <wps:wsp>
                        <wps:cNvPr id="375" name="Rounded Rectangle 53"/>
                        <wps:cNvSpPr>
                          <a:spLocks noChangeArrowheads="1"/>
                        </wps:cNvSpPr>
                        <wps:spPr bwMode="auto">
                          <a:xfrm>
                            <a:off x="4229100" y="2400300"/>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E82E1B" w:rsidRDefault="00670B40" w:rsidP="00335E4B">
                              <w:pPr>
                                <w:spacing w:before="120"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تنظيف الغاز</w:t>
                              </w:r>
                            </w:p>
                          </w:txbxContent>
                        </wps:txbx>
                        <wps:bodyPr rot="0" vert="horz" wrap="square" lIns="91440" tIns="45720" rIns="91440" bIns="45720" anchor="ctr" anchorCtr="0" upright="1">
                          <a:noAutofit/>
                        </wps:bodyPr>
                      </wps:wsp>
                      <wps:wsp>
                        <wps:cNvPr id="376" name="Straight Connector 48"/>
                        <wps:cNvCnPr>
                          <a:cxnSpLocks noChangeShapeType="1"/>
                        </wps:cNvCnPr>
                        <wps:spPr bwMode="auto">
                          <a:xfrm flipH="1">
                            <a:off x="813645" y="4572000"/>
                            <a:ext cx="323428"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377" name="Straight Arrow Connector 49"/>
                        <wps:cNvCnPr>
                          <a:cxnSpLocks noChangeShapeType="1"/>
                        </wps:cNvCnPr>
                        <wps:spPr bwMode="auto">
                          <a:xfrm flipH="1">
                            <a:off x="685816" y="2858648"/>
                            <a:ext cx="5644" cy="45903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78" name="Rounded Rectangle 18"/>
                        <wps:cNvSpPr>
                          <a:spLocks noChangeArrowheads="1"/>
                        </wps:cNvSpPr>
                        <wps:spPr bwMode="auto">
                          <a:xfrm>
                            <a:off x="1144620" y="4475304"/>
                            <a:ext cx="1344306"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E82E1B" w:rsidRDefault="00670B40" w:rsidP="00335E4B">
                              <w:pPr>
                                <w:spacing w:before="120"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التحويل</w:t>
                              </w:r>
                            </w:p>
                          </w:txbxContent>
                        </wps:txbx>
                        <wps:bodyPr rot="0" vert="horz" wrap="square" lIns="91440" tIns="45720" rIns="91440" bIns="45720" anchor="ctr" anchorCtr="0" upright="1">
                          <a:noAutofit/>
                        </wps:bodyPr>
                      </wps:wsp>
                      <wps:wsp>
                        <wps:cNvPr id="379" name="Straight Arrow Connector 52"/>
                        <wps:cNvCnPr>
                          <a:cxnSpLocks noChangeShapeType="1"/>
                        </wps:cNvCnPr>
                        <wps:spPr bwMode="auto">
                          <a:xfrm flipH="1" flipV="1">
                            <a:off x="800100" y="4114800"/>
                            <a:ext cx="2843" cy="457200"/>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80" name="Straight Arrow Connector 56"/>
                        <wps:cNvCnPr>
                          <a:cxnSpLocks noChangeShapeType="1"/>
                        </wps:cNvCnPr>
                        <wps:spPr bwMode="auto">
                          <a:xfrm>
                            <a:off x="342890" y="4114800"/>
                            <a:ext cx="0" cy="14859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81" name="Text Box 57"/>
                        <wps:cNvSpPr txBox="1">
                          <a:spLocks noChangeArrowheads="1"/>
                        </wps:cNvSpPr>
                        <wps:spPr bwMode="auto">
                          <a:xfrm>
                            <a:off x="347345" y="4821555"/>
                            <a:ext cx="80518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E82E1B" w:rsidRDefault="00670B40" w:rsidP="00335E4B">
                              <w:pPr>
                                <w:spacing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الخليط المتلبد، سبائك خليط النحاس</w:t>
                              </w:r>
                            </w:p>
                          </w:txbxContent>
                        </wps:txbx>
                        <wps:bodyPr rot="0" vert="horz" wrap="square" lIns="91440" tIns="45720" rIns="91440" bIns="45720" anchor="t" anchorCtr="0" upright="1">
                          <a:noAutofit/>
                        </wps:bodyPr>
                      </wps:wsp>
                      <wps:wsp>
                        <wps:cNvPr id="382" name="Text Box 58"/>
                        <wps:cNvSpPr txBox="1">
                          <a:spLocks noChangeArrowheads="1"/>
                        </wps:cNvSpPr>
                        <wps:spPr bwMode="auto">
                          <a:xfrm>
                            <a:off x="849630" y="4234180"/>
                            <a:ext cx="559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E82E1B" w:rsidRDefault="00670B4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الخبث</w:t>
                              </w:r>
                            </w:p>
                          </w:txbxContent>
                        </wps:txbx>
                        <wps:bodyPr rot="0" vert="horz" wrap="square" lIns="91440" tIns="45720" rIns="91440" bIns="45720" anchor="t" anchorCtr="0" upright="1">
                          <a:noAutofit/>
                        </wps:bodyPr>
                      </wps:wsp>
                      <wps:wsp>
                        <wps:cNvPr id="383" name="Text Box 59"/>
                        <wps:cNvSpPr txBox="1">
                          <a:spLocks noChangeArrowheads="1"/>
                        </wps:cNvSpPr>
                        <wps:spPr bwMode="auto">
                          <a:xfrm>
                            <a:off x="694446" y="2950773"/>
                            <a:ext cx="609095" cy="309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E82E1B" w:rsidRDefault="00670B40" w:rsidP="00335E4B">
                              <w:pPr>
                                <w:rPr>
                                  <w:rFonts w:ascii="Traditional Arabic" w:hAnsi="Traditional Arabic" w:cs="Traditional Arabic"/>
                                  <w:sz w:val="26"/>
                                  <w:szCs w:val="26"/>
                                  <w:lang w:val="en-CA"/>
                                </w:rPr>
                              </w:pPr>
                              <w:r w:rsidRPr="00E82E1B">
                                <w:rPr>
                                  <w:rFonts w:ascii="Traditional Arabic" w:hAnsi="Traditional Arabic" w:cs="Traditional Arabic"/>
                                  <w:sz w:val="26"/>
                                  <w:szCs w:val="26"/>
                                  <w:rtl/>
                                  <w:lang w:val="en-CA"/>
                                </w:rPr>
                                <w:t>الخبث</w:t>
                              </w:r>
                            </w:p>
                          </w:txbxContent>
                        </wps:txbx>
                        <wps:bodyPr rot="0" vert="horz" wrap="square" lIns="91440" tIns="45720" rIns="91440" bIns="45720" anchor="t" anchorCtr="0" upright="1">
                          <a:noAutofit/>
                        </wps:bodyPr>
                      </wps:wsp>
                      <wps:wsp>
                        <wps:cNvPr id="384" name="Text Box 60"/>
                        <wps:cNvSpPr txBox="1">
                          <a:spLocks noChangeArrowheads="1"/>
                        </wps:cNvSpPr>
                        <wps:spPr bwMode="auto">
                          <a:xfrm>
                            <a:off x="34290" y="5600700"/>
                            <a:ext cx="8153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after="40" w:line="280" w:lineRule="exact"/>
                                <w:jc w:val="righ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الخبث النهائي</w:t>
                              </w:r>
                            </w:p>
                          </w:txbxContent>
                        </wps:txbx>
                        <wps:bodyPr rot="0" vert="horz" wrap="square" lIns="91440" tIns="45720" rIns="91440" bIns="45720" anchor="t" anchorCtr="0" upright="1">
                          <a:noAutofit/>
                        </wps:bodyPr>
                      </wps:wsp>
                      <wps:wsp>
                        <wps:cNvPr id="385" name="Straight Arrow Connector 46"/>
                        <wps:cNvCnPr>
                          <a:cxnSpLocks noChangeShapeType="1"/>
                        </wps:cNvCnPr>
                        <wps:spPr bwMode="auto">
                          <a:xfrm flipH="1">
                            <a:off x="4578342" y="5336437"/>
                            <a:ext cx="20" cy="950063"/>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86" name="Text Box 47"/>
                        <wps:cNvSpPr txBox="1">
                          <a:spLocks noChangeArrowheads="1"/>
                        </wps:cNvSpPr>
                        <wps:spPr bwMode="auto">
                          <a:xfrm>
                            <a:off x="3962400" y="6245860"/>
                            <a:ext cx="120967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after="4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الإنبعاثات إلى المدخنة</w:t>
                              </w:r>
                            </w:p>
                          </w:txbxContent>
                        </wps:txbx>
                        <wps:bodyPr rot="0" vert="horz" wrap="square" lIns="91440" tIns="45720" rIns="91440" bIns="45720" anchor="t" anchorCtr="0" upright="1">
                          <a:noAutofit/>
                        </wps:bodyPr>
                      </wps:wsp>
                      <wps:wsp>
                        <wps:cNvPr id="387" name="Rounded Rectangle 50"/>
                        <wps:cNvSpPr>
                          <a:spLocks noChangeArrowheads="1"/>
                        </wps:cNvSpPr>
                        <wps:spPr bwMode="auto">
                          <a:xfrm>
                            <a:off x="1152298" y="6524010"/>
                            <a:ext cx="1344306"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123425" w:rsidRDefault="00670B40" w:rsidP="00335E4B">
                              <w:pPr>
                                <w:spacing w:before="120" w:after="4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التنقية الكهربائية</w:t>
                              </w:r>
                            </w:p>
                          </w:txbxContent>
                        </wps:txbx>
                        <wps:bodyPr rot="0" vert="horz" wrap="square" lIns="91440" tIns="45720" rIns="91440" bIns="45720" anchor="ctr" anchorCtr="0" upright="1">
                          <a:noAutofit/>
                        </wps:bodyPr>
                      </wps:wsp>
                      <wps:wsp>
                        <wps:cNvPr id="388" name="Straight Arrow Connector 65"/>
                        <wps:cNvCnPr>
                          <a:cxnSpLocks noChangeShapeType="1"/>
                        </wps:cNvCnPr>
                        <wps:spPr bwMode="auto">
                          <a:xfrm>
                            <a:off x="1811834" y="6035194"/>
                            <a:ext cx="8150" cy="49213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89" name="Text Box 69"/>
                        <wps:cNvSpPr txBox="1">
                          <a:spLocks noChangeArrowheads="1"/>
                        </wps:cNvSpPr>
                        <wps:spPr bwMode="auto">
                          <a:xfrm>
                            <a:off x="1889760" y="6076315"/>
                            <a:ext cx="78105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after="4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نحاس الأنود</w:t>
                              </w:r>
                            </w:p>
                          </w:txbxContent>
                        </wps:txbx>
                        <wps:bodyPr rot="0" vert="horz" wrap="square" lIns="91440" tIns="45720" rIns="91440" bIns="45720" anchor="t" anchorCtr="0" upright="1">
                          <a:noAutofit/>
                        </wps:bodyPr>
                      </wps:wsp>
                      <wps:wsp>
                        <wps:cNvPr id="390" name="Straight Arrow Connector 72"/>
                        <wps:cNvCnPr>
                          <a:cxnSpLocks noChangeShapeType="1"/>
                        </wps:cNvCnPr>
                        <wps:spPr bwMode="auto">
                          <a:xfrm flipV="1">
                            <a:off x="1485938" y="2945746"/>
                            <a:ext cx="0" cy="153793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91" name="Text Box 73"/>
                        <wps:cNvSpPr txBox="1">
                          <a:spLocks noChangeArrowheads="1"/>
                        </wps:cNvSpPr>
                        <wps:spPr bwMode="auto">
                          <a:xfrm>
                            <a:off x="1516835" y="3543300"/>
                            <a:ext cx="609095" cy="309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E82E1B" w:rsidRDefault="00670B4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الخبث</w:t>
                              </w:r>
                            </w:p>
                          </w:txbxContent>
                        </wps:txbx>
                        <wps:bodyPr rot="0" vert="horz" wrap="square" lIns="91440" tIns="45720" rIns="91440" bIns="45720" anchor="t" anchorCtr="0" upright="1">
                          <a:noAutofit/>
                        </wps:bodyPr>
                      </wps:wsp>
                      <wps:wsp>
                        <wps:cNvPr id="392" name="Straight Connector 79"/>
                        <wps:cNvCnPr>
                          <a:cxnSpLocks noChangeShapeType="1"/>
                        </wps:cNvCnPr>
                        <wps:spPr bwMode="auto">
                          <a:xfrm flipH="1" flipV="1">
                            <a:off x="338504" y="2652899"/>
                            <a:ext cx="4382" cy="664779"/>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393" name="Straight Arrow Connector 80"/>
                        <wps:cNvCnPr>
                          <a:cxnSpLocks noChangeShapeType="1"/>
                        </wps:cNvCnPr>
                        <wps:spPr bwMode="auto">
                          <a:xfrm>
                            <a:off x="342886" y="2652899"/>
                            <a:ext cx="794155" cy="0"/>
                          </a:xfrm>
                          <a:prstGeom prst="straightConnector1">
                            <a:avLst/>
                          </a:prstGeom>
                          <a:noFill/>
                          <a:ln w="381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94" name="Text Box 81"/>
                        <wps:cNvSpPr txBox="1">
                          <a:spLocks noChangeArrowheads="1"/>
                        </wps:cNvSpPr>
                        <wps:spPr bwMode="auto">
                          <a:xfrm>
                            <a:off x="0" y="2201876"/>
                            <a:ext cx="1136914" cy="507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E82E1B" w:rsidRDefault="00670B4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مركَّز النحاس</w:t>
                              </w:r>
                            </w:p>
                          </w:txbxContent>
                        </wps:txbx>
                        <wps:bodyPr rot="0" vert="horz" wrap="square" lIns="91440" tIns="45720" rIns="91440" bIns="45720" anchor="t" anchorCtr="0" upright="1">
                          <a:noAutofit/>
                        </wps:bodyPr>
                      </wps:wsp>
                      <wps:wsp>
                        <wps:cNvPr id="395" name="Straight Arrow Connector 74"/>
                        <wps:cNvCnPr>
                          <a:cxnSpLocks noChangeShapeType="1"/>
                        </wps:cNvCnPr>
                        <wps:spPr bwMode="auto">
                          <a:xfrm flipV="1">
                            <a:off x="3214405" y="2743201"/>
                            <a:ext cx="0" cy="202316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96" name="Straight Connector 82"/>
                        <wps:cNvCnPr>
                          <a:cxnSpLocks noChangeShapeType="1"/>
                        </wps:cNvCnPr>
                        <wps:spPr bwMode="auto">
                          <a:xfrm flipH="1">
                            <a:off x="2502509" y="2858648"/>
                            <a:ext cx="356557"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397" name="Rounded Rectangle 17"/>
                        <wps:cNvSpPr>
                          <a:spLocks noChangeArrowheads="1"/>
                        </wps:cNvSpPr>
                        <wps:spPr bwMode="auto">
                          <a:xfrm>
                            <a:off x="1137103" y="2400300"/>
                            <a:ext cx="1365463"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E82E1B" w:rsidRDefault="00670B40" w:rsidP="00335E4B">
                              <w:pPr>
                                <w:spacing w:before="120"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الصهر</w:t>
                              </w:r>
                            </w:p>
                          </w:txbxContent>
                        </wps:txbx>
                        <wps:bodyPr rot="0" vert="horz" wrap="square" lIns="91440" tIns="45720" rIns="91440" bIns="45720" anchor="ctr" anchorCtr="0" upright="1">
                          <a:noAutofit/>
                        </wps:bodyPr>
                      </wps:wsp>
                      <wps:wsp>
                        <wps:cNvPr id="398" name="Rounded Rectangle 51"/>
                        <wps:cNvSpPr>
                          <a:spLocks noChangeArrowheads="1"/>
                        </wps:cNvSpPr>
                        <wps:spPr bwMode="auto">
                          <a:xfrm>
                            <a:off x="114298" y="3317678"/>
                            <a:ext cx="1257257" cy="797122"/>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E82E1B" w:rsidRDefault="00670B40" w:rsidP="00E82E1B">
                              <w:pPr>
                                <w:spacing w:before="120"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تبريد الخبث والتعويم أو فرن تنظيف الخبث</w:t>
                              </w:r>
                            </w:p>
                          </w:txbxContent>
                        </wps:txbx>
                        <wps:bodyPr rot="0" vert="horz" wrap="square" lIns="91440" tIns="45720" rIns="91440" bIns="45720" anchor="ctr" anchorCtr="0" upright="1">
                          <a:noAutofit/>
                        </wps:bodyPr>
                      </wps:wsp>
                      <wps:wsp>
                        <wps:cNvPr id="399" name="Straight Arrow Connector 84"/>
                        <wps:cNvCnPr>
                          <a:cxnSpLocks noChangeShapeType="1"/>
                        </wps:cNvCnPr>
                        <wps:spPr bwMode="auto">
                          <a:xfrm flipH="1">
                            <a:off x="2466770" y="5717089"/>
                            <a:ext cx="404218" cy="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00" name="Text Box 85"/>
                        <wps:cNvSpPr txBox="1">
                          <a:spLocks noChangeArrowheads="1"/>
                        </wps:cNvSpPr>
                        <wps:spPr bwMode="auto">
                          <a:xfrm>
                            <a:off x="2857551" y="5149424"/>
                            <a:ext cx="1059156" cy="45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E82E1B" w:rsidRDefault="00670B40" w:rsidP="00E82E1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النحاس المنفط</w:t>
                              </w:r>
                            </w:p>
                          </w:txbxContent>
                        </wps:txbx>
                        <wps:bodyPr rot="0" vert="horz" wrap="square" lIns="91440" tIns="45720" rIns="91440" bIns="45720" anchor="t" anchorCtr="0" upright="1">
                          <a:noAutofit/>
                        </wps:bodyPr>
                      </wps:wsp>
                      <wps:wsp>
                        <wps:cNvPr id="401" name="Text Box 86"/>
                        <wps:cNvSpPr txBox="1">
                          <a:spLocks noChangeArrowheads="1"/>
                        </wps:cNvSpPr>
                        <wps:spPr bwMode="auto">
                          <a:xfrm>
                            <a:off x="1841500" y="5100955"/>
                            <a:ext cx="88582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E82E1B" w:rsidRDefault="00670B40" w:rsidP="00E82E1B">
                              <w:pPr>
                                <w:spacing w:line="280" w:lineRule="exact"/>
                                <w:rPr>
                                  <w:rFonts w:ascii="Traditional Arabic" w:hAnsi="Traditional Arabic" w:cs="Traditional Arabic"/>
                                  <w:sz w:val="26"/>
                                  <w:szCs w:val="26"/>
                                  <w:lang w:val="en-CA"/>
                                </w:rPr>
                              </w:pPr>
                              <w:r w:rsidRPr="00E82E1B">
                                <w:rPr>
                                  <w:rFonts w:ascii="Traditional Arabic" w:hAnsi="Traditional Arabic" w:cs="Traditional Arabic"/>
                                  <w:sz w:val="26"/>
                                  <w:szCs w:val="26"/>
                                  <w:rtl/>
                                  <w:lang w:val="en-CA"/>
                                </w:rPr>
                                <w:t>النحاس المنفط</w:t>
                              </w:r>
                            </w:p>
                          </w:txbxContent>
                        </wps:txbx>
                        <wps:bodyPr rot="0" vert="horz" wrap="square" lIns="91440" tIns="45720" rIns="91440" bIns="45720" anchor="t" anchorCtr="0" upright="1">
                          <a:noAutofit/>
                        </wps:bodyPr>
                      </wps:wsp>
                      <wps:wsp>
                        <wps:cNvPr id="402" name="Straight Connector 87"/>
                        <wps:cNvCnPr>
                          <a:cxnSpLocks noChangeShapeType="1"/>
                          <a:stCxn id="405" idx="0"/>
                        </wps:cNvCnPr>
                        <wps:spPr bwMode="auto">
                          <a:xfrm flipH="1" flipV="1">
                            <a:off x="2875915" y="2860040"/>
                            <a:ext cx="1" cy="1815465"/>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g:wgp>
                        <wpg:cNvPr id="403" name="Group 88"/>
                        <wpg:cNvGrpSpPr>
                          <a:grpSpLocks/>
                        </wpg:cNvGrpSpPr>
                        <wpg:grpSpPr bwMode="auto">
                          <a:xfrm rot="4974984">
                            <a:off x="2725134" y="4670924"/>
                            <a:ext cx="233045" cy="228600"/>
                            <a:chOff x="0" y="0"/>
                            <a:chExt cx="233342" cy="228673"/>
                          </a:xfrm>
                        </wpg:grpSpPr>
                        <wps:wsp>
                          <wps:cNvPr id="404" name="Arc 89"/>
                          <wps:cNvSpPr>
                            <a:spLocks/>
                          </wps:cNvSpPr>
                          <wps:spPr bwMode="auto">
                            <a:xfrm>
                              <a:off x="0"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670B40" w:rsidRDefault="00670B40" w:rsidP="00335E4B"/>
                            </w:txbxContent>
                          </wps:txbx>
                          <wps:bodyPr rot="0" vert="horz" wrap="square" lIns="91440" tIns="45720" rIns="91440" bIns="45720" anchor="ctr" anchorCtr="0" upright="1">
                            <a:noAutofit/>
                          </wps:bodyPr>
                        </wps:wsp>
                        <wps:wsp>
                          <wps:cNvPr id="405" name="Arc 90"/>
                          <wps:cNvSpPr>
                            <a:spLocks/>
                          </wps:cNvSpPr>
                          <wps:spPr bwMode="auto">
                            <a:xfrm rot="-4509104">
                              <a:off x="4705"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670B40" w:rsidRDefault="00670B40" w:rsidP="00335E4B"/>
                            </w:txbxContent>
                          </wps:txbx>
                          <wps:bodyPr rot="0" vert="horz" wrap="square" lIns="91440" tIns="45720" rIns="91440" bIns="45720" anchor="ctr" anchorCtr="0" upright="1">
                            <a:noAutofit/>
                          </wps:bodyPr>
                        </wps:wsp>
                      </wpg:wgp>
                      <wps:wsp>
                        <wps:cNvPr id="406" name="Straight Connector 91"/>
                        <wps:cNvCnPr>
                          <a:cxnSpLocks noChangeShapeType="1"/>
                        </wps:cNvCnPr>
                        <wps:spPr bwMode="auto">
                          <a:xfrm flipH="1" flipV="1">
                            <a:off x="2858986" y="4895883"/>
                            <a:ext cx="11682" cy="821209"/>
                          </a:xfrm>
                          <a:prstGeom prst="line">
                            <a:avLst/>
                          </a:prstGeom>
                          <a:noFill/>
                          <a:ln w="38100" cap="rnd" algn="ctr">
                            <a:solidFill>
                              <a:srgbClr val="4A7EBB"/>
                            </a:solidFill>
                            <a:bevel/>
                            <a:headEnd/>
                            <a:tailEnd/>
                          </a:ln>
                          <a:extLst>
                            <a:ext uri="{909E8E84-426E-40DD-AFC4-6F175D3DCCD1}">
                              <a14:hiddenFill xmlns:a14="http://schemas.microsoft.com/office/drawing/2010/main">
                                <a:noFill/>
                              </a14:hiddenFill>
                            </a:ext>
                          </a:extLst>
                        </wps:spPr>
                        <wps:bodyPr/>
                      </wps:wsp>
                      <wps:wsp>
                        <wps:cNvPr id="407" name="Text Box 92"/>
                        <wps:cNvSpPr txBox="1">
                          <a:spLocks noChangeArrowheads="1"/>
                        </wps:cNvSpPr>
                        <wps:spPr bwMode="auto">
                          <a:xfrm>
                            <a:off x="3150235" y="3714115"/>
                            <a:ext cx="60896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E82E1B" w:rsidRDefault="00670B4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الغاز المنبعث</w:t>
                              </w:r>
                            </w:p>
                          </w:txbxContent>
                        </wps:txbx>
                        <wps:bodyPr rot="0" vert="horz" wrap="square" lIns="91440" tIns="45720" rIns="91440" bIns="45720" anchor="t" anchorCtr="0" upright="1">
                          <a:noAutofit/>
                        </wps:bodyPr>
                      </wps:wsp>
                      <wps:wsp>
                        <wps:cNvPr id="408" name="Straight Arrow Connector 94"/>
                        <wps:cNvCnPr>
                          <a:cxnSpLocks noChangeShapeType="1"/>
                        </wps:cNvCnPr>
                        <wps:spPr bwMode="auto">
                          <a:xfrm>
                            <a:off x="1491357" y="1116946"/>
                            <a:ext cx="0" cy="37078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09" name="Straight Arrow Connector 95"/>
                        <wps:cNvCnPr>
                          <a:cxnSpLocks noChangeShapeType="1"/>
                        </wps:cNvCnPr>
                        <wps:spPr bwMode="auto">
                          <a:xfrm>
                            <a:off x="1491357" y="2029516"/>
                            <a:ext cx="0" cy="37078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10" name="Straight Connector 96"/>
                        <wps:cNvCnPr>
                          <a:cxnSpLocks noChangeShapeType="1"/>
                        </wps:cNvCnPr>
                        <wps:spPr bwMode="auto">
                          <a:xfrm flipH="1" flipV="1">
                            <a:off x="1811783" y="1257300"/>
                            <a:ext cx="8101" cy="1035190"/>
                          </a:xfrm>
                          <a:prstGeom prst="line">
                            <a:avLst/>
                          </a:prstGeom>
                          <a:noFill/>
                          <a:ln w="25400" cap="rnd" algn="ctr">
                            <a:solidFill>
                              <a:srgbClr val="000000"/>
                            </a:solidFill>
                            <a:prstDash val="dash"/>
                            <a:bevel/>
                            <a:headEnd/>
                            <a:tailEnd/>
                          </a:ln>
                          <a:extLst>
                            <a:ext uri="{909E8E84-426E-40DD-AFC4-6F175D3DCCD1}">
                              <a14:hiddenFill xmlns:a14="http://schemas.microsoft.com/office/drawing/2010/main">
                                <a:noFill/>
                              </a14:hiddenFill>
                            </a:ext>
                          </a:extLst>
                        </wps:spPr>
                        <wps:bodyPr/>
                      </wps:wsp>
                      <wps:wsp>
                        <wps:cNvPr id="411" name="Rounded Rectangle 93"/>
                        <wps:cNvSpPr>
                          <a:spLocks noChangeArrowheads="1"/>
                        </wps:cNvSpPr>
                        <wps:spPr bwMode="auto">
                          <a:xfrm>
                            <a:off x="342912" y="1485900"/>
                            <a:ext cx="1365368" cy="545446"/>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E82E1B" w:rsidRDefault="00670B40" w:rsidP="00335E4B">
                              <w:pPr>
                                <w:spacing w:before="120"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التحميص</w:t>
                              </w:r>
                            </w:p>
                          </w:txbxContent>
                        </wps:txbx>
                        <wps:bodyPr rot="0" vert="horz" wrap="square" lIns="91440" tIns="45720" rIns="91440" bIns="45720" anchor="ctr" anchorCtr="0" upright="1">
                          <a:noAutofit/>
                        </wps:bodyPr>
                      </wps:wsp>
                      <wps:wsp>
                        <wps:cNvPr id="412" name="Straight Arrow Connector 78"/>
                        <wps:cNvCnPr>
                          <a:cxnSpLocks noChangeShapeType="1"/>
                        </wps:cNvCnPr>
                        <wps:spPr bwMode="auto">
                          <a:xfrm>
                            <a:off x="2385118" y="228600"/>
                            <a:ext cx="0" cy="21717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13" name="Rounded Rectangle 55"/>
                        <wps:cNvSpPr>
                          <a:spLocks noChangeArrowheads="1"/>
                        </wps:cNvSpPr>
                        <wps:spPr bwMode="auto">
                          <a:xfrm>
                            <a:off x="4229103" y="4801430"/>
                            <a:ext cx="1371600" cy="5450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E82E1B" w:rsidRDefault="00670B4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منشأة تصنيع حمض الكبريتيك</w:t>
                              </w:r>
                            </w:p>
                          </w:txbxContent>
                        </wps:txbx>
                        <wps:bodyPr rot="0" vert="horz" wrap="square" lIns="91440" tIns="45720" rIns="91440" bIns="45720" anchor="ctr" anchorCtr="0" upright="1">
                          <a:noAutofit/>
                        </wps:bodyPr>
                      </wps:wsp>
                      <wps:wsp>
                        <wps:cNvPr id="414" name="Straight Arrow Connector 83"/>
                        <wps:cNvCnPr>
                          <a:cxnSpLocks noChangeShapeType="1"/>
                        </wps:cNvCnPr>
                        <wps:spPr bwMode="auto">
                          <a:xfrm flipH="1">
                            <a:off x="4457713" y="2954316"/>
                            <a:ext cx="418" cy="305706"/>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15" name="Text Box 97"/>
                        <wps:cNvSpPr txBox="1">
                          <a:spLocks noChangeArrowheads="1"/>
                        </wps:cNvSpPr>
                        <wps:spPr bwMode="auto">
                          <a:xfrm>
                            <a:off x="3329305" y="3260090"/>
                            <a:ext cx="1471930"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9059D8" w:rsidRDefault="00670B40" w:rsidP="00335E4B">
                              <w:pPr>
                                <w:spacing w:line="280" w:lineRule="exact"/>
                                <w:jc w:val="center"/>
                                <w:rPr>
                                  <w:sz w:val="28"/>
                                  <w:rtl/>
                                  <w:lang w:val="en-CA" w:bidi="ar-SY"/>
                                </w:rPr>
                              </w:pPr>
                              <w:r w:rsidRPr="00E82E1B">
                                <w:rPr>
                                  <w:rFonts w:ascii="Traditional Arabic" w:hAnsi="Traditional Arabic" w:cs="Traditional Arabic"/>
                                  <w:sz w:val="26"/>
                                  <w:szCs w:val="26"/>
                                  <w:rtl/>
                                  <w:lang w:val="en-CA" w:bidi="ar-SY"/>
                                </w:rPr>
                                <w:t>نفايات</w:t>
                              </w:r>
                              <w:r>
                                <w:rPr>
                                  <w:rFonts w:hint="cs"/>
                                  <w:sz w:val="28"/>
                                  <w:rtl/>
                                  <w:lang w:val="en-CA" w:bidi="ar-SY"/>
                                </w:rPr>
                                <w:t xml:space="preserve"> </w:t>
                              </w:r>
                              <w:r w:rsidRPr="00B26D11">
                                <w:rPr>
                                  <w:sz w:val="16"/>
                                  <w:szCs w:val="16"/>
                                  <w:lang w:val="en-CA" w:bidi="ar-SY"/>
                                </w:rPr>
                                <w:t>HgSe</w:t>
                              </w:r>
                            </w:p>
                            <w:p w:rsidR="00670B40" w:rsidRPr="00E82E1B" w:rsidRDefault="00670B40" w:rsidP="00335E4B">
                              <w:pPr>
                                <w:spacing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(إذا كان السلنيوم موجوداً)</w:t>
                              </w:r>
                            </w:p>
                          </w:txbxContent>
                        </wps:txbx>
                        <wps:bodyPr rot="0" vert="horz" wrap="square" lIns="91440" tIns="45720" rIns="91440" bIns="45720" anchor="t" anchorCtr="0" upright="1">
                          <a:noAutofit/>
                        </wps:bodyPr>
                      </wps:wsp>
                      <wpg:wgp>
                        <wpg:cNvPr id="416" name="Group 99"/>
                        <wpg:cNvGrpSpPr>
                          <a:grpSpLocks/>
                        </wpg:cNvGrpSpPr>
                        <wpg:grpSpPr bwMode="auto">
                          <a:xfrm>
                            <a:off x="1958894" y="1714500"/>
                            <a:ext cx="233045" cy="228600"/>
                            <a:chOff x="0" y="0"/>
                            <a:chExt cx="233342" cy="228673"/>
                          </a:xfrm>
                        </wpg:grpSpPr>
                        <wps:wsp>
                          <wps:cNvPr id="417" name="Arc 100"/>
                          <wps:cNvSpPr>
                            <a:spLocks/>
                          </wps:cNvSpPr>
                          <wps:spPr bwMode="auto">
                            <a:xfrm>
                              <a:off x="0"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670B40" w:rsidRDefault="00670B40" w:rsidP="00335E4B"/>
                            </w:txbxContent>
                          </wps:txbx>
                          <wps:bodyPr rot="0" vert="horz" wrap="square" lIns="91440" tIns="45720" rIns="91440" bIns="45720" anchor="ctr" anchorCtr="0" upright="1">
                            <a:noAutofit/>
                          </wps:bodyPr>
                        </wps:wsp>
                        <wps:wsp>
                          <wps:cNvPr id="418" name="Arc 101"/>
                          <wps:cNvSpPr>
                            <a:spLocks/>
                          </wps:cNvSpPr>
                          <wps:spPr bwMode="auto">
                            <a:xfrm rot="-4509104">
                              <a:off x="4705"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670B40" w:rsidRDefault="00670B40" w:rsidP="00335E4B"/>
                            </w:txbxContent>
                          </wps:txbx>
                          <wps:bodyPr rot="0" vert="horz" wrap="square" lIns="91440" tIns="45720" rIns="91440" bIns="45720" anchor="ctr" anchorCtr="0" upright="1">
                            <a:noAutofit/>
                          </wps:bodyPr>
                        </wps:wsp>
                      </wpg:wgp>
                      <wpg:wgp>
                        <wpg:cNvPr id="419" name="Group 102"/>
                        <wpg:cNvGrpSpPr>
                          <a:grpSpLocks/>
                        </wpg:cNvGrpSpPr>
                        <wpg:grpSpPr bwMode="auto">
                          <a:xfrm>
                            <a:off x="2270451" y="1713921"/>
                            <a:ext cx="233045" cy="228600"/>
                            <a:chOff x="0" y="0"/>
                            <a:chExt cx="233342" cy="228673"/>
                          </a:xfrm>
                        </wpg:grpSpPr>
                        <wps:wsp>
                          <wps:cNvPr id="420" name="Arc 103"/>
                          <wps:cNvSpPr>
                            <a:spLocks/>
                          </wps:cNvSpPr>
                          <wps:spPr bwMode="auto">
                            <a:xfrm>
                              <a:off x="0"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670B40" w:rsidRDefault="00670B40" w:rsidP="00335E4B"/>
                            </w:txbxContent>
                          </wps:txbx>
                          <wps:bodyPr rot="0" vert="horz" wrap="square" lIns="91440" tIns="45720" rIns="91440" bIns="45720" anchor="ctr" anchorCtr="0" upright="1">
                            <a:noAutofit/>
                          </wps:bodyPr>
                        </wps:wsp>
                        <wps:wsp>
                          <wps:cNvPr id="421" name="Arc 104"/>
                          <wps:cNvSpPr>
                            <a:spLocks/>
                          </wps:cNvSpPr>
                          <wps:spPr bwMode="auto">
                            <a:xfrm rot="-4509104">
                              <a:off x="4705"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lgn="ctr">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670B40" w:rsidRDefault="00670B40" w:rsidP="00335E4B"/>
                            </w:txbxContent>
                          </wps:txbx>
                          <wps:bodyPr rot="0" vert="horz" wrap="square" lIns="91440" tIns="45720" rIns="91440" bIns="45720" anchor="ctr" anchorCtr="0" upright="1">
                            <a:noAutofit/>
                          </wps:bodyPr>
                        </wps:wsp>
                      </wpg:wgp>
                      <wps:wsp>
                        <wps:cNvPr id="422" name="Straight Connector 105"/>
                        <wps:cNvCnPr>
                          <a:cxnSpLocks noChangeShapeType="1"/>
                        </wps:cNvCnPr>
                        <wps:spPr bwMode="auto">
                          <a:xfrm flipH="1">
                            <a:off x="1728680" y="1798688"/>
                            <a:ext cx="214420" cy="1148"/>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423" name="Straight Connector 106"/>
                        <wps:cNvCnPr>
                          <a:cxnSpLocks noChangeShapeType="1"/>
                        </wps:cNvCnPr>
                        <wps:spPr bwMode="auto">
                          <a:xfrm flipH="1">
                            <a:off x="2187202" y="1800984"/>
                            <a:ext cx="92605"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424" name="Straight Connector 107"/>
                        <wps:cNvCnPr>
                          <a:cxnSpLocks noChangeShapeType="1"/>
                        </wps:cNvCnPr>
                        <wps:spPr bwMode="auto">
                          <a:xfrm flipH="1">
                            <a:off x="2528885" y="1803770"/>
                            <a:ext cx="2386015"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425" name="Straight Arrow Connector 108"/>
                        <wps:cNvCnPr>
                          <a:cxnSpLocks noChangeShapeType="1"/>
                        </wps:cNvCnPr>
                        <wps:spPr bwMode="auto">
                          <a:xfrm>
                            <a:off x="4914231" y="1803770"/>
                            <a:ext cx="536" cy="59653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426" name="Text Box 109"/>
                        <wps:cNvSpPr txBox="1">
                          <a:spLocks noChangeArrowheads="1"/>
                        </wps:cNvSpPr>
                        <wps:spPr bwMode="auto">
                          <a:xfrm>
                            <a:off x="3150350" y="1485900"/>
                            <a:ext cx="964262" cy="342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E82E1B" w:rsidRDefault="00670B4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الغاز المنبعث</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27" o:spid="_x0000_s1202" editas="canvas" style="position:absolute;left:0;text-align:left;margin-left:4.4pt;margin-top:-21.4pt;width:468.3pt;height:594pt;z-index:-251633664;mso-position-horizontal-relative:text;mso-position-vertical-relative:text" coordsize="59474,7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3" type="#_x0000_t75" style="position:absolute;width:59474;height:75438;visibility:visible;mso-wrap-style:square" stroked="t">
                  <v:fill o:detectmouseclick="t"/>
                  <v:path o:connecttype="none"/>
                </v:shape>
                <v:shapetype id="_x0000_t32" coordsize="21600,21600" o:spt="32" o:oned="t" path="m,l21600,21600e" filled="f">
                  <v:path arrowok="t" fillok="f" o:connecttype="none"/>
                  <o:lock v:ext="edit" shapetype="t"/>
                </v:shapetype>
                <v:shape id="Straight Arrow Connector 28" o:spid="_x0000_s1204" type="#_x0000_t32" style="position:absolute;left:18199;top:2286;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TX78cAAADcAAAADwAAAGRycy9kb3ducmV2LnhtbESPQWvCQBSE70L/w/IEL1I3rbFodJVW&#10;EEoPFm0Pentkn8nS7NuYXU3677sFweMwM98wi1VnK3GlxhvHCp5GCQji3GnDhYLvr83jFIQPyBor&#10;x6Tglzyslg+9BWbatbyj6z4UIkLYZ6igDKHOpPR5SRb9yNXE0Tu5xmKIsimkbrCNcFvJ5yR5kRYN&#10;x4USa1qXlP/sL1ZBaj7P7cfEvJ23Wydnh/zijulQqUG/e52DCNSFe/jWftcKxu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xNfvxwAAANwAAAAPAAAAAAAA&#10;AAAAAAAAAKECAABkcnMvZG93bnJldi54bWxQSwUGAAAAAAQABAD5AAAAlQMAAAAA&#10;" strokecolor="#4a7ebb" strokeweight="3pt">
                  <v:stroke startarrowwidth="wide" startarrowlength="long" endarrow="block"/>
                </v:shape>
                <v:shape id="Straight Arrow Connector 29" o:spid="_x0000_s1205" type="#_x0000_t32" style="position:absolute;left:20852;top:11169;width:0;height:12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or8MAAADcAAAADwAAAGRycy9kb3ducmV2LnhtbERPz2vCMBS+D/wfwhN2GZrO6ZjVKHMw&#10;EA/KdAe9PZpnG2xeahNt/e/NQfD48f2ezltbiivV3jhW8N5PQBBnThvOFfzvfntfIHxA1lg6JgU3&#10;8jCfdV6mmGrX8B9dtyEXMYR9igqKEKpUSp8VZNH3XUUcuaOrLYYI61zqGpsYbks5SJJPadFwbCiw&#10;op+CstP2YhUMzebcrEZmcV6vnRzvs4s7DN+Ueu223xMQgdrwFD/cS63gYxT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n6K/DAAAA3AAAAA8AAAAAAAAAAAAA&#10;AAAAoQIAAGRycy9kb3ducmV2LnhtbFBLBQYAAAAABAAEAPkAAACRAwAAAAA=&#10;" strokecolor="#4a7ebb" strokeweight="3pt">
                  <v:stroke startarrowwidth="wide" startarrowlength="long" endarrow="block"/>
                </v:shape>
                <v:shape id="Straight Arrow Connector 30" o:spid="_x0000_s1206" type="#_x0000_t32" style="position:absolute;left:19431;top:29457;width:99;height:153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8j3cQAAADcAAAADwAAAGRycy9kb3ducmV2LnhtbESPQWvCQBSE70L/w/IKvelGi6Wk2Ugp&#10;WAIiWFPo9Zl9JjHZtyG7TeK/dwsFj8PMfMMkm8m0YqDe1ZYVLBcRCOLC6ppLBd/5dv4Kwnlkja1l&#10;UnAlB5v0YZZgrO3IXzQcfSkChF2MCirvu1hKV1Rk0C1sRxy8s+0N+iD7UuoexwA3rVxF0Ys0WHNY&#10;qLCjj4qK5vhrFJx4aGgvzaU57Oj0mWU/uR5ZqafH6f0NhKfJ38P/7UwreF4v4e9MOAI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PdxAAAANwAAAAPAAAAAAAAAAAA&#10;AAAAAKECAABkcnMvZG93bnJldi54bWxQSwUGAAAAAAQABAD5AAAAkgMAAAAA&#10;" strokecolor="#4a7ebb" strokeweight="3pt">
                  <v:stroke startarrowwidth="wide" startarrowlength="long" endarrow="block"/>
                </v:shape>
                <v:shape id="Straight Arrow Connector 31" o:spid="_x0000_s1207" type="#_x0000_t32" style="position:absolute;left:18118;top:49882;width:81;height:4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Q8cAAADcAAAADwAAAGRycy9kb3ducmV2LnhtbESPQWvCQBSE7wX/w/KEXoputFps6iq2&#10;UCg9KI0e9PbIPpPF7NuYXU3677tCweMwM98w82VnK3GlxhvHCkbDBARx7rThQsFu+zmYgfABWWPl&#10;mBT8koflovcwx1S7ln/omoVCRAj7FBWUIdSplD4vyaIfupo4ekfXWAxRNoXUDbYRbis5TpIXadFw&#10;XCixpo+S8lN2sQomZnNuv6fm/bxeO/m6zy/uMHlS6rHfrd5ABOrCPfzf/tIKnqdjuJ2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dNDxwAAANwAAAAPAAAAAAAA&#10;AAAAAAAAAKECAABkcnMvZG93bnJldi54bWxQSwUGAAAAAAQABAD5AAAAlQMAAAAA&#10;" strokecolor="#4a7ebb" strokeweight="3pt">
                  <v:stroke startarrowwidth="wide" startarrowlength="long" endarrow="block"/>
                </v:shape>
                <v:shapetype id="_x0000_t202" coordsize="21600,21600" o:spt="202" path="m,l,21600r21600,l21600,xe">
                  <v:stroke joinstyle="miter"/>
                  <v:path gradientshapeok="t" o:connecttype="rect"/>
                </v:shapetype>
                <v:shape id="Text Box 32" o:spid="_x0000_s1208" type="#_x0000_t202" style="position:absolute;left:10839;width:18231;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ViMUA&#10;AADcAAAADwAAAGRycy9kb3ducmV2LnhtbESPT4vCMBTE7wt+h/CEva2pi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dWIxQAAANwAAAAPAAAAAAAAAAAAAAAAAJgCAABkcnMv&#10;ZG93bnJldi54bWxQSwUGAAAAAAQABAD1AAAAigMAAAAA&#10;" filled="f" stroked="f" strokeweight=".5pt">
                  <v:textbox>
                    <w:txbxContent>
                      <w:p w:rsidR="009722F0" w:rsidRPr="00E82E1B" w:rsidRDefault="009722F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مركزات النحاس، العوامل الصهورة</w:t>
                        </w:r>
                      </w:p>
                    </w:txbxContent>
                  </v:textbox>
                </v:shape>
                <v:shape id="Text Box 33" o:spid="_x0000_s1209" type="#_x0000_t202" style="position:absolute;left:33267;top:65760;width:12878;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N/McA&#10;AADcAAAADwAAAGRycy9kb3ducmV2LnhtbESPQWvCQBSE7wX/w/KE3upGWyVEV5GAWEp70ObS2zP7&#10;TILZtzG7TdL++m5B8DjMzDfMajOYWnTUusqygukkAkGcW11xoSD73D3FIJxH1lhbJgU/5GCzHj2s&#10;MNG25wN1R1+IAGGXoILS+yaR0uUlGXQT2xAH72xbgz7ItpC6xT7ATS1nUbSQBisOCyU2lJaUX47f&#10;RsFbuvvAw2lm4t863b+ft801+5or9TgetksQngZ/D9/ar1rB8/wF/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YTfzHAAAA3AAAAA8AAAAAAAAAAAAAAAAAmAIAAGRy&#10;cy9kb3ducmV2LnhtbFBLBQYAAAAABAAEAPUAAACMAwAAAAA=&#10;" filled="f" stroked="f" strokeweight=".5pt">
                  <v:textbox>
                    <w:txbxContent>
                      <w:p w:rsidR="009722F0" w:rsidRPr="00123425" w:rsidRDefault="009722F0" w:rsidP="00335E4B">
                        <w:pPr>
                          <w:spacing w:after="4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مهبط (كاثود) النحاس</w:t>
                        </w:r>
                      </w:p>
                    </w:txbxContent>
                  </v:textbox>
                </v:shape>
                <v:shape id="Straight Arrow Connector 62" o:spid="_x0000_s1210" type="#_x0000_t32" style="position:absolute;left:49147;top:29453;width:2;height:82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l3sQAAADcAAAADwAAAGRycy9kb3ducmV2LnhtbESPQWvCQBSE70L/w/IK3nRTi0ViNlIK&#10;lYAUWiN4fWafSUz2bchuk/TfdwsFj8PMfMMku8m0YqDe1ZYVPC0jEMSF1TWXCk75+2IDwnlkja1l&#10;UvBDDnbpwyzBWNuRv2g4+lIECLsYFVTed7GUrqjIoFvajjh4V9sb9EH2pdQ9jgFuWrmKohdpsOaw&#10;UGFHbxUVzfHbKLjw0NCHNLfm80CXfZadcz2yUvPH6XULwtPk7+H/dqYVPK/X8HcmHAG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CXexAAAANwAAAAPAAAAAAAAAAAA&#10;AAAAAKECAABkcnMvZG93bnJldi54bWxQSwUGAAAAAAQABAD5AAAAkgMAAAAA&#10;" strokecolor="#4a7ebb" strokeweight="3pt">
                  <v:stroke startarrowwidth="wide" startarrowlength="long" endarrow="block"/>
                </v:shape>
                <v:shape id="Straight Arrow Connector 63" o:spid="_x0000_s1211" type="#_x0000_t32" style="position:absolute;left:49144;top:43194;width:5;height:50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a7qcQAAADcAAAADwAAAGRycy9kb3ducmV2LnhtbESPQWvCQBSE70L/w/IK3nTTFqWk2Ugp&#10;tAREqKbQ6zP7TGKyb0N2m8R/7xYEj8PMfMMkm8m0YqDe1ZYVPC0jEMSF1TWXCn7yz8UrCOeRNbaW&#10;ScGFHGzSh1mCsbYj72k4+FIECLsYFVTed7GUrqjIoFvajjh4J9sb9EH2pdQ9jgFuWvkcRWtpsOaw&#10;UGFHHxUVzeHPKDjy0NBOmnPzvaXjV5b95npkpeaP0/sbCE+Tv4dv7UwreFmt4f9MOAIy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rupxAAAANwAAAAPAAAAAAAAAAAA&#10;AAAAAKECAABkcnMvZG93bnJldi54bWxQSwUGAAAAAAQABAD5AAAAkgMAAAAA&#10;" strokecolor="#4a7ebb" strokeweight="3pt">
                  <v:stroke startarrowwidth="wide" startarrowlength="long" endarrow="block"/>
                </v:shape>
                <v:shape id="Straight Arrow Connector 64" o:spid="_x0000_s1212" type="#_x0000_t32" style="position:absolute;left:52641;top:53364;width:0;height:60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5w28cAAADcAAAADwAAAGRycy9kb3ducmV2LnhtbESPQWsCMRSE74L/ITzBS6nZWq11NUot&#10;FIoHS9WDvT02z93g5mXdRHf7702h4HGYmW+Y+bK1pbhS7Y1jBU+DBARx5rThXMF+9/H4CsIHZI2l&#10;Y1LwSx6Wi25njql2DX/TdRtyESHsU1RQhFClUvqsIIt+4Cri6B1dbTFEWedS19hEuC3lMElepEXD&#10;caHAit4Lyk7bi1UwMl/nZj02q/Nm4+T0kF3cz+hBqX6vfZuBCNSGe/i//akVPI8n8HcmH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znDbxwAAANwAAAAPAAAAAAAA&#10;AAAAAAAAAKECAABkcnMvZG93bnJldi54bWxQSwUGAAAAAAQABAD5AAAAlQMAAAAA&#10;" strokecolor="#4a7ebb" strokeweight="3pt">
                  <v:stroke startarrowwidth="wide" startarrowlength="long" endarrow="block"/>
                </v:shape>
                <v:line id="Straight Connector 66" o:spid="_x0000_s1213" style="position:absolute;flip:x y;visibility:visible;mso-wrap-style:square" from="24965,47663" to="32075,4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ncEAAADcAAAADwAAAGRycy9kb3ducmV2LnhtbERPzW6CQBC+N/EdNmPirSxq2lDqatTE&#10;xGNRHmDKTgFhZwm7IvL03UOTHr98/5vdaFoxUO9qywqWUQyCuLC65lJBfj29JiCcR9bYWiYFT3Kw&#10;285eNphq++CMhosvRQhhl6KCyvsuldIVFRl0ke2IA/dje4M+wL6UusdHCDetXMXxuzRYc2iosKNj&#10;RUVzuRsFttHL6aP5uiXxNGaremjw+5ArtZiP+08Qnkb/L/5zn7WC9VtYG86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36mdwQAAANwAAAAPAAAAAAAAAAAAAAAA&#10;AKECAABkcnMvZG93bnJldi54bWxQSwUGAAAAAAQABAD5AAAAjwMAAAAA&#10;" strokecolor="#4a7ebb" strokeweight="3pt">
                  <v:stroke joinstyle="bevel" endcap="round"/>
                </v:line>
                <v:shape id="Straight Arrow Connector 39" o:spid="_x0000_s1214" type="#_x0000_t32" style="position:absolute;left:24966;top:26289;width:171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yZO8UAAADcAAAADwAAAGRycy9kb3ducmV2LnhtbESPQUsDMRSE70L/Q3iCF7HZKla7Ni0q&#10;Cl67LdLjM3ndLG5els2z3frrjVDocZiZb5j5cgit2lOfmsgGJuMCFLGNruHawGb9fvMIKgmywzYy&#10;GThSguVidDHH0sUDr2hfSa0yhFOJBrxIV2qdrKeAaRw74uztYh9Qsuxr7Xo8ZHho9W1RTHXAhvOC&#10;x45ePdnv6icYmNqv3Xa7cdYfq5fZ9epB3n4/xZiry+H5CZTQIOfwqf3hDNzdz+D/TD4Ce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yZO8UAAADcAAAADwAAAAAAAAAA&#10;AAAAAAChAgAAZHJzL2Rvd25yZXYueG1sUEsFBgAAAAAEAAQA+QAAAJMDAAAAAA==&#10;" strokecolor="#4a7ebb" strokeweight="3pt">
                  <v:stroke startarrowwidth="wide" startarrowlength="long" endarrow="block" joinstyle="bevel" endcap="round"/>
                </v:shape>
                <v:shape id="_x0000_s1215" type="#_x0000_t202" style="position:absolute;left:26288;top:22924;width:14859;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QsQA&#10;AADcAAAADwAAAGRycy9kb3ducmV2LnhtbERPyWrDMBC9F/IPYgK9NXJSGoIT2RhDaCntIcslt4k1&#10;Xog1ci3Vdvv11aGQ4+Ptu3QyrRiod41lBctFBIK4sLrhSsH5tH/agHAeWWNrmRT8kIM0mT3sMNZ2&#10;5AMNR1+JEMIuRgW1910spStqMugWtiMOXGl7gz7AvpK6xzGEm1auomgtDTYcGmrsKK+puB2/jYL3&#10;fP+Jh+vKbH7b/PWjzLqv8+VFqcf5lG1BeJr8XfzvftMKnt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gULEAAAA3AAAAA8AAAAAAAAAAAAAAAAAmAIAAGRycy9k&#10;b3ducmV2LnhtbFBLBQYAAAAABAAEAPUAAACJAwAAAAA=&#10;" filled="f" stroked="f" strokeweight=".5pt">
                  <v:textbox>
                    <w:txbxContent>
                      <w:p w:rsidR="009722F0" w:rsidRPr="00E82E1B" w:rsidRDefault="009722F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المواد الجسيمية</w:t>
                        </w:r>
                      </w:p>
                    </w:txbxContent>
                  </v:textbox>
                </v:shape>
                <v:shape id="Straight Arrow Connector 61" o:spid="_x0000_s1216" type="#_x0000_t32" style="position:absolute;left:24490;top:27432;width:180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7AcUAAADcAAAADwAAAGRycy9kb3ducmV2LnhtbESPQWsCMRSE70L/Q3iF3rpZFaVsjbIK&#10;BaF4UAvt8bF53d128xKT1F3/vREKHoeZ+YZZrAbTiTP50FpWMM5yEMSV1S3XCj6Ob88vIEJE1thZ&#10;JgUXCrBaPowWWGjb857Oh1iLBOFQoIImRldIGaqGDIbMOuLkfVtvMCbpa6k99gluOjnJ87k02HJa&#10;aNDRpqHq9/BnFHztL7N3WpfGb3elcz+ffT49lUo9PQ7lK4hIQ7yH/9tbrWA6H8P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A7AcUAAADcAAAADwAAAAAAAAAA&#10;AAAAAAChAgAAZHJzL2Rvd25yZXYueG1sUEsFBgAAAAAEAAQA+QAAAJMDAAAAAA==&#10;" strokecolor="#4a7ebb" strokeweight="3pt">
                  <v:stroke startarrowwidth="wide" startarrowlength="long" endarrow="block" joinstyle="bevel" endcap="round"/>
                </v:shape>
                <v:shape id="_x0000_s1217" type="#_x0000_t202" style="position:absolute;left:33290;top:27432;width:88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6rscA&#10;AADcAAAADwAAAGRycy9kb3ducmV2LnhtbESPzWrDMBCE74G+g9hCbolcl4bgRjHGYFJCesjPpbet&#10;tbFNrZVrKY7Tp68KhRyHmfmGWaWjacVAvWssK3iaRyCIS6sbrhScjsVsCcJ5ZI2tZVJwIwfp+mGy&#10;wkTbK+9pOPhKBAi7BBXU3neJlK6syaCb2444eGfbG/RB9pXUPV4D3LQyjqKFNNhwWKixo7ym8utw&#10;MQq2efGO+8/YLH/afLM7Z9336eNFqenjmL2C8DT6e/i//aYVPC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Ruq7HAAAA3AAAAA8AAAAAAAAAAAAAAAAAmAIAAGRy&#10;cy9kb3ducmV2LnhtbFBLBQYAAAAABAAEAPUAAACMAwAAAAA=&#10;" filled="f" stroked="f" strokeweight=".5pt">
                  <v:textbox>
                    <w:txbxContent>
                      <w:p w:rsidR="009722F0" w:rsidRPr="0032206D" w:rsidRDefault="009722F0" w:rsidP="00335E4B">
                        <w:pPr>
                          <w:spacing w:after="40" w:line="280" w:lineRule="exact"/>
                          <w:jc w:val="center"/>
                          <w:rPr>
                            <w:rFonts w:ascii="Traditional Arabic" w:hAnsi="Traditional Arabic" w:cs="Traditional Arabic"/>
                            <w:sz w:val="24"/>
                            <w:szCs w:val="24"/>
                            <w:rtl/>
                            <w:lang w:val="en-CA" w:bidi="ar-SY"/>
                          </w:rPr>
                        </w:pPr>
                        <w:r w:rsidRPr="0032206D">
                          <w:rPr>
                            <w:rFonts w:ascii="Traditional Arabic" w:hAnsi="Traditional Arabic" w:cs="Traditional Arabic"/>
                            <w:sz w:val="24"/>
                            <w:szCs w:val="24"/>
                            <w:rtl/>
                            <w:lang w:val="en-CA" w:bidi="ar-SY"/>
                          </w:rPr>
                          <w:t>الغاز المنبعث</w:t>
                        </w:r>
                      </w:p>
                      <w:p w:rsidR="009722F0" w:rsidRDefault="009722F0" w:rsidP="00335E4B">
                        <w:pPr>
                          <w:rPr>
                            <w:rtl/>
                            <w:lang w:val="en-CA" w:bidi="ar-SY"/>
                          </w:rPr>
                        </w:pPr>
                      </w:p>
                      <w:p w:rsidR="009722F0" w:rsidRPr="00FE29EB" w:rsidRDefault="009722F0" w:rsidP="00335E4B">
                        <w:pPr>
                          <w:rPr>
                            <w:lang w:val="en-CA" w:bidi="ar-SY"/>
                          </w:rPr>
                        </w:pPr>
                      </w:p>
                    </w:txbxContent>
                  </v:textbox>
                </v:shape>
                <v:shape id="_x0000_s1218" type="#_x0000_t202" style="position:absolute;left:19983;top:37826;width:5524;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fNcUA&#10;AADcAAAADwAAAGRycy9kb3ducmV2LnhtbESPQYvCMBSE78L+h/AWvGmqsl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R81xQAAANwAAAAPAAAAAAAAAAAAAAAAAJgCAABkcnMv&#10;ZG93bnJldi54bWxQSwUGAAAAAAQABAD1AAAAigMAAAAA&#10;" filled="f" stroked="f" strokeweight=".5pt">
                  <v:textbox>
                    <w:txbxContent>
                      <w:p w:rsidR="009722F0" w:rsidRPr="00E82E1B" w:rsidRDefault="009722F0" w:rsidP="00E82E1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النحاس المتلبد</w:t>
                        </w:r>
                      </w:p>
                    </w:txbxContent>
                  </v:textbox>
                </v:shape>
                <v:shape id="_x0000_s1219" type="#_x0000_t202" style="position:absolute;left:47351;top:59093;width:9151;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HQcUA&#10;AADcAAAADwAAAGRycy9kb3ducmV2LnhtbESPT4vCMBTE78J+h/CEvWnqX6QaRQqiyHrQ9eLt2Tzb&#10;YvPSbbJa99MbQdjjMDO/YWaLxpTiRrUrLCvodSMQxKnVBWcKjt+rzgSE88gaS8uk4EEOFvOP1gxj&#10;be+8p9vBZyJA2MWoIPe+iqV0aU4GXddWxMG72NqgD7LOpK7xHuCmlP0oGkuDBYeFHCtKckqvh1+j&#10;YJusdrg/983kr0zWX5dl9XM8jZT6bDfLKQhPjf8Pv9sbrWAwHsL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IdBxQAAANwAAAAPAAAAAAAAAAAAAAAAAJgCAABkcnMv&#10;ZG93bnJldi54bWxQSwUGAAAAAAQABAD1AAAAigMAAAAA&#10;" filled="f" stroked="f" strokeweight=".5pt">
                  <v:textbox>
                    <w:txbxContent>
                      <w:p w:rsidR="009722F0" w:rsidRPr="00123425" w:rsidRDefault="009722F0" w:rsidP="00335E4B">
                        <w:pPr>
                          <w:spacing w:after="4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حمض الكبريتيك</w:t>
                        </w:r>
                      </w:p>
                    </w:txbxContent>
                  </v:textbox>
                </v:shape>
                <v:line id="Straight Connector 75" o:spid="_x0000_s1220" style="position:absolute;flip:x;visibility:visible;mso-wrap-style:square" from="37953,40005" to="42524,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gBcUAAADcAAAADwAAAGRycy9kb3ducmV2LnhtbESPT2vCQBTE70K/w/IK3nTT+gdNXUUK&#10;FsGDGCNeH9nXJJh9G3a3Mf32bqHgcZiZ3zCrTW8a0ZHztWUFb+MEBHFhdc2lgvy8Gy1A+ICssbFM&#10;Cn7Jw2b9Mlhhqu2dT9RloRQRwj5FBVUIbSqlLyoy6Me2JY7et3UGQ5SulNrhPcJNI9+TZC4N1hwX&#10;Kmzps6Lilv0YBd02X05vXxPj+kM9tZd8fwxXq9Twtd9+gAjUh2f4v73XCibzGfydiUd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XgBcUAAADcAAAADwAAAAAAAAAA&#10;AAAAAAChAgAAZHJzL2Rvd25yZXYueG1sUEsFBgAAAAAEAAQA+QAAAJMDAAAAAA==&#10;" strokecolor="#4a7ebb" strokeweight="3pt">
                  <v:stroke endcap="round"/>
                </v:line>
                <v:shape id="Straight Arrow Connector 76" o:spid="_x0000_s1221" type="#_x0000_t32" style="position:absolute;left:37781;top:40005;width:70;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xFMMAAADcAAAADwAAAGRycy9kb3ducmV2LnhtbESPQWvCQBSE7wX/w/IEb3VThVBSV5GC&#10;EhChNYLXZ/Y1icm+Ddk1if/eLRR6HGbmG2a1GU0jeupcZVnB2zwCQZxbXXGh4JztXt9BOI+ssbFM&#10;Ch7kYLOevKww0Xbgb+pPvhABwi5BBaX3bSKly0sy6Oa2JQ7ej+0M+iC7QuoOhwA3jVxEUSwNVhwW&#10;Smzps6S8Pt2Ngiv3NR2ludVfB7ru0/SS6YGVmk3H7QcIT6P/D/+1U61gGcfweyYc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6cRTDAAAA3AAAAA8AAAAAAAAAAAAA&#10;AAAAoQIAAGRycy9kb3ducmV2LnhtbFBLBQYAAAAABAAEAPkAAACRAwAAAAA=&#10;" strokecolor="#4a7ebb" strokeweight="3pt">
                  <v:stroke startarrowwidth="wide" startarrowlength="long" endarrow="block"/>
                </v:shape>
                <v:shape id="_x0000_s1222" type="#_x0000_t202" style="position:absolute;left:33270;top:45720;width:8679;height:4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ZNscA&#10;AADcAAAADwAAAGRycy9kb3ducmV2LnhtbESPQWvCQBSE7wX/w/KE3upGSzVEV5GAWEp70ObS2zP7&#10;TILZtzG7TdL++m5B8DjMzDfMajOYWnTUusqygukkAkGcW11xoSD73D3FIJxH1lhbJgU/5GCzHj2s&#10;MNG25wN1R1+IAGGXoILS+yaR0uUlGXQT2xAH72xbgz7ItpC6xT7ATS1nUTSXBisOCyU2lJaUX47f&#10;RsFbuvvAw2lm4t863b+ft801+3pR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mGTbHAAAA3AAAAA8AAAAAAAAAAAAAAAAAmAIAAGRy&#10;cy9kb3ducmV2LnhtbFBLBQYAAAAABAAEAPUAAACMAwAAAAA=&#10;" filled="f" stroked="f" strokeweight=".5pt">
                  <v:textbox>
                    <w:txbxContent>
                      <w:p w:rsidR="009722F0" w:rsidRPr="00E82E1B" w:rsidRDefault="009722F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نفايات الزئبق</w:t>
                        </w:r>
                      </w:p>
                    </w:txbxContent>
                  </v:textbox>
                </v:shape>
                <v:roundrect id="Rounded Rectangle 54" o:spid="_x0000_s1223" style="position:absolute;left:42291;top:37744;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DMIA&#10;AADcAAAADwAAAGRycy9kb3ducmV2LnhtbERPy4rCMBTdC/5DuMJsBk0doWg1igqiuBjwAbq8NNe2&#10;2NzUJmr16yeLAZeH857MGlOKB9WusKyg34tAEKdWF5wpOB5W3SEI55E1lpZJwYsczKbt1gQTbZ+8&#10;o8feZyKEsEtQQe59lUjp0pwMup6tiAN3sbVBH2CdSV3jM4SbUv5EUSwNFhwacqxomVN63d+NgnO8&#10;1r94XETX0ft7e1oPzsUt2yj11WnmYxCeGv8R/7s3WsEgDmvDmXAE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sMwgAAANwAAAAPAAAAAAAAAAAAAAAAAJgCAABkcnMvZG93&#10;bnJldi54bWxQSwUGAAAAAAQABAD1AAAAhwMAAAAA&#10;" fillcolor="#a3c4ff" strokecolor="#4a7ebb">
                  <v:fill color2="#e5eeff" rotate="t" angle="180" colors="0 #a3c4ff;22938f #bfd5ff;1 #e5eeff" focus="100%" type="gradient"/>
                  <v:shadow on="t" color="black" opacity="24903f" origin=",.5" offset="0,.55556mm"/>
                  <v:textbox>
                    <w:txbxContent>
                      <w:p w:rsidR="009722F0" w:rsidRPr="00E82E1B" w:rsidRDefault="009722F0" w:rsidP="00335E4B">
                        <w:pPr>
                          <w:spacing w:before="120"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إزالة الزئبق</w:t>
                        </w:r>
                      </w:p>
                    </w:txbxContent>
                  </v:textbox>
                </v:roundrect>
                <v:roundrect id="Rounded Rectangle 41" o:spid="_x0000_s1224" style="position:absolute;left:11370;top:54804;width:13443;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Ol8YA&#10;AADcAAAADwAAAGRycy9kb3ducmV2LnhtbESPT4vCMBTE74LfITzBi6ypCkW7RlFBlD0I/oH1+Gje&#10;tsXmpTZR6376zYLgcZiZ3zDTeWNKcafaFZYVDPoRCOLU6oIzBafj+mMMwnlkjaVlUvAkB/NZuzXF&#10;RNsH7+l+8JkIEHYJKsi9rxIpXZqTQde3FXHwfmxt0AdZZ1LX+AhwU8phFMXSYMFhIceKVjmll8PN&#10;KDjHG73D0zK6TH57X9+b0bm4Zlulup1m8QnCU+Pf4Vd7qxWM4gn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9Ol8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9722F0" w:rsidRPr="00123425" w:rsidRDefault="009722F0" w:rsidP="00335E4B">
                        <w:pPr>
                          <w:spacing w:before="120" w:after="4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التنقية بالنار</w:t>
                        </w:r>
                      </w:p>
                    </w:txbxContent>
                  </v:textbox>
                </v:roundrect>
                <v:shape id="Straight Arrow Connector 42" o:spid="_x0000_s1225" type="#_x0000_t32" style="position:absolute;left:25025;top:67394;width:7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0z8QAAADcAAAADwAAAGRycy9kb3ducmV2LnhtbERPy2oCMRTdF/yHcAU3RTP12Y5GqUKh&#10;uLBUXdjdZXI7E5zcjJPoTP/eLAouD+e9WLW2FDeqvXGs4GWQgCDOnDacKzgePvqvIHxA1lg6JgV/&#10;5GG17DwtMNWu4W+67UMuYgj7FBUUIVSplD4ryKIfuIo4cr+uthgirHOpa2xiuC3lMEmm0qLh2FBg&#10;RZuCsvP+ahWMzdel2U7M+rLbOfl2yq7uZ/ysVK/bvs9BBGrDQ/zv/tQKRrM4P56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rTPxAAAANwAAAAPAAAAAAAAAAAA&#10;AAAAAKECAABkcnMvZG93bnJldi54bWxQSwUGAAAAAAQABAD5AAAAkgMAAAAA&#10;" strokecolor="#4a7ebb" strokeweight="3pt">
                  <v:stroke startarrowwidth="wide" startarrowlength="long" endarrow="block"/>
                </v:shape>
                <v:line id="Straight Connector 43" o:spid="_x0000_s1226" style="position:absolute;flip:x;visibility:visible;mso-wrap-style:square" from="6914,28586" to="11521,2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dw28UAAADcAAAADwAAAGRycy9kb3ducmV2LnhtbESPQWvCQBSE70L/w/IKvenGKrZN3YgU&#10;LIIHMU3p9ZF9TUKyb8PuGtN/3xUEj8PMfMOsN6PpxEDON5YVzGcJCOLS6oYrBcXXbvoKwgdkjZ1l&#10;UvBHHjbZw2SNqbYXPtGQh0pECPsUFdQh9KmUvqzJoJ/Znjh6v9YZDFG6SmqHlwg3nXxOkpU02HBc&#10;qLGnj5rKNj8bBcO2eFu2nwvjxkOztN/F/hh+rFJPj+P2HUSgMdzDt/ZeK1i8zOF6Jh4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dw28UAAADcAAAADwAAAAAAAAAA&#10;AAAAAAChAgAAZHJzL2Rvd25yZXYueG1sUEsFBgAAAAAEAAQA+QAAAJMDAAAAAA==&#10;" strokecolor="#4a7ebb" strokeweight="3pt">
                  <v:stroke endcap="round"/>
                </v:line>
                <v:line id="Straight Connector 44" o:spid="_x0000_s1227" style="position:absolute;flip:x y;visibility:visible;mso-wrap-style:square" from="5656,41148" to="5700,4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LCF8MAAADcAAAADwAAAGRycy9kb3ducmV2LnhtbESP3YrCMBSE7wXfIRzBO02toN2uUXRB&#10;8NK/Bzg2Z9tum5PSZGv16c3CgpfDzHzDrDa9qUVHrSstK5hNIxDEmdUl5wqul/0kAeE8ssbaMil4&#10;kIPNejhYYartnU/UnX0uAoRdigoK75tUSpcVZNBNbUMcvG/bGvRBtrnULd4D3NQyjqKFNFhyWCiw&#10;oa+Csur8axTYSs+eH9XxJ4me/Skuuwpvu6tS41G//QThqffv8H/7oBXMlzH8nQlH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CwhfDAAAA3AAAAA8AAAAAAAAAAAAA&#10;AAAAoQIAAGRycy9kb3ducmV2LnhtbFBLBQYAAAAABAAEAPkAAACRAwAAAAA=&#10;" strokecolor="#4a7ebb" strokeweight="3pt">
                  <v:stroke joinstyle="bevel" endcap="round"/>
                </v:line>
                <v:shape id="Straight Arrow Connector 45" o:spid="_x0000_s1228" type="#_x0000_t32" style="position:absolute;left:5757;top:48006;width:5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RbcUAAADcAAAADwAAAGRycy9kb3ducmV2LnhtbESPQWsCMRSE70L/Q3iFXhbN2mBtt0YR&#10;QezFQ1U8PzbP7NLNy7KJ6/rvTaHQ4zAz3zCL1eAa0VMXas8appMcBHHpTc1Ww+m4Hb+DCBHZYOOZ&#10;NNwpwGr5NFpgYfyNv6k/RCsShEOBGqoY20LKUFbkMEx8S5y8i+8cxiQ7K02HtwR3jXzN8zfpsOa0&#10;UGFLm4rKn8PVadhcL+f9yeyymdp/ZGVvVZ5ZpfXL87D+BBFpiP/hv/aX0aDmCn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iRbcUAAADcAAAADwAAAAAAAAAA&#10;AAAAAAChAgAAZHJzL2Rvd25yZXYueG1sUEsFBgAAAAAEAAQA+QAAAJMDAAAAAA==&#10;" strokecolor="#4a7ebb" strokeweight="3pt">
                  <v:stroke startarrowwidth="wide" startarrowlength="long" endarrow="block" endcap="round"/>
                </v:shape>
                <v:roundrect id="Rounded Rectangle 16" o:spid="_x0000_s1229" style="position:absolute;left:9144;top:5715;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1McA&#10;AADcAAAADwAAAGRycy9kb3ducmV2LnhtbESPQWvCQBSE7wX/w/IEL1I3VtEas4oViuKhoBWa4yP7&#10;TILZtzG7atpf7xYKPQ4z8w2TLFtTiRs1rrSsYDiIQBBnVpecKzh+vj+/gnAeWWNlmRR8k4PlovOU&#10;YKztnfd0O/hcBAi7GBUU3texlC4ryKAb2Jo4eCfbGPRBNrnUDd4D3FTyJYom0mDJYaHAmtYFZefD&#10;1ShIJxv9gce36Dz76e++NqO0vORbpXrddjUH4an1/+G/9lYrGE3H8HsmHA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nd9T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9722F0" w:rsidRPr="00E82E1B" w:rsidRDefault="009722F0" w:rsidP="00335E4B">
                        <w:pPr>
                          <w:spacing w:before="120"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تجفيف الخام المركز</w:t>
                        </w:r>
                      </w:p>
                    </w:txbxContent>
                  </v:textbox>
                </v:roundrect>
                <v:roundrect id="Rounded Rectangle 53" o:spid="_x0000_s1230" style="position:absolute;left:42291;top:24003;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ST8cA&#10;AADcAAAADwAAAGRycy9kb3ducmV2LnhtbESPQWvCQBSE7wX/w/IEL1I3VtQas4oViuKhoBWa4yP7&#10;TILZtzG7atpf7xYKPQ4z8w2TLFtTiRs1rrSsYDiIQBBnVpecKzh+vj+/gnAeWWNlmRR8k4PlovOU&#10;YKztnfd0O/hcBAi7GBUU3texlC4ryKAb2Jo4eCfbGPRBNrnUDd4D3FTyJYom0mDJYaHAmtYFZefD&#10;1ShIJxv9gce36Dz76e++NqO0vORbpXrddjUH4an1/+G/9lYrGE3H8HsmHA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r0k/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9722F0" w:rsidRPr="00E82E1B" w:rsidRDefault="009722F0" w:rsidP="00335E4B">
                        <w:pPr>
                          <w:spacing w:before="120"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تنظيف الغاز</w:t>
                        </w:r>
                      </w:p>
                    </w:txbxContent>
                  </v:textbox>
                </v:roundrect>
                <v:line id="Straight Connector 48" o:spid="_x0000_s1231" style="position:absolute;flip:x;visibility:visible;mso-wrap-style:square" from="8136,45720" to="11370,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7or8UAAADcAAAADwAAAGRycy9kb3ducmV2LnhtbESPQWvCQBSE70L/w/IK3nTTKtqmbkQE&#10;RehB1JReH9nXJCT7NuyuMf77bqHgcZiZb5jVejCt6Mn52rKCl2kCgriwuuZSQX7ZTd5A+ICssbVM&#10;Cu7kYZ09jVaYanvjE/XnUIoIYZ+igiqELpXSFxUZ9FPbEUfvxzqDIUpXSu3wFuGmla9JspAGa44L&#10;FXa0rahozlejoN/k7/NmPzNu+Kzn9is/HMO3VWr8PGw+QAQawiP83z5oBbPlAv7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7or8UAAADcAAAADwAAAAAAAAAA&#10;AAAAAAChAgAAZHJzL2Rvd25yZXYueG1sUEsFBgAAAAAEAAQA+QAAAJMDAAAAAA==&#10;" strokecolor="#4a7ebb" strokeweight="3pt">
                  <v:stroke endcap="round"/>
                </v:line>
                <v:shape id="Straight Arrow Connector 49" o:spid="_x0000_s1232" type="#_x0000_t32" style="position:absolute;left:6858;top:28586;width:56;height:4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9CUsQAAADcAAAADwAAAGRycy9kb3ducmV2LnhtbESPQWvCQBSE70L/w/IK3nTTFrSk2Ugp&#10;tAREqKbQ6zP7TGKyb0N2m8R/7xYEj8PMfMMkm8m0YqDe1ZYVPC0jEMSF1TWXCn7yz8UrCOeRNbaW&#10;ScGFHGzSh1mCsbYj72k4+FIECLsYFVTed7GUrqjIoFvajjh4J9sb9EH2pdQ9jgFuWvkcRStpsOaw&#10;UGFHHxUVzeHPKDjy0NBOmnPzvaXjV5b95npkpeaP0/sbCE+Tv4dv7UwreFmv4f9MOAIy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0JSxAAAANwAAAAPAAAAAAAAAAAA&#10;AAAAAKECAABkcnMvZG93bnJldi54bWxQSwUGAAAAAAQABAD5AAAAkgMAAAAA&#10;" strokecolor="#4a7ebb" strokeweight="3pt">
                  <v:stroke startarrowwidth="wide" startarrowlength="long" endarrow="block"/>
                </v:shape>
                <v:roundrect id="Rounded Rectangle 18" o:spid="_x0000_s1233" style="position:absolute;left:11446;top:44753;width:13443;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0cMA&#10;AADcAAAADwAAAGRycy9kb3ducmV2LnhtbERPy4rCMBTdC/5DuMJsBk1nBB/VKCqI4kLwAbq8NNe2&#10;2Nx0mqjVrzeLAZeH8x5Pa1OIO1Uut6zgpxOBIE6szjlVcDws2wMQziNrLCyTgic5mE6ajTHG2j54&#10;R/e9T0UIYRejgsz7MpbSJRkZdB1bEgfuYiuDPsAqlbrCRwg3hfyNop40mHNoyLCkRUbJdX8zCs69&#10;ld7icR5dh6/vzWnVPed/6Vqpr1Y9G4HwVPuP+N+91gq6/bA2nAlHQE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90c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9722F0" w:rsidRPr="00E82E1B" w:rsidRDefault="009722F0" w:rsidP="00335E4B">
                        <w:pPr>
                          <w:spacing w:before="120"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التحويل</w:t>
                        </w:r>
                      </w:p>
                    </w:txbxContent>
                  </v:textbox>
                </v:roundrect>
                <v:shape id="Straight Arrow Connector 52" o:spid="_x0000_s1234" type="#_x0000_t32" style="position:absolute;left:8001;top:41148;width:28;height:4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etn8QAAADcAAAADwAAAGRycy9kb3ducmV2LnhtbESPS2vCQBSF94L/YbiCuzpR6cPoKCqU&#10;FrtqWnR7yVwzwcydkBmTtL/eKRRcHs7j46w2va1ES40vHSuYThIQxLnTJRcKvr9eH15A+ICssXJM&#10;Cn7Iw2Y9HKww1a7jT2qzUIg4wj5FBSaEOpXS54Ys+omriaN3do3FEGVTSN1gF8dtJWdJ8iQtlhwJ&#10;BmvaG8ov2dVGyO5x3wYz6/Rv3m0/Tld9eDtqpcajfrsEEagP9/B/+10rmD8v4O9MP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62fxAAAANwAAAAPAAAAAAAAAAAA&#10;AAAAAKECAABkcnMvZG93bnJldi54bWxQSwUGAAAAAAQABAD5AAAAkgMAAAAA&#10;" strokecolor="#4a7ebb" strokeweight="3pt">
                  <v:stroke startarrowwidth="wide" startarrowlength="long" endarrow="block" endcap="round"/>
                </v:shape>
                <v:shape id="Straight Arrow Connector 56" o:spid="_x0000_s1235" type="#_x0000_t32" style="position:absolute;left:3428;top:41148;width:0;height:14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fE6MQAAADcAAAADwAAAGRycy9kb3ducmV2LnhtbERPz2vCMBS+D/wfwhN2EZtu6nBdo+hg&#10;IB6U6Q7b7dG8tWHNS22irf+9OQg7fny/82Vva3Gh1hvHCp6SFARx4bThUsHX8WM8B+EDssbaMSm4&#10;koflYvCQY6Zdx590OYRSxBD2GSqoQmgyKX1RkUWfuIY4cr+utRgibEupW+xiuK3lc5q+SIuGY0OF&#10;Db1XVPwdzlbB1OxP3XZm1qfdzsnX7+LsfqYjpR6H/eoNRKA+/Ivv7o1WMJnH+fFMP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8ToxAAAANwAAAAPAAAAAAAAAAAA&#10;AAAAAKECAABkcnMvZG93bnJldi54bWxQSwUGAAAAAAQABAD5AAAAkgMAAAAA&#10;" strokecolor="#4a7ebb" strokeweight="3pt">
                  <v:stroke startarrowwidth="wide" startarrowlength="long" endarrow="block"/>
                </v:shape>
                <v:shape id="Text Box 57" o:spid="_x0000_s1236" type="#_x0000_t202" style="position:absolute;left:3473;top:48215;width:8052;height:6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I8YA&#10;AADcAAAADwAAAGRycy9kb3ducmV2LnhtbESPQWvCQBSE70L/w/IKvelGiy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I8YAAADcAAAADwAAAAAAAAAAAAAAAACYAgAAZHJz&#10;L2Rvd25yZXYueG1sUEsFBgAAAAAEAAQA9QAAAIsDAAAAAA==&#10;" filled="f" stroked="f" strokeweight=".5pt">
                  <v:textbox>
                    <w:txbxContent>
                      <w:p w:rsidR="009722F0" w:rsidRPr="00E82E1B" w:rsidRDefault="009722F0" w:rsidP="00335E4B">
                        <w:pPr>
                          <w:spacing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الخليط المتلبد، سبائك خليط النحاس</w:t>
                        </w:r>
                      </w:p>
                    </w:txbxContent>
                  </v:textbox>
                </v:shape>
                <v:shape id="Text Box 58" o:spid="_x0000_s1237" type="#_x0000_t202" style="position:absolute;left:8496;top:42341;width:5594;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cVMcA&#10;AADcAAAADwAAAGRycy9kb3ducmV2LnhtbESPT2vCQBTE74V+h+UVeqsbU1p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dXFTHAAAA3AAAAA8AAAAAAAAAAAAAAAAAmAIAAGRy&#10;cy9kb3ducmV2LnhtbFBLBQYAAAAABAAEAPUAAACMAwAAAAA=&#10;" filled="f" stroked="f" strokeweight=".5pt">
                  <v:textbox>
                    <w:txbxContent>
                      <w:p w:rsidR="009722F0" w:rsidRPr="00E82E1B" w:rsidRDefault="009722F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الخبث</w:t>
                        </w:r>
                      </w:p>
                    </w:txbxContent>
                  </v:textbox>
                </v:shape>
                <v:shape id="Text Box 59" o:spid="_x0000_s1238" type="#_x0000_t202" style="position:absolute;left:6944;top:29507;width:6091;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5z8UA&#10;AADcAAAADwAAAGRycy9kb3ducmV2LnhtbESPT4vCMBTE7wt+h/AEb2uqslKqUaQgK8t68M/F27N5&#10;tsXmpTZZ7frpjSB4HGbmN8x03ppKXKlxpWUFg34EgjizuuRcwX63/IxBOI+ssbJMCv7JwXzW+Zhi&#10;ou2NN3Td+lwECLsEFRTe14mULivIoOvbmjh4J9sY9EE2udQN3gLcVHIYRWNpsOSwUGBNaUHZeftn&#10;FPykyzVujkMT36v0+/e0qC/7w5dSvW67mIDw1Pp3+NVeaQW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fnPxQAAANwAAAAPAAAAAAAAAAAAAAAAAJgCAABkcnMv&#10;ZG93bnJldi54bWxQSwUGAAAAAAQABAD1AAAAigMAAAAA&#10;" filled="f" stroked="f" strokeweight=".5pt">
                  <v:textbox>
                    <w:txbxContent>
                      <w:p w:rsidR="009722F0" w:rsidRPr="00E82E1B" w:rsidRDefault="009722F0" w:rsidP="00335E4B">
                        <w:pPr>
                          <w:rPr>
                            <w:rFonts w:ascii="Traditional Arabic" w:hAnsi="Traditional Arabic" w:cs="Traditional Arabic"/>
                            <w:sz w:val="26"/>
                            <w:szCs w:val="26"/>
                            <w:lang w:val="en-CA"/>
                          </w:rPr>
                        </w:pPr>
                        <w:r w:rsidRPr="00E82E1B">
                          <w:rPr>
                            <w:rFonts w:ascii="Traditional Arabic" w:hAnsi="Traditional Arabic" w:cs="Traditional Arabic"/>
                            <w:sz w:val="26"/>
                            <w:szCs w:val="26"/>
                            <w:rtl/>
                            <w:lang w:val="en-CA"/>
                          </w:rPr>
                          <w:t>الخبث</w:t>
                        </w:r>
                      </w:p>
                    </w:txbxContent>
                  </v:textbox>
                </v:shape>
                <v:shape id="Text Box 60" o:spid="_x0000_s1239" type="#_x0000_t202" style="position:absolute;left:342;top:56007;width:8154;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hu8cA&#10;AADcAAAADwAAAGRycy9kb3ducmV2LnhtbESPzWvCQBTE70L/h+UVetNNbSshuhEJSEXagx8Xb8/s&#10;ywdm36bZrab9611B8DjMzG+Y2bw3jThT52rLCl5HEQji3OqaSwX73XIYg3AeWWNjmRT8kYN5+jSY&#10;YaLthTd03vpSBAi7BBVU3reJlC6vyKAb2ZY4eIXtDPogu1LqDi8Bbho5jqKJNFhzWKiwpayi/LT9&#10;NQrW2fIbN8exif+b7POrWLQ/+8OHUi/P/WIKwlPvH+F7e6UVvMX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4YbvHAAAA3AAAAA8AAAAAAAAAAAAAAAAAmAIAAGRy&#10;cy9kb3ducmV2LnhtbFBLBQYAAAAABAAEAPUAAACMAwAAAAA=&#10;" filled="f" stroked="f" strokeweight=".5pt">
                  <v:textbox>
                    <w:txbxContent>
                      <w:p w:rsidR="009722F0" w:rsidRPr="00123425" w:rsidRDefault="009722F0" w:rsidP="00335E4B">
                        <w:pPr>
                          <w:spacing w:after="40" w:line="280" w:lineRule="exact"/>
                          <w:jc w:val="righ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الخبث النهائي</w:t>
                        </w:r>
                      </w:p>
                    </w:txbxContent>
                  </v:textbox>
                </v:shape>
                <v:shape id="Straight Arrow Connector 46" o:spid="_x0000_s1240" type="#_x0000_t32" style="position:absolute;left:45783;top:53364;width:0;height:95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JmcMAAADcAAAADwAAAGRycy9kb3ducmV2LnhtbESP3WrCQBSE7wu+w3IE7+rGSkWiq4hQ&#10;CZRC/QFvj9ljEpM9G7Jrkr59VxC8HGbmG2a57k0lWmpcYVnBZByBIE6tLjhTcDp+vc9BOI+ssbJM&#10;Cv7IwXo1eFtirG3He2oPPhMBwi5GBbn3dSylS3My6Ma2Jg7e1TYGfZBNJnWDXYCbSn5E0UwaLDgs&#10;5FjTNqe0PNyNggu3Jf1Icyt/v+myS5LzUXes1GjYbxYgPPX+FX62E61gOv+Ex5lw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kCZnDAAAA3AAAAA8AAAAAAAAAAAAA&#10;AAAAoQIAAGRycy9kb3ducmV2LnhtbFBLBQYAAAAABAAEAPkAAACRAwAAAAA=&#10;" strokecolor="#4a7ebb" strokeweight="3pt">
                  <v:stroke startarrowwidth="wide" startarrowlength="long" endarrow="block"/>
                </v:shape>
                <v:shape id="Text Box 47" o:spid="_x0000_s1241" type="#_x0000_t202" style="position:absolute;left:39624;top:62458;width:12096;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aV8UA&#10;AADcAAAADwAAAGRycy9kb3ducmV2LnhtbESPQYvCMBSE7wv+h/CEva2pilKqUaQgK4sedL14ezbP&#10;tti81Car1V9vBGGPw8x8w0znranElRpXWlbQ70UgiDOrS84V7H+XXzEI55E1VpZJwZ0czGedjykm&#10;2t54S9edz0WAsEtQQeF9nUjpsoIMup6tiYN3so1BH2STS93gLcBNJQdRNJYGSw4LBdaUFpSdd39G&#10;wU+63OD2ODDxo0q/16dFfdkfRkp9dtvFBISn1v+H3+2VVjCM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lpXxQAAANwAAAAPAAAAAAAAAAAAAAAAAJgCAABkcnMv&#10;ZG93bnJldi54bWxQSwUGAAAAAAQABAD1AAAAigMAAAAA&#10;" filled="f" stroked="f" strokeweight=".5pt">
                  <v:textbox>
                    <w:txbxContent>
                      <w:p w:rsidR="009722F0" w:rsidRPr="00123425" w:rsidRDefault="009722F0" w:rsidP="00335E4B">
                        <w:pPr>
                          <w:spacing w:after="4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الإنبعاثات إلى المدخنة</w:t>
                        </w:r>
                      </w:p>
                    </w:txbxContent>
                  </v:textbox>
                </v:shape>
                <v:roundrect id="Rounded Rectangle 50" o:spid="_x0000_s1242" style="position:absolute;left:11522;top:65240;width:1344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ZhMcA&#10;AADcAAAADwAAAGRycy9kb3ducmV2LnhtbESPQWvCQBSE7wX/w/KEXkrdaEBtdBUVSkIPglaox0f2&#10;mQSzb2N2a9L++m6h0OMwM98wy3VvanGn1lWWFYxHEQji3OqKCwWn99fnOQjnkTXWlknBFzlYrwYP&#10;S0y07fhA96MvRICwS1BB6X2TSOnykgy6kW2Ig3exrUEfZFtI3WIX4KaWkyiaSoMVh4USG9qVlF+P&#10;n0bBeZrqPZ620fXl++ntI43P1a3IlHoc9psFCE+9/w//tTOtIJ7P4PdMO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gmYT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9722F0" w:rsidRPr="00123425" w:rsidRDefault="009722F0" w:rsidP="00335E4B">
                        <w:pPr>
                          <w:spacing w:before="120" w:after="4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التنقية الكهربائية</w:t>
                        </w:r>
                      </w:p>
                    </w:txbxContent>
                  </v:textbox>
                </v:roundrect>
                <v:shape id="Straight Arrow Connector 65" o:spid="_x0000_s1243" type="#_x0000_t32" style="position:absolute;left:18118;top:60351;width:81;height:4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I7sQAAADcAAAADwAAAGRycy9kb3ducmV2LnhtbERPz2vCMBS+D/wfwhN2EZtu6nBdo+hg&#10;IB6U6Q7b7dG8tWHNS22irf+9OQg7fny/82Vva3Gh1hvHCp6SFARx4bThUsHX8WM8B+EDssbaMSm4&#10;koflYvCQY6Zdx590OYRSxBD2GSqoQmgyKX1RkUWfuIY4cr+utRgibEupW+xiuK3lc5q+SIuGY0OF&#10;Db1XVPwdzlbB1OxP3XZm1qfdzsnX7+LsfqYjpR6H/eoNRKA+/Ivv7o1WMJnHtfFMP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cjuxAAAANwAAAAPAAAAAAAAAAAA&#10;AAAAAKECAABkcnMvZG93bnJldi54bWxQSwUGAAAAAAQABAD5AAAAkgMAAAAA&#10;" strokecolor="#4a7ebb" strokeweight="3pt">
                  <v:stroke startarrowwidth="wide" startarrowlength="long" endarrow="block"/>
                </v:shape>
                <v:shape id="_x0000_s1244" type="#_x0000_t202" style="position:absolute;left:18897;top:60763;width:7811;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OJcYA&#10;AADcAAAADwAAAGRycy9kb3ducmV2LnhtbESPQWvCQBSE70L/w/IKvemmi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OJcYAAADcAAAADwAAAAAAAAAAAAAAAACYAgAAZHJz&#10;L2Rvd25yZXYueG1sUEsFBgAAAAAEAAQA9QAAAIsDAAAAAA==&#10;" filled="f" stroked="f" strokeweight=".5pt">
                  <v:textbox>
                    <w:txbxContent>
                      <w:p w:rsidR="009722F0" w:rsidRPr="00123425" w:rsidRDefault="009722F0" w:rsidP="00335E4B">
                        <w:pPr>
                          <w:spacing w:after="4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نحاس الأنود</w:t>
                        </w:r>
                      </w:p>
                    </w:txbxContent>
                  </v:textbox>
                </v:shape>
                <v:shape id="Straight Arrow Connector 72" o:spid="_x0000_s1245" type="#_x0000_t32" style="position:absolute;left:14859;top:29457;width:0;height:153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83MAAAADcAAAADwAAAGRycy9kb3ducmV2LnhtbERPTYvCMBC9L/gfwgje1lQFWatRRHAp&#10;LIKrgtexGdvaZlKabNv99+YgeHy879WmN5VoqXGFZQWTcQSCOLW64EzB5bz//ALhPLLGyjIp+CcH&#10;m/XgY4Wxth3/UnvymQgh7GJUkHtfx1K6NCeDbmxr4sDdbWPQB9hkUjfYhXBTyWkUzaXBgkNDjjXt&#10;ckrL059RcOO2pIM0j/L4Q7fvJLmedcdKjYb9dgnCU+/f4pc70QpmizA/nAlH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KPNzAAAAA3AAAAA8AAAAAAAAAAAAAAAAA&#10;oQIAAGRycy9kb3ducmV2LnhtbFBLBQYAAAAABAAEAPkAAACOAwAAAAA=&#10;" strokecolor="#4a7ebb" strokeweight="3pt">
                  <v:stroke startarrowwidth="wide" startarrowlength="long" endarrow="block"/>
                </v:shape>
                <v:shape id="_x0000_s1246" type="#_x0000_t202" style="position:absolute;left:15168;top:35433;width:6091;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U/sYA&#10;AADcAAAADwAAAGRycy9kb3ducmV2LnhtbESPT4vCMBTE7wt+h/AEb2uqi4tWo0hBVsQ9+Ofi7dk8&#10;22LzUpuo1U+/WRA8DjPzG2Yya0wpblS7wrKCXjcCQZxaXXCmYL9bfA5BOI+ssbRMCh7kYDZtfUww&#10;1vbOG7ptfSYChF2MCnLvq1hKl+Zk0HVtRRy8k60N+iDrTOoa7wFuStmPom9psOCwkGNFSU7peXs1&#10;ClbJ4hc3x74ZPsvkZ32aV5f9YaBUp93MxyA8Nf4dfrWXWsHXq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U/sYAAADcAAAADwAAAAAAAAAAAAAAAACYAgAAZHJz&#10;L2Rvd25yZXYueG1sUEsFBgAAAAAEAAQA9QAAAIsDAAAAAA==&#10;" filled="f" stroked="f" strokeweight=".5pt">
                  <v:textbox>
                    <w:txbxContent>
                      <w:p w:rsidR="009722F0" w:rsidRPr="00E82E1B" w:rsidRDefault="009722F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الخبث</w:t>
                        </w:r>
                      </w:p>
                    </w:txbxContent>
                  </v:textbox>
                </v:shape>
                <v:line id="Straight Connector 79" o:spid="_x0000_s1247" style="position:absolute;flip:x y;visibility:visible;mso-wrap-style:square" from="3385,26528" to="3428,3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k7cMAAADcAAAADwAAAGRycy9kb3ducmV2LnhtbESP0WrCQBRE3wv+w3KFvtWNKUhMXUUL&#10;hT6a6AfcZq9JTPZuyG5jzNe7hYKPw8ycYTa70bRioN7VlhUsFxEI4sLqmksF59PXWwLCeWSNrWVS&#10;cCcHu+3sZYOptjfOaMh9KQKEXYoKKu+7VEpXVGTQLWxHHLyL7Q36IPtS6h5vAW5aGUfRShqsOSxU&#10;2NFnRUWT/xoFttHLad0cr0k0jVlcDw3+HM5Kvc7H/QcIT6N/hv/b31rB+zqGvzPhCM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OJO3DAAAA3AAAAA8AAAAAAAAAAAAA&#10;AAAAoQIAAGRycy9kb3ducmV2LnhtbFBLBQYAAAAABAAEAPkAAACRAwAAAAA=&#10;" strokecolor="#4a7ebb" strokeweight="3pt">
                  <v:stroke joinstyle="bevel" endcap="round"/>
                </v:line>
                <v:shape id="Straight Arrow Connector 80" o:spid="_x0000_s1248" type="#_x0000_t32" style="position:absolute;left:3428;top:26528;width:79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3l8UAAADcAAAADwAAAGRycy9kb3ducmV2LnhtbESPwWrDMBBE74X+g9hCLqaRE9HQuFZC&#10;CYTmkkOT0PNirWVTa2UsxXH/PioUehxm5g1TbifXiZGG0HrWsJjnIIgrb1q2Gi7n/fMriBCRDXae&#10;ScMPBdhuHh9KLIy/8SeNp2hFgnAoUEMTY19IGaqGHIa574mTV/vBYUxysNIMeEtw18llnq+kw5bT&#10;QoM97Rqqvk9Xp2F3rb+OF/ORvajjOqtGq/LMKq1nT9P7G4hIU/wP/7UPRoNaK/g9k4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R3l8UAAADcAAAADwAAAAAAAAAA&#10;AAAAAAChAgAAZHJzL2Rvd25yZXYueG1sUEsFBgAAAAAEAAQA+QAAAJMDAAAAAA==&#10;" strokecolor="#4a7ebb" strokeweight="3pt">
                  <v:stroke startarrowwidth="wide" startarrowlength="long" endarrow="block" endcap="round"/>
                </v:shape>
                <v:shape id="Text Box 81" o:spid="_x0000_s1249" type="#_x0000_t202" style="position:absolute;top:22018;width:11369;height:5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3ZscA&#10;AADcAAAADwAAAGRycy9kb3ducmV2LnhtbESPQWvCQBSE70L/w/IK3nRTtUXTbEQCUhE9mHrp7Zl9&#10;JqHZt2l2q7G/visUehxm5hsmWfamERfqXG1ZwdM4AkFcWF1zqeD4vh7NQTiPrLGxTApu5GCZPgwS&#10;jLW98oEuuS9FgLCLUUHlfRtL6YqKDLqxbYmDd7adQR9kV0rd4TXATSMnUfQiDdYcFipsKauo+My/&#10;jYJttt7j4TQx858me9udV+3X8eNZqeFjv3oF4an3/+G/9kYrmC5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92bHAAAA3AAAAA8AAAAAAAAAAAAAAAAAmAIAAGRy&#10;cy9kb3ducmV2LnhtbFBLBQYAAAAABAAEAPUAAACMAwAAAAA=&#10;" filled="f" stroked="f" strokeweight=".5pt">
                  <v:textbox>
                    <w:txbxContent>
                      <w:p w:rsidR="009722F0" w:rsidRPr="00E82E1B" w:rsidRDefault="009722F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مركَّز النحاس</w:t>
                        </w:r>
                      </w:p>
                    </w:txbxContent>
                  </v:textbox>
                </v:shape>
                <v:shape id="Straight Arrow Connector 74" o:spid="_x0000_s1250" type="#_x0000_t32" style="position:absolute;left:32144;top:27432;width:0;height:202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2fRMQAAADcAAAADwAAAGRycy9kb3ducmV2LnhtbESP3WrCQBSE7wXfYTlC7+qmlYqNriJC&#10;JVAE/6C3x+wxSZM9G7LbJL69KxS8HGbmG2ax6k0lWmpcYVnB2zgCQZxaXXCm4Hz6ep2BcB5ZY2WZ&#10;FNzIwWo5HCww1rbjA7VHn4kAYRejgtz7OpbSpTkZdGNbEwfvahuDPsgmk7rBLsBNJd+jaCoNFhwW&#10;cqxpk1NaHv+Mggu3Je2k+S3333TZJsnPSXes1MuoX89BeOr9M/zfTrSCyecHPM6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Z9ExAAAANwAAAAPAAAAAAAAAAAA&#10;AAAAAKECAABkcnMvZG93bnJldi54bWxQSwUGAAAAAAQABAD5AAAAkgMAAAAA&#10;" strokecolor="#4a7ebb" strokeweight="3pt">
                  <v:stroke startarrowwidth="wide" startarrowlength="long" endarrow="block"/>
                </v:shape>
                <v:line id="Straight Connector 82" o:spid="_x0000_s1251" style="position:absolute;flip:x;visibility:visible;mso-wrap-style:square" from="25025,28586" to="28590,2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IOVcUAAADcAAAADwAAAGRycy9kb3ducmV2LnhtbESPQWvCQBSE7wX/w/IEb3VTI2JSVxGh&#10;EuihNEZ6fWRfk2D2bdjdxvTfdwuFHoeZ+YbZHSbTi5Gc7ywreFomIIhrqztuFFSXl8ctCB+QNfaW&#10;ScE3eTjsZw87zLW98zuNZWhEhLDPUUEbwpBL6euWDPqlHYij92mdwRCla6R2eI9w08tVkmykwY7j&#10;QosDnVqqb+WXUTAeq2x9O6fGTa/d2l6r4i18WKUW8+n4DCLQFP7Df+1CK0izDfyeiUd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IOVcUAAADcAAAADwAAAAAAAAAA&#10;AAAAAAChAgAAZHJzL2Rvd25yZXYueG1sUEsFBgAAAAAEAAQA+QAAAJMDAAAAAA==&#10;" strokecolor="#4a7ebb" strokeweight="3pt">
                  <v:stroke endcap="round"/>
                </v:line>
                <v:roundrect id="Rounded Rectangle 17" o:spid="_x0000_s1252" style="position:absolute;left:11371;top:24003;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PWcYA&#10;AADcAAAADwAAAGRycy9kb3ducmV2LnhtbESPQYvCMBSE74L/ITzBi2i6K+hajbK7IIoHQVfQ46N5&#10;tsXmpdtErf56Iwgeh5n5hpnMalOIC1Uut6zgoxeBIE6szjlVsPubd79AOI+ssbBMCm7kYDZtNiYY&#10;a3vlDV22PhUBwi5GBZn3ZSylSzIy6Hq2JA7e0VYGfZBVKnWF1wA3hfyMooE0mHNYyLCk34yS0/Zs&#10;FBwGC73G3U90Gt07q/2if8j/06VS7Vb9PQbhqfbv8Ku91Ar6oy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kPWc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9722F0" w:rsidRPr="00E82E1B" w:rsidRDefault="009722F0" w:rsidP="00335E4B">
                        <w:pPr>
                          <w:spacing w:before="120"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الصهر</w:t>
                        </w:r>
                      </w:p>
                    </w:txbxContent>
                  </v:textbox>
                </v:roundrect>
                <v:roundrect id="Rounded Rectangle 51" o:spid="_x0000_s1253" style="position:absolute;left:1142;top:33176;width:12573;height:79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K8IA&#10;AADcAAAADwAAAGRycy9kb3ducmV2LnhtbERPy4rCMBTdC/5DuIIb0VQF0WoUFUSZxYAP0OWlubbF&#10;5qY2Uet8/WQhuDyc92xRm0I8qXK5ZQX9XgSCOLE651TB6bjpjkE4j6yxsEwK3uRgMW82Zhhr++I9&#10;PQ8+FSGEXYwKMu/LWEqXZGTQ9WxJHLirrQz6AKtU6gpfIdwUchBFI2kw59CQYUnrjJLb4WEUXEZb&#10;/YunVXSb/HV+ztvhJb+nO6XarXo5BeGp9l/xx73TCoaTsDacC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psrwgAAANwAAAAPAAAAAAAAAAAAAAAAAJgCAABkcnMvZG93&#10;bnJldi54bWxQSwUGAAAAAAQABAD1AAAAhwMAAAAA&#10;" fillcolor="#a3c4ff" strokecolor="#4a7ebb">
                  <v:fill color2="#e5eeff" rotate="t" angle="180" colors="0 #a3c4ff;22938f #bfd5ff;1 #e5eeff" focus="100%" type="gradient"/>
                  <v:shadow on="t" color="black" opacity="24903f" origin=",.5" offset="0,.55556mm"/>
                  <v:textbox>
                    <w:txbxContent>
                      <w:p w:rsidR="009722F0" w:rsidRPr="00E82E1B" w:rsidRDefault="009722F0" w:rsidP="00E82E1B">
                        <w:pPr>
                          <w:spacing w:before="120"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تبريد الخبث والتعويم أو فرن تنظيف الخبث</w:t>
                        </w:r>
                      </w:p>
                    </w:txbxContent>
                  </v:textbox>
                </v:roundrect>
                <v:shape id="Straight Arrow Connector 84" o:spid="_x0000_s1254" type="#_x0000_t32" style="position:absolute;left:24667;top:57170;width:40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VQcMAAADcAAAADwAAAGRycy9kb3ducmV2LnhtbESP3WrCQBSE7wu+w3IE7+rGCkWjq4hQ&#10;CZRC/QFvj9ljEpM9G7Jrkr59VxC8HGbmG2a57k0lWmpcYVnBZByBIE6tLjhTcDp+vc9AOI+ssbJM&#10;Cv7IwXo1eFtirG3He2oPPhMBwi5GBbn3dSylS3My6Ma2Jg7e1TYGfZBNJnWDXYCbSn5E0ac0WHBY&#10;yLGmbU5pebgbBRduS/qR5lb+ftNllyTno+5YqdGw3yxAeOr9K/xsJ1rBdD6Hx5lw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wlUHDAAAA3AAAAA8AAAAAAAAAAAAA&#10;AAAAoQIAAGRycy9kb3ducmV2LnhtbFBLBQYAAAAABAAEAPkAAACRAwAAAAA=&#10;" strokecolor="#4a7ebb" strokeweight="3pt">
                  <v:stroke startarrowwidth="wide" startarrowlength="long" endarrow="block"/>
                </v:shape>
                <v:shape id="_x0000_s1255" type="#_x0000_t202" style="position:absolute;left:28575;top:51494;width:10592;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ph8QA&#10;AADcAAAADwAAAGRycy9kb3ducmV2LnhtbERPy2rCQBTdF/yH4Ra6q5NKFY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6qYfEAAAA3AAAAA8AAAAAAAAAAAAAAAAAmAIAAGRycy9k&#10;b3ducmV2LnhtbFBLBQYAAAAABAAEAPUAAACJAwAAAAA=&#10;" filled="f" stroked="f" strokeweight=".5pt">
                  <v:textbox>
                    <w:txbxContent>
                      <w:p w:rsidR="009722F0" w:rsidRPr="00E82E1B" w:rsidRDefault="009722F0" w:rsidP="00E82E1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النحاس المنفط</w:t>
                        </w:r>
                      </w:p>
                    </w:txbxContent>
                  </v:textbox>
                </v:shape>
                <v:shape id="_x0000_s1256" type="#_x0000_t202" style="position:absolute;left:18415;top:51009;width:8858;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MHMYA&#10;AADcAAAADwAAAGRycy9kb3ducmV2LnhtbESPQWvCQBSE74L/YXlCb7qJ1C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YMHMYAAADcAAAADwAAAAAAAAAAAAAAAACYAgAAZHJz&#10;L2Rvd25yZXYueG1sUEsFBgAAAAAEAAQA9QAAAIsDAAAAAA==&#10;" filled="f" stroked="f" strokeweight=".5pt">
                  <v:textbox>
                    <w:txbxContent>
                      <w:p w:rsidR="009722F0" w:rsidRPr="00E82E1B" w:rsidRDefault="009722F0" w:rsidP="00E82E1B">
                        <w:pPr>
                          <w:spacing w:line="280" w:lineRule="exact"/>
                          <w:rPr>
                            <w:rFonts w:ascii="Traditional Arabic" w:hAnsi="Traditional Arabic" w:cs="Traditional Arabic"/>
                            <w:sz w:val="26"/>
                            <w:szCs w:val="26"/>
                            <w:lang w:val="en-CA"/>
                          </w:rPr>
                        </w:pPr>
                        <w:r w:rsidRPr="00E82E1B">
                          <w:rPr>
                            <w:rFonts w:ascii="Traditional Arabic" w:hAnsi="Traditional Arabic" w:cs="Traditional Arabic"/>
                            <w:sz w:val="26"/>
                            <w:szCs w:val="26"/>
                            <w:rtl/>
                            <w:lang w:val="en-CA"/>
                          </w:rPr>
                          <w:t>النحاس المنفط</w:t>
                        </w:r>
                      </w:p>
                    </w:txbxContent>
                  </v:textbox>
                </v:shape>
                <v:line id="Straight Connector 87" o:spid="_x0000_s1257" style="position:absolute;flip:x y;visibility:visible;mso-wrap-style:square" from="28759,28600" to="28759,4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58D8IAAADcAAAADwAAAGRycy9kb3ducmV2LnhtbESP3YrCMBSE74V9h3AWvNPEIqJdo+wK&#10;C3vp3wOcbY5tbXNSmlirT28EwcthZr5hluve1qKj1peONUzGCgRx5kzJuYbj4Xc0B+EDssHaMWm4&#10;kYf16mOwxNS4K++o24dcRAj7FDUUITSplD4ryKIfu4Y4eifXWgxRtrk0LV4j3NYyUWomLZYcFwps&#10;aFNQVu0vVoOrzOS+qLbnubr3u6TsKvz/OWo9/Oy/v0AE6sM7/Gr/GQ1TlcD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58D8IAAADcAAAADwAAAAAAAAAAAAAA&#10;AAChAgAAZHJzL2Rvd25yZXYueG1sUEsFBgAAAAAEAAQA+QAAAJADAAAAAA==&#10;" strokecolor="#4a7ebb" strokeweight="3pt">
                  <v:stroke joinstyle="bevel" endcap="round"/>
                </v:line>
                <v:group id="Group 88" o:spid="_x0000_s1258" style="position:absolute;left:27251;top:46709;width:2330;height:2286;rotation:5434009fd" coordsize="233342,22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BmZfFAAAA3AAA&#10;AA8AAAAAAAAAAAAAAAAAqgIAAGRycy9kb3ducmV2LnhtbFBLBQYAAAAABAAEAPoAAACcAwAAAAA=&#10;">
                  <v:shape id="Arc 89" o:spid="_x0000_s1259" style="position:absolute;top:37;width:228673;height:228600;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xYcUA&#10;AADcAAAADwAAAGRycy9kb3ducmV2LnhtbESPT2sCMRTE74V+h/CEXkSzFSmyGkUKFksL9d/B4yN5&#10;7i5uXtYkXddvbwpCj8PM/IaZLTpbi5Z8qBwreB1mIIi1MxUXCg771WACIkRkg7VjUnCjAIv589MM&#10;c+OuvKV2FwuRIBxyVFDG2ORSBl2SxTB0DXHyTs5bjEn6QhqP1wS3tRxl2Zu0WHFaKLGh95L0efdr&#10;Fdjt54YOq+O31ftL29c/vrh8fCn10uuWUxCRuvgffrTXRsE4G8Pf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HFhxQAAANwAAAAPAAAAAAAAAAAAAAAAAJgCAABkcnMv&#10;ZG93bnJldi54bWxQSwUGAAAAAAQABAD1AAAAigM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9722F0" w:rsidRDefault="009722F0" w:rsidP="00335E4B"/>
                      </w:txbxContent>
                    </v:textbox>
                  </v:shape>
                  <v:shape id="Arc 90" o:spid="_x0000_s1260" style="position:absolute;left:4705;top:37;width:228673;height:228600;rotation:-4925144fd;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q1sQA&#10;AADcAAAADwAAAGRycy9kb3ducmV2LnhtbESP3UoDMRSE74W+QzgF72ziXy3bpqUIyoJSaLfeHzan&#10;u4vJSUhiu769EQQvh5n5hlltRmfFmWIaPGu4nSkQxK03A3cajs3LzQJEysgGrWfS8E0JNuvJ1Qor&#10;4y+8p/Mhd6JAOFWooc85VFKmtieHaeYDcfFOPjrMRcZOmoiXAndW3ik1lw4HLgs9Bnruqf08fDkN&#10;IRx3dW3f7+PraftmmsY+RfWh9fV03C5BZBrzf/ivXRsND+oRfs+U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wqtbEAAAA3AAAAA8AAAAAAAAAAAAAAAAAmAIAAGRycy9k&#10;b3ducmV2LnhtbFBLBQYAAAAABAAEAPUAAACJAw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9722F0" w:rsidRDefault="009722F0" w:rsidP="00335E4B"/>
                      </w:txbxContent>
                    </v:textbox>
                  </v:shape>
                </v:group>
                <v:line id="Straight Connector 91" o:spid="_x0000_s1261" style="position:absolute;flip:x y;visibility:visible;mso-wrap-style:square" from="28589,48958" to="28706,5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6DMMAAADcAAAADwAAAGRycy9kb3ducmV2LnhtbESP3YrCMBSE74V9h3AWvNNEEdGuUdwF&#10;wUt/+gDH5mxb25yUJtbq05uFBS+HmfmGWW16W4uOWl861jAZKxDEmTMl5xrS8260AOEDssHaMWl4&#10;kIfN+mOwwsS4Ox+pO4VcRAj7BDUUITSJlD4ryKIfu4Y4er+utRiibHNpWrxHuK3lVKm5tFhyXCiw&#10;oZ+Csup0sxpcZSbPZXW4LtSzP07LrsLLd6r18LPffoEI1Id3+L+9Nxpmag5/Z+IR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VegzDAAAA3AAAAA8AAAAAAAAAAAAA&#10;AAAAoQIAAGRycy9kb3ducmV2LnhtbFBLBQYAAAAABAAEAPkAAACRAwAAAAA=&#10;" strokecolor="#4a7ebb" strokeweight="3pt">
                  <v:stroke joinstyle="bevel" endcap="round"/>
                </v:line>
                <v:shape id="Text Box 92" o:spid="_x0000_s1262" type="#_x0000_t202" style="position:absolute;left:31502;top:37141;width:6090;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x88YA&#10;AADcAAAADwAAAGRycy9kb3ducmV2LnhtbESPT4vCMBTE7wt+h/AEb2uqrK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Mx88YAAADcAAAADwAAAAAAAAAAAAAAAACYAgAAZHJz&#10;L2Rvd25yZXYueG1sUEsFBgAAAAAEAAQA9QAAAIsDAAAAAA==&#10;" filled="f" stroked="f" strokeweight=".5pt">
                  <v:textbox>
                    <w:txbxContent>
                      <w:p w:rsidR="009722F0" w:rsidRPr="00E82E1B" w:rsidRDefault="009722F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الغاز المنبعث</w:t>
                        </w:r>
                      </w:p>
                    </w:txbxContent>
                  </v:textbox>
                </v:shape>
                <v:shape id="Straight Arrow Connector 94" o:spid="_x0000_s1263" type="#_x0000_t32" style="position:absolute;left:14913;top:11169;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G0cMAAADcAAAADwAAAGRycy9kb3ducmV2LnhtbERPTWvCQBC9F/oflil4kbpRtLTRVVQo&#10;lB6U2h7qbchOk6XZ2ZhdTfrvnYPQ4+N9L1a9r9WF2ugCGxiPMlDERbCOSwNfn6+Pz6BiQrZYByYD&#10;fxRhtby/W2BuQ8cfdDmkUkkIxxwNVCk1udaxqMhjHIWGWLif0HpMAttS2xY7Cfe1nmTZk/boWBoq&#10;bGhbUfF7OHsDU7c/de8ztzntdkG/fBfncJwOjRk89Os5qER9+hff3G9WfJmslTNyBP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IBtHDAAAA3AAAAA8AAAAAAAAAAAAA&#10;AAAAoQIAAGRycy9kb3ducmV2LnhtbFBLBQYAAAAABAAEAPkAAACRAwAAAAA=&#10;" strokecolor="#4a7ebb" strokeweight="3pt">
                  <v:stroke startarrowwidth="wide" startarrowlength="long" endarrow="block"/>
                </v:shape>
                <v:shape id="Straight Arrow Connector 95" o:spid="_x0000_s1264" type="#_x0000_t32" style="position:absolute;left:14913;top:20295;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SjSsYAAADcAAAADwAAAGRycy9kb3ducmV2LnhtbESPT2sCMRTE7wW/Q3hCL6LZFhVdjWIL&#10;heJB8c+hvT02z93g5mXdRHf77Y0g9DjM/GaY+bK1pbhR7Y1jBW+DBARx5rThXMHx8NWfgPABWWPp&#10;mBT8kYflovMyx1S7hnd024dcxBL2KSooQqhSKX1WkEU/cBVx9E6uthiirHOpa2xiuS3le5KMpUXD&#10;caHAij4Lys77q1UwNNtLsx6Zj8tm4+T0J7u632FPqdduu5qBCNSG//CT/taRS6bwOB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Eo0rGAAAA3AAAAA8AAAAAAAAA&#10;AAAAAAAAoQIAAGRycy9kb3ducmV2LnhtbFBLBQYAAAAABAAEAPkAAACUAwAAAAA=&#10;" strokecolor="#4a7ebb" strokeweight="3pt">
                  <v:stroke startarrowwidth="wide" startarrowlength="long" endarrow="block"/>
                </v:shape>
                <v:line id="Straight Connector 96" o:spid="_x0000_s1265" style="position:absolute;flip:x y;visibility:visible;mso-wrap-style:square" from="18117,12573" to="18198,2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ze8EAAADcAAAADwAAAGRycy9kb3ducmV2LnhtbERPXWvCMBR9H+w/hDvwbaZO2aQzyqgI&#10;gghbN/D10lybsuambaLGf28eBB8P53uxirYVZxp841jBZJyBIK6cbrhW8Pe7eZ2D8AFZY+uYFFzJ&#10;w2r5/LTAXLsL/9C5DLVIIexzVGBC6HIpfWXIoh+7jjhxRzdYDAkOtdQDXlK4beVblr1Liw2nBoMd&#10;FYaq//JkFRS8M9V0+nGwe/ou+3js47rolRq9xK9PEIFieIjv7q1WMJuk+elMOgJ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CfN7wQAAANwAAAAPAAAAAAAAAAAAAAAA&#10;AKECAABkcnMvZG93bnJldi54bWxQSwUGAAAAAAQABAD5AAAAjwMAAAAA&#10;" strokeweight="2pt">
                  <v:stroke dashstyle="dash" joinstyle="bevel" endcap="round"/>
                </v:line>
                <v:roundrect id="Rounded Rectangle 93" o:spid="_x0000_s1266" style="position:absolute;left:3429;top:14859;width:13653;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8iccA&#10;AADcAAAADwAAAGRycy9kb3ducmV2LnhtbESPQWvCQBSE74L/YXlCL1I3qSJtmlVsoSgehKZCc3xk&#10;X5Ng9m3MbjX213cFweMwM98w6bI3jThR52rLCuJJBIK4sLrmUsH+6+PxGYTzyBoby6TgQg6Wi+Eg&#10;xUTbM3/SKfOlCBB2CSqovG8TKV1RkUE3sS1x8H5sZ9AH2ZVSd3gOcNPIpyiaS4M1h4UKW3qvqDhk&#10;v0ZBPl/rHe7fosPL33j7vZ7m9bHcKPUw6levIDz1/h6+tTdawSyO4X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l/In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9722F0" w:rsidRPr="00E82E1B" w:rsidRDefault="009722F0" w:rsidP="00335E4B">
                        <w:pPr>
                          <w:spacing w:before="120"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التحميص</w:t>
                        </w:r>
                      </w:p>
                    </w:txbxContent>
                  </v:textbox>
                </v:roundrect>
                <v:shape id="Straight Arrow Connector 78" o:spid="_x0000_s1267" type="#_x0000_t32" style="position:absolute;left:23851;top:2286;width:0;height:21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n5sYAAADcAAAADwAAAGRycy9kb3ducmV2LnhtbESPT2sCMRTE74LfIbxCL6VmFSvtahQV&#10;CuJB8c/B3h6b527o5mXdRHf99qZQ8DjM/GaYyay1pbhR7Y1jBf1eAoI4c9pwruB4+H7/BOEDssbS&#10;MSm4k4fZtNuZYKpdwzu67UMuYgn7FBUUIVSplD4ryKLvuYo4emdXWwxR1rnUNTax3JZykCQjadFw&#10;XCiwomVB2e/+ahUMzfbSrD/M4rLZOPl1yq7uZ/im1OtLOx+DCNSGZ/ifXunI9QfwdyYeAT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5p+bGAAAA3AAAAA8AAAAAAAAA&#10;AAAAAAAAoQIAAGRycy9kb3ducmV2LnhtbFBLBQYAAAAABAAEAPkAAACUAwAAAAA=&#10;" strokecolor="#4a7ebb" strokeweight="3pt">
                  <v:stroke startarrowwidth="wide" startarrowlength="long" endarrow="block"/>
                </v:shape>
                <v:roundrect id="Rounded Rectangle 55" o:spid="_x0000_s1268" style="position:absolute;left:42291;top:48014;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HZccA&#10;AADcAAAADwAAAGRycy9kb3ducmV2LnhtbESPQWvCQBSE7wX/w/IKXkrd2BRpUzeiBVE8CLVCPT6y&#10;r0kw+zZm1yT6612h0OMwM98w01lvKtFS40rLCsajCARxZnXJuYL99/L5DYTzyBory6TgQg5m6eBh&#10;iom2HX9Ru/O5CBB2CSoovK8TKV1WkEE3sjVx8H5tY9AH2eRSN9gFuKnkSxRNpMGSw0KBNX0WlB13&#10;Z6PgMFnpLe4X0fH9+rT5WcWH8pSvlRo+9vMPEJ56/x/+a6+1gtdxDP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7x2X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9722F0" w:rsidRPr="00E82E1B" w:rsidRDefault="009722F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منشأة تصنيع حمض الكبريتيك</w:t>
                        </w:r>
                      </w:p>
                    </w:txbxContent>
                  </v:textbox>
                </v:roundrect>
                <v:shape id="Straight Arrow Connector 83" o:spid="_x0000_s1269" type="#_x0000_t32" style="position:absolute;left:44577;top:29543;width:4;height:3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04MIAAADcAAAADwAAAGRycy9kb3ducmV2LnhtbESPQYvCMBSE7wv+h/AEb2uqiCzVKCIo&#10;BRF2VfD6bJ5tbfNSmtjWf78RFvY4zMw3zHLdm0q01LjCsoLJOAJBnFpdcKbgct59foFwHlljZZkU&#10;vMjBejX4WGKsbcc/1J58JgKEXYwKcu/rWEqX5mTQjW1NHLy7bQz6IJtM6ga7ADeVnEbRXBosOCzk&#10;WNM2p7Q8PY2CG7clHaV5lN8Huu2T5HrWHSs1GvabBQhPvf8P/7UTrWA2mcH7TDg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0j04MIAAADcAAAADwAAAAAAAAAAAAAA&#10;AAChAgAAZHJzL2Rvd25yZXYueG1sUEsFBgAAAAAEAAQA+QAAAJADAAAAAA==&#10;" strokecolor="#4a7ebb" strokeweight="3pt">
                  <v:stroke startarrowwidth="wide" startarrowlength="long" endarrow="block"/>
                </v:shape>
                <v:shape id="Text Box 97" o:spid="_x0000_s1270" type="#_x0000_t202" style="position:absolute;left:33293;top:32600;width:14719;height:4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cwscA&#10;AADcAAAADwAAAGRycy9kb3ducmV2LnhtbESPQWvCQBSE74X+h+UJvdVNp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UnMLHAAAA3AAAAA8AAAAAAAAAAAAAAAAAmAIAAGRy&#10;cy9kb3ducmV2LnhtbFBLBQYAAAAABAAEAPUAAACMAwAAAAA=&#10;" filled="f" stroked="f" strokeweight=".5pt">
                  <v:textbox>
                    <w:txbxContent>
                      <w:p w:rsidR="009722F0" w:rsidRPr="009059D8" w:rsidRDefault="009722F0" w:rsidP="00335E4B">
                        <w:pPr>
                          <w:spacing w:line="280" w:lineRule="exact"/>
                          <w:jc w:val="center"/>
                          <w:rPr>
                            <w:sz w:val="28"/>
                            <w:rtl/>
                            <w:lang w:val="en-CA" w:bidi="ar-SY"/>
                          </w:rPr>
                        </w:pPr>
                        <w:r w:rsidRPr="00E82E1B">
                          <w:rPr>
                            <w:rFonts w:ascii="Traditional Arabic" w:hAnsi="Traditional Arabic" w:cs="Traditional Arabic"/>
                            <w:sz w:val="26"/>
                            <w:szCs w:val="26"/>
                            <w:rtl/>
                            <w:lang w:val="en-CA" w:bidi="ar-SY"/>
                          </w:rPr>
                          <w:t>نفايات</w:t>
                        </w:r>
                        <w:r>
                          <w:rPr>
                            <w:rFonts w:hint="cs"/>
                            <w:sz w:val="28"/>
                            <w:rtl/>
                            <w:lang w:val="en-CA" w:bidi="ar-SY"/>
                          </w:rPr>
                          <w:t xml:space="preserve"> </w:t>
                        </w:r>
                        <w:r w:rsidRPr="00B26D11">
                          <w:rPr>
                            <w:sz w:val="16"/>
                            <w:szCs w:val="16"/>
                            <w:lang w:val="en-CA" w:bidi="ar-SY"/>
                          </w:rPr>
                          <w:t>HgSe</w:t>
                        </w:r>
                      </w:p>
                      <w:p w:rsidR="009722F0" w:rsidRPr="00E82E1B" w:rsidRDefault="009722F0" w:rsidP="00335E4B">
                        <w:pPr>
                          <w:spacing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(إذا كان السلنيوم موجوداً)</w:t>
                        </w:r>
                      </w:p>
                    </w:txbxContent>
                  </v:textbox>
                </v:shape>
                <v:group id="Group 99" o:spid="_x0000_s1271" style="position:absolute;left:19588;top:17145;width:2331;height:2286" coordsize="233342,22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Arc 100" o:spid="_x0000_s1272" style="position:absolute;top:37;width:228673;height:228600;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5y8YA&#10;AADcAAAADwAAAGRycy9kb3ducmV2LnhtbESPT2sCMRTE7wW/Q3hCL1KzltKW1ShSsFgs+PfQ4yN5&#10;7i5uXtYkruu3bwpCj8PM/IaZzDpbi5Z8qBwrGA0zEMTamYoLBYf94ukdRIjIBmvHpOBGAWbT3sME&#10;c+OuvKV2FwuRIBxyVFDG2ORSBl2SxTB0DXHyjs5bjEn6QhqP1wS3tXzOsldpseK0UGJDHyXp0+5i&#10;Fdjt14YOi59vq/fndqDXvjh/rpR67HfzMYhIXfwP39tLo+Bl9AZ/Z9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N5y8YAAADcAAAADwAAAAAAAAAAAAAAAACYAgAAZHJz&#10;L2Rvd25yZXYueG1sUEsFBgAAAAAEAAQA9QAAAIsDA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9722F0" w:rsidRDefault="009722F0" w:rsidP="00335E4B"/>
                      </w:txbxContent>
                    </v:textbox>
                  </v:shape>
                  <v:shape id="Arc 101" o:spid="_x0000_s1273" style="position:absolute;left:4705;top:37;width:228673;height:228600;rotation:-4925144fd;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lcEA&#10;AADcAAAADwAAAGRycy9kb3ducmV2LnhtbERPXWvCMBR9F/Yfwh3sTVPn0NEZRQaTwkSwde+X5tqW&#10;JTchybT798vDwMfD+V5vR2vElUIcHCuYzwoQxK3TA3cKzs3H9BVETMgajWNS8EsRtpuHyRpL7W58&#10;omudOpFDOJaooE/Jl1LGtieLceY8ceYuLlhMGYZO6oC3HG6NfC6KpbQ4cG7o0dN7T+13/WMVeH8+&#10;VpU5LML+svvUTWNWofhS6ulx3L2BSDSmu/jfXWkFL/O8Np/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ok5XBAAAA3AAAAA8AAAAAAAAAAAAAAAAAmAIAAGRycy9kb3du&#10;cmV2LnhtbFBLBQYAAAAABAAEAPUAAACGAw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9722F0" w:rsidRDefault="009722F0" w:rsidP="00335E4B"/>
                      </w:txbxContent>
                    </v:textbox>
                  </v:shape>
                </v:group>
                <v:group id="Group 102" o:spid="_x0000_s1274" style="position:absolute;left:22704;top:17139;width:2330;height:2286" coordsize="233342,22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Arc 103" o:spid="_x0000_s1275" style="position:absolute;top:37;width:228673;height:228600;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rAsIA&#10;AADcAAAADwAAAGRycy9kb3ducmV2LnhtbERPy2oCMRTdF/yHcAU3RTNKKWU0igiKYqH1sXB5Sa4z&#10;g5ObMYnj9O+bRaHLw3nPFp2tRUs+VI4VjEcZCGLtTMWFgvNpPfwAESKywdoxKfihAIt572WGuXFP&#10;PlB7jIVIIRxyVFDG2ORSBl2SxTByDXHirs5bjAn6QhqPzxRuaznJsndpseLUUGJDq5L07fiwCuxh&#10;903n9eXT6tO9fdVfvrhv9koN+t1yCiJSF//Ff+6tUfA2SfPTmXQ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isCwgAAANwAAAAPAAAAAAAAAAAAAAAAAJgCAABkcnMvZG93&#10;bnJldi54bWxQSwUGAAAAAAQABAD1AAAAhwM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9722F0" w:rsidRDefault="009722F0" w:rsidP="00335E4B"/>
                      </w:txbxContent>
                    </v:textbox>
                  </v:shape>
                  <v:shape id="Arc 104" o:spid="_x0000_s1276" style="position:absolute;left:4705;top:37;width:228673;height:228600;rotation:-4925144fd;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wtcQA&#10;AADcAAAADwAAAGRycy9kb3ducmV2LnhtbESPQWsCMRSE74X+h/AK3mpWLW1ZjSKFykKlUNfeH5vn&#10;7mLyEpKo23/fCILHYWa+YRarwRpxphB7xwom4wIEceN0z62Cff35/A4iJmSNxjEp+KMIq+XjwwJL&#10;7S78Q+ddakWGcCxRQZeSL6WMTUcW49h54uwdXLCYsgyt1AEvGW6NnBbFq7TYc17o0NNHR81xd7IK&#10;vN9/V5XZzsLmsP7SdW3eQvGr1OhpWM9BJBrSPXxrV1rBy3QC1zP5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LXEAAAA3AAAAA8AAAAAAAAAAAAAAAAAmAIAAGRycy9k&#10;b3ducmV2LnhtbFBLBQYAAAAABAAEAPUAAACJAw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9722F0" w:rsidRDefault="009722F0" w:rsidP="00335E4B"/>
                      </w:txbxContent>
                    </v:textbox>
                  </v:shape>
                </v:group>
                <v:line id="Straight Connector 105" o:spid="_x0000_s1277" style="position:absolute;flip:x;visibility:visible;mso-wrap-style:square" from="17286,17986" to="19431,1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1MQAAADcAAAADwAAAGRycy9kb3ducmV2LnhtbESPQWvCQBSE7wX/w/IEb3VjDEWjq4hQ&#10;EXoo1YjXR/aZBLNvw+42xn/fLRR6HGbmG2a9HUwrenK+saxgNk1AEJdWN1wpKM7vrwsQPiBrbC2T&#10;gid52G5GL2vMtX3wF/WnUIkIYZ+jgjqELpfSlzUZ9FPbEUfvZp3BEKWrpHb4iHDTyjRJ3qTBhuNC&#10;jR3tayrvp2+joN8Vy+x+mBs3fDSZvRTHz3C1Sk3Gw24FItAQ/sN/7aNWkKUp/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zUxAAAANwAAAAPAAAAAAAAAAAA&#10;AAAAAKECAABkcnMvZG93bnJldi54bWxQSwUGAAAAAAQABAD5AAAAkgMAAAAA&#10;" strokecolor="#4a7ebb" strokeweight="3pt">
                  <v:stroke endcap="round"/>
                </v:line>
                <v:line id="Straight Connector 106" o:spid="_x0000_s1278" style="position:absolute;flip:x;visibility:visible;mso-wrap-style:square" from="21872,18009" to="22798,1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pT8QAAADcAAAADwAAAGRycy9kb3ducmV2LnhtbESPQWvCQBSE70L/w/IK3nRTDdKmbkQK&#10;FaEH0ab0+si+JiHZt2F3jfHfdwXB4zAz3zDrzWg6MZDzjWUFL/MEBHFpdcOVguL7c/YKwgdkjZ1l&#10;UnAlD5v8abLGTNsLH2k4hUpECPsMFdQh9JmUvqzJoJ/bnjh6f9YZDFG6SmqHlwg3nVwkyUoabDgu&#10;1NjTR01lezobBcO2eEvb3dK48atJ7U+xP4Rfq9T0edy+gwg0hkf43t5rBeliCbcz8QjI/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sKlPxAAAANwAAAAPAAAAAAAAAAAA&#10;AAAAAKECAABkcnMvZG93bnJldi54bWxQSwUGAAAAAAQABAD5AAAAkgMAAAAA&#10;" strokecolor="#4a7ebb" strokeweight="3pt">
                  <v:stroke endcap="round"/>
                </v:line>
                <v:line id="Straight Connector 107" o:spid="_x0000_s1279" style="position:absolute;flip:x;visibility:visible;mso-wrap-style:square" from="25288,18037" to="49149,1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kxO8QAAADcAAAADwAAAGRycy9kb3ducmV2LnhtbESPQWvCQBSE7wX/w/IEb3WjhmJTNyJC&#10;RfBQqpFeH9nXJCT7NuxuY/z3bqHQ4zAz3zCb7Wg6MZDzjWUFi3kCgri0uuFKQXF5f16D8AFZY2eZ&#10;FNzJwzafPG0w0/bGnzScQyUihH2GCuoQ+kxKX9Zk0M9tTxy9b+sMhihdJbXDW4SbTi6T5EUabDgu&#10;1NjTvqayPf8YBcOueE3bw8q48dSk9locP8KXVWo2HXdvIAKN4T/81z5qBekyhd8z8Qj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WTE7xAAAANwAAAAPAAAAAAAAAAAA&#10;AAAAAKECAABkcnMvZG93bnJldi54bWxQSwUGAAAAAAQABAD5AAAAkgMAAAAA&#10;" strokecolor="#4a7ebb" strokeweight="3pt">
                  <v:stroke endcap="round"/>
                </v:line>
                <v:shape id="Straight Arrow Connector 108" o:spid="_x0000_s1280" type="#_x0000_t32" style="position:absolute;left:49142;top:18037;width:5;height:5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z1L8YAAADcAAAADwAAAGRycy9kb3ducmV2LnhtbESPQWvCQBSE7wX/w/IKvZS6UVTa6Bq0&#10;UCgeLFUP9vbIPpOl2bdJdjXx37tCocdh5pthFllvK3Gh1hvHCkbDBARx7rThQsFh//HyCsIHZI2V&#10;Y1JwJQ/ZcvCwwFS7jr/psguFiCXsU1RQhlCnUvq8JIt+6Gri6J1cazFE2RZSt9jFclvJcZLMpEXD&#10;caHEmt5Lyn93Z6tgYr6abjM162a7dfLtmJ/dz+RZqafHfjUHEagP/+E/+lNHbjy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89S/GAAAA3AAAAA8AAAAAAAAA&#10;AAAAAAAAoQIAAGRycy9kb3ducmV2LnhtbFBLBQYAAAAABAAEAPkAAACUAwAAAAA=&#10;" strokecolor="#4a7ebb" strokeweight="3pt">
                  <v:stroke startarrowwidth="wide" startarrowlength="long" endarrow="block"/>
                </v:shape>
                <v:shape id="Text Box 109" o:spid="_x0000_s1281" type="#_x0000_t202" style="position:absolute;left:31503;top:14859;width:964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CMcA&#10;AADcAAAADwAAAGRycy9kb3ducmV2LnhtbESPzWrDMBCE74G+g9hCbolc0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AjHAAAA3AAAAA8AAAAAAAAAAAAAAAAAmAIAAGRy&#10;cy9kb3ducmV2LnhtbFBLBQYAAAAABAAEAPUAAACMAwAAAAA=&#10;" filled="f" stroked="f" strokeweight=".5pt">
                  <v:textbox>
                    <w:txbxContent>
                      <w:p w:rsidR="009722F0" w:rsidRPr="00E82E1B" w:rsidRDefault="009722F0" w:rsidP="00335E4B">
                        <w:pPr>
                          <w:spacing w:after="40" w:line="280" w:lineRule="exact"/>
                          <w:jc w:val="center"/>
                          <w:rPr>
                            <w:rFonts w:ascii="Traditional Arabic" w:hAnsi="Traditional Arabic" w:cs="Traditional Arabic"/>
                            <w:sz w:val="26"/>
                            <w:szCs w:val="26"/>
                            <w:lang w:val="en-CA" w:bidi="ar-SY"/>
                          </w:rPr>
                        </w:pPr>
                        <w:r w:rsidRPr="00E82E1B">
                          <w:rPr>
                            <w:rFonts w:ascii="Traditional Arabic" w:hAnsi="Traditional Arabic" w:cs="Traditional Arabic"/>
                            <w:sz w:val="26"/>
                            <w:szCs w:val="26"/>
                            <w:rtl/>
                            <w:lang w:val="en-CA" w:bidi="ar-SY"/>
                          </w:rPr>
                          <w:t>الغاز المنبعث</w:t>
                        </w:r>
                      </w:p>
                    </w:txbxContent>
                  </v:textbox>
                </v:shape>
                <w10:wrap type="tight"/>
              </v:group>
            </w:pict>
          </mc:Fallback>
        </mc:AlternateContent>
      </w:r>
      <w:bookmarkStart w:id="1467" w:name="_Toc433095407"/>
      <w:bookmarkStart w:id="1468" w:name="_Toc434239941"/>
      <w:bookmarkStart w:id="1469" w:name="_Toc440550536"/>
      <w:bookmarkEnd w:id="1455"/>
      <w:bookmarkEnd w:id="1456"/>
      <w:bookmarkEnd w:id="1457"/>
      <w:r w:rsidR="0032206D">
        <w:rPr>
          <w:rFonts w:cs="Traditional Arabic" w:hint="cs"/>
          <w:b/>
          <w:bCs/>
          <w:sz w:val="20"/>
          <w:szCs w:val="30"/>
          <w:rtl/>
          <w:lang w:bidi="ar-EG"/>
        </w:rPr>
        <w:t>2-4</w:t>
      </w:r>
      <w:r w:rsidR="0032206D">
        <w:rPr>
          <w:rFonts w:cs="Traditional Arabic" w:hint="cs"/>
          <w:b/>
          <w:bCs/>
          <w:sz w:val="20"/>
          <w:szCs w:val="30"/>
          <w:rtl/>
          <w:lang w:bidi="ar-EG"/>
        </w:rPr>
        <w:tab/>
      </w:r>
      <w:r w:rsidRPr="00335E4B">
        <w:rPr>
          <w:rFonts w:cs="Traditional Arabic"/>
          <w:b/>
          <w:bCs/>
          <w:sz w:val="20"/>
          <w:szCs w:val="30"/>
          <w:rtl/>
          <w:lang w:bidi="ar-EG"/>
        </w:rPr>
        <w:t>خطوات التصنيع في إنتاج الذهب</w:t>
      </w:r>
      <w:bookmarkEnd w:id="1458"/>
      <w:bookmarkEnd w:id="1459"/>
      <w:bookmarkEnd w:id="1460"/>
      <w:bookmarkEnd w:id="1461"/>
      <w:bookmarkEnd w:id="1462"/>
      <w:bookmarkEnd w:id="1463"/>
      <w:bookmarkEnd w:id="1464"/>
      <w:bookmarkEnd w:id="1465"/>
      <w:bookmarkEnd w:id="1466"/>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 xml:space="preserve">تتطلب بعض ركازات الذهب معالجة أولية قبل عملية النض، في حين يمكن إخضاع الركازات الأخرى مباشرة لعملية النض. وسيركز هذا القسم على تلك الركازات التي تتطلب التحميص كمعالجة أولية سابقة للنض، بالنظر إلى أن المرفق دال من اتفاقية ميناماتا يغطي التحميص. ويبين الشكل </w:t>
      </w:r>
      <w:r w:rsidRPr="00335E4B">
        <w:rPr>
          <w:rFonts w:cs="Traditional Arabic" w:hint="cs"/>
          <w:sz w:val="20"/>
          <w:szCs w:val="30"/>
          <w:rtl/>
        </w:rPr>
        <w:t>4</w:t>
      </w:r>
      <w:r w:rsidRPr="00335E4B">
        <w:rPr>
          <w:rFonts w:cs="Traditional Arabic"/>
          <w:sz w:val="20"/>
          <w:szCs w:val="30"/>
          <w:rtl/>
        </w:rPr>
        <w:t xml:space="preserve"> لمحة عامة عن العمليات التي ينطوي عليها التصنيع.</w:t>
      </w:r>
    </w:p>
    <w:p w:rsidR="00335E4B" w:rsidRPr="00335E4B" w:rsidRDefault="0032206D" w:rsidP="00335E4B">
      <w:pPr>
        <w:keepNext/>
        <w:tabs>
          <w:tab w:val="left" w:pos="991"/>
        </w:tabs>
        <w:spacing w:before="120" w:after="120" w:line="400" w:lineRule="exact"/>
        <w:jc w:val="both"/>
        <w:outlineLvl w:val="0"/>
        <w:rPr>
          <w:rFonts w:cs="Traditional Arabic"/>
          <w:b/>
          <w:bCs/>
          <w:sz w:val="20"/>
          <w:szCs w:val="30"/>
          <w:rtl/>
          <w:lang w:bidi="ar-EG"/>
        </w:rPr>
      </w:pPr>
      <w:bookmarkStart w:id="1470" w:name="_Toc441577795"/>
      <w:bookmarkStart w:id="1471" w:name="_Toc441577974"/>
      <w:bookmarkStart w:id="1472" w:name="_Toc441580808"/>
      <w:bookmarkStart w:id="1473" w:name="_Toc441585939"/>
      <w:bookmarkStart w:id="1474" w:name="_Toc441586275"/>
      <w:bookmarkStart w:id="1475" w:name="_Toc441586725"/>
      <w:bookmarkStart w:id="1476" w:name="_Toc441586904"/>
      <w:bookmarkStart w:id="1477" w:name="_Toc441666753"/>
      <w:bookmarkStart w:id="1478" w:name="_Toc441673814"/>
      <w:r>
        <w:rPr>
          <w:rFonts w:cs="Traditional Arabic" w:hint="cs"/>
          <w:b/>
          <w:bCs/>
          <w:sz w:val="20"/>
          <w:szCs w:val="30"/>
          <w:rtl/>
          <w:lang w:bidi="ar-EG"/>
        </w:rPr>
        <w:t>2-4-1</w:t>
      </w:r>
      <w:r>
        <w:rPr>
          <w:rFonts w:cs="Traditional Arabic" w:hint="cs"/>
          <w:b/>
          <w:bCs/>
          <w:sz w:val="20"/>
          <w:szCs w:val="30"/>
          <w:rtl/>
          <w:lang w:bidi="ar-EG"/>
        </w:rPr>
        <w:tab/>
      </w:r>
      <w:r w:rsidR="00335E4B" w:rsidRPr="00335E4B">
        <w:rPr>
          <w:rFonts w:cs="Traditional Arabic"/>
          <w:b/>
          <w:bCs/>
          <w:sz w:val="20"/>
          <w:szCs w:val="30"/>
          <w:rtl/>
          <w:lang w:bidi="ar-EG"/>
        </w:rPr>
        <w:t>التحميص</w:t>
      </w:r>
      <w:bookmarkEnd w:id="1467"/>
      <w:bookmarkEnd w:id="1468"/>
      <w:bookmarkEnd w:id="1469"/>
      <w:bookmarkEnd w:id="1470"/>
      <w:bookmarkEnd w:id="1471"/>
      <w:bookmarkEnd w:id="1472"/>
      <w:bookmarkEnd w:id="1473"/>
      <w:bookmarkEnd w:id="1474"/>
      <w:bookmarkEnd w:id="1475"/>
      <w:bookmarkEnd w:id="1476"/>
      <w:bookmarkEnd w:id="1477"/>
      <w:bookmarkEnd w:id="1478"/>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 xml:space="preserve">يجري تلقيم ركاز الذهب المطحون في جهاز التحميص، ويحتوي الركاز عادة على نسبة زئبق تتراوح بين صفر و100 جزء في المليون. وتعمل أجهزة التحميص عادة في نطاق درجات حرارة 500 </w:t>
      </w:r>
      <w:r w:rsidRPr="00335E4B">
        <w:rPr>
          <w:rFonts w:cs="Traditional Arabic" w:hint="cs"/>
          <w:sz w:val="20"/>
          <w:szCs w:val="30"/>
          <w:rtl/>
        </w:rPr>
        <w:t>-</w:t>
      </w:r>
      <w:r w:rsidRPr="00335E4B">
        <w:rPr>
          <w:rFonts w:cs="Traditional Arabic"/>
          <w:sz w:val="20"/>
          <w:szCs w:val="30"/>
          <w:rtl/>
        </w:rPr>
        <w:t xml:space="preserve"> 600 درجة مئوية، حيث تستخدم الحرارة في أكسدة الكبريت والكربون الموجودين في الركاز، وبالتالي يمكن نض الذهب واسترداده. وتؤدي درجات الحرارة المرتفعة إلى تطاير الزئبق الموجود في الركاز. وتتم معالجة الغازات الناتجة عن عملية التحميص بخطوات متعددة، بعضها ينفذ لضبط الملوثات المرافقة، وتعالج أيضاً بعمليات</w:t>
      </w:r>
      <w:r w:rsidRPr="00335E4B">
        <w:rPr>
          <w:rFonts w:cs="Traditional Arabic" w:hint="cs"/>
          <w:sz w:val="20"/>
          <w:szCs w:val="30"/>
          <w:rtl/>
        </w:rPr>
        <w:t xml:space="preserve"> في</w:t>
      </w:r>
      <w:r w:rsidRPr="00335E4B">
        <w:rPr>
          <w:rFonts w:cs="Traditional Arabic"/>
          <w:sz w:val="20"/>
          <w:szCs w:val="30"/>
          <w:rtl/>
        </w:rPr>
        <w:t xml:space="preserve"> وحدات معينة تطبق قدر الإمكان لتقليل انبعاثات الزئبق إلى أدنى حد ممكن. ويرد وصف هذه الضوابط بمزيد من التفصيل في دراسة الحالة المقدمة بشكل منفصل. ويتوقع أن تكون نسبة إجمالي الزئبق المزال من الغازات المنبعثة أكبر من 99 في المائة بناءً على عمليات تركيب تجهيزات ضوابط مماثلة في العمليات التجارية القائمة.</w:t>
      </w:r>
    </w:p>
    <w:p w:rsidR="00335E4B" w:rsidRPr="00335E4B" w:rsidRDefault="0032206D" w:rsidP="00335E4B">
      <w:pPr>
        <w:keepNext/>
        <w:tabs>
          <w:tab w:val="left" w:pos="991"/>
        </w:tabs>
        <w:spacing w:before="120" w:after="120" w:line="400" w:lineRule="exact"/>
        <w:jc w:val="both"/>
        <w:outlineLvl w:val="0"/>
        <w:rPr>
          <w:rFonts w:cs="Traditional Arabic"/>
          <w:b/>
          <w:bCs/>
          <w:sz w:val="20"/>
          <w:szCs w:val="30"/>
          <w:rtl/>
          <w:lang w:bidi="ar-EG"/>
        </w:rPr>
      </w:pPr>
      <w:bookmarkStart w:id="1479" w:name="_Toc433095408"/>
      <w:bookmarkStart w:id="1480" w:name="_Toc434239942"/>
      <w:bookmarkStart w:id="1481" w:name="_Toc440550537"/>
      <w:bookmarkStart w:id="1482" w:name="_Toc441577796"/>
      <w:bookmarkStart w:id="1483" w:name="_Toc441577975"/>
      <w:bookmarkStart w:id="1484" w:name="_Toc441580809"/>
      <w:bookmarkStart w:id="1485" w:name="_Toc441585940"/>
      <w:bookmarkStart w:id="1486" w:name="_Toc441586276"/>
      <w:bookmarkStart w:id="1487" w:name="_Toc441586726"/>
      <w:bookmarkStart w:id="1488" w:name="_Toc441586905"/>
      <w:bookmarkStart w:id="1489" w:name="_Toc441666754"/>
      <w:bookmarkStart w:id="1490" w:name="_Toc441673815"/>
      <w:r>
        <w:rPr>
          <w:rFonts w:cs="Traditional Arabic" w:hint="cs"/>
          <w:b/>
          <w:bCs/>
          <w:sz w:val="20"/>
          <w:szCs w:val="30"/>
          <w:rtl/>
          <w:lang w:bidi="ar-EG"/>
        </w:rPr>
        <w:t>2-4-2</w:t>
      </w:r>
      <w:r>
        <w:rPr>
          <w:rFonts w:cs="Traditional Arabic" w:hint="cs"/>
          <w:b/>
          <w:bCs/>
          <w:sz w:val="20"/>
          <w:szCs w:val="30"/>
          <w:rtl/>
          <w:lang w:bidi="ar-EG"/>
        </w:rPr>
        <w:tab/>
      </w:r>
      <w:r w:rsidR="00335E4B" w:rsidRPr="00335E4B">
        <w:rPr>
          <w:rFonts w:cs="Traditional Arabic"/>
          <w:b/>
          <w:bCs/>
          <w:sz w:val="20"/>
          <w:szCs w:val="30"/>
          <w:rtl/>
          <w:lang w:bidi="ar-EG"/>
        </w:rPr>
        <w:t>النض</w:t>
      </w:r>
      <w:bookmarkEnd w:id="1479"/>
      <w:bookmarkEnd w:id="1480"/>
      <w:bookmarkEnd w:id="1481"/>
      <w:bookmarkEnd w:id="1482"/>
      <w:bookmarkEnd w:id="1483"/>
      <w:bookmarkEnd w:id="1484"/>
      <w:bookmarkEnd w:id="1485"/>
      <w:bookmarkEnd w:id="1486"/>
      <w:bookmarkEnd w:id="1487"/>
      <w:bookmarkEnd w:id="1488"/>
      <w:bookmarkEnd w:id="1489"/>
      <w:bookmarkEnd w:id="1490"/>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يضاف الماء إلى مخرجات جهاز التحميص في حوض رجّاج يجري فيه خلط الماء والمواد الصلبة الناتجة عن جهاز التحميص، لتكوين الملاط. ويرسل هذا الملاط إلى سلسلة من الأحواض يجري فيها نض الذهب منه -</w:t>
      </w:r>
      <w:r w:rsidRPr="00335E4B">
        <w:rPr>
          <w:rFonts w:cs="Traditional Arabic" w:hint="cs"/>
          <w:sz w:val="20"/>
          <w:szCs w:val="30"/>
          <w:rtl/>
        </w:rPr>
        <w:t xml:space="preserve"> </w:t>
      </w:r>
      <w:r w:rsidRPr="00335E4B">
        <w:rPr>
          <w:rFonts w:cs="Traditional Arabic"/>
          <w:sz w:val="20"/>
          <w:szCs w:val="30"/>
          <w:rtl/>
        </w:rPr>
        <w:t>بواسطة حلقة الكربون في حوض النض- باستخدام السيانيد. وبمجرد ذوبانهما، يجري امتصاص مركبات الذهب والزئبق على الكربون المنشَّط. وتتم معالجة الملاط النهائي، بعد أن يستنفد منه الذهب والزئبق، بعملية معادلة وإزالة سمية، ثم يرسل كنفايات إلى مرفق تجميع المخلفات. أما الزئبق القابل للانحلال في السيانيد الذي يتبقى في مخلفات محلول النض فستكون مساهمته ضئيلة في زئبق الغلاف الجوي، وذلك بسبب انخفاض ضغط بخار المركب المكون من السيانيد والزئبق.</w:t>
      </w:r>
    </w:p>
    <w:p w:rsidR="00335E4B" w:rsidRPr="00335E4B" w:rsidRDefault="0032206D" w:rsidP="00335E4B">
      <w:pPr>
        <w:keepNext/>
        <w:tabs>
          <w:tab w:val="left" w:pos="991"/>
        </w:tabs>
        <w:spacing w:before="120" w:after="120" w:line="400" w:lineRule="exact"/>
        <w:jc w:val="both"/>
        <w:outlineLvl w:val="0"/>
        <w:rPr>
          <w:rFonts w:cs="Traditional Arabic"/>
          <w:b/>
          <w:bCs/>
          <w:sz w:val="20"/>
          <w:szCs w:val="30"/>
          <w:rtl/>
          <w:lang w:bidi="ar-EG"/>
        </w:rPr>
      </w:pPr>
      <w:bookmarkStart w:id="1491" w:name="_Toc433095409"/>
      <w:bookmarkStart w:id="1492" w:name="_Toc434239943"/>
      <w:bookmarkStart w:id="1493" w:name="_Toc440550538"/>
      <w:bookmarkStart w:id="1494" w:name="_Toc441577797"/>
      <w:bookmarkStart w:id="1495" w:name="_Toc441577976"/>
      <w:bookmarkStart w:id="1496" w:name="_Toc441580810"/>
      <w:bookmarkStart w:id="1497" w:name="_Toc441585941"/>
      <w:bookmarkStart w:id="1498" w:name="_Toc441586277"/>
      <w:bookmarkStart w:id="1499" w:name="_Toc441586727"/>
      <w:bookmarkStart w:id="1500" w:name="_Toc441586906"/>
      <w:bookmarkStart w:id="1501" w:name="_Toc441666755"/>
      <w:bookmarkStart w:id="1502" w:name="_Toc441673816"/>
      <w:r>
        <w:rPr>
          <w:rFonts w:cs="Traditional Arabic" w:hint="cs"/>
          <w:b/>
          <w:bCs/>
          <w:sz w:val="20"/>
          <w:szCs w:val="30"/>
          <w:rtl/>
          <w:lang w:bidi="ar-EG"/>
        </w:rPr>
        <w:t>2-4-3</w:t>
      </w:r>
      <w:r>
        <w:rPr>
          <w:rFonts w:cs="Traditional Arabic" w:hint="cs"/>
          <w:b/>
          <w:bCs/>
          <w:sz w:val="20"/>
          <w:szCs w:val="30"/>
          <w:rtl/>
          <w:lang w:bidi="ar-EG"/>
        </w:rPr>
        <w:tab/>
      </w:r>
      <w:r w:rsidR="00335E4B" w:rsidRPr="00335E4B">
        <w:rPr>
          <w:rFonts w:cs="Traditional Arabic"/>
          <w:b/>
          <w:bCs/>
          <w:sz w:val="20"/>
          <w:szCs w:val="30"/>
          <w:rtl/>
          <w:lang w:bidi="ar-EG"/>
        </w:rPr>
        <w:t>التجريد وإعادة التشكيل</w:t>
      </w:r>
      <w:bookmarkEnd w:id="1491"/>
      <w:bookmarkEnd w:id="1492"/>
      <w:bookmarkEnd w:id="1493"/>
      <w:bookmarkEnd w:id="1494"/>
      <w:bookmarkEnd w:id="1495"/>
      <w:bookmarkEnd w:id="1496"/>
      <w:bookmarkEnd w:id="1497"/>
      <w:bookmarkEnd w:id="1498"/>
      <w:bookmarkEnd w:id="1499"/>
      <w:bookmarkEnd w:id="1500"/>
      <w:bookmarkEnd w:id="1501"/>
      <w:bookmarkEnd w:id="1502"/>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يغسل الكربون المحمَّل الناتج عن حلقة الكربون في حوض النض ثم ينقل إلى حوض يتم فيه تجريد الذهب والزئبق عن الكربون ويعادان إلى المحلول. وينتج عن هذا محلول ترتفع نسبة محتواه من الذهب، ويمكن استخلاص الذهب منه بالتحليل الكهربائي أو الترسيب على النحو المبين أدناه. وبعد إزالة الذهب من الكربون (التجريد)، يرسل الكربون إلى فرن حراري لإعادة تشكيله حرارياً ويعاد تدويره مرة أخرى إلى مرحلة النض.</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ويبقى بعض الزئبق الذي تم امتصاصه في الكربون بعد تجريده. والفرن الحراري المستخدم لإعادة تشكيل الكربون عبارة عن وعاء مغلق يسخن الكربون إلى درجات حرارة أعلى من 700 درجة مئوية، فيجفف بذلك الكربون ويزيل ما تبقى من الزئبق الممتص بتحويله إلى شكل غازي. ولا يحتوي الوعاء على الأكسجين، الأمر الذي يسمح بتجفيف الكربون دون أكسدته أو إحراقه. ويجري طرد الغاز ثم تبريده؛ ويتكثف بذلك الزئبق النقي ويجمع في دوارق صناعية محكمة الإغلاق. وينبغي أن تكون إدارة المواد المحتوية على الزئبق، بما في ذلك تخزينها والتخلص منها، والتجارة فيها، متسقة مع المواد الأخرى ذات الصلة في الاتفاقية.</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 xml:space="preserve">أما الزئبق الغازي المتبقي فيمرر عبر وعاء يحتوي على كربون منشط </w:t>
      </w:r>
      <w:r w:rsidRPr="00335E4B">
        <w:rPr>
          <w:rFonts w:cs="Traditional Arabic" w:hint="cs"/>
          <w:sz w:val="20"/>
          <w:szCs w:val="30"/>
          <w:rtl/>
        </w:rPr>
        <w:t>مشرب</w:t>
      </w:r>
      <w:r w:rsidRPr="00335E4B">
        <w:rPr>
          <w:rFonts w:cs="Traditional Arabic"/>
          <w:sz w:val="20"/>
          <w:szCs w:val="30"/>
          <w:rtl/>
        </w:rPr>
        <w:t xml:space="preserve"> بالكبريت. فيرتبط الزئبق في الغاز كيميائياً مع الكبريت ليشكل مركب الزنجفر المستقر (</w:t>
      </w:r>
      <w:r w:rsidRPr="00335E4B">
        <w:rPr>
          <w:rFonts w:cs="Traditional Arabic"/>
          <w:sz w:val="20"/>
          <w:szCs w:val="30"/>
        </w:rPr>
        <w:t>cinnabar</w:t>
      </w:r>
      <w:r w:rsidRPr="00335E4B">
        <w:rPr>
          <w:rFonts w:cs="Traditional Arabic"/>
          <w:sz w:val="20"/>
          <w:szCs w:val="30"/>
          <w:rtl/>
        </w:rPr>
        <w:t>) (كبريتيد الزئبق (ثنائي التكافؤ)).</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وينتظر أن تكون نسبة إجمالي الزئبق المزال من الفرن الحراري لإعادة تشكيل الكربون أكبر من 99 في المائة بناءً على التجارب المستفادة من الضوابط المماثلة في العمليات التجارية القائمة. وعلى الرغم من أن أفران إعادة تشكيل الكربون تتجاوز نطاق المرفق دال من اتفاقية ميناماتا، فمن المهم الإشارة إلى أنها قد تمثل مصدراً هاماً لانبعاثات الزئبق، في الحالات التي لا يتم فيها ضبط هذه الانبعاثات.</w:t>
      </w:r>
    </w:p>
    <w:p w:rsidR="00335E4B" w:rsidRPr="00335E4B" w:rsidRDefault="00D55641" w:rsidP="00335E4B">
      <w:pPr>
        <w:keepNext/>
        <w:tabs>
          <w:tab w:val="left" w:pos="991"/>
        </w:tabs>
        <w:spacing w:after="120" w:line="400" w:lineRule="exact"/>
        <w:jc w:val="both"/>
        <w:outlineLvl w:val="0"/>
        <w:rPr>
          <w:rFonts w:cs="Traditional Arabic"/>
          <w:b/>
          <w:bCs/>
          <w:sz w:val="20"/>
          <w:szCs w:val="30"/>
          <w:rtl/>
          <w:lang w:bidi="ar-EG"/>
        </w:rPr>
      </w:pPr>
      <w:bookmarkStart w:id="1503" w:name="_Toc433095410"/>
      <w:bookmarkStart w:id="1504" w:name="_Toc434239944"/>
      <w:bookmarkStart w:id="1505" w:name="_Toc440550539"/>
      <w:bookmarkStart w:id="1506" w:name="_Toc441577798"/>
      <w:bookmarkStart w:id="1507" w:name="_Toc441577977"/>
      <w:bookmarkStart w:id="1508" w:name="_Toc441580811"/>
      <w:bookmarkStart w:id="1509" w:name="_Toc441585942"/>
      <w:bookmarkStart w:id="1510" w:name="_Toc441586278"/>
      <w:bookmarkStart w:id="1511" w:name="_Toc441586728"/>
      <w:bookmarkStart w:id="1512" w:name="_Toc441586907"/>
      <w:bookmarkStart w:id="1513" w:name="_Toc441666756"/>
      <w:bookmarkStart w:id="1514" w:name="_Toc441673817"/>
      <w:r>
        <w:rPr>
          <w:rFonts w:cs="Traditional Arabic" w:hint="cs"/>
          <w:b/>
          <w:bCs/>
          <w:sz w:val="20"/>
          <w:szCs w:val="30"/>
          <w:rtl/>
          <w:lang w:bidi="ar-EG"/>
        </w:rPr>
        <w:t>2-4-4</w:t>
      </w:r>
      <w:r>
        <w:rPr>
          <w:rFonts w:cs="Traditional Arabic" w:hint="cs"/>
          <w:b/>
          <w:bCs/>
          <w:sz w:val="20"/>
          <w:szCs w:val="30"/>
          <w:rtl/>
          <w:lang w:bidi="ar-EG"/>
        </w:rPr>
        <w:tab/>
      </w:r>
      <w:r w:rsidR="00335E4B" w:rsidRPr="00335E4B">
        <w:rPr>
          <w:rFonts w:cs="Traditional Arabic"/>
          <w:b/>
          <w:bCs/>
          <w:sz w:val="20"/>
          <w:szCs w:val="30"/>
          <w:rtl/>
          <w:lang w:bidi="ar-EG"/>
        </w:rPr>
        <w:t>التنقية</w:t>
      </w:r>
      <w:bookmarkEnd w:id="1503"/>
      <w:bookmarkEnd w:id="1504"/>
      <w:bookmarkEnd w:id="1505"/>
      <w:bookmarkEnd w:id="1506"/>
      <w:bookmarkEnd w:id="1507"/>
      <w:bookmarkEnd w:id="1508"/>
      <w:bookmarkEnd w:id="1509"/>
      <w:bookmarkEnd w:id="1510"/>
      <w:bookmarkEnd w:id="1511"/>
      <w:bookmarkEnd w:id="1512"/>
      <w:bookmarkEnd w:id="1513"/>
      <w:bookmarkEnd w:id="1514"/>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 xml:space="preserve">تتم بعد ذلك تنقية حمأة الذهب الناجمة عن التحليل الكهربائي أو الترسيب باستخدام غبار الزنك، ومعالجتها في وعاء معوجة. وتسخن الحمأة في المعوجة إلى درجة حرارة أعلى من 600 درجة مئوية، لتجفيف المواد الصلبة، ويزال الزئبق من منفذ للغاز. ويجري الغاز عبر المنافذ إلى معدات معالجة الغاز لإزالة الزئبق منه، ثم ترسل المواد الحاملة للذهب إلى فرن للتنقية. وفي البداية يُبرَّد غاز المعوجة ويكثف، ويجمع الزئبق منه بحالته العنصرية. أما ما تبقى من الزئبق الذي لم يتكثف فيمرر عبر وعاء يحتوي على كربون منشط </w:t>
      </w:r>
      <w:r w:rsidRPr="00335E4B">
        <w:rPr>
          <w:rFonts w:cs="Traditional Arabic" w:hint="cs"/>
          <w:sz w:val="20"/>
          <w:szCs w:val="30"/>
          <w:rtl/>
        </w:rPr>
        <w:t>مشرب</w:t>
      </w:r>
      <w:r w:rsidRPr="00335E4B">
        <w:rPr>
          <w:rFonts w:cs="Traditional Arabic"/>
          <w:sz w:val="20"/>
          <w:szCs w:val="30"/>
          <w:rtl/>
        </w:rPr>
        <w:t xml:space="preserve"> بالكبريت. فيرتبط الزئبق في الغاز كيميائياً مع الكبريت ليشكل مركب الزنجفر المستقر. وينتظر أن تكون نسبة إجمالي الزئبق المزال من غازات المعوجة أكبر من 99 في المائة بناءً على عمليات تجهيز ضوابط مماثلة في إحدى المنشآت العاملة حالياً.</w:t>
      </w:r>
    </w:p>
    <w:p w:rsidR="00335E4B" w:rsidRPr="00335E4B" w:rsidRDefault="00D55641" w:rsidP="00335E4B">
      <w:pPr>
        <w:keepNext/>
        <w:tabs>
          <w:tab w:val="left" w:pos="991"/>
        </w:tabs>
        <w:spacing w:before="120" w:after="120" w:line="400" w:lineRule="exact"/>
        <w:jc w:val="both"/>
        <w:outlineLvl w:val="0"/>
        <w:rPr>
          <w:rFonts w:cs="Traditional Arabic"/>
          <w:b/>
          <w:bCs/>
          <w:sz w:val="20"/>
          <w:szCs w:val="30"/>
          <w:rtl/>
          <w:lang w:bidi="ar-EG"/>
        </w:rPr>
      </w:pPr>
      <w:bookmarkStart w:id="1515" w:name="_Toc433095411"/>
      <w:bookmarkStart w:id="1516" w:name="_Toc434239945"/>
      <w:bookmarkStart w:id="1517" w:name="_Toc440550540"/>
      <w:bookmarkStart w:id="1518" w:name="_Toc441577799"/>
      <w:bookmarkStart w:id="1519" w:name="_Toc441577978"/>
      <w:bookmarkStart w:id="1520" w:name="_Toc441580812"/>
      <w:bookmarkStart w:id="1521" w:name="_Toc441585943"/>
      <w:bookmarkStart w:id="1522" w:name="_Toc441586279"/>
      <w:bookmarkStart w:id="1523" w:name="_Toc441586729"/>
      <w:bookmarkStart w:id="1524" w:name="_Toc441586908"/>
      <w:bookmarkStart w:id="1525" w:name="_Toc441666757"/>
      <w:bookmarkStart w:id="1526" w:name="_Toc441673818"/>
      <w:r>
        <w:rPr>
          <w:rFonts w:cs="Traditional Arabic" w:hint="cs"/>
          <w:b/>
          <w:bCs/>
          <w:sz w:val="20"/>
          <w:szCs w:val="30"/>
          <w:rtl/>
          <w:lang w:bidi="ar-EG"/>
        </w:rPr>
        <w:t>2-4-5</w:t>
      </w:r>
      <w:r>
        <w:rPr>
          <w:rFonts w:cs="Traditional Arabic" w:hint="cs"/>
          <w:b/>
          <w:bCs/>
          <w:sz w:val="20"/>
          <w:szCs w:val="30"/>
          <w:rtl/>
          <w:lang w:bidi="ar-EG"/>
        </w:rPr>
        <w:tab/>
      </w:r>
      <w:r w:rsidR="00335E4B" w:rsidRPr="00335E4B">
        <w:rPr>
          <w:rFonts w:cs="Traditional Arabic"/>
          <w:b/>
          <w:bCs/>
          <w:sz w:val="20"/>
          <w:szCs w:val="30"/>
          <w:rtl/>
          <w:lang w:bidi="ar-EG"/>
        </w:rPr>
        <w:t>الفرن</w:t>
      </w:r>
      <w:bookmarkEnd w:id="1515"/>
      <w:bookmarkEnd w:id="1516"/>
      <w:bookmarkEnd w:id="1517"/>
      <w:bookmarkEnd w:id="1518"/>
      <w:bookmarkEnd w:id="1519"/>
      <w:bookmarkEnd w:id="1520"/>
      <w:bookmarkEnd w:id="1521"/>
      <w:bookmarkEnd w:id="1522"/>
      <w:bookmarkEnd w:id="1523"/>
      <w:bookmarkEnd w:id="1524"/>
      <w:bookmarkEnd w:id="1525"/>
      <w:bookmarkEnd w:id="1526"/>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 xml:space="preserve">يستخدم الفرن لتسخين المواد الصلبة المجففة الحاملة للذهب التي تنتج من المعوجات إلى درجة حرارة أعلى من درجة انصهار جميع المكونات في الشحنة، من أجل </w:t>
      </w:r>
      <w:r w:rsidRPr="00335E4B">
        <w:rPr>
          <w:rFonts w:cs="Traditional Arabic" w:hint="cs"/>
          <w:sz w:val="20"/>
          <w:szCs w:val="30"/>
          <w:rtl/>
        </w:rPr>
        <w:t>تحقيق</w:t>
      </w:r>
      <w:r w:rsidRPr="00335E4B">
        <w:rPr>
          <w:rFonts w:cs="Traditional Arabic"/>
          <w:sz w:val="20"/>
          <w:szCs w:val="30"/>
          <w:rtl/>
        </w:rPr>
        <w:t xml:space="preserve"> الفصل النهائي للذهب عن جميع الشوائب. والغاز المنطلق من المنفذ يمرر أولاً من خلال المرشحات الكيسية لإزالة المواد الجسيمية، بما في ذلك الزئبق المرتبط بالجسيمات. </w:t>
      </w:r>
      <w:r w:rsidRPr="00335E4B">
        <w:rPr>
          <w:rFonts w:cs="Traditional Arabic" w:hint="cs"/>
          <w:sz w:val="20"/>
          <w:szCs w:val="30"/>
          <w:rtl/>
        </w:rPr>
        <w:t>و</w:t>
      </w:r>
      <w:r w:rsidRPr="00335E4B">
        <w:rPr>
          <w:rFonts w:cs="Traditional Arabic"/>
          <w:sz w:val="20"/>
          <w:szCs w:val="30"/>
          <w:rtl/>
        </w:rPr>
        <w:t xml:space="preserve">يمرَّر غاز المنفذ بعد ذلك من خلال وعاء يحتوي على الكربون المنشط </w:t>
      </w:r>
      <w:r w:rsidRPr="00335E4B">
        <w:rPr>
          <w:rFonts w:cs="Traditional Arabic" w:hint="cs"/>
          <w:sz w:val="20"/>
          <w:szCs w:val="30"/>
          <w:rtl/>
        </w:rPr>
        <w:t>المشرب</w:t>
      </w:r>
      <w:r w:rsidRPr="00335E4B">
        <w:rPr>
          <w:rFonts w:cs="Traditional Arabic"/>
          <w:sz w:val="20"/>
          <w:szCs w:val="30"/>
          <w:rtl/>
        </w:rPr>
        <w:t xml:space="preserve"> بالكبريت، حيث يرتبط الزئبق كيميائياً مع الكبريت ليشكل مركب الزنجفر المستقر. وينتظر أن تكون نسبة إجمالي الزئبق المزال من الغازات المنبعثة من منفذ الفرن أكبر من 99 في المائة بناءً على عمليات تجهيز ضوابط مماثلة في منشآت عاملة أخرى. وينبغي التخلص من النفايات المحتوية على الزئبق بطريقة سليمة بيئياً. ولأغراض التوضيح، تجدر الإشارة إلى أن الانبعاثات من الفرن غير مشمولة ضمن المرفق دال من اتفاقية ميناماتا. وعلاوة على ذلك، لا</w:t>
      </w:r>
      <w:r w:rsidRPr="00335E4B">
        <w:rPr>
          <w:rFonts w:cs="Traditional Arabic" w:hint="cs"/>
          <w:sz w:val="20"/>
          <w:szCs w:val="30"/>
          <w:rtl/>
        </w:rPr>
        <w:t> </w:t>
      </w:r>
      <w:r w:rsidRPr="00335E4B">
        <w:rPr>
          <w:rFonts w:cs="Traditional Arabic"/>
          <w:sz w:val="20"/>
          <w:szCs w:val="30"/>
          <w:rtl/>
        </w:rPr>
        <w:t>يحتمل أن تشكل الأفران إلا مصدراً ضئيلاً من مصادر انبعاثات</w:t>
      </w:r>
      <w:r w:rsidRPr="00335E4B">
        <w:rPr>
          <w:rFonts w:cs="Traditional Arabic" w:hint="cs"/>
          <w:sz w:val="20"/>
          <w:szCs w:val="30"/>
          <w:rtl/>
        </w:rPr>
        <w:t xml:space="preserve"> الزئبق.</w:t>
      </w:r>
    </w:p>
    <w:p w:rsidR="00335E4B" w:rsidRPr="00335E4B" w:rsidRDefault="00335E4B" w:rsidP="00123425">
      <w:pPr>
        <w:spacing w:before="240" w:after="120" w:line="400" w:lineRule="exact"/>
        <w:rPr>
          <w:rFonts w:cs="Traditional Arabic"/>
          <w:b/>
          <w:bCs/>
          <w:sz w:val="20"/>
          <w:szCs w:val="30"/>
          <w:rtl/>
          <w:lang w:bidi="ar-EG"/>
        </w:rPr>
      </w:pPr>
      <w:r>
        <w:rPr>
          <w:rFonts w:cs="Traditional Arabic"/>
          <w:b/>
          <w:bCs/>
          <w:noProof/>
          <w:sz w:val="20"/>
          <w:szCs w:val="30"/>
          <w:lang w:val="en-GB" w:eastAsia="zh-CN"/>
        </w:rPr>
        <mc:AlternateContent>
          <mc:Choice Requires="wpc">
            <w:drawing>
              <wp:anchor distT="0" distB="0" distL="114300" distR="114300" simplePos="0" relativeHeight="251683840" behindDoc="1" locked="0" layoutInCell="1" allowOverlap="1" wp14:anchorId="63C911CF" wp14:editId="33BD0C44">
                <wp:simplePos x="0" y="0"/>
                <wp:positionH relativeFrom="column">
                  <wp:posOffset>19050</wp:posOffset>
                </wp:positionH>
                <wp:positionV relativeFrom="paragraph">
                  <wp:posOffset>19050</wp:posOffset>
                </wp:positionV>
                <wp:extent cx="5947410" cy="7887970"/>
                <wp:effectExtent l="14605" t="23495" r="10160" b="13335"/>
                <wp:wrapTight wrapText="bothSides">
                  <wp:wrapPolygon edited="0">
                    <wp:start x="-69" y="-52"/>
                    <wp:lineTo x="-69" y="21600"/>
                    <wp:lineTo x="21635" y="21600"/>
                    <wp:lineTo x="21635" y="-52"/>
                    <wp:lineTo x="-69" y="-52"/>
                  </wp:wrapPolygon>
                </wp:wrapTight>
                <wp:docPr id="348" name="Canvas 3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90" name="Rounded Rectangle 16"/>
                        <wps:cNvSpPr>
                          <a:spLocks noChangeArrowheads="1"/>
                        </wps:cNvSpPr>
                        <wps:spPr bwMode="auto">
                          <a:xfrm>
                            <a:off x="2057400" y="831850"/>
                            <a:ext cx="1023620" cy="51371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123425" w:rsidRDefault="00670B4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التحميص</w:t>
                              </w:r>
                            </w:p>
                          </w:txbxContent>
                        </wps:txbx>
                        <wps:bodyPr rot="0" vert="horz" wrap="square" lIns="91440" tIns="45720" rIns="91440" bIns="45720" anchor="ctr" anchorCtr="0" upright="1">
                          <a:noAutofit/>
                        </wps:bodyPr>
                      </wps:wsp>
                      <wps:wsp>
                        <wps:cNvPr id="291" name="Straight Arrow Connector 28"/>
                        <wps:cNvCnPr>
                          <a:cxnSpLocks noChangeShapeType="1"/>
                        </wps:cNvCnPr>
                        <wps:spPr bwMode="auto">
                          <a:xfrm>
                            <a:off x="2534285" y="280035"/>
                            <a:ext cx="1" cy="571500"/>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92" name="Text Box 32"/>
                        <wps:cNvSpPr txBox="1">
                          <a:spLocks noChangeArrowheads="1"/>
                        </wps:cNvSpPr>
                        <wps:spPr bwMode="auto">
                          <a:xfrm>
                            <a:off x="1534160" y="0"/>
                            <a:ext cx="205740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ركاز الذهب أو خام الذهب المركز</w:t>
                              </w:r>
                            </w:p>
                          </w:txbxContent>
                        </wps:txbx>
                        <wps:bodyPr rot="0" vert="horz" wrap="square" lIns="91440" tIns="45720" rIns="91440" bIns="45720" anchor="t" anchorCtr="0" upright="1">
                          <a:noAutofit/>
                        </wps:bodyPr>
                      </wps:wsp>
                      <wps:wsp>
                        <wps:cNvPr id="293" name="Rounded Rectangle 55"/>
                        <wps:cNvSpPr>
                          <a:spLocks noChangeArrowheads="1"/>
                        </wps:cNvSpPr>
                        <wps:spPr bwMode="auto">
                          <a:xfrm>
                            <a:off x="4207510" y="2660015"/>
                            <a:ext cx="1371600" cy="54483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123425" w:rsidRDefault="00670B40" w:rsidP="00335E4B">
                              <w:pPr>
                                <w:spacing w:line="30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جهاز الشطف باستخدام ثنائي أكسيد الكبريت</w:t>
                              </w:r>
                            </w:p>
                          </w:txbxContent>
                        </wps:txbx>
                        <wps:bodyPr rot="0" vert="horz" wrap="square" lIns="91440" tIns="45720" rIns="91440" bIns="45720" anchor="ctr" anchorCtr="0" upright="1">
                          <a:noAutofit/>
                        </wps:bodyPr>
                      </wps:wsp>
                      <wps:wsp>
                        <wps:cNvPr id="294" name="Straight Arrow Connector 62"/>
                        <wps:cNvCnPr>
                          <a:cxnSpLocks noChangeShapeType="1"/>
                        </wps:cNvCnPr>
                        <wps:spPr bwMode="auto">
                          <a:xfrm>
                            <a:off x="4852670" y="1353185"/>
                            <a:ext cx="1" cy="40068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95" name="Straight Arrow Connector 63"/>
                        <wps:cNvCnPr>
                          <a:cxnSpLocks noChangeShapeType="1"/>
                        </wps:cNvCnPr>
                        <wps:spPr bwMode="auto">
                          <a:xfrm>
                            <a:off x="4914900" y="2259330"/>
                            <a:ext cx="1" cy="40068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96" name="Straight Arrow Connector 64"/>
                        <wps:cNvCnPr>
                          <a:cxnSpLocks noChangeShapeType="1"/>
                        </wps:cNvCnPr>
                        <wps:spPr bwMode="auto">
                          <a:xfrm flipH="1">
                            <a:off x="4926595" y="3205157"/>
                            <a:ext cx="276" cy="43081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97" name="Straight Arrow Connector 39"/>
                        <wps:cNvCnPr>
                          <a:cxnSpLocks noChangeShapeType="1"/>
                        </wps:cNvCnPr>
                        <wps:spPr bwMode="auto">
                          <a:xfrm flipH="1">
                            <a:off x="3081020" y="1182370"/>
                            <a:ext cx="1028700" cy="1"/>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298" name="Text Box 67"/>
                        <wps:cNvSpPr txBox="1">
                          <a:spLocks noChangeArrowheads="1"/>
                        </wps:cNvSpPr>
                        <wps:spPr bwMode="auto">
                          <a:xfrm>
                            <a:off x="3246755" y="1217295"/>
                            <a:ext cx="85915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line="28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المواد الجسيمية</w:t>
                              </w:r>
                            </w:p>
                          </w:txbxContent>
                        </wps:txbx>
                        <wps:bodyPr rot="0" vert="horz" wrap="square" lIns="91440" tIns="45720" rIns="91440" bIns="45720" anchor="t" anchorCtr="0" upright="1">
                          <a:noAutofit/>
                        </wps:bodyPr>
                      </wps:wsp>
                      <wps:wsp>
                        <wps:cNvPr id="299" name="Straight Arrow Connector 61"/>
                        <wps:cNvCnPr>
                          <a:cxnSpLocks noChangeShapeType="1"/>
                        </wps:cNvCnPr>
                        <wps:spPr bwMode="auto">
                          <a:xfrm>
                            <a:off x="3102610" y="999490"/>
                            <a:ext cx="1028700" cy="1"/>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300" name="Text Box 68"/>
                        <wps:cNvSpPr txBox="1">
                          <a:spLocks noChangeArrowheads="1"/>
                        </wps:cNvSpPr>
                        <wps:spPr bwMode="auto">
                          <a:xfrm>
                            <a:off x="3241040" y="633730"/>
                            <a:ext cx="86487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line="28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الغاز المنبعث</w:t>
                              </w:r>
                            </w:p>
                          </w:txbxContent>
                        </wps:txbx>
                        <wps:bodyPr rot="0" vert="horz" wrap="square" lIns="91440" tIns="45720" rIns="91440" bIns="45720" anchor="t" anchorCtr="0" upright="1">
                          <a:noAutofit/>
                        </wps:bodyPr>
                      </wps:wsp>
                      <wps:wsp>
                        <wps:cNvPr id="301" name="Text Box 71"/>
                        <wps:cNvSpPr txBox="1">
                          <a:spLocks noChangeArrowheads="1"/>
                        </wps:cNvSpPr>
                        <wps:spPr bwMode="auto">
                          <a:xfrm>
                            <a:off x="4263123" y="3600169"/>
                            <a:ext cx="1400194" cy="43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123425">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غاز العادم إلى المدخنة</w:t>
                              </w:r>
                            </w:p>
                          </w:txbxContent>
                        </wps:txbx>
                        <wps:bodyPr rot="0" vert="horz" wrap="square" lIns="91440" tIns="45720" rIns="91440" bIns="45720" anchor="t" anchorCtr="0" upright="1">
                          <a:noAutofit/>
                        </wps:bodyPr>
                      </wps:wsp>
                      <wps:wsp>
                        <wps:cNvPr id="302" name="Straight Connector 75"/>
                        <wps:cNvCnPr>
                          <a:cxnSpLocks noChangeShapeType="1"/>
                        </wps:cNvCnPr>
                        <wps:spPr bwMode="auto">
                          <a:xfrm flipH="1">
                            <a:off x="3771900" y="2057472"/>
                            <a:ext cx="435358" cy="0"/>
                          </a:xfrm>
                          <a:prstGeom prst="line">
                            <a:avLst/>
                          </a:prstGeom>
                          <a:noFill/>
                          <a:ln w="38100" cap="rnd" algn="ctr">
                            <a:solidFill>
                              <a:srgbClr val="4A7EBB"/>
                            </a:solidFill>
                            <a:round/>
                            <a:headEnd/>
                            <a:tailEnd/>
                          </a:ln>
                          <a:extLst>
                            <a:ext uri="{909E8E84-426E-40DD-AFC4-6F175D3DCCD1}">
                              <a14:hiddenFill xmlns:a14="http://schemas.microsoft.com/office/drawing/2010/main">
                                <a:noFill/>
                              </a14:hiddenFill>
                            </a:ext>
                          </a:extLst>
                        </wps:spPr>
                        <wps:bodyPr/>
                      </wps:wsp>
                      <wps:wsp>
                        <wps:cNvPr id="303" name="Straight Arrow Connector 76"/>
                        <wps:cNvCnPr>
                          <a:cxnSpLocks noChangeShapeType="1"/>
                        </wps:cNvCnPr>
                        <wps:spPr bwMode="auto">
                          <a:xfrm>
                            <a:off x="3771786" y="2057472"/>
                            <a:ext cx="0" cy="75515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04" name="Text Box 77"/>
                        <wps:cNvSpPr txBox="1">
                          <a:spLocks noChangeArrowheads="1"/>
                        </wps:cNvSpPr>
                        <wps:spPr bwMode="auto">
                          <a:xfrm>
                            <a:off x="3486150" y="2753995"/>
                            <a:ext cx="5378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line="28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نفايات الزئبق</w:t>
                              </w:r>
                            </w:p>
                          </w:txbxContent>
                        </wps:txbx>
                        <wps:bodyPr rot="0" vert="horz" wrap="square" lIns="91440" tIns="45720" rIns="91440" bIns="45720" anchor="t" anchorCtr="0" upright="1">
                          <a:noAutofit/>
                        </wps:bodyPr>
                      </wps:wsp>
                      <wps:wsp>
                        <wps:cNvPr id="305" name="Rounded Rectangle 54"/>
                        <wps:cNvSpPr>
                          <a:spLocks noChangeArrowheads="1"/>
                        </wps:cNvSpPr>
                        <wps:spPr bwMode="auto">
                          <a:xfrm>
                            <a:off x="4207510" y="1753870"/>
                            <a:ext cx="1371600" cy="54483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123425" w:rsidRDefault="00670B4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إزالة الزئبق</w:t>
                              </w:r>
                            </w:p>
                          </w:txbxContent>
                        </wps:txbx>
                        <wps:bodyPr rot="0" vert="horz" wrap="square" lIns="91440" tIns="45720" rIns="91440" bIns="45720" anchor="ctr" anchorCtr="0" upright="1">
                          <a:noAutofit/>
                        </wps:bodyPr>
                      </wps:wsp>
                      <wps:wsp>
                        <wps:cNvPr id="306" name="Rounded Rectangle 17"/>
                        <wps:cNvSpPr>
                          <a:spLocks noChangeArrowheads="1"/>
                        </wps:cNvSpPr>
                        <wps:spPr bwMode="auto">
                          <a:xfrm>
                            <a:off x="1829435" y="1943100"/>
                            <a:ext cx="1391920"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123425" w:rsidRDefault="00670B4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النض</w:t>
                              </w:r>
                            </w:p>
                          </w:txbxContent>
                        </wps:txbx>
                        <wps:bodyPr rot="0" vert="horz" wrap="square" lIns="91440" tIns="45720" rIns="91440" bIns="45720" anchor="ctr" anchorCtr="0" upright="1">
                          <a:noAutofit/>
                        </wps:bodyPr>
                      </wps:wsp>
                      <wps:wsp>
                        <wps:cNvPr id="307" name="Straight Arrow Connector 41"/>
                        <wps:cNvCnPr>
                          <a:cxnSpLocks noChangeShapeType="1"/>
                        </wps:cNvCnPr>
                        <wps:spPr bwMode="auto">
                          <a:xfrm>
                            <a:off x="2513965" y="1345565"/>
                            <a:ext cx="1905" cy="59753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08" name="Rounded Rectangle 43"/>
                        <wps:cNvSpPr>
                          <a:spLocks noChangeArrowheads="1"/>
                        </wps:cNvSpPr>
                        <wps:spPr bwMode="auto">
                          <a:xfrm>
                            <a:off x="571517" y="4233544"/>
                            <a:ext cx="1714435"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123425" w:rsidRDefault="00670B40" w:rsidP="00123425">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التحليل الكهربائي أو ترسيب غبار الزنك</w:t>
                              </w:r>
                            </w:p>
                          </w:txbxContent>
                        </wps:txbx>
                        <wps:bodyPr rot="0" vert="horz" wrap="square" lIns="91440" tIns="45720" rIns="91440" bIns="45720" anchor="ctr" anchorCtr="0" upright="1">
                          <a:noAutofit/>
                        </wps:bodyPr>
                      </wps:wsp>
                      <wps:wsp>
                        <wps:cNvPr id="309" name="Rounded Rectangle 53"/>
                        <wps:cNvSpPr>
                          <a:spLocks noChangeArrowheads="1"/>
                        </wps:cNvSpPr>
                        <wps:spPr bwMode="auto">
                          <a:xfrm>
                            <a:off x="4131310" y="800100"/>
                            <a:ext cx="1371600" cy="51371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123425" w:rsidRDefault="00670B4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تنظيف الغاز</w:t>
                              </w:r>
                            </w:p>
                          </w:txbxContent>
                        </wps:txbx>
                        <wps:bodyPr rot="0" vert="horz" wrap="square" lIns="91440" tIns="45720" rIns="91440" bIns="45720" anchor="ctr" anchorCtr="0" upright="1">
                          <a:noAutofit/>
                        </wps:bodyPr>
                      </wps:wsp>
                      <wps:wsp>
                        <wps:cNvPr id="310" name="Rounded Rectangle 44"/>
                        <wps:cNvSpPr>
                          <a:spLocks noChangeArrowheads="1"/>
                        </wps:cNvSpPr>
                        <wps:spPr bwMode="auto">
                          <a:xfrm>
                            <a:off x="2854910" y="4241010"/>
                            <a:ext cx="1386254"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123425" w:rsidRDefault="00670B4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إعادة التشكيل</w:t>
                              </w:r>
                            </w:p>
                          </w:txbxContent>
                        </wps:txbx>
                        <wps:bodyPr rot="0" vert="horz" wrap="square" lIns="91440" tIns="45720" rIns="91440" bIns="45720" anchor="ctr" anchorCtr="0" upright="1">
                          <a:noAutofit/>
                        </wps:bodyPr>
                      </wps:wsp>
                      <wps:wsp>
                        <wps:cNvPr id="311" name="Rounded Rectangle 18"/>
                        <wps:cNvSpPr>
                          <a:spLocks noChangeArrowheads="1"/>
                        </wps:cNvSpPr>
                        <wps:spPr bwMode="auto">
                          <a:xfrm>
                            <a:off x="1829218" y="3086208"/>
                            <a:ext cx="1365481"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123425" w:rsidRDefault="00670B4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التجريد</w:t>
                              </w:r>
                            </w:p>
                          </w:txbxContent>
                        </wps:txbx>
                        <wps:bodyPr rot="0" vert="horz" wrap="square" lIns="91440" tIns="45720" rIns="91440" bIns="45720" anchor="ctr" anchorCtr="0" upright="1">
                          <a:noAutofit/>
                        </wps:bodyPr>
                      </wps:wsp>
                      <wps:wsp>
                        <wps:cNvPr id="312" name="Straight Arrow Connector 49"/>
                        <wps:cNvCnPr>
                          <a:cxnSpLocks noChangeShapeType="1"/>
                        </wps:cNvCnPr>
                        <wps:spPr bwMode="auto">
                          <a:xfrm>
                            <a:off x="2534109" y="2488633"/>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13" name="Straight Arrow Connector 50"/>
                        <wps:cNvCnPr>
                          <a:cxnSpLocks noChangeShapeType="1"/>
                        </wps:cNvCnPr>
                        <wps:spPr bwMode="auto">
                          <a:xfrm>
                            <a:off x="2057471" y="3635969"/>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14" name="Straight Arrow Connector 51"/>
                        <wps:cNvCnPr>
                          <a:cxnSpLocks noChangeShapeType="1"/>
                        </wps:cNvCnPr>
                        <wps:spPr bwMode="auto">
                          <a:xfrm>
                            <a:off x="2971857" y="3635969"/>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15" name="Straight Arrow Connector 52"/>
                        <wps:cNvCnPr>
                          <a:cxnSpLocks noChangeShapeType="1"/>
                        </wps:cNvCnPr>
                        <wps:spPr bwMode="auto">
                          <a:xfrm>
                            <a:off x="1371657" y="4786475"/>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16" name="Straight Arrow Connector 69"/>
                        <wps:cNvCnPr>
                          <a:cxnSpLocks noChangeShapeType="1"/>
                        </wps:cNvCnPr>
                        <wps:spPr bwMode="auto">
                          <a:xfrm>
                            <a:off x="1385371" y="5922558"/>
                            <a:ext cx="1768" cy="597575"/>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17" name="Straight Arrow Connector 74"/>
                        <wps:cNvCnPr>
                          <a:cxnSpLocks noChangeShapeType="1"/>
                        </wps:cNvCnPr>
                        <wps:spPr bwMode="auto">
                          <a:xfrm>
                            <a:off x="4249828" y="4343552"/>
                            <a:ext cx="677043"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318" name="Straight Arrow Connector 80"/>
                        <wps:cNvCnPr>
                          <a:cxnSpLocks noChangeShapeType="1"/>
                        </wps:cNvCnPr>
                        <wps:spPr bwMode="auto">
                          <a:xfrm>
                            <a:off x="4249857" y="4686464"/>
                            <a:ext cx="676876"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319" name="Text Box 81"/>
                        <wps:cNvSpPr txBox="1">
                          <a:spLocks noChangeArrowheads="1"/>
                        </wps:cNvSpPr>
                        <wps:spPr bwMode="auto">
                          <a:xfrm>
                            <a:off x="4926965" y="4548505"/>
                            <a:ext cx="816610" cy="467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line="28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نفايات الزئبق النقي</w:t>
                              </w:r>
                            </w:p>
                          </w:txbxContent>
                        </wps:txbx>
                        <wps:bodyPr rot="0" vert="horz" wrap="square" lIns="91440" tIns="45720" rIns="91440" bIns="45720" anchor="t" anchorCtr="0" upright="1">
                          <a:noAutofit/>
                        </wps:bodyPr>
                      </wps:wsp>
                      <wps:wsp>
                        <wps:cNvPr id="320" name="Text Box 82"/>
                        <wps:cNvSpPr txBox="1">
                          <a:spLocks noChangeArrowheads="1"/>
                        </wps:cNvSpPr>
                        <wps:spPr bwMode="auto">
                          <a:xfrm>
                            <a:off x="4926965" y="4165600"/>
                            <a:ext cx="779780" cy="419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123425">
                              <w:pPr>
                                <w:spacing w:line="26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الكربون المعاد تشكيله</w:t>
                              </w:r>
                            </w:p>
                          </w:txbxContent>
                        </wps:txbx>
                        <wps:bodyPr rot="0" vert="horz" wrap="square" lIns="91440" tIns="45720" rIns="91440" bIns="45720" anchor="t" anchorCtr="0" upright="1">
                          <a:noAutofit/>
                        </wps:bodyPr>
                      </wps:wsp>
                      <wps:wsp>
                        <wps:cNvPr id="321" name="Straight Arrow Connector 83"/>
                        <wps:cNvCnPr>
                          <a:cxnSpLocks noChangeShapeType="1"/>
                        </wps:cNvCnPr>
                        <wps:spPr bwMode="auto">
                          <a:xfrm>
                            <a:off x="1152261" y="2059460"/>
                            <a:ext cx="677043"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322" name="Straight Arrow Connector 84"/>
                        <wps:cNvCnPr>
                          <a:cxnSpLocks noChangeShapeType="1"/>
                        </wps:cNvCnPr>
                        <wps:spPr bwMode="auto">
                          <a:xfrm>
                            <a:off x="1158218" y="2400384"/>
                            <a:ext cx="676876"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323" name="Text Box 85"/>
                        <wps:cNvSpPr txBox="1">
                          <a:spLocks noChangeArrowheads="1"/>
                        </wps:cNvSpPr>
                        <wps:spPr bwMode="auto">
                          <a:xfrm>
                            <a:off x="451485" y="1902460"/>
                            <a:ext cx="67119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D55641">
                              <w:pPr>
                                <w:spacing w:line="20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السيانيد</w:t>
                              </w:r>
                            </w:p>
                          </w:txbxContent>
                        </wps:txbx>
                        <wps:bodyPr rot="0" vert="horz" wrap="square" lIns="91440" tIns="45720" rIns="91440" bIns="45720" anchor="t" anchorCtr="0" upright="1">
                          <a:noAutofit/>
                        </wps:bodyPr>
                      </wps:wsp>
                      <wps:wsp>
                        <wps:cNvPr id="324" name="Text Box 86"/>
                        <wps:cNvSpPr txBox="1">
                          <a:spLocks noChangeArrowheads="1"/>
                        </wps:cNvSpPr>
                        <wps:spPr bwMode="auto">
                          <a:xfrm>
                            <a:off x="254635" y="2259330"/>
                            <a:ext cx="8680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line="28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الكربون المنشَّط</w:t>
                              </w:r>
                            </w:p>
                          </w:txbxContent>
                        </wps:txbx>
                        <wps:bodyPr rot="0" vert="horz" wrap="square" lIns="91440" tIns="45720" rIns="91440" bIns="45720" anchor="t" anchorCtr="0" upright="1">
                          <a:noAutofit/>
                        </wps:bodyPr>
                      </wps:wsp>
                      <wps:wsp>
                        <wps:cNvPr id="325" name="Straight Arrow Connector 87"/>
                        <wps:cNvCnPr>
                          <a:cxnSpLocks noChangeShapeType="1"/>
                        </wps:cNvCnPr>
                        <wps:spPr bwMode="auto">
                          <a:xfrm flipH="1">
                            <a:off x="1385332" y="7065598"/>
                            <a:ext cx="3573" cy="478466"/>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26" name="Text Box 88"/>
                        <wps:cNvSpPr txBox="1">
                          <a:spLocks noChangeArrowheads="1"/>
                        </wps:cNvSpPr>
                        <wps:spPr bwMode="auto">
                          <a:xfrm>
                            <a:off x="900430" y="7543800"/>
                            <a:ext cx="8718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سبيكة الذهب</w:t>
                              </w:r>
                            </w:p>
                          </w:txbxContent>
                        </wps:txbx>
                        <wps:bodyPr rot="0" vert="horz" wrap="square" lIns="91440" tIns="45720" rIns="91440" bIns="45720" anchor="t" anchorCtr="0" upright="1">
                          <a:noAutofit/>
                        </wps:bodyPr>
                      </wps:wsp>
                      <wps:wsp>
                        <wps:cNvPr id="327" name="Rounded Rectangle 90"/>
                        <wps:cNvSpPr>
                          <a:spLocks noChangeArrowheads="1"/>
                        </wps:cNvSpPr>
                        <wps:spPr bwMode="auto">
                          <a:xfrm>
                            <a:off x="2854830" y="6512017"/>
                            <a:ext cx="1253816"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123425" w:rsidRDefault="00670B4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إزالة المواد الجسيمية</w:t>
                              </w:r>
                            </w:p>
                          </w:txbxContent>
                        </wps:txbx>
                        <wps:bodyPr rot="0" vert="horz" wrap="square" lIns="91440" tIns="45720" rIns="91440" bIns="45720" anchor="ctr" anchorCtr="0" upright="1">
                          <a:noAutofit/>
                        </wps:bodyPr>
                      </wps:wsp>
                      <wps:wsp>
                        <wps:cNvPr id="328" name="Rounded Rectangle 91"/>
                        <wps:cNvSpPr>
                          <a:spLocks noChangeArrowheads="1"/>
                        </wps:cNvSpPr>
                        <wps:spPr bwMode="auto">
                          <a:xfrm>
                            <a:off x="4686041" y="5715199"/>
                            <a:ext cx="1143259" cy="1028737"/>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123425" w:rsidRDefault="00670B40" w:rsidP="00123425">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عمود الكربون المشبع بالكبريت</w:t>
                              </w:r>
                            </w:p>
                          </w:txbxContent>
                        </wps:txbx>
                        <wps:bodyPr rot="0" vert="horz" wrap="square" lIns="91440" tIns="45720" rIns="91440" bIns="45720" anchor="ctr" anchorCtr="0" upright="1">
                          <a:noAutofit/>
                        </wps:bodyPr>
                      </wps:wsp>
                      <wps:wsp>
                        <wps:cNvPr id="329" name="Straight Arrow Connector 92"/>
                        <wps:cNvCnPr>
                          <a:cxnSpLocks noChangeShapeType="1"/>
                        </wps:cNvCnPr>
                        <wps:spPr bwMode="auto">
                          <a:xfrm>
                            <a:off x="2059523" y="5600896"/>
                            <a:ext cx="795227"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330" name="Straight Arrow Connector 93"/>
                        <wps:cNvCnPr>
                          <a:cxnSpLocks noChangeShapeType="1"/>
                        </wps:cNvCnPr>
                        <wps:spPr bwMode="auto">
                          <a:xfrm>
                            <a:off x="2059682" y="6743936"/>
                            <a:ext cx="795227"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331" name="Rounded Rectangle 65"/>
                        <wps:cNvSpPr>
                          <a:spLocks noChangeArrowheads="1"/>
                        </wps:cNvSpPr>
                        <wps:spPr bwMode="auto">
                          <a:xfrm>
                            <a:off x="691991" y="5377093"/>
                            <a:ext cx="1365481"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123425" w:rsidRDefault="00670B4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المعوجة</w:t>
                              </w:r>
                            </w:p>
                          </w:txbxContent>
                        </wps:txbx>
                        <wps:bodyPr rot="0" vert="horz" wrap="square" lIns="91440" tIns="45720" rIns="91440" bIns="45720" anchor="ctr" anchorCtr="0" upright="1">
                          <a:noAutofit/>
                        </wps:bodyPr>
                      </wps:wsp>
                      <wps:wsp>
                        <wps:cNvPr id="332" name="Rounded Rectangle 73"/>
                        <wps:cNvSpPr>
                          <a:spLocks noChangeArrowheads="1"/>
                        </wps:cNvSpPr>
                        <wps:spPr bwMode="auto">
                          <a:xfrm>
                            <a:off x="694124" y="6520133"/>
                            <a:ext cx="1365481"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123425" w:rsidRDefault="00670B4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الفرن</w:t>
                              </w:r>
                            </w:p>
                          </w:txbxContent>
                        </wps:txbx>
                        <wps:bodyPr rot="0" vert="horz" wrap="square" lIns="91440" tIns="45720" rIns="91440" bIns="45720" anchor="ctr" anchorCtr="0" upright="1">
                          <a:noAutofit/>
                        </wps:bodyPr>
                      </wps:wsp>
                      <wps:wsp>
                        <wps:cNvPr id="333" name="Straight Arrow Connector 94"/>
                        <wps:cNvCnPr>
                          <a:cxnSpLocks noChangeShapeType="1"/>
                        </wps:cNvCnPr>
                        <wps:spPr bwMode="auto">
                          <a:xfrm>
                            <a:off x="4108531" y="5829504"/>
                            <a:ext cx="577458"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334" name="Rounded Rectangle 89"/>
                        <wps:cNvSpPr>
                          <a:spLocks noChangeArrowheads="1"/>
                        </wps:cNvSpPr>
                        <wps:spPr bwMode="auto">
                          <a:xfrm>
                            <a:off x="2854830" y="5384050"/>
                            <a:ext cx="1253813" cy="54546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670B40" w:rsidRPr="00123425" w:rsidRDefault="00670B4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جهاز التكثيف</w:t>
                              </w:r>
                            </w:p>
                          </w:txbxContent>
                        </wps:txbx>
                        <wps:bodyPr rot="0" vert="horz" wrap="square" lIns="91440" tIns="45720" rIns="91440" bIns="45720" anchor="ctr" anchorCtr="0" upright="1">
                          <a:noAutofit/>
                        </wps:bodyPr>
                      </wps:wsp>
                      <wps:wsp>
                        <wps:cNvPr id="335" name="Straight Arrow Connector 95"/>
                        <wps:cNvCnPr>
                          <a:cxnSpLocks noChangeShapeType="1"/>
                        </wps:cNvCnPr>
                        <wps:spPr bwMode="auto">
                          <a:xfrm>
                            <a:off x="4129569" y="6629632"/>
                            <a:ext cx="577458"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336" name="Straight Arrow Connector 96"/>
                        <wps:cNvCnPr>
                          <a:cxnSpLocks noChangeShapeType="1"/>
                        </wps:cNvCnPr>
                        <wps:spPr bwMode="auto">
                          <a:xfrm>
                            <a:off x="4129569" y="5486592"/>
                            <a:ext cx="577458" cy="0"/>
                          </a:xfrm>
                          <a:prstGeom prst="straightConnector1">
                            <a:avLst/>
                          </a:prstGeom>
                          <a:noFill/>
                          <a:ln w="38100" cap="rnd" algn="ctr">
                            <a:solidFill>
                              <a:srgbClr val="4A7EBB"/>
                            </a:solidFill>
                            <a:bevel/>
                            <a:headEnd type="none" w="lg" len="lg"/>
                            <a:tailEnd type="triangle" w="med" len="med"/>
                          </a:ln>
                          <a:extLst>
                            <a:ext uri="{909E8E84-426E-40DD-AFC4-6F175D3DCCD1}">
                              <a14:hiddenFill xmlns:a14="http://schemas.microsoft.com/office/drawing/2010/main">
                                <a:noFill/>
                              </a14:hiddenFill>
                            </a:ext>
                          </a:extLst>
                        </wps:spPr>
                        <wps:bodyPr/>
                      </wps:wsp>
                      <wps:wsp>
                        <wps:cNvPr id="337" name="Text Box 97"/>
                        <wps:cNvSpPr txBox="1">
                          <a:spLocks noChangeArrowheads="1"/>
                        </wps:cNvSpPr>
                        <wps:spPr bwMode="auto">
                          <a:xfrm>
                            <a:off x="4686935" y="5320030"/>
                            <a:ext cx="114236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123425">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نفايات الزئبق النقي</w:t>
                              </w:r>
                            </w:p>
                          </w:txbxContent>
                        </wps:txbx>
                        <wps:bodyPr rot="0" vert="horz" wrap="square" lIns="91440" tIns="45720" rIns="91440" bIns="45720" anchor="t" anchorCtr="0" upright="1">
                          <a:noAutofit/>
                        </wps:bodyPr>
                      </wps:wsp>
                      <wps:wsp>
                        <wps:cNvPr id="338" name="Straight Arrow Connector 98"/>
                        <wps:cNvCnPr>
                          <a:cxnSpLocks noChangeShapeType="1"/>
                        </wps:cNvCnPr>
                        <wps:spPr bwMode="auto">
                          <a:xfrm>
                            <a:off x="3524344" y="7057482"/>
                            <a:ext cx="0" cy="48658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39" name="Text Box 99"/>
                        <wps:cNvSpPr txBox="1">
                          <a:spLocks noChangeArrowheads="1"/>
                        </wps:cNvSpPr>
                        <wps:spPr bwMode="auto">
                          <a:xfrm>
                            <a:off x="3081020" y="7571740"/>
                            <a:ext cx="8293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نفايات الزئبق</w:t>
                              </w:r>
                            </w:p>
                          </w:txbxContent>
                        </wps:txbx>
                        <wps:bodyPr rot="0" vert="horz" wrap="square" lIns="91440" tIns="45720" rIns="91440" bIns="45720" anchor="t" anchorCtr="0" upright="1">
                          <a:noAutofit/>
                        </wps:bodyPr>
                      </wps:wsp>
                      <wps:wsp>
                        <wps:cNvPr id="340" name="Straight Arrow Connector 100"/>
                        <wps:cNvCnPr>
                          <a:cxnSpLocks noChangeShapeType="1"/>
                        </wps:cNvCnPr>
                        <wps:spPr bwMode="auto">
                          <a:xfrm>
                            <a:off x="5257898" y="6743936"/>
                            <a:ext cx="0" cy="486582"/>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341" name="Text Box 101"/>
                        <wps:cNvSpPr txBox="1">
                          <a:spLocks noChangeArrowheads="1"/>
                        </wps:cNvSpPr>
                        <wps:spPr bwMode="auto">
                          <a:xfrm>
                            <a:off x="4772660" y="7236460"/>
                            <a:ext cx="8909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نفايات الزئبق</w:t>
                              </w:r>
                            </w:p>
                          </w:txbxContent>
                        </wps:txbx>
                        <wps:bodyPr rot="0" vert="horz" wrap="square" lIns="91440" tIns="45720" rIns="91440" bIns="45720" anchor="t" anchorCtr="0" upright="1">
                          <a:noAutofit/>
                        </wps:bodyPr>
                      </wps:wsp>
                      <wps:wsp>
                        <wps:cNvPr id="342" name="Text Box 102"/>
                        <wps:cNvSpPr txBox="1">
                          <a:spLocks noChangeArrowheads="1"/>
                        </wps:cNvSpPr>
                        <wps:spPr bwMode="auto">
                          <a:xfrm>
                            <a:off x="1629410" y="2660015"/>
                            <a:ext cx="845820" cy="27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line="28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الكربون المحمل</w:t>
                              </w:r>
                            </w:p>
                          </w:txbxContent>
                        </wps:txbx>
                        <wps:bodyPr rot="0" vert="horz" wrap="square" lIns="91440" tIns="45720" rIns="91440" bIns="45720" anchor="t" anchorCtr="0" upright="1">
                          <a:noAutofit/>
                        </wps:bodyPr>
                      </wps:wsp>
                      <wps:wsp>
                        <wps:cNvPr id="343" name="Text Box 103"/>
                        <wps:cNvSpPr txBox="1">
                          <a:spLocks noChangeArrowheads="1"/>
                        </wps:cNvSpPr>
                        <wps:spPr bwMode="auto">
                          <a:xfrm>
                            <a:off x="2999105" y="3742055"/>
                            <a:ext cx="10248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line="280" w:lineRule="exact"/>
                                <w:rPr>
                                  <w:rFonts w:ascii="Traditional Arabic" w:hAnsi="Traditional Arabic" w:cs="Traditional Arabic"/>
                                  <w:sz w:val="26"/>
                                  <w:szCs w:val="26"/>
                                  <w:lang w:val="en-CA"/>
                                </w:rPr>
                              </w:pPr>
                              <w:r w:rsidRPr="00123425">
                                <w:rPr>
                                  <w:rFonts w:ascii="Traditional Arabic" w:hAnsi="Traditional Arabic" w:cs="Traditional Arabic"/>
                                  <w:sz w:val="26"/>
                                  <w:szCs w:val="26"/>
                                  <w:rtl/>
                                  <w:lang w:val="en-CA" w:bidi="ar-SY"/>
                                </w:rPr>
                                <w:t>الكربون المستهلك</w:t>
                              </w:r>
                            </w:p>
                          </w:txbxContent>
                        </wps:txbx>
                        <wps:bodyPr rot="0" vert="horz" wrap="square" lIns="91440" tIns="45720" rIns="91440" bIns="45720" anchor="t" anchorCtr="0" upright="1">
                          <a:noAutofit/>
                        </wps:bodyPr>
                      </wps:wsp>
                      <wps:wsp>
                        <wps:cNvPr id="344" name="Text Box 104"/>
                        <wps:cNvSpPr txBox="1">
                          <a:spLocks noChangeArrowheads="1"/>
                        </wps:cNvSpPr>
                        <wps:spPr bwMode="auto">
                          <a:xfrm>
                            <a:off x="571500" y="4893310"/>
                            <a:ext cx="756285" cy="325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حمأة الذهب</w:t>
                              </w:r>
                            </w:p>
                          </w:txbxContent>
                        </wps:txbx>
                        <wps:bodyPr rot="0" vert="horz" wrap="square" lIns="91440" tIns="45720" rIns="91440" bIns="45720" anchor="t" anchorCtr="0" upright="1">
                          <a:noAutofit/>
                        </wps:bodyPr>
                      </wps:wsp>
                      <wps:wsp>
                        <wps:cNvPr id="345" name="Text Box 105"/>
                        <wps:cNvSpPr txBox="1">
                          <a:spLocks noChangeArrowheads="1"/>
                        </wps:cNvSpPr>
                        <wps:spPr bwMode="auto">
                          <a:xfrm>
                            <a:off x="418465" y="5988685"/>
                            <a:ext cx="919480" cy="42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123425">
                              <w:pPr>
                                <w:spacing w:line="26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المواد الصلبة الحاملة للذهب</w:t>
                              </w:r>
                            </w:p>
                          </w:txbxContent>
                        </wps:txbx>
                        <wps:bodyPr rot="0" vert="horz" wrap="square" lIns="91440" tIns="45720" rIns="91440" bIns="45720" anchor="t" anchorCtr="0" upright="1">
                          <a:noAutofit/>
                        </wps:bodyPr>
                      </wps:wsp>
                      <wps:wsp>
                        <wps:cNvPr id="346" name="Text Box 106"/>
                        <wps:cNvSpPr txBox="1">
                          <a:spLocks noChangeArrowheads="1"/>
                        </wps:cNvSpPr>
                        <wps:spPr bwMode="auto">
                          <a:xfrm>
                            <a:off x="1017905" y="3742055"/>
                            <a:ext cx="96075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123425" w:rsidRDefault="00670B40" w:rsidP="00335E4B">
                              <w:pPr>
                                <w:spacing w:line="28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الذهب في المحلول</w:t>
                              </w:r>
                            </w:p>
                          </w:txbxContent>
                        </wps:txbx>
                        <wps:bodyPr rot="0" vert="horz" wrap="square" lIns="91440" tIns="45720" rIns="91440" bIns="45720" anchor="t" anchorCtr="0" upright="1">
                          <a:noAutofit/>
                        </wps:bodyPr>
                      </wps:wsp>
                      <wps:wsp>
                        <wps:cNvPr id="347" name="Straight Arrow Connector 28"/>
                        <wps:cNvCnPr>
                          <a:cxnSpLocks noChangeShapeType="1"/>
                        </wps:cNvCnPr>
                        <wps:spPr bwMode="auto">
                          <a:xfrm>
                            <a:off x="1978025" y="323215"/>
                            <a:ext cx="635" cy="1579244"/>
                          </a:xfrm>
                          <a:prstGeom prst="straightConnector1">
                            <a:avLst/>
                          </a:prstGeom>
                          <a:noFill/>
                          <a:ln w="38100"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48" o:spid="_x0000_s1282" editas="canvas" style="position:absolute;left:0;text-align:left;margin-left:1.5pt;margin-top:1.5pt;width:468.3pt;height:621.1pt;z-index:-251632640;mso-position-horizontal-relative:text;mso-position-vertical-relative:text" coordsize="59474,7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">
                <v:shape id="_x0000_s1283" type="#_x0000_t75" style="position:absolute;width:59474;height:78879;visibility:visible;mso-wrap-style:square" stroked="t">
                  <v:fill o:detectmouseclick="t"/>
                  <v:path o:connecttype="none"/>
                </v:shape>
                <v:roundrect id="Rounded Rectangle 16" o:spid="_x0000_s1284" style="position:absolute;left:20574;top:8318;width:10236;height:51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YsMQA&#10;AADcAAAADwAAAGRycy9kb3ducmV2LnhtbERPy2rCQBTdF/yH4QrdFJ00BdHoGFSQiIuCD9DlJXNN&#10;gpk7aWYaU7++syh0eTjvRdqbWnTUusqygvdxBII4t7riQsH5tB1NQTiPrLG2TAp+yEG6HLwsMNH2&#10;wQfqjr4QIYRdggpK75tESpeXZNCNbUMcuJttDfoA20LqFh8h3NQyjqKJNFhxaCixoU1J+f34bRRc&#10;J5n+xPM6us+eb/tL9nGtvoqdUq/DfjUH4an3/+I/904riGdhfjg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mLDEAAAA3A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9722F0" w:rsidRPr="00123425" w:rsidRDefault="009722F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التحميص</w:t>
                        </w:r>
                      </w:p>
                    </w:txbxContent>
                  </v:textbox>
                </v:roundrect>
                <v:shape id="Straight Arrow Connector 28" o:spid="_x0000_s1285" type="#_x0000_t32" style="position:absolute;left:25342;top:2800;width:0;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4M8cAAADcAAAADwAAAGRycy9kb3ducmV2LnhtbESPQWvCQBSE74X+h+UJXorZKFZqmlXa&#10;giA9KFoPentkX5PF7NuYXU38991CocdhZr5h8mVva3Gj1hvHCsZJCoK4cNpwqeDwtRq9gPABWWPt&#10;mBTcycNy8fiQY6Zdxzu67UMpIoR9hgqqEJpMSl9UZNEnriGO3rdrLYYo21LqFrsIt7WcpOlMWjQc&#10;Fyps6KOi4ry/WgVTs710n8/m/bLZODk/Fld3mj4pNRz0b68gAvXhP/zXXmsFk/kYfs/E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M/gzxwAAANwAAAAPAAAAAAAA&#10;AAAAAAAAAKECAABkcnMvZG93bnJldi54bWxQSwUGAAAAAAQABAD5AAAAlQMAAAAA&#10;" strokecolor="#4a7ebb" strokeweight="3pt">
                  <v:stroke startarrowwidth="wide" startarrowlength="long" endarrow="block"/>
                </v:shape>
                <v:shape id="Text Box 32" o:spid="_x0000_s1286" type="#_x0000_t202" style="position:absolute;left:15341;width:20574;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FMUA&#10;AADcAAAADwAAAGRycy9kb3ducmV2LnhtbESPQYvCMBSE78L+h/AWvGm6BRe3GkUKoogedL14ezbP&#10;tti8dJuodX+9EQSPw8x8w4ynranElRpXWlbw1Y9AEGdWl5wr2P/Oe0MQziNrrCyTgjs5mE4+OmNM&#10;tL3xlq47n4sAYZeggsL7OpHSZQUZdH1bEwfvZBuDPsgml7rBW4CbSsZR9C0NlhwWCqwpLSg77y5G&#10;wSqdb3B7jM3wv0oX69Os/tsfBkp1P9vZCISn1r/Dr/ZSK4h/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UUxQAAANwAAAAPAAAAAAAAAAAAAAAAAJgCAABkcnMv&#10;ZG93bnJldi54bWxQSwUGAAAAAAQABAD1AAAAigMAAAAA&#10;" filled="f" stroked="f" strokeweight=".5pt">
                  <v:textbox>
                    <w:txbxContent>
                      <w:p w:rsidR="009722F0" w:rsidRPr="00123425" w:rsidRDefault="009722F0" w:rsidP="00335E4B">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ركاز الذهب أو خام الذهب المركز</w:t>
                        </w:r>
                      </w:p>
                    </w:txbxContent>
                  </v:textbox>
                </v:shape>
                <v:roundrect id="Rounded Rectangle 55" o:spid="_x0000_s1287" style="position:absolute;left:42075;top:26600;width:13716;height:5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Gx8YA&#10;AADcAAAADwAAAGRycy9kb3ducmV2LnhtbESPT4vCMBTE74LfITxhL6KpCqLVKLqwVDws+Af0+Gie&#10;bbF56TZZ7frpjbDgcZiZ3zDzZWNKcaPaFZYVDPoRCOLU6oIzBcfDV28CwnlkjaVlUvBHDpaLdmuO&#10;sbZ33tFt7zMRIOxiVJB7X8VSujQng65vK+LgXWxt0AdZZ1LXeA9wU8phFI2lwYLDQo4VfeaUXve/&#10;RsF5nOhvPK6j6/TR3Z6S0bn4yTZKfXSa1QyEp8a/w//tjVYwnI7gdS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MGx8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9722F0" w:rsidRPr="00123425" w:rsidRDefault="009722F0" w:rsidP="00335E4B">
                        <w:pPr>
                          <w:spacing w:line="30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جهاز الشطف باستخدام ثنائي أكسيد الكبريت</w:t>
                        </w:r>
                      </w:p>
                    </w:txbxContent>
                  </v:textbox>
                </v:roundrect>
                <v:shape id="Straight Arrow Connector 62" o:spid="_x0000_s1288" type="#_x0000_t32" style="position:absolute;left:48526;top:13531;width:0;height:40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bq8YAAADcAAAADwAAAGRycy9kb3ducmV2LnhtbESPQWvCQBSE70L/w/IKXopuKmnR6CpV&#10;EMSDpdaD3h7Z12Rp9m3Mrib+e7dQ8DjMzDfMbNHZSlyp8caxgtdhAoI4d9pwoeDwvR6MQfiArLFy&#10;TApu5GExf+rNMNOu5S+67kMhIoR9hgrKEOpMSp+XZNEPXU0cvR/XWAxRNoXUDbYRbis5SpJ3adFw&#10;XCixplVJ+e/+YhWk5vPcbt/M8rzbOTk55hd3Sl+U6j93H1MQgbrwCP+3N1rBaJLC35l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EW6vGAAAA3AAAAA8AAAAAAAAA&#10;AAAAAAAAoQIAAGRycy9kb3ducmV2LnhtbFBLBQYAAAAABAAEAPkAAACUAwAAAAA=&#10;" strokecolor="#4a7ebb" strokeweight="3pt">
                  <v:stroke startarrowwidth="wide" startarrowlength="long" endarrow="block"/>
                </v:shape>
                <v:shape id="Straight Arrow Connector 63" o:spid="_x0000_s1289" type="#_x0000_t32" style="position:absolute;left:49149;top:22593;width:0;height:40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McAAADcAAAADwAAAGRycy9kb3ducmV2LnhtbESPT2sCMRTE70K/Q3hCL6VmKyq6NUpb&#10;EKQHRe2hvT02r7vBzcu6yf7ptzdCweMwM79hluvelqKl2hvHCl5GCQjizGnDuYKv0+Z5DsIHZI2l&#10;Y1LwRx7Wq4fBElPtOj5Qewy5iBD2KSooQqhSKX1WkEU/chVx9H5dbTFEWedS19hFuC3lOElm0qLh&#10;uFBgRR8FZedjYxVMzP7SfU7N+2W3c3LxnTXuZ/Kk1OOwf3sFEagP9/B/e6sVjBdTuJ2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CP4wxwAAANwAAAAPAAAAAAAA&#10;AAAAAAAAAKECAABkcnMvZG93bnJldi54bWxQSwUGAAAAAAQABAD5AAAAlQMAAAAA&#10;" strokecolor="#4a7ebb" strokeweight="3pt">
                  <v:stroke startarrowwidth="wide" startarrowlength="long" endarrow="block"/>
                </v:shape>
                <v:shape id="Straight Arrow Connector 64" o:spid="_x0000_s1290" type="#_x0000_t32" style="position:absolute;left:49265;top:32051;width:3;height:4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4OrsMAAADcAAAADwAAAGRycy9kb3ducmV2LnhtbESPT4vCMBTE7wt+h/AEb2uqB3GrUURw&#10;KYiw/gGvz+bZ1jYvpcm29dtvBGGPw8z8hlmue1OJlhpXWFYwGUcgiFOrC84UXM67zzkI55E1VpZJ&#10;wZMcrFeDjyXG2nZ8pPbkMxEg7GJUkHtfx1K6NCeDbmxr4uDdbWPQB9lkUjfYBbip5DSKZtJgwWEh&#10;x5q2OaXl6dcouHFb0kGaR/mzp9t3klzPumOlRsN+swDhqff/4Xc70QqmXzN4nQ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ODq7DAAAA3AAAAA8AAAAAAAAAAAAA&#10;AAAAoQIAAGRycy9kb3ducmV2LnhtbFBLBQYAAAAABAAEAPkAAACRAwAAAAA=&#10;" strokecolor="#4a7ebb" strokeweight="3pt">
                  <v:stroke startarrowwidth="wide" startarrowlength="long" endarrow="block"/>
                </v:shape>
                <v:shape id="Straight Arrow Connector 39" o:spid="_x0000_s1291" type="#_x0000_t32" style="position:absolute;left:30810;top:11823;width:102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cd1cUAAADcAAAADwAAAGRycy9kb3ducmV2LnhtbESPT0sDMRTE74LfITzBi9isPfTP2rSo&#10;VPDabSk9PpPXzeLmZdm8tls/vREEj8PM/IZZrIbQqjP1qYls4GlUgCK20TVcG9ht3x9noJIgO2wj&#10;k4ErJVgtb28WWLp44Q2dK6lVhnAq0YAX6Uqtk/UUMI1iR5y9Y+wDSpZ9rV2PlwwPrR4XxUQHbDgv&#10;eOzozZP9qk7BwMR+Hg+HnbP+Wr3OHzZTWX/vxZj7u+HlGZTQIP/hv/aHMzCeT+H3TD4C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cd1cUAAADcAAAADwAAAAAAAAAA&#10;AAAAAAChAgAAZHJzL2Rvd25yZXYueG1sUEsFBgAAAAAEAAQA+QAAAJMDAAAAAA==&#10;" strokecolor="#4a7ebb" strokeweight="3pt">
                  <v:stroke startarrowwidth="wide" startarrowlength="long" endarrow="block" joinstyle="bevel" endcap="round"/>
                </v:shape>
                <v:shape id="_x0000_s1292" type="#_x0000_t202" style="position:absolute;left:32467;top:12172;width:8592;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w:txbxContent>
                      <w:p w:rsidR="009722F0" w:rsidRPr="00123425" w:rsidRDefault="009722F0" w:rsidP="00335E4B">
                        <w:pPr>
                          <w:spacing w:line="28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المواد الجسيمية</w:t>
                        </w:r>
                      </w:p>
                    </w:txbxContent>
                  </v:textbox>
                </v:shape>
                <v:shape id="Straight Arrow Connector 61" o:spid="_x0000_s1293" type="#_x0000_t32" style="position:absolute;left:31026;top:9994;width:10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JIvcUAAADcAAAADwAAAGRycy9kb3ducmV2LnhtbESPQWsCMRSE70L/Q3gFb5pVsdStUVZB&#10;EEoP2kJ7fGxed7duXmKSuuu/N4WCx2FmvmGW69604kI+NJYVTMYZCOLS6oYrBR/vu9EziBCRNbaW&#10;ScGVAqxXD4Ml5tp2fKDLMVYiQTjkqKCO0eVShrImg2FsHXHyvq03GJP0ldQeuwQ3rZxm2ZM02HBa&#10;qNHRtqbydPw1Cr4O1/krbQrj92+Fcz+fXTY7F0oNH/viBUSkPt7D/+29VjBdLODv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JIvcUAAADcAAAADwAAAAAAAAAA&#10;AAAAAAChAgAAZHJzL2Rvd25yZXYueG1sUEsFBgAAAAAEAAQA+QAAAJMDAAAAAA==&#10;" strokecolor="#4a7ebb" strokeweight="3pt">
                  <v:stroke startarrowwidth="wide" startarrowlength="long" endarrow="block" joinstyle="bevel" endcap="round"/>
                </v:shape>
                <v:shape id="_x0000_s1294" type="#_x0000_t202" style="position:absolute;left:32410;top:6337;width:864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rsidR="009722F0" w:rsidRPr="00123425" w:rsidRDefault="009722F0" w:rsidP="00335E4B">
                        <w:pPr>
                          <w:spacing w:line="28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الغاز المنبعث</w:t>
                        </w:r>
                      </w:p>
                    </w:txbxContent>
                  </v:textbox>
                </v:shape>
                <v:shape id="_x0000_s1295" type="#_x0000_t202" style="position:absolute;left:42631;top:36001;width:14002;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w:txbxContent>
                      <w:p w:rsidR="009722F0" w:rsidRPr="00123425" w:rsidRDefault="009722F0" w:rsidP="00123425">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غاز العادم إلى المدخنة</w:t>
                        </w:r>
                      </w:p>
                    </w:txbxContent>
                  </v:textbox>
                </v:shape>
                <v:line id="Straight Connector 75" o:spid="_x0000_s1296" style="position:absolute;flip:x;visibility:visible;mso-wrap-style:square" from="37719,20574" to="4207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Od0cUAAADcAAAADwAAAGRycy9kb3ducmV2LnhtbESPQWvCQBSE7wX/w/KE3uqmJpQ2uooI&#10;loCHUpvi9ZF9TYLZt2F3m6T/3i0IHoeZ+YZZbyfTiYGcby0reF4kIIgrq1uuFZRfh6dXED4ga+ws&#10;k4I/8rDdzB7WmGs78icNp1CLCGGfo4ImhD6X0lcNGfQL2xNH78c6gyFKV0vtcIxw08llkrxIgy3H&#10;hQZ72jdUXU6/RsGwK9+yy3tq3HRsM/tdFh/hbJV6nE+7FYhAU7iHb+1CK0iTJfyfiUd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Od0cUAAADcAAAADwAAAAAAAAAA&#10;AAAAAAChAgAAZHJzL2Rvd25yZXYueG1sUEsFBgAAAAAEAAQA+QAAAJMDAAAAAA==&#10;" strokecolor="#4a7ebb" strokeweight="3pt">
                  <v:stroke endcap="round"/>
                </v:line>
                <v:shape id="Straight Arrow Connector 76" o:spid="_x0000_s1297" type="#_x0000_t32" style="position:absolute;left:37717;top:20574;width:0;height:7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ZxcYAAADcAAAADwAAAGRycy9kb3ducmV2LnhtbESPQWsCMRSE7wX/Q3iCF9Fs1YrdGkUL&#10;heJBqXqwt8fmdTd087Juorv990YQehxm5htmvmxtKa5Ue+NYwfMwAUGcOW04V3A8fAxmIHxA1lg6&#10;JgV/5GG56DzNMdWu4S+67kMuIoR9igqKEKpUSp8VZNEPXUUcvR9XWwxR1rnUNTYRbks5SpKptGg4&#10;LhRY0XtB2e/+YhVMzO7cbF7M+rzdOvl6yi7ue9JXqtdtV28gArXhP/xof2oF42QM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GWcXGAAAA3AAAAA8AAAAAAAAA&#10;AAAAAAAAoQIAAGRycy9kb3ducmV2LnhtbFBLBQYAAAAABAAEAPkAAACUAwAAAAA=&#10;" strokecolor="#4a7ebb" strokeweight="3pt">
                  <v:stroke startarrowwidth="wide" startarrowlength="long" endarrow="block"/>
                </v:shape>
                <v:shape id="_x0000_s1298" type="#_x0000_t202" style="position:absolute;left:34861;top:27539;width:5378;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w:txbxContent>
                      <w:p w:rsidR="009722F0" w:rsidRPr="00123425" w:rsidRDefault="009722F0" w:rsidP="00335E4B">
                        <w:pPr>
                          <w:spacing w:line="28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نفايات الزئبق</w:t>
                        </w:r>
                      </w:p>
                    </w:txbxContent>
                  </v:textbox>
                </v:shape>
                <v:roundrect id="Rounded Rectangle 54" o:spid="_x0000_s1299" style="position:absolute;left:42075;top:17538;width:13716;height:5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hMscA&#10;AADcAAAADwAAAGRycy9kb3ducmV2LnhtbESPT2sCMRTE74LfITzBi9TEilK3RrEFUXoQ/AN6fGxe&#10;dxc3L9tN1LWfvikIHoeZ+Q0znTe2FFeqfeFYw6CvQBCnzhScaTjsly9vIHxANlg6Jg138jCftVtT&#10;TIy78Zauu5CJCGGfoIY8hCqR0qc5WfR9VxFH79vVFkOUdSZNjbcIt6V8VWosLRYcF3Ks6DOn9Ly7&#10;WA2n8cps8PChzpPf3tdxNTwVP9la626nWbyDCNSEZ/jRXhsNQzWC/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toTL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9722F0" w:rsidRPr="00123425" w:rsidRDefault="009722F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إزالة الزئبق</w:t>
                        </w:r>
                      </w:p>
                    </w:txbxContent>
                  </v:textbox>
                </v:roundrect>
                <v:roundrect id="Rounded Rectangle 17" o:spid="_x0000_s1300" style="position:absolute;left:18294;top:19431;width:13919;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RcYA&#10;AADcAAAADwAAAGRycy9kb3ducmV2LnhtbESPQWsCMRSE7wX/Q3iCl1KTKix2NYoWiuJB0Ar1+Ng8&#10;dxc3L9tNqlt/vREEj8PMfMNMZq2txJkaXzrW8N5XIIgzZ0rONey/v95GIHxANlg5Jg3/5GE27bxM&#10;MDXuwls670IuIoR9ihqKEOpUSp8VZNH3XU0cvaNrLIYom1yaBi8Rbis5UCqRFkuOCwXW9FlQdtr9&#10;WQ2HZGk2uF+o08f1df2zHB7K33ylda/bzscgArXhGX60V0bDUCV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8/Rc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9722F0" w:rsidRPr="00123425" w:rsidRDefault="009722F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النض</w:t>
                        </w:r>
                      </w:p>
                    </w:txbxContent>
                  </v:textbox>
                </v:roundrect>
                <v:shape id="Straight Arrow Connector 41" o:spid="_x0000_s1301" type="#_x0000_t32" style="position:absolute;left:25139;top:13455;width:19;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fxscAAADcAAAADwAAAGRycy9kb3ducmV2LnhtbESPQWsCMRSE7wX/Q3hCL0Wzrdrq1iit&#10;IBQPSrUHvT02r7uhm5d1E9313xtB6HGYmW+Y6by1pThT7Y1jBc/9BARx5rThXMHPbtkbg/ABWWPp&#10;mBRcyMN81nmYYqpdw9903oZcRAj7FBUUIVSplD4ryKLvu4o4er+uthiirHOpa2wi3JbyJUlepUXD&#10;caHAihYFZX/bk1UwNJtjsxqZz+N67eRkn53cYfik1GO3/XgHEagN/+F7+0srGCR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fV/GxwAAANwAAAAPAAAAAAAA&#10;AAAAAAAAAKECAABkcnMvZG93bnJldi54bWxQSwUGAAAAAAQABAD5AAAAlQMAAAAA&#10;" strokecolor="#4a7ebb" strokeweight="3pt">
                  <v:stroke startarrowwidth="wide" startarrowlength="long" endarrow="block"/>
                </v:shape>
                <v:roundrect id="Rounded Rectangle 43" o:spid="_x0000_s1302" style="position:absolute;left:5715;top:42335;width:17144;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rMIA&#10;AADcAAAADwAAAGRycy9kb3ducmV2LnhtbERPTYvCMBC9L/gfwgheZE1UkLVrFBVE8SCsCutxaGbb&#10;YjOpTdTqrzcHYY+P9z2ZNbYUN6p94VhDv6dAEKfOFJxpOB5Wn18gfEA2WDomDQ/yMJu2PiaYGHfn&#10;H7rtQyZiCPsENeQhVImUPs3Jou+5ijhyf662GCKsM2lqvMdwW8qBUiNpseDYkGNFy5zS8/5qNZxG&#10;a7PD40Kdx8/u9nc9PBWXbKN1p93Mv0EEasK/+O3eGA1DFdfG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7A6swgAAANwAAAAPAAAAAAAAAAAAAAAAAJgCAABkcnMvZG93&#10;bnJldi54bWxQSwUGAAAAAAQABAD1AAAAhwMAAAAA&#10;" fillcolor="#a3c4ff" strokecolor="#4a7ebb">
                  <v:fill color2="#e5eeff" rotate="t" angle="180" colors="0 #a3c4ff;22938f #bfd5ff;1 #e5eeff" focus="100%" type="gradient"/>
                  <v:shadow on="t" color="black" opacity="24903f" origin=",.5" offset="0,.55556mm"/>
                  <v:textbox>
                    <w:txbxContent>
                      <w:p w:rsidR="009722F0" w:rsidRPr="00123425" w:rsidRDefault="009722F0" w:rsidP="00123425">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التحليل الكهربائي أو ترسيب غبار الزنك</w:t>
                        </w:r>
                      </w:p>
                    </w:txbxContent>
                  </v:textbox>
                </v:roundrect>
                <v:roundrect id="Rounded Rectangle 53" o:spid="_x0000_s1303" style="position:absolute;left:41313;top:8001;width:13716;height:51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rN8YA&#10;AADcAAAADwAAAGRycy9kb3ducmV2LnhtbESPT2sCMRTE74V+h/AKXoomKoiuRmkLRfEg+Af0+Ng8&#10;dxc3L+sm6uqnbwqCx2FmfsNMZo0txZVqXzjW0O0oEMSpMwVnGnbb3/YQhA/IBkvHpOFOHmbT97cJ&#10;JsbdeE3XTchEhLBPUEMeQpVI6dOcLPqOq4ijd3S1xRBlnUlT4y3CbSl7Sg2kxYLjQo4V/eSUnjYX&#10;q+EwmJsV7r7VafT4XO7n/UNxzhZatz6arzGIQE14hZ/thdHQVy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rN8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9722F0" w:rsidRPr="00123425" w:rsidRDefault="009722F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تنظيف الغاز</w:t>
                        </w:r>
                      </w:p>
                    </w:txbxContent>
                  </v:textbox>
                </v:roundrect>
                <v:roundrect id="Rounded Rectangle 44" o:spid="_x0000_s1304" style="position:absolute;left:28549;top:42410;width:13862;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Ud8MA&#10;AADcAAAADwAAAGRycy9kb3ducmV2LnhtbERPy4rCMBTdD/gP4QqzEU0dQbQ2iiNIxYXgA3R5aa5t&#10;sbnpNBnt+PVmIczycN7JojWVuFPjSssKhoMIBHFmdcm5gtNx3Z+AcB5ZY2WZFPyRg8W885FgrO2D&#10;93Q/+FyEEHYxKii8r2MpXVaQQTewNXHgrrYx6ANscqkbfIRwU8mvKBpLgyWHhgJrWhWU3Q6/RsFl&#10;nOodnr6j2/TZ257T0aX8yTdKfXbb5QyEp9b/i9/ujVYwGob54U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OUd8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9722F0" w:rsidRPr="00123425" w:rsidRDefault="009722F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إعادة التشكيل</w:t>
                        </w:r>
                      </w:p>
                    </w:txbxContent>
                  </v:textbox>
                </v:roundrect>
                <v:roundrect id="Rounded Rectangle 18" o:spid="_x0000_s1305" style="position:absolute;left:18292;top:30862;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x7MUA&#10;AADcAAAADwAAAGRycy9kb3ducmV2LnhtbESPQYvCMBSE74L/ITzBi2haBdFqFF1YlD0Iq4IeH82z&#10;LTYvtclqd3+9EYQ9DjPzDTNfNqYUd6pdYVlBPIhAEKdWF5wpOB4++xMQziNrLC2Tgl9ysFy0W3NM&#10;tH3wN933PhMBwi5BBbn3VSKlS3My6Aa2Ig7exdYGfZB1JnWNjwA3pRxG0VgaLDgs5FjRR07pdf9j&#10;FJzHG73D4zq6Tv96X6fN6Fzcsq1S3U6zmoHw1Pj/8Lu91QpGcQy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zHs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9722F0" w:rsidRPr="00123425" w:rsidRDefault="009722F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التجريد</w:t>
                        </w:r>
                      </w:p>
                    </w:txbxContent>
                  </v:textbox>
                </v:roundrect>
                <v:shape id="Straight Arrow Connector 49" o:spid="_x0000_s1306" type="#_x0000_t32" style="position:absolute;left:25341;top:24886;width:17;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qg8cAAADcAAAADwAAAGRycy9kb3ducmV2LnhtbESPT2sCMRTE7wW/Q3iFXopmtSq6GqUt&#10;FIoHxT8HvT02r7vBzcu6ie722xuh0OMwM79h5svWluJGtTeOFfR7CQjizGnDuYLD/qs7AeEDssbS&#10;MSn4JQ/LRedpjql2DW/ptgu5iBD2KSooQqhSKX1WkEXfcxVx9H5cbTFEWedS19hEuC3lIEnG0qLh&#10;uFBgRZ8FZefd1SoYms2lWY3Mx2W9dnJ6zK7uNHxV6uW5fZ+BCNSG//Bf+1sreOsP4HEmH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02qDxwAAANwAAAAPAAAAAAAA&#10;AAAAAAAAAKECAABkcnMvZG93bnJldi54bWxQSwUGAAAAAAQABAD5AAAAlQMAAAAA&#10;" strokecolor="#4a7ebb" strokeweight="3pt">
                  <v:stroke startarrowwidth="wide" startarrowlength="long" endarrow="block"/>
                </v:shape>
                <v:shape id="Straight Arrow Connector 50" o:spid="_x0000_s1307" type="#_x0000_t32" style="position:absolute;left:20574;top:36359;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PGMcAAADcAAAADwAAAGRycy9kb3ducmV2LnhtbESPQWsCMRSE7wX/Q3hCL6JZqxa7NUpb&#10;KEgPStWD3h6b525w87Juorv++0YQehxm5htmtmhtKa5Ue+NYwXCQgCDOnDacK9htv/tTED4gaywd&#10;k4IbeVjMO08zTLVr+Jeum5CLCGGfooIihCqV0mcFWfQDVxFH7+hqiyHKOpe6xibCbSlfkuRVWjQc&#10;Fwqs6Kug7LS5WAVjsz43PxPzeV6tnHzbZxd3GPeUeu62H+8gArXhP/xoL7WC0XAE9zPx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n88YxwAAANwAAAAPAAAAAAAA&#10;AAAAAAAAAKECAABkcnMvZG93bnJldi54bWxQSwUGAAAAAAQABAD5AAAAlQMAAAAA&#10;" strokecolor="#4a7ebb" strokeweight="3pt">
                  <v:stroke startarrowwidth="wide" startarrowlength="long" endarrow="block"/>
                </v:shape>
                <v:shape id="Straight Arrow Connector 51" o:spid="_x0000_s1308" type="#_x0000_t32" style="position:absolute;left:29718;top:36359;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XbMcAAADcAAAADwAAAGRycy9kb3ducmV2LnhtbESPQWvCQBSE7wX/w/IEL6Vu1LS0qauo&#10;IBQPStVDe3tkX5PF7NuYXU36712h0OMwM98w03lnK3GlxhvHCkbDBARx7rThQsHxsH56BeEDssbK&#10;MSn4JQ/zWe9hipl2LX/SdR8KESHsM1RQhlBnUvq8JIt+6Gri6P24xmKIsimkbrCNcFvJcZK8SIuG&#10;40KJNa1Kyk/7i1WQmt253Tyb5Xm7dfLtK7+47/RRqUG/W7yDCNSF//Bf+0MrmIxSuJ+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dldsxwAAANwAAAAPAAAAAAAA&#10;AAAAAAAAAKECAABkcnMvZG93bnJldi54bWxQSwUGAAAAAAQABAD5AAAAlQMAAAAA&#10;" strokecolor="#4a7ebb" strokeweight="3pt">
                  <v:stroke startarrowwidth="wide" startarrowlength="long" endarrow="block"/>
                </v:shape>
                <v:shape id="Straight Arrow Connector 52" o:spid="_x0000_s1309" type="#_x0000_t32" style="position:absolute;left:13716;top:47864;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ry98cAAADcAAAADwAAAGRycy9kb3ducmV2LnhtbESPQWsCMRSE74L/ITyhF9GsVYvdGqUt&#10;FKQHpepBb4/Ncze4eVk30d3++0YoeBxm5htmvmxtKW5Ue+NYwWiYgCDOnDacK9jvvgYzED4gaywd&#10;k4Jf8rBcdDtzTLVr+Idu25CLCGGfooIihCqV0mcFWfRDVxFH7+RqiyHKOpe6xibCbSmfk+RFWjQc&#10;Fwqs6LOg7Ly9WgUTs7k031PzcVmvnXw9ZFd3nPSVeuq1728gArXhEf5vr7SC8WgK9zPx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vL3xwAAANwAAAAPAAAAAAAA&#10;AAAAAAAAAKECAABkcnMvZG93bnJldi54bWxQSwUGAAAAAAQABAD5AAAAlQMAAAAA&#10;" strokecolor="#4a7ebb" strokeweight="3pt">
                  <v:stroke startarrowwidth="wide" startarrowlength="long" endarrow="block"/>
                </v:shape>
                <v:shape id="Straight Arrow Connector 69" o:spid="_x0000_s1310" type="#_x0000_t32" style="position:absolute;left:13853;top:59225;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sgMcAAADcAAAADwAAAGRycy9kb3ducmV2LnhtbESPQWvCQBSE70L/w/IKXqRutBra1FWq&#10;UBAPSm0P7e2RfU2WZt/G7Griv3cFweMwM98ws0VnK3GixhvHCkbDBARx7rThQsH318fTCwgfkDVW&#10;jknBmTws5g+9GWbatfxJp30oRISwz1BBGUKdSenzkiz6oauJo/fnGoshyqaQusE2wm0lx0mSSouG&#10;40KJNa1Kyv/3R6tgYnaHdjM1y8N26+TrT350v5OBUv3H7v0NRKAu3MO39loreB6l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6GyAxwAAANwAAAAPAAAAAAAA&#10;AAAAAAAAAKECAABkcnMvZG93bnJldi54bWxQSwUGAAAAAAQABAD5AAAAlQMAAAAA&#10;" strokecolor="#4a7ebb" strokeweight="3pt">
                  <v:stroke startarrowwidth="wide" startarrowlength="long" endarrow="block"/>
                </v:shape>
                <v:shape id="Straight Arrow Connector 74" o:spid="_x0000_s1311" type="#_x0000_t32" style="position:absolute;left:42498;top:43435;width:67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1k8UAAADcAAAADwAAAGRycy9kb3ducmV2LnhtbESPQWsCMRSE7wX/Q3hCbzVrxVZWo2wL&#10;BUF60Bbq8bF57q5uXtIkuuu/N4WCx2FmvmEWq9604kI+NJYVjEcZCOLS6oYrBd9fH08zECEia2wt&#10;k4IrBVgtBw8LzLXteEuXXaxEgnDIUUEdo8ulDGVNBsPIOuLkHaw3GJP0ldQeuwQ3rXzOshdpsOG0&#10;UKOj95rK0+5sFOy31+mG3grj15+Fc8efLpv8Fko9DvtiDiJSH+/h//ZaK5iMX+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N1k8UAAADcAAAADwAAAAAAAAAA&#10;AAAAAAChAgAAZHJzL2Rvd25yZXYueG1sUEsFBgAAAAAEAAQA+QAAAJMDAAAAAA==&#10;" strokecolor="#4a7ebb" strokeweight="3pt">
                  <v:stroke startarrowwidth="wide" startarrowlength="long" endarrow="block" joinstyle="bevel" endcap="round"/>
                </v:shape>
                <v:shape id="Straight Arrow Connector 80" o:spid="_x0000_s1312" type="#_x0000_t32" style="position:absolute;left:42498;top:46864;width:6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h4cIAAADcAAAADwAAAGRycy9kb3ducmV2LnhtbERPy2oCMRTdF/yHcIXuasZKRUajjIWC&#10;ULrwAbq8TK4zo5ObmKTO+PfNouDycN6LVW9acScfGssKxqMMBHFpdcOVgsP+620GIkRkja1lUvCg&#10;AKvl4GWBubYdb+m+i5VIIRxyVFDH6HIpQ1mTwTCyjjhxZ+sNxgR9JbXHLoWbVr5n2VQabDg11Ojo&#10;s6byuvs1Ck7bx8c3rQvjNz+Fc5djl01uhVKvw76Yg4jUx6f4373RCibjtDadS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h4cIAAADcAAAADwAAAAAAAAAAAAAA&#10;AAChAgAAZHJzL2Rvd25yZXYueG1sUEsFBgAAAAAEAAQA+QAAAJADAAAAAA==&#10;" strokecolor="#4a7ebb" strokeweight="3pt">
                  <v:stroke startarrowwidth="wide" startarrowlength="long" endarrow="block" joinstyle="bevel" endcap="round"/>
                </v:shape>
                <v:shape id="Text Box 81" o:spid="_x0000_s1313" type="#_x0000_t202" style="position:absolute;left:49269;top:45485;width:8166;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w:txbxContent>
                      <w:p w:rsidR="009722F0" w:rsidRPr="00123425" w:rsidRDefault="009722F0" w:rsidP="00335E4B">
                        <w:pPr>
                          <w:spacing w:line="28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نفايات الزئبق النقي</w:t>
                        </w:r>
                      </w:p>
                    </w:txbxContent>
                  </v:textbox>
                </v:shape>
                <v:shape id="_x0000_s1314" type="#_x0000_t202" style="position:absolute;left:49269;top:41656;width:7798;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w:txbxContent>
                      <w:p w:rsidR="009722F0" w:rsidRPr="00123425" w:rsidRDefault="009722F0" w:rsidP="00123425">
                        <w:pPr>
                          <w:spacing w:line="26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الكربون المعاد تشكيله</w:t>
                        </w:r>
                      </w:p>
                    </w:txbxContent>
                  </v:textbox>
                </v:shape>
                <v:shape id="Straight Arrow Connector 83" o:spid="_x0000_s1315" type="#_x0000_t32" style="position:absolute;left:11522;top:20594;width:6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CwcUAAADcAAAADwAAAGRycy9kb3ducmV2LnhtbESPQWsCMRSE70L/Q3gFbzWrYilbo6yC&#10;IJQe1EJ7fGxed7fdvMQkuuu/N4LgcZiZb5j5sjetOJMPjWUF41EGgri0uuFKwddh8/IGIkRkja1l&#10;UnChAMvF02COubYd7+i8j5VIEA45KqhjdLmUoazJYBhZR5y8X+sNxiR9JbXHLsFNKydZ9ioNNpwW&#10;anS0rqn835+Mgp/dZfZBq8L47Wfh3N93l02PhVLD5754BxGpj4/wvb3VCqaTMdzO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qCwcUAAADcAAAADwAAAAAAAAAA&#10;AAAAAAChAgAAZHJzL2Rvd25yZXYueG1sUEsFBgAAAAAEAAQA+QAAAJMDAAAAAA==&#10;" strokecolor="#4a7ebb" strokeweight="3pt">
                  <v:stroke startarrowwidth="wide" startarrowlength="long" endarrow="block" joinstyle="bevel" endcap="round"/>
                </v:shape>
                <v:shape id="Straight Arrow Connector 84" o:spid="_x0000_s1316" type="#_x0000_t32" style="position:absolute;left:11582;top:24003;width:67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ctsUAAADcAAAADwAAAGRycy9kb3ducmV2LnhtbESPQWsCMRSE7wX/Q3hCbzXrSotsjbIW&#10;CoJ40Bbs8bF53d26eYlJ6q7/vhGEHoeZ+YZZrAbTiQv50FpWMJ1kIIgrq1uuFXx+vD/NQYSIrLGz&#10;TAquFGC1HD0ssNC25z1dDrEWCcKhQAVNjK6QMlQNGQwT64iT9229wZikr6X22Ce46WSeZS/SYMtp&#10;oUFHbw1Vp8OvUfC1vz5vaV0av9mVzv0c+2x2LpV6HA/lK4hIQ/wP39sbrWCW53A7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gctsUAAADcAAAADwAAAAAAAAAA&#10;AAAAAAChAgAAZHJzL2Rvd25yZXYueG1sUEsFBgAAAAAEAAQA+QAAAJMDAAAAAA==&#10;" strokecolor="#4a7ebb" strokeweight="3pt">
                  <v:stroke startarrowwidth="wide" startarrowlength="long" endarrow="block" joinstyle="bevel" endcap="round"/>
                </v:shape>
                <v:shape id="_x0000_s1317" type="#_x0000_t202" style="position:absolute;left:4514;top:19024;width:6712;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w:txbxContent>
                      <w:p w:rsidR="009722F0" w:rsidRPr="00123425" w:rsidRDefault="009722F0" w:rsidP="00D55641">
                        <w:pPr>
                          <w:spacing w:line="20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السيانيد</w:t>
                        </w:r>
                      </w:p>
                    </w:txbxContent>
                  </v:textbox>
                </v:shape>
                <v:shape id="_x0000_s1318" type="#_x0000_t202" style="position:absolute;left:2546;top:22593;width:868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w:txbxContent>
                      <w:p w:rsidR="009722F0" w:rsidRPr="00123425" w:rsidRDefault="009722F0" w:rsidP="00335E4B">
                        <w:pPr>
                          <w:spacing w:line="28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الكربون المنشَّط</w:t>
                        </w:r>
                      </w:p>
                    </w:txbxContent>
                  </v:textbox>
                </v:shape>
                <v:shape id="Straight Arrow Connector 87" o:spid="_x0000_s1319" type="#_x0000_t32" style="position:absolute;left:13853;top:70655;width:36;height:47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Wo8QAAADcAAAADwAAAGRycy9kb3ducmV2LnhtbESPQWvCQBSE70L/w/IKvemmFqWk2Ugp&#10;VAIiVFPo9Zl9JjHZtyG7JvHfdwsFj8PMfMMkm8m0YqDe1ZYVPC8iEMSF1TWXCr7zz/krCOeRNbaW&#10;ScGNHGzSh1mCsbYjH2g4+lIECLsYFVTed7GUrqjIoFvYjjh4Z9sb9EH2pdQ9jgFuWrmMorU0WHNY&#10;qLCjj4qK5ng1Ck48NLSX5tJ87ei0zbKfXI+s1NPj9P4GwtPk7+H/dqYVvCxX8HcmHAG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lajxAAAANwAAAAPAAAAAAAAAAAA&#10;AAAAAKECAABkcnMvZG93bnJldi54bWxQSwUGAAAAAAQABAD5AAAAkgMAAAAA&#10;" strokecolor="#4a7ebb" strokeweight="3pt">
                  <v:stroke startarrowwidth="wide" startarrowlength="long" endarrow="block"/>
                </v:shape>
                <v:shape id="Text Box 88" o:spid="_x0000_s1320" type="#_x0000_t202" style="position:absolute;left:9004;top:75438;width:8718;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FbccA&#10;AADcAAAADwAAAGRycy9kb3ducmV2LnhtbESPzWrDMBCE74G+g9hCbolcl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BW3HAAAA3AAAAA8AAAAAAAAAAAAAAAAAmAIAAGRy&#10;cy9kb3ducmV2LnhtbFBLBQYAAAAABAAEAPUAAACMAwAAAAA=&#10;" filled="f" stroked="f" strokeweight=".5pt">
                  <v:textbox>
                    <w:txbxContent>
                      <w:p w:rsidR="009722F0" w:rsidRPr="00123425" w:rsidRDefault="009722F0" w:rsidP="00335E4B">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سبيكة الذهب</w:t>
                        </w:r>
                      </w:p>
                    </w:txbxContent>
                  </v:textbox>
                </v:shape>
                <v:roundrect id="Rounded Rectangle 90" o:spid="_x0000_s1321" style="position:absolute;left:28548;top:65120;width:12538;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GvscA&#10;AADcAAAADwAAAGRycy9kb3ducmV2LnhtbESPS4vCQBCE74L/YWjBy6KTVfARHUWFRdmD4AP02GTa&#10;JJjpyWZGzfrrnYUFj0VVfUVN57UpxJ0ql1tW8NmNQBAnVuecKjgevjojEM4jaywsk4JfcjCfNRtT&#10;jLV98I7ue5+KAGEXo4LM+zKW0iUZGXRdWxIH72Irgz7IKpW6wkeAm0L2omggDeYcFjIsaZVRct3f&#10;jILzYK23eFxG1/Hz4/u07p/zn3SjVLtVLyYgPNX+Hf5vb7SCfm8If2fC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Gxr7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9722F0" w:rsidRPr="00123425" w:rsidRDefault="009722F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إزالة المواد الجسيمية</w:t>
                        </w:r>
                      </w:p>
                    </w:txbxContent>
                  </v:textbox>
                </v:roundrect>
                <v:roundrect id="Rounded Rectangle 91" o:spid="_x0000_s1322" style="position:absolute;left:46860;top:57151;width:11433;height:10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SzMUA&#10;AADcAAAADwAAAGRycy9kb3ducmV2LnhtbERPy2rCQBTdF/yH4Ra6KXXSBMTGjMEWSsSF4AN0ecnc&#10;JiGZO2lmqqlf7ywKXR7OO8tH04kLDa6xrOB1GoEgLq1uuFJwPHy+zEE4j6yxs0wKfslBvpw8ZJhq&#10;e+UdXfa+EiGEXYoKau/7VEpX1mTQTW1PHLgvOxj0AQ6V1ANeQ7jpZBxFM2mw4dBQY08fNZXt/sco&#10;OM8KvcXje9S+3Z43pyI5N9/VWqmnx3G1AOFp9P/iP/daK0jisDa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VLM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9722F0" w:rsidRPr="00123425" w:rsidRDefault="009722F0" w:rsidP="00123425">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عمود الكربون المشبع بالكبريت</w:t>
                        </w:r>
                      </w:p>
                    </w:txbxContent>
                  </v:textbox>
                </v:roundrect>
                <v:shape id="Straight Arrow Connector 92" o:spid="_x0000_s1323" type="#_x0000_t32" style="position:absolute;left:20595;top:56008;width:7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yOx8UAAADcAAAADwAAAGRycy9kb3ducmV2LnhtbESPQWsCMRSE74X+h/AEbzWrUrFbo2wF&#10;QSg9qIX2+Ni87q5uXmKSuuu/bwqCx2FmvmEWq9604kI+NJYVjEcZCOLS6oYrBZ+HzdMcRIjIGlvL&#10;pOBKAVbLx4cF5tp2vKPLPlYiQTjkqKCO0eVShrImg2FkHXHyfqw3GJP0ldQeuwQ3rZxk2UwabDgt&#10;1OhoXVN52v8aBd+76/M7vRXGbz8K545fXTY9F0oNB33xCiJSH+/hW3urFUwnL/B/Jh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yOx8UAAADcAAAADwAAAAAAAAAA&#10;AAAAAAChAgAAZHJzL2Rvd25yZXYueG1sUEsFBgAAAAAEAAQA+QAAAJMDAAAAAA==&#10;" strokecolor="#4a7ebb" strokeweight="3pt">
                  <v:stroke startarrowwidth="wide" startarrowlength="long" endarrow="block" joinstyle="bevel" endcap="round"/>
                </v:shape>
                <v:shape id="Straight Arrow Connector 93" o:spid="_x0000_s1324" type="#_x0000_t32" style="position:absolute;left:20596;top:67439;width:7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h8IAAADcAAAADwAAAGRycy9kb3ducmV2LnhtbERPz2vCMBS+D/wfwhN2m6krG1KNUgeC&#10;MHbQDfT4aJ5ttXmJSbT1v18Ogx0/vt+L1WA6cScfWssKppMMBHFldcu1gp/vzcsMRIjIGjvLpOBB&#10;AVbL0dMCC2173tF9H2uRQjgUqKCJ0RVShqohg2FiHXHiTtYbjAn6WmqPfQo3nXzNsndpsOXU0KCj&#10;j4aqy/5mFBx3j7dPWpfGb79K586HPsuvpVLP46Gcg4g0xH/xn3urFeR5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xh8IAAADcAAAADwAAAAAAAAAAAAAA&#10;AAChAgAAZHJzL2Rvd25yZXYueG1sUEsFBgAAAAAEAAQA+QAAAJADAAAAAA==&#10;" strokecolor="#4a7ebb" strokeweight="3pt">
                  <v:stroke startarrowwidth="wide" startarrowlength="long" endarrow="block" joinstyle="bevel" endcap="round"/>
                </v:shape>
                <v:roundrect id="Rounded Rectangle 65" o:spid="_x0000_s1325" style="position:absolute;left:6919;top:53770;width:13655;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tjMUA&#10;AADcAAAADwAAAGRycy9kb3ducmV2LnhtbESPQYvCMBSE74L/ITzBi6ypFsTtGkUFUfYgrArr8dE8&#10;22LzUpuodX+9EYQ9DjPzDTOZNaYUN6pdYVnBoB+BIE6tLjhTcNivPsYgnEfWWFomBQ9yMJu2WxNM&#10;tL3zD912PhMBwi5BBbn3VSKlS3My6Pq2Ig7eydYGfZB1JnWN9wA3pRxG0UgaLDgs5FjRMqf0vLsa&#10;BcfRWm/xsIjOn3+97991fCwu2UapbqeZf4Hw1Pj/8Lu90QrieAC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m2MxQAAANw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9722F0" w:rsidRPr="00123425" w:rsidRDefault="009722F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المعوجة</w:t>
                        </w:r>
                      </w:p>
                    </w:txbxContent>
                  </v:textbox>
                </v:roundrect>
                <v:roundrect id="Rounded Rectangle 73" o:spid="_x0000_s1326" style="position:absolute;left:6941;top:65201;width:13655;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z+8YA&#10;AADcAAAADwAAAGRycy9kb3ducmV2LnhtbESPT4vCMBTE74LfITzBi6ypFsTtGkUFUTws+AfW46N5&#10;tsXmpTZZ7frpjbDgcZiZ3zCTWWNKcaPaFZYVDPoRCOLU6oIzBcfD6mMMwnlkjaVlUvBHDmbTdmuC&#10;ibZ33tFt7zMRIOwSVJB7XyVSujQng65vK+LgnW1t0AdZZ1LXeA9wU8phFI2kwYLDQo4VLXNKL/tf&#10;o+A0WutvPC6iy+ejt/1Zx6fimm2U6naa+RcIT41/h//bG60gjof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jz+8YAAADc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9722F0" w:rsidRPr="00123425" w:rsidRDefault="009722F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الفرن</w:t>
                        </w:r>
                      </w:p>
                    </w:txbxContent>
                  </v:textbox>
                </v:roundrect>
                <v:shape id="Straight Arrow Connector 94" o:spid="_x0000_s1327" type="#_x0000_t32" style="position:absolute;left:41085;top:58295;width:5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0v8MUAAADcAAAADwAAAGRycy9kb3ducmV2LnhtbESPzWrDMBCE74W+g9hCb43cmpTgRAlu&#10;oRAIOeQH2uNibWwn1kqV1Nh5+ygQ6HGYmW+Y2WIwnTiTD61lBa+jDARxZXXLtYL97utlAiJEZI2d&#10;ZVJwoQCL+ePDDAtte97QeRtrkSAcClTQxOgKKUPVkMEwso44eQfrDcYkfS21xz7BTSffsuxdGmw5&#10;LTTo6LOh6rT9Mwp+Npfxij5K45fr0rnjd5/lv6VSz09DOQURaYj/4Xt7qRXkeQ63M+k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0v8MUAAADcAAAADwAAAAAAAAAA&#10;AAAAAAChAgAAZHJzL2Rvd25yZXYueG1sUEsFBgAAAAAEAAQA+QAAAJMDAAAAAA==&#10;" strokecolor="#4a7ebb" strokeweight="3pt">
                  <v:stroke startarrowwidth="wide" startarrowlength="long" endarrow="block" joinstyle="bevel" endcap="round"/>
                </v:shape>
                <v:roundrect id="Rounded Rectangle 89" o:spid="_x0000_s1328" style="position:absolute;left:28548;top:53840;width:12538;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OFMcA&#10;AADcAAAADwAAAGRycy9kb3ducmV2LnhtbESPQWvCQBSE7wX/w/IEL0U3NkU0zSpaKEoPhaaCOT6y&#10;r0kw+zZmV0399W6h0OMwM98w6ao3jbhQ52rLCqaTCARxYXXNpYL919t4DsJ5ZI2NZVLwQw5Wy8FD&#10;iom2V/6kS+ZLESDsElRQed8mUrqiIoNuYlvi4H3bzqAPsiul7vAa4KaRT1E0kwZrDgsVtvRaUXHM&#10;zkZBPtvqD9xvouPi9vh+2MZ5fSp3So2G/foFhKfe/4f/2jutII6f4fdMO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NzhT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9722F0" w:rsidRPr="00123425" w:rsidRDefault="009722F0" w:rsidP="00335E4B">
                        <w:pPr>
                          <w:spacing w:before="120"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جهاز التكثيف</w:t>
                        </w:r>
                      </w:p>
                    </w:txbxContent>
                  </v:textbox>
                </v:roundrect>
                <v:shape id="Straight Arrow Connector 95" o:spid="_x0000_s1329" type="#_x0000_t32" style="position:absolute;left:41295;top:66296;width:5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gSH8UAAADcAAAADwAAAGRycy9kb3ducmV2LnhtbESPQWsCMRSE7wX/Q3iCt5q1i0W2RlkL&#10;giA9aAv2+Ni87m7dvMQkuuu/bwqFHoeZ+YZZrgfTiRv50FpWMJtmIIgrq1uuFXy8bx8XIEJE1thZ&#10;JgV3CrBejR6WWGjb84Fux1iLBOFQoIImRldIGaqGDIapdcTJ+7LeYEzS11J77BPcdPIpy56lwZbT&#10;QoOOXhuqzserUfB5uM/3tCmN372Vzn2f+iy/lEpNxkP5AiLSEP/Df+2dVpDnc/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gSH8UAAADcAAAADwAAAAAAAAAA&#10;AAAAAAChAgAAZHJzL2Rvd25yZXYueG1sUEsFBgAAAAAEAAQA+QAAAJMDAAAAAA==&#10;" strokecolor="#4a7ebb" strokeweight="3pt">
                  <v:stroke startarrowwidth="wide" startarrowlength="long" endarrow="block" joinstyle="bevel" endcap="round"/>
                </v:shape>
                <v:shape id="Straight Arrow Connector 96" o:spid="_x0000_s1330" type="#_x0000_t32" style="position:absolute;left:41295;top:54865;width:5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qMaMUAAADcAAAADwAAAGRycy9kb3ducmV2LnhtbESPQWsCMRSE7wX/Q3iCt5q1S0W2RlkL&#10;giA9aAv2+Ni87m7dvMQkuuu/bwqFHoeZ+YZZrgfTiRv50FpWMJtmIIgrq1uuFXy8bx8XIEJE1thZ&#10;JgV3CrBejR6WWGjb84Fux1iLBOFQoIImRldIGaqGDIapdcTJ+7LeYEzS11J77BPcdPIpy+bSYMtp&#10;oUFHrw1V5+PVKPg83J/3tCmN372Vzn2f+iy/lEpNxkP5AiLSEP/Df+2dVpDnc/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qMaMUAAADcAAAADwAAAAAAAAAA&#10;AAAAAAChAgAAZHJzL2Rvd25yZXYueG1sUEsFBgAAAAAEAAQA+QAAAJMDAAAAAA==&#10;" strokecolor="#4a7ebb" strokeweight="3pt">
                  <v:stroke startarrowwidth="wide" startarrowlength="long" endarrow="block" joinstyle="bevel" endcap="round"/>
                </v:shape>
                <v:shape id="Text Box 97" o:spid="_x0000_s1331" type="#_x0000_t202" style="position:absolute;left:46869;top:53200;width:11424;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2K8cA&#10;AADcAAAADwAAAGRycy9kb3ducmV2LnhtbESPQWvCQBSE70L/w/IKvemmBluJ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VNivHAAAA3AAAAA8AAAAAAAAAAAAAAAAAmAIAAGRy&#10;cy9kb3ducmV2LnhtbFBLBQYAAAAABAAEAPUAAACMAwAAAAA=&#10;" filled="f" stroked="f" strokeweight=".5pt">
                  <v:textbox>
                    <w:txbxContent>
                      <w:p w:rsidR="009722F0" w:rsidRPr="00123425" w:rsidRDefault="009722F0" w:rsidP="00123425">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نفايات الزئبق النقي</w:t>
                        </w:r>
                      </w:p>
                    </w:txbxContent>
                  </v:textbox>
                </v:shape>
                <v:shape id="Straight Arrow Connector 98" o:spid="_x0000_s1332" type="#_x0000_t32" style="position:absolute;left:35243;top:70574;width:0;height:4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4BCcMAAADcAAAADwAAAGRycy9kb3ducmV2LnhtbERPy2oCMRTdF/oP4Ra6Ec34xE6NogVB&#10;XCg+Fu3uMrmdCZ3cjJPojH9vFkKXh/OeLVpbihvV3jhW0O8lIIgzpw3nCs6ndXcKwgdkjaVjUnAn&#10;D4v568sMU+0aPtDtGHIRQ9inqKAIoUql9FlBFn3PVcSR+3W1xRBhnUtdYxPDbSkHSTKRFg3HhgIr&#10;+ioo+zterYKR2V+a7disLrudkx/f2dX9jDpKvb+1y08QgdrwL366N1rBcBjXxjPx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OAQnDAAAA3AAAAA8AAAAAAAAAAAAA&#10;AAAAoQIAAGRycy9kb3ducmV2LnhtbFBLBQYAAAAABAAEAPkAAACRAwAAAAA=&#10;" strokecolor="#4a7ebb" strokeweight="3pt">
                  <v:stroke startarrowwidth="wide" startarrowlength="long" endarrow="block"/>
                </v:shape>
                <v:shape id="Text Box 99" o:spid="_x0000_s1333" type="#_x0000_t202" style="position:absolute;left:30810;top:75717;width:8293;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HwscA&#10;AADcAAAADwAAAGRycy9kb3ducmV2LnhtbESPQWvCQBSE70L/w/IKvemmBouN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B8LHAAAA3AAAAA8AAAAAAAAAAAAAAAAAmAIAAGRy&#10;cy9kb3ducmV2LnhtbFBLBQYAAAAABAAEAPUAAACMAwAAAAA=&#10;" filled="f" stroked="f" strokeweight=".5pt">
                  <v:textbox>
                    <w:txbxContent>
                      <w:p w:rsidR="009722F0" w:rsidRPr="00123425" w:rsidRDefault="009722F0" w:rsidP="00335E4B">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نفايات الزئبق</w:t>
                        </w:r>
                      </w:p>
                    </w:txbxContent>
                  </v:textbox>
                </v:shape>
                <v:shape id="Straight Arrow Connector 100" o:spid="_x0000_s1334" type="#_x0000_t32" style="position:absolute;left:52578;top:67439;width:0;height:4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5+csQAAADcAAAADwAAAGRycy9kb3ducmV2LnhtbERPz2vCMBS+D/wfwhO8DE2nnbjOKNtg&#10;IDsoqx7c7dG8tWHNS22irf+9OQg7fny/l+ve1uJCrTeOFTxNEhDEhdOGSwWH/ed4AcIHZI21Y1Jw&#10;JQ/r1eBhiZl2HX/TJQ+liCHsM1RQhdBkUvqiIot+4hriyP261mKIsC2lbrGL4baW0ySZS4uGY0OF&#10;DX1UVPzlZ6sgNbtT9/Vs3k/brZMvx+LsftJHpUbD/u0VRKA+/Ivv7o1WMEvj/HgmH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n5yxAAAANwAAAAPAAAAAAAAAAAA&#10;AAAAAKECAABkcnMvZG93bnJldi54bWxQSwUGAAAAAAQABAD5AAAAkgMAAAAA&#10;" strokecolor="#4a7ebb" strokeweight="3pt">
                  <v:stroke startarrowwidth="wide" startarrowlength="long" endarrow="block"/>
                </v:shape>
                <v:shape id="Text Box 101" o:spid="_x0000_s1335" type="#_x0000_t202" style="position:absolute;left:47726;top:72364;width:890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4ucYA&#10;AADcAAAADwAAAGRycy9kb3ducmV2LnhtbESPT4vCMBTE7wt+h/AEb2uq64pUo0hBVsQ9+Ofi7dk8&#10;22LzUpuo1U+/WRA8DjPzG2Yya0wpblS7wrKCXjcCQZxaXXCmYL9bfI5AOI+ssbRMCh7kYDZtfUww&#10;1vbOG7ptfSYChF2MCnLvq1hKl+Zk0HVtRRy8k60N+iDrTOoa7wFuStmPoqE0WHBYyLGiJKf0vL0a&#10;Batk8YubY9+MnmXysz7Nq8v+8K1Up93MxyA8Nf4dfrWXWsHXo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Z4ucYAAADcAAAADwAAAAAAAAAAAAAAAACYAgAAZHJz&#10;L2Rvd25yZXYueG1sUEsFBgAAAAAEAAQA9QAAAIsDAAAAAA==&#10;" filled="f" stroked="f" strokeweight=".5pt">
                  <v:textbox>
                    <w:txbxContent>
                      <w:p w:rsidR="009722F0" w:rsidRPr="00123425" w:rsidRDefault="009722F0" w:rsidP="00335E4B">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نفايات الزئبق</w:t>
                        </w:r>
                      </w:p>
                    </w:txbxContent>
                  </v:textbox>
                </v:shape>
                <v:shape id="Text Box 102" o:spid="_x0000_s1336" type="#_x0000_t202" style="position:absolute;left:16294;top:26600;width:8458;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mzscA&#10;AADcAAAADwAAAGRycy9kb3ducmV2LnhtbESPzWvCQBTE70L/h+UVetNN01YkZhUJSEXagx8Xb8/s&#10;ywdm36bZrab9611B8DjMzG+YdN6bRpypc7VlBa+jCARxbnXNpYL9bjmcgHAeWWNjmRT8kYP57GmQ&#10;YqLthTd03vpSBAi7BBVU3reJlC6vyKAb2ZY4eIXtDPogu1LqDi8BbhoZR9FYGqw5LFTYUlZRftr+&#10;GgXrbPmNm2NsJv9N9vlVLNqf/eFDqZfnfjEF4an3j/C9vdIK3t5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k5s7HAAAA3AAAAA8AAAAAAAAAAAAAAAAAmAIAAGRy&#10;cy9kb3ducmV2LnhtbFBLBQYAAAAABAAEAPUAAACMAwAAAAA=&#10;" filled="f" stroked="f" strokeweight=".5pt">
                  <v:textbox>
                    <w:txbxContent>
                      <w:p w:rsidR="009722F0" w:rsidRPr="00123425" w:rsidRDefault="009722F0" w:rsidP="00335E4B">
                        <w:pPr>
                          <w:spacing w:line="28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الكربون المحمل</w:t>
                        </w:r>
                      </w:p>
                    </w:txbxContent>
                  </v:textbox>
                </v:shape>
                <v:shape id="Text Box 103" o:spid="_x0000_s1337" type="#_x0000_t202" style="position:absolute;left:29991;top:37420;width:1024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DVccA&#10;AADcAAAADwAAAGRycy9kb3ducmV2LnhtbESPQWvCQBSE70L/w/IKvemmxhaJriIBqUh7iPXS2zP7&#10;TEKzb9PsNon99a4g9DjMzDfMcj2YWnTUusqygudJBII4t7riQsHxczueg3AeWWNtmRRcyMF69TBa&#10;YqJtzxl1B1+IAGGXoILS+yaR0uUlGXQT2xAH72xbgz7ItpC6xT7ATS2nUfQqDVYcFkpsKC0p/z78&#10;GgX7dPuB2Wlq5n91+vZ+3jQ/x68XpZ4eh80ChKfB/4fv7Z1WEM9i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oQ1XHAAAA3AAAAA8AAAAAAAAAAAAAAAAAmAIAAGRy&#10;cy9kb3ducmV2LnhtbFBLBQYAAAAABAAEAPUAAACMAwAAAAA=&#10;" filled="f" stroked="f" strokeweight=".5pt">
                  <v:textbox>
                    <w:txbxContent>
                      <w:p w:rsidR="009722F0" w:rsidRPr="00123425" w:rsidRDefault="009722F0" w:rsidP="00335E4B">
                        <w:pPr>
                          <w:spacing w:line="280" w:lineRule="exact"/>
                          <w:rPr>
                            <w:rFonts w:ascii="Traditional Arabic" w:hAnsi="Traditional Arabic" w:cs="Traditional Arabic"/>
                            <w:sz w:val="26"/>
                            <w:szCs w:val="26"/>
                            <w:lang w:val="en-CA"/>
                          </w:rPr>
                        </w:pPr>
                        <w:r w:rsidRPr="00123425">
                          <w:rPr>
                            <w:rFonts w:ascii="Traditional Arabic" w:hAnsi="Traditional Arabic" w:cs="Traditional Arabic"/>
                            <w:sz w:val="26"/>
                            <w:szCs w:val="26"/>
                            <w:rtl/>
                            <w:lang w:val="en-CA" w:bidi="ar-SY"/>
                          </w:rPr>
                          <w:t>الكربون المستهلك</w:t>
                        </w:r>
                      </w:p>
                    </w:txbxContent>
                  </v:textbox>
                </v:shape>
                <v:shape id="Text Box 104" o:spid="_x0000_s1338" type="#_x0000_t202" style="position:absolute;left:5715;top:48933;width:7562;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bIccA&#10;AADcAAAADwAAAGRycy9kb3ducmV2LnhtbESPQWvCQBSE7wX/w/KE3upGayVEV5GAWEp70ObS2zP7&#10;TILZtzG7TdL++m5B8DjMzDfMajOYWnTUusqygukkAkGcW11xoSD73D3FIJxH1lhbJgU/5GCzHj2s&#10;MNG25wN1R1+IAGGXoILS+yaR0uUlGXQT2xAH72xbgz7ItpC6xT7ATS1nUbSQBisOCyU2lJaUX47f&#10;RsFbuvvAw2lm4t863b+ft801+3pR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B2yHHAAAA3AAAAA8AAAAAAAAAAAAAAAAAmAIAAGRy&#10;cy9kb3ducmV2LnhtbFBLBQYAAAAABAAEAPUAAACMAwAAAAA=&#10;" filled="f" stroked="f" strokeweight=".5pt">
                  <v:textbox>
                    <w:txbxContent>
                      <w:p w:rsidR="009722F0" w:rsidRPr="00123425" w:rsidRDefault="009722F0" w:rsidP="00335E4B">
                        <w:pPr>
                          <w:spacing w:line="28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حمأة الذهب</w:t>
                        </w:r>
                      </w:p>
                    </w:txbxContent>
                  </v:textbox>
                </v:shape>
                <v:shape id="Text Box 105" o:spid="_x0000_s1339" type="#_x0000_t202" style="position:absolute;left:4184;top:59886;width:9195;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uscA&#10;AADcAAAADwAAAGRycy9kb3ducmV2LnhtbESPQWvCQBSE7wX/w/KE3upGWyVEV5GAWEp70ObS2zP7&#10;TILZtzG7TdL++m5B8DjMzDfMajOYWnTUusqygukkAkGcW11xoSD73D3FIJxH1lhbJgU/5GCzHj2s&#10;MNG25wN1R1+IAGGXoILS+yaR0uUlGXQT2xAH72xbgz7ItpC6xT7ATS1nUbSQBisOCyU2lJaUX47f&#10;RsFbuvvAw2lm4t863b+ft801+5or9TgetksQngZ/D9/ar1rB88s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NfrrHAAAA3AAAAA8AAAAAAAAAAAAAAAAAmAIAAGRy&#10;cy9kb3ducmV2LnhtbFBLBQYAAAAABAAEAPUAAACMAwAAAAA=&#10;" filled="f" stroked="f" strokeweight=".5pt">
                  <v:textbox>
                    <w:txbxContent>
                      <w:p w:rsidR="009722F0" w:rsidRPr="00123425" w:rsidRDefault="009722F0" w:rsidP="00123425">
                        <w:pPr>
                          <w:spacing w:line="260" w:lineRule="exact"/>
                          <w:jc w:val="center"/>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المواد الصلبة الحاملة للذهب</w:t>
                        </w:r>
                      </w:p>
                    </w:txbxContent>
                  </v:textbox>
                </v:shape>
                <v:shape id="Text Box 106" o:spid="_x0000_s1340" type="#_x0000_t202" style="position:absolute;left:10179;top:37420;width:9607;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zcUA&#10;AADcAAAADwAAAGRycy9kb3ducmV2LnhtbESPT4vCMBTE78J+h/CEvWnqX6QaRQqiyHrQ9eLt2Tzb&#10;YvPSbbJa99MbQdjjMDO/YWaLxpTiRrUrLCvodSMQxKnVBWcKjt+rzgSE88gaS8uk4EEOFvOP1gxj&#10;be+8p9vBZyJA2MWoIPe+iqV0aU4GXddWxMG72NqgD7LOpK7xHuCmlP0oGkuDBYeFHCtKckqvh1+j&#10;YJusdrg/983kr0zWX5dl9XM8jZT6bDfLKQhPjf8Pv9sbrWAwHM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DNxQAAANwAAAAPAAAAAAAAAAAAAAAAAJgCAABkcnMv&#10;ZG93bnJldi54bWxQSwUGAAAAAAQABAD1AAAAigMAAAAA&#10;" filled="f" stroked="f" strokeweight=".5pt">
                  <v:textbox>
                    <w:txbxContent>
                      <w:p w:rsidR="009722F0" w:rsidRPr="00123425" w:rsidRDefault="009722F0" w:rsidP="00335E4B">
                        <w:pPr>
                          <w:spacing w:line="280" w:lineRule="exact"/>
                          <w:rPr>
                            <w:rFonts w:ascii="Traditional Arabic" w:hAnsi="Traditional Arabic" w:cs="Traditional Arabic"/>
                            <w:sz w:val="26"/>
                            <w:szCs w:val="26"/>
                            <w:lang w:val="en-CA" w:bidi="ar-SY"/>
                          </w:rPr>
                        </w:pPr>
                        <w:r w:rsidRPr="00123425">
                          <w:rPr>
                            <w:rFonts w:ascii="Traditional Arabic" w:hAnsi="Traditional Arabic" w:cs="Traditional Arabic"/>
                            <w:sz w:val="26"/>
                            <w:szCs w:val="26"/>
                            <w:rtl/>
                            <w:lang w:val="en-CA" w:bidi="ar-SY"/>
                          </w:rPr>
                          <w:t>الذهب في المحلول</w:t>
                        </w:r>
                      </w:p>
                    </w:txbxContent>
                  </v:textbox>
                </v:shape>
                <v:shape id="Straight Arrow Connector 28" o:spid="_x0000_s1341" type="#_x0000_t32" style="position:absolute;left:19780;top:3232;width:6;height:157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mBscAAADcAAAADwAAAGRycy9kb3ducmV2LnhtbESPT2vCQBTE7wW/w/IEL6Vu1PRfdBUV&#10;hNKDpWkP7e2RfSaL2bcxu5r027uFQo/DzPyGWax6W4sLtd44VjAZJyCIC6cNlwo+P3Z3TyB8QNZY&#10;OyYFP+RhtRzcLDDTruN3uuShFBHCPkMFVQhNJqUvKrLox64hjt7BtRZDlG0pdYtdhNtaTpPkQVo0&#10;HBcqbGhbUXHMz1ZBat5O3eu92Zz2eyefv4qz+05vlRoN+/UcRKA+/If/2i9awSx9hN8z8Qj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YGxwAAANwAAAAPAAAAAAAA&#10;AAAAAAAAAKECAABkcnMvZG93bnJldi54bWxQSwUGAAAAAAQABAD5AAAAlQMAAAAA&#10;" strokecolor="#4a7ebb" strokeweight="3pt">
                  <v:stroke startarrowwidth="wide" startarrowlength="long" endarrow="block"/>
                </v:shape>
                <w10:wrap type="tight"/>
              </v:group>
            </w:pict>
          </mc:Fallback>
        </mc:AlternateContent>
      </w:r>
      <w:r w:rsidRPr="00335E4B">
        <w:rPr>
          <w:rFonts w:cs="Traditional Arabic"/>
          <w:b/>
          <w:bCs/>
          <w:sz w:val="28"/>
          <w:szCs w:val="30"/>
          <w:rtl/>
        </w:rPr>
        <w:t>الشكل</w:t>
      </w:r>
      <w:r w:rsidRPr="00335E4B">
        <w:rPr>
          <w:rFonts w:cs="Traditional Arabic"/>
          <w:b/>
          <w:bCs/>
          <w:sz w:val="28"/>
          <w:szCs w:val="30"/>
          <w:rtl/>
          <w:lang w:val="en-GB" w:bidi="ar-EG"/>
        </w:rPr>
        <w:t xml:space="preserve"> </w:t>
      </w:r>
      <w:r w:rsidRPr="00335E4B">
        <w:rPr>
          <w:rFonts w:cs="Traditional Arabic" w:hint="cs"/>
          <w:b/>
          <w:bCs/>
          <w:sz w:val="28"/>
          <w:szCs w:val="30"/>
          <w:rtl/>
          <w:lang w:val="en-GB" w:bidi="ar-EG"/>
        </w:rPr>
        <w:t>4</w:t>
      </w:r>
      <w:r w:rsidR="00E22079">
        <w:rPr>
          <w:rFonts w:cs="Traditional Arabic" w:hint="cs"/>
          <w:b/>
          <w:bCs/>
          <w:sz w:val="28"/>
          <w:szCs w:val="30"/>
          <w:rtl/>
          <w:lang w:val="en-GB" w:bidi="ar-EG"/>
        </w:rPr>
        <w:t>.</w:t>
      </w:r>
      <w:r w:rsidRPr="00335E4B">
        <w:rPr>
          <w:rFonts w:cs="Traditional Arabic"/>
          <w:b/>
          <w:bCs/>
          <w:sz w:val="28"/>
          <w:szCs w:val="30"/>
          <w:rtl/>
          <w:lang w:val="en-GB" w:bidi="ar-EG"/>
        </w:rPr>
        <w:t xml:space="preserve"> </w:t>
      </w:r>
      <w:r w:rsidRPr="00335E4B">
        <w:rPr>
          <w:rFonts w:cs="Traditional Arabic"/>
          <w:b/>
          <w:bCs/>
          <w:sz w:val="28"/>
          <w:szCs w:val="30"/>
          <w:rtl/>
        </w:rPr>
        <w:t>العمليات التي ينطوي عليها الإنتاج الأساسي</w:t>
      </w:r>
      <w:r w:rsidRPr="00335E4B">
        <w:rPr>
          <w:rFonts w:cs="Traditional Arabic" w:hint="cs"/>
          <w:b/>
          <w:bCs/>
          <w:sz w:val="28"/>
          <w:szCs w:val="30"/>
          <w:rtl/>
        </w:rPr>
        <w:t xml:space="preserve"> للذهب</w:t>
      </w:r>
    </w:p>
    <w:p w:rsidR="00335E4B" w:rsidRPr="00335E4B" w:rsidRDefault="00335E4B" w:rsidP="00E22079">
      <w:pPr>
        <w:keepNext/>
        <w:tabs>
          <w:tab w:val="left" w:pos="565"/>
        </w:tabs>
        <w:spacing w:after="120" w:line="400" w:lineRule="exact"/>
        <w:jc w:val="both"/>
        <w:outlineLvl w:val="0"/>
        <w:rPr>
          <w:rFonts w:cs="Traditional Arabic"/>
          <w:b/>
          <w:bCs/>
          <w:sz w:val="32"/>
          <w:szCs w:val="32"/>
          <w:rtl/>
          <w:lang w:bidi="ar-EG"/>
        </w:rPr>
      </w:pPr>
      <w:bookmarkStart w:id="1527" w:name="_Ref289609411"/>
      <w:bookmarkStart w:id="1528" w:name="_Toc433095412"/>
      <w:bookmarkStart w:id="1529" w:name="_Toc434239946"/>
      <w:bookmarkStart w:id="1530" w:name="_Toc440550541"/>
      <w:r w:rsidRPr="00335E4B">
        <w:rPr>
          <w:rFonts w:cs="Traditional Arabic"/>
          <w:b/>
          <w:bCs/>
          <w:sz w:val="32"/>
          <w:szCs w:val="32"/>
          <w:rtl/>
          <w:lang w:bidi="ar-EG"/>
        </w:rPr>
        <w:br w:type="page"/>
      </w:r>
      <w:bookmarkStart w:id="1531" w:name="_Toc441577800"/>
      <w:bookmarkStart w:id="1532" w:name="_Toc441577979"/>
      <w:bookmarkStart w:id="1533" w:name="_Toc441580813"/>
      <w:bookmarkStart w:id="1534" w:name="_Toc441585944"/>
      <w:bookmarkStart w:id="1535" w:name="_Toc441586280"/>
      <w:bookmarkStart w:id="1536" w:name="_Toc441586730"/>
      <w:bookmarkStart w:id="1537" w:name="_Toc441586909"/>
      <w:bookmarkStart w:id="1538" w:name="_Toc441666758"/>
      <w:bookmarkStart w:id="1539" w:name="_Toc441673819"/>
      <w:r w:rsidR="00D55641">
        <w:rPr>
          <w:rFonts w:cs="Traditional Arabic" w:hint="cs"/>
          <w:b/>
          <w:bCs/>
          <w:sz w:val="32"/>
          <w:szCs w:val="32"/>
          <w:rtl/>
          <w:lang w:bidi="ar-EG"/>
        </w:rPr>
        <w:t>3-</w:t>
      </w:r>
      <w:r w:rsidR="00D55641">
        <w:rPr>
          <w:rFonts w:cs="Traditional Arabic" w:hint="cs"/>
          <w:b/>
          <w:bCs/>
          <w:sz w:val="32"/>
          <w:szCs w:val="32"/>
          <w:rtl/>
          <w:lang w:bidi="ar-EG"/>
        </w:rPr>
        <w:tab/>
      </w:r>
      <w:r w:rsidRPr="00335E4B">
        <w:rPr>
          <w:rFonts w:cs="Traditional Arabic"/>
          <w:b/>
          <w:bCs/>
          <w:sz w:val="32"/>
          <w:szCs w:val="32"/>
          <w:rtl/>
          <w:lang w:bidi="ar-EG"/>
        </w:rPr>
        <w:t>تقنيات ضبط الانبعاثات</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 xml:space="preserve">توصف في الأقسام التالية التقنيات الرئيسية المستخدمة لتخفيف انبعاثات الزئبق في الهواء، والمتصلة بعمليات التحميص والصهر والتنقية المستخدمة في قطاع المعادن غير الحديدية. وتعتمد هذه التقنيات بوجه عام، على أحد أشكال أكسدة الزئبق وعلى التفاعلات مع مواد مثل كلوريد الزئبق (ثنائي التكافؤ). ولا تشمل هذه القائمة التقنيات المعترف بها لتقليل انبعاثات الزئبق في الهواء بفضل المنافع </w:t>
      </w:r>
      <w:r w:rsidRPr="00335E4B">
        <w:rPr>
          <w:rFonts w:cs="Traditional Arabic" w:hint="cs"/>
          <w:sz w:val="20"/>
          <w:szCs w:val="30"/>
          <w:rtl/>
        </w:rPr>
        <w:t>المشتركة</w:t>
      </w:r>
      <w:r w:rsidRPr="00335E4B">
        <w:rPr>
          <w:rFonts w:cs="Traditional Arabic"/>
          <w:sz w:val="20"/>
          <w:szCs w:val="30"/>
          <w:rtl/>
        </w:rPr>
        <w:t xml:space="preserve"> لاحتجاز الملوثات الأخرى- مثل مركبات الكربون العضوية أو غيرها من المواد الجسيمية. ويقدم أيضاً قسم شامل يتعلق بتقنيات </w:t>
      </w:r>
      <w:r w:rsidRPr="00335E4B">
        <w:rPr>
          <w:rFonts w:cs="Traditional Arabic" w:hint="cs"/>
          <w:sz w:val="20"/>
          <w:szCs w:val="30"/>
          <w:rtl/>
        </w:rPr>
        <w:t>ضبط</w:t>
      </w:r>
      <w:r w:rsidRPr="00335E4B">
        <w:rPr>
          <w:rFonts w:cs="Traditional Arabic"/>
          <w:sz w:val="20"/>
          <w:szCs w:val="30"/>
          <w:rtl/>
        </w:rPr>
        <w:t xml:space="preserve"> الملوثات المتعددة التي تقدم منافع </w:t>
      </w:r>
      <w:r w:rsidRPr="00335E4B">
        <w:rPr>
          <w:rFonts w:cs="Traditional Arabic" w:hint="cs"/>
          <w:sz w:val="20"/>
          <w:szCs w:val="30"/>
          <w:rtl/>
        </w:rPr>
        <w:t>مشتركة</w:t>
      </w:r>
      <w:r w:rsidRPr="00335E4B">
        <w:rPr>
          <w:rFonts w:cs="Traditional Arabic"/>
          <w:sz w:val="20"/>
          <w:szCs w:val="30"/>
          <w:rtl/>
        </w:rPr>
        <w:t xml:space="preserve"> بالنسبة لاحتجاز انبعاثات الزئبق.</w:t>
      </w:r>
    </w:p>
    <w:p w:rsidR="00335E4B" w:rsidRPr="00335E4B" w:rsidRDefault="00335E4B" w:rsidP="00335E4B">
      <w:pPr>
        <w:spacing w:after="120" w:line="400" w:lineRule="exact"/>
        <w:jc w:val="both"/>
        <w:rPr>
          <w:rFonts w:cs="Traditional Arabic"/>
          <w:sz w:val="20"/>
          <w:szCs w:val="30"/>
          <w:rtl/>
        </w:rPr>
      </w:pPr>
      <w:r w:rsidRPr="00335E4B">
        <w:rPr>
          <w:rFonts w:cs="Traditional Arabic" w:hint="cs"/>
          <w:sz w:val="20"/>
          <w:szCs w:val="30"/>
          <w:rtl/>
        </w:rPr>
        <w:t>و</w:t>
      </w:r>
      <w:r w:rsidRPr="00335E4B">
        <w:rPr>
          <w:rFonts w:cs="Traditional Arabic"/>
          <w:sz w:val="20"/>
          <w:szCs w:val="30"/>
          <w:rtl/>
        </w:rPr>
        <w:t>يتطاير الزئبق في درجات الحرارة السائدة في معظم عمليات تخفيف الانبعاثات، ولذلك تلزم تقنيات خاصة بالقطاع لإزالته. وفي حالة إزالة الزئبق قبل منشأة تصنيع حمض الكبريتيك، سيكون الزئبق المتبقي موجوداً في الحمض المنتج. وكثيراً ما تحدَّد نوعية الحمض بمصطلحات مثل النوعية التجارية، النوعية التقنية، والنوعية الإلكتروليتية (الموصلية الكهربائية)، والنوعية لاستخدام البطاريات، والنوعية الغذائية وما إلى ذلك. وهذه المصطلحات عامة بطبيعتها وقد تختلف من مور</w:t>
      </w:r>
      <w:r w:rsidRPr="00335E4B">
        <w:rPr>
          <w:rFonts w:cs="Traditional Arabic" w:hint="cs"/>
          <w:sz w:val="20"/>
          <w:szCs w:val="30"/>
          <w:rtl/>
        </w:rPr>
        <w:t>ِّ</w:t>
      </w:r>
      <w:r w:rsidRPr="00335E4B">
        <w:rPr>
          <w:rFonts w:cs="Traditional Arabic"/>
          <w:sz w:val="20"/>
          <w:szCs w:val="30"/>
          <w:rtl/>
        </w:rPr>
        <w:t>د إلى آخر ومن بلد إلى آخر. وتعتمد مواصفات المنتج على الاستخدام المحتمل للحمض، وتكون مواصفات التركيز المبلغ عنها في العادة أقل من 1</w:t>
      </w:r>
      <w:r w:rsidRPr="00335E4B">
        <w:rPr>
          <w:rFonts w:cs="Traditional Arabic" w:hint="cs"/>
          <w:sz w:val="20"/>
          <w:szCs w:val="30"/>
          <w:rtl/>
        </w:rPr>
        <w:t>,</w:t>
      </w:r>
      <w:r w:rsidRPr="00335E4B">
        <w:rPr>
          <w:rFonts w:cs="Traditional Arabic"/>
          <w:sz w:val="20"/>
          <w:szCs w:val="30"/>
          <w:rtl/>
        </w:rPr>
        <w:t>0 جزء في المليون، أي ما يعادل حوالي</w:t>
      </w:r>
      <w:r w:rsidRPr="00335E4B">
        <w:rPr>
          <w:rFonts w:cs="Traditional Arabic" w:hint="cs"/>
          <w:sz w:val="20"/>
          <w:szCs w:val="30"/>
          <w:rtl/>
        </w:rPr>
        <w:t xml:space="preserve"> 0,02</w:t>
      </w:r>
      <w:r w:rsidRPr="00335E4B">
        <w:rPr>
          <w:rFonts w:cs="Traditional Arabic"/>
          <w:sz w:val="20"/>
          <w:szCs w:val="30"/>
          <w:rtl/>
        </w:rPr>
        <w:t xml:space="preserve"> مليغرام لكل متر مكعب</w:t>
      </w:r>
      <w:r w:rsidRPr="00335E4B">
        <w:rPr>
          <w:rFonts w:cs="Traditional Arabic" w:hint="cs"/>
          <w:sz w:val="20"/>
          <w:szCs w:val="30"/>
          <w:rtl/>
        </w:rPr>
        <w:t xml:space="preserve"> عادي</w:t>
      </w:r>
      <w:r w:rsidRPr="00335E4B">
        <w:rPr>
          <w:rFonts w:cs="Traditional Arabic"/>
          <w:sz w:val="20"/>
          <w:szCs w:val="30"/>
          <w:rtl/>
        </w:rPr>
        <w:t xml:space="preserve"> في الغاز المنظَّف،</w:t>
      </w:r>
      <w:r w:rsidRPr="00335E4B">
        <w:rPr>
          <w:rFonts w:cs="Traditional Arabic" w:hint="cs"/>
          <w:sz w:val="20"/>
          <w:szCs w:val="30"/>
          <w:vertAlign w:val="superscript"/>
          <w:rtl/>
        </w:rPr>
        <w:t>(</w:t>
      </w:r>
      <w:r w:rsidRPr="00335E4B">
        <w:rPr>
          <w:rFonts w:cs="Traditional Arabic"/>
          <w:sz w:val="20"/>
          <w:szCs w:val="30"/>
          <w:vertAlign w:val="superscript"/>
          <w:rtl/>
        </w:rPr>
        <w:footnoteReference w:id="37"/>
      </w:r>
      <w:r w:rsidRPr="00335E4B">
        <w:rPr>
          <w:rFonts w:cs="Traditional Arabic" w:hint="cs"/>
          <w:sz w:val="20"/>
          <w:szCs w:val="30"/>
          <w:vertAlign w:val="superscript"/>
          <w:rtl/>
        </w:rPr>
        <w:t>)</w:t>
      </w:r>
      <w:r w:rsidRPr="00335E4B">
        <w:rPr>
          <w:rFonts w:cs="Traditional Arabic"/>
          <w:sz w:val="20"/>
          <w:szCs w:val="30"/>
          <w:rtl/>
        </w:rPr>
        <w:t xml:space="preserve"> على الرغم من أن بعض التطبيقات قد تتطلب تركيزات أقل بكثير.</w:t>
      </w:r>
      <w:r w:rsidRPr="00335E4B">
        <w:rPr>
          <w:rFonts w:cs="Traditional Arabic" w:hint="cs"/>
          <w:sz w:val="20"/>
          <w:szCs w:val="30"/>
          <w:vertAlign w:val="superscript"/>
          <w:rtl/>
        </w:rPr>
        <w:t>(</w:t>
      </w:r>
      <w:r w:rsidRPr="00335E4B">
        <w:rPr>
          <w:rFonts w:cs="Traditional Arabic"/>
          <w:sz w:val="20"/>
          <w:szCs w:val="30"/>
          <w:vertAlign w:val="superscript"/>
          <w:rtl/>
        </w:rPr>
        <w:footnoteReference w:id="38"/>
      </w:r>
      <w:r w:rsidRPr="00335E4B">
        <w:rPr>
          <w:rFonts w:cs="Traditional Arabic" w:hint="cs"/>
          <w:sz w:val="20"/>
          <w:szCs w:val="30"/>
          <w:vertAlign w:val="superscript"/>
          <w:rtl/>
        </w:rPr>
        <w:t>)</w:t>
      </w:r>
    </w:p>
    <w:p w:rsidR="00335E4B" w:rsidRPr="00335E4B" w:rsidRDefault="00D55641" w:rsidP="00335E4B">
      <w:pPr>
        <w:keepNext/>
        <w:tabs>
          <w:tab w:val="left" w:pos="707"/>
        </w:tabs>
        <w:spacing w:before="120" w:after="120" w:line="400" w:lineRule="exact"/>
        <w:jc w:val="both"/>
        <w:outlineLvl w:val="0"/>
        <w:rPr>
          <w:rFonts w:cs="Traditional Arabic"/>
          <w:b/>
          <w:bCs/>
          <w:sz w:val="20"/>
          <w:szCs w:val="30"/>
          <w:rtl/>
          <w:lang w:bidi="ar-EG"/>
        </w:rPr>
      </w:pPr>
      <w:bookmarkStart w:id="1540" w:name="_Ref279647900"/>
      <w:bookmarkStart w:id="1541" w:name="_Toc433095413"/>
      <w:bookmarkStart w:id="1542" w:name="_Toc434239947"/>
      <w:bookmarkStart w:id="1543" w:name="_Toc440550542"/>
      <w:bookmarkStart w:id="1544" w:name="_Toc441577801"/>
      <w:bookmarkStart w:id="1545" w:name="_Toc441577980"/>
      <w:bookmarkStart w:id="1546" w:name="_Toc441580814"/>
      <w:bookmarkStart w:id="1547" w:name="_Toc441585945"/>
      <w:bookmarkStart w:id="1548" w:name="_Toc441586281"/>
      <w:bookmarkStart w:id="1549" w:name="_Toc441586731"/>
      <w:bookmarkStart w:id="1550" w:name="_Toc441586910"/>
      <w:bookmarkStart w:id="1551" w:name="_Toc441666759"/>
      <w:bookmarkStart w:id="1552" w:name="_Toc441673820"/>
      <w:r>
        <w:rPr>
          <w:rFonts w:cs="Traditional Arabic" w:hint="cs"/>
          <w:b/>
          <w:bCs/>
          <w:sz w:val="20"/>
          <w:szCs w:val="30"/>
          <w:rtl/>
          <w:lang w:bidi="ar-EG"/>
        </w:rPr>
        <w:t>3-1</w:t>
      </w:r>
      <w:r>
        <w:rPr>
          <w:rFonts w:cs="Traditional Arabic" w:hint="cs"/>
          <w:b/>
          <w:bCs/>
          <w:sz w:val="20"/>
          <w:szCs w:val="30"/>
          <w:rtl/>
          <w:lang w:bidi="ar-EG"/>
        </w:rPr>
        <w:tab/>
      </w:r>
      <w:r w:rsidR="00335E4B" w:rsidRPr="00335E4B">
        <w:rPr>
          <w:rFonts w:cs="Traditional Arabic"/>
          <w:b/>
          <w:bCs/>
          <w:sz w:val="20"/>
          <w:szCs w:val="30"/>
          <w:rtl/>
          <w:lang w:bidi="ar-EG"/>
        </w:rPr>
        <w:t>عملية بوليدين-نورزينك</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rsidR="00335E4B" w:rsidRPr="00335E4B" w:rsidRDefault="00D55641" w:rsidP="00335E4B">
      <w:pPr>
        <w:keepNext/>
        <w:tabs>
          <w:tab w:val="left" w:pos="991"/>
        </w:tabs>
        <w:spacing w:before="120" w:after="120" w:line="400" w:lineRule="exact"/>
        <w:jc w:val="both"/>
        <w:outlineLvl w:val="0"/>
        <w:rPr>
          <w:rFonts w:cs="Traditional Arabic"/>
          <w:b/>
          <w:bCs/>
          <w:sz w:val="20"/>
          <w:szCs w:val="30"/>
          <w:rtl/>
          <w:lang w:bidi="ar-EG"/>
        </w:rPr>
      </w:pPr>
      <w:bookmarkStart w:id="1553" w:name="_Toc433095414"/>
      <w:bookmarkStart w:id="1554" w:name="_Toc434239948"/>
      <w:bookmarkStart w:id="1555" w:name="_Toc440550543"/>
      <w:bookmarkStart w:id="1556" w:name="_Toc441577802"/>
      <w:bookmarkStart w:id="1557" w:name="_Toc441577981"/>
      <w:bookmarkStart w:id="1558" w:name="_Toc441580815"/>
      <w:bookmarkStart w:id="1559" w:name="_Toc441585946"/>
      <w:bookmarkStart w:id="1560" w:name="_Toc441586282"/>
      <w:bookmarkStart w:id="1561" w:name="_Toc441586732"/>
      <w:bookmarkStart w:id="1562" w:name="_Toc441586911"/>
      <w:bookmarkStart w:id="1563" w:name="_Toc441666760"/>
      <w:bookmarkStart w:id="1564" w:name="_Toc441673821"/>
      <w:r>
        <w:rPr>
          <w:rFonts w:cs="Traditional Arabic" w:hint="cs"/>
          <w:b/>
          <w:bCs/>
          <w:sz w:val="20"/>
          <w:szCs w:val="30"/>
          <w:rtl/>
          <w:lang w:bidi="ar-EG"/>
        </w:rPr>
        <w:t>3-1-1</w:t>
      </w:r>
      <w:r>
        <w:rPr>
          <w:rFonts w:cs="Traditional Arabic" w:hint="cs"/>
          <w:b/>
          <w:bCs/>
          <w:sz w:val="20"/>
          <w:szCs w:val="30"/>
          <w:rtl/>
          <w:lang w:bidi="ar-EG"/>
        </w:rPr>
        <w:tab/>
      </w:r>
      <w:r w:rsidR="00335E4B" w:rsidRPr="00335E4B">
        <w:rPr>
          <w:rFonts w:cs="Traditional Arabic"/>
          <w:b/>
          <w:bCs/>
          <w:sz w:val="20"/>
          <w:szCs w:val="30"/>
          <w:rtl/>
          <w:lang w:bidi="ar-EG"/>
        </w:rPr>
        <w:t>الوصف</w:t>
      </w:r>
      <w:bookmarkEnd w:id="1553"/>
      <w:bookmarkEnd w:id="1554"/>
      <w:bookmarkEnd w:id="1555"/>
      <w:bookmarkEnd w:id="1556"/>
      <w:bookmarkEnd w:id="1557"/>
      <w:bookmarkEnd w:id="1558"/>
      <w:bookmarkEnd w:id="1559"/>
      <w:bookmarkEnd w:id="1560"/>
      <w:bookmarkEnd w:id="1561"/>
      <w:bookmarkEnd w:id="1562"/>
      <w:bookmarkEnd w:id="1563"/>
      <w:bookmarkEnd w:id="1564"/>
    </w:p>
    <w:p w:rsidR="00335E4B" w:rsidRPr="00335E4B" w:rsidRDefault="00335E4B" w:rsidP="00335E4B">
      <w:pPr>
        <w:spacing w:after="120" w:line="400" w:lineRule="exact"/>
        <w:jc w:val="lowKashida"/>
        <w:rPr>
          <w:rFonts w:cs="Traditional Arabic"/>
          <w:sz w:val="20"/>
          <w:szCs w:val="30"/>
          <w:rtl/>
        </w:rPr>
      </w:pPr>
      <w:r w:rsidRPr="00335E4B">
        <w:rPr>
          <w:rFonts w:cs="Traditional Arabic"/>
          <w:sz w:val="20"/>
          <w:szCs w:val="30"/>
          <w:rtl/>
        </w:rPr>
        <w:t>عملية بوليدين</w:t>
      </w:r>
      <w:r w:rsidRPr="00335E4B">
        <w:rPr>
          <w:rFonts w:cs="Traditional Arabic"/>
          <w:sz w:val="20"/>
          <w:szCs w:val="30"/>
          <w:rtl/>
          <w:lang w:val="en-GB" w:bidi="ar-EG"/>
        </w:rPr>
        <w:t>-</w:t>
      </w:r>
      <w:r w:rsidRPr="00335E4B">
        <w:rPr>
          <w:rFonts w:cs="Traditional Arabic"/>
          <w:sz w:val="20"/>
          <w:szCs w:val="30"/>
          <w:rtl/>
        </w:rPr>
        <w:t>نورزينك (التي تسمى أيضاً عملية جهاز أوتوتيك للشطف بالكلوريد أو عملية</w:t>
      </w:r>
      <w:r w:rsidRPr="00335E4B">
        <w:rPr>
          <w:rFonts w:cs="Traditional Arabic"/>
          <w:sz w:val="20"/>
          <w:szCs w:val="30"/>
          <w:rtl/>
          <w:lang w:val="en-GB" w:bidi="ar-EG"/>
        </w:rPr>
        <w:t xml:space="preserve"> </w:t>
      </w:r>
      <w:r w:rsidRPr="00335E4B">
        <w:rPr>
          <w:rFonts w:cs="Traditional Arabic"/>
          <w:sz w:val="20"/>
          <w:szCs w:val="30"/>
          <w:lang w:val="en-GB" w:bidi="ar-EG"/>
        </w:rPr>
        <w:t>Outotec BN</w:t>
      </w:r>
      <w:r w:rsidRPr="00335E4B">
        <w:rPr>
          <w:rFonts w:cs="Traditional Arabic" w:hint="cs"/>
          <w:sz w:val="20"/>
          <w:szCs w:val="30"/>
          <w:vertAlign w:val="superscript"/>
          <w:rtl/>
          <w:lang w:val="en-GB" w:bidi="ar-EG"/>
        </w:rPr>
        <w:t>(</w:t>
      </w:r>
      <w:r w:rsidRPr="00335E4B">
        <w:rPr>
          <w:rFonts w:cs="Traditional Arabic"/>
          <w:sz w:val="20"/>
          <w:szCs w:val="30"/>
          <w:vertAlign w:val="superscript"/>
          <w:rtl/>
        </w:rPr>
        <w:footnoteReference w:id="39"/>
      </w:r>
      <w:r w:rsidRPr="00335E4B">
        <w:rPr>
          <w:rFonts w:cs="Traditional Arabic" w:hint="cs"/>
          <w:sz w:val="20"/>
          <w:szCs w:val="30"/>
          <w:vertAlign w:val="superscript"/>
          <w:rtl/>
          <w:lang w:val="en-GB"/>
        </w:rPr>
        <w:t>)</w:t>
      </w:r>
      <w:r w:rsidRPr="00335E4B">
        <w:rPr>
          <w:rFonts w:cs="Traditional Arabic"/>
          <w:sz w:val="20"/>
          <w:szCs w:val="30"/>
          <w:rtl/>
        </w:rPr>
        <w:t>) تزيل الزئبق النقي من الغازات الناتجة كنفايات من مصاهر الركاز الأولي، وذلك بتحويل الزئبق إلى كلوريد الزئبق (أحادي التكافؤ) أو</w:t>
      </w:r>
      <w:r w:rsidRPr="00335E4B">
        <w:rPr>
          <w:rFonts w:cs="Traditional Arabic"/>
          <w:sz w:val="20"/>
          <w:szCs w:val="30"/>
          <w:rtl/>
          <w:lang w:val="en-GB" w:bidi="ar-EG"/>
        </w:rPr>
        <w:t xml:space="preserve"> </w:t>
      </w:r>
      <w:r w:rsidRPr="00335E4B">
        <w:rPr>
          <w:rFonts w:cs="Traditional Arabic"/>
          <w:sz w:val="20"/>
          <w:szCs w:val="30"/>
          <w:lang w:val="en-GB" w:bidi="ar-EG"/>
        </w:rPr>
        <w:t>Hg</w:t>
      </w:r>
      <w:r w:rsidRPr="00335E4B">
        <w:rPr>
          <w:rFonts w:cs="Traditional Arabic"/>
          <w:sz w:val="20"/>
          <w:szCs w:val="30"/>
          <w:vertAlign w:val="subscript"/>
          <w:lang w:val="en-GB" w:bidi="ar-EG"/>
        </w:rPr>
        <w:t>2</w:t>
      </w:r>
      <w:r w:rsidRPr="00335E4B">
        <w:rPr>
          <w:rFonts w:cs="Traditional Arabic"/>
          <w:sz w:val="20"/>
          <w:szCs w:val="30"/>
          <w:lang w:val="en-GB" w:bidi="ar-EG"/>
        </w:rPr>
        <w:t>Cl</w:t>
      </w:r>
      <w:r w:rsidRPr="00335E4B">
        <w:rPr>
          <w:rFonts w:cs="Traditional Arabic"/>
          <w:sz w:val="20"/>
          <w:szCs w:val="30"/>
          <w:vertAlign w:val="subscript"/>
          <w:lang w:val="en-GB" w:bidi="ar-EG"/>
        </w:rPr>
        <w:t>2</w:t>
      </w:r>
      <w:r w:rsidRPr="00335E4B">
        <w:rPr>
          <w:rFonts w:cs="Traditional Arabic"/>
          <w:sz w:val="20"/>
          <w:szCs w:val="30"/>
          <w:rtl/>
          <w:lang w:val="en-GB" w:bidi="ar-EG"/>
        </w:rPr>
        <w:t xml:space="preserve"> </w:t>
      </w:r>
      <w:r w:rsidRPr="00335E4B">
        <w:rPr>
          <w:rFonts w:cs="Traditional Arabic"/>
          <w:sz w:val="20"/>
          <w:szCs w:val="30"/>
          <w:rtl/>
        </w:rPr>
        <w:t>(المعروف أيضاً باسم ”الكالوميل“)</w:t>
      </w:r>
      <w:r w:rsidRPr="00335E4B">
        <w:rPr>
          <w:rFonts w:cs="Traditional Arabic"/>
          <w:sz w:val="20"/>
          <w:szCs w:val="30"/>
          <w:rtl/>
          <w:lang w:val="en-GB" w:bidi="ar-EG"/>
        </w:rPr>
        <w:t>.</w:t>
      </w:r>
      <w:r w:rsidRPr="00335E4B">
        <w:rPr>
          <w:rFonts w:cs="Traditional Arabic"/>
          <w:sz w:val="20"/>
          <w:szCs w:val="30"/>
          <w:rtl/>
        </w:rPr>
        <w:t xml:space="preserve"> وينتج الكالوميل من تفاعل الزئبق مع كلوريد الزئبق (ثنائي التكافؤ)</w:t>
      </w:r>
      <w:r w:rsidRPr="00335E4B">
        <w:rPr>
          <w:rFonts w:cs="Traditional Arabic"/>
          <w:sz w:val="20"/>
          <w:szCs w:val="30"/>
          <w:rtl/>
          <w:lang w:val="en-GB" w:bidi="ar-EG"/>
        </w:rPr>
        <w:t xml:space="preserve"> </w:t>
      </w:r>
      <w:r w:rsidRPr="00335E4B">
        <w:rPr>
          <w:rFonts w:cs="Traditional Arabic"/>
          <w:sz w:val="20"/>
          <w:szCs w:val="30"/>
          <w:lang w:val="en-GB" w:bidi="ar-EG"/>
        </w:rPr>
        <w:t>HgCl</w:t>
      </w:r>
      <w:r w:rsidRPr="00335E4B">
        <w:rPr>
          <w:rFonts w:cs="Traditional Arabic"/>
          <w:sz w:val="20"/>
          <w:szCs w:val="30"/>
          <w:vertAlign w:val="subscript"/>
          <w:lang w:val="en-GB" w:bidi="ar-EG"/>
        </w:rPr>
        <w:t>2</w:t>
      </w:r>
      <w:r w:rsidRPr="00335E4B">
        <w:rPr>
          <w:rFonts w:cs="Traditional Arabic"/>
          <w:sz w:val="20"/>
          <w:szCs w:val="30"/>
          <w:rtl/>
          <w:lang w:val="en-GB" w:bidi="ar-EG"/>
        </w:rPr>
        <w:t>.</w:t>
      </w:r>
      <w:r w:rsidRPr="00335E4B">
        <w:rPr>
          <w:rFonts w:cs="Traditional Arabic"/>
          <w:sz w:val="20"/>
          <w:szCs w:val="30"/>
          <w:rtl/>
        </w:rPr>
        <w:t xml:space="preserve"> ويتم بعد ذلك استرداد كلوريد الزئبق (ثنائي التكافؤ) من بعض الكالوميل عن طريق الأكسدة مع الكلور، ثم يعاد إلى عملية تنظيف الغاز</w:t>
      </w:r>
      <w:r w:rsidRPr="00335E4B">
        <w:rPr>
          <w:rFonts w:cs="Traditional Arabic"/>
          <w:sz w:val="20"/>
          <w:szCs w:val="30"/>
          <w:rtl/>
          <w:lang w:val="en-GB" w:bidi="ar-EG"/>
        </w:rPr>
        <w:t>.</w:t>
      </w:r>
      <w:bookmarkStart w:id="1565" w:name="_Ref415654583"/>
      <w:bookmarkEnd w:id="1565"/>
    </w:p>
    <w:p w:rsidR="00335E4B" w:rsidRPr="00335E4B" w:rsidRDefault="00335E4B" w:rsidP="00335E4B">
      <w:pPr>
        <w:spacing w:after="120" w:line="400" w:lineRule="exact"/>
        <w:jc w:val="lowKashida"/>
        <w:rPr>
          <w:rFonts w:cs="Traditional Arabic"/>
          <w:sz w:val="20"/>
          <w:szCs w:val="30"/>
          <w:rtl/>
        </w:rPr>
      </w:pPr>
      <w:r w:rsidRPr="00335E4B">
        <w:rPr>
          <w:rFonts w:cs="Traditional Arabic"/>
          <w:sz w:val="20"/>
          <w:szCs w:val="30"/>
          <w:rtl/>
        </w:rPr>
        <w:t>وتتم هذه العملية</w:t>
      </w:r>
      <w:r w:rsidRPr="00335E4B">
        <w:rPr>
          <w:rFonts w:cs="Traditional Arabic" w:hint="cs"/>
          <w:sz w:val="20"/>
          <w:szCs w:val="30"/>
          <w:vertAlign w:val="superscript"/>
          <w:rtl/>
        </w:rPr>
        <w:t>(</w:t>
      </w:r>
      <w:r w:rsidRPr="00335E4B">
        <w:rPr>
          <w:rFonts w:cs="Traditional Arabic"/>
          <w:sz w:val="20"/>
          <w:szCs w:val="30"/>
          <w:vertAlign w:val="superscript"/>
          <w:rtl/>
        </w:rPr>
        <w:footnoteReference w:id="40"/>
      </w:r>
      <w:r w:rsidRPr="00335E4B">
        <w:rPr>
          <w:rFonts w:cs="Traditional Arabic" w:hint="cs"/>
          <w:sz w:val="20"/>
          <w:szCs w:val="30"/>
          <w:vertAlign w:val="superscript"/>
          <w:rtl/>
        </w:rPr>
        <w:t>)</w:t>
      </w:r>
      <w:r w:rsidRPr="00335E4B">
        <w:rPr>
          <w:rFonts w:cs="Traditional Arabic"/>
          <w:sz w:val="20"/>
          <w:szCs w:val="30"/>
          <w:rtl/>
        </w:rPr>
        <w:t xml:space="preserve"> في البرج المعبأ</w:t>
      </w:r>
      <w:r w:rsidRPr="00335E4B">
        <w:rPr>
          <w:rFonts w:cs="Traditional Arabic"/>
          <w:sz w:val="20"/>
          <w:szCs w:val="30"/>
          <w:rtl/>
          <w:lang w:val="en-GB" w:bidi="ar-EG"/>
        </w:rPr>
        <w:t>.</w:t>
      </w:r>
      <w:r w:rsidRPr="00335E4B">
        <w:rPr>
          <w:rFonts w:cs="Traditional Arabic"/>
          <w:sz w:val="20"/>
          <w:szCs w:val="30"/>
          <w:rtl/>
        </w:rPr>
        <w:t xml:space="preserve"> </w:t>
      </w:r>
      <w:r w:rsidRPr="00335E4B">
        <w:rPr>
          <w:rFonts w:cs="Traditional Arabic" w:hint="cs"/>
          <w:sz w:val="20"/>
          <w:szCs w:val="30"/>
          <w:rtl/>
        </w:rPr>
        <w:t>و</w:t>
      </w:r>
      <w:r w:rsidRPr="00335E4B">
        <w:rPr>
          <w:rFonts w:cs="Traditional Arabic"/>
          <w:sz w:val="20"/>
          <w:szCs w:val="30"/>
          <w:rtl/>
        </w:rPr>
        <w:t>تتم أكسدة الزئبق النقي الموجود على شكل بخار في الغازات الناتجة كنفايات، وذلك بواسطة محلول شطف مكون من الماء وكلوريد الزئبق (ثنائي التكافؤ)</w:t>
      </w:r>
      <w:r w:rsidRPr="00335E4B">
        <w:rPr>
          <w:rFonts w:cs="Traditional Arabic"/>
          <w:sz w:val="20"/>
          <w:szCs w:val="30"/>
          <w:rtl/>
          <w:lang w:val="en-GB" w:bidi="ar-EG"/>
        </w:rPr>
        <w:t>:</w:t>
      </w:r>
      <w:bookmarkStart w:id="1566" w:name="_Ref415653470"/>
      <w:bookmarkEnd w:id="1566"/>
    </w:p>
    <w:p w:rsidR="00335E4B" w:rsidRPr="00335E4B" w:rsidRDefault="00335E4B" w:rsidP="00335E4B">
      <w:pPr>
        <w:tabs>
          <w:tab w:val="left" w:pos="1132"/>
        </w:tabs>
        <w:spacing w:after="120" w:line="400" w:lineRule="exact"/>
        <w:ind w:left="565"/>
        <w:jc w:val="lowKashida"/>
        <w:rPr>
          <w:rFonts w:cs="Traditional Arabic"/>
          <w:sz w:val="20"/>
          <w:szCs w:val="30"/>
          <w:rtl/>
        </w:rPr>
      </w:pPr>
      <w:r w:rsidRPr="00335E4B">
        <w:rPr>
          <w:rFonts w:cs="Traditional Arabic"/>
          <w:sz w:val="20"/>
          <w:szCs w:val="30"/>
          <w:rtl/>
        </w:rPr>
        <w:t>(أ)</w:t>
      </w:r>
      <w:r w:rsidRPr="00335E4B">
        <w:rPr>
          <w:rFonts w:cs="Traditional Arabic"/>
          <w:sz w:val="20"/>
          <w:szCs w:val="30"/>
          <w:rtl/>
        </w:rPr>
        <w:tab/>
      </w:r>
      <w:r w:rsidRPr="00335E4B">
        <w:rPr>
          <w:rFonts w:cs="Times New Roman"/>
          <w:sz w:val="20"/>
          <w:szCs w:val="20"/>
          <w:lang w:val="en-GB" w:bidi="ar-EG"/>
        </w:rPr>
        <w:t>Hg</w:t>
      </w:r>
      <w:r w:rsidRPr="00335E4B">
        <w:rPr>
          <w:rFonts w:cs="Times New Roman"/>
          <w:sz w:val="20"/>
          <w:szCs w:val="20"/>
          <w:vertAlign w:val="superscript"/>
          <w:lang w:val="en-GB" w:bidi="ar-EG"/>
        </w:rPr>
        <w:t>0</w:t>
      </w:r>
      <w:r w:rsidRPr="00335E4B">
        <w:rPr>
          <w:rFonts w:cs="Times New Roman"/>
          <w:sz w:val="20"/>
          <w:szCs w:val="20"/>
          <w:lang w:val="en-GB" w:bidi="ar-EG"/>
        </w:rPr>
        <w:t xml:space="preserve"> + HgCl</w:t>
      </w:r>
      <w:r w:rsidRPr="00335E4B">
        <w:rPr>
          <w:rFonts w:cs="Times New Roman"/>
          <w:sz w:val="20"/>
          <w:szCs w:val="20"/>
          <w:vertAlign w:val="subscript"/>
          <w:lang w:val="en-GB" w:bidi="ar-EG"/>
        </w:rPr>
        <w:t>2</w:t>
      </w:r>
      <w:r w:rsidRPr="00335E4B">
        <w:rPr>
          <w:rFonts w:cs="Times New Roman"/>
          <w:sz w:val="20"/>
          <w:szCs w:val="20"/>
          <w:lang w:val="en-GB" w:bidi="ar-EG"/>
        </w:rPr>
        <w:t xml:space="preserve"> =&gt; Hg</w:t>
      </w:r>
      <w:r w:rsidRPr="00335E4B">
        <w:rPr>
          <w:rFonts w:cs="Times New Roman"/>
          <w:sz w:val="20"/>
          <w:szCs w:val="20"/>
          <w:vertAlign w:val="subscript"/>
          <w:lang w:val="en-GB" w:bidi="ar-EG"/>
        </w:rPr>
        <w:t>2</w:t>
      </w:r>
      <w:r w:rsidRPr="00335E4B">
        <w:rPr>
          <w:rFonts w:cs="Times New Roman"/>
          <w:sz w:val="20"/>
          <w:szCs w:val="20"/>
          <w:lang w:val="en-GB" w:bidi="ar-EG"/>
        </w:rPr>
        <w:t>Cl</w:t>
      </w:r>
      <w:r w:rsidRPr="00335E4B">
        <w:rPr>
          <w:rFonts w:cs="Times New Roman"/>
          <w:sz w:val="20"/>
          <w:szCs w:val="20"/>
          <w:vertAlign w:val="subscript"/>
          <w:lang w:val="en-GB" w:bidi="ar-EG"/>
        </w:rPr>
        <w:t>2</w:t>
      </w:r>
    </w:p>
    <w:p w:rsidR="00335E4B" w:rsidRPr="00335E4B" w:rsidRDefault="00335E4B" w:rsidP="00335E4B">
      <w:pPr>
        <w:spacing w:after="120" w:line="400" w:lineRule="exact"/>
        <w:jc w:val="lowKashida"/>
        <w:rPr>
          <w:rFonts w:cs="Traditional Arabic"/>
          <w:sz w:val="20"/>
          <w:szCs w:val="30"/>
          <w:rtl/>
        </w:rPr>
      </w:pPr>
      <w:r w:rsidRPr="00335E4B">
        <w:rPr>
          <w:rFonts w:cs="Traditional Arabic"/>
          <w:sz w:val="20"/>
          <w:szCs w:val="30"/>
          <w:rtl/>
        </w:rPr>
        <w:t>ويتألف البرج من وعاء أسطواني مقوى بألياف زجاجية عمودية، يمرر من خلاله الغاز الناتج كنفايات من القاعدة إلى القمة</w:t>
      </w:r>
      <w:r w:rsidRPr="00335E4B">
        <w:rPr>
          <w:rFonts w:cs="Traditional Arabic"/>
          <w:sz w:val="20"/>
          <w:szCs w:val="30"/>
          <w:rtl/>
          <w:lang w:val="en-GB" w:bidi="ar-EG"/>
        </w:rPr>
        <w:t>.</w:t>
      </w:r>
      <w:r w:rsidRPr="00335E4B">
        <w:rPr>
          <w:rFonts w:cs="Traditional Arabic"/>
          <w:sz w:val="20"/>
          <w:szCs w:val="30"/>
          <w:rtl/>
        </w:rPr>
        <w:t xml:space="preserve"> ويعبأ البرج بمواد تغليف مصنوعة من البوليبروبايلين، (تكون في العادة على شكل سروج)</w:t>
      </w:r>
      <w:r w:rsidRPr="00335E4B">
        <w:rPr>
          <w:rFonts w:cs="Traditional Arabic"/>
          <w:sz w:val="20"/>
          <w:szCs w:val="30"/>
          <w:rtl/>
          <w:lang w:val="en-GB" w:bidi="ar-EG"/>
        </w:rPr>
        <w:t>.</w:t>
      </w:r>
      <w:r w:rsidRPr="00335E4B">
        <w:rPr>
          <w:rFonts w:cs="Traditional Arabic"/>
          <w:sz w:val="20"/>
          <w:szCs w:val="30"/>
          <w:rtl/>
        </w:rPr>
        <w:t xml:space="preserve"> وفي الجزء العلوي من البرج يرش محلول الشطف فوق مواد التغليف بواسطة مجموعة من فوهات الرش</w:t>
      </w:r>
      <w:r w:rsidRPr="00335E4B">
        <w:rPr>
          <w:rFonts w:cs="Traditional Arabic"/>
          <w:sz w:val="20"/>
          <w:szCs w:val="30"/>
          <w:rtl/>
          <w:lang w:val="en-GB" w:bidi="ar-EG"/>
        </w:rPr>
        <w:t>.</w:t>
      </w:r>
      <w:r w:rsidRPr="00335E4B">
        <w:rPr>
          <w:rFonts w:cs="Traditional Arabic"/>
          <w:sz w:val="20"/>
          <w:szCs w:val="30"/>
          <w:rtl/>
        </w:rPr>
        <w:t xml:space="preserve"> ويستخدم جهاز لإزالة البخار من الطراز المتموج (شيفرون) أو طراز اللوح الشبكي </w:t>
      </w:r>
      <w:r w:rsidRPr="0050351E">
        <w:rPr>
          <w:rFonts w:ascii="Traditional Arabic" w:hAnsi="Traditional Arabic" w:cs="Traditional Arabic"/>
          <w:sz w:val="20"/>
          <w:szCs w:val="20"/>
          <w:rtl/>
        </w:rPr>
        <w:t>(</w:t>
      </w:r>
      <w:r w:rsidRPr="0050351E">
        <w:rPr>
          <w:rFonts w:ascii="Traditional Arabic" w:hAnsi="Traditional Arabic" w:cs="Traditional Arabic"/>
          <w:sz w:val="20"/>
          <w:szCs w:val="20"/>
          <w:lang w:val="en-GB" w:bidi="ar-EG"/>
        </w:rPr>
        <w:t>mesh-pad</w:t>
      </w:r>
      <w:r w:rsidRPr="0050351E">
        <w:rPr>
          <w:rFonts w:ascii="Traditional Arabic" w:hAnsi="Traditional Arabic" w:cs="Traditional Arabic"/>
          <w:sz w:val="20"/>
          <w:szCs w:val="20"/>
          <w:rtl/>
        </w:rPr>
        <w:t>)</w:t>
      </w:r>
      <w:r w:rsidRPr="00335E4B">
        <w:rPr>
          <w:rFonts w:cs="Traditional Arabic"/>
          <w:sz w:val="20"/>
          <w:szCs w:val="30"/>
          <w:rtl/>
        </w:rPr>
        <w:t xml:space="preserve"> عند منفذ خروج البرج لمنع خروج محلول الشطف من النظام</w:t>
      </w:r>
      <w:r w:rsidRPr="00335E4B">
        <w:rPr>
          <w:rFonts w:cs="Traditional Arabic"/>
          <w:sz w:val="20"/>
          <w:szCs w:val="30"/>
          <w:rtl/>
          <w:lang w:val="en-GB" w:bidi="ar-EG"/>
        </w:rPr>
        <w:t>.</w:t>
      </w:r>
      <w:r w:rsidRPr="00335E4B">
        <w:rPr>
          <w:rFonts w:cs="Traditional Arabic"/>
          <w:sz w:val="20"/>
          <w:szCs w:val="30"/>
          <w:rtl/>
        </w:rPr>
        <w:t xml:space="preserve"> وتتم العملية في درجة حرارة</w:t>
      </w:r>
      <w:r w:rsidRPr="00335E4B">
        <w:rPr>
          <w:rFonts w:cs="Traditional Arabic"/>
          <w:sz w:val="20"/>
          <w:szCs w:val="30"/>
          <w:rtl/>
          <w:lang w:val="en-GB" w:bidi="ar-EG"/>
        </w:rPr>
        <w:t xml:space="preserve"> 40 </w:t>
      </w:r>
      <w:r w:rsidRPr="00335E4B">
        <w:rPr>
          <w:rFonts w:cs="Traditional Arabic"/>
          <w:sz w:val="20"/>
          <w:szCs w:val="30"/>
          <w:rtl/>
        </w:rPr>
        <w:t>درجة مئوية أو أقل، ويقدر انخفاض الضغط بواسطة برج الشطف بنحو</w:t>
      </w:r>
      <w:r w:rsidRPr="00335E4B">
        <w:rPr>
          <w:rFonts w:cs="Traditional Arabic"/>
          <w:sz w:val="20"/>
          <w:szCs w:val="30"/>
          <w:rtl/>
          <w:lang w:val="en-GB" w:bidi="ar-EG"/>
        </w:rPr>
        <w:t xml:space="preserve"> 1 </w:t>
      </w:r>
      <w:r w:rsidRPr="00335E4B">
        <w:rPr>
          <w:rFonts w:cs="Traditional Arabic"/>
          <w:sz w:val="20"/>
          <w:szCs w:val="30"/>
          <w:rtl/>
        </w:rPr>
        <w:t>كيلو باسكال</w:t>
      </w:r>
      <w:r w:rsidRPr="00335E4B">
        <w:rPr>
          <w:rFonts w:cs="Traditional Arabic"/>
          <w:sz w:val="20"/>
          <w:szCs w:val="30"/>
          <w:rtl/>
          <w:lang w:val="en-GB" w:bidi="ar-EG"/>
        </w:rPr>
        <w:t>.</w:t>
      </w:r>
    </w:p>
    <w:p w:rsidR="00335E4B" w:rsidRPr="00335E4B" w:rsidRDefault="00335E4B" w:rsidP="00335E4B">
      <w:pPr>
        <w:spacing w:after="120" w:line="400" w:lineRule="exact"/>
        <w:jc w:val="lowKashida"/>
        <w:rPr>
          <w:rFonts w:cs="Traditional Arabic"/>
          <w:sz w:val="20"/>
          <w:szCs w:val="30"/>
          <w:rtl/>
        </w:rPr>
      </w:pPr>
      <w:r w:rsidRPr="00335E4B">
        <w:rPr>
          <w:rFonts w:cs="Traditional Arabic"/>
          <w:sz w:val="20"/>
          <w:szCs w:val="30"/>
          <w:rtl/>
        </w:rPr>
        <w:t>وينتج عن العملية كالوميل غير قابل للانحلال في الماء</w:t>
      </w:r>
      <w:r w:rsidRPr="00335E4B">
        <w:rPr>
          <w:rFonts w:cs="Traditional Arabic"/>
          <w:sz w:val="20"/>
          <w:szCs w:val="30"/>
          <w:rtl/>
          <w:lang w:val="en-GB" w:bidi="ar-EG"/>
        </w:rPr>
        <w:t>.</w:t>
      </w:r>
      <w:r w:rsidRPr="00335E4B">
        <w:rPr>
          <w:rFonts w:cs="Traditional Arabic"/>
          <w:sz w:val="20"/>
          <w:szCs w:val="30"/>
          <w:rtl/>
        </w:rPr>
        <w:t xml:space="preserve"> ويترسب من المحلول المائي وتتم إزالته في القسم السفلي من البرج كملاط كثيف</w:t>
      </w:r>
      <w:r w:rsidRPr="00335E4B">
        <w:rPr>
          <w:rFonts w:cs="Traditional Arabic"/>
          <w:sz w:val="20"/>
          <w:szCs w:val="30"/>
          <w:rtl/>
          <w:lang w:val="en-GB" w:bidi="ar-EG"/>
        </w:rPr>
        <w:t>.</w:t>
      </w:r>
      <w:r w:rsidRPr="00335E4B">
        <w:rPr>
          <w:rFonts w:cs="Traditional Arabic"/>
          <w:sz w:val="20"/>
          <w:szCs w:val="30"/>
          <w:rtl/>
        </w:rPr>
        <w:t xml:space="preserve"> ويعاد بعد ذلك تدوير المحلول المائي إلى جهاز الشطف</w:t>
      </w:r>
      <w:r w:rsidRPr="00335E4B">
        <w:rPr>
          <w:rFonts w:cs="Traditional Arabic"/>
          <w:sz w:val="20"/>
          <w:szCs w:val="30"/>
          <w:rtl/>
          <w:lang w:val="en-GB" w:bidi="ar-EG"/>
        </w:rPr>
        <w:t>.</w:t>
      </w:r>
      <w:r w:rsidRPr="00335E4B">
        <w:rPr>
          <w:rFonts w:cs="Traditional Arabic"/>
          <w:sz w:val="20"/>
          <w:szCs w:val="30"/>
          <w:rtl/>
        </w:rPr>
        <w:t xml:space="preserve"> وفي الظروف المثالية للعملية، يتفاعل الزئبق النقي بالكامل تقريباً مع كلوريد الزئبق (ثنائي التكافؤ)</w:t>
      </w:r>
      <w:r w:rsidRPr="00335E4B">
        <w:rPr>
          <w:rFonts w:cs="Traditional Arabic"/>
          <w:sz w:val="20"/>
          <w:szCs w:val="30"/>
          <w:rtl/>
          <w:lang w:val="en-GB" w:bidi="ar-EG"/>
        </w:rPr>
        <w:t>.</w:t>
      </w:r>
    </w:p>
    <w:p w:rsidR="00335E4B" w:rsidRPr="00335E4B" w:rsidRDefault="00335E4B" w:rsidP="00335E4B">
      <w:pPr>
        <w:spacing w:after="120" w:line="400" w:lineRule="exact"/>
        <w:jc w:val="lowKashida"/>
        <w:rPr>
          <w:rFonts w:cs="Traditional Arabic"/>
          <w:sz w:val="20"/>
          <w:szCs w:val="30"/>
          <w:rtl/>
        </w:rPr>
      </w:pPr>
      <w:r w:rsidRPr="00335E4B">
        <w:rPr>
          <w:rFonts w:cs="Traditional Arabic"/>
          <w:sz w:val="20"/>
          <w:szCs w:val="30"/>
          <w:rtl/>
        </w:rPr>
        <w:t>ومن الضروري الحفاظ على تركيز عال لكلوريد الزئبق (ثنائي التكافؤ) في دورة محلول الشطف من أجل تحقيق عملية أكسدة فعالة</w:t>
      </w:r>
      <w:r w:rsidRPr="00335E4B">
        <w:rPr>
          <w:rFonts w:cs="Traditional Arabic"/>
          <w:sz w:val="20"/>
          <w:szCs w:val="30"/>
          <w:rtl/>
          <w:lang w:val="en-GB" w:bidi="ar-EG"/>
        </w:rPr>
        <w:t>.</w:t>
      </w:r>
      <w:r w:rsidRPr="00335E4B">
        <w:rPr>
          <w:rFonts w:cs="Traditional Arabic"/>
          <w:sz w:val="20"/>
          <w:szCs w:val="30"/>
          <w:rtl/>
        </w:rPr>
        <w:t xml:space="preserve"> ولذلك تتم معالجة نصف الملاط بغاز الكلور من أجل أكسدة ترسبات كلوريد الزئبق (أحادي التكافؤ) مرة أخرى إلى كلوريد الزئبق (ثنائي التكافؤ)</w:t>
      </w:r>
      <w:r w:rsidRPr="00335E4B">
        <w:rPr>
          <w:rFonts w:cs="Traditional Arabic"/>
          <w:sz w:val="20"/>
          <w:szCs w:val="30"/>
          <w:rtl/>
          <w:lang w:val="en-GB" w:bidi="ar-EG"/>
        </w:rPr>
        <w:t>:</w:t>
      </w:r>
    </w:p>
    <w:p w:rsidR="00335E4B" w:rsidRPr="00335E4B" w:rsidRDefault="00335E4B" w:rsidP="00335E4B">
      <w:pPr>
        <w:tabs>
          <w:tab w:val="left" w:pos="1132"/>
        </w:tabs>
        <w:spacing w:after="120" w:line="400" w:lineRule="exact"/>
        <w:ind w:left="565"/>
        <w:jc w:val="lowKashida"/>
        <w:rPr>
          <w:rFonts w:cs="Traditional Arabic"/>
          <w:sz w:val="20"/>
          <w:szCs w:val="30"/>
          <w:rtl/>
        </w:rPr>
      </w:pPr>
      <w:r w:rsidRPr="00335E4B">
        <w:rPr>
          <w:rFonts w:cs="Traditional Arabic"/>
          <w:sz w:val="20"/>
          <w:szCs w:val="30"/>
          <w:rtl/>
        </w:rPr>
        <w:t>(ب)</w:t>
      </w:r>
      <w:r w:rsidRPr="00335E4B">
        <w:rPr>
          <w:rFonts w:cs="Traditional Arabic"/>
          <w:sz w:val="20"/>
          <w:szCs w:val="30"/>
          <w:rtl/>
        </w:rPr>
        <w:tab/>
      </w:r>
      <w:r w:rsidRPr="00335E4B">
        <w:rPr>
          <w:rFonts w:cs="Traditional Arabic"/>
          <w:sz w:val="20"/>
          <w:szCs w:val="30"/>
        </w:rPr>
        <w:t>Hg</w:t>
      </w:r>
      <w:r w:rsidRPr="00335E4B">
        <w:rPr>
          <w:rFonts w:cs="Traditional Arabic"/>
          <w:sz w:val="20"/>
          <w:szCs w:val="30"/>
          <w:vertAlign w:val="subscript"/>
        </w:rPr>
        <w:t>2</w:t>
      </w:r>
      <w:r w:rsidRPr="00335E4B">
        <w:rPr>
          <w:rFonts w:cs="Traditional Arabic"/>
          <w:sz w:val="20"/>
          <w:szCs w:val="30"/>
        </w:rPr>
        <w:t>Cl</w:t>
      </w:r>
      <w:r w:rsidRPr="00335E4B">
        <w:rPr>
          <w:rFonts w:cs="Traditional Arabic"/>
          <w:sz w:val="20"/>
          <w:szCs w:val="30"/>
          <w:vertAlign w:val="subscript"/>
        </w:rPr>
        <w:t>2</w:t>
      </w:r>
      <w:r w:rsidRPr="00335E4B">
        <w:rPr>
          <w:rFonts w:cs="Traditional Arabic"/>
          <w:sz w:val="20"/>
          <w:szCs w:val="30"/>
        </w:rPr>
        <w:t>+ Cl</w:t>
      </w:r>
      <w:r w:rsidRPr="00335E4B">
        <w:rPr>
          <w:rFonts w:cs="Traditional Arabic"/>
          <w:sz w:val="20"/>
          <w:szCs w:val="30"/>
          <w:vertAlign w:val="subscript"/>
        </w:rPr>
        <w:t>2</w:t>
      </w:r>
      <w:r w:rsidRPr="00335E4B">
        <w:rPr>
          <w:rFonts w:cs="Traditional Arabic"/>
          <w:sz w:val="20"/>
          <w:szCs w:val="30"/>
        </w:rPr>
        <w:t xml:space="preserve"> =&gt; 2HgCl</w:t>
      </w:r>
      <w:r w:rsidRPr="00335E4B">
        <w:rPr>
          <w:rFonts w:cs="Traditional Arabic"/>
          <w:sz w:val="20"/>
          <w:szCs w:val="30"/>
          <w:vertAlign w:val="subscript"/>
        </w:rPr>
        <w:t>2</w:t>
      </w:r>
    </w:p>
    <w:p w:rsidR="00335E4B" w:rsidRPr="00335E4B" w:rsidRDefault="00335E4B" w:rsidP="00335E4B">
      <w:pPr>
        <w:spacing w:after="120" w:line="400" w:lineRule="exact"/>
        <w:jc w:val="lowKashida"/>
        <w:rPr>
          <w:rFonts w:cs="Traditional Arabic"/>
          <w:sz w:val="20"/>
          <w:szCs w:val="30"/>
          <w:rtl/>
        </w:rPr>
      </w:pPr>
      <w:r w:rsidRPr="00335E4B">
        <w:rPr>
          <w:rFonts w:cs="Traditional Arabic"/>
          <w:sz w:val="20"/>
          <w:szCs w:val="30"/>
          <w:rtl/>
        </w:rPr>
        <w:t>وبمجرد أن يعاد توليد محلول الكالوميل المعالج بالكامل، يتم ضخه إلى صهريج تخزين</w:t>
      </w:r>
      <w:r w:rsidRPr="00335E4B">
        <w:rPr>
          <w:rFonts w:cs="Traditional Arabic"/>
          <w:sz w:val="20"/>
          <w:szCs w:val="30"/>
          <w:rtl/>
          <w:lang w:val="en-GB" w:bidi="ar-EG"/>
        </w:rPr>
        <w:t>.</w:t>
      </w:r>
      <w:r w:rsidRPr="00335E4B">
        <w:rPr>
          <w:rFonts w:cs="Traditional Arabic"/>
          <w:sz w:val="20"/>
          <w:szCs w:val="30"/>
          <w:rtl/>
        </w:rPr>
        <w:t xml:space="preserve"> وعند استنفاد تركيز كلوريد الزئبق (ثنائي التكافؤ) في دورة محلول الشطف، يضاف مجدداً محلول كلوريد الزئبق (ثنائي التكافؤ) الذي أعيد توليده من صهريج التخزين، وذلك للمحافظة على تركيز كلوريد الزئبق (ثنائي التكافؤ) في دورة الشطف</w:t>
      </w:r>
      <w:r w:rsidRPr="00335E4B">
        <w:rPr>
          <w:rFonts w:cs="Traditional Arabic"/>
          <w:sz w:val="20"/>
          <w:szCs w:val="30"/>
          <w:rtl/>
          <w:lang w:val="en-GB" w:bidi="ar-EG"/>
        </w:rPr>
        <w:t>.</w:t>
      </w:r>
    </w:p>
    <w:p w:rsidR="00335E4B" w:rsidRPr="00335E4B" w:rsidRDefault="00335E4B" w:rsidP="00335E4B">
      <w:pPr>
        <w:spacing w:after="120" w:line="400" w:lineRule="exact"/>
        <w:jc w:val="lowKashida"/>
        <w:rPr>
          <w:rFonts w:cs="Traditional Arabic"/>
          <w:sz w:val="20"/>
          <w:szCs w:val="30"/>
          <w:rtl/>
        </w:rPr>
      </w:pPr>
      <w:r w:rsidRPr="00335E4B">
        <w:rPr>
          <w:rFonts w:cs="Traditional Arabic"/>
          <w:sz w:val="20"/>
          <w:szCs w:val="30"/>
          <w:rtl/>
        </w:rPr>
        <w:t>والناتج الصافي للتفاعل من خطوتي العملية (أ) و(ب) كما يلي</w:t>
      </w:r>
      <w:r w:rsidRPr="00335E4B">
        <w:rPr>
          <w:rFonts w:cs="Traditional Arabic"/>
          <w:sz w:val="20"/>
          <w:szCs w:val="30"/>
          <w:rtl/>
          <w:lang w:val="en-GB" w:bidi="ar-EG"/>
        </w:rPr>
        <w:t>:</w:t>
      </w:r>
    </w:p>
    <w:p w:rsidR="00335E4B" w:rsidRPr="00335E4B" w:rsidRDefault="00335E4B" w:rsidP="00335E4B">
      <w:pPr>
        <w:tabs>
          <w:tab w:val="left" w:pos="1132"/>
        </w:tabs>
        <w:spacing w:after="120" w:line="400" w:lineRule="exact"/>
        <w:ind w:left="565"/>
        <w:jc w:val="lowKashida"/>
        <w:rPr>
          <w:rFonts w:cs="Traditional Arabic"/>
          <w:sz w:val="20"/>
          <w:szCs w:val="30"/>
          <w:rtl/>
        </w:rPr>
      </w:pPr>
      <w:r w:rsidRPr="00335E4B">
        <w:rPr>
          <w:rFonts w:cs="Traditional Arabic"/>
          <w:sz w:val="20"/>
          <w:szCs w:val="30"/>
          <w:rtl/>
        </w:rPr>
        <w:t>(ج)</w:t>
      </w:r>
      <w:r w:rsidRPr="00335E4B">
        <w:rPr>
          <w:rFonts w:cs="Traditional Arabic"/>
          <w:sz w:val="20"/>
          <w:szCs w:val="30"/>
          <w:rtl/>
        </w:rPr>
        <w:tab/>
      </w:r>
      <w:r w:rsidRPr="00335E4B">
        <w:rPr>
          <w:rFonts w:cs="Traditional Arabic"/>
          <w:sz w:val="20"/>
          <w:szCs w:val="30"/>
        </w:rPr>
        <w:t>2Hg</w:t>
      </w:r>
      <w:r w:rsidRPr="00335E4B">
        <w:rPr>
          <w:rFonts w:cs="Traditional Arabic"/>
          <w:sz w:val="20"/>
          <w:szCs w:val="30"/>
          <w:vertAlign w:val="superscript"/>
        </w:rPr>
        <w:t>0</w:t>
      </w:r>
      <w:r w:rsidRPr="00335E4B">
        <w:rPr>
          <w:rFonts w:cs="Traditional Arabic"/>
          <w:sz w:val="20"/>
          <w:szCs w:val="30"/>
        </w:rPr>
        <w:t xml:space="preserve"> + Cl</w:t>
      </w:r>
      <w:r w:rsidRPr="00335E4B">
        <w:rPr>
          <w:rFonts w:cs="Traditional Arabic"/>
          <w:sz w:val="20"/>
          <w:szCs w:val="30"/>
          <w:vertAlign w:val="subscript"/>
        </w:rPr>
        <w:t>2</w:t>
      </w:r>
      <w:r w:rsidRPr="00335E4B">
        <w:rPr>
          <w:rFonts w:cs="Traditional Arabic"/>
          <w:sz w:val="20"/>
          <w:szCs w:val="30"/>
        </w:rPr>
        <w:t xml:space="preserve"> =&gt; Hg</w:t>
      </w:r>
      <w:r w:rsidRPr="00335E4B">
        <w:rPr>
          <w:rFonts w:cs="Traditional Arabic"/>
          <w:sz w:val="20"/>
          <w:szCs w:val="30"/>
          <w:vertAlign w:val="subscript"/>
        </w:rPr>
        <w:t>2</w:t>
      </w:r>
      <w:r w:rsidRPr="00335E4B">
        <w:rPr>
          <w:rFonts w:cs="Traditional Arabic"/>
          <w:sz w:val="20"/>
          <w:szCs w:val="30"/>
        </w:rPr>
        <w:t>Cl</w:t>
      </w:r>
      <w:r w:rsidRPr="00335E4B">
        <w:rPr>
          <w:rFonts w:cs="Traditional Arabic"/>
          <w:sz w:val="20"/>
          <w:szCs w:val="30"/>
          <w:vertAlign w:val="subscript"/>
        </w:rPr>
        <w:t>2</w:t>
      </w:r>
    </w:p>
    <w:p w:rsidR="00335E4B" w:rsidRPr="00335E4B" w:rsidRDefault="00335E4B" w:rsidP="00335E4B">
      <w:pPr>
        <w:spacing w:after="120" w:line="400" w:lineRule="exact"/>
        <w:jc w:val="lowKashida"/>
        <w:rPr>
          <w:rFonts w:cs="Traditional Arabic"/>
          <w:sz w:val="20"/>
          <w:szCs w:val="30"/>
          <w:rtl/>
        </w:rPr>
      </w:pPr>
      <w:r w:rsidRPr="00335E4B">
        <w:rPr>
          <w:rFonts w:cs="Traditional Arabic"/>
          <w:sz w:val="20"/>
          <w:szCs w:val="30"/>
          <w:rtl/>
        </w:rPr>
        <w:t>ويوجه النصف المتبقي من ملاط الكالوميل إلى حوض ترسيب</w:t>
      </w:r>
      <w:r w:rsidRPr="00335E4B">
        <w:rPr>
          <w:rFonts w:cs="Traditional Arabic"/>
          <w:sz w:val="20"/>
          <w:szCs w:val="30"/>
          <w:rtl/>
          <w:lang w:val="en-GB" w:bidi="ar-EG"/>
        </w:rPr>
        <w:t>.</w:t>
      </w:r>
      <w:r w:rsidRPr="00335E4B">
        <w:rPr>
          <w:rFonts w:cs="Traditional Arabic"/>
          <w:sz w:val="20"/>
          <w:szCs w:val="30"/>
          <w:rtl/>
        </w:rPr>
        <w:t xml:space="preserve"> وعندما يفيض السائل المرشَّح يعاد إلى صهريج الضخ الموجود في برج الشطف</w:t>
      </w:r>
      <w:r w:rsidRPr="00335E4B">
        <w:rPr>
          <w:rFonts w:cs="Traditional Arabic"/>
          <w:sz w:val="20"/>
          <w:szCs w:val="30"/>
          <w:rtl/>
          <w:lang w:val="en-GB" w:bidi="ar-EG"/>
        </w:rPr>
        <w:t>.</w:t>
      </w:r>
      <w:r w:rsidRPr="00335E4B">
        <w:rPr>
          <w:rFonts w:cs="Traditional Arabic"/>
          <w:sz w:val="20"/>
          <w:szCs w:val="30"/>
          <w:rtl/>
        </w:rPr>
        <w:t xml:space="preserve"> وفي أسفل حوض الترسيب، يترسب في حوض مخروطي كلوريد الزئبق (أحادي التكافؤ) غير القابل للانحلال</w:t>
      </w:r>
      <w:r w:rsidRPr="00335E4B">
        <w:rPr>
          <w:rFonts w:cs="Traditional Arabic"/>
          <w:sz w:val="20"/>
          <w:szCs w:val="30"/>
          <w:rtl/>
          <w:lang w:val="en-GB" w:bidi="ar-EG"/>
        </w:rPr>
        <w:t>.</w:t>
      </w:r>
      <w:r w:rsidRPr="00335E4B">
        <w:rPr>
          <w:rFonts w:cs="Traditional Arabic"/>
          <w:sz w:val="20"/>
          <w:szCs w:val="30"/>
          <w:rtl/>
        </w:rPr>
        <w:t xml:space="preserve"> وتمرر المواد الصلبة إلى حوض ترسيب ثان لكي يتم تركيزها مجدداً</w:t>
      </w:r>
      <w:r w:rsidRPr="00335E4B">
        <w:rPr>
          <w:rFonts w:cs="Traditional Arabic"/>
          <w:sz w:val="20"/>
          <w:szCs w:val="30"/>
          <w:rtl/>
          <w:lang w:val="en-GB" w:bidi="ar-EG"/>
        </w:rPr>
        <w:t>.</w:t>
      </w:r>
      <w:r w:rsidRPr="00335E4B">
        <w:rPr>
          <w:rFonts w:cs="Traditional Arabic"/>
          <w:sz w:val="20"/>
          <w:szCs w:val="30"/>
          <w:rtl/>
        </w:rPr>
        <w:t xml:space="preserve"> ويمكن إضافة غبار الزنك لتعزيز عملية الترسيب</w:t>
      </w:r>
      <w:r w:rsidRPr="00335E4B">
        <w:rPr>
          <w:rFonts w:cs="Traditional Arabic"/>
          <w:sz w:val="20"/>
          <w:szCs w:val="30"/>
          <w:rtl/>
          <w:lang w:val="en-GB" w:bidi="ar-EG"/>
        </w:rPr>
        <w:t>.</w:t>
      </w:r>
      <w:r w:rsidRPr="00335E4B">
        <w:rPr>
          <w:rFonts w:cs="Traditional Arabic"/>
          <w:sz w:val="20"/>
          <w:szCs w:val="30"/>
          <w:rtl/>
        </w:rPr>
        <w:t xml:space="preserve"> وتعبأ المواد الصلبة الناتجة في حوض الترسيب الثاني في أسطوانات تخزين تمهيداً لبيعها أو لمزيد من التجهيز داخل المنشأة</w:t>
      </w:r>
      <w:r w:rsidRPr="00335E4B">
        <w:rPr>
          <w:rFonts w:cs="Traditional Arabic"/>
          <w:sz w:val="20"/>
          <w:szCs w:val="30"/>
          <w:rtl/>
          <w:lang w:val="en-GB" w:bidi="ar-EG"/>
        </w:rPr>
        <w:t>.</w:t>
      </w:r>
      <w:r w:rsidRPr="00335E4B">
        <w:rPr>
          <w:rFonts w:cs="Traditional Arabic"/>
          <w:sz w:val="20"/>
          <w:szCs w:val="30"/>
          <w:rtl/>
        </w:rPr>
        <w:t xml:space="preserve"> وفي النهاية يمكن التخلص من نضح الكالوميل بصورة نهائية أو استخدامه لإنتاج الزئبق النقي</w:t>
      </w:r>
      <w:r w:rsidRPr="00335E4B">
        <w:rPr>
          <w:rFonts w:cs="Traditional Arabic"/>
          <w:sz w:val="20"/>
          <w:szCs w:val="30"/>
          <w:rtl/>
          <w:lang w:val="en-GB" w:bidi="ar-EG"/>
        </w:rPr>
        <w:t>.</w:t>
      </w:r>
      <w:r w:rsidRPr="00335E4B">
        <w:rPr>
          <w:rFonts w:cs="Traditional Arabic"/>
          <w:sz w:val="20"/>
          <w:szCs w:val="30"/>
          <w:rtl/>
        </w:rPr>
        <w:t xml:space="preserve"> ويخزن الزئبق بعد ذلك في أوعية تخزين محكمة</w:t>
      </w:r>
      <w:r w:rsidRPr="00335E4B">
        <w:rPr>
          <w:rFonts w:cs="Traditional Arabic"/>
          <w:sz w:val="20"/>
          <w:szCs w:val="30"/>
          <w:rtl/>
          <w:lang w:val="en-GB" w:bidi="ar-EG"/>
        </w:rPr>
        <w:t>.</w:t>
      </w:r>
      <w:r w:rsidRPr="00335E4B">
        <w:rPr>
          <w:rFonts w:cs="Traditional Arabic"/>
          <w:sz w:val="20"/>
          <w:szCs w:val="30"/>
          <w:rtl/>
        </w:rPr>
        <w:t xml:space="preserve"> يوضح الشكل</w:t>
      </w:r>
      <w:r w:rsidRPr="00335E4B">
        <w:rPr>
          <w:rFonts w:cs="Traditional Arabic"/>
          <w:sz w:val="20"/>
          <w:szCs w:val="30"/>
          <w:rtl/>
          <w:lang w:val="en-GB" w:bidi="ar-EG"/>
        </w:rPr>
        <w:t xml:space="preserve"> </w:t>
      </w:r>
      <w:r w:rsidRPr="00335E4B">
        <w:rPr>
          <w:rFonts w:cs="Traditional Arabic" w:hint="cs"/>
          <w:sz w:val="20"/>
          <w:szCs w:val="30"/>
          <w:rtl/>
          <w:lang w:val="en-GB" w:bidi="ar-EG"/>
        </w:rPr>
        <w:t>5 رسماً تخطيطياً ل</w:t>
      </w:r>
      <w:r w:rsidRPr="00335E4B">
        <w:rPr>
          <w:rFonts w:cs="Traditional Arabic"/>
          <w:sz w:val="20"/>
          <w:szCs w:val="30"/>
          <w:rtl/>
        </w:rPr>
        <w:t>عملية بوليدين</w:t>
      </w:r>
      <w:r w:rsidRPr="00335E4B">
        <w:rPr>
          <w:rFonts w:cs="Traditional Arabic"/>
          <w:sz w:val="20"/>
          <w:szCs w:val="30"/>
          <w:rtl/>
          <w:lang w:val="en-GB" w:bidi="ar-EG"/>
        </w:rPr>
        <w:t>-</w:t>
      </w:r>
      <w:r w:rsidRPr="00335E4B">
        <w:rPr>
          <w:rFonts w:cs="Traditional Arabic"/>
          <w:sz w:val="20"/>
          <w:szCs w:val="30"/>
          <w:rtl/>
        </w:rPr>
        <w:t>نورزينك</w:t>
      </w:r>
      <w:r w:rsidRPr="00335E4B">
        <w:rPr>
          <w:rFonts w:cs="Traditional Arabic"/>
          <w:sz w:val="20"/>
          <w:szCs w:val="30"/>
          <w:rtl/>
          <w:lang w:val="en-GB" w:bidi="ar-EG"/>
        </w:rPr>
        <w:t>.</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وينبغي أن تؤخذ في الاعتبار أيضاً المخاطر المترتبة على صحة العمال من احتمال التعرض لكلوريد الزئبق (ثنائي التكافؤ) أو للكلور (وكلاهما شديد</w:t>
      </w:r>
      <w:r w:rsidRPr="00335E4B">
        <w:rPr>
          <w:rFonts w:cs="Traditional Arabic" w:hint="cs"/>
          <w:sz w:val="20"/>
          <w:szCs w:val="30"/>
          <w:rtl/>
        </w:rPr>
        <w:t xml:space="preserve"> السمية).</w:t>
      </w:r>
    </w:p>
    <w:p w:rsidR="00335E4B" w:rsidRPr="00335E4B" w:rsidRDefault="00335E4B" w:rsidP="00335E4B">
      <w:pPr>
        <w:rPr>
          <w:rFonts w:cs="Traditional Arabic"/>
          <w:sz w:val="16"/>
          <w:szCs w:val="16"/>
          <w:rtl/>
          <w:lang w:val="en-CA"/>
        </w:rPr>
      </w:pPr>
      <w:r w:rsidRPr="00335E4B">
        <w:rPr>
          <w:rFonts w:cs="Traditional Arabic"/>
          <w:sz w:val="20"/>
          <w:szCs w:val="30"/>
          <w:rtl/>
        </w:rPr>
        <w:br w:type="page"/>
      </w:r>
    </w:p>
    <w:p w:rsidR="00335E4B" w:rsidRPr="00335E4B" w:rsidRDefault="00335E4B" w:rsidP="00335E4B">
      <w:pPr>
        <w:rPr>
          <w:rFonts w:cs="Traditional Arabic"/>
          <w:sz w:val="16"/>
          <w:szCs w:val="16"/>
          <w:rtl/>
          <w:lang w:val="en-CA"/>
        </w:rPr>
      </w:pPr>
    </w:p>
    <w:p w:rsidR="00335E4B" w:rsidRPr="00335E4B" w:rsidRDefault="00335E4B" w:rsidP="00335E4B">
      <w:pPr>
        <w:rPr>
          <w:rFonts w:cs="Traditional Arabic"/>
          <w:sz w:val="16"/>
          <w:szCs w:val="16"/>
          <w:rtl/>
          <w:lang w:val="en-CA"/>
        </w:rPr>
      </w:pPr>
      <w:r>
        <w:rPr>
          <w:rFonts w:cs="Traditional Arabic"/>
          <w:noProof/>
          <w:sz w:val="16"/>
          <w:szCs w:val="16"/>
          <w:lang w:val="en-GB" w:eastAsia="zh-CN"/>
        </w:rPr>
        <mc:AlternateContent>
          <mc:Choice Requires="wpc">
            <w:drawing>
              <wp:inline distT="0" distB="0" distL="0" distR="0" wp14:anchorId="768C4CEA" wp14:editId="7F6FA065">
                <wp:extent cx="5874385" cy="6523990"/>
                <wp:effectExtent l="15240" t="22225" r="6350" b="6985"/>
                <wp:docPr id="289" name="Canvas 2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40" name="Rectangle 4"/>
                        <wps:cNvSpPr>
                          <a:spLocks noChangeArrowheads="1"/>
                        </wps:cNvSpPr>
                        <wps:spPr bwMode="auto">
                          <a:xfrm>
                            <a:off x="1417467" y="1278031"/>
                            <a:ext cx="685668" cy="445613"/>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1" name="Rectangle 5"/>
                        <wps:cNvSpPr>
                          <a:spLocks noChangeArrowheads="1"/>
                        </wps:cNvSpPr>
                        <wps:spPr bwMode="auto">
                          <a:xfrm>
                            <a:off x="1417588" y="1472881"/>
                            <a:ext cx="685668" cy="102692"/>
                          </a:xfrm>
                          <a:prstGeom prst="rect">
                            <a:avLst/>
                          </a:prstGeom>
                          <a:pattFill prst="dkUpDiag">
                            <a:fgClr>
                              <a:srgbClr val="000000"/>
                            </a:fgClr>
                            <a:bgClr>
                              <a:srgbClr val="FFFFFF"/>
                            </a:bgClr>
                          </a:pattFill>
                          <a:ln w="12700" algn="ctr">
                            <a:solidFill>
                              <a:srgbClr val="000000"/>
                            </a:solidFill>
                            <a:miter lim="800000"/>
                            <a:headEnd/>
                            <a:tailEnd/>
                          </a:ln>
                        </wps:spPr>
                        <wps:bodyPr rot="0" vert="horz" wrap="square" lIns="91440" tIns="45720" rIns="91440" bIns="45720" anchor="ctr" anchorCtr="0" upright="1">
                          <a:noAutofit/>
                        </wps:bodyPr>
                      </wps:wsp>
                      <wps:wsp>
                        <wps:cNvPr id="242" name="Flowchart: Manual Operation 6"/>
                        <wps:cNvSpPr>
                          <a:spLocks noChangeArrowheads="1"/>
                        </wps:cNvSpPr>
                        <wps:spPr bwMode="auto">
                          <a:xfrm rot="10800000">
                            <a:off x="1188791" y="1726209"/>
                            <a:ext cx="1143182" cy="342922"/>
                          </a:xfrm>
                          <a:prstGeom prst="flowChartManualOperation">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3" name="Rectangle 7"/>
                        <wps:cNvSpPr>
                          <a:spLocks noChangeArrowheads="1"/>
                        </wps:cNvSpPr>
                        <wps:spPr bwMode="auto">
                          <a:xfrm>
                            <a:off x="1188587" y="2068859"/>
                            <a:ext cx="1143100" cy="2151097"/>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4" name="Rectangle 8"/>
                        <wps:cNvSpPr>
                          <a:spLocks noChangeArrowheads="1"/>
                        </wps:cNvSpPr>
                        <wps:spPr bwMode="auto">
                          <a:xfrm>
                            <a:off x="1188791" y="2619602"/>
                            <a:ext cx="1142756" cy="102885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5" name="Straight Connector 9"/>
                        <wps:cNvCnPr>
                          <a:cxnSpLocks noChangeShapeType="1"/>
                        </wps:cNvCnPr>
                        <wps:spPr bwMode="auto">
                          <a:xfrm>
                            <a:off x="1188718" y="2619500"/>
                            <a:ext cx="1142687" cy="1028814"/>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6" name="Straight Connector 10"/>
                        <wps:cNvCnPr>
                          <a:cxnSpLocks noChangeShapeType="1"/>
                        </wps:cNvCnPr>
                        <wps:spPr bwMode="auto">
                          <a:xfrm flipH="1">
                            <a:off x="1188718" y="2619504"/>
                            <a:ext cx="1142671" cy="102881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11"/>
                        <wps:cNvSpPr>
                          <a:spLocks noChangeArrowheads="1"/>
                        </wps:cNvSpPr>
                        <wps:spPr bwMode="auto">
                          <a:xfrm>
                            <a:off x="503017" y="3762660"/>
                            <a:ext cx="685668" cy="228696"/>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8" name="Isosceles Triangle 12"/>
                        <wps:cNvSpPr>
                          <a:spLocks noChangeArrowheads="1"/>
                        </wps:cNvSpPr>
                        <wps:spPr bwMode="auto">
                          <a:xfrm rot="10800000">
                            <a:off x="1188515" y="4219791"/>
                            <a:ext cx="1142733" cy="457365"/>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9" name="Rectangle 13"/>
                        <wps:cNvSpPr>
                          <a:spLocks noChangeArrowheads="1"/>
                        </wps:cNvSpPr>
                        <wps:spPr bwMode="auto">
                          <a:xfrm>
                            <a:off x="1622091" y="5378300"/>
                            <a:ext cx="1167130" cy="914198"/>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0" name="Isosceles Triangle 16"/>
                        <wps:cNvSpPr>
                          <a:spLocks noChangeArrowheads="1"/>
                        </wps:cNvSpPr>
                        <wps:spPr bwMode="auto">
                          <a:xfrm rot="10800000">
                            <a:off x="3321388" y="3076956"/>
                            <a:ext cx="1029570" cy="228918"/>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cNvPr id="251" name="Group 19"/>
                        <wpg:cNvGrpSpPr>
                          <a:grpSpLocks/>
                        </wpg:cNvGrpSpPr>
                        <wpg:grpSpPr bwMode="auto">
                          <a:xfrm>
                            <a:off x="4846865" y="5955291"/>
                            <a:ext cx="268271" cy="337206"/>
                            <a:chOff x="3051013" y="5955255"/>
                            <a:chExt cx="268242" cy="337206"/>
                          </a:xfrm>
                        </wpg:grpSpPr>
                        <wps:wsp>
                          <wps:cNvPr id="252" name="Flowchart: Manual Operation 17"/>
                          <wps:cNvSpPr>
                            <a:spLocks noChangeArrowheads="1"/>
                          </wps:cNvSpPr>
                          <wps:spPr bwMode="auto">
                            <a:xfrm rot="10800000">
                              <a:off x="3051195" y="6175182"/>
                              <a:ext cx="268060" cy="117279"/>
                            </a:xfrm>
                            <a:prstGeom prst="flowChartManualOperation">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3" name="Oval 18"/>
                          <wps:cNvSpPr>
                            <a:spLocks noChangeArrowheads="1"/>
                          </wps:cNvSpPr>
                          <wps:spPr bwMode="auto">
                            <a:xfrm>
                              <a:off x="3051013" y="5955255"/>
                              <a:ext cx="268041" cy="253762"/>
                            </a:xfrm>
                            <a:prstGeom prst="ellipse">
                              <a:avLst/>
                            </a:prstGeom>
                            <a:solidFill>
                              <a:srgbClr val="FFFFFF"/>
                            </a:solidFill>
                            <a:ln w="12700" algn="ctr">
                              <a:solidFill>
                                <a:srgbClr val="000000"/>
                              </a:solidFill>
                              <a:round/>
                              <a:headEnd/>
                              <a:tailEnd/>
                            </a:ln>
                          </wps:spPr>
                          <wps:bodyPr rot="0" vert="horz" wrap="square" lIns="91440" tIns="45720" rIns="91440" bIns="45720" anchor="ctr" anchorCtr="0" upright="1">
                            <a:noAutofit/>
                          </wps:bodyPr>
                        </wps:wsp>
                      </wpg:wgp>
                      <wps:wsp>
                        <wps:cNvPr id="254" name="Straight Connector 20"/>
                        <wps:cNvCnPr>
                          <a:cxnSpLocks noChangeShapeType="1"/>
                        </wps:cNvCnPr>
                        <wps:spPr bwMode="auto">
                          <a:xfrm flipV="1">
                            <a:off x="1417565" y="2276589"/>
                            <a:ext cx="914361" cy="243"/>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wpg:cNvPr id="255" name="Group 24"/>
                        <wpg:cNvGrpSpPr>
                          <a:grpSpLocks/>
                        </wpg:cNvGrpSpPr>
                        <wpg:grpSpPr bwMode="auto">
                          <a:xfrm>
                            <a:off x="1303235" y="2276846"/>
                            <a:ext cx="228750" cy="114436"/>
                            <a:chOff x="2788830" y="1822193"/>
                            <a:chExt cx="228725" cy="114436"/>
                          </a:xfrm>
                        </wpg:grpSpPr>
                        <wps:wsp>
                          <wps:cNvPr id="256" name="Straight Connector 21"/>
                          <wps:cNvCnPr>
                            <a:cxnSpLocks noChangeShapeType="1"/>
                          </wps:cNvCnPr>
                          <wps:spPr bwMode="auto">
                            <a:xfrm flipV="1">
                              <a:off x="2788830" y="1822193"/>
                              <a:ext cx="114390" cy="114314"/>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57" name="Straight Connector 22"/>
                          <wps:cNvCnPr>
                            <a:cxnSpLocks noChangeShapeType="1"/>
                          </wps:cNvCnPr>
                          <wps:spPr bwMode="auto">
                            <a:xfrm>
                              <a:off x="2903234" y="1822268"/>
                              <a:ext cx="114321" cy="114361"/>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wpg:wgp>
                        <wpg:cNvPr id="258" name="Group 25"/>
                        <wpg:cNvGrpSpPr>
                          <a:grpSpLocks/>
                        </wpg:cNvGrpSpPr>
                        <wpg:grpSpPr bwMode="auto">
                          <a:xfrm>
                            <a:off x="1989109" y="2276771"/>
                            <a:ext cx="228750" cy="114436"/>
                            <a:chOff x="2788830" y="1822193"/>
                            <a:chExt cx="228725" cy="114436"/>
                          </a:xfrm>
                        </wpg:grpSpPr>
                        <wps:wsp>
                          <wps:cNvPr id="259" name="Straight Connector 26"/>
                          <wps:cNvCnPr>
                            <a:cxnSpLocks noChangeShapeType="1"/>
                          </wps:cNvCnPr>
                          <wps:spPr bwMode="auto">
                            <a:xfrm flipV="1">
                              <a:off x="2788830" y="1822193"/>
                              <a:ext cx="114390" cy="114314"/>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60" name="Straight Connector 27"/>
                          <wps:cNvCnPr>
                            <a:cxnSpLocks noChangeShapeType="1"/>
                          </wps:cNvCnPr>
                          <wps:spPr bwMode="auto">
                            <a:xfrm>
                              <a:off x="2903234" y="1822268"/>
                              <a:ext cx="114321" cy="114361"/>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wpg:wgp>
                        <wpg:cNvPr id="261" name="Group 28"/>
                        <wpg:cNvGrpSpPr>
                          <a:grpSpLocks/>
                        </wpg:cNvGrpSpPr>
                        <wpg:grpSpPr bwMode="auto">
                          <a:xfrm>
                            <a:off x="1662631" y="2276996"/>
                            <a:ext cx="228750" cy="114436"/>
                            <a:chOff x="2788830" y="1822193"/>
                            <a:chExt cx="228725" cy="114436"/>
                          </a:xfrm>
                        </wpg:grpSpPr>
                        <wps:wsp>
                          <wps:cNvPr id="262" name="Straight Connector 29"/>
                          <wps:cNvCnPr>
                            <a:cxnSpLocks noChangeShapeType="1"/>
                          </wps:cNvCnPr>
                          <wps:spPr bwMode="auto">
                            <a:xfrm flipV="1">
                              <a:off x="2788830" y="1822193"/>
                              <a:ext cx="114390" cy="114314"/>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63" name="Straight Connector 30"/>
                          <wps:cNvCnPr>
                            <a:cxnSpLocks noChangeShapeType="1"/>
                          </wps:cNvCnPr>
                          <wps:spPr bwMode="auto">
                            <a:xfrm>
                              <a:off x="2903234" y="1822268"/>
                              <a:ext cx="114321" cy="114361"/>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wps:wsp>
                        <wps:cNvPr id="264" name="Straight Arrow Connector 32"/>
                        <wps:cNvCnPr>
                          <a:cxnSpLocks noChangeShapeType="1"/>
                        </wps:cNvCnPr>
                        <wps:spPr bwMode="auto">
                          <a:xfrm>
                            <a:off x="3825315" y="3305746"/>
                            <a:ext cx="529" cy="913881"/>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265" name="Straight Arrow Connector 33"/>
                        <wps:cNvCnPr>
                          <a:cxnSpLocks noChangeShapeType="1"/>
                        </wps:cNvCnPr>
                        <wps:spPr bwMode="auto">
                          <a:xfrm>
                            <a:off x="1760642" y="4677103"/>
                            <a:ext cx="529" cy="701144"/>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266" name="Straight Arrow Connector 34"/>
                        <wps:cNvCnPr>
                          <a:cxnSpLocks noChangeShapeType="1"/>
                        </wps:cNvCnPr>
                        <wps:spPr bwMode="auto">
                          <a:xfrm>
                            <a:off x="2675431" y="4679693"/>
                            <a:ext cx="0" cy="698397"/>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267" name="Straight Arrow Connector 35"/>
                        <wps:cNvCnPr>
                          <a:cxnSpLocks noChangeShapeType="1"/>
                        </wps:cNvCnPr>
                        <wps:spPr bwMode="auto">
                          <a:xfrm>
                            <a:off x="2446827" y="2749954"/>
                            <a:ext cx="0" cy="2628346"/>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268" name="Straight Arrow Connector 36"/>
                        <wps:cNvCnPr>
                          <a:cxnSpLocks noChangeShapeType="1"/>
                        </wps:cNvCnPr>
                        <wps:spPr bwMode="auto">
                          <a:xfrm flipH="1">
                            <a:off x="2674840" y="4676416"/>
                            <a:ext cx="646346" cy="1"/>
                          </a:xfrm>
                          <a:prstGeom prst="straightConnector1">
                            <a:avLst/>
                          </a:prstGeom>
                          <a:noFill/>
                          <a:ln w="25400" cap="rnd" algn="ctr">
                            <a:solidFill>
                              <a:srgbClr val="1F497D"/>
                            </a:solidFill>
                            <a:round/>
                            <a:headEnd/>
                            <a:tailEnd type="none" w="lg" len="med"/>
                          </a:ln>
                          <a:extLst>
                            <a:ext uri="{909E8E84-426E-40DD-AFC4-6F175D3DCCD1}">
                              <a14:hiddenFill xmlns:a14="http://schemas.microsoft.com/office/drawing/2010/main">
                                <a:noFill/>
                              </a14:hiddenFill>
                            </a:ext>
                          </a:extLst>
                        </wps:spPr>
                        <wps:bodyPr/>
                      </wps:wsp>
                      <wps:wsp>
                        <wps:cNvPr id="269" name="Rectangle 15"/>
                        <wps:cNvSpPr>
                          <a:spLocks noChangeArrowheads="1"/>
                        </wps:cNvSpPr>
                        <wps:spPr bwMode="auto">
                          <a:xfrm>
                            <a:off x="3321388" y="4219947"/>
                            <a:ext cx="1024705" cy="685961"/>
                          </a:xfrm>
                          <a:prstGeom prst="rect">
                            <a:avLst/>
                          </a:prstGeom>
                          <a:solidFill>
                            <a:srgbClr val="FFFFFF"/>
                          </a:solidFill>
                          <a:ln w="12700" algn="ctr">
                            <a:solidFill>
                              <a:srgbClr val="000000"/>
                            </a:solidFill>
                            <a:miter lim="800000"/>
                            <a:headEnd/>
                            <a:tailEnd/>
                          </a:ln>
                        </wps:spPr>
                        <wps:txbx>
                          <w:txbxContent>
                            <w:p w:rsidR="00670B40" w:rsidRPr="00E16C5A" w:rsidRDefault="00670B40" w:rsidP="00335E4B">
                              <w:pPr>
                                <w:rPr>
                                  <w:sz w:val="16"/>
                                  <w:szCs w:val="16"/>
                                  <w:lang w:val="en-CA"/>
                                </w:rPr>
                              </w:pPr>
                            </w:p>
                          </w:txbxContent>
                        </wps:txbx>
                        <wps:bodyPr rot="0" vert="horz" wrap="square" lIns="91440" tIns="45720" rIns="91440" bIns="45720" anchor="ctr" anchorCtr="0" upright="1">
                          <a:noAutofit/>
                        </wps:bodyPr>
                      </wps:wsp>
                      <wps:wsp>
                        <wps:cNvPr id="270" name="Straight Arrow Connector 37"/>
                        <wps:cNvCnPr>
                          <a:cxnSpLocks noChangeShapeType="1"/>
                        </wps:cNvCnPr>
                        <wps:spPr bwMode="auto">
                          <a:xfrm flipH="1">
                            <a:off x="2446694" y="2749923"/>
                            <a:ext cx="874291" cy="0"/>
                          </a:xfrm>
                          <a:prstGeom prst="straightConnector1">
                            <a:avLst/>
                          </a:prstGeom>
                          <a:noFill/>
                          <a:ln w="25400" cap="rnd" algn="ctr">
                            <a:solidFill>
                              <a:srgbClr val="1F497D"/>
                            </a:solidFill>
                            <a:round/>
                            <a:headEnd/>
                            <a:tailEnd type="none" w="lg" len="med"/>
                          </a:ln>
                          <a:extLst>
                            <a:ext uri="{909E8E84-426E-40DD-AFC4-6F175D3DCCD1}">
                              <a14:hiddenFill xmlns:a14="http://schemas.microsoft.com/office/drawing/2010/main">
                                <a:noFill/>
                              </a14:hiddenFill>
                            </a:ext>
                          </a:extLst>
                        </wps:spPr>
                        <wps:bodyPr/>
                      </wps:wsp>
                      <wps:wsp>
                        <wps:cNvPr id="271" name="Rectangle 14"/>
                        <wps:cNvSpPr>
                          <a:spLocks noChangeArrowheads="1"/>
                        </wps:cNvSpPr>
                        <wps:spPr bwMode="auto">
                          <a:xfrm>
                            <a:off x="3325929" y="2619602"/>
                            <a:ext cx="1028839" cy="457611"/>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72" name="Straight Arrow Connector 38"/>
                        <wps:cNvCnPr>
                          <a:cxnSpLocks noChangeShapeType="1"/>
                        </wps:cNvCnPr>
                        <wps:spPr bwMode="auto">
                          <a:xfrm>
                            <a:off x="2788600" y="6050562"/>
                            <a:ext cx="2058243" cy="0"/>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273" name="Straight Arrow Connector 39"/>
                        <wps:cNvCnPr>
                          <a:cxnSpLocks noChangeShapeType="1"/>
                        </wps:cNvCnPr>
                        <wps:spPr bwMode="auto">
                          <a:xfrm flipH="1" flipV="1">
                            <a:off x="5114824" y="2279305"/>
                            <a:ext cx="2" cy="3771988"/>
                          </a:xfrm>
                          <a:prstGeom prst="straightConnector1">
                            <a:avLst/>
                          </a:prstGeom>
                          <a:noFill/>
                          <a:ln w="25400" cap="rnd" algn="ctr">
                            <a:solidFill>
                              <a:srgbClr val="1F497D"/>
                            </a:solidFill>
                            <a:round/>
                            <a:headEnd/>
                            <a:tailEnd type="none" w="lg" len="med"/>
                          </a:ln>
                          <a:extLst>
                            <a:ext uri="{909E8E84-426E-40DD-AFC4-6F175D3DCCD1}">
                              <a14:hiddenFill xmlns:a14="http://schemas.microsoft.com/office/drawing/2010/main">
                                <a:noFill/>
                              </a14:hiddenFill>
                            </a:ext>
                          </a:extLst>
                        </wps:spPr>
                        <wps:bodyPr/>
                      </wps:wsp>
                      <wps:wsp>
                        <wps:cNvPr id="274" name="Straight Arrow Connector 40"/>
                        <wps:cNvCnPr>
                          <a:cxnSpLocks noChangeShapeType="1"/>
                        </wps:cNvCnPr>
                        <wps:spPr bwMode="auto">
                          <a:xfrm flipH="1">
                            <a:off x="2331136" y="2279232"/>
                            <a:ext cx="2783690" cy="0"/>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275" name="Straight Arrow Connector 41"/>
                        <wps:cNvCnPr>
                          <a:cxnSpLocks noChangeShapeType="1"/>
                        </wps:cNvCnPr>
                        <wps:spPr bwMode="auto">
                          <a:xfrm>
                            <a:off x="3475047" y="3879593"/>
                            <a:ext cx="0" cy="340243"/>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276" name="Straight Arrow Connector 42"/>
                        <wps:cNvCnPr>
                          <a:cxnSpLocks noChangeShapeType="1"/>
                        </wps:cNvCnPr>
                        <wps:spPr bwMode="auto">
                          <a:xfrm>
                            <a:off x="3825328" y="3742666"/>
                            <a:ext cx="457283" cy="133"/>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277" name="Straight Arrow Connector 43"/>
                        <wps:cNvCnPr>
                          <a:cxnSpLocks noChangeShapeType="1"/>
                        </wps:cNvCnPr>
                        <wps:spPr bwMode="auto">
                          <a:xfrm>
                            <a:off x="160037" y="3885358"/>
                            <a:ext cx="332396" cy="0"/>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278" name="Straight Arrow Connector 44"/>
                        <wps:cNvCnPr>
                          <a:cxnSpLocks noChangeShapeType="1"/>
                        </wps:cNvCnPr>
                        <wps:spPr bwMode="auto">
                          <a:xfrm flipV="1">
                            <a:off x="1776949" y="733737"/>
                            <a:ext cx="0" cy="315634"/>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s:wsp>
                        <wps:cNvPr id="279" name="Flowchart: Manual Operation 3"/>
                        <wps:cNvSpPr>
                          <a:spLocks noChangeArrowheads="1"/>
                        </wps:cNvSpPr>
                        <wps:spPr bwMode="auto">
                          <a:xfrm rot="10800000">
                            <a:off x="1417549" y="1049402"/>
                            <a:ext cx="685708" cy="228688"/>
                          </a:xfrm>
                          <a:prstGeom prst="flowChartManualOperation">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80" name="Text Box 45"/>
                        <wps:cNvSpPr txBox="1">
                          <a:spLocks noChangeArrowheads="1"/>
                        </wps:cNvSpPr>
                        <wps:spPr bwMode="auto">
                          <a:xfrm>
                            <a:off x="1416685" y="365125"/>
                            <a:ext cx="75120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50351E" w:rsidRDefault="00670B40" w:rsidP="00335E4B">
                              <w:pPr>
                                <w:spacing w:line="300" w:lineRule="exact"/>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خروج الغاز</w:t>
                              </w:r>
                            </w:p>
                          </w:txbxContent>
                        </wps:txbx>
                        <wps:bodyPr rot="0" vert="horz" wrap="square" lIns="91440" tIns="45720" rIns="91440" bIns="45720" anchor="t" anchorCtr="0" upright="1">
                          <a:noAutofit/>
                        </wps:bodyPr>
                      </wps:wsp>
                      <wps:wsp>
                        <wps:cNvPr id="281" name="Text Box 46"/>
                        <wps:cNvSpPr txBox="1">
                          <a:spLocks noChangeArrowheads="1"/>
                        </wps:cNvSpPr>
                        <wps:spPr bwMode="auto">
                          <a:xfrm>
                            <a:off x="4282440" y="3564890"/>
                            <a:ext cx="6140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50351E" w:rsidRDefault="00670B40" w:rsidP="00335E4B">
                              <w:pPr>
                                <w:spacing w:line="300" w:lineRule="exact"/>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الكالوميل</w:t>
                              </w:r>
                            </w:p>
                          </w:txbxContent>
                        </wps:txbx>
                        <wps:bodyPr rot="0" vert="horz" wrap="square" lIns="91440" tIns="45720" rIns="91440" bIns="45720" anchor="t" anchorCtr="0" upright="1">
                          <a:noAutofit/>
                        </wps:bodyPr>
                      </wps:wsp>
                      <wps:wsp>
                        <wps:cNvPr id="282" name="Text Box 48"/>
                        <wps:cNvSpPr txBox="1">
                          <a:spLocks noChangeArrowheads="1"/>
                        </wps:cNvSpPr>
                        <wps:spPr bwMode="auto">
                          <a:xfrm>
                            <a:off x="3360420" y="4297045"/>
                            <a:ext cx="922020"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50351E" w:rsidRDefault="00670B40" w:rsidP="00335E4B">
                              <w:pPr>
                                <w:spacing w:line="300" w:lineRule="exact"/>
                                <w:jc w:val="center"/>
                                <w:rPr>
                                  <w:rFonts w:ascii="Traditional Arabic" w:hAnsi="Traditional Arabic" w:cs="Traditional Arabic"/>
                                  <w:sz w:val="26"/>
                                  <w:szCs w:val="26"/>
                                  <w:rtl/>
                                  <w:lang w:val="en-CA" w:bidi="ar-SY"/>
                                </w:rPr>
                              </w:pPr>
                              <w:r w:rsidRPr="0050351E">
                                <w:rPr>
                                  <w:rFonts w:ascii="Traditional Arabic" w:hAnsi="Traditional Arabic" w:cs="Traditional Arabic"/>
                                  <w:sz w:val="26"/>
                                  <w:szCs w:val="26"/>
                                  <w:rtl/>
                                  <w:lang w:val="en-CA" w:bidi="ar-SY"/>
                                </w:rPr>
                                <w:t>أكسدة</w:t>
                              </w:r>
                            </w:p>
                            <w:p w:rsidR="00670B40" w:rsidRPr="0050351E" w:rsidRDefault="00670B40" w:rsidP="00335E4B">
                              <w:pPr>
                                <w:spacing w:line="300" w:lineRule="exact"/>
                                <w:jc w:val="center"/>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الكالوميل</w:t>
                              </w:r>
                            </w:p>
                          </w:txbxContent>
                        </wps:txbx>
                        <wps:bodyPr rot="0" vert="horz" wrap="square" lIns="91440" tIns="45720" rIns="91440" bIns="45720" anchor="t" anchorCtr="0" upright="1">
                          <a:noAutofit/>
                        </wps:bodyPr>
                      </wps:wsp>
                      <wps:wsp>
                        <wps:cNvPr id="283" name="Text Box 49"/>
                        <wps:cNvSpPr txBox="1">
                          <a:spLocks noChangeArrowheads="1"/>
                        </wps:cNvSpPr>
                        <wps:spPr bwMode="auto">
                          <a:xfrm>
                            <a:off x="3320787" y="2627728"/>
                            <a:ext cx="1025043" cy="44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50351E" w:rsidRDefault="00670B40" w:rsidP="00335E4B">
                              <w:pPr>
                                <w:spacing w:line="300" w:lineRule="exact"/>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فصل الكالوميل</w:t>
                              </w:r>
                            </w:p>
                          </w:txbxContent>
                        </wps:txbx>
                        <wps:bodyPr rot="0" vert="horz" wrap="square" lIns="91440" tIns="45720" rIns="91440" bIns="45720" anchor="t" anchorCtr="0" upright="1">
                          <a:noAutofit/>
                        </wps:bodyPr>
                      </wps:wsp>
                      <wps:wsp>
                        <wps:cNvPr id="284" name="Text Box 50"/>
                        <wps:cNvSpPr txBox="1">
                          <a:spLocks noChangeArrowheads="1"/>
                        </wps:cNvSpPr>
                        <wps:spPr bwMode="auto">
                          <a:xfrm>
                            <a:off x="3190875" y="3564890"/>
                            <a:ext cx="52578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50351E" w:rsidRDefault="00670B40" w:rsidP="00335E4B">
                              <w:pPr>
                                <w:spacing w:line="300" w:lineRule="exact"/>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الكلور</w:t>
                              </w:r>
                            </w:p>
                          </w:txbxContent>
                        </wps:txbx>
                        <wps:bodyPr rot="0" vert="horz" wrap="square" lIns="91440" tIns="45720" rIns="91440" bIns="45720" anchor="t" anchorCtr="0" upright="1">
                          <a:noAutofit/>
                        </wps:bodyPr>
                      </wps:wsp>
                      <wps:wsp>
                        <wps:cNvPr id="285" name="Text Box 51"/>
                        <wps:cNvSpPr txBox="1">
                          <a:spLocks noChangeArrowheads="1"/>
                        </wps:cNvSpPr>
                        <wps:spPr bwMode="auto">
                          <a:xfrm>
                            <a:off x="1723369" y="5601112"/>
                            <a:ext cx="921716" cy="44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50351E" w:rsidRDefault="00670B40" w:rsidP="00335E4B">
                              <w:pPr>
                                <w:spacing w:line="300" w:lineRule="exact"/>
                                <w:jc w:val="center"/>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خزان الضخ</w:t>
                              </w:r>
                            </w:p>
                          </w:txbxContent>
                        </wps:txbx>
                        <wps:bodyPr rot="0" vert="horz" wrap="square" lIns="91440" tIns="45720" rIns="91440" bIns="45720" anchor="t" anchorCtr="0" upright="1">
                          <a:noAutofit/>
                        </wps:bodyPr>
                      </wps:wsp>
                      <wps:wsp>
                        <wps:cNvPr id="286" name="Text Box 52"/>
                        <wps:cNvSpPr txBox="1">
                          <a:spLocks noChangeArrowheads="1"/>
                        </wps:cNvSpPr>
                        <wps:spPr bwMode="auto">
                          <a:xfrm>
                            <a:off x="17780" y="3305810"/>
                            <a:ext cx="47434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50351E" w:rsidRDefault="00670B40" w:rsidP="00335E4B">
                              <w:pPr>
                                <w:spacing w:line="300" w:lineRule="exact"/>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دخول الغاز</w:t>
                              </w:r>
                            </w:p>
                          </w:txbxContent>
                        </wps:txbx>
                        <wps:bodyPr rot="0" vert="horz" wrap="square" lIns="91440" tIns="45720" rIns="91440" bIns="45720" anchor="t" anchorCtr="0" upright="1">
                          <a:noAutofit/>
                        </wps:bodyPr>
                      </wps:wsp>
                      <wps:wsp>
                        <wps:cNvPr id="287" name="Text Box 53"/>
                        <wps:cNvSpPr txBox="1">
                          <a:spLocks noChangeArrowheads="1"/>
                        </wps:cNvSpPr>
                        <wps:spPr bwMode="auto">
                          <a:xfrm>
                            <a:off x="323215" y="2184400"/>
                            <a:ext cx="865506"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50351E" w:rsidRDefault="00670B40" w:rsidP="00335E4B">
                              <w:pPr>
                                <w:spacing w:line="300" w:lineRule="exact"/>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برج إزالة الزئبق</w:t>
                              </w:r>
                            </w:p>
                          </w:txbxContent>
                        </wps:txbx>
                        <wps:bodyPr rot="0" vert="horz" wrap="square" lIns="91440" tIns="45720" rIns="91440" bIns="45720" anchor="t" anchorCtr="0" upright="1">
                          <a:noAutofit/>
                        </wps:bodyPr>
                      </wps:wsp>
                      <wps:wsp>
                        <wps:cNvPr id="288" name="Straight Arrow Connector 55"/>
                        <wps:cNvCnPr>
                          <a:cxnSpLocks noChangeShapeType="1"/>
                        </wps:cNvCnPr>
                        <wps:spPr bwMode="auto">
                          <a:xfrm flipH="1">
                            <a:off x="3825591" y="2279216"/>
                            <a:ext cx="21" cy="337576"/>
                          </a:xfrm>
                          <a:prstGeom prst="straightConnector1">
                            <a:avLst/>
                          </a:prstGeom>
                          <a:noFill/>
                          <a:ln w="25400" cap="rnd" algn="ctr">
                            <a:solidFill>
                              <a:srgbClr val="1F497D"/>
                            </a:solidFill>
                            <a:round/>
                            <a:headEnd/>
                            <a:tailEnd type="triangle" w="lg" len="med"/>
                          </a:ln>
                          <a:extLst>
                            <a:ext uri="{909E8E84-426E-40DD-AFC4-6F175D3DCCD1}">
                              <a14:hiddenFill xmlns:a14="http://schemas.microsoft.com/office/drawing/2010/main">
                                <a:noFill/>
                              </a14:hiddenFill>
                            </a:ext>
                          </a:extLst>
                        </wps:spPr>
                        <wps:bodyPr/>
                      </wps:wsp>
                    </wpc:wpc>
                  </a:graphicData>
                </a:graphic>
              </wp:inline>
            </w:drawing>
          </mc:Choice>
          <mc:Fallback>
            <w:pict>
              <v:group id="Canvas 289" o:spid="_x0000_s1342" editas="canvas" style="width:462.55pt;height:513.7pt;mso-position-horizontal-relative:char;mso-position-vertical-relative:line" coordsize="58743,65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">
                <v:shape id="_x0000_s1343" type="#_x0000_t75" style="position:absolute;width:58743;height:65239;visibility:visible;mso-wrap-style:square" stroked="t">
                  <v:fill o:detectmouseclick="t"/>
                  <v:path o:connecttype="none"/>
                </v:shape>
                <v:rect id="Rectangle 4" o:spid="_x0000_s1344" style="position:absolute;left:14174;top:12780;width:6857;height:4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MhsIA&#10;AADcAAAADwAAAGRycy9kb3ducmV2LnhtbERPy2rCQBTdF/yH4Qrd1YlBi0RHKZFCi4XiY+Pukrkm&#10;sZk7YWby8O87i0KXh/Pe7EbTiJ6cry0rmM8SEMSF1TWXCi7n95cVCB+QNTaWScGDPOy2k6cNZtoO&#10;fKT+FEoRQ9hnqKAKoc2k9EVFBv3MtsSRu1lnMEToSqkdDjHcNDJNkldpsObYUGFLeUXFz6kzCq7L&#10;u/yu8wG7r8/9Ydk7m+QLq9TzdHxbgwg0hn/xn/tDK0gXcX4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0yGwgAAANwAAAAPAAAAAAAAAAAAAAAAAJgCAABkcnMvZG93&#10;bnJldi54bWxQSwUGAAAAAAQABAD1AAAAhwMAAAAA&#10;" filled="f" strokeweight="1pt"/>
                <v:rect id="Rectangle 5" o:spid="_x0000_s1345" style="position:absolute;left:14175;top:14728;width:6857;height:1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m9sYA&#10;AADcAAAADwAAAGRycy9kb3ducmV2LnhtbESPQWvCQBSE7wX/w/IKXopuYquU1FVEKRQ9SK3g9ZF9&#10;zabNvo3ZbRL/vSsUPA4z8w0zX/a2Ei01vnSsIB0nIIhzp0suFBy/3kevIHxA1lg5JgUX8rBcDB7m&#10;mGnX8Se1h1CICGGfoQITQp1J6XNDFv3Y1cTR+3aNxRBlU0jdYBfhtpKTJJlJiyXHBYM1rQ3lv4c/&#10;q2A3Nfnp/FN0+2mVbi9t/fy0MazU8LFfvYEI1Id7+L/9oRVMXlK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zm9sYAAADcAAAADwAAAAAAAAAAAAAAAACYAgAAZHJz&#10;L2Rvd25yZXYueG1sUEsFBgAAAAAEAAQA9QAAAIsDAAAAAA==&#10;" fillcolor="black" strokeweight="1pt">
                  <v:fill r:id="rId40" o:title="" type="pattern"/>
                </v:rect>
                <v:shapetype id="_x0000_t119" coordsize="21600,21600" o:spt="119" path="m,l21600,,17240,21600r-12880,xe">
                  <v:stroke joinstyle="miter"/>
                  <v:path gradientshapeok="t" o:connecttype="custom" o:connectlocs="10800,0;2180,10800;10800,21600;19420,10800" textboxrect="4321,0,17204,21600"/>
                </v:shapetype>
                <v:shape id="Flowchart: Manual Operation 6" o:spid="_x0000_s1346" type="#_x0000_t119" style="position:absolute;left:11887;top:17262;width:11432;height:342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XicQA&#10;AADcAAAADwAAAGRycy9kb3ducmV2LnhtbESPT2vCQBTE7wW/w/IEb3VjKBJSV2ktpR41KuT4mn0m&#10;wezbkN386bfvCoUeh5n5DbPZTaYRA3WutqxgtYxAEBdW11wquJw/nxMQziNrbCyTgh9ysNvOnjaY&#10;ajvyiYbMlyJA2KWooPK+TaV0RUUG3dK2xMG72c6gD7Irpe5wDHDTyDiK1tJgzWGhwpb2FRX3rDcK&#10;8uLrmusoPnuuy/zdfvTJ8btXajGf3l5BeJr8f/ivfdAK4pcYH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V4nEAAAA3AAAAA8AAAAAAAAAAAAAAAAAmAIAAGRycy9k&#10;b3ducmV2LnhtbFBLBQYAAAAABAAEAPUAAACJAwAAAAA=&#10;" filled="f" strokeweight="1pt"/>
                <v:rect id="Rectangle 7" o:spid="_x0000_s1347" style="position:absolute;left:11885;top:20688;width:11431;height:2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3S8cUA&#10;AADcAAAADwAAAGRycy9kb3ducmV2LnhtbESPQWvCQBSE74X+h+UVetONVqWkriKRQqVCaeylt0f2&#10;mUSzb8PumsR/3xWEHoeZ+YZZrgfTiI6cry0rmIwTEMSF1TWXCn4O76NXED4ga2wsk4IreVivHh+W&#10;mGrb8zd1eShFhLBPUUEVQptK6YuKDPqxbYmjd7TOYIjSlVI77CPcNHKaJAtpsOa4UGFLWUXFOb8Y&#10;Bb/zk/yqsx4v+932c945m2Qzq9Tz07B5AxFoCP/he/tDK5jOXu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dLxxQAAANwAAAAPAAAAAAAAAAAAAAAAAJgCAABkcnMv&#10;ZG93bnJldi54bWxQSwUGAAAAAAQABAD1AAAAigMAAAAA&#10;" filled="f" strokeweight="1pt"/>
                <v:rect id="Rectangle 8" o:spid="_x0000_s1348" style="position:absolute;left:11887;top:26196;width:11428;height:1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KhcUA&#10;AADcAAAADwAAAGRycy9kb3ducmV2LnhtbESPT2vCQBTE74V+h+UVvNWNEotEV5GUgtJC8c/F2yP7&#10;TKLZt2F3TeK37xYKPQ4z8xtmuR5MIzpyvrasYDJOQBAXVtdcKjgdP17nIHxA1thYJgUP8rBePT8t&#10;MdO25z11h1CKCGGfoYIqhDaT0hcVGfRj2xJH72KdwRClK6V22Ee4aeQ0Sd6kwZrjQoUt5RUVt8Pd&#10;KDjPrvK7znu8f+3eP2eds0meWqVGL8NmASLQEP7Df+2tVjBNU/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EqFxQAAANwAAAAPAAAAAAAAAAAAAAAAAJgCAABkcnMv&#10;ZG93bnJldi54bWxQSwUGAAAAAAQABAD1AAAAigMAAAAA&#10;" filled="f" strokeweight="1pt"/>
                <v:line id="Straight Connector 9" o:spid="_x0000_s1349" style="position:absolute;visibility:visible;mso-wrap-style:square" from="11887,26195" to="23314,3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dQ8UAAADcAAAADwAAAGRycy9kb3ducmV2LnhtbESP3WoCMRSE7wXfIRyhdzWrtK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jdQ8UAAADcAAAADwAAAAAAAAAA&#10;AAAAAAChAgAAZHJzL2Rvd25yZXYueG1sUEsFBgAAAAAEAAQA+QAAAJMDAAAAAA==&#10;" strokeweight="1pt"/>
                <v:line id="Straight Connector 10" o:spid="_x0000_s1350" style="position:absolute;flip:x;visibility:visible;mso-wrap-style:square" from="11887,26195" to="23313,3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ApLMUAAADcAAAADwAAAGRycy9kb3ducmV2LnhtbESPS4vCMBSF9wP+h3AFN4OmylC0GkUE&#10;QYRZ+IDq7tJc22pzU5poO/9+IgzM8nAeH2ex6kwlXtS40rKC8SgCQZxZXXKu4HzaDqcgnEfWWFkm&#10;BT/kYLXsfSww0bblA72OPhdhhF2CCgrv60RKlxVk0I1sTRy8m20M+iCbXOoG2zBuKjmJolgaLDkQ&#10;CqxpU1D2OD5NgNw3+fX7Tlk6S+t9G48/28vlqdSg363nIDx1/j/8195pBZOv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ApLMUAAADcAAAADwAAAAAAAAAA&#10;AAAAAAChAgAAZHJzL2Rvd25yZXYueG1sUEsFBgAAAAAEAAQA+QAAAJMDAAAAAA==&#10;" strokeweight="1pt"/>
                <v:rect id="Rectangle 11" o:spid="_x0000_s1351" style="position:absolute;left:5030;top:37626;width:6856;height: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U8sUA&#10;AADcAAAADwAAAGRycy9kb3ducmV2LnhtbESPQWvCQBSE74X+h+UVetONolWiq5SUQouFUvXi7ZF9&#10;JtHs27C7JvHfu4LQ4zAz3zDLdW9q0ZLzlWUFo2ECgji3uuJCwX73OZiD8AFZY22ZFFzJw3r1/LTE&#10;VNuO/6jdhkJECPsUFZQhNKmUPi/JoB/ahjh6R+sMhihdIbXDLsJNLcdJ8iYNVhwXSmwoKyk/by9G&#10;wWF6kr9V1uHl5/tjM22dTbKJVer1pX9fgAjUh//wo/2lFYwnM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tTyxQAAANwAAAAPAAAAAAAAAAAAAAAAAJgCAABkcnMv&#10;ZG93bnJldi54bWxQSwUGAAAAAAQABAD1AAAAigMAAAAA&#10;" fill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352" type="#_x0000_t5" style="position:absolute;left:11885;top:42197;width:11427;height:457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GucMA&#10;AADcAAAADwAAAGRycy9kb3ducmV2LnhtbERPy2rCQBTdF/yH4Ra6EZ0YRCQ6ilr6oLgxSta3mdsk&#10;NHMnzExN7Nd3FkKXh/NebwfTiis531hWMJsmIIhLqxuuFFzOL5MlCB+QNbaWScGNPGw3o4c1Ztr2&#10;fKJrHioRQ9hnqKAOocuk9GVNBv3UdsSR+7LOYIjQVVI77GO4aWWaJAtpsOHYUGNHh5rK7/zHKCg+&#10;j30a3trFUPzul+OPXfGcu1elnh6H3QpEoCH8i+/ud60gnce18U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GucMAAADcAAAADwAAAAAAAAAAAAAAAACYAgAAZHJzL2Rv&#10;d25yZXYueG1sUEsFBgAAAAAEAAQA9QAAAIgDAAAAAA==&#10;" filled="f" strokeweight="1pt"/>
                <v:rect id="Rectangle 13" o:spid="_x0000_s1353" style="position:absolute;left:16220;top:53783;width:11672;height:9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lG8UA&#10;AADcAAAADwAAAGRycy9kb3ducmV2LnhtbESPQWvCQBSE74X+h+UVetONokWjq5SUQouFUvXi7ZF9&#10;JtHs27C7JvHfu4LQ4zAz3zDLdW9q0ZLzlWUFo2ECgji3uuJCwX73OZiB8AFZY22ZFFzJw3r1/LTE&#10;VNuO/6jdhkJECPsUFZQhNKmUPi/JoB/ahjh6R+sMhihdIbXDLsJNLcdJ8iYNVhwXSmwoKyk/by9G&#10;wWF6kr9V1uHl5/tjM22dTbKJVer1pX9fgAjUh//wo/2lFYwnc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eUbxQAAANwAAAAPAAAAAAAAAAAAAAAAAJgCAABkcnMv&#10;ZG93bnJldi54bWxQSwUGAAAAAAQABAD1AAAAigMAAAAA&#10;" filled="f" strokeweight="1pt"/>
                <v:shape id="Isosceles Triangle 16" o:spid="_x0000_s1354" type="#_x0000_t5" style="position:absolute;left:33213;top:30769;width:10296;height:228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cYsMA&#10;AADcAAAADwAAAGRycy9kb3ducmV2LnhtbERPy2rCQBTdF/yH4Ra6EZ0YUCQ6ilr6oLgxSta3mdsk&#10;NHMnzExN7Nd3FkKXh/NebwfTiis531hWMJsmIIhLqxuuFFzOL5MlCB+QNbaWScGNPGw3o4c1Ztr2&#10;fKJrHioRQ9hnqKAOocuk9GVNBv3UdsSR+7LOYIjQVVI77GO4aWWaJAtpsOHYUGNHh5rK7/zHKCg+&#10;j30a3trFUPzul+OPXfGcu1elnh6H3QpEoCH8i+/ud60gncf58U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9cYsMAAADcAAAADwAAAAAAAAAAAAAAAACYAgAAZHJzL2Rv&#10;d25yZXYueG1sUEsFBgAAAAAEAAQA9QAAAIgDAAAAAA==&#10;" filled="f" strokeweight="1pt"/>
                <v:group id="Group 19" o:spid="_x0000_s1355" style="position:absolute;left:48468;top:59552;width:2683;height:3372" coordorigin="30510,59552" coordsize="2682,3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lowchart: Manual Operation 17" o:spid="_x0000_s1356" type="#_x0000_t119" style="position:absolute;left:30511;top:61751;width:2681;height:117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BVMQA&#10;AADcAAAADwAAAGRycy9kb3ducmV2LnhtbESPT2vCQBTE7wW/w/IEb3VjoBJSV2ktpR41KuT4mn0m&#10;wezbkN386bfvCoUeh5n5DbPZTaYRA3WutqxgtYxAEBdW11wquJw/nxMQziNrbCyTgh9ysNvOnjaY&#10;ajvyiYbMlyJA2KWooPK+TaV0RUUG3dK2xMG72c6gD7Irpe5wDHDTyDiK1tJgzWGhwpb2FRX3rDcK&#10;8uLrmusoPnuuy/zdfvTJ8btXajGf3l5BeJr8f/ivfdAK4pcYH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UwVTEAAAA3AAAAA8AAAAAAAAAAAAAAAAAmAIAAGRycy9k&#10;b3ducmV2LnhtbFBLBQYAAAAABAAEAPUAAACJAwAAAAA=&#10;" filled="f" strokeweight="1pt"/>
                  <v:oval id="Oval 18" o:spid="_x0000_s1357" style="position:absolute;left:30510;top:59552;width:2680;height:2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sGMYA&#10;AADcAAAADwAAAGRycy9kb3ducmV2LnhtbESP3WrCQBSE7wu+w3KE3pS6MUErqauIUBC8kGof4DR7&#10;mo1mz4bs5se37xaEXg4z8w2z3o62Fj21vnKsYD5LQBAXTldcKvi6fLyuQPiArLF2TAru5GG7mTyt&#10;Mddu4E/qz6EUEcI+RwUmhCaX0heGLPqZa4ij9+NaiyHKtpS6xSHCbS3TJFlKixXHBYMN7Q0Vt3Nn&#10;FWTHW/VSXI6rZfpmFt/NqbvOd6TU83TcvYMINIb/8KN90ArSRQZ/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osGMYAAADcAAAADwAAAAAAAAAAAAAAAACYAgAAZHJz&#10;L2Rvd25yZXYueG1sUEsFBgAAAAAEAAQA9QAAAIsDAAAAAA==&#10;" strokeweight="1pt"/>
                </v:group>
                <v:line id="Straight Connector 20" o:spid="_x0000_s1358" style="position:absolute;flip:y;visibility:visible;mso-wrap-style:square" from="14175,22765" to="23319,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EHcYAAADcAAAADwAAAGRycy9kb3ducmV2LnhtbESPzWrCQBSF94W+w3AL3ZQ6SbChRsdQ&#10;AgURuqgK6u6SuSaxmTshM5r49p1CweXh/HycRT6aVlypd41lBfEkAkFcWt1wpWC3/Xx9B+E8ssbW&#10;Mim4kYN8+fiwwEzbgb/puvGVCCPsMlRQe99lUrqyJoNuYjvi4J1sb9AH2VdS9ziEcdPKJIpSabDh&#10;QKixo6Km8mdzMQFyLqrj15nK/WzfrYc0fhkOh4tSz0/jxxyEp9Hfw//tlVaQvE3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3hB3GAAAA3AAAAA8AAAAAAAAA&#10;AAAAAAAAoQIAAGRycy9kb3ducmV2LnhtbFBLBQYAAAAABAAEAPkAAACUAwAAAAA=&#10;" strokeweight="1pt"/>
                <v:group id="Group 24" o:spid="_x0000_s1359" style="position:absolute;left:13032;top:22768;width:2287;height:1144" coordorigin="27888,18221" coordsize="2287,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line id="Straight Connector 21" o:spid="_x0000_s1360" style="position:absolute;flip:y;visibility:visible;mso-wrap-style:square" from="27888,18221" to="29032,1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8cUAAADcAAAADwAAAGRycy9kb3ducmV2LnhtbESPS4vCMBSF9wP+h3AFN4OmClO0GkUE&#10;QYRZ+IDq7tJc22pzU5poO/9+IgzM8nAeH2ex6kwlXtS40rKC8SgCQZxZXXKu4HzaDqcgnEfWWFkm&#10;BT/kYLXsfSww0bblA72OPhdhhF2CCgrv60RKlxVk0I1sTRy8m20M+iCbXOoG2zBuKjmJolgaLDkQ&#10;CqxpU1D2OD5NgNw3+fX7Tlk6S+t9G48/28vlqdSg363nIDx1/j/8195pBZOv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m/8cUAAADcAAAADwAAAAAAAAAA&#10;AAAAAAChAgAAZHJzL2Rvd25yZXYueG1sUEsFBgAAAAAEAAQA+QAAAJMDAAAAAA==&#10;" strokeweight="1pt"/>
                  <v:line id="Straight Connector 22" o:spid="_x0000_s1361" style="position:absolute;visibility:visible;mso-wrap-style:square" from="29032,18222" to="30175,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9wcsUAAADcAAAADwAAAGRycy9kb3ducmV2LnhtbESP3WoCMRSE7wXfIRyhdzWr0K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9wcsUAAADcAAAADwAAAAAAAAAA&#10;AAAAAAChAgAAZHJzL2Rvd25yZXYueG1sUEsFBgAAAAAEAAQA+QAAAJMDAAAAAA==&#10;" strokeweight="1pt"/>
                </v:group>
                <v:group id="Group 25" o:spid="_x0000_s1362" style="position:absolute;left:19891;top:22767;width:2287;height:1145" coordorigin="27888,18221" coordsize="2287,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line id="Straight Connector 26" o:spid="_x0000_s1363" style="position:absolute;flip:y;visibility:visible;mso-wrap-style:square" from="27888,18221" to="29032,1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rg8UAAADcAAAADwAAAGRycy9kb3ducmV2LnhtbESPS4vCMBSF98L8h3AH3MiYKijaaZRB&#10;EERw4QN0dpfmTh/T3JQm2vrvjSC4PJzHx0mWnanEjRpXWFYwGkYgiFOrC84UnI7rrxkI55E1VpZJ&#10;wZ0cLBcfvQRjbVve0+3gMxFG2MWoIPe+jqV0aU4G3dDWxMH7s41BH2STSd1gG8ZNJcdRNJUGCw6E&#10;HGta5ZT+H64mQMpV9rsrKT3Pz/W2nY4G7eVyVar/2f18g/DU+Xf41d5oBePJH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Yrg8UAAADcAAAADwAAAAAAAAAA&#10;AAAAAAChAgAAZHJzL2Rvd25yZXYueG1sUEsFBgAAAAAEAAQA+QAAAJMDAAAAAA==&#10;" strokeweight="1pt"/>
                  <v:line id="Straight Connector 27" o:spid="_x0000_s1364" style="position:absolute;visibility:visible;mso-wrap-style:square" from="29032,18222" to="30175,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iu8IAAADcAAAADwAAAGRycy9kb3ducmV2LnhtbERPS27CMBDdV+IO1iB1VxxYoDbEiRBQ&#10;qaiLqsABJvEQB+JxZLuQ9vT1olKXT+9fVKPtxY186BwrmM8yEMSN0x23Ck7H16dnECEia+wdk4Jv&#10;ClCVk4cCc+3u/Em3Q2xFCuGQowIT45BLGRpDFsPMDcSJOztvMSboW6k93lO47eUiy5bSYsepweBA&#10;G0PN9fBlFex9/X6d/7RG1rz3u/5j+xLsRanH6bhegYg0xn/xn/tNK1gs0/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oiu8IAAADcAAAADwAAAAAAAAAAAAAA&#10;AAChAgAAZHJzL2Rvd25yZXYueG1sUEsFBgAAAAAEAAQA+QAAAJADAAAAAA==&#10;" strokeweight="1pt"/>
                </v:group>
                <v:group id="Group 28" o:spid="_x0000_s1365" style="position:absolute;left:16626;top:22769;width:2287;height:1145" coordorigin="27888,18221" coordsize="2287,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line id="Straight Connector 29" o:spid="_x0000_s1366" style="position:absolute;flip:y;visibility:visible;mso-wrap-style:square" from="27888,18221" to="29032,1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zT8QAAADcAAAADwAAAGRycy9kb3ducmV2LnhtbESPzYrCMBSF9wO+Q7iCm0FTuyhjNYoI&#10;wjDgQkdQd5fm2labm9JEW9/eCILLw/n5OLNFZypxp8aVlhWMRxEI4szqknMF+//18AeE88gaK8uk&#10;4EEOFvPe1wxTbVve0n3ncxFG2KWooPC+TqV0WUEG3cjWxME728agD7LJpW6wDeOmknEUJdJgyYFQ&#10;YE2rgrLr7mYC5LLKT5sLZYfJof5rk/F3ezzelBr0u+UUhKfOf8Lv9q9WECcx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NPxAAAANwAAAAPAAAAAAAAAAAA&#10;AAAAAKECAABkcnMvZG93bnJldi54bWxQSwUGAAAAAAQABAD5AAAAkgMAAAAA&#10;" strokeweight="1pt"/>
                  <v:line id="Straight Connector 30" o:spid="_x0000_s1367" style="position:absolute;visibility:visible;mso-wrap-style:square" from="29032,18222" to="30175,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i8zMUAAADcAAAADwAAAGRycy9kb3ducmV2LnhtbESP0WoCMRRE3wv9h3ALvtWsCtKuZpfS&#10;Vqj4ULR+wHVz3axubpYk6tavN0Khj8PMnGHmZW9bcSYfGscKRsMMBHHldMO1gu3P4vkFRIjIGlvH&#10;pOCXApTF48Mcc+0uvKbzJtYiQTjkqMDE2OVShsqQxTB0HXHy9s5bjEn6WmqPlwS3rRxn2VRabDgt&#10;GOzo3VB13JysgqXfrY6ja23kjpf+s/3+eA32oNTgqX+bgYjUx//wX/tLKxh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i8zMUAAADcAAAADwAAAAAAAAAA&#10;AAAAAAChAgAAZHJzL2Rvd25yZXYueG1sUEsFBgAAAAAEAAQA+QAAAJMDAAAAAA==&#10;" strokeweight="1pt"/>
                </v:group>
                <v:shape id="Straight Arrow Connector 32" o:spid="_x0000_s1368" type="#_x0000_t32" style="position:absolute;left:38253;top:33057;width:5;height:9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SEMcUAAADcAAAADwAAAGRycy9kb3ducmV2LnhtbESPQWvCQBSE70L/w/KEXqRulBLb1FWK&#10;ULCnYkzvz+xrEsy+DbtrEvvruwXB4zAz3zDr7Wha0ZPzjWUFi3kCgri0uuFKQXH8eHoB4QOyxtYy&#10;KbiSh+3mYbLGTNuBD9TnoRIRwj5DBXUIXSalL2sy6Oe2I47ej3UGQ5SuktrhEOGmlcskSaXBhuNC&#10;jR3tairP+cUo2LenYTVLXi/f6fXX5QX1n3T6UupxOr6/gQg0hnv41t5rBcv0Gf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SEMcUAAADcAAAADwAAAAAAAAAA&#10;AAAAAAChAgAAZHJzL2Rvd25yZXYueG1sUEsFBgAAAAAEAAQA+QAAAJMDAAAAAA==&#10;" strokecolor="#1f497d" strokeweight="2pt">
                  <v:stroke endarrow="block" endarrowwidth="wide" endcap="round"/>
                </v:shape>
                <v:shape id="Straight Arrow Connector 33" o:spid="_x0000_s1369" type="#_x0000_t32" style="position:absolute;left:17606;top:46771;width:5;height:7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ghqsUAAADcAAAADwAAAGRycy9kb3ducmV2LnhtbESPQWvCQBSE70L/w/KEXqRuFBrb1FWK&#10;ULCnYkzvz+xrEsy+DbtrEvvruwXB4zAz3zDr7Wha0ZPzjWUFi3kCgri0uuFKQXH8eHoB4QOyxtYy&#10;KbiSh+3mYbLGTNuBD9TnoRIRwj5DBXUIXSalL2sy6Oe2I47ej3UGQ5SuktrhEOGmlcskSaXBhuNC&#10;jR3tairP+cUo2LenYTVLXi/f6fXX5QX1n3T6UupxOr6/gQg0hnv41t5rBcv0Gf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ghqsUAAADcAAAADwAAAAAAAAAA&#10;AAAAAAChAgAAZHJzL2Rvd25yZXYueG1sUEsFBgAAAAAEAAQA+QAAAJMDAAAAAA==&#10;" strokecolor="#1f497d" strokeweight="2pt">
                  <v:stroke endarrow="block" endarrowwidth="wide" endcap="round"/>
                </v:shape>
                <v:shape id="Straight Arrow Connector 34" o:spid="_x0000_s1370" type="#_x0000_t32" style="position:absolute;left:26754;top:46796;width:0;height:69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3cQAAADcAAAADwAAAGRycy9kb3ducmV2LnhtbESPQWvCQBSE70L/w/IKXqRu9BDb1FVE&#10;EPQkpvb+zL4modm3YXdNYn99VxA8DjPzDbNcD6YRHTlfW1YwmyYgiAuray4VnL92b+8gfEDW2Fgm&#10;BTfysF69jJaYadvzibo8lCJC2GeooAqhzaT0RUUG/dS2xNH7sc5giNKVUjvsI9w0cp4kqTRYc1yo&#10;sKVtRcVvfjUK9s2lX0ySj+t3evtz+Zm6A12OSo1fh80niEBDeIYf7b1WME9TuJ+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r/dxAAAANwAAAAPAAAAAAAAAAAA&#10;AAAAAKECAABkcnMvZG93bnJldi54bWxQSwUGAAAAAAQABAD5AAAAkgMAAAAA&#10;" strokecolor="#1f497d" strokeweight="2pt">
                  <v:stroke endarrow="block" endarrowwidth="wide" endcap="round"/>
                </v:shape>
                <v:shape id="Straight Arrow Connector 35" o:spid="_x0000_s1371" type="#_x0000_t32" style="position:absolute;left:24468;top:27499;width:0;height:262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aRsQAAADcAAAADwAAAGRycy9kb3ducmV2LnhtbESPQWvCQBSE7wX/w/KEXkrd6CHa1FVE&#10;KOipNOr9mX1Ngtm3YXdNor++WxA8DjPzDbNcD6YRHTlfW1YwnSQgiAuray4VHA9f7wsQPiBrbCyT&#10;ght5WK9GL0vMtO35h7o8lCJC2GeooAqhzaT0RUUG/cS2xNH7tc5giNKVUjvsI9w0cpYkqTRYc1yo&#10;sKVtRcUlvxoFu+bcz9+Sj+spvd1dfqRuT+dvpV7Hw+YTRKAhPMOP9k4rmKVz+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hpGxAAAANwAAAAPAAAAAAAAAAAA&#10;AAAAAKECAABkcnMvZG93bnJldi54bWxQSwUGAAAAAAQABAD5AAAAkgMAAAAA&#10;" strokecolor="#1f497d" strokeweight="2pt">
                  <v:stroke endarrow="block" endarrowwidth="wide" endcap="round"/>
                </v:shape>
                <v:shape id="Straight Arrow Connector 36" o:spid="_x0000_s1372" type="#_x0000_t32" style="position:absolute;left:26748;top:46764;width:64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zMYAAADcAAAADwAAAGRycy9kb3ducmV2LnhtbESPwWrCQBCG7wXfYRmhl1I3KqQluopI&#10;S0sEi7YXb0N2TILZ2ZDdavTpnUOhx+Gf/5v55sveNepMXag9GxiPElDEhbc1lwZ+vt+fX0GFiGyx&#10;8UwGrhRguRg8zDGz/sI7Ou9jqQTCIUMDVYxtpnUoKnIYRr4lluzoO4dRxq7UtsOLwF2jJ0mSaoc1&#10;y4UKW1pXVJz2v87A2ybfvTzl+vp1uMVjnm6ngvsw5nHYr2agIvXxf/mv/WkNTFL5VmREBP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xaczGAAAA3AAAAA8AAAAAAAAA&#10;AAAAAAAAoQIAAGRycy9kb3ducmV2LnhtbFBLBQYAAAAABAAEAPkAAACUAwAAAAA=&#10;" strokecolor="#1f497d" strokeweight="2pt">
                  <v:stroke endarrowwidth="wide" endcap="round"/>
                </v:shape>
                <v:rect id="Rectangle 15" o:spid="_x0000_s1373" style="position:absolute;left:33213;top:42199;width:10247;height:6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i8UA&#10;AADcAAAADwAAAGRycy9kb3ducmV2LnhtbESPzWrDMBCE74G+g9hCbrFcH0LjWjYhtNBDL3Z7SG+L&#10;tbFNrJWxVP/k6atCIcdhZr5hsmIxvZhodJ1lBU9RDIK4trrjRsHX59vuGYTzyBp7y6RgJQdF/rDJ&#10;MNV25pKmyjciQNilqKD1fkildHVLBl1kB+LgXexo0Ac5NlKPOAe46WUSx3tpsOOw0OJAp5bqa/Vj&#10;FGC1fK/rep5nWfZx93orh+qjVGr7uBxfQHha/D38337XCpL9Af7Oh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4qLxQAAANwAAAAPAAAAAAAAAAAAAAAAAJgCAABkcnMv&#10;ZG93bnJldi54bWxQSwUGAAAAAAQABAD1AAAAigMAAAAA&#10;" strokeweight="1pt">
                  <v:textbox>
                    <w:txbxContent>
                      <w:p w:rsidR="0093783C" w:rsidRPr="00E16C5A" w:rsidRDefault="0093783C" w:rsidP="00335E4B">
                        <w:pPr>
                          <w:rPr>
                            <w:sz w:val="16"/>
                            <w:szCs w:val="16"/>
                            <w:lang w:val="en-CA"/>
                          </w:rPr>
                        </w:pPr>
                      </w:p>
                    </w:txbxContent>
                  </v:textbox>
                </v:rect>
                <v:shape id="Straight Arrow Connector 37" o:spid="_x0000_s1374" type="#_x0000_t32" style="position:absolute;left:24466;top:27499;width:8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F8cAAADcAAAADwAAAGRycy9kb3ducmV2LnhtbESPTWvCQBCG7wX/wzKCl6KbWlCJriKl&#10;pSVCix8Xb0N2TILZ2ZBdNfbXO4dCj8M77zPzLFadq9WV2lB5NvAySkAR595WXBg47D+GM1AhIlus&#10;PZOBOwVYLXtPC0ytv/GWrrtYKIFwSNFAGWOTah3ykhyGkW+IJTv51mGUsS20bfEmcFfrcZJMtMOK&#10;5UKJDb2VlJ93F2fgfZNtp8+Zvv8cf+Mpm3y/Cu7TmEG/W89BReri//Jf+8saGE/lfZEREd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XvMXxwAAANwAAAAPAAAAAAAA&#10;AAAAAAAAAKECAABkcnMvZG93bnJldi54bWxQSwUGAAAAAAQABAD5AAAAlQMAAAAA&#10;" strokecolor="#1f497d" strokeweight="2pt">
                  <v:stroke endarrowwidth="wide" endcap="round"/>
                </v:shape>
                <v:rect id="Rectangle 14" o:spid="_x0000_s1375" style="position:absolute;left:33259;top:26196;width:10288;height:4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QUMIA&#10;AADcAAAADwAAAGRycy9kb3ducmV2LnhtbESPQYvCMBSE7wv+h/AEb2uqB12qUUQUPHhp9aC3R/Ns&#10;i81LaaJt/fVGEPY4zMw3zHLdmUo8qXGlZQWTcQSCOLO65FzB+bT//QPhPLLGyjIp6MnBejX4WWKs&#10;bcsJPVOfiwBhF6OCwvs6ltJlBRl0Y1sTB+9mG4M+yCaXusE2wE0lp1E0kwZLDgsF1rQtKLunD6MA&#10;0+7a9/2lbWVSReXuldTpMVFqNOw2CxCeOv8f/rYPWsF0PoHP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BBQwgAAANwAAAAPAAAAAAAAAAAAAAAAAJgCAABkcnMvZG93&#10;bnJldi54bWxQSwUGAAAAAAQABAD1AAAAhwMAAAAA&#10;" strokeweight="1pt"/>
                <v:shape id="Straight Arrow Connector 38" o:spid="_x0000_s1376" type="#_x0000_t32" style="position:absolute;left:27886;top:60505;width:205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gvA8QAAADcAAAADwAAAGRycy9kb3ducmV2LnhtbESPQWvCQBSE7wX/w/KEXkrdmIPa1FVE&#10;KOipNOr9mX1Ngtm3YXdNor++WxA8DjPzDbNcD6YRHTlfW1YwnSQgiAuray4VHA9f7wsQPiBrbCyT&#10;ght5WK9GL0vMtO35h7o8lCJC2GeooAqhzaT0RUUG/cS2xNH7tc5giNKVUjvsI9w0Mk2SmTRYc1yo&#10;sKVtRcUlvxoFu+bcz9+Sj+tpdru7/Ejdns7fSr2Oh80niEBDeIYf7Z1WkM5T+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C8DxAAAANwAAAAPAAAAAAAAAAAA&#10;AAAAAKECAABkcnMvZG93bnJldi54bWxQSwUGAAAAAAQABAD5AAAAkgMAAAAA&#10;" strokecolor="#1f497d" strokeweight="2pt">
                  <v:stroke endarrow="block" endarrowwidth="wide" endcap="round"/>
                </v:shape>
                <v:shape id="Straight Arrow Connector 39" o:spid="_x0000_s1377" type="#_x0000_t32" style="position:absolute;left:51148;top:22793;width:0;height:377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fF8IAAADcAAAADwAAAGRycy9kb3ducmV2LnhtbESPQYvCMBSE74L/ITxhb5rqgko1igiC&#10;4GGxKuLt0TzbavNSmmjrv98IgsdhZr5h5svWlOJJtSssKxgOIhDEqdUFZwqOh01/CsJ5ZI2lZVLw&#10;IgfLRbczx1jbhvf0THwmAoRdjApy76tYSpfmZNANbEUcvKutDfog60zqGpsAN6UcRdFYGiw4LORY&#10;0Tqn9J48jIKb2Z3G8oJ0fmmZXA02f6cmU+qn165mIDy1/hv+tLdawWjyC+8z4Qj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yfF8IAAADcAAAADwAAAAAAAAAAAAAA&#10;AAChAgAAZHJzL2Rvd25yZXYueG1sUEsFBgAAAAAEAAQA+QAAAJADAAAAAA==&#10;" strokecolor="#1f497d" strokeweight="2pt">
                  <v:stroke endarrowwidth="wide" endcap="round"/>
                </v:shape>
                <v:shape id="Straight Arrow Connector 40" o:spid="_x0000_s1378" type="#_x0000_t32" style="position:absolute;left:23311;top:22792;width:278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LFscAAADcAAAADwAAAGRycy9kb3ducmV2LnhtbESPQWsCMRCF7wX/QxjBW81WlrasRimK&#10;WvFQaqXqbdiMm8XNZN2kuv77Rij0+HjzvjdvNGltJS7U+NKxgqd+AoI4d7rkQsH2a/74CsIHZI2V&#10;Y1JwIw+TcedhhJl2V/6kyyYUIkLYZ6jAhFBnUvrckEXfdzVx9I6usRiibAqpG7xGuK3kIEmepcWS&#10;Y4PBmqaG8tPmx8Y3trv0vFx/m8NHOZueDot0sTrvlep127chiEBt+D/+S79rBYOXFO5jIgH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UsWxwAAANwAAAAPAAAAAAAA&#10;AAAAAAAAAKECAABkcnMvZG93bnJldi54bWxQSwUGAAAAAAQABAD5AAAAlQMAAAAA&#10;" strokecolor="#1f497d" strokeweight="2pt">
                  <v:stroke endarrow="block" endarrowwidth="wide" endcap="round"/>
                </v:shape>
                <v:shape id="Straight Arrow Connector 41" o:spid="_x0000_s1379" type="#_x0000_t32" style="position:absolute;left:34750;top:38795;width:0;height:3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3d8UAAADcAAAADwAAAGRycy9kb3ducmV2LnhtbESPT2vCQBTE7wW/w/IEL0U3Feqf6CpS&#10;EPRUmur9mX0mwezbsLsm0U/fLRR6HGbmN8x625tatOR8ZVnB2yQBQZxbXXGh4PS9Hy9A+ICssbZM&#10;Ch7kYbsZvKwx1bbjL2qzUIgIYZ+igjKEJpXS5yUZ9BPbEEfvap3BEKUrpHbYRbip5TRJZtJgxXGh&#10;xIY+Sspv2d0oONSXbv6aLO/n2ePpshO1R7p8KjUa9rsViEB9+A//tQ9awXT+D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G3d8UAAADcAAAADwAAAAAAAAAA&#10;AAAAAAChAgAAZHJzL2Rvd25yZXYueG1sUEsFBgAAAAAEAAQA+QAAAJMDAAAAAA==&#10;" strokecolor="#1f497d" strokeweight="2pt">
                  <v:stroke endarrow="block" endarrowwidth="wide" endcap="round"/>
                </v:shape>
                <v:shape id="Straight Arrow Connector 42" o:spid="_x0000_s1380" type="#_x0000_t32" style="position:absolute;left:38253;top:37426;width:457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pAMQAAADcAAAADwAAAGRycy9kb3ducmV2LnhtbESPQWvCQBSE7wX/w/KEXkrd6CHa1FVE&#10;KOipNOr9mX1Ngtm3YXdNor++WxA8DjPzDbNcD6YRHTlfW1YwnSQgiAuray4VHA9f7wsQPiBrbCyT&#10;ght5WK9GL0vMtO35h7o8lCJC2GeooAqhzaT0RUUG/cS2xNH7tc5giNKVUjvsI9w0cpYkqTRYc1yo&#10;sKVtRcUlvxoFu+bcz9+Sj+spvd1dfqRuT+dvpV7Hw+YTRKAhPMOP9k4rmM1T+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8ykAxAAAANwAAAAPAAAAAAAAAAAA&#10;AAAAAKECAABkcnMvZG93bnJldi54bWxQSwUGAAAAAAQABAD5AAAAkgMAAAAA&#10;" strokecolor="#1f497d" strokeweight="2pt">
                  <v:stroke endarrow="block" endarrowwidth="wide" endcap="round"/>
                </v:shape>
                <v:shape id="Straight Arrow Connector 43" o:spid="_x0000_s1381" type="#_x0000_t32" style="position:absolute;left:1600;top:38853;width:33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Mm8QAAADcAAAADwAAAGRycy9kb3ducmV2LnhtbESPQWvCQBSE7wX/w/IKvZS6qQdjo6tI&#10;oWBPYtT7M/tMQrNvw+6axP56VxA8DjPzDbNYDaYRHTlfW1bwOU5AEBdW11wqOOx/PmYgfEDW2Fgm&#10;BVfysFqOXhaYadvzjro8lCJC2GeooAqhzaT0RUUG/di2xNE7W2cwROlKqR32EW4aOUmSqTRYc1yo&#10;sKXvioq//GIUbJpTn74nX5fj9Prv8gN1v3TaKvX2OqznIAIN4Rl+tDdawSRN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v4ybxAAAANwAAAAPAAAAAAAAAAAA&#10;AAAAAKECAABkcnMvZG93bnJldi54bWxQSwUGAAAAAAQABAD5AAAAkgMAAAAA&#10;" strokecolor="#1f497d" strokeweight="2pt">
                  <v:stroke endarrow="block" endarrowwidth="wide" endcap="round"/>
                </v:shape>
                <v:shape id="Straight Arrow Connector 44" o:spid="_x0000_s1382" type="#_x0000_t32" style="position:absolute;left:17769;top:7337;width:0;height:31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BE8gAAADcAAAADwAAAGRycy9kb3ducmV2LnhtbESPwU4CQQyG7ya8w6Qk3GRWQsSsDMRA&#10;AA0HIhKVW7NTdzbsdJadEda3twcTj83f/+vX6bzztbpQG6vABu6GGSjiItiKSwOHt9XtA6iYkC3W&#10;gcnAD0WYz3o3U8xtuPIrXfapVALhmKMBl1KTax0LRx7jMDTEkn2F1mOSsS21bfEqcF/rUZbda48V&#10;ywWHDS0cFaf9txeNw8f4vNm+u+OuWi5Ox/V4/XL+NGbQ754eQSXq0v/yX/vZGhhNxFaeEQLo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hBE8gAAADcAAAADwAAAAAA&#10;AAAAAAAAAAChAgAAZHJzL2Rvd25yZXYueG1sUEsFBgAAAAAEAAQA+QAAAJYDAAAAAA==&#10;" strokecolor="#1f497d" strokeweight="2pt">
                  <v:stroke endarrow="block" endarrowwidth="wide" endcap="round"/>
                </v:shape>
                <v:shape id="Flowchart: Manual Operation 3" o:spid="_x0000_s1383" type="#_x0000_t119" style="position:absolute;left:14175;top:10494;width:6857;height:228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TlcMA&#10;AADcAAAADwAAAGRycy9kb3ducmV2LnhtbESPS2vDMBCE74H8B7GB3hI5oeThWg6hxdBCL3ndF2tr&#10;u5VWRlId599XhUKPw+x8s1PsR2vEQD50jhUsFxkI4trpjhsFl3M134IIEVmjcUwK7hRgX04nBeba&#10;3fhIwyk2IkE45KigjbHPpQx1SxbDwvXEyftw3mJM0jdSe7wluDVylWVrabHj1NBiT88t1V+nb5ve&#10;qEz1/mg++boOb4Pz0nT3l0qph9l4eAIRaYz/x3/pV61gtdnB75hE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BTlcMAAADcAAAADwAAAAAAAAAAAAAAAACYAgAAZHJzL2Rv&#10;d25yZXYueG1sUEsFBgAAAAAEAAQA9QAAAIgDAAAAAA==&#10;" strokeweight="1pt"/>
                <v:shape id="Text Box 45" o:spid="_x0000_s1384" type="#_x0000_t202" style="position:absolute;left:14166;top:3651;width:751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oJcMA&#10;AADcAAAADwAAAGRycy9kb3ducmV2LnhtbERPTWvCQBC9F/wPywi91Y2BlhBdQwhIi7SHqBdvY3ZM&#10;gtnZmF1N2l/fPRR6fLzvdTaZTjxocK1lBctFBIK4srrlWsHxsH1JQDiPrLGzTAq+yUG2mT2tMdV2&#10;5JIee1+LEMIuRQWN930qpasaMugWticO3MUOBn2AQy31gGMIN52Mo+hNGmw5NDTYU9FQdd3fjYJd&#10;sf3C8hyb5Kcr3j8veX87nl6Vep5P+QqEp8n/i//cH1pBnIT5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JoJcMAAADcAAAADwAAAAAAAAAAAAAAAACYAgAAZHJzL2Rv&#10;d25yZXYueG1sUEsFBgAAAAAEAAQA9QAAAIgDAAAAAA==&#10;" filled="f" stroked="f" strokeweight=".5pt">
                  <v:textbox>
                    <w:txbxContent>
                      <w:p w:rsidR="0093783C" w:rsidRPr="0050351E" w:rsidRDefault="0093783C" w:rsidP="00335E4B">
                        <w:pPr>
                          <w:spacing w:line="300" w:lineRule="exact"/>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خروج الغاز</w:t>
                        </w:r>
                      </w:p>
                    </w:txbxContent>
                  </v:textbox>
                </v:shape>
                <v:shape id="Text Box 46" o:spid="_x0000_s1385" type="#_x0000_t202" style="position:absolute;left:42824;top:35648;width:61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NvsUA&#10;AADcAAAADwAAAGRycy9kb3ducmV2LnhtbESPQYvCMBSE78L+h/AEb5paUEo1ihREWdaDrpe9PZtn&#10;W2xeuk1Wu/56Iwgeh5n5hpkvO1OLK7WusqxgPIpAEOdWV1woOH6vhwkI55E11pZJwT85WC4+enNM&#10;tb3xnq4HX4gAYZeigtL7JpXS5SUZdCPbEAfvbFuDPsi2kLrFW4CbWsZRNJUGKw4LJTaUlZRfDn9G&#10;wWe23uH+FJvkXmebr/Oq+T3+TJQa9LvVDISnzr/Dr/ZWK4iT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s2+xQAAANwAAAAPAAAAAAAAAAAAAAAAAJgCAABkcnMv&#10;ZG93bnJldi54bWxQSwUGAAAAAAQABAD1AAAAigMAAAAA&#10;" filled="f" stroked="f" strokeweight=".5pt">
                  <v:textbox>
                    <w:txbxContent>
                      <w:p w:rsidR="0093783C" w:rsidRPr="0050351E" w:rsidRDefault="0093783C" w:rsidP="00335E4B">
                        <w:pPr>
                          <w:spacing w:line="300" w:lineRule="exact"/>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الكالوميل</w:t>
                        </w:r>
                      </w:p>
                    </w:txbxContent>
                  </v:textbox>
                </v:shape>
                <v:shape id="Text Box 48" o:spid="_x0000_s1386" type="#_x0000_t202" style="position:absolute;left:33604;top:42970;width:9220;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ycYA&#10;AADcAAAADwAAAGRycy9kb3ducmV2LnhtbESPT2vCQBTE7wW/w/KE3urGQEuIWSUEQou0B60Xb8/s&#10;yx/Mvo3ZVdN++m6h0OMwM79hss1kenGj0XWWFSwXEQjiyuqOGwWHz/IpAeE8ssbeMin4Igeb9ewh&#10;w1TbO+/otveNCBB2KSpovR9SKV3VkkG3sANx8Go7GvRBjo3UI94D3PQyjqIXabDjsNDiQEVL1Xl/&#10;NQq2RfmBu1Nsku++eH2v8+FyOD4r9Tif8hUIT5P/D/+137SCO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TycYAAADcAAAADwAAAAAAAAAAAAAAAACYAgAAZHJz&#10;L2Rvd25yZXYueG1sUEsFBgAAAAAEAAQA9QAAAIsDAAAAAA==&#10;" filled="f" stroked="f" strokeweight=".5pt">
                  <v:textbox>
                    <w:txbxContent>
                      <w:p w:rsidR="0093783C" w:rsidRPr="0050351E" w:rsidRDefault="0093783C" w:rsidP="00335E4B">
                        <w:pPr>
                          <w:spacing w:line="300" w:lineRule="exact"/>
                          <w:jc w:val="center"/>
                          <w:rPr>
                            <w:rFonts w:ascii="Traditional Arabic" w:hAnsi="Traditional Arabic" w:cs="Traditional Arabic"/>
                            <w:sz w:val="26"/>
                            <w:szCs w:val="26"/>
                            <w:rtl/>
                            <w:lang w:val="en-CA" w:bidi="ar-SY"/>
                          </w:rPr>
                        </w:pPr>
                        <w:r w:rsidRPr="0050351E">
                          <w:rPr>
                            <w:rFonts w:ascii="Traditional Arabic" w:hAnsi="Traditional Arabic" w:cs="Traditional Arabic"/>
                            <w:sz w:val="26"/>
                            <w:szCs w:val="26"/>
                            <w:rtl/>
                            <w:lang w:val="en-CA" w:bidi="ar-SY"/>
                          </w:rPr>
                          <w:t>أكسدة</w:t>
                        </w:r>
                      </w:p>
                      <w:p w:rsidR="0093783C" w:rsidRPr="0050351E" w:rsidRDefault="0093783C" w:rsidP="00335E4B">
                        <w:pPr>
                          <w:spacing w:line="300" w:lineRule="exact"/>
                          <w:jc w:val="center"/>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الكالوميل</w:t>
                        </w:r>
                      </w:p>
                    </w:txbxContent>
                  </v:textbox>
                </v:shape>
                <v:shape id="Text Box 49" o:spid="_x0000_s1387" type="#_x0000_t202" style="position:absolute;left:33207;top:26277;width:10251;height:4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2UscA&#10;AADcAAAADwAAAGRycy9kb3ducmV2LnhtbESPT2vCQBTE74V+h+UVeqsbU1p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lLHAAAA3AAAAA8AAAAAAAAAAAAAAAAAmAIAAGRy&#10;cy9kb3ducmV2LnhtbFBLBQYAAAAABAAEAPUAAACMAwAAAAA=&#10;" filled="f" stroked="f" strokeweight=".5pt">
                  <v:textbox>
                    <w:txbxContent>
                      <w:p w:rsidR="0093783C" w:rsidRPr="0050351E" w:rsidRDefault="0093783C" w:rsidP="00335E4B">
                        <w:pPr>
                          <w:spacing w:line="300" w:lineRule="exact"/>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فصل الكالوميل</w:t>
                        </w:r>
                      </w:p>
                    </w:txbxContent>
                  </v:textbox>
                </v:shape>
                <v:shape id="Text Box 50" o:spid="_x0000_s1388" type="#_x0000_t202" style="position:absolute;left:31908;top:35648;width:5258;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uJscA&#10;AADcAAAADwAAAGRycy9kb3ducmV2LnhtbESPT2vCQBTE74V+h+UVeqsbQ1t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ZbibHAAAA3AAAAA8AAAAAAAAAAAAAAAAAmAIAAGRy&#10;cy9kb3ducmV2LnhtbFBLBQYAAAAABAAEAPUAAACMAwAAAAA=&#10;" filled="f" stroked="f" strokeweight=".5pt">
                  <v:textbox>
                    <w:txbxContent>
                      <w:p w:rsidR="0093783C" w:rsidRPr="0050351E" w:rsidRDefault="0093783C" w:rsidP="00335E4B">
                        <w:pPr>
                          <w:spacing w:line="300" w:lineRule="exact"/>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الكلور</w:t>
                        </w:r>
                      </w:p>
                    </w:txbxContent>
                  </v:textbox>
                </v:shape>
                <v:shape id="Text Box 51" o:spid="_x0000_s1389" type="#_x0000_t202" style="position:absolute;left:17233;top:56011;width:9217;height:4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LvcYA&#10;AADcAAAADwAAAGRycy9kb3ducmV2LnhtbESPQWvCQBSE74X+h+UVems2BiIhuooEpKW0B20uvT2z&#10;zySYfZtmtzHtr3cFweMwM98wy/VkOjHS4FrLCmZRDIK4srrlWkH5tX3JQDiPrLGzTAr+yMF69fiw&#10;xFzbM+9o3PtaBAi7HBU03ve5lK5qyKCLbE8cvKMdDPogh1rqAc8BbjqZxPFcGmw5LDTYU9FQddr/&#10;GgXvxfYTd4fEZP9d8fpx3PQ/5Xeq1PPTtFmA8DT5e/jWftMKkiy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LvcYAAADcAAAADwAAAAAAAAAAAAAAAACYAgAAZHJz&#10;L2Rvd25yZXYueG1sUEsFBgAAAAAEAAQA9QAAAIsDAAAAAA==&#10;" filled="f" stroked="f" strokeweight=".5pt">
                  <v:textbox>
                    <w:txbxContent>
                      <w:p w:rsidR="0093783C" w:rsidRPr="0050351E" w:rsidRDefault="0093783C" w:rsidP="00335E4B">
                        <w:pPr>
                          <w:spacing w:line="300" w:lineRule="exact"/>
                          <w:jc w:val="center"/>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خزان الضخ</w:t>
                        </w:r>
                      </w:p>
                    </w:txbxContent>
                  </v:textbox>
                </v:shape>
                <v:shape id="Text Box 52" o:spid="_x0000_s1390" type="#_x0000_t202" style="position:absolute;left:177;top:33058;width:4744;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VysYA&#10;AADcAAAADwAAAGRycy9kb3ducmV2LnhtbESPQWvCQBSE70L/w/IKvZmNgUpIXUUC0lLqQZtLb6/Z&#10;ZxLMvk2z2yT6691CweMwM98wq81kWjFQ7xrLChZRDIK4tLrhSkHxuZunIJxH1thaJgUXcrBZP8xW&#10;mGk78oGGo69EgLDLUEHtfZdJ6cqaDLrIdsTBO9neoA+yr6TucQxw08okjpfSYMNhocaO8prK8/HX&#10;KHjPd3s8fCcmvbb568dp2/0UX89KPT1O2xcQniZ/D/+337SCJF3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VysYAAADcAAAADwAAAAAAAAAAAAAAAACYAgAAZHJz&#10;L2Rvd25yZXYueG1sUEsFBgAAAAAEAAQA9QAAAIsDAAAAAA==&#10;" filled="f" stroked="f" strokeweight=".5pt">
                  <v:textbox>
                    <w:txbxContent>
                      <w:p w:rsidR="0093783C" w:rsidRPr="0050351E" w:rsidRDefault="0093783C" w:rsidP="00335E4B">
                        <w:pPr>
                          <w:spacing w:line="300" w:lineRule="exact"/>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دخول الغاز</w:t>
                        </w:r>
                      </w:p>
                    </w:txbxContent>
                  </v:textbox>
                </v:shape>
                <v:shape id="Text Box 53" o:spid="_x0000_s1391" type="#_x0000_t202" style="position:absolute;left:3232;top:21844;width:8655;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wUccA&#10;AADcAAAADwAAAGRycy9kb3ducmV2LnhtbESPT2vCQBTE74V+h+UVeqsbA21DdCMSkEppD2ou3p7Z&#10;lz+YfZtmV0399G6h4HGYmd8w88VoOnGmwbWWFUwnEQji0uqWawXFbvWSgHAeWWNnmRT8koNF9vgw&#10;x1TbC2/ovPW1CBB2KSpovO9TKV3ZkEE3sT1x8Co7GPRBDrXUA14C3HQyjqI3abDlsNBgT3lD5XF7&#10;Mgo+89U3bg6xSa5d/vFVLfufYv+q1PPTuJyB8DT6e/i/vdYK4uQd/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8FHHAAAA3AAAAA8AAAAAAAAAAAAAAAAAmAIAAGRy&#10;cy9kb3ducmV2LnhtbFBLBQYAAAAABAAEAPUAAACMAwAAAAA=&#10;" filled="f" stroked="f" strokeweight=".5pt">
                  <v:textbox>
                    <w:txbxContent>
                      <w:p w:rsidR="0093783C" w:rsidRPr="0050351E" w:rsidRDefault="0093783C" w:rsidP="00335E4B">
                        <w:pPr>
                          <w:spacing w:line="300" w:lineRule="exact"/>
                          <w:rPr>
                            <w:rFonts w:ascii="Traditional Arabic" w:hAnsi="Traditional Arabic" w:cs="Traditional Arabic"/>
                            <w:sz w:val="26"/>
                            <w:szCs w:val="26"/>
                            <w:lang w:val="en-CA" w:bidi="ar-SY"/>
                          </w:rPr>
                        </w:pPr>
                        <w:r w:rsidRPr="0050351E">
                          <w:rPr>
                            <w:rFonts w:ascii="Traditional Arabic" w:hAnsi="Traditional Arabic" w:cs="Traditional Arabic"/>
                            <w:sz w:val="26"/>
                            <w:szCs w:val="26"/>
                            <w:rtl/>
                            <w:lang w:val="en-CA" w:bidi="ar-SY"/>
                          </w:rPr>
                          <w:t>برج إزالة الزئبق</w:t>
                        </w:r>
                      </w:p>
                    </w:txbxContent>
                  </v:textbox>
                </v:shape>
                <v:shape id="Straight Arrow Connector 55" o:spid="_x0000_s1392" type="#_x0000_t32" style="position:absolute;left:38255;top:22792;width:1;height:3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0xNMgAAADcAAAADwAAAGRycy9kb3ducmV2LnhtbESPwWrCQBCG74W+wzKF3uqmIiKpqxSL&#10;WvFQTKWttyE7zQazszG7avr2nUOhx+Gf/5tvpvPeN+pCXawDG3gcZKCIy2Brrgzs35cPE1AxIVts&#10;ApOBH4own93eTDG34co7uhSpUgLhmKMBl1Kbax1LRx7jILTEkn2HzmOSsau07fAqcN/oYZaNtcea&#10;5YLDlhaOymNx9qKx/xyd1tsPd3irXxbHw2q02py+jLm/65+fQCXq0//yX/vVGhhOxFaeEQLo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j0xNMgAAADcAAAADwAAAAAA&#10;AAAAAAAAAAChAgAAZHJzL2Rvd25yZXYueG1sUEsFBgAAAAAEAAQA+QAAAJYDAAAAAA==&#10;" strokecolor="#1f497d" strokeweight="2pt">
                  <v:stroke endarrow="block" endarrowwidth="wide" endcap="round"/>
                </v:shape>
                <w10:anchorlock/>
              </v:group>
            </w:pict>
          </mc:Fallback>
        </mc:AlternateContent>
      </w:r>
    </w:p>
    <w:p w:rsidR="00335E4B" w:rsidRPr="00335E4B" w:rsidRDefault="00335E4B" w:rsidP="00335E4B">
      <w:pPr>
        <w:rPr>
          <w:rFonts w:cs="Traditional Arabic"/>
          <w:sz w:val="20"/>
          <w:szCs w:val="30"/>
          <w:lang w:val="en-CA"/>
        </w:rPr>
      </w:pPr>
    </w:p>
    <w:p w:rsidR="00335E4B" w:rsidRPr="00335E4B" w:rsidRDefault="00335E4B" w:rsidP="00E22079">
      <w:pPr>
        <w:spacing w:before="120" w:after="120" w:line="400" w:lineRule="exact"/>
        <w:jc w:val="both"/>
        <w:rPr>
          <w:rFonts w:cs="Traditional Arabic"/>
          <w:b/>
          <w:bCs/>
          <w:sz w:val="20"/>
          <w:szCs w:val="30"/>
          <w:rtl/>
          <w:lang w:bidi="ar-EG"/>
        </w:rPr>
      </w:pPr>
      <w:r w:rsidRPr="00335E4B">
        <w:rPr>
          <w:rFonts w:cs="Traditional Arabic"/>
          <w:b/>
          <w:bCs/>
          <w:sz w:val="20"/>
          <w:szCs w:val="30"/>
          <w:rtl/>
        </w:rPr>
        <w:t>الشكل</w:t>
      </w:r>
      <w:r w:rsidRPr="00335E4B">
        <w:rPr>
          <w:rFonts w:cs="Traditional Arabic"/>
          <w:b/>
          <w:bCs/>
          <w:sz w:val="20"/>
          <w:szCs w:val="30"/>
          <w:rtl/>
          <w:lang w:val="en-GB" w:bidi="ar-EG"/>
        </w:rPr>
        <w:t xml:space="preserve"> </w:t>
      </w:r>
      <w:r w:rsidRPr="00335E4B">
        <w:rPr>
          <w:rFonts w:cs="Traditional Arabic" w:hint="cs"/>
          <w:b/>
          <w:bCs/>
          <w:sz w:val="20"/>
          <w:szCs w:val="30"/>
          <w:rtl/>
          <w:lang w:val="en-GB" w:bidi="ar-EG"/>
        </w:rPr>
        <w:t>5</w:t>
      </w:r>
      <w:r w:rsidR="00E22079">
        <w:rPr>
          <w:rFonts w:cs="Traditional Arabic" w:hint="cs"/>
          <w:b/>
          <w:bCs/>
          <w:sz w:val="20"/>
          <w:szCs w:val="30"/>
          <w:rtl/>
          <w:lang w:val="en-GB" w:bidi="ar-EG"/>
        </w:rPr>
        <w:t>.</w:t>
      </w:r>
      <w:r w:rsidRPr="00335E4B">
        <w:rPr>
          <w:rFonts w:cs="Traditional Arabic"/>
          <w:b/>
          <w:bCs/>
          <w:sz w:val="20"/>
          <w:szCs w:val="30"/>
          <w:rtl/>
          <w:lang w:val="en-GB" w:bidi="ar-EG"/>
        </w:rPr>
        <w:t xml:space="preserve"> </w:t>
      </w:r>
      <w:r w:rsidRPr="00335E4B">
        <w:rPr>
          <w:rFonts w:cs="Traditional Arabic"/>
          <w:b/>
          <w:bCs/>
          <w:sz w:val="20"/>
          <w:szCs w:val="30"/>
          <w:rtl/>
        </w:rPr>
        <w:t>رسم تخطيطي لعملية بوليدين</w:t>
      </w:r>
      <w:r w:rsidRPr="00335E4B">
        <w:rPr>
          <w:rFonts w:cs="Traditional Arabic"/>
          <w:b/>
          <w:bCs/>
          <w:sz w:val="20"/>
          <w:szCs w:val="30"/>
          <w:rtl/>
          <w:lang w:val="en-GB" w:bidi="ar-EG"/>
        </w:rPr>
        <w:t>-</w:t>
      </w:r>
      <w:r w:rsidRPr="00335E4B">
        <w:rPr>
          <w:rFonts w:cs="Traditional Arabic"/>
          <w:b/>
          <w:bCs/>
          <w:sz w:val="20"/>
          <w:szCs w:val="30"/>
          <w:rtl/>
        </w:rPr>
        <w:t>نورزينك التي تنطوي على استرداد كلوريد الزئبق (أحادي التكافؤ)</w:t>
      </w:r>
      <w:r w:rsidRPr="00335E4B">
        <w:rPr>
          <w:rFonts w:cs="Traditional Arabic"/>
          <w:b/>
          <w:bCs/>
          <w:sz w:val="20"/>
          <w:szCs w:val="30"/>
          <w:rtl/>
          <w:lang w:val="en-GB" w:bidi="ar-EG"/>
        </w:rPr>
        <w:t xml:space="preserve"> </w:t>
      </w:r>
      <w:r w:rsidRPr="00335E4B">
        <w:rPr>
          <w:rFonts w:cs="Traditional Arabic"/>
          <w:b/>
          <w:bCs/>
          <w:sz w:val="20"/>
          <w:szCs w:val="30"/>
          <w:lang w:val="en-GB" w:bidi="ar-EG"/>
        </w:rPr>
        <w:t>Hg</w:t>
      </w:r>
      <w:r w:rsidRPr="00335E4B">
        <w:rPr>
          <w:rFonts w:cs="Traditional Arabic"/>
          <w:b/>
          <w:bCs/>
          <w:sz w:val="20"/>
          <w:szCs w:val="30"/>
          <w:vertAlign w:val="subscript"/>
          <w:lang w:val="en-GB" w:bidi="ar-EG"/>
        </w:rPr>
        <w:t>2</w:t>
      </w:r>
      <w:r w:rsidRPr="00335E4B">
        <w:rPr>
          <w:rFonts w:cs="Traditional Arabic"/>
          <w:b/>
          <w:bCs/>
          <w:sz w:val="20"/>
          <w:szCs w:val="30"/>
          <w:lang w:val="en-GB" w:bidi="ar-EG"/>
        </w:rPr>
        <w:t>Cl</w:t>
      </w:r>
      <w:r w:rsidRPr="00335E4B">
        <w:rPr>
          <w:rFonts w:cs="Traditional Arabic"/>
          <w:b/>
          <w:bCs/>
          <w:sz w:val="20"/>
          <w:szCs w:val="30"/>
          <w:vertAlign w:val="subscript"/>
          <w:lang w:val="en-GB" w:bidi="ar-EG"/>
        </w:rPr>
        <w:t>2</w:t>
      </w:r>
      <w:r w:rsidRPr="00335E4B">
        <w:rPr>
          <w:rFonts w:cs="Traditional Arabic"/>
          <w:b/>
          <w:bCs/>
          <w:sz w:val="20"/>
          <w:szCs w:val="30"/>
          <w:rtl/>
        </w:rPr>
        <w:t xml:space="preserve"> (</w:t>
      </w:r>
      <w:r w:rsidRPr="00335E4B">
        <w:rPr>
          <w:rFonts w:cs="Traditional Arabic"/>
          <w:b/>
          <w:bCs/>
          <w:sz w:val="20"/>
          <w:szCs w:val="30"/>
          <w:lang w:val="en-GB" w:bidi="ar-EG"/>
        </w:rPr>
        <w:t>Hultbom 2003</w:t>
      </w:r>
      <w:r w:rsidRPr="00335E4B">
        <w:rPr>
          <w:rFonts w:cs="Traditional Arabic"/>
          <w:b/>
          <w:bCs/>
          <w:sz w:val="20"/>
          <w:szCs w:val="30"/>
          <w:rtl/>
        </w:rPr>
        <w:t>)</w:t>
      </w:r>
    </w:p>
    <w:p w:rsidR="00335E4B" w:rsidRPr="00335E4B" w:rsidRDefault="00D55641" w:rsidP="00335E4B">
      <w:pPr>
        <w:keepNext/>
        <w:tabs>
          <w:tab w:val="left" w:pos="991"/>
        </w:tabs>
        <w:spacing w:before="120" w:after="120" w:line="400" w:lineRule="exact"/>
        <w:jc w:val="both"/>
        <w:outlineLvl w:val="0"/>
        <w:rPr>
          <w:rFonts w:cs="Traditional Arabic"/>
          <w:b/>
          <w:bCs/>
          <w:sz w:val="20"/>
          <w:szCs w:val="30"/>
          <w:rtl/>
          <w:lang w:bidi="ar-EG"/>
        </w:rPr>
      </w:pPr>
      <w:bookmarkStart w:id="1567" w:name="_Toc433095415"/>
      <w:bookmarkStart w:id="1568" w:name="_Toc434239949"/>
      <w:bookmarkStart w:id="1569" w:name="_Toc440550544"/>
      <w:bookmarkStart w:id="1570" w:name="_Toc441577803"/>
      <w:bookmarkStart w:id="1571" w:name="_Toc441577982"/>
      <w:bookmarkStart w:id="1572" w:name="_Toc441580816"/>
      <w:bookmarkStart w:id="1573" w:name="_Toc441585947"/>
      <w:bookmarkStart w:id="1574" w:name="_Toc441586283"/>
      <w:bookmarkStart w:id="1575" w:name="_Toc441586733"/>
      <w:bookmarkStart w:id="1576" w:name="_Toc441586912"/>
      <w:bookmarkStart w:id="1577" w:name="_Toc441666761"/>
      <w:bookmarkStart w:id="1578" w:name="_Toc441673822"/>
      <w:r>
        <w:rPr>
          <w:rFonts w:cs="Traditional Arabic" w:hint="cs"/>
          <w:b/>
          <w:bCs/>
          <w:sz w:val="20"/>
          <w:szCs w:val="30"/>
          <w:rtl/>
          <w:lang w:bidi="ar-EG"/>
        </w:rPr>
        <w:t>3-1-2</w:t>
      </w:r>
      <w:r>
        <w:rPr>
          <w:rFonts w:cs="Traditional Arabic" w:hint="cs"/>
          <w:b/>
          <w:bCs/>
          <w:sz w:val="20"/>
          <w:szCs w:val="30"/>
          <w:rtl/>
          <w:lang w:bidi="ar-EG"/>
        </w:rPr>
        <w:tab/>
      </w:r>
      <w:r w:rsidR="00335E4B" w:rsidRPr="00335E4B">
        <w:rPr>
          <w:rFonts w:cs="Traditional Arabic" w:hint="cs"/>
          <w:b/>
          <w:bCs/>
          <w:sz w:val="20"/>
          <w:szCs w:val="30"/>
          <w:rtl/>
          <w:lang w:bidi="ar-EG"/>
        </w:rPr>
        <w:t>قابلية</w:t>
      </w:r>
      <w:r w:rsidR="00335E4B" w:rsidRPr="00335E4B">
        <w:rPr>
          <w:rFonts w:cs="Traditional Arabic"/>
          <w:b/>
          <w:bCs/>
          <w:sz w:val="20"/>
          <w:szCs w:val="30"/>
          <w:rtl/>
          <w:lang w:bidi="ar-EG"/>
        </w:rPr>
        <w:t xml:space="preserve"> التطبيق</w:t>
      </w:r>
      <w:bookmarkEnd w:id="1567"/>
      <w:bookmarkEnd w:id="1568"/>
      <w:bookmarkEnd w:id="1569"/>
      <w:bookmarkEnd w:id="1570"/>
      <w:bookmarkEnd w:id="1571"/>
      <w:bookmarkEnd w:id="1572"/>
      <w:bookmarkEnd w:id="1573"/>
      <w:bookmarkEnd w:id="1574"/>
      <w:bookmarkEnd w:id="1575"/>
      <w:bookmarkEnd w:id="1576"/>
      <w:bookmarkEnd w:id="1577"/>
      <w:bookmarkEnd w:id="1578"/>
    </w:p>
    <w:p w:rsidR="00335E4B" w:rsidRPr="00335E4B" w:rsidRDefault="00335E4B" w:rsidP="00335E4B">
      <w:pPr>
        <w:spacing w:after="120" w:line="400" w:lineRule="exact"/>
        <w:jc w:val="both"/>
        <w:rPr>
          <w:rFonts w:cs="Traditional Arabic"/>
          <w:b/>
          <w:sz w:val="20"/>
          <w:szCs w:val="30"/>
          <w:rtl/>
        </w:rPr>
      </w:pPr>
      <w:r w:rsidRPr="00335E4B">
        <w:rPr>
          <w:rFonts w:cs="Traditional Arabic"/>
          <w:sz w:val="20"/>
          <w:szCs w:val="30"/>
          <w:rtl/>
        </w:rPr>
        <w:t xml:space="preserve">يمكن أن </w:t>
      </w:r>
      <w:r w:rsidRPr="00335E4B">
        <w:rPr>
          <w:rFonts w:cs="Traditional Arabic" w:hint="cs"/>
          <w:sz w:val="20"/>
          <w:szCs w:val="30"/>
          <w:rtl/>
        </w:rPr>
        <w:t>تطبق</w:t>
      </w:r>
      <w:r w:rsidRPr="00335E4B">
        <w:rPr>
          <w:rFonts w:cs="Traditional Arabic"/>
          <w:sz w:val="20"/>
          <w:szCs w:val="30"/>
          <w:rtl/>
        </w:rPr>
        <w:t xml:space="preserve"> هذه العملية على جميع الغازات الناتجة عن عمليات المصاهر، ولا سيما على غازات العمليات التي تحتوي على ثنائي أكسيد الكبريت</w:t>
      </w:r>
      <w:r w:rsidRPr="00335E4B">
        <w:rPr>
          <w:rFonts w:cs="Traditional Arabic"/>
          <w:sz w:val="20"/>
          <w:szCs w:val="30"/>
          <w:rtl/>
          <w:lang w:val="en-GB" w:bidi="ar-EG"/>
        </w:rPr>
        <w:t xml:space="preserve"> </w:t>
      </w:r>
      <w:r w:rsidRPr="00335E4B">
        <w:rPr>
          <w:rFonts w:cs="Traditional Arabic"/>
          <w:sz w:val="20"/>
          <w:szCs w:val="30"/>
          <w:lang w:val="en-GB" w:bidi="ar-EG"/>
        </w:rPr>
        <w:t>SO</w:t>
      </w:r>
      <w:r w:rsidRPr="00335E4B">
        <w:rPr>
          <w:rFonts w:cs="Traditional Arabic"/>
          <w:sz w:val="20"/>
          <w:szCs w:val="30"/>
          <w:vertAlign w:val="subscript"/>
          <w:lang w:val="en-GB" w:bidi="ar-EG"/>
        </w:rPr>
        <w:t>2</w:t>
      </w:r>
      <w:r w:rsidRPr="00335E4B">
        <w:rPr>
          <w:rFonts w:cs="Traditional Arabic"/>
          <w:sz w:val="20"/>
          <w:szCs w:val="30"/>
          <w:rtl/>
          <w:lang w:val="en-GB" w:bidi="ar-EG"/>
        </w:rPr>
        <w:t>.</w:t>
      </w:r>
      <w:r w:rsidRPr="00335E4B">
        <w:rPr>
          <w:rFonts w:cs="Traditional Arabic"/>
          <w:sz w:val="20"/>
          <w:szCs w:val="30"/>
          <w:rtl/>
        </w:rPr>
        <w:t xml:space="preserve"> وهي تقنية فعالة لمستويات مختلفة من مدخلات الزئبق، وكذلك للمحتويات العالية من الزئبق وتستخدم بفعالية في نحو</w:t>
      </w:r>
      <w:r w:rsidRPr="00335E4B">
        <w:rPr>
          <w:rFonts w:cs="Traditional Arabic"/>
          <w:sz w:val="20"/>
          <w:szCs w:val="30"/>
          <w:rtl/>
          <w:lang w:val="en-GB" w:bidi="ar-EG"/>
        </w:rPr>
        <w:t xml:space="preserve"> 40 </w:t>
      </w:r>
      <w:r w:rsidRPr="00335E4B">
        <w:rPr>
          <w:rFonts w:cs="Traditional Arabic"/>
          <w:sz w:val="20"/>
          <w:szCs w:val="30"/>
          <w:rtl/>
        </w:rPr>
        <w:t>منشأة صناعية في جميع أنحاء العالم</w:t>
      </w:r>
      <w:r w:rsidRPr="00335E4B">
        <w:rPr>
          <w:rFonts w:cs="Traditional Arabic"/>
          <w:sz w:val="20"/>
          <w:szCs w:val="30"/>
          <w:rtl/>
          <w:lang w:val="en-GB" w:bidi="ar-EG"/>
        </w:rPr>
        <w:t>.</w:t>
      </w:r>
    </w:p>
    <w:p w:rsidR="00335E4B" w:rsidRPr="00335E4B" w:rsidRDefault="00335E4B" w:rsidP="00E22079">
      <w:pPr>
        <w:keepNext/>
        <w:tabs>
          <w:tab w:val="left" w:pos="991"/>
        </w:tabs>
        <w:spacing w:before="120" w:after="120" w:line="400" w:lineRule="exact"/>
        <w:jc w:val="both"/>
        <w:outlineLvl w:val="0"/>
        <w:rPr>
          <w:rFonts w:cs="Traditional Arabic"/>
          <w:b/>
          <w:bCs/>
          <w:sz w:val="20"/>
          <w:szCs w:val="30"/>
          <w:rtl/>
          <w:lang w:bidi="ar-EG"/>
        </w:rPr>
      </w:pPr>
      <w:bookmarkStart w:id="1579" w:name="_Toc433095416"/>
      <w:bookmarkStart w:id="1580" w:name="_Toc434239950"/>
      <w:bookmarkStart w:id="1581" w:name="_Toc440550545"/>
      <w:r w:rsidRPr="00335E4B">
        <w:rPr>
          <w:rFonts w:cs="Traditional Arabic"/>
          <w:b/>
          <w:bCs/>
          <w:sz w:val="20"/>
          <w:szCs w:val="30"/>
          <w:rtl/>
          <w:lang w:bidi="ar-EG"/>
        </w:rPr>
        <w:br w:type="page"/>
      </w:r>
      <w:bookmarkStart w:id="1582" w:name="_Toc441577804"/>
      <w:bookmarkStart w:id="1583" w:name="_Toc441577983"/>
      <w:bookmarkStart w:id="1584" w:name="_Toc441580817"/>
      <w:bookmarkStart w:id="1585" w:name="_Toc441585948"/>
      <w:bookmarkStart w:id="1586" w:name="_Toc441586284"/>
      <w:bookmarkStart w:id="1587" w:name="_Toc441586734"/>
      <w:bookmarkStart w:id="1588" w:name="_Toc441586913"/>
      <w:bookmarkStart w:id="1589" w:name="_Toc441666762"/>
      <w:bookmarkStart w:id="1590" w:name="_Toc441673823"/>
      <w:r w:rsidR="00D55641">
        <w:rPr>
          <w:rFonts w:cs="Traditional Arabic" w:hint="cs"/>
          <w:b/>
          <w:bCs/>
          <w:sz w:val="20"/>
          <w:szCs w:val="30"/>
          <w:rtl/>
          <w:lang w:bidi="ar-EG"/>
        </w:rPr>
        <w:t>3-1-3</w:t>
      </w:r>
      <w:r w:rsidR="00D55641">
        <w:rPr>
          <w:rFonts w:cs="Traditional Arabic" w:hint="cs"/>
          <w:b/>
          <w:bCs/>
          <w:sz w:val="20"/>
          <w:szCs w:val="30"/>
          <w:rtl/>
          <w:lang w:bidi="ar-EG"/>
        </w:rPr>
        <w:tab/>
      </w:r>
      <w:r w:rsidRPr="00335E4B">
        <w:rPr>
          <w:rFonts w:cs="Traditional Arabic"/>
          <w:b/>
          <w:bCs/>
          <w:sz w:val="20"/>
          <w:szCs w:val="30"/>
          <w:rtl/>
          <w:lang w:bidi="ar-EG"/>
        </w:rPr>
        <w:t>الأداء</w:t>
      </w:r>
      <w:bookmarkEnd w:id="1579"/>
      <w:bookmarkEnd w:id="1580"/>
      <w:bookmarkEnd w:id="1581"/>
      <w:bookmarkEnd w:id="1582"/>
      <w:bookmarkEnd w:id="1583"/>
      <w:bookmarkEnd w:id="1584"/>
      <w:bookmarkEnd w:id="1585"/>
      <w:bookmarkEnd w:id="1586"/>
      <w:bookmarkEnd w:id="1587"/>
      <w:bookmarkEnd w:id="1588"/>
      <w:bookmarkEnd w:id="1589"/>
      <w:bookmarkEnd w:id="1590"/>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تعتمد كفاءة الإزالة على محتوى الزئبق في منفذ إدخال الغاز الناتج كنفايات، والذي يكون عادة</w:t>
      </w:r>
      <w:r w:rsidRPr="00335E4B">
        <w:rPr>
          <w:rFonts w:cs="Traditional Arabic"/>
          <w:sz w:val="20"/>
          <w:szCs w:val="30"/>
          <w:rtl/>
          <w:lang w:val="en-GB" w:bidi="ar-EG"/>
        </w:rPr>
        <w:t xml:space="preserve"> 99</w:t>
      </w:r>
      <w:r w:rsidRPr="00335E4B">
        <w:rPr>
          <w:rFonts w:cs="Traditional Arabic" w:hint="cs"/>
          <w:sz w:val="20"/>
          <w:szCs w:val="30"/>
          <w:rtl/>
          <w:lang w:val="en-GB" w:bidi="ar-EG"/>
        </w:rPr>
        <w:t>,</w:t>
      </w:r>
      <w:r w:rsidRPr="00335E4B">
        <w:rPr>
          <w:rFonts w:cs="Traditional Arabic"/>
          <w:sz w:val="20"/>
          <w:szCs w:val="30"/>
          <w:rtl/>
          <w:lang w:val="en-GB" w:bidi="ar-EG"/>
        </w:rPr>
        <w:t xml:space="preserve">7 </w:t>
      </w:r>
      <w:r w:rsidRPr="00335E4B">
        <w:rPr>
          <w:rFonts w:cs="Traditional Arabic"/>
          <w:sz w:val="20"/>
          <w:szCs w:val="30"/>
          <w:rtl/>
        </w:rPr>
        <w:t>في المائة</w:t>
      </w:r>
      <w:r w:rsidRPr="00335E4B">
        <w:rPr>
          <w:rFonts w:cs="Traditional Arabic"/>
          <w:sz w:val="20"/>
          <w:szCs w:val="30"/>
          <w:rtl/>
          <w:lang w:val="en-GB" w:bidi="ar-EG"/>
        </w:rPr>
        <w:t>.</w:t>
      </w:r>
      <w:r w:rsidRPr="00335E4B">
        <w:rPr>
          <w:rFonts w:cs="Traditional Arabic"/>
          <w:sz w:val="20"/>
          <w:szCs w:val="30"/>
          <w:rtl/>
        </w:rPr>
        <w:t xml:space="preserve"> وفي العادة يتراوح تركيز الزئبق عند منفذ خروج الغاز بين</w:t>
      </w:r>
      <w:r w:rsidRPr="00335E4B">
        <w:rPr>
          <w:rFonts w:cs="Traditional Arabic"/>
          <w:sz w:val="20"/>
          <w:szCs w:val="30"/>
          <w:rtl/>
          <w:lang w:val="en-GB" w:bidi="ar-EG"/>
        </w:rPr>
        <w:t xml:space="preserve"> 0</w:t>
      </w:r>
      <w:r w:rsidRPr="00335E4B">
        <w:rPr>
          <w:rFonts w:cs="Traditional Arabic" w:hint="cs"/>
          <w:sz w:val="20"/>
          <w:szCs w:val="30"/>
          <w:rtl/>
          <w:lang w:val="en-GB" w:bidi="ar-EG"/>
        </w:rPr>
        <w:t>,</w:t>
      </w:r>
      <w:r w:rsidRPr="00335E4B">
        <w:rPr>
          <w:rFonts w:cs="Traditional Arabic"/>
          <w:sz w:val="20"/>
          <w:szCs w:val="30"/>
          <w:rtl/>
          <w:lang w:val="en-GB" w:bidi="ar-EG"/>
        </w:rPr>
        <w:t>3 و0</w:t>
      </w:r>
      <w:r w:rsidRPr="00335E4B">
        <w:rPr>
          <w:rFonts w:cs="Traditional Arabic" w:hint="cs"/>
          <w:sz w:val="20"/>
          <w:szCs w:val="30"/>
          <w:rtl/>
          <w:lang w:val="en-GB" w:bidi="ar-EG"/>
        </w:rPr>
        <w:t>,</w:t>
      </w:r>
      <w:r w:rsidRPr="00335E4B">
        <w:rPr>
          <w:rFonts w:cs="Traditional Arabic"/>
          <w:sz w:val="20"/>
          <w:szCs w:val="30"/>
          <w:rtl/>
          <w:lang w:val="en-GB" w:bidi="ar-EG"/>
        </w:rPr>
        <w:t xml:space="preserve">5 </w:t>
      </w:r>
      <w:r w:rsidRPr="00335E4B">
        <w:rPr>
          <w:rFonts w:cs="Traditional Arabic"/>
          <w:sz w:val="20"/>
          <w:szCs w:val="30"/>
          <w:rtl/>
        </w:rPr>
        <w:t>جزءاً في المليون</w:t>
      </w:r>
      <w:r w:rsidRPr="00335E4B">
        <w:rPr>
          <w:rFonts w:cs="Traditional Arabic" w:hint="cs"/>
          <w:sz w:val="20"/>
          <w:szCs w:val="30"/>
          <w:vertAlign w:val="superscript"/>
          <w:rtl/>
        </w:rPr>
        <w:t>(</w:t>
      </w:r>
      <w:r w:rsidRPr="00335E4B">
        <w:rPr>
          <w:rFonts w:cs="Traditional Arabic"/>
          <w:sz w:val="20"/>
          <w:szCs w:val="30"/>
          <w:vertAlign w:val="superscript"/>
          <w:rtl/>
        </w:rPr>
        <w:footnoteReference w:id="41"/>
      </w:r>
      <w:r w:rsidRPr="00335E4B">
        <w:rPr>
          <w:rFonts w:cs="Traditional Arabic" w:hint="cs"/>
          <w:sz w:val="20"/>
          <w:szCs w:val="30"/>
          <w:vertAlign w:val="superscript"/>
          <w:rtl/>
        </w:rPr>
        <w:t>)</w:t>
      </w:r>
      <w:r w:rsidRPr="00335E4B">
        <w:rPr>
          <w:rFonts w:cs="Traditional Arabic"/>
          <w:sz w:val="20"/>
          <w:szCs w:val="30"/>
          <w:rtl/>
        </w:rPr>
        <w:t xml:space="preserve"> (</w:t>
      </w:r>
      <w:r w:rsidRPr="00335E4B">
        <w:rPr>
          <w:rFonts w:cs="Traditional Arabic"/>
          <w:sz w:val="20"/>
          <w:szCs w:val="30"/>
          <w:lang w:val="en-GB" w:bidi="ar-EG"/>
        </w:rPr>
        <w:t>Hultbom 2003; UNECE 2013</w:t>
      </w:r>
      <w:r w:rsidRPr="00335E4B">
        <w:rPr>
          <w:rFonts w:cs="Traditional Arabic"/>
          <w:sz w:val="20"/>
          <w:szCs w:val="30"/>
          <w:rtl/>
        </w:rPr>
        <w:t>)</w:t>
      </w:r>
      <w:r w:rsidRPr="00335E4B">
        <w:rPr>
          <w:rFonts w:cs="Traditional Arabic"/>
          <w:sz w:val="20"/>
          <w:szCs w:val="30"/>
          <w:rtl/>
          <w:lang w:val="en-GB" w:bidi="ar-EG"/>
        </w:rPr>
        <w:t>.</w:t>
      </w:r>
      <w:r w:rsidRPr="00335E4B">
        <w:rPr>
          <w:rFonts w:cs="Traditional Arabic" w:hint="cs"/>
          <w:sz w:val="20"/>
          <w:szCs w:val="30"/>
          <w:rtl/>
        </w:rPr>
        <w:t xml:space="preserve"> </w:t>
      </w:r>
      <w:r w:rsidRPr="00335E4B">
        <w:rPr>
          <w:rFonts w:cs="Traditional Arabic"/>
          <w:sz w:val="20"/>
          <w:szCs w:val="30"/>
          <w:rtl/>
        </w:rPr>
        <w:t>ويمكن أيضاً الوصول إلى تركيز زئبق يتراوح بين</w:t>
      </w:r>
      <w:r w:rsidRPr="00335E4B">
        <w:rPr>
          <w:rFonts w:cs="Traditional Arabic"/>
          <w:sz w:val="20"/>
          <w:szCs w:val="30"/>
          <w:rtl/>
          <w:lang w:val="en-GB" w:bidi="ar-EG"/>
        </w:rPr>
        <w:t xml:space="preserve"> 0</w:t>
      </w:r>
      <w:r w:rsidRPr="00335E4B">
        <w:rPr>
          <w:rFonts w:cs="Traditional Arabic" w:hint="cs"/>
          <w:sz w:val="20"/>
          <w:szCs w:val="30"/>
          <w:rtl/>
          <w:lang w:val="en-GB" w:bidi="ar-EG"/>
        </w:rPr>
        <w:t>,</w:t>
      </w:r>
      <w:r w:rsidRPr="00335E4B">
        <w:rPr>
          <w:rFonts w:cs="Traditional Arabic"/>
          <w:sz w:val="20"/>
          <w:szCs w:val="30"/>
          <w:rtl/>
          <w:lang w:val="en-GB" w:bidi="ar-EG"/>
        </w:rPr>
        <w:t>3 و0</w:t>
      </w:r>
      <w:r w:rsidRPr="00335E4B">
        <w:rPr>
          <w:rFonts w:cs="Traditional Arabic" w:hint="cs"/>
          <w:sz w:val="20"/>
          <w:szCs w:val="30"/>
          <w:rtl/>
          <w:lang w:val="en-GB" w:bidi="ar-EG"/>
        </w:rPr>
        <w:t>,</w:t>
      </w:r>
      <w:r w:rsidRPr="00335E4B">
        <w:rPr>
          <w:rFonts w:cs="Traditional Arabic"/>
          <w:sz w:val="20"/>
          <w:szCs w:val="30"/>
          <w:rtl/>
          <w:lang w:val="en-GB" w:bidi="ar-EG"/>
        </w:rPr>
        <w:t xml:space="preserve">5 </w:t>
      </w:r>
      <w:r w:rsidRPr="00335E4B">
        <w:rPr>
          <w:rFonts w:cs="Traditional Arabic"/>
          <w:sz w:val="20"/>
          <w:szCs w:val="30"/>
          <w:rtl/>
        </w:rPr>
        <w:t>جزءاً في المليون عند منفذ خروج الغاز، بتركيزات لمنفذ الدخول تتجاوز</w:t>
      </w:r>
      <w:r w:rsidRPr="00335E4B">
        <w:rPr>
          <w:rFonts w:cs="Traditional Arabic"/>
          <w:sz w:val="20"/>
          <w:szCs w:val="30"/>
          <w:rtl/>
          <w:lang w:val="en-GB" w:bidi="ar-EG"/>
        </w:rPr>
        <w:t xml:space="preserve"> 100 </w:t>
      </w:r>
      <w:r w:rsidRPr="00335E4B">
        <w:rPr>
          <w:rFonts w:cs="Traditional Arabic"/>
          <w:sz w:val="20"/>
          <w:szCs w:val="30"/>
          <w:rtl/>
        </w:rPr>
        <w:t>مليغرام من الزئبق لكل متر مكعب من الغاز في الظروف العادية (</w:t>
      </w:r>
      <w:r w:rsidRPr="00335E4B">
        <w:rPr>
          <w:rFonts w:cs="Traditional Arabic"/>
          <w:sz w:val="20"/>
          <w:szCs w:val="30"/>
          <w:lang w:val="en-GB" w:bidi="ar-EG"/>
        </w:rPr>
        <w:t>100 mg/Nm</w:t>
      </w:r>
      <w:r w:rsidRPr="00335E4B">
        <w:rPr>
          <w:rFonts w:cs="Traditional Arabic"/>
          <w:sz w:val="20"/>
          <w:szCs w:val="30"/>
          <w:vertAlign w:val="superscript"/>
          <w:lang w:val="en-GB" w:bidi="ar-EG"/>
        </w:rPr>
        <w:t>3</w:t>
      </w:r>
      <w:r w:rsidRPr="00335E4B">
        <w:rPr>
          <w:rFonts w:cs="Traditional Arabic"/>
          <w:sz w:val="20"/>
          <w:szCs w:val="30"/>
          <w:rtl/>
        </w:rPr>
        <w:t>) (</w:t>
      </w:r>
      <w:r w:rsidRPr="00335E4B">
        <w:rPr>
          <w:rFonts w:cs="Traditional Arabic"/>
          <w:sz w:val="20"/>
          <w:szCs w:val="30"/>
          <w:lang w:val="en-GB" w:bidi="ar-EG"/>
        </w:rPr>
        <w:t>Hultbom 2003</w:t>
      </w:r>
      <w:r w:rsidRPr="00335E4B">
        <w:rPr>
          <w:rFonts w:cs="Traditional Arabic"/>
          <w:sz w:val="20"/>
          <w:szCs w:val="30"/>
          <w:rtl/>
        </w:rPr>
        <w:t>)</w:t>
      </w:r>
      <w:r w:rsidRPr="00335E4B">
        <w:rPr>
          <w:rFonts w:cs="Traditional Arabic" w:hint="cs"/>
          <w:sz w:val="20"/>
          <w:szCs w:val="30"/>
          <w:rtl/>
        </w:rPr>
        <w:t>.</w:t>
      </w:r>
      <w:r w:rsidRPr="00335E4B">
        <w:rPr>
          <w:rFonts w:cs="Traditional Arabic" w:hint="cs"/>
          <w:sz w:val="20"/>
          <w:szCs w:val="30"/>
          <w:vertAlign w:val="superscript"/>
          <w:rtl/>
        </w:rPr>
        <w:t>(</w:t>
      </w:r>
      <w:r w:rsidRPr="00335E4B">
        <w:rPr>
          <w:rFonts w:cs="Traditional Arabic"/>
          <w:sz w:val="20"/>
          <w:szCs w:val="30"/>
          <w:vertAlign w:val="superscript"/>
          <w:rtl/>
        </w:rPr>
        <w:footnoteReference w:id="42"/>
      </w:r>
      <w:r w:rsidRPr="00335E4B">
        <w:rPr>
          <w:rFonts w:cs="Traditional Arabic" w:hint="cs"/>
          <w:sz w:val="20"/>
          <w:szCs w:val="30"/>
          <w:vertAlign w:val="superscript"/>
          <w:rtl/>
        </w:rPr>
        <w:t>)</w:t>
      </w:r>
    </w:p>
    <w:p w:rsidR="00335E4B" w:rsidRPr="00335E4B" w:rsidRDefault="00335E4B" w:rsidP="0075735A">
      <w:pPr>
        <w:spacing w:line="400" w:lineRule="exact"/>
        <w:jc w:val="both"/>
        <w:rPr>
          <w:rFonts w:cs="Traditional Arabic"/>
          <w:b/>
          <w:bCs/>
          <w:sz w:val="20"/>
          <w:szCs w:val="30"/>
          <w:rtl/>
          <w:lang w:val="en-GB" w:bidi="ar-EG"/>
        </w:rPr>
      </w:pPr>
      <w:r w:rsidRPr="00335E4B">
        <w:rPr>
          <w:rFonts w:cs="Traditional Arabic"/>
          <w:b/>
          <w:bCs/>
          <w:sz w:val="20"/>
          <w:szCs w:val="30"/>
          <w:rtl/>
        </w:rPr>
        <w:t>الجدول</w:t>
      </w:r>
      <w:r w:rsidRPr="00335E4B">
        <w:rPr>
          <w:rFonts w:cs="Traditional Arabic"/>
          <w:b/>
          <w:bCs/>
          <w:sz w:val="20"/>
          <w:szCs w:val="30"/>
          <w:rtl/>
          <w:lang w:val="en-GB" w:bidi="ar-EG"/>
        </w:rPr>
        <w:t xml:space="preserve"> </w:t>
      </w:r>
      <w:r w:rsidR="0075735A">
        <w:rPr>
          <w:rFonts w:cs="Traditional Arabic" w:hint="cs"/>
          <w:b/>
          <w:bCs/>
          <w:sz w:val="20"/>
          <w:szCs w:val="30"/>
          <w:rtl/>
          <w:lang w:val="en-GB" w:bidi="ar-EG"/>
        </w:rPr>
        <w:t>1</w:t>
      </w:r>
    </w:p>
    <w:p w:rsidR="00335E4B" w:rsidRPr="00335E4B" w:rsidRDefault="00335E4B" w:rsidP="00335E4B">
      <w:pPr>
        <w:spacing w:after="120" w:line="400" w:lineRule="exact"/>
        <w:ind w:left="-2"/>
        <w:jc w:val="both"/>
        <w:rPr>
          <w:rFonts w:cs="Traditional Arabic"/>
          <w:b/>
          <w:bCs/>
          <w:sz w:val="20"/>
          <w:szCs w:val="30"/>
          <w:rtl/>
        </w:rPr>
      </w:pPr>
      <w:r w:rsidRPr="00335E4B">
        <w:rPr>
          <w:rFonts w:cs="Traditional Arabic"/>
          <w:sz w:val="20"/>
          <w:szCs w:val="30"/>
          <w:rtl/>
        </w:rPr>
        <w:t>أداء عملية بوليدين</w:t>
      </w:r>
      <w:r w:rsidRPr="00335E4B">
        <w:rPr>
          <w:rFonts w:cs="Traditional Arabic"/>
          <w:sz w:val="20"/>
          <w:szCs w:val="30"/>
          <w:rtl/>
          <w:lang w:val="en-GB" w:bidi="ar-EG"/>
        </w:rPr>
        <w:t>-</w:t>
      </w:r>
      <w:r w:rsidRPr="00335E4B">
        <w:rPr>
          <w:rFonts w:cs="Traditional Arabic"/>
          <w:sz w:val="20"/>
          <w:szCs w:val="30"/>
          <w:rtl/>
        </w:rPr>
        <w:t xml:space="preserve">نورزينك في مصهر بوليدين رونسكار </w:t>
      </w:r>
      <w:r w:rsidRPr="00335E4B">
        <w:rPr>
          <w:rFonts w:cs="Times New Roman"/>
          <w:sz w:val="20"/>
          <w:szCs w:val="20"/>
          <w:rtl/>
        </w:rPr>
        <w:t>(</w:t>
      </w:r>
      <w:r w:rsidRPr="00335E4B">
        <w:rPr>
          <w:rFonts w:cs="Times New Roman"/>
          <w:sz w:val="20"/>
          <w:szCs w:val="20"/>
          <w:lang w:val="en-GB" w:bidi="ar-EG"/>
        </w:rPr>
        <w:t>Boliden R</w:t>
      </w:r>
      <w:r w:rsidRPr="00335E4B">
        <w:rPr>
          <w:rFonts w:cs="Times New Roman"/>
          <w:sz w:val="20"/>
          <w:szCs w:val="20"/>
        </w:rPr>
        <w:t>ö</w:t>
      </w:r>
      <w:r w:rsidRPr="00335E4B">
        <w:rPr>
          <w:rFonts w:cs="Times New Roman"/>
          <w:sz w:val="20"/>
          <w:szCs w:val="20"/>
          <w:lang w:val="en-GB" w:bidi="ar-EG"/>
        </w:rPr>
        <w:t>nnskar</w:t>
      </w:r>
      <w:r w:rsidRPr="00335E4B">
        <w:rPr>
          <w:rFonts w:cs="Times New Roman"/>
          <w:sz w:val="20"/>
          <w:szCs w:val="20"/>
          <w:rtl/>
        </w:rPr>
        <w:t>)</w:t>
      </w:r>
      <w:r w:rsidRPr="00335E4B">
        <w:rPr>
          <w:rFonts w:cs="Traditional Arabic"/>
          <w:sz w:val="20"/>
          <w:szCs w:val="30"/>
          <w:rtl/>
        </w:rPr>
        <w:t xml:space="preserve"> </w:t>
      </w:r>
      <w:r w:rsidRPr="00335E4B">
        <w:rPr>
          <w:rFonts w:cs="Times New Roman"/>
          <w:sz w:val="20"/>
          <w:szCs w:val="20"/>
          <w:rtl/>
        </w:rPr>
        <w:t>(</w:t>
      </w:r>
      <w:r w:rsidRPr="00335E4B">
        <w:rPr>
          <w:rFonts w:cs="Times New Roman"/>
          <w:sz w:val="20"/>
          <w:szCs w:val="20"/>
          <w:lang w:val="en-GB" w:bidi="ar-EG"/>
        </w:rPr>
        <w:t>BREF NFM 2014</w:t>
      </w:r>
      <w:r w:rsidRPr="00335E4B">
        <w:rPr>
          <w:rFonts w:cs="Times New Roman"/>
          <w:sz w:val="20"/>
          <w:szCs w:val="20"/>
          <w:rtl/>
        </w:rPr>
        <w:t>)</w:t>
      </w:r>
      <w:r w:rsidRPr="00335E4B">
        <w:rPr>
          <w:rFonts w:cs="Traditional Arabic" w:hint="cs"/>
          <w:sz w:val="20"/>
          <w:szCs w:val="30"/>
          <w:vertAlign w:val="superscript"/>
          <w:rtl/>
        </w:rPr>
        <w:t>(</w:t>
      </w:r>
      <w:r w:rsidRPr="00335E4B">
        <w:rPr>
          <w:rFonts w:cs="Traditional Arabic"/>
          <w:sz w:val="20"/>
          <w:szCs w:val="30"/>
          <w:vertAlign w:val="superscript"/>
          <w:rtl/>
        </w:rPr>
        <w:footnoteReference w:id="43"/>
      </w:r>
      <w:bookmarkStart w:id="1591" w:name="_Ref415653240"/>
      <w:bookmarkEnd w:id="1591"/>
      <w:r w:rsidRPr="00335E4B">
        <w:rPr>
          <w:rFonts w:cs="Traditional Arabic" w:hint="cs"/>
          <w:sz w:val="20"/>
          <w:szCs w:val="30"/>
          <w:vertAlign w:val="superscript"/>
          <w:rtl/>
        </w:rPr>
        <w:t>)</w:t>
      </w:r>
    </w:p>
    <w:tbl>
      <w:tblPr>
        <w:tblpPr w:leftFromText="180" w:rightFromText="180" w:vertAnchor="text" w:horzAnchor="margin" w:tblpY="3"/>
        <w:bidiVisual/>
        <w:tblW w:w="0" w:type="auto"/>
        <w:tblBorders>
          <w:top w:val="single" w:sz="8" w:space="0" w:color="9BBB59"/>
          <w:left w:val="single" w:sz="8" w:space="0" w:color="9BBB59"/>
          <w:bottom w:val="single" w:sz="8" w:space="0" w:color="9BBB59"/>
          <w:right w:val="single" w:sz="8" w:space="0" w:color="9BBB59"/>
        </w:tblBorders>
        <w:tblLayout w:type="fixed"/>
        <w:tblLook w:val="00A0" w:firstRow="1" w:lastRow="0" w:firstColumn="1" w:lastColumn="0" w:noHBand="0" w:noVBand="0"/>
      </w:tblPr>
      <w:tblGrid>
        <w:gridCol w:w="3012"/>
        <w:gridCol w:w="2375"/>
        <w:gridCol w:w="2268"/>
        <w:gridCol w:w="1843"/>
      </w:tblGrid>
      <w:tr w:rsidR="00335E4B" w:rsidRPr="00335E4B" w:rsidTr="00D002D1">
        <w:tc>
          <w:tcPr>
            <w:tcW w:w="3012" w:type="dxa"/>
            <w:tcBorders>
              <w:top w:val="single" w:sz="8" w:space="0" w:color="9BBB59"/>
              <w:bottom w:val="nil"/>
              <w:right w:val="nil"/>
            </w:tcBorders>
            <w:shd w:val="clear" w:color="auto" w:fill="9BBB59"/>
            <w:vAlign w:val="center"/>
          </w:tcPr>
          <w:p w:rsidR="00335E4B" w:rsidRPr="00335E4B" w:rsidRDefault="00335E4B" w:rsidP="00335E4B">
            <w:pPr>
              <w:spacing w:after="60" w:line="300" w:lineRule="exact"/>
              <w:jc w:val="center"/>
              <w:rPr>
                <w:rFonts w:cs="Traditional Arabic"/>
                <w:bCs/>
                <w:sz w:val="18"/>
                <w:szCs w:val="30"/>
                <w:rtl/>
              </w:rPr>
            </w:pPr>
            <w:r w:rsidRPr="00335E4B">
              <w:rPr>
                <w:rFonts w:cs="Traditional Arabic"/>
                <w:sz w:val="18"/>
                <w:szCs w:val="30"/>
                <w:rtl/>
              </w:rPr>
              <w:t>تدفق الغاز</w:t>
            </w:r>
            <w:r w:rsidRPr="00335E4B">
              <w:rPr>
                <w:rFonts w:cs="Traditional Arabic"/>
                <w:sz w:val="18"/>
                <w:szCs w:val="30"/>
                <w:rtl/>
                <w:lang w:val="en-GB" w:bidi="ar-EG"/>
              </w:rPr>
              <w:t xml:space="preserve"> 000 30 </w:t>
            </w:r>
            <w:r w:rsidRPr="00335E4B">
              <w:rPr>
                <w:rFonts w:cs="Traditional Arabic"/>
                <w:sz w:val="18"/>
                <w:szCs w:val="30"/>
                <w:rtl/>
              </w:rPr>
              <w:t xml:space="preserve">متر مكعب في الظروف العادية كل ساعة </w:t>
            </w:r>
            <w:r w:rsidRPr="00335E4B">
              <w:rPr>
                <w:rFonts w:cs="Times New Roman"/>
                <w:sz w:val="18"/>
                <w:szCs w:val="18"/>
                <w:rtl/>
              </w:rPr>
              <w:t>(</w:t>
            </w:r>
            <w:r w:rsidRPr="00335E4B">
              <w:rPr>
                <w:rFonts w:cs="Times New Roman"/>
                <w:sz w:val="18"/>
                <w:szCs w:val="18"/>
                <w:lang w:val="en-GB" w:bidi="ar-EG"/>
              </w:rPr>
              <w:t>Nm</w:t>
            </w:r>
            <w:r w:rsidRPr="00335E4B">
              <w:rPr>
                <w:rFonts w:cs="Times New Roman"/>
                <w:sz w:val="18"/>
                <w:szCs w:val="18"/>
                <w:vertAlign w:val="superscript"/>
                <w:lang w:val="en-GB" w:bidi="ar-EG"/>
              </w:rPr>
              <w:t>3</w:t>
            </w:r>
            <w:r w:rsidRPr="00335E4B">
              <w:rPr>
                <w:rFonts w:cs="Times New Roman"/>
                <w:sz w:val="18"/>
                <w:szCs w:val="18"/>
                <w:lang w:val="en-GB" w:bidi="ar-EG"/>
              </w:rPr>
              <w:t>/h</w:t>
            </w:r>
            <w:r w:rsidRPr="00335E4B">
              <w:rPr>
                <w:rFonts w:cs="Times New Roman"/>
                <w:sz w:val="18"/>
                <w:szCs w:val="18"/>
                <w:rtl/>
              </w:rPr>
              <w:t>)</w:t>
            </w:r>
          </w:p>
        </w:tc>
        <w:tc>
          <w:tcPr>
            <w:tcW w:w="2375" w:type="dxa"/>
            <w:tcBorders>
              <w:top w:val="single" w:sz="8" w:space="0" w:color="9BBB59"/>
              <w:left w:val="single" w:sz="8" w:space="0" w:color="9BBB59"/>
              <w:bottom w:val="nil"/>
              <w:right w:val="single" w:sz="8" w:space="0" w:color="9BBB59"/>
            </w:tcBorders>
            <w:shd w:val="clear" w:color="auto" w:fill="9BBB59"/>
            <w:vAlign w:val="center"/>
          </w:tcPr>
          <w:p w:rsidR="00335E4B" w:rsidRPr="00335E4B" w:rsidRDefault="00335E4B" w:rsidP="00335E4B">
            <w:pPr>
              <w:spacing w:after="60" w:line="300" w:lineRule="exact"/>
              <w:jc w:val="center"/>
              <w:rPr>
                <w:rFonts w:cs="Traditional Arabic"/>
                <w:bCs/>
                <w:sz w:val="18"/>
                <w:szCs w:val="30"/>
                <w:rtl/>
              </w:rPr>
            </w:pPr>
            <w:r w:rsidRPr="00335E4B">
              <w:rPr>
                <w:rFonts w:cs="Traditional Arabic"/>
                <w:sz w:val="18"/>
                <w:szCs w:val="30"/>
                <w:rtl/>
              </w:rPr>
              <w:t>قبل</w:t>
            </w:r>
            <w:r w:rsidRPr="00335E4B">
              <w:rPr>
                <w:rFonts w:cs="Traditional Arabic"/>
                <w:sz w:val="18"/>
                <w:szCs w:val="30"/>
                <w:rtl/>
                <w:lang w:val="en-GB" w:bidi="ar-EG"/>
              </w:rPr>
              <w:t xml:space="preserve"> [</w:t>
            </w:r>
            <w:r w:rsidRPr="00335E4B">
              <w:rPr>
                <w:rFonts w:cs="Traditional Arabic"/>
                <w:sz w:val="18"/>
                <w:szCs w:val="30"/>
                <w:rtl/>
              </w:rPr>
              <w:t>ميكروغرام</w:t>
            </w:r>
            <w:r w:rsidRPr="00335E4B">
              <w:rPr>
                <w:rFonts w:cs="Traditional Arabic"/>
                <w:sz w:val="18"/>
                <w:szCs w:val="30"/>
                <w:rtl/>
                <w:lang w:val="en-GB" w:bidi="ar-EG"/>
              </w:rPr>
              <w:t>/</w:t>
            </w:r>
            <w:r w:rsidRPr="00335E4B">
              <w:rPr>
                <w:rFonts w:cs="Traditional Arabic"/>
                <w:sz w:val="18"/>
                <w:szCs w:val="30"/>
                <w:rtl/>
              </w:rPr>
              <w:t>متر مكعب في الظروف العادية</w:t>
            </w:r>
            <w:r w:rsidRPr="00335E4B">
              <w:rPr>
                <w:rFonts w:cs="Traditional Arabic"/>
                <w:sz w:val="18"/>
                <w:szCs w:val="30"/>
                <w:rtl/>
                <w:lang w:val="en-GB" w:bidi="ar-EG"/>
              </w:rPr>
              <w:t xml:space="preserve">] </w:t>
            </w:r>
            <w:r w:rsidRPr="00335E4B">
              <w:rPr>
                <w:rFonts w:cs="Times New Roman"/>
                <w:sz w:val="18"/>
                <w:szCs w:val="18"/>
                <w:rtl/>
                <w:lang w:val="en-GB" w:bidi="ar-EG"/>
              </w:rPr>
              <w:t>[</w:t>
            </w:r>
            <w:r w:rsidRPr="00335E4B">
              <w:rPr>
                <w:rFonts w:cs="Times New Roman"/>
                <w:sz w:val="18"/>
                <w:szCs w:val="18"/>
              </w:rPr>
              <w:t>μ</w:t>
            </w:r>
            <w:r w:rsidRPr="00335E4B">
              <w:rPr>
                <w:rFonts w:cs="Times New Roman"/>
                <w:sz w:val="18"/>
                <w:szCs w:val="18"/>
                <w:lang w:val="en-GB" w:bidi="ar-EG"/>
              </w:rPr>
              <w:t>g/Nm</w:t>
            </w:r>
            <w:r w:rsidRPr="00335E4B">
              <w:rPr>
                <w:rFonts w:cs="Times New Roman"/>
                <w:sz w:val="18"/>
                <w:szCs w:val="18"/>
                <w:vertAlign w:val="superscript"/>
                <w:lang w:val="en-GB" w:bidi="ar-EG"/>
              </w:rPr>
              <w:t>3</w:t>
            </w:r>
            <w:r w:rsidRPr="00335E4B">
              <w:rPr>
                <w:rFonts w:cs="Times New Roman"/>
                <w:sz w:val="18"/>
                <w:szCs w:val="18"/>
                <w:rtl/>
                <w:lang w:val="en-GB" w:bidi="ar-EG"/>
              </w:rPr>
              <w:t>]</w:t>
            </w:r>
          </w:p>
        </w:tc>
        <w:tc>
          <w:tcPr>
            <w:tcW w:w="2268" w:type="dxa"/>
            <w:tcBorders>
              <w:top w:val="single" w:sz="8" w:space="0" w:color="9BBB59"/>
              <w:left w:val="nil"/>
              <w:bottom w:val="nil"/>
              <w:right w:val="nil"/>
            </w:tcBorders>
            <w:shd w:val="clear" w:color="auto" w:fill="9BBB59"/>
            <w:vAlign w:val="center"/>
          </w:tcPr>
          <w:p w:rsidR="00335E4B" w:rsidRPr="00335E4B" w:rsidRDefault="00335E4B" w:rsidP="00335E4B">
            <w:pPr>
              <w:spacing w:after="60" w:line="300" w:lineRule="exact"/>
              <w:jc w:val="center"/>
              <w:rPr>
                <w:rFonts w:cs="Traditional Arabic"/>
                <w:bCs/>
                <w:sz w:val="18"/>
                <w:szCs w:val="30"/>
                <w:rtl/>
              </w:rPr>
            </w:pPr>
            <w:r w:rsidRPr="00335E4B">
              <w:rPr>
                <w:rFonts w:cs="Traditional Arabic"/>
                <w:sz w:val="18"/>
                <w:szCs w:val="30"/>
                <w:rtl/>
              </w:rPr>
              <w:t>بعد</w:t>
            </w:r>
            <w:r w:rsidRPr="00335E4B">
              <w:rPr>
                <w:rFonts w:cs="Traditional Arabic"/>
                <w:sz w:val="18"/>
                <w:szCs w:val="30"/>
                <w:rtl/>
                <w:lang w:val="en-GB" w:bidi="ar-EG"/>
              </w:rPr>
              <w:t xml:space="preserve"> </w:t>
            </w:r>
            <w:r w:rsidRPr="00335E4B">
              <w:rPr>
                <w:rFonts w:cs="Times New Roman"/>
                <w:sz w:val="18"/>
                <w:szCs w:val="18"/>
                <w:rtl/>
                <w:lang w:val="en-GB" w:bidi="ar-EG"/>
              </w:rPr>
              <w:t>[</w:t>
            </w:r>
            <w:r w:rsidRPr="00335E4B">
              <w:rPr>
                <w:rFonts w:cs="Times New Roman"/>
                <w:sz w:val="18"/>
                <w:szCs w:val="18"/>
              </w:rPr>
              <w:t>μ</w:t>
            </w:r>
            <w:r w:rsidRPr="00335E4B">
              <w:rPr>
                <w:rFonts w:cs="Times New Roman"/>
                <w:sz w:val="18"/>
                <w:szCs w:val="18"/>
                <w:lang w:val="en-GB" w:bidi="ar-EG"/>
              </w:rPr>
              <w:t>g/Nm</w:t>
            </w:r>
            <w:r w:rsidRPr="00335E4B">
              <w:rPr>
                <w:rFonts w:cs="Times New Roman"/>
                <w:sz w:val="18"/>
                <w:szCs w:val="18"/>
                <w:vertAlign w:val="superscript"/>
                <w:lang w:val="en-GB" w:bidi="ar-EG"/>
              </w:rPr>
              <w:t>3</w:t>
            </w:r>
            <w:r w:rsidRPr="00335E4B">
              <w:rPr>
                <w:rFonts w:cs="Times New Roman"/>
                <w:sz w:val="18"/>
                <w:szCs w:val="18"/>
                <w:rtl/>
                <w:lang w:val="en-GB" w:bidi="ar-EG"/>
              </w:rPr>
              <w:t>]</w:t>
            </w:r>
          </w:p>
        </w:tc>
        <w:tc>
          <w:tcPr>
            <w:tcW w:w="1843" w:type="dxa"/>
            <w:tcBorders>
              <w:top w:val="single" w:sz="8" w:space="0" w:color="9BBB59"/>
              <w:left w:val="single" w:sz="8" w:space="0" w:color="9BBB59"/>
              <w:bottom w:val="nil"/>
            </w:tcBorders>
            <w:shd w:val="clear" w:color="auto" w:fill="9BBB59"/>
            <w:vAlign w:val="center"/>
          </w:tcPr>
          <w:p w:rsidR="00335E4B" w:rsidRPr="00335E4B" w:rsidRDefault="00335E4B" w:rsidP="00335E4B">
            <w:pPr>
              <w:spacing w:after="60" w:line="300" w:lineRule="exact"/>
              <w:jc w:val="center"/>
              <w:rPr>
                <w:rFonts w:cs="Traditional Arabic"/>
                <w:bCs/>
                <w:sz w:val="18"/>
                <w:szCs w:val="30"/>
                <w:rtl/>
              </w:rPr>
            </w:pPr>
            <w:r w:rsidRPr="00335E4B">
              <w:rPr>
                <w:rFonts w:cs="Traditional Arabic"/>
                <w:sz w:val="18"/>
                <w:szCs w:val="30"/>
                <w:rtl/>
              </w:rPr>
              <w:t>كفاءة التقليل</w:t>
            </w:r>
            <w:r w:rsidRPr="00335E4B">
              <w:rPr>
                <w:rFonts w:cs="Traditional Arabic"/>
                <w:sz w:val="18"/>
                <w:szCs w:val="30"/>
                <w:rtl/>
                <w:lang w:val="en-GB" w:bidi="ar-EG"/>
              </w:rPr>
              <w:t xml:space="preserve"> [</w:t>
            </w:r>
            <w:r w:rsidRPr="00335E4B">
              <w:rPr>
                <w:rFonts w:cs="Traditional Arabic"/>
                <w:sz w:val="18"/>
                <w:szCs w:val="30"/>
                <w:rtl/>
              </w:rPr>
              <w:t>النسبة المئوية</w:t>
            </w:r>
            <w:r w:rsidRPr="00335E4B">
              <w:rPr>
                <w:rFonts w:cs="Traditional Arabic"/>
                <w:sz w:val="18"/>
                <w:szCs w:val="30"/>
                <w:rtl/>
                <w:lang w:val="en-GB" w:bidi="ar-EG"/>
              </w:rPr>
              <w:t>]</w:t>
            </w:r>
          </w:p>
        </w:tc>
      </w:tr>
      <w:tr w:rsidR="00335E4B" w:rsidRPr="00335E4B" w:rsidTr="00D002D1">
        <w:tc>
          <w:tcPr>
            <w:tcW w:w="3012" w:type="dxa"/>
            <w:tcBorders>
              <w:top w:val="single" w:sz="8" w:space="0" w:color="9BBB59"/>
              <w:bottom w:val="single" w:sz="8" w:space="0" w:color="9BBB59"/>
              <w:right w:val="nil"/>
            </w:tcBorders>
          </w:tcPr>
          <w:p w:rsidR="00335E4B" w:rsidRPr="00335E4B" w:rsidRDefault="00335E4B" w:rsidP="00335E4B">
            <w:pPr>
              <w:spacing w:after="60" w:line="340" w:lineRule="exact"/>
              <w:jc w:val="both"/>
              <w:rPr>
                <w:rFonts w:cs="Traditional Arabic"/>
                <w:sz w:val="18"/>
                <w:szCs w:val="30"/>
                <w:rtl/>
              </w:rPr>
            </w:pPr>
            <w:r w:rsidRPr="00335E4B">
              <w:rPr>
                <w:rFonts w:cs="Traditional Arabic" w:hint="cs"/>
                <w:sz w:val="18"/>
                <w:szCs w:val="30"/>
                <w:rtl/>
              </w:rPr>
              <w:t>تركيز عال</w:t>
            </w:r>
            <w:r w:rsidRPr="00335E4B">
              <w:rPr>
                <w:rFonts w:cs="Traditional Arabic"/>
                <w:sz w:val="18"/>
                <w:szCs w:val="30"/>
                <w:rtl/>
              </w:rPr>
              <w:t xml:space="preserve"> عند منفذ الدخول</w:t>
            </w:r>
          </w:p>
        </w:tc>
        <w:tc>
          <w:tcPr>
            <w:tcW w:w="2375" w:type="dxa"/>
            <w:tcBorders>
              <w:top w:val="single" w:sz="8" w:space="0" w:color="9BBB59"/>
              <w:left w:val="single" w:sz="8" w:space="0" w:color="9BBB59"/>
              <w:bottom w:val="single" w:sz="8" w:space="0" w:color="9BBB59"/>
              <w:right w:val="single" w:sz="8" w:space="0" w:color="9BBB59"/>
            </w:tcBorders>
          </w:tcPr>
          <w:p w:rsidR="00335E4B" w:rsidRPr="00335E4B" w:rsidRDefault="00335E4B" w:rsidP="00335E4B">
            <w:pPr>
              <w:spacing w:after="60" w:line="340" w:lineRule="exact"/>
              <w:jc w:val="center"/>
              <w:rPr>
                <w:rFonts w:cs="Traditional Arabic"/>
                <w:sz w:val="18"/>
                <w:szCs w:val="30"/>
                <w:rtl/>
              </w:rPr>
            </w:pPr>
            <w:r w:rsidRPr="00335E4B">
              <w:rPr>
                <w:rFonts w:cs="Traditional Arabic" w:hint="cs"/>
                <w:sz w:val="18"/>
                <w:szCs w:val="30"/>
                <w:rtl/>
              </w:rPr>
              <w:t>9879</w:t>
            </w:r>
          </w:p>
        </w:tc>
        <w:tc>
          <w:tcPr>
            <w:tcW w:w="2268" w:type="dxa"/>
            <w:tcBorders>
              <w:top w:val="single" w:sz="8" w:space="0" w:color="9BBB59"/>
              <w:left w:val="nil"/>
              <w:bottom w:val="single" w:sz="8" w:space="0" w:color="9BBB59"/>
              <w:right w:val="nil"/>
            </w:tcBorders>
          </w:tcPr>
          <w:p w:rsidR="00335E4B" w:rsidRPr="00335E4B" w:rsidRDefault="00335E4B" w:rsidP="00335E4B">
            <w:pPr>
              <w:spacing w:after="60" w:line="340" w:lineRule="exact"/>
              <w:jc w:val="center"/>
              <w:rPr>
                <w:rFonts w:cs="Traditional Arabic"/>
                <w:sz w:val="18"/>
                <w:szCs w:val="30"/>
                <w:rtl/>
              </w:rPr>
            </w:pPr>
            <w:r w:rsidRPr="00335E4B">
              <w:rPr>
                <w:rFonts w:cs="Traditional Arabic" w:hint="cs"/>
                <w:sz w:val="18"/>
                <w:szCs w:val="30"/>
                <w:rtl/>
              </w:rPr>
              <w:t>30</w:t>
            </w:r>
          </w:p>
        </w:tc>
        <w:tc>
          <w:tcPr>
            <w:tcW w:w="1843" w:type="dxa"/>
            <w:tcBorders>
              <w:top w:val="single" w:sz="8" w:space="0" w:color="9BBB59"/>
              <w:left w:val="single" w:sz="8" w:space="0" w:color="9BBB59"/>
              <w:bottom w:val="single" w:sz="8" w:space="0" w:color="9BBB59"/>
            </w:tcBorders>
          </w:tcPr>
          <w:p w:rsidR="00335E4B" w:rsidRPr="00335E4B" w:rsidRDefault="00335E4B" w:rsidP="00335E4B">
            <w:pPr>
              <w:spacing w:after="60" w:line="340" w:lineRule="exact"/>
              <w:jc w:val="center"/>
              <w:rPr>
                <w:rFonts w:cs="Traditional Arabic"/>
                <w:sz w:val="18"/>
                <w:szCs w:val="30"/>
                <w:rtl/>
              </w:rPr>
            </w:pPr>
            <w:r w:rsidRPr="00335E4B">
              <w:rPr>
                <w:rFonts w:cs="Traditional Arabic" w:hint="cs"/>
                <w:sz w:val="18"/>
                <w:szCs w:val="30"/>
                <w:rtl/>
              </w:rPr>
              <w:t>99,7</w:t>
            </w:r>
          </w:p>
        </w:tc>
      </w:tr>
      <w:tr w:rsidR="00335E4B" w:rsidRPr="00335E4B" w:rsidTr="00D002D1">
        <w:tc>
          <w:tcPr>
            <w:tcW w:w="3012" w:type="dxa"/>
            <w:tcBorders>
              <w:top w:val="nil"/>
              <w:bottom w:val="single" w:sz="8" w:space="0" w:color="9BBB59"/>
              <w:right w:val="nil"/>
            </w:tcBorders>
          </w:tcPr>
          <w:p w:rsidR="00335E4B" w:rsidRPr="00335E4B" w:rsidRDefault="00335E4B" w:rsidP="00335E4B">
            <w:pPr>
              <w:spacing w:after="60" w:line="340" w:lineRule="exact"/>
              <w:jc w:val="both"/>
              <w:rPr>
                <w:rFonts w:cs="Traditional Arabic"/>
                <w:sz w:val="18"/>
                <w:szCs w:val="30"/>
                <w:rtl/>
              </w:rPr>
            </w:pPr>
            <w:r w:rsidRPr="00335E4B">
              <w:rPr>
                <w:rFonts w:cs="Traditional Arabic" w:hint="cs"/>
                <w:sz w:val="18"/>
                <w:szCs w:val="30"/>
                <w:rtl/>
              </w:rPr>
              <w:t>تركيز</w:t>
            </w:r>
            <w:r w:rsidRPr="00335E4B">
              <w:rPr>
                <w:rFonts w:cs="Traditional Arabic"/>
                <w:sz w:val="18"/>
                <w:szCs w:val="30"/>
                <w:rtl/>
              </w:rPr>
              <w:t xml:space="preserve"> منخفض عند منفذ الدخول</w:t>
            </w:r>
          </w:p>
        </w:tc>
        <w:tc>
          <w:tcPr>
            <w:tcW w:w="2375" w:type="dxa"/>
            <w:tcBorders>
              <w:top w:val="nil"/>
              <w:left w:val="single" w:sz="8" w:space="0" w:color="9BBB59"/>
              <w:bottom w:val="single" w:sz="8" w:space="0" w:color="9BBB59"/>
              <w:right w:val="single" w:sz="8" w:space="0" w:color="9BBB59"/>
            </w:tcBorders>
          </w:tcPr>
          <w:p w:rsidR="00335E4B" w:rsidRPr="00335E4B" w:rsidRDefault="00335E4B" w:rsidP="00335E4B">
            <w:pPr>
              <w:spacing w:after="60" w:line="340" w:lineRule="exact"/>
              <w:jc w:val="center"/>
              <w:rPr>
                <w:rFonts w:cs="Traditional Arabic"/>
                <w:sz w:val="18"/>
                <w:szCs w:val="30"/>
                <w:rtl/>
              </w:rPr>
            </w:pPr>
            <w:r w:rsidRPr="00335E4B">
              <w:rPr>
                <w:rFonts w:cs="Traditional Arabic" w:hint="cs"/>
                <w:sz w:val="18"/>
                <w:szCs w:val="30"/>
                <w:rtl/>
              </w:rPr>
              <w:t>51</w:t>
            </w:r>
          </w:p>
        </w:tc>
        <w:tc>
          <w:tcPr>
            <w:tcW w:w="2268" w:type="dxa"/>
            <w:tcBorders>
              <w:top w:val="nil"/>
              <w:left w:val="nil"/>
              <w:bottom w:val="single" w:sz="8" w:space="0" w:color="9BBB59"/>
              <w:right w:val="nil"/>
            </w:tcBorders>
          </w:tcPr>
          <w:p w:rsidR="00335E4B" w:rsidRPr="00335E4B" w:rsidRDefault="00335E4B" w:rsidP="00335E4B">
            <w:pPr>
              <w:spacing w:after="60" w:line="340" w:lineRule="exact"/>
              <w:jc w:val="center"/>
              <w:rPr>
                <w:rFonts w:cs="Traditional Arabic"/>
                <w:sz w:val="18"/>
                <w:szCs w:val="30"/>
                <w:rtl/>
              </w:rPr>
            </w:pPr>
            <w:r w:rsidRPr="00335E4B">
              <w:rPr>
                <w:rFonts w:cs="Traditional Arabic" w:hint="cs"/>
                <w:sz w:val="18"/>
                <w:szCs w:val="30"/>
                <w:rtl/>
              </w:rPr>
              <w:t>13</w:t>
            </w:r>
          </w:p>
        </w:tc>
        <w:tc>
          <w:tcPr>
            <w:tcW w:w="1843" w:type="dxa"/>
            <w:tcBorders>
              <w:top w:val="nil"/>
              <w:left w:val="single" w:sz="8" w:space="0" w:color="9BBB59"/>
              <w:bottom w:val="single" w:sz="8" w:space="0" w:color="9BBB59"/>
            </w:tcBorders>
          </w:tcPr>
          <w:p w:rsidR="00335E4B" w:rsidRPr="00335E4B" w:rsidRDefault="00335E4B" w:rsidP="00335E4B">
            <w:pPr>
              <w:spacing w:after="60" w:line="340" w:lineRule="exact"/>
              <w:jc w:val="center"/>
              <w:rPr>
                <w:rFonts w:cs="Traditional Arabic"/>
                <w:sz w:val="18"/>
                <w:szCs w:val="30"/>
                <w:rtl/>
              </w:rPr>
            </w:pPr>
            <w:r w:rsidRPr="00335E4B">
              <w:rPr>
                <w:rFonts w:cs="Traditional Arabic" w:hint="cs"/>
                <w:sz w:val="18"/>
                <w:szCs w:val="30"/>
                <w:rtl/>
              </w:rPr>
              <w:t>74</w:t>
            </w:r>
          </w:p>
        </w:tc>
      </w:tr>
    </w:tbl>
    <w:p w:rsidR="00335E4B" w:rsidRPr="00335E4B" w:rsidRDefault="0075735A" w:rsidP="00E22079">
      <w:pPr>
        <w:keepNext/>
        <w:tabs>
          <w:tab w:val="left" w:pos="991"/>
        </w:tabs>
        <w:spacing w:before="120" w:after="120" w:line="400" w:lineRule="exact"/>
        <w:jc w:val="both"/>
        <w:outlineLvl w:val="0"/>
        <w:rPr>
          <w:rFonts w:cs="Traditional Arabic"/>
          <w:b/>
          <w:bCs/>
          <w:sz w:val="20"/>
          <w:szCs w:val="30"/>
          <w:rtl/>
          <w:lang w:bidi="ar-EG"/>
        </w:rPr>
      </w:pPr>
      <w:bookmarkStart w:id="1592" w:name="_Toc433095417"/>
      <w:bookmarkStart w:id="1593" w:name="_Toc434239951"/>
      <w:bookmarkStart w:id="1594" w:name="_Toc440550546"/>
      <w:bookmarkStart w:id="1595" w:name="_Toc441577805"/>
      <w:bookmarkStart w:id="1596" w:name="_Toc441577984"/>
      <w:bookmarkStart w:id="1597" w:name="_Toc441580818"/>
      <w:bookmarkStart w:id="1598" w:name="_Toc441585949"/>
      <w:bookmarkStart w:id="1599" w:name="_Toc441586285"/>
      <w:bookmarkStart w:id="1600" w:name="_Toc441586735"/>
      <w:bookmarkStart w:id="1601" w:name="_Toc441586914"/>
      <w:bookmarkStart w:id="1602" w:name="_Toc441666763"/>
      <w:bookmarkStart w:id="1603" w:name="_Toc441673824"/>
      <w:r>
        <w:rPr>
          <w:rFonts w:cs="Traditional Arabic" w:hint="cs"/>
          <w:b/>
          <w:bCs/>
          <w:sz w:val="20"/>
          <w:szCs w:val="30"/>
          <w:rtl/>
          <w:lang w:bidi="ar-EG"/>
        </w:rPr>
        <w:t xml:space="preserve">3-1-4 </w:t>
      </w:r>
      <w:r w:rsidR="00335E4B" w:rsidRPr="00335E4B">
        <w:rPr>
          <w:rFonts w:cs="Traditional Arabic"/>
          <w:b/>
          <w:bCs/>
          <w:sz w:val="20"/>
          <w:szCs w:val="30"/>
          <w:rtl/>
          <w:lang w:bidi="ar-EG"/>
        </w:rPr>
        <w:t xml:space="preserve">الآثار </w:t>
      </w:r>
      <w:r w:rsidR="00335E4B" w:rsidRPr="00335E4B">
        <w:rPr>
          <w:rFonts w:cs="Traditional Arabic" w:hint="cs"/>
          <w:b/>
          <w:bCs/>
          <w:sz w:val="20"/>
          <w:szCs w:val="30"/>
          <w:rtl/>
          <w:lang w:bidi="ar-EG"/>
        </w:rPr>
        <w:t>الشاملة ل</w:t>
      </w:r>
      <w:r w:rsidR="00E22079">
        <w:rPr>
          <w:rFonts w:cs="Traditional Arabic" w:hint="cs"/>
          <w:b/>
          <w:bCs/>
          <w:sz w:val="20"/>
          <w:szCs w:val="30"/>
          <w:rtl/>
          <w:lang w:bidi="ar-EG"/>
        </w:rPr>
        <w:t>عدة أوساط</w:t>
      </w:r>
      <w:bookmarkEnd w:id="1592"/>
      <w:bookmarkEnd w:id="1593"/>
      <w:bookmarkEnd w:id="1594"/>
      <w:bookmarkEnd w:id="1595"/>
      <w:bookmarkEnd w:id="1596"/>
      <w:bookmarkEnd w:id="1597"/>
      <w:bookmarkEnd w:id="1598"/>
      <w:bookmarkEnd w:id="1599"/>
      <w:bookmarkEnd w:id="1600"/>
      <w:bookmarkEnd w:id="1601"/>
      <w:bookmarkEnd w:id="1602"/>
      <w:bookmarkEnd w:id="1603"/>
    </w:p>
    <w:p w:rsidR="00335E4B" w:rsidRPr="00335E4B" w:rsidRDefault="00335E4B" w:rsidP="006F7165">
      <w:pPr>
        <w:spacing w:after="120" w:line="400" w:lineRule="exact"/>
        <w:jc w:val="both"/>
        <w:rPr>
          <w:rFonts w:cs="Traditional Arabic"/>
          <w:sz w:val="20"/>
          <w:szCs w:val="30"/>
          <w:rtl/>
        </w:rPr>
      </w:pPr>
      <w:r w:rsidRPr="00335E4B">
        <w:rPr>
          <w:rFonts w:cs="Traditional Arabic"/>
          <w:sz w:val="20"/>
          <w:szCs w:val="30"/>
          <w:rtl/>
        </w:rPr>
        <w:t xml:space="preserve">تشمل الآثار الناتجة عن العملية </w:t>
      </w:r>
      <w:r w:rsidRPr="00335E4B">
        <w:rPr>
          <w:rFonts w:cs="Traditional Arabic" w:hint="cs"/>
          <w:sz w:val="20"/>
          <w:szCs w:val="30"/>
          <w:rtl/>
        </w:rPr>
        <w:t xml:space="preserve">والشاملة لعدة </w:t>
      </w:r>
      <w:r w:rsidR="006F7165" w:rsidRPr="006F7165">
        <w:rPr>
          <w:rFonts w:cs="Traditional Arabic"/>
          <w:sz w:val="20"/>
          <w:szCs w:val="30"/>
          <w:rtl/>
        </w:rPr>
        <w:t xml:space="preserve">أوساط </w:t>
      </w:r>
      <w:r w:rsidRPr="00335E4B">
        <w:rPr>
          <w:rFonts w:cs="Traditional Arabic"/>
          <w:sz w:val="20"/>
          <w:szCs w:val="30"/>
          <w:rtl/>
        </w:rPr>
        <w:t>ما يلي</w:t>
      </w:r>
      <w:r w:rsidRPr="00335E4B">
        <w:rPr>
          <w:rFonts w:cs="Traditional Arabic"/>
          <w:sz w:val="20"/>
          <w:szCs w:val="30"/>
          <w:rtl/>
          <w:lang w:val="en-GB" w:bidi="ar-EG"/>
        </w:rPr>
        <w:t>:</w:t>
      </w:r>
    </w:p>
    <w:p w:rsidR="00335E4B" w:rsidRPr="00335E4B" w:rsidRDefault="00335E4B" w:rsidP="00335E4B">
      <w:pPr>
        <w:numPr>
          <w:ilvl w:val="0"/>
          <w:numId w:val="15"/>
        </w:numPr>
        <w:tabs>
          <w:tab w:val="left" w:pos="849"/>
        </w:tabs>
        <w:spacing w:after="120" w:line="400" w:lineRule="exact"/>
        <w:ind w:left="424" w:hanging="2"/>
        <w:jc w:val="both"/>
        <w:rPr>
          <w:rFonts w:cs="Traditional Arabic"/>
          <w:sz w:val="20"/>
          <w:szCs w:val="30"/>
          <w:rtl/>
        </w:rPr>
      </w:pPr>
      <w:r w:rsidRPr="00335E4B">
        <w:rPr>
          <w:rFonts w:cs="Traditional Arabic"/>
          <w:sz w:val="20"/>
          <w:szCs w:val="30"/>
          <w:rtl/>
        </w:rPr>
        <w:t>الآثار على الهواء والماء بسبب إنتاج نفايات الكالوميل الصلبة، عن طريق نض أو تبخير الزئبق</w:t>
      </w:r>
      <w:r w:rsidRPr="00335E4B">
        <w:rPr>
          <w:rFonts w:cs="Traditional Arabic"/>
          <w:sz w:val="20"/>
          <w:szCs w:val="30"/>
          <w:rtl/>
          <w:lang w:val="en-GB" w:bidi="ar-EG"/>
        </w:rPr>
        <w:t>.</w:t>
      </w:r>
    </w:p>
    <w:p w:rsidR="00335E4B" w:rsidRPr="00335E4B" w:rsidRDefault="00D55641" w:rsidP="00335E4B">
      <w:pPr>
        <w:keepNext/>
        <w:tabs>
          <w:tab w:val="left" w:pos="991"/>
        </w:tabs>
        <w:spacing w:after="120" w:line="400" w:lineRule="exact"/>
        <w:jc w:val="both"/>
        <w:outlineLvl w:val="0"/>
        <w:rPr>
          <w:rFonts w:cs="Traditional Arabic"/>
          <w:b/>
          <w:bCs/>
          <w:sz w:val="20"/>
          <w:szCs w:val="30"/>
          <w:rtl/>
          <w:lang w:bidi="ar-EG"/>
        </w:rPr>
      </w:pPr>
      <w:bookmarkStart w:id="1604" w:name="_Toc433095418"/>
      <w:bookmarkStart w:id="1605" w:name="_Toc434239952"/>
      <w:bookmarkStart w:id="1606" w:name="_Toc440550547"/>
      <w:bookmarkStart w:id="1607" w:name="_Toc441577806"/>
      <w:bookmarkStart w:id="1608" w:name="_Toc441577985"/>
      <w:bookmarkStart w:id="1609" w:name="_Toc441580819"/>
      <w:bookmarkStart w:id="1610" w:name="_Toc441585950"/>
      <w:bookmarkStart w:id="1611" w:name="_Toc441586286"/>
      <w:bookmarkStart w:id="1612" w:name="_Toc441586736"/>
      <w:bookmarkStart w:id="1613" w:name="_Toc441586915"/>
      <w:bookmarkStart w:id="1614" w:name="_Toc441666764"/>
      <w:bookmarkStart w:id="1615" w:name="_Toc441673825"/>
      <w:r>
        <w:rPr>
          <w:rFonts w:cs="Traditional Arabic" w:hint="cs"/>
          <w:b/>
          <w:bCs/>
          <w:sz w:val="20"/>
          <w:szCs w:val="30"/>
          <w:rtl/>
          <w:lang w:bidi="ar-EG"/>
        </w:rPr>
        <w:t>3-1-5</w:t>
      </w:r>
      <w:r>
        <w:rPr>
          <w:rFonts w:cs="Traditional Arabic" w:hint="cs"/>
          <w:b/>
          <w:bCs/>
          <w:sz w:val="20"/>
          <w:szCs w:val="30"/>
          <w:rtl/>
          <w:lang w:bidi="ar-EG"/>
        </w:rPr>
        <w:tab/>
      </w:r>
      <w:r w:rsidR="00335E4B" w:rsidRPr="00335E4B">
        <w:rPr>
          <w:rFonts w:cs="Traditional Arabic"/>
          <w:b/>
          <w:bCs/>
          <w:sz w:val="20"/>
          <w:szCs w:val="30"/>
          <w:rtl/>
          <w:lang w:bidi="ar-EG"/>
        </w:rPr>
        <w:t>تكاليف التركيب والتشغيل</w:t>
      </w:r>
      <w:bookmarkEnd w:id="1604"/>
      <w:bookmarkEnd w:id="1605"/>
      <w:bookmarkEnd w:id="1606"/>
      <w:bookmarkEnd w:id="1607"/>
      <w:bookmarkEnd w:id="1608"/>
      <w:bookmarkEnd w:id="1609"/>
      <w:bookmarkEnd w:id="1610"/>
      <w:bookmarkEnd w:id="1611"/>
      <w:bookmarkEnd w:id="1612"/>
      <w:bookmarkEnd w:id="1613"/>
      <w:bookmarkEnd w:id="1614"/>
      <w:bookmarkEnd w:id="1615"/>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نظراً لانخفاض درجة حرارة التشغيل (أقل من</w:t>
      </w:r>
      <w:r w:rsidRPr="00335E4B">
        <w:rPr>
          <w:rFonts w:cs="Traditional Arabic"/>
          <w:sz w:val="20"/>
          <w:szCs w:val="30"/>
          <w:rtl/>
          <w:lang w:val="en-GB" w:bidi="ar-EG"/>
        </w:rPr>
        <w:t xml:space="preserve"> 40 </w:t>
      </w:r>
      <w:r w:rsidRPr="00335E4B">
        <w:rPr>
          <w:rFonts w:cs="Traditional Arabic"/>
          <w:sz w:val="20"/>
          <w:szCs w:val="30"/>
          <w:rtl/>
        </w:rPr>
        <w:t xml:space="preserve">درجة مئوية)، تستخدم بصورة أساسية المواد البلاستيكية من أجل </w:t>
      </w:r>
      <w:r w:rsidRPr="00335E4B">
        <w:rPr>
          <w:rFonts w:cs="Traditional Arabic" w:hint="cs"/>
          <w:sz w:val="20"/>
          <w:szCs w:val="30"/>
          <w:rtl/>
        </w:rPr>
        <w:t>الإنشاء</w:t>
      </w:r>
      <w:r w:rsidRPr="00335E4B">
        <w:rPr>
          <w:rFonts w:cs="Traditional Arabic"/>
          <w:sz w:val="20"/>
          <w:szCs w:val="30"/>
          <w:rtl/>
          <w:lang w:val="en-GB"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وتكون تكاليف التشغيل منخفضة لأنها تقتصر على ما يلي</w:t>
      </w:r>
      <w:r w:rsidRPr="00335E4B">
        <w:rPr>
          <w:rFonts w:cs="Traditional Arabic"/>
          <w:sz w:val="20"/>
          <w:szCs w:val="30"/>
          <w:rtl/>
          <w:lang w:val="en-GB" w:bidi="ar-EG"/>
        </w:rPr>
        <w:t>:</w:t>
      </w:r>
      <w:r w:rsidRPr="00335E4B">
        <w:rPr>
          <w:rFonts w:cs="Traditional Arabic"/>
          <w:sz w:val="20"/>
          <w:szCs w:val="30"/>
          <w:rtl/>
        </w:rPr>
        <w:t xml:space="preserve"> </w:t>
      </w:r>
    </w:p>
    <w:p w:rsidR="00335E4B" w:rsidRPr="00335E4B" w:rsidRDefault="00335E4B" w:rsidP="00335E4B">
      <w:pPr>
        <w:numPr>
          <w:ilvl w:val="0"/>
          <w:numId w:val="15"/>
        </w:numPr>
        <w:tabs>
          <w:tab w:val="left" w:pos="849"/>
        </w:tabs>
        <w:spacing w:line="400" w:lineRule="exact"/>
        <w:ind w:left="425" w:firstLine="0"/>
        <w:jc w:val="both"/>
        <w:rPr>
          <w:rFonts w:cs="Traditional Arabic"/>
          <w:sz w:val="20"/>
          <w:szCs w:val="30"/>
          <w:rtl/>
        </w:rPr>
      </w:pPr>
      <w:r w:rsidRPr="00335E4B">
        <w:rPr>
          <w:rFonts w:cs="Traditional Arabic"/>
          <w:sz w:val="20"/>
          <w:szCs w:val="30"/>
          <w:rtl/>
        </w:rPr>
        <w:t>استهلاك الطاقة الكهربائية لمضخات التدوير؛</w:t>
      </w:r>
    </w:p>
    <w:p w:rsidR="00335E4B" w:rsidRPr="00335E4B" w:rsidRDefault="00335E4B" w:rsidP="00335E4B">
      <w:pPr>
        <w:numPr>
          <w:ilvl w:val="0"/>
          <w:numId w:val="15"/>
        </w:numPr>
        <w:tabs>
          <w:tab w:val="left" w:pos="849"/>
        </w:tabs>
        <w:spacing w:line="400" w:lineRule="exact"/>
        <w:ind w:left="425" w:firstLine="0"/>
        <w:jc w:val="both"/>
        <w:rPr>
          <w:rFonts w:cs="Traditional Arabic"/>
          <w:sz w:val="20"/>
          <w:szCs w:val="30"/>
          <w:rtl/>
        </w:rPr>
      </w:pPr>
      <w:r w:rsidRPr="00335E4B">
        <w:rPr>
          <w:rFonts w:cs="Traditional Arabic"/>
          <w:sz w:val="20"/>
          <w:szCs w:val="30"/>
          <w:rtl/>
        </w:rPr>
        <w:t xml:space="preserve">زيادة استهلاك الطاقة الكهربائية </w:t>
      </w:r>
      <w:r w:rsidRPr="00335E4B">
        <w:rPr>
          <w:rFonts w:cs="Traditional Arabic" w:hint="cs"/>
          <w:sz w:val="20"/>
          <w:szCs w:val="30"/>
          <w:rtl/>
        </w:rPr>
        <w:t>في ا</w:t>
      </w:r>
      <w:r w:rsidRPr="00335E4B">
        <w:rPr>
          <w:rFonts w:cs="Traditional Arabic"/>
          <w:sz w:val="20"/>
          <w:szCs w:val="30"/>
          <w:rtl/>
        </w:rPr>
        <w:t>لمراوح للتعويض عن انخفاض الضغط الذي يحدثه برج الشطف؛</w:t>
      </w:r>
    </w:p>
    <w:p w:rsidR="00335E4B" w:rsidRPr="00335E4B" w:rsidRDefault="00335E4B" w:rsidP="00335E4B">
      <w:pPr>
        <w:numPr>
          <w:ilvl w:val="0"/>
          <w:numId w:val="15"/>
        </w:numPr>
        <w:tabs>
          <w:tab w:val="left" w:pos="849"/>
        </w:tabs>
        <w:spacing w:after="120" w:line="400" w:lineRule="exact"/>
        <w:ind w:left="425" w:firstLine="0"/>
        <w:jc w:val="both"/>
        <w:rPr>
          <w:rFonts w:cs="Traditional Arabic"/>
          <w:sz w:val="20"/>
          <w:szCs w:val="30"/>
          <w:rtl/>
        </w:rPr>
      </w:pPr>
      <w:r w:rsidRPr="00335E4B">
        <w:rPr>
          <w:rFonts w:cs="Traditional Arabic"/>
          <w:sz w:val="20"/>
          <w:szCs w:val="30"/>
          <w:rtl/>
        </w:rPr>
        <w:t>استهلاك غاز الكلور من أجل استرداد كلوريد الزئبق (ثنائي التكافؤ).</w:t>
      </w:r>
    </w:p>
    <w:p w:rsidR="00335E4B" w:rsidRPr="00335E4B" w:rsidRDefault="00335E4B" w:rsidP="00335E4B">
      <w:pPr>
        <w:tabs>
          <w:tab w:val="left" w:pos="663"/>
          <w:tab w:val="left" w:pos="1117"/>
        </w:tabs>
        <w:spacing w:line="400" w:lineRule="exact"/>
        <w:jc w:val="both"/>
        <w:rPr>
          <w:rFonts w:cs="Traditional Arabic"/>
          <w:sz w:val="20"/>
          <w:szCs w:val="30"/>
          <w:rtl/>
        </w:rPr>
      </w:pPr>
      <w:r w:rsidRPr="00335E4B">
        <w:rPr>
          <w:rFonts w:cs="Traditional Arabic"/>
          <w:sz w:val="20"/>
          <w:szCs w:val="30"/>
          <w:rtl/>
        </w:rPr>
        <w:t>وتكون تكاليف التشغيل مستقلة عملياً عن مستوى الزئبق في الغاز الناتج كنفايات</w:t>
      </w:r>
      <w:r w:rsidRPr="00335E4B">
        <w:rPr>
          <w:rFonts w:cs="Traditional Arabic" w:hint="cs"/>
          <w:sz w:val="20"/>
          <w:szCs w:val="30"/>
          <w:vertAlign w:val="superscript"/>
          <w:rtl/>
        </w:rPr>
        <w:t>(41)</w:t>
      </w:r>
      <w:r w:rsidRPr="00335E4B">
        <w:rPr>
          <w:rFonts w:cs="Traditional Arabic"/>
          <w:sz w:val="20"/>
          <w:szCs w:val="30"/>
          <w:rtl/>
          <w:lang w:val="en-GB" w:bidi="ar-EG"/>
        </w:rPr>
        <w:t xml:space="preserve"> </w:t>
      </w:r>
      <w:r w:rsidRPr="00335E4B">
        <w:rPr>
          <w:rFonts w:cs="Times New Roman"/>
          <w:sz w:val="20"/>
          <w:szCs w:val="20"/>
          <w:rtl/>
        </w:rPr>
        <w:t>(</w:t>
      </w:r>
      <w:r w:rsidRPr="00335E4B">
        <w:rPr>
          <w:rFonts w:cs="Times New Roman"/>
          <w:sz w:val="20"/>
          <w:szCs w:val="20"/>
          <w:lang w:val="en-GB" w:bidi="ar-EG"/>
        </w:rPr>
        <w:t>Hultbom 2003</w:t>
      </w:r>
      <w:r w:rsidRPr="00335E4B">
        <w:rPr>
          <w:rFonts w:cs="Times New Roman"/>
          <w:sz w:val="20"/>
          <w:szCs w:val="20"/>
          <w:rtl/>
        </w:rPr>
        <w:t>)</w:t>
      </w:r>
      <w:r w:rsidRPr="00335E4B">
        <w:rPr>
          <w:rFonts w:cs="Traditional Arabic"/>
          <w:sz w:val="20"/>
          <w:szCs w:val="30"/>
          <w:rtl/>
        </w:rPr>
        <w:t xml:space="preserve"> وتعرف هذه العملية بأنها مجدية اقتصادياً</w:t>
      </w:r>
      <w:r w:rsidRPr="00335E4B">
        <w:rPr>
          <w:rFonts w:cs="Traditional Arabic"/>
          <w:sz w:val="20"/>
          <w:szCs w:val="30"/>
          <w:rtl/>
          <w:lang w:val="en-GB" w:bidi="ar-EG"/>
        </w:rPr>
        <w:t>.</w:t>
      </w:r>
      <w:r w:rsidRPr="00335E4B">
        <w:rPr>
          <w:rFonts w:cs="Traditional Arabic"/>
          <w:sz w:val="20"/>
          <w:szCs w:val="30"/>
          <w:rtl/>
        </w:rPr>
        <w:t xml:space="preserve"> وفي آوروبيس هامبورغ </w:t>
      </w:r>
      <w:r w:rsidRPr="00335E4B">
        <w:rPr>
          <w:rFonts w:cs="Times New Roman"/>
          <w:sz w:val="20"/>
          <w:szCs w:val="20"/>
          <w:rtl/>
        </w:rPr>
        <w:t>(</w:t>
      </w:r>
      <w:r w:rsidRPr="00335E4B">
        <w:rPr>
          <w:rFonts w:cs="Times New Roman"/>
          <w:sz w:val="20"/>
          <w:szCs w:val="20"/>
        </w:rPr>
        <w:t>Aurubis Hamburg</w:t>
      </w:r>
      <w:r w:rsidRPr="00335E4B">
        <w:rPr>
          <w:rFonts w:cs="Times New Roman"/>
          <w:sz w:val="20"/>
          <w:szCs w:val="20"/>
          <w:rtl/>
        </w:rPr>
        <w:t>)</w:t>
      </w:r>
      <w:r w:rsidRPr="00335E4B">
        <w:rPr>
          <w:rFonts w:cs="Traditional Arabic"/>
          <w:sz w:val="20"/>
          <w:szCs w:val="30"/>
          <w:rtl/>
        </w:rPr>
        <w:t xml:space="preserve">، وصلت تكاليف الاستثمار في تركيب منشأة لإزالة الزئبق إلى </w:t>
      </w:r>
      <w:r w:rsidRPr="00335E4B">
        <w:rPr>
          <w:rFonts w:cs="Traditional Arabic"/>
          <w:sz w:val="20"/>
          <w:szCs w:val="30"/>
          <w:rtl/>
          <w:lang w:val="en-GB" w:bidi="ar-EG"/>
        </w:rPr>
        <w:t>5</w:t>
      </w:r>
      <w:r w:rsidRPr="00335E4B">
        <w:rPr>
          <w:rFonts w:cs="Traditional Arabic"/>
          <w:sz w:val="20"/>
          <w:szCs w:val="30"/>
          <w:rtl/>
        </w:rPr>
        <w:t xml:space="preserve"> ملايين دولار (بما في ذلك أجهزة التكثيف والتسخين والمرشحات الكيسية، وأنظمة الحقن وجهاز الامتصاص والمراوح </w:t>
      </w:r>
      <w:r w:rsidRPr="00335E4B">
        <w:rPr>
          <w:rFonts w:cs="Times New Roman"/>
          <w:sz w:val="20"/>
          <w:szCs w:val="20"/>
          <w:rtl/>
        </w:rPr>
        <w:t>(</w:t>
      </w:r>
      <w:r w:rsidRPr="00335E4B">
        <w:rPr>
          <w:rFonts w:cs="Times New Roman"/>
          <w:sz w:val="20"/>
          <w:szCs w:val="20"/>
        </w:rPr>
        <w:t>BREF NFM 2014</w:t>
      </w:r>
      <w:r w:rsidRPr="00335E4B">
        <w:rPr>
          <w:rFonts w:cs="Times New Roman"/>
          <w:sz w:val="20"/>
          <w:szCs w:val="20"/>
          <w:rtl/>
        </w:rPr>
        <w:t>)</w:t>
      </w:r>
      <w:r w:rsidRPr="00335E4B">
        <w:rPr>
          <w:rFonts w:cs="Traditional Arabic"/>
          <w:sz w:val="20"/>
          <w:szCs w:val="30"/>
          <w:rtl/>
          <w:lang w:val="en-GB" w:bidi="ar-EG"/>
        </w:rPr>
        <w:t>.</w:t>
      </w:r>
    </w:p>
    <w:p w:rsidR="00335E4B" w:rsidRPr="00D55641" w:rsidRDefault="00335E4B" w:rsidP="00D55641">
      <w:pPr>
        <w:keepNext/>
        <w:tabs>
          <w:tab w:val="left" w:pos="849"/>
        </w:tabs>
        <w:spacing w:before="120" w:after="120" w:line="400" w:lineRule="exact"/>
        <w:ind w:left="-2" w:firstLine="2"/>
        <w:jc w:val="both"/>
        <w:outlineLvl w:val="0"/>
        <w:rPr>
          <w:rFonts w:cs="Traditional Arabic"/>
          <w:b/>
          <w:bCs/>
          <w:sz w:val="20"/>
          <w:szCs w:val="30"/>
          <w:rtl/>
          <w:lang w:bidi="ar-EG"/>
        </w:rPr>
      </w:pPr>
      <w:r w:rsidRPr="00D55641">
        <w:rPr>
          <w:rFonts w:cs="Traditional Arabic"/>
          <w:b/>
          <w:bCs/>
          <w:sz w:val="20"/>
          <w:szCs w:val="30"/>
          <w:rtl/>
          <w:lang w:val="en-GB" w:bidi="ar-EG"/>
        </w:rPr>
        <w:br w:type="page"/>
      </w:r>
      <w:bookmarkStart w:id="1616" w:name="_Toc433095419"/>
      <w:bookmarkStart w:id="1617" w:name="_Toc434239953"/>
      <w:bookmarkStart w:id="1618" w:name="_Toc440550548"/>
      <w:bookmarkStart w:id="1619" w:name="_Toc441577807"/>
      <w:bookmarkStart w:id="1620" w:name="_Toc441577986"/>
      <w:bookmarkStart w:id="1621" w:name="_Toc441580820"/>
      <w:bookmarkStart w:id="1622" w:name="_Toc441585951"/>
      <w:bookmarkStart w:id="1623" w:name="_Toc441586287"/>
      <w:bookmarkStart w:id="1624" w:name="_Toc441586737"/>
      <w:bookmarkStart w:id="1625" w:name="_Toc441586916"/>
      <w:bookmarkStart w:id="1626" w:name="_Toc441666765"/>
      <w:bookmarkStart w:id="1627" w:name="_Toc441673826"/>
      <w:r w:rsidR="00D55641" w:rsidRPr="00D55641">
        <w:rPr>
          <w:rFonts w:cs="Traditional Arabic" w:hint="cs"/>
          <w:b/>
          <w:bCs/>
          <w:sz w:val="20"/>
          <w:szCs w:val="30"/>
          <w:rtl/>
          <w:lang w:val="en-GB" w:bidi="ar-EG"/>
        </w:rPr>
        <w:t>3-2</w:t>
      </w:r>
      <w:r w:rsidR="00D55641" w:rsidRPr="00D55641">
        <w:rPr>
          <w:rFonts w:cs="Traditional Arabic" w:hint="cs"/>
          <w:b/>
          <w:bCs/>
          <w:sz w:val="20"/>
          <w:szCs w:val="30"/>
          <w:rtl/>
          <w:lang w:val="en-GB" w:bidi="ar-EG"/>
        </w:rPr>
        <w:tab/>
      </w:r>
      <w:r w:rsidRPr="00D55641">
        <w:rPr>
          <w:rFonts w:cs="Traditional Arabic"/>
          <w:b/>
          <w:bCs/>
          <w:sz w:val="20"/>
          <w:szCs w:val="30"/>
          <w:rtl/>
          <w:lang w:bidi="ar-EG"/>
        </w:rPr>
        <w:t>مرشح السلنيوم</w:t>
      </w:r>
      <w:bookmarkEnd w:id="1616"/>
      <w:bookmarkEnd w:id="1617"/>
      <w:bookmarkEnd w:id="1618"/>
      <w:bookmarkEnd w:id="1619"/>
      <w:bookmarkEnd w:id="1620"/>
      <w:bookmarkEnd w:id="1621"/>
      <w:bookmarkEnd w:id="1622"/>
      <w:bookmarkEnd w:id="1623"/>
      <w:bookmarkEnd w:id="1624"/>
      <w:bookmarkEnd w:id="1625"/>
      <w:bookmarkEnd w:id="1626"/>
      <w:bookmarkEnd w:id="1627"/>
    </w:p>
    <w:p w:rsidR="00335E4B" w:rsidRPr="00335E4B" w:rsidRDefault="00D55641" w:rsidP="00D55641">
      <w:pPr>
        <w:keepNext/>
        <w:tabs>
          <w:tab w:val="left" w:pos="849"/>
        </w:tabs>
        <w:spacing w:before="120" w:after="120" w:line="400" w:lineRule="exact"/>
        <w:jc w:val="both"/>
        <w:outlineLvl w:val="0"/>
        <w:rPr>
          <w:rFonts w:cs="Traditional Arabic"/>
          <w:b/>
          <w:bCs/>
          <w:sz w:val="20"/>
          <w:szCs w:val="30"/>
          <w:rtl/>
          <w:lang w:bidi="ar-EG"/>
        </w:rPr>
      </w:pPr>
      <w:bookmarkStart w:id="1628" w:name="_Toc433095420"/>
      <w:bookmarkStart w:id="1629" w:name="_Toc434239954"/>
      <w:bookmarkStart w:id="1630" w:name="_Toc440550549"/>
      <w:bookmarkStart w:id="1631" w:name="_Toc441577808"/>
      <w:bookmarkStart w:id="1632" w:name="_Toc441577987"/>
      <w:bookmarkStart w:id="1633" w:name="_Toc441580821"/>
      <w:bookmarkStart w:id="1634" w:name="_Toc441585952"/>
      <w:bookmarkStart w:id="1635" w:name="_Toc441586288"/>
      <w:bookmarkStart w:id="1636" w:name="_Toc441586738"/>
      <w:bookmarkStart w:id="1637" w:name="_Toc441586917"/>
      <w:bookmarkStart w:id="1638" w:name="_Toc441666766"/>
      <w:bookmarkStart w:id="1639" w:name="_Toc441673827"/>
      <w:r>
        <w:rPr>
          <w:rFonts w:cs="Traditional Arabic" w:hint="cs"/>
          <w:b/>
          <w:bCs/>
          <w:sz w:val="20"/>
          <w:szCs w:val="30"/>
          <w:rtl/>
          <w:lang w:bidi="ar-EG"/>
        </w:rPr>
        <w:t>3-2-1</w:t>
      </w:r>
      <w:r>
        <w:rPr>
          <w:rFonts w:cs="Traditional Arabic" w:hint="cs"/>
          <w:b/>
          <w:bCs/>
          <w:sz w:val="20"/>
          <w:szCs w:val="30"/>
          <w:rtl/>
          <w:lang w:bidi="ar-EG"/>
        </w:rPr>
        <w:tab/>
      </w:r>
      <w:r w:rsidR="00335E4B" w:rsidRPr="00335E4B">
        <w:rPr>
          <w:rFonts w:cs="Traditional Arabic"/>
          <w:b/>
          <w:bCs/>
          <w:sz w:val="20"/>
          <w:szCs w:val="30"/>
          <w:rtl/>
          <w:lang w:bidi="ar-EG"/>
        </w:rPr>
        <w:t>الوصف</w:t>
      </w:r>
      <w:bookmarkEnd w:id="1628"/>
      <w:bookmarkEnd w:id="1629"/>
      <w:bookmarkEnd w:id="1630"/>
      <w:bookmarkEnd w:id="1631"/>
      <w:bookmarkEnd w:id="1632"/>
      <w:bookmarkEnd w:id="1633"/>
      <w:bookmarkEnd w:id="1634"/>
      <w:bookmarkEnd w:id="1635"/>
      <w:bookmarkEnd w:id="1636"/>
      <w:bookmarkEnd w:id="1637"/>
      <w:bookmarkEnd w:id="1638"/>
      <w:bookmarkEnd w:id="1639"/>
    </w:p>
    <w:p w:rsidR="00335E4B" w:rsidRPr="00335E4B" w:rsidRDefault="00335E4B" w:rsidP="00335E4B">
      <w:pPr>
        <w:tabs>
          <w:tab w:val="center" w:pos="5468"/>
        </w:tabs>
        <w:spacing w:after="120" w:line="400" w:lineRule="exact"/>
        <w:jc w:val="both"/>
        <w:rPr>
          <w:rFonts w:cs="Traditional Arabic"/>
          <w:sz w:val="20"/>
          <w:szCs w:val="30"/>
          <w:rtl/>
        </w:rPr>
      </w:pPr>
      <w:r w:rsidRPr="00335E4B">
        <w:rPr>
          <w:rFonts w:cs="Traditional Arabic"/>
          <w:sz w:val="20"/>
          <w:szCs w:val="30"/>
          <w:rtl/>
        </w:rPr>
        <w:t>تزيل عملية مرشح السلنيوم</w:t>
      </w:r>
      <w:r w:rsidRPr="00335E4B">
        <w:rPr>
          <w:rFonts w:cs="Traditional Arabic" w:hint="cs"/>
          <w:sz w:val="20"/>
          <w:szCs w:val="30"/>
          <w:vertAlign w:val="superscript"/>
          <w:rtl/>
        </w:rPr>
        <w:t>(37)(38)</w:t>
      </w:r>
      <w:r w:rsidRPr="00335E4B">
        <w:rPr>
          <w:rFonts w:cs="Traditional Arabic"/>
          <w:sz w:val="20"/>
          <w:szCs w:val="30"/>
          <w:rtl/>
        </w:rPr>
        <w:t xml:space="preserve"> المحتوى المنخفض من الزئبق النقي الموجود في الغازات الناتجة كنفايات في مصاهر الركازات الأولية، وذلك بتحويل حمض السيلينيوز إلى السلنيوم الأحمر غير المتبلور الذي يتفاعل مع الزئبق الغاز لتكوين سلنيد الزئبق (ثنائي التكافؤ)</w:t>
      </w:r>
      <w:r w:rsidRPr="00335E4B">
        <w:rPr>
          <w:rFonts w:cs="Traditional Arabic"/>
          <w:sz w:val="20"/>
          <w:szCs w:val="30"/>
          <w:rtl/>
          <w:lang w:val="en-GB" w:bidi="ar-EG"/>
        </w:rPr>
        <w:t>.</w:t>
      </w:r>
    </w:p>
    <w:p w:rsidR="00335E4B" w:rsidRPr="00335E4B" w:rsidRDefault="00335E4B" w:rsidP="00335E4B">
      <w:pPr>
        <w:tabs>
          <w:tab w:val="center" w:pos="5468"/>
        </w:tabs>
        <w:spacing w:after="120" w:line="400" w:lineRule="exact"/>
        <w:jc w:val="both"/>
        <w:rPr>
          <w:rFonts w:cs="Traditional Arabic"/>
          <w:sz w:val="20"/>
          <w:szCs w:val="30"/>
          <w:rtl/>
        </w:rPr>
      </w:pPr>
      <w:r w:rsidRPr="00335E4B">
        <w:rPr>
          <w:rFonts w:cs="Traditional Arabic"/>
          <w:sz w:val="20"/>
          <w:szCs w:val="30"/>
          <w:rtl/>
        </w:rPr>
        <w:t xml:space="preserve">ومرشح السلنيوم هو مرشح بطبقة ترشيح ثابتة </w:t>
      </w:r>
      <w:r w:rsidRPr="00335E4B">
        <w:rPr>
          <w:rFonts w:cs="Times New Roman"/>
          <w:sz w:val="20"/>
          <w:szCs w:val="20"/>
          <w:rtl/>
        </w:rPr>
        <w:t>(</w:t>
      </w:r>
      <w:r w:rsidRPr="00335E4B">
        <w:rPr>
          <w:rFonts w:cs="Times New Roman"/>
          <w:sz w:val="20"/>
          <w:szCs w:val="20"/>
        </w:rPr>
        <w:t>fixed bed filter</w:t>
      </w:r>
      <w:r w:rsidRPr="00335E4B">
        <w:rPr>
          <w:rFonts w:cs="Times New Roman"/>
          <w:sz w:val="20"/>
          <w:szCs w:val="20"/>
          <w:rtl/>
        </w:rPr>
        <w:t>)</w:t>
      </w:r>
      <w:r w:rsidRPr="00335E4B">
        <w:rPr>
          <w:rFonts w:cs="Traditional Arabic"/>
          <w:sz w:val="20"/>
          <w:szCs w:val="30"/>
          <w:rtl/>
        </w:rPr>
        <w:t xml:space="preserve"> وذو مساحة سطحية كبيرة مصممة لتحقيق اتصال لصيق للغاية مع المادة الفعالة. ويستخدم مادة خاملة مسامية مشابهة لما يستخدم كدعامة للمواد الحفازة. </w:t>
      </w:r>
      <w:r w:rsidRPr="00335E4B">
        <w:rPr>
          <w:rFonts w:cs="Traditional Arabic" w:hint="cs"/>
          <w:sz w:val="20"/>
          <w:szCs w:val="30"/>
          <w:rtl/>
        </w:rPr>
        <w:t>وتشرَّب</w:t>
      </w:r>
      <w:r w:rsidRPr="00335E4B">
        <w:rPr>
          <w:rFonts w:cs="Traditional Arabic"/>
          <w:sz w:val="20"/>
          <w:szCs w:val="30"/>
          <w:rtl/>
        </w:rPr>
        <w:t xml:space="preserve"> هذه المادة بالسلنيوم الأحمر غير المتبلور. ويتحقق </w:t>
      </w:r>
      <w:r w:rsidRPr="00335E4B">
        <w:rPr>
          <w:rFonts w:cs="Traditional Arabic" w:hint="cs"/>
          <w:sz w:val="20"/>
          <w:szCs w:val="30"/>
          <w:rtl/>
        </w:rPr>
        <w:t>التشريب</w:t>
      </w:r>
      <w:r w:rsidRPr="00335E4B">
        <w:rPr>
          <w:rFonts w:cs="Traditional Arabic"/>
          <w:sz w:val="20"/>
          <w:szCs w:val="30"/>
          <w:rtl/>
        </w:rPr>
        <w:t xml:space="preserve"> بتجفيف محلول حمض السيلينيوز بوجود ثنائي أكسيد الكبريت </w:t>
      </w:r>
      <w:r w:rsidRPr="00335E4B">
        <w:rPr>
          <w:rFonts w:cs="Traditional Arabic"/>
          <w:sz w:val="20"/>
          <w:szCs w:val="30"/>
        </w:rPr>
        <w:t>SO</w:t>
      </w:r>
      <w:r w:rsidRPr="00335E4B">
        <w:rPr>
          <w:rFonts w:cs="Traditional Arabic"/>
          <w:sz w:val="20"/>
          <w:szCs w:val="30"/>
          <w:vertAlign w:val="subscript"/>
        </w:rPr>
        <w:t>2</w:t>
      </w:r>
      <w:r w:rsidRPr="00335E4B">
        <w:rPr>
          <w:rFonts w:cs="Traditional Arabic"/>
          <w:sz w:val="20"/>
          <w:szCs w:val="30"/>
          <w:rtl/>
        </w:rPr>
        <w:t xml:space="preserve"> لترسيب السلنيوم الأحمر غير المتبلور:</w:t>
      </w:r>
    </w:p>
    <w:p w:rsidR="00335E4B" w:rsidRPr="00335E4B" w:rsidRDefault="00335E4B" w:rsidP="00335E4B">
      <w:pPr>
        <w:tabs>
          <w:tab w:val="center" w:pos="5468"/>
        </w:tabs>
        <w:spacing w:after="120" w:line="400" w:lineRule="exact"/>
        <w:ind w:left="565"/>
        <w:jc w:val="center"/>
        <w:rPr>
          <w:rFonts w:cs="Traditional Arabic"/>
          <w:sz w:val="20"/>
          <w:szCs w:val="30"/>
        </w:rPr>
      </w:pPr>
      <w:r w:rsidRPr="00335E4B">
        <w:rPr>
          <w:rFonts w:cs="Traditional Arabic"/>
          <w:sz w:val="20"/>
          <w:szCs w:val="30"/>
          <w:lang w:val="en-GB" w:bidi="ar-EG"/>
        </w:rPr>
        <w:t>H</w:t>
      </w:r>
      <w:r w:rsidRPr="00335E4B">
        <w:rPr>
          <w:rFonts w:cs="Traditional Arabic"/>
          <w:sz w:val="20"/>
          <w:szCs w:val="30"/>
          <w:vertAlign w:val="subscript"/>
          <w:lang w:val="en-GB" w:bidi="ar-EG"/>
        </w:rPr>
        <w:t>2</w:t>
      </w:r>
      <w:r w:rsidRPr="00335E4B">
        <w:rPr>
          <w:rFonts w:cs="Traditional Arabic"/>
          <w:sz w:val="20"/>
          <w:szCs w:val="30"/>
          <w:lang w:val="en-GB" w:bidi="ar-EG"/>
        </w:rPr>
        <w:t>SeO</w:t>
      </w:r>
      <w:r w:rsidRPr="00335E4B">
        <w:rPr>
          <w:rFonts w:cs="Traditional Arabic"/>
          <w:sz w:val="20"/>
          <w:szCs w:val="30"/>
          <w:vertAlign w:val="subscript"/>
          <w:lang w:val="en-GB" w:bidi="ar-EG"/>
        </w:rPr>
        <w:t>3</w:t>
      </w:r>
      <w:r w:rsidRPr="00335E4B">
        <w:rPr>
          <w:rFonts w:cs="Traditional Arabic"/>
          <w:sz w:val="20"/>
          <w:szCs w:val="30"/>
          <w:lang w:val="en-GB" w:bidi="ar-EG"/>
        </w:rPr>
        <w:t xml:space="preserve"> + H</w:t>
      </w:r>
      <w:r w:rsidRPr="00335E4B">
        <w:rPr>
          <w:rFonts w:cs="Traditional Arabic"/>
          <w:sz w:val="20"/>
          <w:szCs w:val="30"/>
          <w:vertAlign w:val="subscript"/>
          <w:lang w:val="en-GB" w:bidi="ar-EG"/>
        </w:rPr>
        <w:t>2</w:t>
      </w:r>
      <w:r w:rsidRPr="00335E4B">
        <w:rPr>
          <w:rFonts w:cs="Traditional Arabic"/>
          <w:sz w:val="20"/>
          <w:szCs w:val="30"/>
          <w:lang w:val="en-GB" w:bidi="ar-EG"/>
        </w:rPr>
        <w:t>O + 2 SO</w:t>
      </w:r>
      <w:r w:rsidRPr="00335E4B">
        <w:rPr>
          <w:rFonts w:cs="Traditional Arabic"/>
          <w:sz w:val="20"/>
          <w:szCs w:val="30"/>
          <w:vertAlign w:val="subscript"/>
          <w:lang w:val="en-GB" w:bidi="ar-EG"/>
        </w:rPr>
        <w:t>2</w:t>
      </w:r>
      <w:r w:rsidRPr="00335E4B">
        <w:rPr>
          <w:rFonts w:cs="Traditional Arabic"/>
          <w:sz w:val="20"/>
          <w:szCs w:val="30"/>
          <w:lang w:val="en-GB" w:bidi="ar-EG"/>
        </w:rPr>
        <w:t xml:space="preserve"> =&gt; Se + 2 H</w:t>
      </w:r>
      <w:r w:rsidRPr="00335E4B">
        <w:rPr>
          <w:rFonts w:cs="Traditional Arabic"/>
          <w:sz w:val="20"/>
          <w:szCs w:val="30"/>
          <w:vertAlign w:val="subscript"/>
          <w:lang w:val="en-GB" w:bidi="ar-EG"/>
        </w:rPr>
        <w:t>2</w:t>
      </w:r>
      <w:r w:rsidRPr="00335E4B">
        <w:rPr>
          <w:rFonts w:cs="Traditional Arabic"/>
          <w:sz w:val="20"/>
          <w:szCs w:val="30"/>
          <w:lang w:val="en-GB" w:bidi="ar-EG"/>
        </w:rPr>
        <w:t>SO</w:t>
      </w:r>
      <w:r w:rsidRPr="00335E4B">
        <w:rPr>
          <w:rFonts w:cs="Traditional Arabic"/>
          <w:sz w:val="20"/>
          <w:szCs w:val="30"/>
          <w:vertAlign w:val="subscript"/>
          <w:lang w:val="en-GB" w:bidi="ar-EG"/>
        </w:rPr>
        <w:t>4</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ويتفاعل السلنيوم الأحمر غير المتبلور مع الزئبق في الغاز لتشكيل سلنيد الزئبق (ثنائي التكافؤ)</w:t>
      </w:r>
      <w:r w:rsidRPr="00335E4B">
        <w:rPr>
          <w:rFonts w:cs="Traditional Arabic"/>
          <w:sz w:val="20"/>
          <w:szCs w:val="30"/>
          <w:rtl/>
          <w:lang w:val="en-GB" w:bidi="ar-EG"/>
        </w:rPr>
        <w:t>:</w:t>
      </w:r>
    </w:p>
    <w:p w:rsidR="00335E4B" w:rsidRPr="00335E4B" w:rsidRDefault="00335E4B" w:rsidP="00335E4B">
      <w:pPr>
        <w:tabs>
          <w:tab w:val="center" w:pos="5468"/>
        </w:tabs>
        <w:spacing w:after="120" w:line="400" w:lineRule="exact"/>
        <w:ind w:left="565"/>
        <w:jc w:val="center"/>
        <w:rPr>
          <w:rFonts w:cs="Traditional Arabic"/>
          <w:sz w:val="20"/>
          <w:szCs w:val="30"/>
        </w:rPr>
      </w:pPr>
      <w:r w:rsidRPr="00335E4B">
        <w:rPr>
          <w:rFonts w:cs="Traditional Arabic"/>
          <w:sz w:val="20"/>
          <w:szCs w:val="30"/>
          <w:lang w:val="en-GB" w:bidi="ar-EG"/>
        </w:rPr>
        <w:t>Se + Hg</w:t>
      </w:r>
      <w:r w:rsidRPr="00335E4B">
        <w:rPr>
          <w:rFonts w:cs="Traditional Arabic"/>
          <w:sz w:val="20"/>
          <w:szCs w:val="30"/>
          <w:vertAlign w:val="superscript"/>
          <w:lang w:val="en-GB" w:bidi="ar-EG"/>
        </w:rPr>
        <w:t>0</w:t>
      </w:r>
      <w:r w:rsidRPr="00335E4B">
        <w:rPr>
          <w:rFonts w:cs="Traditional Arabic"/>
          <w:sz w:val="20"/>
          <w:szCs w:val="30"/>
          <w:lang w:val="en-GB" w:bidi="ar-EG"/>
        </w:rPr>
        <w:t xml:space="preserve"> =&gt; HgSe</w:t>
      </w:r>
    </w:p>
    <w:p w:rsidR="00335E4B" w:rsidRPr="00335E4B" w:rsidRDefault="00335E4B" w:rsidP="00335E4B">
      <w:pPr>
        <w:tabs>
          <w:tab w:val="center" w:pos="5468"/>
        </w:tabs>
        <w:spacing w:after="120" w:line="400" w:lineRule="exact"/>
        <w:jc w:val="both"/>
        <w:rPr>
          <w:rFonts w:cs="Traditional Arabic"/>
          <w:sz w:val="20"/>
          <w:szCs w:val="30"/>
          <w:rtl/>
        </w:rPr>
      </w:pPr>
      <w:r w:rsidRPr="00335E4B">
        <w:rPr>
          <w:rFonts w:cs="Traditional Arabic"/>
          <w:sz w:val="20"/>
          <w:szCs w:val="30"/>
          <w:rtl/>
        </w:rPr>
        <w:t>ويكون زمن التماس مع المرشح حوالي</w:t>
      </w:r>
      <w:r w:rsidRPr="00335E4B">
        <w:rPr>
          <w:rFonts w:cs="Traditional Arabic"/>
          <w:sz w:val="20"/>
          <w:szCs w:val="30"/>
          <w:rtl/>
          <w:lang w:val="en-GB" w:bidi="ar-EG"/>
        </w:rPr>
        <w:t xml:space="preserve"> 1-3 </w:t>
      </w:r>
      <w:r w:rsidRPr="00335E4B">
        <w:rPr>
          <w:rFonts w:cs="Traditional Arabic"/>
          <w:sz w:val="20"/>
          <w:szCs w:val="30"/>
          <w:rtl/>
        </w:rPr>
        <w:t>ثوان</w:t>
      </w:r>
      <w:r w:rsidRPr="00335E4B">
        <w:rPr>
          <w:rFonts w:cs="Traditional Arabic"/>
          <w:sz w:val="20"/>
          <w:szCs w:val="30"/>
          <w:rtl/>
          <w:lang w:val="en-GB" w:bidi="ar-EG"/>
        </w:rPr>
        <w:t>.</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ويظل المرشح فعالاً حتى يصل مستوى الزئبق في المرشح إلى 10-15 في المائة. وتجري معالجة المرشح بعد ذلك لاسترداد الزئبق ولإعادة توليد السلنيوم.</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 xml:space="preserve">ويكون ضغط البخار للزئبق في درجات الحرارة من صفر إلى 100 درجة مئوية منخفضاً جداً بالمقارنة مع سلنيد الزئبق </w:t>
      </w:r>
      <w:r w:rsidRPr="00335E4B">
        <w:rPr>
          <w:rFonts w:cs="Traditional Arabic"/>
          <w:sz w:val="20"/>
          <w:szCs w:val="30"/>
        </w:rPr>
        <w:t>HgSe</w:t>
      </w:r>
      <w:r w:rsidRPr="00335E4B">
        <w:rPr>
          <w:rFonts w:cs="Traditional Arabic"/>
          <w:sz w:val="20"/>
          <w:szCs w:val="30"/>
          <w:rtl/>
        </w:rPr>
        <w:t>. والسلنيوم مناسب تماماً كمادة ضبط لأن ضغط بخاره منخفض جداً أيضاً عند درجات الحرارة هذه، مما يجعل فقدان السلنيوم منخفضاً جداً. ويمكن للمرشح أن يعمل في درجات حرارة تصل إلى 110 درجات مئوية في غازات مشبعة ببخار الماء. غير أنه ينبغي تجنب التكثف داخل المرشح.</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ويكون انخفاض الضغط من رتبة 600 باسكال بالنسبة لمرشح من مرحلة واحدة بزمن احتجاز قدره 3 ثوان.</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ويمكن لمرشح السلنيوم أن يجعل غازات النفايات الناتجة من المصاهر خالية تقريباً من الزئبق. ويمكن تطبيقه أيضاً كخطوة معالجة ثانية للغازات الناتجة كنفايات من أجل تخفيض محتوى الزئبق قبل دخول الغاز لاحقاً في مصنع حمض ينتج الحمض الخالي من الزئبق.</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 xml:space="preserve">وبالمقارنة مع مواد الطبقات الثابتة الأخرى الممتصة للزئبق مثل الكربون المنشط، يتميز السلنيوم بتفاعله بشكل انتقائي مع الزئبق وحده. ولا تحدث تفاعلات جانبية غير مرغوبة لأن السلنيوم ليس له نشاط محفز معروف. وبهذا يكون من الممكن مثلاً استخدام مرشح السلنيوم لإزالة الزئبق في غازات رطبة تحتوي على ثنائي أكسيد الكبريت </w:t>
      </w:r>
      <w:r w:rsidRPr="00335E4B">
        <w:rPr>
          <w:rFonts w:cs="Traditional Arabic"/>
          <w:sz w:val="20"/>
          <w:szCs w:val="30"/>
        </w:rPr>
        <w:t>SO</w:t>
      </w:r>
      <w:r w:rsidRPr="00335E4B">
        <w:rPr>
          <w:rFonts w:cs="Traditional Arabic"/>
          <w:sz w:val="20"/>
          <w:szCs w:val="30"/>
          <w:vertAlign w:val="subscript"/>
        </w:rPr>
        <w:t>2</w:t>
      </w:r>
      <w:r w:rsidRPr="00335E4B">
        <w:rPr>
          <w:rFonts w:cs="Traditional Arabic"/>
          <w:sz w:val="20"/>
          <w:szCs w:val="30"/>
          <w:rtl/>
        </w:rPr>
        <w:t xml:space="preserve">. بينما في الكربون المنشط، يتأكسد ثنائي أكسيد الكبريت </w:t>
      </w:r>
      <w:r w:rsidRPr="00335E4B">
        <w:rPr>
          <w:rFonts w:cs="Traditional Arabic"/>
          <w:sz w:val="20"/>
          <w:szCs w:val="30"/>
        </w:rPr>
        <w:t>SO</w:t>
      </w:r>
      <w:r w:rsidRPr="00335E4B">
        <w:rPr>
          <w:rFonts w:cs="Traditional Arabic"/>
          <w:sz w:val="20"/>
          <w:szCs w:val="30"/>
          <w:vertAlign w:val="subscript"/>
        </w:rPr>
        <w:t>2</w:t>
      </w:r>
      <w:r w:rsidRPr="00335E4B">
        <w:rPr>
          <w:rFonts w:cs="Traditional Arabic"/>
          <w:sz w:val="20"/>
          <w:szCs w:val="30"/>
          <w:rtl/>
        </w:rPr>
        <w:t xml:space="preserve"> إلى ثلاثي أكسيد الكبريت </w:t>
      </w:r>
      <w:r w:rsidRPr="00335E4B">
        <w:rPr>
          <w:rFonts w:cs="Times New Roman"/>
          <w:sz w:val="20"/>
          <w:szCs w:val="20"/>
        </w:rPr>
        <w:t>SO</w:t>
      </w:r>
      <w:r w:rsidRPr="00335E4B">
        <w:rPr>
          <w:rFonts w:cs="Times New Roman"/>
          <w:sz w:val="20"/>
          <w:szCs w:val="20"/>
          <w:vertAlign w:val="subscript"/>
        </w:rPr>
        <w:t>3</w:t>
      </w:r>
      <w:r w:rsidRPr="00335E4B">
        <w:rPr>
          <w:rFonts w:cs="Traditional Arabic"/>
          <w:sz w:val="20"/>
          <w:szCs w:val="30"/>
          <w:rtl/>
        </w:rPr>
        <w:t xml:space="preserve">، الذي يندمج بدوره مع بخار الماء مشكلاً حمض الكبريتيك، مما يؤدي إلى انسداد المرشح </w:t>
      </w:r>
      <w:r w:rsidRPr="00335E4B">
        <w:rPr>
          <w:rFonts w:cs="Times New Roman"/>
          <w:sz w:val="20"/>
          <w:szCs w:val="20"/>
          <w:rtl/>
        </w:rPr>
        <w:t>(</w:t>
      </w:r>
      <w:r w:rsidRPr="00335E4B">
        <w:rPr>
          <w:rFonts w:cs="Times New Roman"/>
          <w:sz w:val="20"/>
          <w:szCs w:val="20"/>
        </w:rPr>
        <w:t>Hultbom 2003</w:t>
      </w:r>
      <w:r w:rsidRPr="00335E4B">
        <w:rPr>
          <w:rFonts w:cs="Times New Roman"/>
          <w:sz w:val="20"/>
          <w:szCs w:val="20"/>
          <w:rtl/>
        </w:rPr>
        <w:t>)</w:t>
      </w:r>
      <w:r w:rsidRPr="00335E4B">
        <w:rPr>
          <w:rFonts w:cs="Traditional Arabic"/>
          <w:sz w:val="20"/>
          <w:szCs w:val="30"/>
          <w:rtl/>
        </w:rPr>
        <w:t>.</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وبدلاً من ذلك، سيتطلب تحقيق تركيزات زئبق تبلغ 0</w:t>
      </w:r>
      <w:r w:rsidRPr="00335E4B">
        <w:rPr>
          <w:rFonts w:cs="Traditional Arabic" w:hint="cs"/>
          <w:sz w:val="20"/>
          <w:szCs w:val="30"/>
          <w:rtl/>
        </w:rPr>
        <w:t>,</w:t>
      </w:r>
      <w:r w:rsidRPr="00335E4B">
        <w:rPr>
          <w:rFonts w:cs="Traditional Arabic"/>
          <w:sz w:val="20"/>
          <w:szCs w:val="30"/>
          <w:rtl/>
        </w:rPr>
        <w:t xml:space="preserve">05 مليغرام في المتر المكعب في الظروف العادية </w:t>
      </w:r>
      <w:r w:rsidRPr="00335E4B">
        <w:rPr>
          <w:rFonts w:cs="Times New Roman"/>
          <w:sz w:val="20"/>
          <w:szCs w:val="20"/>
          <w:rtl/>
        </w:rPr>
        <w:t>(</w:t>
      </w:r>
      <w:r w:rsidRPr="00335E4B">
        <w:rPr>
          <w:rFonts w:cs="Times New Roman"/>
          <w:sz w:val="20"/>
          <w:szCs w:val="20"/>
        </w:rPr>
        <w:t>mg/Nm3</w:t>
      </w:r>
      <w:r w:rsidRPr="00335E4B">
        <w:rPr>
          <w:rFonts w:cs="Times New Roman"/>
          <w:sz w:val="20"/>
          <w:szCs w:val="20"/>
          <w:rtl/>
        </w:rPr>
        <w:t>)</w:t>
      </w:r>
      <w:r w:rsidRPr="00335E4B">
        <w:rPr>
          <w:rFonts w:cs="Traditional Arabic"/>
          <w:sz w:val="20"/>
          <w:szCs w:val="30"/>
          <w:rtl/>
        </w:rPr>
        <w:t xml:space="preserve"> تبريد الغاز بشدة إلى درجات حرارة أقل بكثير من درجة الصفر مئوية لفصل جسيمات مركبات الزئبق والزئبق السائل. ويمكن تحقيق نفس </w:t>
      </w:r>
      <w:r w:rsidRPr="00335E4B">
        <w:rPr>
          <w:rFonts w:cs="Traditional Arabic" w:hint="cs"/>
          <w:sz w:val="20"/>
          <w:szCs w:val="30"/>
          <w:rtl/>
        </w:rPr>
        <w:t>ال</w:t>
      </w:r>
      <w:r w:rsidRPr="00335E4B">
        <w:rPr>
          <w:rFonts w:cs="Traditional Arabic"/>
          <w:sz w:val="20"/>
          <w:szCs w:val="30"/>
          <w:rtl/>
        </w:rPr>
        <w:t xml:space="preserve">مستوى المتبقي بجمع الزئبق على شكل سلنيد الزئبق (ثنائي التكافؤ) </w:t>
      </w:r>
      <w:r w:rsidRPr="00335E4B">
        <w:rPr>
          <w:rFonts w:cs="Times New Roman"/>
          <w:sz w:val="20"/>
          <w:szCs w:val="20"/>
          <w:rtl/>
        </w:rPr>
        <w:t>(</w:t>
      </w:r>
      <w:r w:rsidRPr="00335E4B">
        <w:rPr>
          <w:rFonts w:cs="Times New Roman"/>
          <w:sz w:val="20"/>
          <w:szCs w:val="20"/>
        </w:rPr>
        <w:t>HgSe</w:t>
      </w:r>
      <w:r w:rsidRPr="00335E4B">
        <w:rPr>
          <w:rFonts w:cs="Times New Roman"/>
          <w:sz w:val="20"/>
          <w:szCs w:val="20"/>
          <w:rtl/>
        </w:rPr>
        <w:t>)</w:t>
      </w:r>
      <w:r w:rsidRPr="00335E4B">
        <w:rPr>
          <w:rFonts w:cs="Traditional Arabic"/>
          <w:sz w:val="20"/>
          <w:szCs w:val="30"/>
          <w:rtl/>
        </w:rPr>
        <w:t xml:space="preserve"> في درجات حرارة تصل إلى حوالي 140 درجة مئوية </w:t>
      </w:r>
      <w:r w:rsidRPr="00335E4B">
        <w:rPr>
          <w:rFonts w:cs="Times New Roman"/>
          <w:sz w:val="20"/>
          <w:szCs w:val="20"/>
          <w:rtl/>
        </w:rPr>
        <w:t>(</w:t>
      </w:r>
      <w:r w:rsidRPr="00335E4B">
        <w:rPr>
          <w:rFonts w:cs="Times New Roman"/>
          <w:sz w:val="20"/>
          <w:szCs w:val="20"/>
        </w:rPr>
        <w:t>Hultbom 2003</w:t>
      </w:r>
      <w:r w:rsidRPr="00335E4B">
        <w:rPr>
          <w:rFonts w:cs="Times New Roman"/>
          <w:sz w:val="20"/>
          <w:szCs w:val="20"/>
          <w:rtl/>
        </w:rPr>
        <w:t>)</w:t>
      </w:r>
      <w:r w:rsidRPr="00335E4B">
        <w:rPr>
          <w:rFonts w:cs="Traditional Arabic"/>
          <w:sz w:val="20"/>
          <w:szCs w:val="30"/>
          <w:rtl/>
        </w:rPr>
        <w:t>.</w:t>
      </w:r>
    </w:p>
    <w:p w:rsidR="00335E4B" w:rsidRPr="00335E4B" w:rsidRDefault="00D55641" w:rsidP="00335E4B">
      <w:pPr>
        <w:keepNext/>
        <w:tabs>
          <w:tab w:val="left" w:pos="991"/>
        </w:tabs>
        <w:spacing w:before="120" w:after="120" w:line="400" w:lineRule="exact"/>
        <w:jc w:val="both"/>
        <w:outlineLvl w:val="0"/>
        <w:rPr>
          <w:rFonts w:cs="Traditional Arabic"/>
          <w:b/>
          <w:bCs/>
          <w:sz w:val="20"/>
          <w:szCs w:val="30"/>
          <w:rtl/>
          <w:lang w:bidi="ar-EG"/>
        </w:rPr>
      </w:pPr>
      <w:bookmarkStart w:id="1640" w:name="_Toc433095421"/>
      <w:bookmarkStart w:id="1641" w:name="_Toc434239955"/>
      <w:bookmarkStart w:id="1642" w:name="_Toc440550550"/>
      <w:bookmarkStart w:id="1643" w:name="_Toc441577809"/>
      <w:bookmarkStart w:id="1644" w:name="_Toc441577988"/>
      <w:bookmarkStart w:id="1645" w:name="_Toc441580822"/>
      <w:bookmarkStart w:id="1646" w:name="_Toc441585953"/>
      <w:bookmarkStart w:id="1647" w:name="_Toc441586289"/>
      <w:bookmarkStart w:id="1648" w:name="_Toc441586739"/>
      <w:bookmarkStart w:id="1649" w:name="_Toc441586918"/>
      <w:bookmarkStart w:id="1650" w:name="_Toc441666767"/>
      <w:bookmarkStart w:id="1651" w:name="_Toc441673828"/>
      <w:r>
        <w:rPr>
          <w:rFonts w:cs="Traditional Arabic" w:hint="cs"/>
          <w:b/>
          <w:bCs/>
          <w:sz w:val="20"/>
          <w:szCs w:val="30"/>
          <w:rtl/>
          <w:lang w:bidi="ar-EG"/>
        </w:rPr>
        <w:t>3-2-2</w:t>
      </w:r>
      <w:r>
        <w:rPr>
          <w:rFonts w:cs="Traditional Arabic" w:hint="cs"/>
          <w:b/>
          <w:bCs/>
          <w:sz w:val="20"/>
          <w:szCs w:val="30"/>
          <w:rtl/>
          <w:lang w:bidi="ar-EG"/>
        </w:rPr>
        <w:tab/>
      </w:r>
      <w:r w:rsidR="00335E4B" w:rsidRPr="00335E4B">
        <w:rPr>
          <w:rFonts w:cs="Traditional Arabic"/>
          <w:b/>
          <w:bCs/>
          <w:sz w:val="20"/>
          <w:szCs w:val="30"/>
          <w:rtl/>
          <w:lang w:bidi="ar-EG"/>
        </w:rPr>
        <w:t>قابلية التطبيق</w:t>
      </w:r>
      <w:bookmarkEnd w:id="1640"/>
      <w:bookmarkEnd w:id="1641"/>
      <w:bookmarkEnd w:id="1642"/>
      <w:bookmarkEnd w:id="1643"/>
      <w:bookmarkEnd w:id="1644"/>
      <w:bookmarkEnd w:id="1645"/>
      <w:bookmarkEnd w:id="1646"/>
      <w:bookmarkEnd w:id="1647"/>
      <w:bookmarkEnd w:id="1648"/>
      <w:bookmarkEnd w:id="1649"/>
      <w:bookmarkEnd w:id="1650"/>
      <w:bookmarkEnd w:id="1651"/>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sz w:val="20"/>
          <w:szCs w:val="30"/>
          <w:rtl/>
        </w:rPr>
      </w:pPr>
      <w:r w:rsidRPr="00335E4B">
        <w:rPr>
          <w:rFonts w:cs="Traditional Arabic"/>
          <w:sz w:val="20"/>
          <w:szCs w:val="30"/>
          <w:rtl/>
        </w:rPr>
        <w:t>ثبتت قابلية التطبيق في ما لا يقل عن ست منشآت في جميع أنحاء العالم</w:t>
      </w:r>
      <w:r w:rsidRPr="00335E4B">
        <w:rPr>
          <w:rFonts w:cs="Traditional Arabic"/>
          <w:sz w:val="20"/>
          <w:szCs w:val="30"/>
          <w:rtl/>
          <w:lang w:val="en-GB" w:bidi="ar-EG"/>
        </w:rPr>
        <w:t>.</w:t>
      </w:r>
    </w:p>
    <w:p w:rsidR="00335E4B" w:rsidRPr="00335E4B" w:rsidRDefault="00D55641" w:rsidP="00335E4B">
      <w:pPr>
        <w:keepNext/>
        <w:tabs>
          <w:tab w:val="left" w:pos="991"/>
        </w:tabs>
        <w:spacing w:before="120" w:after="120" w:line="400" w:lineRule="exact"/>
        <w:jc w:val="both"/>
        <w:outlineLvl w:val="0"/>
        <w:rPr>
          <w:rFonts w:cs="Traditional Arabic"/>
          <w:b/>
          <w:bCs/>
          <w:sz w:val="20"/>
          <w:szCs w:val="30"/>
          <w:rtl/>
          <w:lang w:bidi="ar-EG"/>
        </w:rPr>
      </w:pPr>
      <w:bookmarkStart w:id="1652" w:name="_Toc433095422"/>
      <w:bookmarkStart w:id="1653" w:name="_Toc434239956"/>
      <w:bookmarkStart w:id="1654" w:name="_Toc440550551"/>
      <w:bookmarkStart w:id="1655" w:name="_Toc441577810"/>
      <w:bookmarkStart w:id="1656" w:name="_Toc441577989"/>
      <w:bookmarkStart w:id="1657" w:name="_Toc441580823"/>
      <w:bookmarkStart w:id="1658" w:name="_Toc441585954"/>
      <w:bookmarkStart w:id="1659" w:name="_Toc441586290"/>
      <w:bookmarkStart w:id="1660" w:name="_Toc441586740"/>
      <w:bookmarkStart w:id="1661" w:name="_Toc441586919"/>
      <w:bookmarkStart w:id="1662" w:name="_Toc441666768"/>
      <w:bookmarkStart w:id="1663" w:name="_Toc441673829"/>
      <w:r>
        <w:rPr>
          <w:rFonts w:cs="Traditional Arabic" w:hint="cs"/>
          <w:b/>
          <w:bCs/>
          <w:sz w:val="20"/>
          <w:szCs w:val="30"/>
          <w:rtl/>
          <w:lang w:bidi="ar-EG"/>
        </w:rPr>
        <w:t>3-2-3</w:t>
      </w:r>
      <w:r>
        <w:rPr>
          <w:rFonts w:cs="Traditional Arabic" w:hint="cs"/>
          <w:b/>
          <w:bCs/>
          <w:sz w:val="20"/>
          <w:szCs w:val="30"/>
          <w:rtl/>
          <w:lang w:bidi="ar-EG"/>
        </w:rPr>
        <w:tab/>
      </w:r>
      <w:r w:rsidR="00335E4B" w:rsidRPr="00335E4B">
        <w:rPr>
          <w:rFonts w:cs="Traditional Arabic"/>
          <w:b/>
          <w:bCs/>
          <w:sz w:val="20"/>
          <w:szCs w:val="30"/>
          <w:rtl/>
          <w:lang w:bidi="ar-EG"/>
        </w:rPr>
        <w:t>مستوى الأداء</w:t>
      </w:r>
      <w:bookmarkEnd w:id="1652"/>
      <w:bookmarkEnd w:id="1653"/>
      <w:bookmarkEnd w:id="1654"/>
      <w:bookmarkEnd w:id="1655"/>
      <w:bookmarkEnd w:id="1656"/>
      <w:bookmarkEnd w:id="1657"/>
      <w:bookmarkEnd w:id="1658"/>
      <w:bookmarkEnd w:id="1659"/>
      <w:bookmarkEnd w:id="1660"/>
      <w:bookmarkEnd w:id="1661"/>
      <w:bookmarkEnd w:id="1662"/>
      <w:bookmarkEnd w:id="1663"/>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تتوقف كفاءة الإزالة على زمن الاحتجاز</w:t>
      </w:r>
      <w:r w:rsidRPr="00335E4B">
        <w:rPr>
          <w:rFonts w:cs="Traditional Arabic"/>
          <w:sz w:val="20"/>
          <w:szCs w:val="30"/>
          <w:rtl/>
          <w:lang w:val="en-GB" w:bidi="ar-EG"/>
        </w:rPr>
        <w:t>.</w:t>
      </w:r>
      <w:r w:rsidRPr="00335E4B">
        <w:rPr>
          <w:rFonts w:cs="Traditional Arabic"/>
          <w:sz w:val="20"/>
          <w:szCs w:val="30"/>
          <w:rtl/>
        </w:rPr>
        <w:t xml:space="preserve"> ومن أجل تحقيق مستويات كفاءة إزالة بنسبة</w:t>
      </w:r>
      <w:r w:rsidRPr="00335E4B">
        <w:rPr>
          <w:rFonts w:cs="Traditional Arabic"/>
          <w:sz w:val="20"/>
          <w:szCs w:val="30"/>
          <w:rtl/>
          <w:lang w:val="en-GB" w:bidi="ar-EG"/>
        </w:rPr>
        <w:t xml:space="preserve"> 95 </w:t>
      </w:r>
      <w:r w:rsidRPr="00335E4B">
        <w:rPr>
          <w:rFonts w:cs="Traditional Arabic"/>
          <w:sz w:val="20"/>
          <w:szCs w:val="30"/>
          <w:rtl/>
        </w:rPr>
        <w:t xml:space="preserve">في المائة، تلزم في العادة فترة احتجاز </w:t>
      </w:r>
      <w:r w:rsidRPr="00335E4B">
        <w:rPr>
          <w:rFonts w:cs="Traditional Arabic" w:hint="cs"/>
          <w:sz w:val="20"/>
          <w:szCs w:val="30"/>
          <w:rtl/>
        </w:rPr>
        <w:t xml:space="preserve">قدرها </w:t>
      </w:r>
      <w:r w:rsidRPr="00335E4B">
        <w:rPr>
          <w:rFonts w:cs="Traditional Arabic"/>
          <w:sz w:val="20"/>
          <w:szCs w:val="30"/>
          <w:rtl/>
        </w:rPr>
        <w:t xml:space="preserve">ثلاث ثوان </w:t>
      </w:r>
      <w:r w:rsidRPr="00335E4B">
        <w:rPr>
          <w:rFonts w:cs="Times New Roman"/>
          <w:sz w:val="20"/>
          <w:szCs w:val="20"/>
          <w:rtl/>
        </w:rPr>
        <w:t>(</w:t>
      </w:r>
      <w:r w:rsidRPr="00335E4B">
        <w:rPr>
          <w:rFonts w:cs="Times New Roman"/>
          <w:sz w:val="20"/>
          <w:szCs w:val="20"/>
          <w:lang w:val="en-GB" w:bidi="ar-EG"/>
        </w:rPr>
        <w:t>Hultbom 2003</w:t>
      </w:r>
      <w:r w:rsidRPr="00335E4B">
        <w:rPr>
          <w:rFonts w:cs="Times New Roman"/>
          <w:sz w:val="20"/>
          <w:szCs w:val="20"/>
          <w:rtl/>
        </w:rPr>
        <w:t>)</w:t>
      </w:r>
      <w:r w:rsidRPr="00335E4B">
        <w:rPr>
          <w:rFonts w:cs="Traditional Arabic"/>
          <w:sz w:val="20"/>
          <w:szCs w:val="30"/>
          <w:rtl/>
          <w:lang w:val="en-GB" w:bidi="ar-EG"/>
        </w:rPr>
        <w:t>.</w:t>
      </w:r>
      <w:r w:rsidRPr="00335E4B">
        <w:rPr>
          <w:rFonts w:cs="Traditional Arabic"/>
          <w:sz w:val="20"/>
          <w:szCs w:val="30"/>
          <w:rtl/>
        </w:rPr>
        <w:t xml:space="preserve"> وفي العادة، تتحقق مستويات</w:t>
      </w:r>
      <w:r w:rsidRPr="00335E4B">
        <w:rPr>
          <w:rFonts w:cs="Traditional Arabic"/>
          <w:sz w:val="20"/>
          <w:szCs w:val="30"/>
          <w:rtl/>
          <w:lang w:val="en-GB" w:bidi="ar-EG"/>
        </w:rPr>
        <w:t xml:space="preserve"> 90 </w:t>
      </w:r>
      <w:r w:rsidRPr="00335E4B">
        <w:rPr>
          <w:rFonts w:cs="Traditional Arabic"/>
          <w:sz w:val="20"/>
          <w:szCs w:val="30"/>
          <w:rtl/>
        </w:rPr>
        <w:t>في المائة لكفاءة الإزالة</w:t>
      </w:r>
      <w:r w:rsidRPr="00335E4B">
        <w:rPr>
          <w:rFonts w:cs="Traditional Arabic"/>
          <w:sz w:val="20"/>
          <w:szCs w:val="30"/>
          <w:rtl/>
          <w:lang w:val="en-GB" w:bidi="ar-EG"/>
        </w:rPr>
        <w:t>.</w:t>
      </w:r>
      <w:r w:rsidRPr="00335E4B">
        <w:rPr>
          <w:rFonts w:cs="Traditional Arabic" w:hint="cs"/>
          <w:sz w:val="20"/>
          <w:szCs w:val="30"/>
          <w:vertAlign w:val="superscript"/>
          <w:rtl/>
          <w:lang w:val="en-GB" w:bidi="ar-EG"/>
        </w:rPr>
        <w:t>(38)</w:t>
      </w:r>
      <w:r w:rsidRPr="00335E4B">
        <w:rPr>
          <w:rFonts w:cs="Traditional Arabic" w:hint="cs"/>
          <w:sz w:val="20"/>
          <w:szCs w:val="30"/>
          <w:rtl/>
          <w:lang w:val="en-GB" w:bidi="ar-EG"/>
        </w:rPr>
        <w:t xml:space="preserve"> </w:t>
      </w:r>
      <w:r w:rsidRPr="00335E4B">
        <w:rPr>
          <w:rFonts w:cs="Traditional Arabic"/>
          <w:sz w:val="20"/>
          <w:szCs w:val="30"/>
          <w:rtl/>
        </w:rPr>
        <w:t>ويكون الحد الأدنى المتوقع لمتوسط تركيز الزئبق في منفذ خروج الغاز كل ساعة أقل من</w:t>
      </w:r>
      <w:r w:rsidRPr="00335E4B">
        <w:rPr>
          <w:rFonts w:cs="Traditional Arabic"/>
          <w:sz w:val="20"/>
          <w:szCs w:val="30"/>
          <w:rtl/>
          <w:lang w:val="en-GB" w:bidi="ar-EG"/>
        </w:rPr>
        <w:t xml:space="preserve"> 0</w:t>
      </w:r>
      <w:r w:rsidRPr="00335E4B">
        <w:rPr>
          <w:rFonts w:cs="Traditional Arabic" w:hint="cs"/>
          <w:sz w:val="20"/>
          <w:szCs w:val="30"/>
          <w:rtl/>
          <w:lang w:val="en-GB" w:bidi="ar-EG"/>
        </w:rPr>
        <w:t>,</w:t>
      </w:r>
      <w:r w:rsidRPr="00335E4B">
        <w:rPr>
          <w:rFonts w:cs="Traditional Arabic"/>
          <w:sz w:val="20"/>
          <w:szCs w:val="30"/>
          <w:rtl/>
          <w:lang w:val="en-GB" w:bidi="ar-EG"/>
        </w:rPr>
        <w:t xml:space="preserve">01 </w:t>
      </w:r>
      <w:r w:rsidRPr="00335E4B">
        <w:rPr>
          <w:rFonts w:cs="Times New Roman"/>
          <w:sz w:val="20"/>
          <w:szCs w:val="20"/>
          <w:rtl/>
        </w:rPr>
        <w:t>(</w:t>
      </w:r>
      <w:r w:rsidRPr="00335E4B">
        <w:rPr>
          <w:rFonts w:cs="Times New Roman"/>
          <w:sz w:val="20"/>
          <w:szCs w:val="20"/>
        </w:rPr>
        <w:t>mg/Nm</w:t>
      </w:r>
      <w:r w:rsidRPr="00335E4B">
        <w:rPr>
          <w:rFonts w:cs="Times New Roman"/>
          <w:sz w:val="20"/>
          <w:szCs w:val="20"/>
          <w:vertAlign w:val="superscript"/>
        </w:rPr>
        <w:t>3</w:t>
      </w:r>
      <w:r w:rsidRPr="00335E4B">
        <w:rPr>
          <w:rFonts w:cs="Times New Roman"/>
          <w:sz w:val="20"/>
          <w:szCs w:val="20"/>
          <w:rtl/>
        </w:rPr>
        <w:t>)</w:t>
      </w:r>
      <w:r w:rsidRPr="00335E4B">
        <w:rPr>
          <w:rFonts w:cs="Traditional Arabic"/>
          <w:sz w:val="20"/>
          <w:szCs w:val="30"/>
          <w:rtl/>
        </w:rPr>
        <w:t xml:space="preserve"> مليغرام في المتر المكعب في الظروف العادية </w:t>
      </w:r>
      <w:r w:rsidRPr="00335E4B">
        <w:rPr>
          <w:rFonts w:cs="Times New Roman"/>
          <w:sz w:val="20"/>
          <w:szCs w:val="20"/>
          <w:rtl/>
        </w:rPr>
        <w:t>(</w:t>
      </w:r>
      <w:r w:rsidRPr="00335E4B">
        <w:rPr>
          <w:rFonts w:cs="Times New Roman"/>
          <w:sz w:val="20"/>
          <w:szCs w:val="20"/>
          <w:lang w:val="en-GB" w:bidi="ar-EG"/>
        </w:rPr>
        <w:t>UNECE Heavy Metals Protocol 2013</w:t>
      </w:r>
      <w:r w:rsidRPr="00335E4B">
        <w:rPr>
          <w:rFonts w:cs="Times New Roman"/>
          <w:sz w:val="20"/>
          <w:szCs w:val="20"/>
          <w:rtl/>
        </w:rPr>
        <w:t>)</w:t>
      </w:r>
      <w:r w:rsidRPr="00335E4B">
        <w:rPr>
          <w:rFonts w:cs="Traditional Arabic"/>
          <w:sz w:val="20"/>
          <w:szCs w:val="30"/>
          <w:rtl/>
          <w:lang w:val="en-GB" w:bidi="ar-EG"/>
        </w:rPr>
        <w:t>.</w:t>
      </w:r>
      <w:r w:rsidRPr="00335E4B">
        <w:rPr>
          <w:rFonts w:cs="Traditional Arabic"/>
          <w:sz w:val="20"/>
          <w:szCs w:val="30"/>
          <w:rtl/>
        </w:rPr>
        <w:t xml:space="preserve"> وتبين الجداول التالية تخفيضات الزئبق القياسية</w:t>
      </w:r>
      <w:r w:rsidRPr="00335E4B">
        <w:rPr>
          <w:rFonts w:cs="Traditional Arabic"/>
          <w:sz w:val="20"/>
          <w:szCs w:val="30"/>
          <w:rtl/>
          <w:lang w:val="en-GB" w:bidi="ar-EG"/>
        </w:rPr>
        <w:t>.</w:t>
      </w:r>
    </w:p>
    <w:p w:rsidR="00335E4B" w:rsidRPr="00335E4B" w:rsidRDefault="00335E4B" w:rsidP="00741EAC">
      <w:pPr>
        <w:tabs>
          <w:tab w:val="left" w:pos="663"/>
          <w:tab w:val="left" w:pos="1117"/>
          <w:tab w:val="left" w:pos="2230"/>
          <w:tab w:val="center" w:pos="5468"/>
        </w:tabs>
        <w:spacing w:line="400" w:lineRule="exact"/>
        <w:jc w:val="both"/>
        <w:rPr>
          <w:rFonts w:ascii="Traditional Arabic" w:hAnsi="Traditional Arabic" w:cs="Traditional Arabic"/>
          <w:b/>
          <w:bCs/>
          <w:sz w:val="30"/>
          <w:szCs w:val="30"/>
          <w:rtl/>
          <w:lang w:val="en-GB" w:bidi="ar-EG"/>
        </w:rPr>
      </w:pPr>
      <w:r w:rsidRPr="00335E4B">
        <w:rPr>
          <w:rFonts w:ascii="Traditional Arabic" w:hAnsi="Traditional Arabic" w:cs="Traditional Arabic"/>
          <w:b/>
          <w:bCs/>
          <w:sz w:val="30"/>
          <w:szCs w:val="30"/>
          <w:rtl/>
        </w:rPr>
        <w:t>الجدول</w:t>
      </w:r>
      <w:r w:rsidRPr="00335E4B">
        <w:rPr>
          <w:rFonts w:ascii="Traditional Arabic" w:hAnsi="Traditional Arabic" w:cs="Traditional Arabic"/>
          <w:b/>
          <w:bCs/>
          <w:sz w:val="30"/>
          <w:szCs w:val="30"/>
          <w:rtl/>
          <w:lang w:val="en-GB" w:bidi="ar-EG"/>
        </w:rPr>
        <w:t xml:space="preserve"> </w:t>
      </w:r>
      <w:r w:rsidR="00741EAC">
        <w:rPr>
          <w:rFonts w:ascii="Traditional Arabic" w:hAnsi="Traditional Arabic" w:cs="Traditional Arabic" w:hint="cs"/>
          <w:b/>
          <w:bCs/>
          <w:sz w:val="30"/>
          <w:szCs w:val="30"/>
          <w:rtl/>
          <w:lang w:val="en-GB" w:bidi="ar-EG"/>
        </w:rPr>
        <w:t>2</w:t>
      </w:r>
    </w:p>
    <w:p w:rsidR="00335E4B" w:rsidRPr="00335E4B" w:rsidRDefault="00335E4B" w:rsidP="00335E4B">
      <w:pPr>
        <w:tabs>
          <w:tab w:val="left" w:pos="663"/>
          <w:tab w:val="left" w:pos="1117"/>
          <w:tab w:val="left" w:pos="2230"/>
          <w:tab w:val="center" w:pos="5468"/>
        </w:tabs>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sz w:val="30"/>
          <w:szCs w:val="30"/>
          <w:rtl/>
        </w:rPr>
        <w:t>أداء عملية مرشح السلنيوم في منشأة بوليدين رونسكار</w:t>
      </w:r>
      <w:r w:rsidRPr="00335E4B">
        <w:rPr>
          <w:rFonts w:ascii="Traditional Arabic" w:hAnsi="Traditional Arabic" w:cs="Traditional Arabic"/>
          <w:sz w:val="30"/>
          <w:szCs w:val="30"/>
          <w:vertAlign w:val="superscript"/>
          <w:rtl/>
        </w:rPr>
        <w:t>(41)</w:t>
      </w:r>
      <w:r w:rsidRPr="00335E4B">
        <w:rPr>
          <w:rFonts w:ascii="Traditional Arabic" w:hAnsi="Traditional Arabic" w:cs="Traditional Arabic"/>
          <w:sz w:val="30"/>
          <w:szCs w:val="30"/>
          <w:rtl/>
        </w:rPr>
        <w:t xml:space="preserve"> (مصهر نحاس</w:t>
      </w:r>
      <w:r w:rsidRPr="00335E4B">
        <w:rPr>
          <w:rFonts w:ascii="Traditional Arabic" w:hAnsi="Traditional Arabic" w:cs="Traditional Arabic"/>
          <w:sz w:val="30"/>
          <w:szCs w:val="30"/>
          <w:rtl/>
          <w:lang w:val="en-GB" w:bidi="ar-EG"/>
        </w:rPr>
        <w:t>-</w:t>
      </w:r>
      <w:r w:rsidRPr="00335E4B">
        <w:rPr>
          <w:rFonts w:ascii="Traditional Arabic" w:hAnsi="Traditional Arabic" w:cs="Traditional Arabic"/>
          <w:sz w:val="30"/>
          <w:szCs w:val="30"/>
          <w:rtl/>
        </w:rPr>
        <w:t>رصاص</w:t>
      </w:r>
      <w:r w:rsidRPr="00335E4B">
        <w:rPr>
          <w:rFonts w:ascii="Traditional Arabic" w:hAnsi="Traditional Arabic" w:cs="Traditional Arabic"/>
          <w:sz w:val="30"/>
          <w:szCs w:val="30"/>
          <w:rtl/>
          <w:lang w:val="en-GB" w:bidi="ar-EG"/>
        </w:rPr>
        <w:t>-</w:t>
      </w:r>
      <w:r w:rsidRPr="00335E4B">
        <w:rPr>
          <w:rFonts w:ascii="Traditional Arabic" w:hAnsi="Traditional Arabic" w:cs="Traditional Arabic"/>
          <w:sz w:val="30"/>
          <w:szCs w:val="30"/>
          <w:rtl/>
        </w:rPr>
        <w:t>زنك)</w:t>
      </w:r>
      <w:r w:rsidRPr="00335E4B">
        <w:rPr>
          <w:rFonts w:ascii="Traditional Arabic" w:hAnsi="Traditional Arabic" w:cs="Traditional Arabic" w:hint="cs"/>
          <w:sz w:val="30"/>
          <w:szCs w:val="30"/>
          <w:rtl/>
        </w:rPr>
        <w:t xml:space="preserve"> </w:t>
      </w:r>
      <w:r w:rsidRPr="00335E4B">
        <w:rPr>
          <w:rFonts w:cs="Times New Roman"/>
          <w:sz w:val="18"/>
          <w:szCs w:val="18"/>
          <w:rtl/>
        </w:rPr>
        <w:t>(</w:t>
      </w:r>
      <w:r w:rsidRPr="00335E4B">
        <w:rPr>
          <w:rFonts w:cs="Times New Roman"/>
          <w:sz w:val="18"/>
          <w:szCs w:val="18"/>
          <w:lang w:val="en-GB" w:bidi="ar-EG"/>
        </w:rPr>
        <w:t>BREFNFM2014</w:t>
      </w:r>
      <w:r w:rsidRPr="00335E4B">
        <w:rPr>
          <w:rFonts w:cs="Times New Roman"/>
          <w:sz w:val="18"/>
          <w:szCs w:val="18"/>
          <w:rtl/>
        </w:rPr>
        <w:t>)</w:t>
      </w:r>
    </w:p>
    <w:tbl>
      <w:tblPr>
        <w:bidiVisual/>
        <w:tblW w:w="0" w:type="auto"/>
        <w:tblBorders>
          <w:top w:val="single" w:sz="8" w:space="0" w:color="9BBB59"/>
          <w:left w:val="single" w:sz="8" w:space="0" w:color="9BBB59"/>
          <w:bottom w:val="single" w:sz="8" w:space="0" w:color="9BBB59"/>
          <w:right w:val="single" w:sz="8" w:space="0" w:color="9BBB59"/>
        </w:tblBorders>
        <w:tblLayout w:type="fixed"/>
        <w:tblLook w:val="00A0" w:firstRow="1" w:lastRow="0" w:firstColumn="1" w:lastColumn="0" w:noHBand="0" w:noVBand="0"/>
      </w:tblPr>
      <w:tblGrid>
        <w:gridCol w:w="3083"/>
        <w:gridCol w:w="2552"/>
        <w:gridCol w:w="1417"/>
        <w:gridCol w:w="2552"/>
      </w:tblGrid>
      <w:tr w:rsidR="00335E4B" w:rsidRPr="00335E4B" w:rsidTr="00D002D1">
        <w:tc>
          <w:tcPr>
            <w:tcW w:w="3083" w:type="dxa"/>
            <w:tcBorders>
              <w:top w:val="single" w:sz="8" w:space="0" w:color="9BBB59"/>
              <w:bottom w:val="nil"/>
              <w:right w:val="nil"/>
            </w:tcBorders>
            <w:shd w:val="clear" w:color="auto" w:fill="9BBB59"/>
            <w:vAlign w:val="center"/>
          </w:tcPr>
          <w:p w:rsidR="00335E4B" w:rsidRPr="00335E4B" w:rsidRDefault="00335E4B" w:rsidP="00335E4B">
            <w:pPr>
              <w:spacing w:line="360" w:lineRule="exact"/>
              <w:jc w:val="center"/>
              <w:rPr>
                <w:rFonts w:cs="Traditional Arabic"/>
                <w:sz w:val="18"/>
                <w:szCs w:val="30"/>
                <w:rtl/>
              </w:rPr>
            </w:pPr>
            <w:r w:rsidRPr="00335E4B">
              <w:rPr>
                <w:rFonts w:cs="Traditional Arabic"/>
                <w:sz w:val="18"/>
                <w:szCs w:val="30"/>
                <w:rtl/>
              </w:rPr>
              <w:t xml:space="preserve">تدفق الغاز </w:t>
            </w:r>
            <w:r w:rsidRPr="00335E4B">
              <w:rPr>
                <w:rFonts w:cs="Traditional Arabic" w:hint="cs"/>
                <w:sz w:val="18"/>
                <w:szCs w:val="30"/>
                <w:rtl/>
              </w:rPr>
              <w:t>000</w:t>
            </w:r>
            <w:r w:rsidRPr="00335E4B">
              <w:rPr>
                <w:rFonts w:cs="Traditional Arabic"/>
                <w:sz w:val="18"/>
                <w:szCs w:val="30"/>
              </w:rPr>
              <w:t>,</w:t>
            </w:r>
            <w:r w:rsidRPr="00335E4B">
              <w:rPr>
                <w:rFonts w:cs="Traditional Arabic" w:hint="cs"/>
                <w:sz w:val="18"/>
                <w:szCs w:val="30"/>
                <w:rtl/>
              </w:rPr>
              <w:t>80</w:t>
            </w:r>
            <w:r w:rsidRPr="00335E4B">
              <w:rPr>
                <w:rFonts w:cs="Traditional Arabic"/>
                <w:sz w:val="18"/>
                <w:szCs w:val="30"/>
                <w:rtl/>
              </w:rPr>
              <w:t xml:space="preserve"> متر مكعب في الظروف العادية كل ساعة (</w:t>
            </w:r>
            <w:r w:rsidRPr="00335E4B">
              <w:rPr>
                <w:rFonts w:cs="Traditional Arabic"/>
                <w:sz w:val="18"/>
                <w:szCs w:val="30"/>
              </w:rPr>
              <w:t>Nm3/h</w:t>
            </w:r>
            <w:r w:rsidRPr="00335E4B">
              <w:rPr>
                <w:rFonts w:cs="Traditional Arabic"/>
                <w:sz w:val="18"/>
                <w:szCs w:val="30"/>
                <w:rtl/>
              </w:rPr>
              <w:t>)</w:t>
            </w:r>
          </w:p>
        </w:tc>
        <w:tc>
          <w:tcPr>
            <w:tcW w:w="2552" w:type="dxa"/>
            <w:tcBorders>
              <w:top w:val="single" w:sz="8" w:space="0" w:color="9BBB59"/>
              <w:left w:val="single" w:sz="8" w:space="0" w:color="9BBB59"/>
              <w:bottom w:val="nil"/>
              <w:right w:val="single" w:sz="8" w:space="0" w:color="9BBB59"/>
            </w:tcBorders>
            <w:shd w:val="clear" w:color="auto" w:fill="9BBB59"/>
            <w:vAlign w:val="center"/>
          </w:tcPr>
          <w:p w:rsidR="00335E4B" w:rsidRPr="00335E4B" w:rsidRDefault="00335E4B" w:rsidP="00335E4B">
            <w:pPr>
              <w:spacing w:line="360" w:lineRule="exact"/>
              <w:jc w:val="center"/>
              <w:rPr>
                <w:rFonts w:cs="Traditional Arabic"/>
                <w:sz w:val="18"/>
                <w:szCs w:val="30"/>
                <w:rtl/>
              </w:rPr>
            </w:pPr>
            <w:r w:rsidRPr="00335E4B">
              <w:rPr>
                <w:rFonts w:cs="Traditional Arabic"/>
                <w:sz w:val="18"/>
                <w:szCs w:val="30"/>
                <w:rtl/>
              </w:rPr>
              <w:t>قبل [ميكروغرام/متر مكعب في الظروف العادية] [</w:t>
            </w:r>
            <w:r w:rsidRPr="00335E4B">
              <w:rPr>
                <w:rFonts w:cs="Traditional Arabic" w:hint="cs"/>
                <w:sz w:val="18"/>
                <w:szCs w:val="30"/>
              </w:rPr>
              <w:t>μ</w:t>
            </w:r>
            <w:r w:rsidRPr="00335E4B">
              <w:rPr>
                <w:rFonts w:cs="Traditional Arabic"/>
                <w:sz w:val="18"/>
                <w:szCs w:val="30"/>
              </w:rPr>
              <w:t>g/Nm3</w:t>
            </w:r>
            <w:r w:rsidRPr="00335E4B">
              <w:rPr>
                <w:rFonts w:cs="Traditional Arabic"/>
                <w:sz w:val="18"/>
                <w:szCs w:val="30"/>
                <w:rtl/>
              </w:rPr>
              <w:t>]</w:t>
            </w:r>
          </w:p>
        </w:tc>
        <w:tc>
          <w:tcPr>
            <w:tcW w:w="1417" w:type="dxa"/>
            <w:tcBorders>
              <w:top w:val="single" w:sz="8" w:space="0" w:color="9BBB59"/>
              <w:left w:val="nil"/>
              <w:bottom w:val="nil"/>
              <w:right w:val="nil"/>
            </w:tcBorders>
            <w:shd w:val="clear" w:color="auto" w:fill="9BBB59"/>
            <w:vAlign w:val="center"/>
          </w:tcPr>
          <w:p w:rsidR="00335E4B" w:rsidRPr="00335E4B" w:rsidRDefault="00335E4B" w:rsidP="00335E4B">
            <w:pPr>
              <w:spacing w:line="360" w:lineRule="exact"/>
              <w:jc w:val="center"/>
              <w:rPr>
                <w:rFonts w:cs="Traditional Arabic"/>
                <w:sz w:val="18"/>
                <w:szCs w:val="30"/>
                <w:rtl/>
              </w:rPr>
            </w:pPr>
            <w:r w:rsidRPr="00335E4B">
              <w:rPr>
                <w:rFonts w:cs="Traditional Arabic"/>
                <w:sz w:val="18"/>
                <w:szCs w:val="30"/>
                <w:rtl/>
              </w:rPr>
              <w:t>بعد [</w:t>
            </w:r>
            <w:r w:rsidRPr="00335E4B">
              <w:rPr>
                <w:rFonts w:cs="Traditional Arabic" w:hint="cs"/>
                <w:sz w:val="18"/>
                <w:szCs w:val="30"/>
              </w:rPr>
              <w:t>μ</w:t>
            </w:r>
            <w:r w:rsidRPr="00335E4B">
              <w:rPr>
                <w:rFonts w:cs="Traditional Arabic"/>
                <w:sz w:val="18"/>
                <w:szCs w:val="30"/>
              </w:rPr>
              <w:t>g/Nm3</w:t>
            </w:r>
            <w:r w:rsidRPr="00335E4B">
              <w:rPr>
                <w:rFonts w:cs="Traditional Arabic"/>
                <w:sz w:val="18"/>
                <w:szCs w:val="30"/>
                <w:rtl/>
              </w:rPr>
              <w:t>]</w:t>
            </w:r>
          </w:p>
        </w:tc>
        <w:tc>
          <w:tcPr>
            <w:tcW w:w="2552" w:type="dxa"/>
            <w:tcBorders>
              <w:top w:val="single" w:sz="8" w:space="0" w:color="9BBB59"/>
              <w:left w:val="single" w:sz="8" w:space="0" w:color="9BBB59"/>
              <w:bottom w:val="nil"/>
            </w:tcBorders>
            <w:shd w:val="clear" w:color="auto" w:fill="9BBB59"/>
            <w:vAlign w:val="center"/>
          </w:tcPr>
          <w:p w:rsidR="00335E4B" w:rsidRPr="00335E4B" w:rsidRDefault="00335E4B" w:rsidP="00335E4B">
            <w:pPr>
              <w:spacing w:line="360" w:lineRule="exact"/>
              <w:jc w:val="center"/>
              <w:rPr>
                <w:rFonts w:cs="Traditional Arabic"/>
                <w:sz w:val="18"/>
                <w:szCs w:val="30"/>
                <w:rtl/>
              </w:rPr>
            </w:pPr>
            <w:r w:rsidRPr="00335E4B">
              <w:rPr>
                <w:rFonts w:cs="Traditional Arabic"/>
                <w:sz w:val="18"/>
                <w:szCs w:val="30"/>
                <w:rtl/>
              </w:rPr>
              <w:t>كفاءة التقليل [النسبة المئوية]</w:t>
            </w:r>
          </w:p>
        </w:tc>
      </w:tr>
      <w:tr w:rsidR="00335E4B" w:rsidRPr="00335E4B" w:rsidTr="00D002D1">
        <w:tc>
          <w:tcPr>
            <w:tcW w:w="3083" w:type="dxa"/>
            <w:tcBorders>
              <w:top w:val="single" w:sz="8" w:space="0" w:color="9BBB59"/>
              <w:bottom w:val="single" w:sz="8" w:space="0" w:color="9BBB59"/>
              <w:right w:val="nil"/>
            </w:tcBorders>
          </w:tcPr>
          <w:p w:rsidR="00335E4B" w:rsidRPr="00335E4B" w:rsidRDefault="00335E4B" w:rsidP="00335E4B">
            <w:pPr>
              <w:spacing w:line="360" w:lineRule="exact"/>
              <w:jc w:val="center"/>
              <w:rPr>
                <w:rFonts w:cs="Traditional Arabic"/>
                <w:sz w:val="18"/>
                <w:szCs w:val="30"/>
                <w:rtl/>
              </w:rPr>
            </w:pPr>
            <w:r w:rsidRPr="00335E4B">
              <w:rPr>
                <w:rFonts w:cs="Traditional Arabic" w:hint="cs"/>
                <w:sz w:val="18"/>
                <w:szCs w:val="30"/>
                <w:rtl/>
              </w:rPr>
              <w:t>تركيز عال</w:t>
            </w:r>
            <w:r w:rsidRPr="00335E4B">
              <w:rPr>
                <w:rFonts w:cs="Traditional Arabic"/>
                <w:sz w:val="18"/>
                <w:szCs w:val="30"/>
                <w:rtl/>
              </w:rPr>
              <w:t xml:space="preserve"> عند منفذ الدخول</w:t>
            </w:r>
          </w:p>
        </w:tc>
        <w:tc>
          <w:tcPr>
            <w:tcW w:w="2552" w:type="dxa"/>
            <w:tcBorders>
              <w:top w:val="single" w:sz="8" w:space="0" w:color="9BBB59"/>
              <w:left w:val="single" w:sz="8" w:space="0" w:color="9BBB59"/>
              <w:bottom w:val="single" w:sz="8" w:space="0" w:color="9BBB59"/>
              <w:right w:val="single" w:sz="8" w:space="0" w:color="9BBB59"/>
            </w:tcBorders>
          </w:tcPr>
          <w:p w:rsidR="00335E4B" w:rsidRPr="00335E4B" w:rsidRDefault="00335E4B" w:rsidP="00335E4B">
            <w:pPr>
              <w:spacing w:line="360" w:lineRule="exact"/>
              <w:jc w:val="center"/>
              <w:rPr>
                <w:rFonts w:cs="Traditional Arabic"/>
                <w:sz w:val="18"/>
                <w:szCs w:val="30"/>
                <w:rtl/>
              </w:rPr>
            </w:pPr>
            <w:r w:rsidRPr="00335E4B">
              <w:rPr>
                <w:rFonts w:cs="Traditional Arabic" w:hint="cs"/>
                <w:sz w:val="18"/>
                <w:szCs w:val="30"/>
                <w:rtl/>
              </w:rPr>
              <w:t>1008</w:t>
            </w:r>
          </w:p>
        </w:tc>
        <w:tc>
          <w:tcPr>
            <w:tcW w:w="1417" w:type="dxa"/>
            <w:tcBorders>
              <w:top w:val="single" w:sz="8" w:space="0" w:color="9BBB59"/>
              <w:left w:val="nil"/>
              <w:bottom w:val="single" w:sz="8" w:space="0" w:color="9BBB59"/>
              <w:right w:val="nil"/>
            </w:tcBorders>
          </w:tcPr>
          <w:p w:rsidR="00335E4B" w:rsidRPr="00335E4B" w:rsidRDefault="00335E4B" w:rsidP="00335E4B">
            <w:pPr>
              <w:spacing w:line="360" w:lineRule="exact"/>
              <w:jc w:val="center"/>
              <w:rPr>
                <w:rFonts w:cs="Traditional Arabic"/>
                <w:sz w:val="18"/>
                <w:szCs w:val="30"/>
                <w:rtl/>
              </w:rPr>
            </w:pPr>
            <w:r w:rsidRPr="00335E4B">
              <w:rPr>
                <w:rFonts w:cs="Traditional Arabic" w:hint="cs"/>
                <w:sz w:val="18"/>
                <w:szCs w:val="30"/>
                <w:rtl/>
              </w:rPr>
              <w:t>48</w:t>
            </w:r>
          </w:p>
        </w:tc>
        <w:tc>
          <w:tcPr>
            <w:tcW w:w="2552" w:type="dxa"/>
            <w:tcBorders>
              <w:top w:val="single" w:sz="8" w:space="0" w:color="9BBB59"/>
              <w:left w:val="single" w:sz="8" w:space="0" w:color="9BBB59"/>
              <w:bottom w:val="single" w:sz="8" w:space="0" w:color="9BBB59"/>
            </w:tcBorders>
          </w:tcPr>
          <w:p w:rsidR="00335E4B" w:rsidRPr="00335E4B" w:rsidRDefault="00335E4B" w:rsidP="00335E4B">
            <w:pPr>
              <w:spacing w:line="360" w:lineRule="exact"/>
              <w:jc w:val="center"/>
              <w:rPr>
                <w:rFonts w:cs="Traditional Arabic"/>
                <w:sz w:val="18"/>
                <w:szCs w:val="30"/>
                <w:rtl/>
              </w:rPr>
            </w:pPr>
            <w:r w:rsidRPr="00335E4B">
              <w:rPr>
                <w:rFonts w:cs="Traditional Arabic" w:hint="cs"/>
                <w:sz w:val="18"/>
                <w:szCs w:val="30"/>
                <w:rtl/>
              </w:rPr>
              <w:t>95</w:t>
            </w:r>
          </w:p>
        </w:tc>
      </w:tr>
      <w:tr w:rsidR="00335E4B" w:rsidRPr="00335E4B" w:rsidTr="00D002D1">
        <w:tc>
          <w:tcPr>
            <w:tcW w:w="3083" w:type="dxa"/>
            <w:tcBorders>
              <w:top w:val="nil"/>
              <w:bottom w:val="single" w:sz="8" w:space="0" w:color="9BBB59"/>
              <w:right w:val="nil"/>
            </w:tcBorders>
          </w:tcPr>
          <w:p w:rsidR="00335E4B" w:rsidRPr="00335E4B" w:rsidRDefault="00335E4B" w:rsidP="00335E4B">
            <w:pPr>
              <w:spacing w:line="360" w:lineRule="exact"/>
              <w:jc w:val="center"/>
              <w:rPr>
                <w:rFonts w:cs="Traditional Arabic"/>
                <w:sz w:val="18"/>
                <w:szCs w:val="30"/>
                <w:rtl/>
              </w:rPr>
            </w:pPr>
            <w:r w:rsidRPr="00335E4B">
              <w:rPr>
                <w:rFonts w:cs="Traditional Arabic"/>
                <w:sz w:val="18"/>
                <w:szCs w:val="30"/>
                <w:rtl/>
              </w:rPr>
              <w:t>تركيز منخفض عند منفذ الدخول</w:t>
            </w:r>
          </w:p>
        </w:tc>
        <w:tc>
          <w:tcPr>
            <w:tcW w:w="2552" w:type="dxa"/>
            <w:tcBorders>
              <w:top w:val="nil"/>
              <w:left w:val="single" w:sz="8" w:space="0" w:color="9BBB59"/>
              <w:bottom w:val="single" w:sz="8" w:space="0" w:color="9BBB59"/>
              <w:right w:val="single" w:sz="8" w:space="0" w:color="9BBB59"/>
            </w:tcBorders>
          </w:tcPr>
          <w:p w:rsidR="00335E4B" w:rsidRPr="00335E4B" w:rsidRDefault="00335E4B" w:rsidP="00335E4B">
            <w:pPr>
              <w:spacing w:line="360" w:lineRule="exact"/>
              <w:jc w:val="center"/>
              <w:rPr>
                <w:rFonts w:cs="Traditional Arabic"/>
                <w:sz w:val="18"/>
                <w:szCs w:val="30"/>
                <w:rtl/>
              </w:rPr>
            </w:pPr>
            <w:r w:rsidRPr="00335E4B">
              <w:rPr>
                <w:rFonts w:cs="Traditional Arabic" w:hint="cs"/>
                <w:sz w:val="18"/>
                <w:szCs w:val="30"/>
                <w:rtl/>
              </w:rPr>
              <w:t>42</w:t>
            </w:r>
          </w:p>
        </w:tc>
        <w:tc>
          <w:tcPr>
            <w:tcW w:w="1417" w:type="dxa"/>
            <w:tcBorders>
              <w:top w:val="nil"/>
              <w:left w:val="nil"/>
              <w:bottom w:val="single" w:sz="8" w:space="0" w:color="9BBB59"/>
              <w:right w:val="nil"/>
            </w:tcBorders>
          </w:tcPr>
          <w:p w:rsidR="00335E4B" w:rsidRPr="00335E4B" w:rsidRDefault="00335E4B" w:rsidP="00335E4B">
            <w:pPr>
              <w:spacing w:line="360" w:lineRule="exact"/>
              <w:jc w:val="center"/>
              <w:rPr>
                <w:rFonts w:cs="Traditional Arabic"/>
                <w:sz w:val="18"/>
                <w:szCs w:val="30"/>
                <w:rtl/>
              </w:rPr>
            </w:pPr>
            <w:r w:rsidRPr="00335E4B">
              <w:rPr>
                <w:rFonts w:cs="Traditional Arabic" w:hint="cs"/>
                <w:sz w:val="18"/>
                <w:szCs w:val="30"/>
                <w:rtl/>
              </w:rPr>
              <w:t>12</w:t>
            </w:r>
          </w:p>
        </w:tc>
        <w:tc>
          <w:tcPr>
            <w:tcW w:w="2552" w:type="dxa"/>
            <w:tcBorders>
              <w:top w:val="nil"/>
              <w:left w:val="single" w:sz="8" w:space="0" w:color="9BBB59"/>
              <w:bottom w:val="single" w:sz="8" w:space="0" w:color="9BBB59"/>
            </w:tcBorders>
          </w:tcPr>
          <w:p w:rsidR="00335E4B" w:rsidRPr="00335E4B" w:rsidRDefault="00335E4B" w:rsidP="00335E4B">
            <w:pPr>
              <w:spacing w:line="360" w:lineRule="exact"/>
              <w:jc w:val="center"/>
              <w:rPr>
                <w:rFonts w:cs="Traditional Arabic"/>
                <w:sz w:val="18"/>
                <w:szCs w:val="30"/>
                <w:rtl/>
              </w:rPr>
            </w:pPr>
            <w:r w:rsidRPr="00335E4B">
              <w:rPr>
                <w:rFonts w:cs="Traditional Arabic" w:hint="cs"/>
                <w:sz w:val="18"/>
                <w:szCs w:val="30"/>
                <w:rtl/>
              </w:rPr>
              <w:t>71</w:t>
            </w:r>
          </w:p>
        </w:tc>
      </w:tr>
    </w:tbl>
    <w:p w:rsidR="00335E4B" w:rsidRPr="00335E4B" w:rsidRDefault="00335E4B" w:rsidP="00371F6A">
      <w:pPr>
        <w:spacing w:before="240" w:line="400" w:lineRule="exact"/>
        <w:jc w:val="both"/>
        <w:rPr>
          <w:rFonts w:ascii="Traditional Arabic" w:hAnsi="Traditional Arabic" w:cs="Traditional Arabic"/>
          <w:b/>
          <w:bCs/>
          <w:sz w:val="30"/>
          <w:szCs w:val="30"/>
          <w:rtl/>
        </w:rPr>
      </w:pPr>
      <w:r w:rsidRPr="00335E4B">
        <w:rPr>
          <w:rFonts w:ascii="Traditional Arabic" w:hAnsi="Traditional Arabic" w:cs="Traditional Arabic"/>
          <w:b/>
          <w:bCs/>
          <w:sz w:val="30"/>
          <w:szCs w:val="30"/>
          <w:rtl/>
        </w:rPr>
        <w:t xml:space="preserve">الجدول </w:t>
      </w:r>
      <w:r w:rsidR="00371F6A">
        <w:rPr>
          <w:rFonts w:ascii="Traditional Arabic" w:hAnsi="Traditional Arabic" w:cs="Traditional Arabic" w:hint="cs"/>
          <w:b/>
          <w:bCs/>
          <w:sz w:val="30"/>
          <w:szCs w:val="30"/>
          <w:rtl/>
        </w:rPr>
        <w:t>3</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sz w:val="30"/>
          <w:szCs w:val="30"/>
          <w:rtl/>
        </w:rPr>
        <w:t xml:space="preserve">النتائج القياسية لعملية مرشح السلنيوم </w:t>
      </w:r>
      <w:r w:rsidRPr="00335E4B">
        <w:rPr>
          <w:rFonts w:cs="Times New Roman"/>
          <w:sz w:val="20"/>
          <w:szCs w:val="20"/>
          <w:rtl/>
        </w:rPr>
        <w:t>(</w:t>
      </w:r>
      <w:r w:rsidRPr="00335E4B">
        <w:rPr>
          <w:rFonts w:cs="Times New Roman"/>
          <w:sz w:val="20"/>
          <w:szCs w:val="20"/>
        </w:rPr>
        <w:t>Hultbom 2003</w:t>
      </w:r>
      <w:r w:rsidRPr="00335E4B">
        <w:rPr>
          <w:rFonts w:cs="Times New Roman"/>
          <w:sz w:val="20"/>
          <w:szCs w:val="20"/>
          <w:rtl/>
        </w:rPr>
        <w:t>)</w:t>
      </w:r>
    </w:p>
    <w:tbl>
      <w:tblPr>
        <w:bidiVisual/>
        <w:tblW w:w="0" w:type="auto"/>
        <w:tblBorders>
          <w:top w:val="single" w:sz="8" w:space="0" w:color="9BBB59"/>
          <w:left w:val="single" w:sz="8" w:space="0" w:color="9BBB59"/>
          <w:bottom w:val="single" w:sz="8" w:space="0" w:color="9BBB59"/>
          <w:right w:val="single" w:sz="8" w:space="0" w:color="9BBB59"/>
        </w:tblBorders>
        <w:tblLayout w:type="fixed"/>
        <w:tblLook w:val="00A0" w:firstRow="1" w:lastRow="0" w:firstColumn="1" w:lastColumn="0" w:noHBand="0" w:noVBand="0"/>
      </w:tblPr>
      <w:tblGrid>
        <w:gridCol w:w="3083"/>
        <w:gridCol w:w="2552"/>
        <w:gridCol w:w="1417"/>
        <w:gridCol w:w="2552"/>
      </w:tblGrid>
      <w:tr w:rsidR="00335E4B" w:rsidRPr="00335E4B" w:rsidTr="00D002D1">
        <w:tc>
          <w:tcPr>
            <w:tcW w:w="3083" w:type="dxa"/>
            <w:tcBorders>
              <w:top w:val="single" w:sz="8" w:space="0" w:color="9BBB59"/>
              <w:bottom w:val="nil"/>
              <w:right w:val="nil"/>
            </w:tcBorders>
            <w:shd w:val="clear" w:color="auto" w:fill="9BBB59"/>
            <w:vAlign w:val="center"/>
          </w:tcPr>
          <w:p w:rsidR="00335E4B" w:rsidRPr="00335E4B" w:rsidRDefault="00335E4B" w:rsidP="00335E4B">
            <w:pPr>
              <w:spacing w:line="360" w:lineRule="exact"/>
              <w:jc w:val="center"/>
              <w:rPr>
                <w:rFonts w:cs="Traditional Arabic"/>
                <w:sz w:val="18"/>
                <w:szCs w:val="30"/>
                <w:rtl/>
              </w:rPr>
            </w:pPr>
            <w:r w:rsidRPr="00335E4B">
              <w:rPr>
                <w:rFonts w:cs="Traditional Arabic"/>
                <w:sz w:val="18"/>
                <w:szCs w:val="30"/>
                <w:rtl/>
              </w:rPr>
              <w:t xml:space="preserve">تدفق الغاز </w:t>
            </w:r>
          </w:p>
        </w:tc>
        <w:tc>
          <w:tcPr>
            <w:tcW w:w="2552" w:type="dxa"/>
            <w:tcBorders>
              <w:top w:val="single" w:sz="8" w:space="0" w:color="9BBB59"/>
              <w:left w:val="single" w:sz="8" w:space="0" w:color="9BBB59"/>
              <w:bottom w:val="nil"/>
              <w:right w:val="single" w:sz="8" w:space="0" w:color="9BBB59"/>
            </w:tcBorders>
            <w:shd w:val="clear" w:color="auto" w:fill="9BBB59"/>
            <w:vAlign w:val="center"/>
          </w:tcPr>
          <w:p w:rsidR="00335E4B" w:rsidRPr="00335E4B" w:rsidRDefault="00335E4B" w:rsidP="00335E4B">
            <w:pPr>
              <w:spacing w:line="360" w:lineRule="exact"/>
              <w:jc w:val="center"/>
              <w:rPr>
                <w:rFonts w:cs="Traditional Arabic"/>
                <w:sz w:val="18"/>
                <w:szCs w:val="30"/>
                <w:rtl/>
              </w:rPr>
            </w:pPr>
            <w:r w:rsidRPr="00335E4B">
              <w:rPr>
                <w:rFonts w:cs="Traditional Arabic"/>
                <w:sz w:val="18"/>
                <w:szCs w:val="30"/>
                <w:rtl/>
              </w:rPr>
              <w:t>قبل [ميكروغرام/متر مكعب في الظروف العادية] [</w:t>
            </w:r>
            <w:r w:rsidRPr="00335E4B">
              <w:rPr>
                <w:rFonts w:cs="Traditional Arabic" w:hint="cs"/>
                <w:sz w:val="18"/>
                <w:szCs w:val="30"/>
              </w:rPr>
              <w:t>μ</w:t>
            </w:r>
            <w:r w:rsidRPr="00335E4B">
              <w:rPr>
                <w:rFonts w:cs="Traditional Arabic"/>
                <w:sz w:val="18"/>
                <w:szCs w:val="30"/>
              </w:rPr>
              <w:t>g/Nm3</w:t>
            </w:r>
            <w:r w:rsidRPr="00335E4B">
              <w:rPr>
                <w:rFonts w:cs="Traditional Arabic"/>
                <w:sz w:val="18"/>
                <w:szCs w:val="30"/>
                <w:rtl/>
              </w:rPr>
              <w:t>]</w:t>
            </w:r>
          </w:p>
        </w:tc>
        <w:tc>
          <w:tcPr>
            <w:tcW w:w="1417" w:type="dxa"/>
            <w:tcBorders>
              <w:top w:val="single" w:sz="8" w:space="0" w:color="9BBB59"/>
              <w:left w:val="nil"/>
              <w:bottom w:val="nil"/>
              <w:right w:val="nil"/>
            </w:tcBorders>
            <w:shd w:val="clear" w:color="auto" w:fill="9BBB59"/>
            <w:vAlign w:val="center"/>
          </w:tcPr>
          <w:p w:rsidR="00335E4B" w:rsidRPr="00335E4B" w:rsidRDefault="00335E4B" w:rsidP="00335E4B">
            <w:pPr>
              <w:spacing w:line="360" w:lineRule="exact"/>
              <w:jc w:val="center"/>
              <w:rPr>
                <w:rFonts w:cs="Traditional Arabic"/>
                <w:sz w:val="18"/>
                <w:szCs w:val="30"/>
                <w:rtl/>
              </w:rPr>
            </w:pPr>
            <w:r w:rsidRPr="00335E4B">
              <w:rPr>
                <w:rFonts w:cs="Traditional Arabic"/>
                <w:sz w:val="18"/>
                <w:szCs w:val="30"/>
                <w:rtl/>
              </w:rPr>
              <w:t>بعد [</w:t>
            </w:r>
            <w:r w:rsidRPr="00335E4B">
              <w:rPr>
                <w:rFonts w:cs="Traditional Arabic" w:hint="cs"/>
                <w:sz w:val="18"/>
                <w:szCs w:val="30"/>
              </w:rPr>
              <w:t>μ</w:t>
            </w:r>
            <w:r w:rsidRPr="00335E4B">
              <w:rPr>
                <w:rFonts w:cs="Traditional Arabic"/>
                <w:sz w:val="18"/>
                <w:szCs w:val="30"/>
              </w:rPr>
              <w:t>g/Nm3</w:t>
            </w:r>
            <w:r w:rsidRPr="00335E4B">
              <w:rPr>
                <w:rFonts w:cs="Traditional Arabic"/>
                <w:sz w:val="18"/>
                <w:szCs w:val="30"/>
                <w:rtl/>
              </w:rPr>
              <w:t>]</w:t>
            </w:r>
          </w:p>
        </w:tc>
        <w:tc>
          <w:tcPr>
            <w:tcW w:w="2552" w:type="dxa"/>
            <w:tcBorders>
              <w:top w:val="single" w:sz="8" w:space="0" w:color="9BBB59"/>
              <w:left w:val="single" w:sz="8" w:space="0" w:color="9BBB59"/>
              <w:bottom w:val="nil"/>
            </w:tcBorders>
            <w:shd w:val="clear" w:color="auto" w:fill="9BBB59"/>
            <w:vAlign w:val="center"/>
          </w:tcPr>
          <w:p w:rsidR="00335E4B" w:rsidRPr="00335E4B" w:rsidRDefault="00335E4B" w:rsidP="00335E4B">
            <w:pPr>
              <w:spacing w:line="360" w:lineRule="exact"/>
              <w:jc w:val="center"/>
              <w:rPr>
                <w:rFonts w:cs="Traditional Arabic"/>
                <w:sz w:val="18"/>
                <w:szCs w:val="30"/>
                <w:rtl/>
              </w:rPr>
            </w:pPr>
            <w:r w:rsidRPr="00335E4B">
              <w:rPr>
                <w:rFonts w:cs="Traditional Arabic"/>
                <w:sz w:val="18"/>
                <w:szCs w:val="30"/>
                <w:rtl/>
              </w:rPr>
              <w:t>كفاءة التقليل [النسبة المئوية]</w:t>
            </w:r>
          </w:p>
        </w:tc>
      </w:tr>
      <w:tr w:rsidR="00335E4B" w:rsidRPr="00335E4B" w:rsidTr="00D002D1">
        <w:tc>
          <w:tcPr>
            <w:tcW w:w="3083" w:type="dxa"/>
            <w:tcBorders>
              <w:top w:val="single" w:sz="8" w:space="0" w:color="9BBB59"/>
              <w:bottom w:val="single" w:sz="8" w:space="0" w:color="9BBB59"/>
              <w:right w:val="nil"/>
            </w:tcBorders>
          </w:tcPr>
          <w:p w:rsidR="00335E4B" w:rsidRPr="00335E4B" w:rsidRDefault="00335E4B" w:rsidP="00335E4B">
            <w:pPr>
              <w:spacing w:line="360" w:lineRule="exact"/>
              <w:jc w:val="center"/>
              <w:rPr>
                <w:rFonts w:cs="Traditional Arabic"/>
                <w:sz w:val="18"/>
                <w:szCs w:val="30"/>
                <w:rtl/>
              </w:rPr>
            </w:pPr>
            <w:r w:rsidRPr="00335E4B">
              <w:rPr>
                <w:rFonts w:cs="Traditional Arabic"/>
                <w:sz w:val="18"/>
                <w:szCs w:val="30"/>
                <w:rtl/>
              </w:rPr>
              <w:t xml:space="preserve">تركيز </w:t>
            </w:r>
            <w:r w:rsidRPr="00335E4B">
              <w:rPr>
                <w:rFonts w:cs="Traditional Arabic" w:hint="cs"/>
                <w:sz w:val="18"/>
                <w:szCs w:val="30"/>
                <w:rtl/>
              </w:rPr>
              <w:t>عال</w:t>
            </w:r>
            <w:r w:rsidRPr="00335E4B">
              <w:rPr>
                <w:rFonts w:cs="Traditional Arabic"/>
                <w:sz w:val="18"/>
                <w:szCs w:val="30"/>
                <w:rtl/>
              </w:rPr>
              <w:t xml:space="preserve"> عند منفذ الدخول</w:t>
            </w:r>
          </w:p>
        </w:tc>
        <w:tc>
          <w:tcPr>
            <w:tcW w:w="2552" w:type="dxa"/>
            <w:tcBorders>
              <w:top w:val="single" w:sz="8" w:space="0" w:color="9BBB59"/>
              <w:left w:val="single" w:sz="8" w:space="0" w:color="9BBB59"/>
              <w:bottom w:val="single" w:sz="8" w:space="0" w:color="9BBB59"/>
              <w:right w:val="single" w:sz="8" w:space="0" w:color="9BBB59"/>
            </w:tcBorders>
          </w:tcPr>
          <w:p w:rsidR="00335E4B" w:rsidRPr="00335E4B" w:rsidRDefault="00335E4B" w:rsidP="00335E4B">
            <w:pPr>
              <w:spacing w:line="360" w:lineRule="exact"/>
              <w:jc w:val="center"/>
              <w:rPr>
                <w:rFonts w:cs="Traditional Arabic"/>
                <w:sz w:val="18"/>
                <w:szCs w:val="30"/>
                <w:rtl/>
              </w:rPr>
            </w:pPr>
            <w:r w:rsidRPr="00335E4B">
              <w:rPr>
                <w:rFonts w:cs="Traditional Arabic" w:hint="cs"/>
                <w:sz w:val="18"/>
                <w:szCs w:val="30"/>
                <w:rtl/>
              </w:rPr>
              <w:t>6000</w:t>
            </w:r>
          </w:p>
        </w:tc>
        <w:tc>
          <w:tcPr>
            <w:tcW w:w="1417" w:type="dxa"/>
            <w:tcBorders>
              <w:top w:val="single" w:sz="8" w:space="0" w:color="9BBB59"/>
              <w:left w:val="nil"/>
              <w:bottom w:val="single" w:sz="8" w:space="0" w:color="9BBB59"/>
              <w:right w:val="nil"/>
            </w:tcBorders>
          </w:tcPr>
          <w:p w:rsidR="00335E4B" w:rsidRPr="00335E4B" w:rsidRDefault="00335E4B" w:rsidP="00335E4B">
            <w:pPr>
              <w:spacing w:line="360" w:lineRule="exact"/>
              <w:jc w:val="center"/>
              <w:rPr>
                <w:rFonts w:cs="Traditional Arabic"/>
                <w:sz w:val="18"/>
                <w:szCs w:val="30"/>
                <w:rtl/>
              </w:rPr>
            </w:pPr>
            <w:r w:rsidRPr="00335E4B">
              <w:rPr>
                <w:rFonts w:cs="Times New Roman"/>
                <w:sz w:val="20"/>
                <w:szCs w:val="20"/>
                <w:rtl/>
              </w:rPr>
              <w:t>&lt;</w:t>
            </w:r>
            <w:r w:rsidRPr="00335E4B">
              <w:rPr>
                <w:rFonts w:cs="Traditional Arabic" w:hint="cs"/>
                <w:sz w:val="18"/>
                <w:szCs w:val="30"/>
                <w:rtl/>
              </w:rPr>
              <w:t>50</w:t>
            </w:r>
          </w:p>
        </w:tc>
        <w:tc>
          <w:tcPr>
            <w:tcW w:w="2552" w:type="dxa"/>
            <w:tcBorders>
              <w:top w:val="single" w:sz="8" w:space="0" w:color="9BBB59"/>
              <w:left w:val="single" w:sz="8" w:space="0" w:color="9BBB59"/>
              <w:bottom w:val="single" w:sz="8" w:space="0" w:color="9BBB59"/>
            </w:tcBorders>
          </w:tcPr>
          <w:p w:rsidR="00335E4B" w:rsidRPr="00335E4B" w:rsidRDefault="00335E4B" w:rsidP="00335E4B">
            <w:pPr>
              <w:spacing w:line="360" w:lineRule="exact"/>
              <w:jc w:val="center"/>
              <w:rPr>
                <w:rFonts w:cs="Traditional Arabic"/>
                <w:sz w:val="18"/>
                <w:szCs w:val="30"/>
                <w:rtl/>
              </w:rPr>
            </w:pPr>
            <w:r w:rsidRPr="00335E4B">
              <w:rPr>
                <w:rFonts w:cs="Traditional Arabic" w:hint="cs"/>
                <w:sz w:val="18"/>
                <w:szCs w:val="30"/>
                <w:rtl/>
              </w:rPr>
              <w:t>99</w:t>
            </w:r>
          </w:p>
        </w:tc>
      </w:tr>
    </w:tbl>
    <w:p w:rsidR="00335E4B" w:rsidRPr="00335E4B" w:rsidRDefault="00D55641" w:rsidP="00335E4B">
      <w:pPr>
        <w:keepNext/>
        <w:tabs>
          <w:tab w:val="left" w:pos="991"/>
        </w:tabs>
        <w:spacing w:before="120" w:after="120" w:line="400" w:lineRule="exact"/>
        <w:jc w:val="both"/>
        <w:outlineLvl w:val="0"/>
        <w:rPr>
          <w:rFonts w:cs="Traditional Arabic"/>
          <w:b/>
          <w:bCs/>
          <w:sz w:val="20"/>
          <w:szCs w:val="30"/>
          <w:rtl/>
          <w:lang w:bidi="ar-EG"/>
        </w:rPr>
      </w:pPr>
      <w:bookmarkStart w:id="1664" w:name="_Toc433095423"/>
      <w:bookmarkStart w:id="1665" w:name="_Toc434239957"/>
      <w:bookmarkStart w:id="1666" w:name="_Toc440550552"/>
      <w:bookmarkStart w:id="1667" w:name="_Toc441577811"/>
      <w:bookmarkStart w:id="1668" w:name="_Toc441577990"/>
      <w:bookmarkStart w:id="1669" w:name="_Toc441580824"/>
      <w:bookmarkStart w:id="1670" w:name="_Toc441585955"/>
      <w:bookmarkStart w:id="1671" w:name="_Toc441586291"/>
      <w:bookmarkStart w:id="1672" w:name="_Toc441586741"/>
      <w:bookmarkStart w:id="1673" w:name="_Toc441586920"/>
      <w:bookmarkStart w:id="1674" w:name="_Toc441666769"/>
      <w:bookmarkStart w:id="1675" w:name="_Toc441673830"/>
      <w:r>
        <w:rPr>
          <w:rFonts w:cs="Traditional Arabic" w:hint="cs"/>
          <w:b/>
          <w:bCs/>
          <w:sz w:val="20"/>
          <w:szCs w:val="30"/>
          <w:rtl/>
          <w:lang w:bidi="ar-EG"/>
        </w:rPr>
        <w:t>3-2-4</w:t>
      </w:r>
      <w:r>
        <w:rPr>
          <w:rFonts w:cs="Traditional Arabic" w:hint="cs"/>
          <w:b/>
          <w:bCs/>
          <w:sz w:val="20"/>
          <w:szCs w:val="30"/>
          <w:rtl/>
          <w:lang w:bidi="ar-EG"/>
        </w:rPr>
        <w:tab/>
      </w:r>
      <w:r w:rsidR="00335E4B" w:rsidRPr="00335E4B">
        <w:rPr>
          <w:rFonts w:cs="Traditional Arabic"/>
          <w:b/>
          <w:bCs/>
          <w:sz w:val="20"/>
          <w:szCs w:val="30"/>
          <w:rtl/>
          <w:lang w:bidi="ar-EG"/>
        </w:rPr>
        <w:t>تكاليف التركيب والتشغيل</w:t>
      </w:r>
      <w:bookmarkEnd w:id="1664"/>
      <w:bookmarkEnd w:id="1665"/>
      <w:bookmarkEnd w:id="1666"/>
      <w:bookmarkEnd w:id="1667"/>
      <w:bookmarkEnd w:id="1668"/>
      <w:bookmarkEnd w:id="1669"/>
      <w:bookmarkEnd w:id="1670"/>
      <w:bookmarkEnd w:id="1671"/>
      <w:bookmarkEnd w:id="1672"/>
      <w:bookmarkEnd w:id="1673"/>
      <w:bookmarkEnd w:id="1674"/>
      <w:bookmarkEnd w:id="1675"/>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تتناسب تكلفة الاستثمار مع كمية تدفق الغاز</w:t>
      </w:r>
      <w:r w:rsidRPr="00335E4B">
        <w:rPr>
          <w:rFonts w:cs="Traditional Arabic"/>
          <w:sz w:val="20"/>
          <w:szCs w:val="30"/>
          <w:rtl/>
          <w:lang w:val="en-GB" w:bidi="ar-EG"/>
        </w:rPr>
        <w:t>.</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وعندما تصبح كتلة السلنيوم مشبعة بالزئبق يجب استبدالها</w:t>
      </w:r>
      <w:r w:rsidRPr="00335E4B">
        <w:rPr>
          <w:rFonts w:cs="Traditional Arabic"/>
          <w:sz w:val="20"/>
          <w:szCs w:val="30"/>
          <w:rtl/>
          <w:lang w:val="en-GB" w:bidi="ar-EG"/>
        </w:rPr>
        <w:t>.</w:t>
      </w:r>
      <w:r w:rsidRPr="00335E4B">
        <w:rPr>
          <w:rFonts w:cs="Traditional Arabic"/>
          <w:sz w:val="20"/>
          <w:szCs w:val="30"/>
          <w:rtl/>
        </w:rPr>
        <w:t xml:space="preserve"> وهذا يمثل التكلفة الرئيسية لهذه التكنولوجيا، وهي تتناسب أساساً مع الكمية المزالة من الزئبق </w:t>
      </w:r>
      <w:r w:rsidRPr="00335E4B">
        <w:rPr>
          <w:rFonts w:cs="Times New Roman"/>
          <w:sz w:val="20"/>
          <w:szCs w:val="20"/>
          <w:rtl/>
        </w:rPr>
        <w:t>(</w:t>
      </w:r>
      <w:r w:rsidRPr="00335E4B">
        <w:rPr>
          <w:rFonts w:cs="Times New Roman"/>
          <w:sz w:val="20"/>
          <w:szCs w:val="20"/>
          <w:lang w:val="en-GB" w:bidi="ar-EG"/>
        </w:rPr>
        <w:t>Hultbom 2003</w:t>
      </w:r>
      <w:r w:rsidRPr="00335E4B">
        <w:rPr>
          <w:rFonts w:cs="Times New Roman"/>
          <w:sz w:val="20"/>
          <w:szCs w:val="20"/>
          <w:rtl/>
        </w:rPr>
        <w:t>)</w:t>
      </w:r>
      <w:r w:rsidRPr="00335E4B">
        <w:rPr>
          <w:rFonts w:cs="Traditional Arabic"/>
          <w:sz w:val="20"/>
          <w:szCs w:val="30"/>
          <w:rtl/>
          <w:lang w:val="en-GB" w:bidi="ar-EG"/>
        </w:rPr>
        <w:t>.</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وكثيراً ما تتم مقارنة تكاليف تركيب مرشح السلنيوم مع التكاليف المرتبطة بعملية بوليدين</w:t>
      </w:r>
      <w:r w:rsidRPr="00335E4B">
        <w:rPr>
          <w:rFonts w:cs="Traditional Arabic"/>
          <w:sz w:val="20"/>
          <w:szCs w:val="30"/>
          <w:rtl/>
          <w:lang w:val="en-GB" w:bidi="ar-EG"/>
        </w:rPr>
        <w:t>-</w:t>
      </w:r>
      <w:r w:rsidRPr="00335E4B">
        <w:rPr>
          <w:rFonts w:cs="Traditional Arabic"/>
          <w:sz w:val="20"/>
          <w:szCs w:val="30"/>
          <w:rtl/>
        </w:rPr>
        <w:t>نورزينك في الحالات التي تكون فيها التقنيتان هما الأنسب</w:t>
      </w:r>
      <w:r w:rsidRPr="00335E4B">
        <w:rPr>
          <w:rFonts w:cs="Traditional Arabic"/>
          <w:sz w:val="20"/>
          <w:szCs w:val="30"/>
          <w:rtl/>
          <w:lang w:val="en-GB" w:bidi="ar-EG"/>
        </w:rPr>
        <w:t>.</w:t>
      </w:r>
      <w:r w:rsidRPr="00335E4B">
        <w:rPr>
          <w:rFonts w:cs="Traditional Arabic"/>
          <w:sz w:val="20"/>
          <w:szCs w:val="30"/>
          <w:rtl/>
        </w:rPr>
        <w:t xml:space="preserve"> وفي الحالات التي تنخفض فيها معدلات تدفق الغاز، تكون تكلفة الاستثمار النسبية أقل من عملية بوليدين</w:t>
      </w:r>
      <w:r w:rsidRPr="00335E4B">
        <w:rPr>
          <w:rFonts w:cs="Traditional Arabic"/>
          <w:sz w:val="20"/>
          <w:szCs w:val="30"/>
          <w:rtl/>
          <w:lang w:val="en-GB" w:bidi="ar-EG"/>
        </w:rPr>
        <w:t>-</w:t>
      </w:r>
      <w:r w:rsidRPr="00335E4B">
        <w:rPr>
          <w:rFonts w:cs="Traditional Arabic"/>
          <w:sz w:val="20"/>
          <w:szCs w:val="30"/>
          <w:rtl/>
        </w:rPr>
        <w:t>نورزينك، لأن هذه الأخيرة طريقة شطف تتطلب معدات أكثر</w:t>
      </w:r>
      <w:r w:rsidRPr="00335E4B">
        <w:rPr>
          <w:rFonts w:cs="Traditional Arabic"/>
          <w:sz w:val="20"/>
          <w:szCs w:val="30"/>
          <w:rtl/>
          <w:lang w:val="en-GB" w:bidi="ar-EG"/>
        </w:rPr>
        <w:t>.</w:t>
      </w:r>
      <w:r w:rsidRPr="00335E4B">
        <w:rPr>
          <w:rFonts w:cs="Traditional Arabic"/>
          <w:sz w:val="20"/>
          <w:szCs w:val="30"/>
          <w:rtl/>
        </w:rPr>
        <w:t xml:space="preserve"> ويكون العكس صحيحاً بالنسبة لمعدلات التدفق المرتفعة، لأن تكلفة توسيع نطاق جهاز الشطف أقل من نظيرتها لمرشحات الطبقات الثابتة </w:t>
      </w:r>
      <w:r w:rsidRPr="00335E4B">
        <w:rPr>
          <w:rFonts w:cs="Times New Roman"/>
          <w:sz w:val="20"/>
          <w:szCs w:val="20"/>
          <w:rtl/>
        </w:rPr>
        <w:t>(</w:t>
      </w:r>
      <w:r w:rsidRPr="00335E4B">
        <w:rPr>
          <w:rFonts w:cs="Times New Roman"/>
          <w:sz w:val="20"/>
          <w:szCs w:val="20"/>
        </w:rPr>
        <w:t>Hultbom 2003</w:t>
      </w:r>
      <w:r w:rsidRPr="00335E4B">
        <w:rPr>
          <w:rFonts w:cs="Times New Roman"/>
          <w:sz w:val="20"/>
          <w:szCs w:val="20"/>
          <w:rtl/>
        </w:rPr>
        <w:t>)</w:t>
      </w:r>
      <w:r w:rsidRPr="00335E4B">
        <w:rPr>
          <w:rFonts w:cs="Traditional Arabic"/>
          <w:sz w:val="20"/>
          <w:szCs w:val="30"/>
          <w:rtl/>
          <w:lang w:val="en-GB" w:bidi="ar-EG"/>
        </w:rPr>
        <w:t>.</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وبالنسبة لمعدلات تدفق الغاز الأكثر ارتفاعاً التي تترافق مع كميات عالية من الزئبق الوارد تكون عملية بوليدين</w:t>
      </w:r>
      <w:r w:rsidRPr="00335E4B">
        <w:rPr>
          <w:rFonts w:cs="Traditional Arabic"/>
          <w:sz w:val="20"/>
          <w:szCs w:val="30"/>
          <w:rtl/>
          <w:lang w:val="en-GB" w:bidi="ar-EG"/>
        </w:rPr>
        <w:t>-</w:t>
      </w:r>
      <w:r w:rsidRPr="00335E4B">
        <w:rPr>
          <w:rFonts w:cs="Traditional Arabic"/>
          <w:sz w:val="20"/>
          <w:szCs w:val="30"/>
          <w:rtl/>
        </w:rPr>
        <w:t>نورزينك هي الأكثر اقتصاداً؛ وعلى الرغم من ذلك، يذكر أنه من الممكن الجمع بين عمليتي بوليدين</w:t>
      </w:r>
      <w:r w:rsidRPr="00335E4B">
        <w:rPr>
          <w:rFonts w:cs="Traditional Arabic"/>
          <w:sz w:val="20"/>
          <w:szCs w:val="30"/>
          <w:rtl/>
          <w:lang w:val="en-GB" w:bidi="ar-EG"/>
        </w:rPr>
        <w:t>-</w:t>
      </w:r>
      <w:r w:rsidRPr="00335E4B">
        <w:rPr>
          <w:rFonts w:cs="Traditional Arabic"/>
          <w:sz w:val="20"/>
          <w:szCs w:val="30"/>
          <w:rtl/>
        </w:rPr>
        <w:t xml:space="preserve">نورزينك ومرشح السلنيوم من أجل تلبية أكثر المطالب صرامة في مجال إزالة الزئبق </w:t>
      </w:r>
      <w:r w:rsidRPr="00335E4B">
        <w:rPr>
          <w:rFonts w:cs="Times New Roman"/>
          <w:sz w:val="20"/>
          <w:szCs w:val="20"/>
          <w:rtl/>
        </w:rPr>
        <w:t>(</w:t>
      </w:r>
      <w:r w:rsidRPr="00335E4B">
        <w:rPr>
          <w:rFonts w:cs="Times New Roman"/>
          <w:sz w:val="20"/>
          <w:szCs w:val="20"/>
        </w:rPr>
        <w:t>Hultbom 2003</w:t>
      </w:r>
      <w:r w:rsidRPr="00335E4B">
        <w:rPr>
          <w:rFonts w:cs="Times New Roman"/>
          <w:sz w:val="20"/>
          <w:szCs w:val="20"/>
          <w:rtl/>
        </w:rPr>
        <w:t>)</w:t>
      </w:r>
      <w:r w:rsidRPr="00335E4B">
        <w:rPr>
          <w:rFonts w:cs="Traditional Arabic"/>
          <w:sz w:val="20"/>
          <w:szCs w:val="30"/>
          <w:rtl/>
          <w:lang w:val="en-GB" w:bidi="ar-EG"/>
        </w:rPr>
        <w:t>.</w:t>
      </w:r>
    </w:p>
    <w:p w:rsidR="00335E4B" w:rsidRPr="00335E4B" w:rsidRDefault="00335E4B" w:rsidP="0050351E">
      <w:pPr>
        <w:spacing w:line="400" w:lineRule="exact"/>
        <w:jc w:val="both"/>
        <w:rPr>
          <w:rFonts w:cs="Traditional Arabic"/>
          <w:sz w:val="20"/>
          <w:szCs w:val="30"/>
          <w:rtl/>
        </w:rPr>
      </w:pPr>
      <w:r w:rsidRPr="00335E4B">
        <w:rPr>
          <w:rFonts w:cs="Traditional Arabic"/>
          <w:sz w:val="20"/>
          <w:szCs w:val="30"/>
          <w:rtl/>
        </w:rPr>
        <w:t>وتذكر مصادر القطاع التكلفة الإرشادية لمرشح سلنيوم تبلغ سعته</w:t>
      </w:r>
      <w:r w:rsidRPr="00335E4B">
        <w:rPr>
          <w:rFonts w:cs="Traditional Arabic"/>
          <w:sz w:val="20"/>
          <w:szCs w:val="30"/>
          <w:rtl/>
          <w:lang w:val="en-GB" w:bidi="ar-EG"/>
        </w:rPr>
        <w:t xml:space="preserve"> 000</w:t>
      </w:r>
      <w:r w:rsidR="0050351E">
        <w:rPr>
          <w:rFonts w:cs="Traditional Arabic" w:hint="cs"/>
          <w:sz w:val="20"/>
          <w:szCs w:val="30"/>
          <w:rtl/>
          <w:lang w:val="en-GB" w:bidi="ar-EG"/>
        </w:rPr>
        <w:t> </w:t>
      </w:r>
      <w:r w:rsidRPr="00335E4B">
        <w:rPr>
          <w:rFonts w:cs="Traditional Arabic"/>
          <w:sz w:val="20"/>
          <w:szCs w:val="30"/>
          <w:rtl/>
          <w:lang w:val="en-GB" w:bidi="ar-EG"/>
        </w:rPr>
        <w:t xml:space="preserve">200 </w:t>
      </w:r>
      <w:r w:rsidRPr="00335E4B">
        <w:rPr>
          <w:rFonts w:cs="Traditional Arabic"/>
          <w:sz w:val="20"/>
          <w:szCs w:val="30"/>
          <w:rtl/>
        </w:rPr>
        <w:t>متر مكعب</w:t>
      </w:r>
      <w:r w:rsidRPr="00335E4B">
        <w:rPr>
          <w:rFonts w:cs="Traditional Arabic"/>
          <w:sz w:val="20"/>
          <w:szCs w:val="30"/>
          <w:rtl/>
          <w:lang w:val="en-GB" w:bidi="ar-EG"/>
        </w:rPr>
        <w:t>/</w:t>
      </w:r>
      <w:r w:rsidRPr="00335E4B">
        <w:rPr>
          <w:rFonts w:cs="Traditional Arabic"/>
          <w:sz w:val="20"/>
          <w:szCs w:val="30"/>
          <w:rtl/>
        </w:rPr>
        <w:t>ساعة، فتشير إلى استثمار أولي يبلغ حوالي</w:t>
      </w:r>
      <w:r w:rsidRPr="00335E4B">
        <w:rPr>
          <w:rFonts w:cs="Traditional Arabic"/>
          <w:sz w:val="20"/>
          <w:szCs w:val="30"/>
          <w:rtl/>
          <w:lang w:val="en-GB" w:bidi="ar-EG"/>
        </w:rPr>
        <w:t xml:space="preserve"> 3 </w:t>
      </w:r>
      <w:r w:rsidRPr="00335E4B">
        <w:rPr>
          <w:rFonts w:cs="Traditional Arabic"/>
          <w:sz w:val="20"/>
          <w:szCs w:val="30"/>
          <w:rtl/>
        </w:rPr>
        <w:t>ملايين يورو، تضاف إليه تكلفة</w:t>
      </w:r>
      <w:r w:rsidRPr="00335E4B">
        <w:rPr>
          <w:rFonts w:cs="Traditional Arabic"/>
          <w:sz w:val="20"/>
          <w:szCs w:val="30"/>
          <w:rtl/>
          <w:lang w:val="en-GB" w:bidi="ar-EG"/>
        </w:rPr>
        <w:t xml:space="preserve"> 70 </w:t>
      </w:r>
      <w:r w:rsidRPr="00335E4B">
        <w:rPr>
          <w:rFonts w:cs="Traditional Arabic"/>
          <w:sz w:val="20"/>
          <w:szCs w:val="30"/>
          <w:rtl/>
        </w:rPr>
        <w:t>طناً من السلنيوم بسعر</w:t>
      </w:r>
      <w:r w:rsidRPr="00335E4B">
        <w:rPr>
          <w:rFonts w:cs="Traditional Arabic"/>
          <w:sz w:val="20"/>
          <w:szCs w:val="30"/>
          <w:rtl/>
          <w:lang w:val="en-GB" w:bidi="ar-EG"/>
        </w:rPr>
        <w:t xml:space="preserve"> 000</w:t>
      </w:r>
      <w:r w:rsidR="0050351E">
        <w:rPr>
          <w:rFonts w:cs="Traditional Arabic" w:hint="cs"/>
          <w:sz w:val="20"/>
          <w:szCs w:val="30"/>
          <w:rtl/>
          <w:lang w:val="en-GB" w:bidi="ar-EG"/>
        </w:rPr>
        <w:t> </w:t>
      </w:r>
      <w:r w:rsidRPr="00335E4B">
        <w:rPr>
          <w:rFonts w:cs="Traditional Arabic"/>
          <w:sz w:val="20"/>
          <w:szCs w:val="30"/>
          <w:rtl/>
          <w:lang w:val="en-GB" w:bidi="ar-EG"/>
        </w:rPr>
        <w:t xml:space="preserve">35 </w:t>
      </w:r>
      <w:r w:rsidRPr="00335E4B">
        <w:rPr>
          <w:rFonts w:cs="Traditional Arabic"/>
          <w:sz w:val="20"/>
          <w:szCs w:val="30"/>
          <w:rtl/>
        </w:rPr>
        <w:t>يورو للطن الواحد</w:t>
      </w:r>
      <w:r w:rsidRPr="00335E4B">
        <w:rPr>
          <w:rFonts w:cs="Traditional Arabic"/>
          <w:sz w:val="20"/>
          <w:szCs w:val="30"/>
          <w:rtl/>
          <w:lang w:val="en-GB" w:bidi="ar-EG"/>
        </w:rPr>
        <w:t>.</w:t>
      </w:r>
    </w:p>
    <w:p w:rsidR="00335E4B" w:rsidRPr="00335E4B" w:rsidRDefault="00D55641" w:rsidP="00E22079">
      <w:pPr>
        <w:keepNext/>
        <w:tabs>
          <w:tab w:val="left" w:pos="991"/>
        </w:tabs>
        <w:spacing w:before="120" w:after="120" w:line="380" w:lineRule="exact"/>
        <w:jc w:val="both"/>
        <w:outlineLvl w:val="0"/>
        <w:rPr>
          <w:rFonts w:cs="Traditional Arabic"/>
          <w:b/>
          <w:bCs/>
          <w:sz w:val="20"/>
          <w:szCs w:val="30"/>
          <w:rtl/>
          <w:lang w:bidi="ar-EG"/>
        </w:rPr>
      </w:pPr>
      <w:bookmarkStart w:id="1676" w:name="_Toc440550553"/>
      <w:bookmarkStart w:id="1677" w:name="_Toc433095424"/>
      <w:bookmarkStart w:id="1678" w:name="_Toc434239958"/>
      <w:bookmarkStart w:id="1679" w:name="_Toc441577812"/>
      <w:bookmarkStart w:id="1680" w:name="_Toc441577991"/>
      <w:bookmarkStart w:id="1681" w:name="_Toc441580825"/>
      <w:bookmarkStart w:id="1682" w:name="_Toc441585956"/>
      <w:bookmarkStart w:id="1683" w:name="_Toc441586292"/>
      <w:bookmarkStart w:id="1684" w:name="_Toc441586742"/>
      <w:bookmarkStart w:id="1685" w:name="_Toc441586921"/>
      <w:bookmarkStart w:id="1686" w:name="_Toc441666770"/>
      <w:bookmarkStart w:id="1687" w:name="_Toc441673831"/>
      <w:r>
        <w:rPr>
          <w:rFonts w:cs="Traditional Arabic" w:hint="cs"/>
          <w:b/>
          <w:bCs/>
          <w:sz w:val="20"/>
          <w:szCs w:val="30"/>
          <w:rtl/>
          <w:lang w:bidi="ar-EG"/>
        </w:rPr>
        <w:t>3-2-5</w:t>
      </w:r>
      <w:r>
        <w:rPr>
          <w:rFonts w:cs="Traditional Arabic" w:hint="cs"/>
          <w:b/>
          <w:bCs/>
          <w:sz w:val="20"/>
          <w:szCs w:val="30"/>
          <w:rtl/>
          <w:lang w:bidi="ar-EG"/>
        </w:rPr>
        <w:tab/>
      </w:r>
      <w:r w:rsidR="00335E4B" w:rsidRPr="00335E4B">
        <w:rPr>
          <w:rFonts w:cs="Traditional Arabic"/>
          <w:b/>
          <w:bCs/>
          <w:sz w:val="20"/>
          <w:szCs w:val="30"/>
          <w:rtl/>
          <w:lang w:bidi="ar-EG"/>
        </w:rPr>
        <w:t xml:space="preserve">الآثار </w:t>
      </w:r>
      <w:r w:rsidR="00335E4B" w:rsidRPr="00335E4B">
        <w:rPr>
          <w:rFonts w:cs="Traditional Arabic" w:hint="cs"/>
          <w:b/>
          <w:bCs/>
          <w:sz w:val="20"/>
          <w:szCs w:val="30"/>
          <w:rtl/>
          <w:lang w:bidi="ar-EG"/>
        </w:rPr>
        <w:t>الشاملة ل</w:t>
      </w:r>
      <w:bookmarkEnd w:id="1676"/>
      <w:bookmarkEnd w:id="1677"/>
      <w:bookmarkEnd w:id="1678"/>
      <w:bookmarkEnd w:id="1679"/>
      <w:bookmarkEnd w:id="1680"/>
      <w:bookmarkEnd w:id="1681"/>
      <w:bookmarkEnd w:id="1682"/>
      <w:bookmarkEnd w:id="1683"/>
      <w:bookmarkEnd w:id="1684"/>
      <w:bookmarkEnd w:id="1685"/>
      <w:bookmarkEnd w:id="1686"/>
      <w:bookmarkEnd w:id="1687"/>
      <w:r w:rsidR="00E22079">
        <w:rPr>
          <w:rFonts w:cs="Traditional Arabic" w:hint="cs"/>
          <w:b/>
          <w:bCs/>
          <w:sz w:val="20"/>
          <w:szCs w:val="30"/>
          <w:rtl/>
          <w:lang w:bidi="ar-EG"/>
        </w:rPr>
        <w:t>عدة أوساط</w:t>
      </w:r>
    </w:p>
    <w:p w:rsidR="00335E4B" w:rsidRPr="00335E4B" w:rsidRDefault="00335E4B" w:rsidP="00335E4B">
      <w:pPr>
        <w:tabs>
          <w:tab w:val="center" w:pos="5468"/>
        </w:tabs>
        <w:spacing w:after="120" w:line="380" w:lineRule="exact"/>
        <w:jc w:val="both"/>
        <w:rPr>
          <w:rFonts w:cs="Traditional Arabic"/>
          <w:sz w:val="20"/>
          <w:szCs w:val="30"/>
          <w:rtl/>
        </w:rPr>
      </w:pPr>
      <w:r w:rsidRPr="00335E4B">
        <w:rPr>
          <w:rFonts w:cs="Traditional Arabic"/>
          <w:sz w:val="20"/>
          <w:szCs w:val="30"/>
          <w:rtl/>
        </w:rPr>
        <w:t>تؤدي العملية إلى آثار محتملة على الهواء والمياه بسبب تبخر الزئبق النقي أو أكسيد الزئبق من إنتاج النفايات المؤلفة من سلنيد الزئبق الصلب (ثنائي التكافؤ)</w:t>
      </w:r>
      <w:r w:rsidRPr="00335E4B">
        <w:rPr>
          <w:rFonts w:cs="Traditional Arabic"/>
          <w:sz w:val="20"/>
          <w:szCs w:val="30"/>
          <w:rtl/>
          <w:lang w:val="en-GB" w:bidi="ar-EG"/>
        </w:rPr>
        <w:t>.</w:t>
      </w:r>
      <w:r w:rsidRPr="00335E4B">
        <w:rPr>
          <w:rFonts w:cs="Traditional Arabic"/>
          <w:sz w:val="20"/>
          <w:szCs w:val="30"/>
          <w:rtl/>
        </w:rPr>
        <w:t xml:space="preserve"> ويجب تحويل النفايات إلى حالة الاستقرار قبل مواصلة معالجتها</w:t>
      </w:r>
      <w:r w:rsidRPr="00335E4B">
        <w:rPr>
          <w:rFonts w:cs="Traditional Arabic"/>
          <w:sz w:val="20"/>
          <w:szCs w:val="30"/>
          <w:rtl/>
          <w:lang w:val="en-GB" w:bidi="ar-EG"/>
        </w:rPr>
        <w:t>.</w:t>
      </w:r>
      <w:r w:rsidRPr="00335E4B">
        <w:rPr>
          <w:rFonts w:cs="Traditional Arabic"/>
          <w:sz w:val="20"/>
          <w:szCs w:val="30"/>
          <w:rtl/>
        </w:rPr>
        <w:t xml:space="preserve"> وينبغي أن تكون إدارة المواد المحتوية على الزئبق، بما في ذلك تخزينها والتخلص منها، والتجارة فيها، متسقة مع المواد الأخرى ذات الصلة في الاتفاقية</w:t>
      </w:r>
      <w:r w:rsidRPr="00335E4B">
        <w:rPr>
          <w:rFonts w:cs="Traditional Arabic"/>
          <w:sz w:val="20"/>
          <w:szCs w:val="30"/>
          <w:rtl/>
          <w:lang w:val="en-GB" w:bidi="ar-EG"/>
        </w:rPr>
        <w:t>.</w:t>
      </w:r>
    </w:p>
    <w:p w:rsidR="00335E4B" w:rsidRPr="00335E4B" w:rsidRDefault="007055F9" w:rsidP="007055F9">
      <w:pPr>
        <w:keepNext/>
        <w:tabs>
          <w:tab w:val="left" w:pos="991"/>
        </w:tabs>
        <w:spacing w:before="120" w:after="120" w:line="380" w:lineRule="exact"/>
        <w:jc w:val="both"/>
        <w:outlineLvl w:val="0"/>
        <w:rPr>
          <w:rFonts w:cs="Traditional Arabic"/>
          <w:b/>
          <w:bCs/>
          <w:sz w:val="20"/>
          <w:szCs w:val="30"/>
          <w:rtl/>
          <w:lang w:bidi="ar-EG"/>
        </w:rPr>
      </w:pPr>
      <w:bookmarkStart w:id="1688" w:name="_Toc434239959"/>
      <w:bookmarkStart w:id="1689" w:name="_Toc440550554"/>
      <w:bookmarkStart w:id="1690" w:name="_Toc441577813"/>
      <w:bookmarkStart w:id="1691" w:name="_Toc441577992"/>
      <w:bookmarkStart w:id="1692" w:name="_Toc441580826"/>
      <w:bookmarkStart w:id="1693" w:name="_Toc441585957"/>
      <w:bookmarkStart w:id="1694" w:name="_Toc441586293"/>
      <w:bookmarkStart w:id="1695" w:name="_Toc441586743"/>
      <w:bookmarkStart w:id="1696" w:name="_Toc441586922"/>
      <w:bookmarkStart w:id="1697" w:name="_Toc441666771"/>
      <w:bookmarkStart w:id="1698" w:name="_Toc441673832"/>
      <w:bookmarkStart w:id="1699" w:name="_Toc433095425"/>
      <w:bookmarkStart w:id="1700" w:name="_Toc434239960"/>
      <w:bookmarkEnd w:id="1688"/>
      <w:r>
        <w:rPr>
          <w:rFonts w:cs="Traditional Arabic" w:hint="cs"/>
          <w:b/>
          <w:bCs/>
          <w:sz w:val="20"/>
          <w:szCs w:val="30"/>
          <w:rtl/>
          <w:lang w:bidi="ar-EG"/>
        </w:rPr>
        <w:t>3-3</w:t>
      </w:r>
      <w:r>
        <w:rPr>
          <w:rFonts w:cs="Traditional Arabic" w:hint="cs"/>
          <w:b/>
          <w:bCs/>
          <w:sz w:val="20"/>
          <w:szCs w:val="30"/>
          <w:rtl/>
          <w:lang w:bidi="ar-EG"/>
        </w:rPr>
        <w:tab/>
      </w:r>
      <w:r w:rsidR="00335E4B" w:rsidRPr="00335E4B">
        <w:rPr>
          <w:rFonts w:cs="Traditional Arabic"/>
          <w:b/>
          <w:bCs/>
          <w:sz w:val="20"/>
          <w:szCs w:val="30"/>
          <w:rtl/>
          <w:lang w:bidi="ar-EG"/>
        </w:rPr>
        <w:t>الكربون المنشط</w:t>
      </w:r>
      <w:bookmarkEnd w:id="1689"/>
      <w:bookmarkEnd w:id="1690"/>
      <w:bookmarkEnd w:id="1691"/>
      <w:bookmarkEnd w:id="1692"/>
      <w:bookmarkEnd w:id="1693"/>
      <w:bookmarkEnd w:id="1694"/>
      <w:bookmarkEnd w:id="1695"/>
      <w:bookmarkEnd w:id="1696"/>
      <w:bookmarkEnd w:id="1697"/>
      <w:bookmarkEnd w:id="1698"/>
      <w:bookmarkEnd w:id="1699"/>
      <w:bookmarkEnd w:id="1700"/>
    </w:p>
    <w:p w:rsidR="00335E4B" w:rsidRPr="00335E4B" w:rsidRDefault="007055F9" w:rsidP="00335E4B">
      <w:pPr>
        <w:keepNext/>
        <w:tabs>
          <w:tab w:val="left" w:pos="991"/>
        </w:tabs>
        <w:spacing w:before="120" w:after="120" w:line="380" w:lineRule="exact"/>
        <w:jc w:val="both"/>
        <w:outlineLvl w:val="0"/>
        <w:rPr>
          <w:rFonts w:cs="Traditional Arabic"/>
          <w:b/>
          <w:bCs/>
          <w:sz w:val="20"/>
          <w:szCs w:val="30"/>
          <w:rtl/>
          <w:lang w:bidi="ar-EG"/>
        </w:rPr>
      </w:pPr>
      <w:bookmarkStart w:id="1701" w:name="_Toc433095426"/>
      <w:bookmarkStart w:id="1702" w:name="_Toc434239961"/>
      <w:bookmarkStart w:id="1703" w:name="_Toc440550555"/>
      <w:bookmarkStart w:id="1704" w:name="_Toc441577814"/>
      <w:bookmarkStart w:id="1705" w:name="_Toc441577993"/>
      <w:bookmarkStart w:id="1706" w:name="_Toc441580827"/>
      <w:bookmarkStart w:id="1707" w:name="_Toc441585958"/>
      <w:bookmarkStart w:id="1708" w:name="_Toc441586294"/>
      <w:bookmarkStart w:id="1709" w:name="_Toc441586744"/>
      <w:bookmarkStart w:id="1710" w:name="_Toc441586923"/>
      <w:bookmarkStart w:id="1711" w:name="_Toc441666772"/>
      <w:bookmarkStart w:id="1712" w:name="_Toc441673833"/>
      <w:r>
        <w:rPr>
          <w:rFonts w:cs="Traditional Arabic" w:hint="cs"/>
          <w:b/>
          <w:bCs/>
          <w:sz w:val="20"/>
          <w:szCs w:val="30"/>
          <w:rtl/>
          <w:lang w:bidi="ar-EG"/>
        </w:rPr>
        <w:t>3-3-1</w:t>
      </w:r>
      <w:r>
        <w:rPr>
          <w:rFonts w:cs="Traditional Arabic" w:hint="cs"/>
          <w:b/>
          <w:bCs/>
          <w:sz w:val="20"/>
          <w:szCs w:val="30"/>
          <w:rtl/>
          <w:lang w:bidi="ar-EG"/>
        </w:rPr>
        <w:tab/>
      </w:r>
      <w:r w:rsidR="00335E4B" w:rsidRPr="00335E4B">
        <w:rPr>
          <w:rFonts w:cs="Traditional Arabic"/>
          <w:b/>
          <w:bCs/>
          <w:sz w:val="20"/>
          <w:szCs w:val="30"/>
          <w:rtl/>
          <w:lang w:bidi="ar-EG"/>
        </w:rPr>
        <w:t>الوصف</w:t>
      </w:r>
      <w:bookmarkEnd w:id="1701"/>
      <w:bookmarkEnd w:id="1702"/>
      <w:bookmarkEnd w:id="1703"/>
      <w:bookmarkEnd w:id="1704"/>
      <w:bookmarkEnd w:id="1705"/>
      <w:bookmarkEnd w:id="1706"/>
      <w:bookmarkEnd w:id="1707"/>
      <w:bookmarkEnd w:id="1708"/>
      <w:bookmarkEnd w:id="1709"/>
      <w:bookmarkEnd w:id="1710"/>
      <w:bookmarkEnd w:id="1711"/>
      <w:bookmarkEnd w:id="1712"/>
    </w:p>
    <w:p w:rsidR="00335E4B" w:rsidRPr="00335E4B" w:rsidRDefault="00335E4B" w:rsidP="00335E4B">
      <w:pPr>
        <w:tabs>
          <w:tab w:val="center" w:pos="5468"/>
        </w:tabs>
        <w:spacing w:after="120" w:line="360" w:lineRule="exact"/>
        <w:jc w:val="both"/>
        <w:rPr>
          <w:rFonts w:cs="Traditional Arabic"/>
          <w:sz w:val="20"/>
          <w:szCs w:val="30"/>
          <w:rtl/>
        </w:rPr>
      </w:pPr>
      <w:r w:rsidRPr="00335E4B">
        <w:rPr>
          <w:rFonts w:cs="Traditional Arabic"/>
          <w:sz w:val="20"/>
          <w:szCs w:val="30"/>
          <w:rtl/>
        </w:rPr>
        <w:t xml:space="preserve">الكربون المنشط </w:t>
      </w:r>
      <w:r w:rsidRPr="00335E4B">
        <w:rPr>
          <w:rFonts w:cs="Traditional Arabic" w:hint="cs"/>
          <w:sz w:val="20"/>
          <w:szCs w:val="30"/>
          <w:rtl/>
        </w:rPr>
        <w:t>المشرَّب</w:t>
      </w:r>
      <w:r w:rsidRPr="00335E4B">
        <w:rPr>
          <w:rFonts w:cs="Traditional Arabic"/>
          <w:sz w:val="20"/>
          <w:szCs w:val="30"/>
          <w:rtl/>
        </w:rPr>
        <w:t xml:space="preserve"> بالكبريت</w:t>
      </w:r>
      <w:r w:rsidRPr="00335E4B">
        <w:rPr>
          <w:rFonts w:cs="Traditional Arabic" w:hint="cs"/>
          <w:sz w:val="20"/>
          <w:szCs w:val="30"/>
          <w:vertAlign w:val="superscript"/>
          <w:rtl/>
        </w:rPr>
        <w:t>(</w:t>
      </w:r>
      <w:r w:rsidRPr="00335E4B">
        <w:rPr>
          <w:rFonts w:cs="Traditional Arabic"/>
          <w:sz w:val="20"/>
          <w:szCs w:val="30"/>
          <w:vertAlign w:val="superscript"/>
          <w:rtl/>
        </w:rPr>
        <w:footnoteReference w:id="44"/>
      </w:r>
      <w:r w:rsidRPr="00335E4B">
        <w:rPr>
          <w:rFonts w:cs="Traditional Arabic" w:hint="cs"/>
          <w:sz w:val="20"/>
          <w:szCs w:val="30"/>
          <w:vertAlign w:val="superscript"/>
          <w:rtl/>
        </w:rPr>
        <w:t>)</w:t>
      </w:r>
      <w:r w:rsidRPr="00335E4B">
        <w:rPr>
          <w:rFonts w:cs="Traditional Arabic"/>
          <w:sz w:val="20"/>
          <w:szCs w:val="30"/>
          <w:rtl/>
        </w:rPr>
        <w:t xml:space="preserve"> هو أحد التكنولوجيات المثبتة المستخدمة في قطاع الذهب الصناعي </w:t>
      </w:r>
      <w:r w:rsidRPr="00335E4B">
        <w:rPr>
          <w:rFonts w:cs="Traditional Arabic" w:hint="cs"/>
          <w:sz w:val="20"/>
          <w:szCs w:val="30"/>
          <w:rtl/>
        </w:rPr>
        <w:t xml:space="preserve">لضبط </w:t>
      </w:r>
      <w:r w:rsidRPr="00335E4B">
        <w:rPr>
          <w:rFonts w:cs="Traditional Arabic"/>
          <w:sz w:val="20"/>
          <w:szCs w:val="30"/>
          <w:rtl/>
        </w:rPr>
        <w:t xml:space="preserve">انبعاثات الزئبق في الهواء. ويمكن تطبيق الكربون المنشط إما في وسط الطبقة الثابتة أو عن طريق الحقن بالكربون. ويتفاعل الزئبق الموجود في الانبعاثات الغازية مع الكربون </w:t>
      </w:r>
      <w:r w:rsidRPr="00335E4B">
        <w:rPr>
          <w:rFonts w:cs="Traditional Arabic" w:hint="cs"/>
          <w:sz w:val="20"/>
          <w:szCs w:val="30"/>
          <w:rtl/>
        </w:rPr>
        <w:t>المشرب</w:t>
      </w:r>
      <w:r w:rsidRPr="00335E4B">
        <w:rPr>
          <w:rFonts w:cs="Traditional Arabic"/>
          <w:sz w:val="20"/>
          <w:szCs w:val="30"/>
          <w:rtl/>
        </w:rPr>
        <w:t xml:space="preserve"> بالكبريت أثناء مروره في الطبقة المسطحة، مكوناً كبريتيد الزئبق (ثنائي التكافؤ) </w:t>
      </w:r>
      <w:r w:rsidRPr="00335E4B">
        <w:rPr>
          <w:rFonts w:cs="Times New Roman"/>
          <w:sz w:val="20"/>
          <w:szCs w:val="20"/>
          <w:rtl/>
        </w:rPr>
        <w:t>(</w:t>
      </w:r>
      <w:r w:rsidRPr="00335E4B">
        <w:rPr>
          <w:rFonts w:cs="Times New Roman"/>
          <w:sz w:val="20"/>
          <w:szCs w:val="20"/>
        </w:rPr>
        <w:t>HgS</w:t>
      </w:r>
      <w:r w:rsidRPr="00335E4B">
        <w:rPr>
          <w:rFonts w:cs="Times New Roman"/>
          <w:sz w:val="20"/>
          <w:szCs w:val="20"/>
          <w:rtl/>
        </w:rPr>
        <w:t>)</w:t>
      </w:r>
      <w:r w:rsidRPr="00335E4B">
        <w:rPr>
          <w:rFonts w:cs="Traditional Arabic"/>
          <w:sz w:val="20"/>
          <w:szCs w:val="30"/>
          <w:rtl/>
        </w:rPr>
        <w:t>. ويتميز الكربون المنشط بأنه يزيل جميع أنواع انبعاثات الزئبق في الهواء، بما في ذلك الزئبق المؤكسد، والمرتبط بالجسيمات، والزئبق النقي.</w:t>
      </w:r>
    </w:p>
    <w:p w:rsidR="00335E4B" w:rsidRPr="00335E4B" w:rsidRDefault="00335E4B" w:rsidP="00335E4B">
      <w:pPr>
        <w:tabs>
          <w:tab w:val="center" w:pos="5468"/>
        </w:tabs>
        <w:spacing w:after="120" w:line="360" w:lineRule="exact"/>
        <w:jc w:val="both"/>
        <w:rPr>
          <w:rFonts w:cs="Traditional Arabic"/>
          <w:sz w:val="20"/>
          <w:szCs w:val="30"/>
          <w:rtl/>
        </w:rPr>
      </w:pPr>
      <w:r w:rsidRPr="00335E4B">
        <w:rPr>
          <w:rFonts w:cs="Traditional Arabic"/>
          <w:sz w:val="20"/>
          <w:szCs w:val="30"/>
          <w:rtl/>
        </w:rPr>
        <w:t xml:space="preserve">وتقوم تكنولوجيا </w:t>
      </w:r>
      <w:r w:rsidRPr="00335E4B">
        <w:rPr>
          <w:rFonts w:cs="Traditional Arabic" w:hint="cs"/>
          <w:sz w:val="20"/>
          <w:szCs w:val="30"/>
          <w:rtl/>
        </w:rPr>
        <w:t>الضبط</w:t>
      </w:r>
      <w:r w:rsidRPr="00335E4B">
        <w:rPr>
          <w:rFonts w:cs="Traditional Arabic"/>
          <w:sz w:val="20"/>
          <w:szCs w:val="30"/>
          <w:rtl/>
        </w:rPr>
        <w:t xml:space="preserve"> هذه باحتجاز الزئبق على هيئة كبريتيد الزئبق المستقر </w:t>
      </w:r>
      <w:r w:rsidRPr="00335E4B">
        <w:rPr>
          <w:rFonts w:cs="Times New Roman"/>
          <w:sz w:val="20"/>
          <w:szCs w:val="20"/>
          <w:rtl/>
        </w:rPr>
        <w:t>(</w:t>
      </w:r>
      <w:r w:rsidRPr="00335E4B">
        <w:rPr>
          <w:rFonts w:cs="Times New Roman"/>
          <w:sz w:val="20"/>
          <w:szCs w:val="20"/>
        </w:rPr>
        <w:t>HgS</w:t>
      </w:r>
      <w:r w:rsidRPr="00335E4B">
        <w:rPr>
          <w:rFonts w:cs="Times New Roman"/>
          <w:sz w:val="20"/>
          <w:szCs w:val="20"/>
          <w:rtl/>
        </w:rPr>
        <w:t>)</w:t>
      </w:r>
      <w:r w:rsidRPr="00335E4B">
        <w:rPr>
          <w:rFonts w:cs="Traditional Arabic"/>
          <w:sz w:val="20"/>
          <w:szCs w:val="30"/>
          <w:rtl/>
        </w:rPr>
        <w:t xml:space="preserve"> الذي يتم امتصاصه في الكربون المنشط </w:t>
      </w:r>
      <w:r w:rsidRPr="00335E4B">
        <w:rPr>
          <w:rFonts w:cs="Traditional Arabic" w:hint="cs"/>
          <w:sz w:val="20"/>
          <w:szCs w:val="30"/>
          <w:rtl/>
        </w:rPr>
        <w:t>المشرب</w:t>
      </w:r>
      <w:r w:rsidRPr="00335E4B">
        <w:rPr>
          <w:rFonts w:cs="Traditional Arabic"/>
          <w:sz w:val="20"/>
          <w:szCs w:val="30"/>
          <w:rtl/>
        </w:rPr>
        <w:t xml:space="preserve"> بالكبريت. ويمثل هذا تطوراً متقدماً وتكنولوجيا مثبتة يشيع استخدامها في قطاع المعادن غير الحديدية، ولها تطبيقات كثيرة في قطاع تعدين الذهب، إلى جانب بعض الاستخدامات الأخرى في المعادن الأخرى. ويشيع استخدام هذه التكنولوجيا أيضاً في قطاع الطاقة.</w:t>
      </w:r>
    </w:p>
    <w:p w:rsidR="00335E4B" w:rsidRPr="00335E4B" w:rsidRDefault="00335E4B" w:rsidP="00335E4B">
      <w:pPr>
        <w:tabs>
          <w:tab w:val="center" w:pos="5468"/>
        </w:tabs>
        <w:spacing w:after="120" w:line="360" w:lineRule="exact"/>
        <w:jc w:val="both"/>
        <w:rPr>
          <w:rFonts w:cs="Traditional Arabic"/>
          <w:sz w:val="20"/>
          <w:szCs w:val="30"/>
          <w:rtl/>
        </w:rPr>
      </w:pPr>
      <w:r w:rsidRPr="00335E4B">
        <w:rPr>
          <w:rFonts w:cs="Traditional Arabic"/>
          <w:sz w:val="20"/>
          <w:szCs w:val="30"/>
          <w:rtl/>
        </w:rPr>
        <w:t xml:space="preserve">وعندما يستخدم أحد المصادر الكربون المنشط، يلزم </w:t>
      </w:r>
      <w:r w:rsidRPr="00335E4B">
        <w:rPr>
          <w:rFonts w:cs="Traditional Arabic" w:hint="cs"/>
          <w:sz w:val="20"/>
          <w:szCs w:val="30"/>
          <w:rtl/>
        </w:rPr>
        <w:t>في البدء</w:t>
      </w:r>
      <w:r w:rsidRPr="00335E4B">
        <w:rPr>
          <w:rFonts w:cs="Traditional Arabic"/>
          <w:sz w:val="20"/>
          <w:szCs w:val="30"/>
          <w:rtl/>
        </w:rPr>
        <w:t xml:space="preserve"> التغلب على بعض القيود. أولاً، تختلف درجات حرارة التشغيل القصوى بحسب المصنِّعين. وقد يلزم التخفيض المسبق لدرجة حرارة تيار الغاز. ثانياً، إذا كان تيار الغاز يحتوي على نسبة رطوبة أعلى من 10 في المائة، تلزمه معالجة مسبقة لتقليل نسبة الرطوبة. وأخيراً، </w:t>
      </w:r>
      <w:r w:rsidRPr="00335E4B">
        <w:rPr>
          <w:rFonts w:cs="Traditional Arabic" w:hint="cs"/>
          <w:sz w:val="20"/>
          <w:szCs w:val="30"/>
          <w:rtl/>
        </w:rPr>
        <w:t xml:space="preserve">يترافق </w:t>
      </w:r>
      <w:r w:rsidRPr="00335E4B">
        <w:rPr>
          <w:rFonts w:cs="Traditional Arabic"/>
          <w:sz w:val="20"/>
          <w:szCs w:val="30"/>
          <w:rtl/>
        </w:rPr>
        <w:t xml:space="preserve">استخدام الكربون المنشط </w:t>
      </w:r>
      <w:r w:rsidRPr="00335E4B">
        <w:rPr>
          <w:rFonts w:cs="Traditional Arabic" w:hint="cs"/>
          <w:sz w:val="20"/>
          <w:szCs w:val="30"/>
          <w:rtl/>
        </w:rPr>
        <w:t>لضبط</w:t>
      </w:r>
      <w:r w:rsidRPr="00335E4B">
        <w:rPr>
          <w:rFonts w:cs="Traditional Arabic"/>
          <w:sz w:val="20"/>
          <w:szCs w:val="30"/>
          <w:rtl/>
        </w:rPr>
        <w:t xml:space="preserve"> الزئبق مع خطر اندلاع الحرائق؛ ولكن العديد من المنشآت دأبت لسنوات طويلة على استخدام الكربون المنشط دون وقوع أي حوادث. ويمكن بالإدارة السليمة، تخفيف حدة هذه المخاطر والتقليل منها إلى أدنى حد ممكن.</w:t>
      </w:r>
    </w:p>
    <w:p w:rsidR="00335E4B" w:rsidRPr="00335E4B" w:rsidRDefault="007055F9" w:rsidP="00335E4B">
      <w:pPr>
        <w:keepNext/>
        <w:tabs>
          <w:tab w:val="left" w:pos="991"/>
        </w:tabs>
        <w:spacing w:before="120" w:after="120" w:line="360" w:lineRule="exact"/>
        <w:jc w:val="both"/>
        <w:outlineLvl w:val="0"/>
        <w:rPr>
          <w:rFonts w:cs="Traditional Arabic"/>
          <w:b/>
          <w:bCs/>
          <w:sz w:val="20"/>
          <w:szCs w:val="30"/>
          <w:rtl/>
          <w:lang w:bidi="ar-EG"/>
        </w:rPr>
      </w:pPr>
      <w:bookmarkStart w:id="1713" w:name="_Toc433095427"/>
      <w:bookmarkStart w:id="1714" w:name="_Toc434239962"/>
      <w:bookmarkStart w:id="1715" w:name="_Toc440550556"/>
      <w:bookmarkStart w:id="1716" w:name="_Toc441577815"/>
      <w:bookmarkStart w:id="1717" w:name="_Toc441577994"/>
      <w:bookmarkStart w:id="1718" w:name="_Toc441580828"/>
      <w:bookmarkStart w:id="1719" w:name="_Toc441585959"/>
      <w:bookmarkStart w:id="1720" w:name="_Toc441586295"/>
      <w:bookmarkStart w:id="1721" w:name="_Toc441586745"/>
      <w:bookmarkStart w:id="1722" w:name="_Toc441586924"/>
      <w:bookmarkStart w:id="1723" w:name="_Toc441666773"/>
      <w:bookmarkStart w:id="1724" w:name="_Toc441673834"/>
      <w:r>
        <w:rPr>
          <w:rFonts w:cs="Traditional Arabic" w:hint="cs"/>
          <w:b/>
          <w:bCs/>
          <w:sz w:val="20"/>
          <w:szCs w:val="30"/>
          <w:rtl/>
          <w:lang w:bidi="ar-EG"/>
        </w:rPr>
        <w:t>3-3-2</w:t>
      </w:r>
      <w:r>
        <w:rPr>
          <w:rFonts w:cs="Traditional Arabic" w:hint="cs"/>
          <w:b/>
          <w:bCs/>
          <w:sz w:val="20"/>
          <w:szCs w:val="30"/>
          <w:rtl/>
          <w:lang w:bidi="ar-EG"/>
        </w:rPr>
        <w:tab/>
      </w:r>
      <w:r w:rsidR="00335E4B" w:rsidRPr="00335E4B">
        <w:rPr>
          <w:rFonts w:cs="Traditional Arabic"/>
          <w:b/>
          <w:bCs/>
          <w:sz w:val="20"/>
          <w:szCs w:val="30"/>
          <w:rtl/>
          <w:lang w:bidi="ar-EG"/>
        </w:rPr>
        <w:t>قابلية التطبيق</w:t>
      </w:r>
      <w:bookmarkEnd w:id="1713"/>
      <w:bookmarkEnd w:id="1714"/>
      <w:bookmarkEnd w:id="1715"/>
      <w:bookmarkEnd w:id="1716"/>
      <w:bookmarkEnd w:id="1717"/>
      <w:bookmarkEnd w:id="1718"/>
      <w:bookmarkEnd w:id="1719"/>
      <w:bookmarkEnd w:id="1720"/>
      <w:bookmarkEnd w:id="1721"/>
      <w:bookmarkEnd w:id="1722"/>
      <w:bookmarkEnd w:id="1723"/>
      <w:bookmarkEnd w:id="1724"/>
    </w:p>
    <w:p w:rsidR="00335E4B" w:rsidRPr="00335E4B" w:rsidRDefault="00335E4B" w:rsidP="00335E4B">
      <w:pPr>
        <w:tabs>
          <w:tab w:val="center" w:pos="5468"/>
        </w:tabs>
        <w:spacing w:after="120" w:line="360" w:lineRule="exact"/>
        <w:jc w:val="both"/>
        <w:rPr>
          <w:rFonts w:cs="Traditional Arabic"/>
          <w:sz w:val="20"/>
          <w:szCs w:val="30"/>
          <w:rtl/>
        </w:rPr>
      </w:pPr>
      <w:r w:rsidRPr="00335E4B">
        <w:rPr>
          <w:rFonts w:cs="Traditional Arabic"/>
          <w:sz w:val="20"/>
          <w:szCs w:val="30"/>
          <w:rtl/>
        </w:rPr>
        <w:t xml:space="preserve">يمكن استخدام الكربون المنشط لإزالة جميع أشكال انبعاثات الزئبق: الغازية والجسيمية، والأولية والمؤكسدة. وهو قادر على امتصاص نسبة تتراوح بين 10 و40 في المائة من وزنه من الزئبق قبل أن يلزم استبداله. وبالإضافة إلى ذلك، فالكربون </w:t>
      </w:r>
      <w:r w:rsidRPr="00335E4B">
        <w:rPr>
          <w:rFonts w:cs="Traditional Arabic" w:hint="cs"/>
          <w:sz w:val="20"/>
          <w:szCs w:val="30"/>
          <w:rtl/>
        </w:rPr>
        <w:t>المشرب</w:t>
      </w:r>
      <w:r w:rsidRPr="00335E4B">
        <w:rPr>
          <w:rFonts w:cs="Traditional Arabic"/>
          <w:sz w:val="20"/>
          <w:szCs w:val="30"/>
          <w:rtl/>
        </w:rPr>
        <w:t xml:space="preserve"> بالكبريت (15 إلى 20 في المائة بالوزن) يتسم بالكفاءة في تشكيل مادة ماصة مستقرة.</w:t>
      </w:r>
    </w:p>
    <w:p w:rsidR="00335E4B" w:rsidRPr="00335E4B" w:rsidRDefault="007055F9" w:rsidP="00900A2C">
      <w:pPr>
        <w:keepNext/>
        <w:tabs>
          <w:tab w:val="left" w:pos="991"/>
        </w:tabs>
        <w:spacing w:before="120" w:after="120" w:line="380" w:lineRule="exact"/>
        <w:jc w:val="both"/>
        <w:outlineLvl w:val="0"/>
        <w:rPr>
          <w:rFonts w:cs="Traditional Arabic"/>
          <w:b/>
          <w:bCs/>
          <w:sz w:val="20"/>
          <w:szCs w:val="30"/>
          <w:rtl/>
          <w:lang w:bidi="ar-EG"/>
        </w:rPr>
      </w:pPr>
      <w:bookmarkStart w:id="1725" w:name="_Toc440550557"/>
      <w:bookmarkStart w:id="1726" w:name="_Toc441577816"/>
      <w:bookmarkStart w:id="1727" w:name="_Toc441577995"/>
      <w:bookmarkStart w:id="1728" w:name="_Toc441580829"/>
      <w:bookmarkStart w:id="1729" w:name="_Toc441585960"/>
      <w:bookmarkStart w:id="1730" w:name="_Toc441586296"/>
      <w:bookmarkStart w:id="1731" w:name="_Toc441586746"/>
      <w:bookmarkStart w:id="1732" w:name="_Toc441586925"/>
      <w:bookmarkStart w:id="1733" w:name="_Toc441666774"/>
      <w:bookmarkStart w:id="1734" w:name="_Toc441673835"/>
      <w:r>
        <w:rPr>
          <w:rFonts w:cs="Traditional Arabic" w:hint="cs"/>
          <w:b/>
          <w:bCs/>
          <w:sz w:val="20"/>
          <w:szCs w:val="30"/>
          <w:rtl/>
          <w:lang w:bidi="ar-EG"/>
        </w:rPr>
        <w:t>3-3-3</w:t>
      </w:r>
      <w:r>
        <w:rPr>
          <w:rFonts w:cs="Traditional Arabic" w:hint="cs"/>
          <w:b/>
          <w:bCs/>
          <w:sz w:val="20"/>
          <w:szCs w:val="30"/>
          <w:rtl/>
          <w:lang w:bidi="ar-EG"/>
        </w:rPr>
        <w:tab/>
      </w:r>
      <w:r w:rsidR="00335E4B" w:rsidRPr="00335E4B">
        <w:rPr>
          <w:rFonts w:cs="Traditional Arabic"/>
          <w:b/>
          <w:bCs/>
          <w:sz w:val="20"/>
          <w:szCs w:val="30"/>
          <w:rtl/>
          <w:lang w:bidi="ar-EG"/>
        </w:rPr>
        <w:t>مستوى الأداء</w:t>
      </w:r>
      <w:bookmarkStart w:id="1735" w:name="_Toc433095428"/>
      <w:bookmarkStart w:id="1736" w:name="_Toc434239963"/>
      <w:bookmarkEnd w:id="1725"/>
      <w:bookmarkEnd w:id="1726"/>
      <w:bookmarkEnd w:id="1727"/>
      <w:bookmarkEnd w:id="1728"/>
      <w:bookmarkEnd w:id="1729"/>
      <w:bookmarkEnd w:id="1730"/>
      <w:bookmarkEnd w:id="1731"/>
      <w:bookmarkEnd w:id="1732"/>
      <w:bookmarkEnd w:id="1733"/>
      <w:bookmarkEnd w:id="1734"/>
      <w:bookmarkEnd w:id="1735"/>
      <w:bookmarkEnd w:id="1736"/>
    </w:p>
    <w:p w:rsidR="00335E4B" w:rsidRPr="00335E4B" w:rsidRDefault="00335E4B" w:rsidP="00335E4B">
      <w:pPr>
        <w:tabs>
          <w:tab w:val="center" w:pos="5468"/>
        </w:tabs>
        <w:spacing w:line="380" w:lineRule="exact"/>
        <w:jc w:val="both"/>
        <w:rPr>
          <w:rFonts w:cs="Traditional Arabic"/>
          <w:sz w:val="20"/>
          <w:szCs w:val="30"/>
          <w:rtl/>
        </w:rPr>
      </w:pPr>
      <w:r w:rsidRPr="00335E4B">
        <w:rPr>
          <w:rFonts w:cs="Traditional Arabic"/>
          <w:sz w:val="20"/>
          <w:szCs w:val="30"/>
          <w:rtl/>
        </w:rPr>
        <w:t xml:space="preserve">يمكن لنظام امتصاص من الكربون </w:t>
      </w:r>
      <w:r w:rsidRPr="00335E4B">
        <w:rPr>
          <w:rFonts w:cs="Traditional Arabic" w:hint="cs"/>
          <w:sz w:val="20"/>
          <w:szCs w:val="30"/>
          <w:rtl/>
        </w:rPr>
        <w:t>المشرب</w:t>
      </w:r>
      <w:r w:rsidRPr="00335E4B">
        <w:rPr>
          <w:rFonts w:cs="Traditional Arabic"/>
          <w:sz w:val="20"/>
          <w:szCs w:val="30"/>
          <w:rtl/>
        </w:rPr>
        <w:t xml:space="preserve"> بالكبريت إذا كان مصمماً بشكل جيد ويخضع للصيانة بشكل سليم، ويقع في اتجاه مسار الغاز من المكثف، أن يحتجز 99 في المائة من الزئبق، محققاً تركيزاً يبلغ 0</w:t>
      </w:r>
      <w:r w:rsidRPr="00335E4B">
        <w:rPr>
          <w:rFonts w:cs="Traditional Arabic" w:hint="cs"/>
          <w:sz w:val="20"/>
          <w:szCs w:val="30"/>
          <w:rtl/>
        </w:rPr>
        <w:t>,</w:t>
      </w:r>
      <w:r w:rsidRPr="00335E4B">
        <w:rPr>
          <w:rFonts w:cs="Traditional Arabic"/>
          <w:sz w:val="20"/>
          <w:szCs w:val="30"/>
          <w:rtl/>
        </w:rPr>
        <w:t>01 مليغرام/متر مكعب. وتتباين مواصفات المصنعين لامتصاص الكربون للزئبق من 10 إلى 40 في المائة. وعلى الرغم من ذلك، يحمَّل الكربون في العادة بنسبة 20 في المائة مقابل وزنه قبل أن يتم استبداله. ويجري التخلص من الماص المستهلك كنفايات خطرة، أو يمرر في معوجة لاسترداد الزئبق النقي. وينبغي أن تكون إدارة المواد المحتوية على الزئبق، بما في ذلك تخزينها والتخلص منها، والتجارة فيها، متسقة مع المواد الأخرى ذات الصلة في الاتفاقية.</w:t>
      </w:r>
    </w:p>
    <w:p w:rsidR="00335E4B" w:rsidRPr="00335E4B" w:rsidRDefault="007055F9" w:rsidP="00335E4B">
      <w:pPr>
        <w:keepNext/>
        <w:tabs>
          <w:tab w:val="left" w:pos="991"/>
        </w:tabs>
        <w:spacing w:before="120" w:after="120" w:line="400" w:lineRule="exact"/>
        <w:jc w:val="both"/>
        <w:outlineLvl w:val="0"/>
        <w:rPr>
          <w:rFonts w:cs="Traditional Arabic"/>
          <w:b/>
          <w:bCs/>
          <w:sz w:val="20"/>
          <w:szCs w:val="30"/>
          <w:rtl/>
          <w:lang w:bidi="ar-EG"/>
        </w:rPr>
      </w:pPr>
      <w:bookmarkStart w:id="1737" w:name="_Toc433095429"/>
      <w:bookmarkStart w:id="1738" w:name="_Toc434239964"/>
      <w:bookmarkStart w:id="1739" w:name="_Toc440550558"/>
      <w:bookmarkStart w:id="1740" w:name="_Toc441577817"/>
      <w:bookmarkStart w:id="1741" w:name="_Toc441577996"/>
      <w:bookmarkStart w:id="1742" w:name="_Toc441580830"/>
      <w:bookmarkStart w:id="1743" w:name="_Toc441585961"/>
      <w:bookmarkStart w:id="1744" w:name="_Toc441586297"/>
      <w:bookmarkStart w:id="1745" w:name="_Toc441586747"/>
      <w:bookmarkStart w:id="1746" w:name="_Toc441586926"/>
      <w:bookmarkStart w:id="1747" w:name="_Toc441666775"/>
      <w:bookmarkStart w:id="1748" w:name="_Toc441673836"/>
      <w:r>
        <w:rPr>
          <w:rFonts w:cs="Traditional Arabic" w:hint="cs"/>
          <w:b/>
          <w:bCs/>
          <w:sz w:val="20"/>
          <w:szCs w:val="30"/>
          <w:rtl/>
          <w:lang w:bidi="ar-EG"/>
        </w:rPr>
        <w:t>3-3-4</w:t>
      </w:r>
      <w:r>
        <w:rPr>
          <w:rFonts w:cs="Traditional Arabic" w:hint="cs"/>
          <w:b/>
          <w:bCs/>
          <w:sz w:val="20"/>
          <w:szCs w:val="30"/>
          <w:rtl/>
          <w:lang w:bidi="ar-EG"/>
        </w:rPr>
        <w:tab/>
      </w:r>
      <w:r w:rsidR="00335E4B" w:rsidRPr="00335E4B">
        <w:rPr>
          <w:rFonts w:cs="Traditional Arabic"/>
          <w:b/>
          <w:bCs/>
          <w:sz w:val="20"/>
          <w:szCs w:val="30"/>
          <w:rtl/>
          <w:lang w:bidi="ar-EG"/>
        </w:rPr>
        <w:t>تكاليف التركيب والتشغيل</w:t>
      </w:r>
      <w:bookmarkEnd w:id="1737"/>
      <w:bookmarkEnd w:id="1738"/>
      <w:bookmarkEnd w:id="1739"/>
      <w:bookmarkEnd w:id="1740"/>
      <w:bookmarkEnd w:id="1741"/>
      <w:bookmarkEnd w:id="1742"/>
      <w:bookmarkEnd w:id="1743"/>
      <w:bookmarkEnd w:id="1744"/>
      <w:bookmarkEnd w:id="1745"/>
      <w:bookmarkEnd w:id="1746"/>
      <w:bookmarkEnd w:id="1747"/>
      <w:bookmarkEnd w:id="1748"/>
    </w:p>
    <w:p w:rsidR="00335E4B" w:rsidRPr="00335E4B" w:rsidRDefault="00335E4B" w:rsidP="00335E4B">
      <w:pPr>
        <w:tabs>
          <w:tab w:val="center" w:pos="5468"/>
        </w:tabs>
        <w:spacing w:after="120" w:line="400" w:lineRule="exact"/>
        <w:jc w:val="both"/>
        <w:rPr>
          <w:rFonts w:cs="Traditional Arabic"/>
          <w:sz w:val="20"/>
          <w:szCs w:val="30"/>
          <w:rtl/>
        </w:rPr>
      </w:pPr>
      <w:r w:rsidRPr="00335E4B">
        <w:rPr>
          <w:rFonts w:cs="Traditional Arabic"/>
          <w:sz w:val="20"/>
          <w:szCs w:val="30"/>
          <w:rtl/>
        </w:rPr>
        <w:t xml:space="preserve">يمثل معدل التدفق الحجمي للغاز المراد معالجته أحد العوامل التي تدفع التكلفة الرأسمالية. </w:t>
      </w:r>
      <w:r w:rsidRPr="00335E4B">
        <w:rPr>
          <w:rFonts w:cs="Traditional Arabic" w:hint="cs"/>
          <w:sz w:val="20"/>
          <w:szCs w:val="30"/>
          <w:rtl/>
        </w:rPr>
        <w:t>و</w:t>
      </w:r>
      <w:r w:rsidRPr="00335E4B">
        <w:rPr>
          <w:rFonts w:cs="Traditional Arabic"/>
          <w:sz w:val="20"/>
          <w:szCs w:val="30"/>
          <w:rtl/>
        </w:rPr>
        <w:t xml:space="preserve">يلخص الشكل </w:t>
      </w:r>
      <w:r w:rsidRPr="00335E4B">
        <w:rPr>
          <w:rFonts w:cs="Traditional Arabic" w:hint="cs"/>
          <w:sz w:val="20"/>
          <w:szCs w:val="30"/>
          <w:rtl/>
        </w:rPr>
        <w:t>6</w:t>
      </w:r>
      <w:r w:rsidRPr="00335E4B">
        <w:rPr>
          <w:rFonts w:cs="Traditional Arabic"/>
          <w:sz w:val="20"/>
          <w:szCs w:val="30"/>
          <w:rtl/>
        </w:rPr>
        <w:t xml:space="preserve"> المعدات والمواد في نظام ينطوي على الشطف، والتبريد، والتكثيف، وطبقات امتصاص الكربون. ولا يشمل ذلك تكاليف الإنشاء والتركيب بالنظر إلى التباين الناجم عن الطبيعة الجغرافية والطابع المعقد للمشاريع المرافقة.</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r>
        <w:rPr>
          <w:rFonts w:cs="Traditional Arabic"/>
          <w:noProof/>
          <w:sz w:val="20"/>
          <w:szCs w:val="30"/>
          <w:lang w:val="en-GB" w:eastAsia="zh-CN"/>
        </w:rPr>
        <mc:AlternateContent>
          <mc:Choice Requires="wps">
            <w:drawing>
              <wp:anchor distT="0" distB="0" distL="114300" distR="114300" simplePos="0" relativeHeight="251685888" behindDoc="0" locked="0" layoutInCell="1" allowOverlap="1" wp14:anchorId="78693867" wp14:editId="77A5AF0A">
                <wp:simplePos x="0" y="0"/>
                <wp:positionH relativeFrom="column">
                  <wp:posOffset>-4121150</wp:posOffset>
                </wp:positionH>
                <wp:positionV relativeFrom="paragraph">
                  <wp:posOffset>124460</wp:posOffset>
                </wp:positionV>
                <wp:extent cx="2508885" cy="313055"/>
                <wp:effectExtent l="0" t="0" r="24765" b="1079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885" cy="313055"/>
                        </a:xfrm>
                        <a:prstGeom prst="rect">
                          <a:avLst/>
                        </a:prstGeom>
                        <a:solidFill>
                          <a:sysClr val="window" lastClr="FFFFFF"/>
                        </a:solidFill>
                        <a:ln w="6350">
                          <a:solidFill>
                            <a:sysClr val="window" lastClr="FFFFFF"/>
                          </a:solidFill>
                        </a:ln>
                        <a:effectLst/>
                      </wps:spPr>
                      <wps:txbx>
                        <w:txbxContent>
                          <w:p w:rsidR="00670B40" w:rsidRPr="0050351E" w:rsidRDefault="00670B40" w:rsidP="00335E4B">
                            <w:pPr>
                              <w:spacing w:after="120" w:line="320" w:lineRule="exact"/>
                              <w:jc w:val="center"/>
                              <w:rPr>
                                <w:rFonts w:ascii="Traditional Arabic" w:hAnsi="Traditional Arabic" w:cs="Traditional Arabic"/>
                                <w:b/>
                                <w:bCs/>
                                <w:sz w:val="28"/>
                              </w:rPr>
                            </w:pPr>
                            <w:r w:rsidRPr="0050351E">
                              <w:rPr>
                                <w:rFonts w:ascii="Traditional Arabic" w:hAnsi="Traditional Arabic" w:cs="Traditional Arabic"/>
                                <w:b/>
                                <w:bCs/>
                                <w:sz w:val="28"/>
                                <w:rtl/>
                              </w:rPr>
                              <w:t>تكاليف المعدات والمواد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9" o:spid="_x0000_s1393" type="#_x0000_t202" style="position:absolute;left:0;text-align:left;margin-left:-324.5pt;margin-top:9.8pt;width:197.55pt;height:2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" fillcolor="window" strokecolor="window" strokeweight=".5pt">
                <v:path arrowok="t"/>
                <v:textbox>
                  <w:txbxContent>
                    <w:p w:rsidR="0093783C" w:rsidRPr="0050351E" w:rsidRDefault="0093783C" w:rsidP="00335E4B">
                      <w:pPr>
                        <w:spacing w:after="120" w:line="320" w:lineRule="exact"/>
                        <w:jc w:val="center"/>
                        <w:rPr>
                          <w:rFonts w:ascii="Traditional Arabic" w:hAnsi="Traditional Arabic" w:cs="Traditional Arabic"/>
                          <w:b/>
                          <w:bCs/>
                          <w:sz w:val="28"/>
                        </w:rPr>
                      </w:pPr>
                      <w:r w:rsidRPr="0050351E">
                        <w:rPr>
                          <w:rFonts w:ascii="Traditional Arabic" w:hAnsi="Traditional Arabic" w:cs="Traditional Arabic"/>
                          <w:b/>
                          <w:bCs/>
                          <w:sz w:val="28"/>
                          <w:rtl/>
                        </w:rPr>
                        <w:t>تكاليف المعدات والمواد</w:t>
                      </w:r>
                    </w:p>
                  </w:txbxContent>
                </v:textbox>
              </v:shape>
            </w:pict>
          </mc:Fallback>
        </mc:AlternateContent>
      </w:r>
      <w:r>
        <w:rPr>
          <w:rFonts w:cs="Traditional Arabic"/>
          <w:noProof/>
          <w:sz w:val="20"/>
          <w:szCs w:val="30"/>
          <w:lang w:val="en-GB" w:eastAsia="zh-CN"/>
        </w:rPr>
        <w:drawing>
          <wp:anchor distT="0" distB="0" distL="114300" distR="114300" simplePos="0" relativeHeight="251684864" behindDoc="1" locked="0" layoutInCell="1" allowOverlap="1" wp14:anchorId="2A391AEE" wp14:editId="6BCADF85">
            <wp:simplePos x="0" y="0"/>
            <wp:positionH relativeFrom="column">
              <wp:posOffset>248285</wp:posOffset>
            </wp:positionH>
            <wp:positionV relativeFrom="paragraph">
              <wp:posOffset>635</wp:posOffset>
            </wp:positionV>
            <wp:extent cx="5544185" cy="3610610"/>
            <wp:effectExtent l="0" t="0" r="0" b="8890"/>
            <wp:wrapTight wrapText="bothSides">
              <wp:wrapPolygon edited="0">
                <wp:start x="0" y="0"/>
                <wp:lineTo x="0" y="21539"/>
                <wp:lineTo x="21523" y="21539"/>
                <wp:lineTo x="2152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4185" cy="361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r>
        <w:rPr>
          <w:rFonts w:cs="Traditional Arabic"/>
          <w:noProof/>
          <w:sz w:val="20"/>
          <w:szCs w:val="30"/>
          <w:lang w:val="en-GB" w:eastAsia="zh-CN"/>
        </w:rPr>
        <mc:AlternateContent>
          <mc:Choice Requires="wps">
            <w:drawing>
              <wp:anchor distT="0" distB="0" distL="114300" distR="114300" simplePos="0" relativeHeight="251686912" behindDoc="0" locked="0" layoutInCell="1" allowOverlap="1" wp14:anchorId="60EDE0F5" wp14:editId="20DC0992">
                <wp:simplePos x="0" y="0"/>
                <wp:positionH relativeFrom="column">
                  <wp:posOffset>-5608320</wp:posOffset>
                </wp:positionH>
                <wp:positionV relativeFrom="paragraph">
                  <wp:posOffset>107315</wp:posOffset>
                </wp:positionV>
                <wp:extent cx="309880" cy="2631440"/>
                <wp:effectExtent l="0" t="0" r="13970" b="1651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80" cy="2631440"/>
                        </a:xfrm>
                        <a:prstGeom prst="rect">
                          <a:avLst/>
                        </a:prstGeom>
                        <a:solidFill>
                          <a:sysClr val="window" lastClr="FFFFFF"/>
                        </a:solidFill>
                        <a:ln w="6350">
                          <a:solidFill>
                            <a:sysClr val="window" lastClr="FFFFFF"/>
                          </a:solidFill>
                        </a:ln>
                        <a:effectLst/>
                      </wps:spPr>
                      <wps:txbx>
                        <w:txbxContent>
                          <w:p w:rsidR="00670B40" w:rsidRPr="0050351E" w:rsidRDefault="00670B40" w:rsidP="00335E4B">
                            <w:pPr>
                              <w:spacing w:line="160" w:lineRule="exact"/>
                              <w:jc w:val="center"/>
                              <w:rPr>
                                <w:rFonts w:ascii="Traditional Arabic" w:hAnsi="Traditional Arabic" w:cs="Traditional Arabic"/>
                                <w:b/>
                                <w:bCs/>
                                <w:szCs w:val="22"/>
                              </w:rPr>
                            </w:pPr>
                            <w:r w:rsidRPr="0050351E">
                              <w:rPr>
                                <w:rFonts w:ascii="Traditional Arabic" w:hAnsi="Traditional Arabic" w:cs="Traditional Arabic"/>
                                <w:b/>
                                <w:bCs/>
                                <w:szCs w:val="22"/>
                                <w:rtl/>
                              </w:rPr>
                              <w:t>الرأسمال بملايين دولارات الولايات المتحدة</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394" type="#_x0000_t202" style="position:absolute;left:0;text-align:left;margin-left:-441.6pt;margin-top:8.45pt;width:24.4pt;height:20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" fillcolor="window" strokecolor="window" strokeweight=".5pt">
                <v:path arrowok="t"/>
                <v:textbox style="layout-flow:vertical;mso-layout-flow-alt:bottom-to-top">
                  <w:txbxContent>
                    <w:p w:rsidR="0093783C" w:rsidRPr="0050351E" w:rsidRDefault="0093783C" w:rsidP="00335E4B">
                      <w:pPr>
                        <w:spacing w:line="160" w:lineRule="exact"/>
                        <w:jc w:val="center"/>
                        <w:rPr>
                          <w:rFonts w:ascii="Traditional Arabic" w:hAnsi="Traditional Arabic" w:cs="Traditional Arabic"/>
                          <w:b/>
                          <w:bCs/>
                          <w:szCs w:val="22"/>
                        </w:rPr>
                      </w:pPr>
                      <w:r w:rsidRPr="0050351E">
                        <w:rPr>
                          <w:rFonts w:ascii="Traditional Arabic" w:hAnsi="Traditional Arabic" w:cs="Traditional Arabic"/>
                          <w:b/>
                          <w:bCs/>
                          <w:szCs w:val="22"/>
                          <w:rtl/>
                        </w:rPr>
                        <w:t>الرأسمال بملايين دولارات الولايات المتحدة</w:t>
                      </w:r>
                    </w:p>
                  </w:txbxContent>
                </v:textbox>
              </v:shape>
            </w:pict>
          </mc:Fallback>
        </mc:AlternateConten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p>
    <w:p w:rsidR="00335E4B" w:rsidRPr="00335E4B" w:rsidRDefault="00335E4B" w:rsidP="00335E4B">
      <w:pPr>
        <w:tabs>
          <w:tab w:val="left" w:pos="663"/>
          <w:tab w:val="left" w:pos="1117"/>
          <w:tab w:val="left" w:pos="2230"/>
          <w:tab w:val="center" w:pos="5468"/>
        </w:tabs>
        <w:spacing w:after="120" w:line="340" w:lineRule="exact"/>
        <w:jc w:val="both"/>
        <w:rPr>
          <w:rFonts w:cs="Traditional Arabic"/>
          <w:sz w:val="28"/>
          <w:rtl/>
        </w:rPr>
      </w:pPr>
      <w:bookmarkStart w:id="1749" w:name="_Ref422145374"/>
    </w:p>
    <w:p w:rsidR="00335E4B" w:rsidRPr="00335E4B" w:rsidRDefault="00335E4B" w:rsidP="00335E4B">
      <w:pPr>
        <w:tabs>
          <w:tab w:val="left" w:pos="663"/>
          <w:tab w:val="left" w:pos="1117"/>
          <w:tab w:val="left" w:pos="2230"/>
          <w:tab w:val="center" w:pos="5468"/>
        </w:tabs>
        <w:spacing w:line="340" w:lineRule="exact"/>
        <w:jc w:val="both"/>
        <w:rPr>
          <w:rFonts w:cs="Traditional Arabic"/>
          <w:sz w:val="28"/>
          <w:rtl/>
        </w:rPr>
      </w:pPr>
      <w:r>
        <w:rPr>
          <w:rFonts w:cs="Traditional Arabic"/>
          <w:noProof/>
          <w:sz w:val="20"/>
          <w:szCs w:val="30"/>
          <w:lang w:val="en-GB" w:eastAsia="zh-CN"/>
        </w:rPr>
        <mc:AlternateContent>
          <mc:Choice Requires="wps">
            <w:drawing>
              <wp:anchor distT="0" distB="0" distL="114300" distR="114300" simplePos="0" relativeHeight="251687936" behindDoc="0" locked="0" layoutInCell="1" allowOverlap="1" wp14:anchorId="3467F577" wp14:editId="13409E64">
                <wp:simplePos x="0" y="0"/>
                <wp:positionH relativeFrom="column">
                  <wp:posOffset>-3916045</wp:posOffset>
                </wp:positionH>
                <wp:positionV relativeFrom="paragraph">
                  <wp:posOffset>36830</wp:posOffset>
                </wp:positionV>
                <wp:extent cx="2212340" cy="251460"/>
                <wp:effectExtent l="0" t="0" r="16510" b="1524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2340" cy="251460"/>
                        </a:xfrm>
                        <a:prstGeom prst="rect">
                          <a:avLst/>
                        </a:prstGeom>
                        <a:solidFill>
                          <a:sysClr val="window" lastClr="FFFFFF"/>
                        </a:solidFill>
                        <a:ln w="6350">
                          <a:solidFill>
                            <a:sysClr val="window" lastClr="FFFFFF"/>
                          </a:solidFill>
                        </a:ln>
                        <a:effectLst/>
                      </wps:spPr>
                      <wps:txbx>
                        <w:txbxContent>
                          <w:p w:rsidR="00670B40" w:rsidRPr="0050351E" w:rsidRDefault="00670B40" w:rsidP="00335E4B">
                            <w:pPr>
                              <w:spacing w:line="200" w:lineRule="exact"/>
                              <w:jc w:val="center"/>
                              <w:rPr>
                                <w:rFonts w:ascii="Traditional Arabic" w:hAnsi="Traditional Arabic" w:cs="Traditional Arabic"/>
                                <w:b/>
                                <w:bCs/>
                                <w:szCs w:val="22"/>
                              </w:rPr>
                            </w:pPr>
                            <w:r w:rsidRPr="0050351E">
                              <w:rPr>
                                <w:rFonts w:ascii="Traditional Arabic" w:hAnsi="Traditional Arabic" w:cs="Traditional Arabic"/>
                                <w:b/>
                                <w:bCs/>
                                <w:szCs w:val="22"/>
                                <w:rtl/>
                              </w:rPr>
                              <w:t xml:space="preserve">تدفق الغاز قدم مكعب/دقيقة </w:t>
                            </w:r>
                            <w:r w:rsidRPr="0050351E">
                              <w:rPr>
                                <w:rFonts w:ascii="Traditional Arabic" w:hAnsi="Traditional Arabic" w:cs="Traditional Arabic"/>
                                <w:b/>
                                <w:bCs/>
                                <w:szCs w:val="22"/>
                              </w:rPr>
                              <w:t>x</w:t>
                            </w:r>
                            <w:r w:rsidRPr="0050351E">
                              <w:rPr>
                                <w:rFonts w:ascii="Traditional Arabic" w:hAnsi="Traditional Arabic" w:cs="Traditional Arabic"/>
                                <w:b/>
                                <w:bCs/>
                                <w:szCs w:val="22"/>
                                <w:rtl/>
                              </w:rPr>
                              <w:t xml:space="preserve"> 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395" type="#_x0000_t202" style="position:absolute;left:0;text-align:left;margin-left:-308.35pt;margin-top:2.9pt;width:174.2pt;height:1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" fillcolor="window" strokecolor="window" strokeweight=".5pt">
                <v:path arrowok="t"/>
                <v:textbox>
                  <w:txbxContent>
                    <w:p w:rsidR="0093783C" w:rsidRPr="0050351E" w:rsidRDefault="0093783C" w:rsidP="00335E4B">
                      <w:pPr>
                        <w:spacing w:line="200" w:lineRule="exact"/>
                        <w:jc w:val="center"/>
                        <w:rPr>
                          <w:rFonts w:ascii="Traditional Arabic" w:hAnsi="Traditional Arabic" w:cs="Traditional Arabic"/>
                          <w:b/>
                          <w:bCs/>
                          <w:szCs w:val="22"/>
                        </w:rPr>
                      </w:pPr>
                      <w:r w:rsidRPr="0050351E">
                        <w:rPr>
                          <w:rFonts w:ascii="Traditional Arabic" w:hAnsi="Traditional Arabic" w:cs="Traditional Arabic"/>
                          <w:b/>
                          <w:bCs/>
                          <w:szCs w:val="22"/>
                          <w:rtl/>
                        </w:rPr>
                        <w:t xml:space="preserve">تدفق الغاز قدم مكعب/دقيقة </w:t>
                      </w:r>
                      <w:r w:rsidRPr="0050351E">
                        <w:rPr>
                          <w:rFonts w:ascii="Traditional Arabic" w:hAnsi="Traditional Arabic" w:cs="Traditional Arabic"/>
                          <w:b/>
                          <w:bCs/>
                          <w:szCs w:val="22"/>
                        </w:rPr>
                        <w:t>x</w:t>
                      </w:r>
                      <w:r w:rsidRPr="0050351E">
                        <w:rPr>
                          <w:rFonts w:ascii="Traditional Arabic" w:hAnsi="Traditional Arabic" w:cs="Traditional Arabic"/>
                          <w:b/>
                          <w:bCs/>
                          <w:szCs w:val="22"/>
                          <w:rtl/>
                        </w:rPr>
                        <w:t xml:space="preserve"> 1000</w:t>
                      </w:r>
                    </w:p>
                  </w:txbxContent>
                </v:textbox>
              </v:shape>
            </w:pict>
          </mc:Fallback>
        </mc:AlternateContent>
      </w:r>
    </w:p>
    <w:p w:rsidR="00335E4B" w:rsidRPr="00335E4B" w:rsidRDefault="00335E4B" w:rsidP="00335E4B">
      <w:pPr>
        <w:spacing w:after="120" w:line="320" w:lineRule="exact"/>
        <w:jc w:val="both"/>
        <w:rPr>
          <w:rFonts w:cs="Traditional Arabic"/>
          <w:b/>
          <w:bCs/>
          <w:sz w:val="26"/>
          <w:szCs w:val="26"/>
          <w:rtl/>
        </w:rPr>
      </w:pPr>
      <w:r w:rsidRPr="00335E4B">
        <w:rPr>
          <w:rFonts w:cs="Traditional Arabic"/>
          <w:b/>
          <w:bCs/>
          <w:sz w:val="26"/>
          <w:szCs w:val="26"/>
          <w:rtl/>
        </w:rPr>
        <w:t>الشكل</w:t>
      </w:r>
      <w:r w:rsidRPr="00335E4B">
        <w:rPr>
          <w:rFonts w:cs="Traditional Arabic"/>
          <w:b/>
          <w:bCs/>
          <w:sz w:val="26"/>
          <w:szCs w:val="26"/>
          <w:rtl/>
          <w:lang w:val="en-GB" w:bidi="ar-EG"/>
        </w:rPr>
        <w:t xml:space="preserve"> </w:t>
      </w:r>
      <w:r w:rsidRPr="00335E4B">
        <w:rPr>
          <w:rFonts w:cs="Traditional Arabic" w:hint="cs"/>
          <w:b/>
          <w:bCs/>
          <w:sz w:val="26"/>
          <w:szCs w:val="26"/>
          <w:rtl/>
          <w:lang w:val="en-GB" w:bidi="ar-EG"/>
        </w:rPr>
        <w:t>6</w:t>
      </w:r>
      <w:r w:rsidRPr="00335E4B">
        <w:rPr>
          <w:rFonts w:cs="Traditional Arabic"/>
          <w:b/>
          <w:bCs/>
          <w:sz w:val="26"/>
          <w:szCs w:val="26"/>
          <w:rtl/>
          <w:lang w:val="en-GB" w:bidi="ar-EG"/>
        </w:rPr>
        <w:t xml:space="preserve">: </w:t>
      </w:r>
      <w:r w:rsidRPr="00335E4B">
        <w:rPr>
          <w:rFonts w:cs="Traditional Arabic"/>
          <w:b/>
          <w:bCs/>
          <w:sz w:val="26"/>
          <w:szCs w:val="26"/>
          <w:rtl/>
        </w:rPr>
        <w:t xml:space="preserve">التكاليف الرأسمالية للمعدات والمواد في مرشحات الكربون المنشط </w:t>
      </w:r>
      <w:r w:rsidRPr="00335E4B">
        <w:rPr>
          <w:rFonts w:cs="Traditional Arabic" w:hint="cs"/>
          <w:b/>
          <w:bCs/>
          <w:sz w:val="26"/>
          <w:szCs w:val="26"/>
          <w:rtl/>
        </w:rPr>
        <w:t>المشرب</w:t>
      </w:r>
      <w:r w:rsidRPr="00335E4B">
        <w:rPr>
          <w:rFonts w:cs="Traditional Arabic"/>
          <w:b/>
          <w:bCs/>
          <w:sz w:val="26"/>
          <w:szCs w:val="26"/>
          <w:rtl/>
        </w:rPr>
        <w:t xml:space="preserve"> بالكبريت، باعتبارها تابعاً لتدفق الغاز (وحدة التدفق هي قدم مكعب</w:t>
      </w:r>
      <w:r w:rsidRPr="00335E4B">
        <w:rPr>
          <w:rFonts w:cs="Traditional Arabic"/>
          <w:b/>
          <w:bCs/>
          <w:sz w:val="26"/>
          <w:szCs w:val="26"/>
          <w:rtl/>
          <w:lang w:val="en-GB" w:bidi="ar-EG"/>
        </w:rPr>
        <w:t>/</w:t>
      </w:r>
      <w:r w:rsidRPr="00335E4B">
        <w:rPr>
          <w:rFonts w:cs="Traditional Arabic"/>
          <w:b/>
          <w:bCs/>
          <w:sz w:val="26"/>
          <w:szCs w:val="26"/>
          <w:rtl/>
        </w:rPr>
        <w:t>دقيقة، حيث</w:t>
      </w:r>
      <w:r w:rsidRPr="00335E4B">
        <w:rPr>
          <w:rFonts w:cs="Traditional Arabic"/>
          <w:b/>
          <w:bCs/>
          <w:sz w:val="26"/>
          <w:szCs w:val="26"/>
          <w:rtl/>
          <w:lang w:val="en-GB" w:bidi="ar-EG"/>
        </w:rPr>
        <w:t xml:space="preserve"> 1 </w:t>
      </w:r>
      <w:r w:rsidRPr="00335E4B">
        <w:rPr>
          <w:rFonts w:cs="Traditional Arabic"/>
          <w:b/>
          <w:bCs/>
          <w:sz w:val="26"/>
          <w:szCs w:val="26"/>
          <w:rtl/>
        </w:rPr>
        <w:t>قدم مكعب</w:t>
      </w:r>
      <w:r w:rsidRPr="00335E4B">
        <w:rPr>
          <w:rFonts w:cs="Traditional Arabic"/>
          <w:b/>
          <w:bCs/>
          <w:sz w:val="26"/>
          <w:szCs w:val="26"/>
          <w:rtl/>
          <w:lang w:val="en-GB" w:bidi="ar-EG"/>
        </w:rPr>
        <w:t>/</w:t>
      </w:r>
      <w:r w:rsidRPr="00335E4B">
        <w:rPr>
          <w:rFonts w:cs="Traditional Arabic"/>
          <w:b/>
          <w:bCs/>
          <w:sz w:val="26"/>
          <w:szCs w:val="26"/>
          <w:rtl/>
        </w:rPr>
        <w:t>دقيقة</w:t>
      </w:r>
      <w:r w:rsidRPr="00335E4B">
        <w:rPr>
          <w:rFonts w:cs="Traditional Arabic"/>
          <w:b/>
          <w:bCs/>
          <w:sz w:val="26"/>
          <w:szCs w:val="26"/>
          <w:rtl/>
          <w:lang w:val="en-GB" w:bidi="ar-EG"/>
        </w:rPr>
        <w:t xml:space="preserve"> = 1,3 </w:t>
      </w:r>
      <w:r w:rsidRPr="00335E4B">
        <w:rPr>
          <w:rFonts w:cs="Traditional Arabic"/>
          <w:b/>
          <w:bCs/>
          <w:sz w:val="26"/>
          <w:szCs w:val="26"/>
          <w:rtl/>
        </w:rPr>
        <w:t>متر مكعب</w:t>
      </w:r>
      <w:r w:rsidRPr="00335E4B">
        <w:rPr>
          <w:rFonts w:cs="Traditional Arabic"/>
          <w:b/>
          <w:bCs/>
          <w:sz w:val="26"/>
          <w:szCs w:val="26"/>
          <w:rtl/>
          <w:lang w:val="en-GB" w:bidi="ar-EG"/>
        </w:rPr>
        <w:t>/</w:t>
      </w:r>
      <w:r w:rsidRPr="00335E4B">
        <w:rPr>
          <w:rFonts w:cs="Traditional Arabic"/>
          <w:b/>
          <w:bCs/>
          <w:sz w:val="26"/>
          <w:szCs w:val="26"/>
          <w:rtl/>
        </w:rPr>
        <w:t>ساعة)</w:t>
      </w:r>
      <w:r w:rsidRPr="00335E4B">
        <w:rPr>
          <w:rFonts w:cs="Traditional Arabic"/>
          <w:b/>
          <w:bCs/>
          <w:sz w:val="26"/>
          <w:szCs w:val="26"/>
          <w:rtl/>
          <w:lang w:val="en-GB" w:bidi="ar-EG"/>
        </w:rPr>
        <w:t>.</w:t>
      </w:r>
      <w:bookmarkEnd w:id="1749"/>
    </w:p>
    <w:p w:rsidR="00335E4B" w:rsidRPr="00335E4B" w:rsidRDefault="00335E4B" w:rsidP="00335E4B">
      <w:pPr>
        <w:spacing w:after="120" w:line="340" w:lineRule="exact"/>
        <w:jc w:val="both"/>
        <w:rPr>
          <w:rFonts w:cs="Traditional Arabic"/>
          <w:sz w:val="20"/>
          <w:szCs w:val="30"/>
          <w:rtl/>
        </w:rPr>
      </w:pPr>
      <w:bookmarkStart w:id="1750" w:name="_Toc374076018"/>
      <w:r w:rsidRPr="00335E4B">
        <w:rPr>
          <w:rFonts w:cs="Traditional Arabic"/>
          <w:sz w:val="20"/>
          <w:szCs w:val="30"/>
          <w:rtl/>
        </w:rPr>
        <w:t xml:space="preserve">وتتمثل التكاليف الرئيسية للعملية في استبدال ما يستهلك من الكربون المنشط </w:t>
      </w:r>
      <w:r w:rsidRPr="00335E4B">
        <w:rPr>
          <w:rFonts w:cs="Traditional Arabic" w:hint="cs"/>
          <w:sz w:val="20"/>
          <w:szCs w:val="30"/>
          <w:rtl/>
        </w:rPr>
        <w:t>المشرب</w:t>
      </w:r>
      <w:r w:rsidRPr="00335E4B">
        <w:rPr>
          <w:rFonts w:cs="Traditional Arabic"/>
          <w:sz w:val="20"/>
          <w:szCs w:val="30"/>
          <w:rtl/>
        </w:rPr>
        <w:t xml:space="preserve"> بالكبريت أو التخلص منه أو معالجته في المعوجات</w:t>
      </w:r>
      <w:r w:rsidRPr="00335E4B">
        <w:rPr>
          <w:rFonts w:cs="Traditional Arabic"/>
          <w:sz w:val="20"/>
          <w:szCs w:val="30"/>
          <w:rtl/>
          <w:lang w:val="en-GB" w:bidi="ar-EG"/>
        </w:rPr>
        <w:t>.</w:t>
      </w:r>
      <w:r w:rsidRPr="00335E4B">
        <w:rPr>
          <w:rFonts w:cs="Traditional Arabic"/>
          <w:sz w:val="20"/>
          <w:szCs w:val="30"/>
          <w:rtl/>
        </w:rPr>
        <w:t xml:space="preserve"> ويعتمد معدل الاستبدال على محتوى الزئبق في تيار الغاز المتدفق</w:t>
      </w:r>
      <w:r w:rsidRPr="00335E4B">
        <w:rPr>
          <w:rFonts w:cs="Traditional Arabic"/>
          <w:sz w:val="20"/>
          <w:szCs w:val="30"/>
          <w:rtl/>
          <w:lang w:val="en-GB" w:bidi="ar-EG"/>
        </w:rPr>
        <w:t>.</w:t>
      </w:r>
      <w:r w:rsidRPr="00335E4B">
        <w:rPr>
          <w:rFonts w:cs="Traditional Arabic"/>
          <w:sz w:val="20"/>
          <w:szCs w:val="30"/>
          <w:rtl/>
        </w:rPr>
        <w:t xml:space="preserve"> وتبلغ تكلفة استبدال الكربون </w:t>
      </w:r>
      <w:r w:rsidRPr="00335E4B">
        <w:rPr>
          <w:rFonts w:cs="Traditional Arabic" w:hint="cs"/>
          <w:sz w:val="20"/>
          <w:szCs w:val="30"/>
          <w:rtl/>
        </w:rPr>
        <w:t>المشرب</w:t>
      </w:r>
      <w:r w:rsidRPr="00335E4B">
        <w:rPr>
          <w:rFonts w:cs="Traditional Arabic"/>
          <w:sz w:val="20"/>
          <w:szCs w:val="30"/>
          <w:rtl/>
        </w:rPr>
        <w:t xml:space="preserve"> بالكبريت في أمريكا الشمالية</w:t>
      </w:r>
      <w:r w:rsidRPr="00335E4B">
        <w:rPr>
          <w:rFonts w:cs="Traditional Arabic"/>
          <w:sz w:val="20"/>
          <w:szCs w:val="30"/>
          <w:rtl/>
          <w:lang w:val="en-GB" w:bidi="ar-EG"/>
        </w:rPr>
        <w:t xml:space="preserve"> 6,6 </w:t>
      </w:r>
      <w:r w:rsidRPr="00335E4B">
        <w:rPr>
          <w:rFonts w:cs="Traditional Arabic"/>
          <w:sz w:val="20"/>
          <w:szCs w:val="30"/>
          <w:rtl/>
        </w:rPr>
        <w:t>دولارات</w:t>
      </w:r>
      <w:r w:rsidRPr="00335E4B">
        <w:rPr>
          <w:rFonts w:cs="Traditional Arabic"/>
          <w:sz w:val="20"/>
          <w:szCs w:val="30"/>
          <w:rtl/>
          <w:lang w:val="en-GB" w:bidi="ar-EG"/>
        </w:rPr>
        <w:t>/</w:t>
      </w:r>
      <w:r w:rsidRPr="00335E4B">
        <w:rPr>
          <w:rFonts w:cs="Traditional Arabic"/>
          <w:sz w:val="20"/>
          <w:szCs w:val="30"/>
          <w:rtl/>
        </w:rPr>
        <w:t>كيلوغرام</w:t>
      </w:r>
      <w:r w:rsidRPr="00335E4B">
        <w:rPr>
          <w:rFonts w:cs="Traditional Arabic"/>
          <w:sz w:val="20"/>
          <w:szCs w:val="30"/>
          <w:rtl/>
          <w:lang w:val="en-GB" w:bidi="ar-EG"/>
        </w:rPr>
        <w:t>.</w:t>
      </w:r>
    </w:p>
    <w:p w:rsidR="00335E4B" w:rsidRPr="00335E4B" w:rsidRDefault="007055F9" w:rsidP="00335E4B">
      <w:pPr>
        <w:keepNext/>
        <w:tabs>
          <w:tab w:val="left" w:pos="991"/>
        </w:tabs>
        <w:spacing w:before="120" w:after="120" w:line="340" w:lineRule="exact"/>
        <w:jc w:val="both"/>
        <w:outlineLvl w:val="0"/>
        <w:rPr>
          <w:rFonts w:cs="Traditional Arabic"/>
          <w:b/>
          <w:bCs/>
          <w:sz w:val="20"/>
          <w:szCs w:val="30"/>
          <w:rtl/>
          <w:lang w:bidi="ar-EG"/>
        </w:rPr>
      </w:pPr>
      <w:bookmarkStart w:id="1751" w:name="_Toc433095430"/>
      <w:bookmarkStart w:id="1752" w:name="_Toc434239965"/>
      <w:bookmarkStart w:id="1753" w:name="_Toc440550559"/>
      <w:bookmarkStart w:id="1754" w:name="_Toc441577818"/>
      <w:bookmarkStart w:id="1755" w:name="_Toc441577997"/>
      <w:bookmarkStart w:id="1756" w:name="_Toc441580831"/>
      <w:bookmarkStart w:id="1757" w:name="_Toc441585962"/>
      <w:bookmarkStart w:id="1758" w:name="_Toc441586298"/>
      <w:bookmarkStart w:id="1759" w:name="_Toc441586748"/>
      <w:bookmarkStart w:id="1760" w:name="_Toc441586927"/>
      <w:bookmarkStart w:id="1761" w:name="_Toc441666776"/>
      <w:bookmarkStart w:id="1762" w:name="_Toc441673837"/>
      <w:bookmarkEnd w:id="1750"/>
      <w:r>
        <w:rPr>
          <w:rFonts w:cs="Traditional Arabic" w:hint="cs"/>
          <w:b/>
          <w:bCs/>
          <w:sz w:val="20"/>
          <w:szCs w:val="30"/>
          <w:rtl/>
          <w:lang w:bidi="ar-EG"/>
        </w:rPr>
        <w:t>3-3-5</w:t>
      </w:r>
      <w:r>
        <w:rPr>
          <w:rFonts w:cs="Traditional Arabic" w:hint="cs"/>
          <w:b/>
          <w:bCs/>
          <w:sz w:val="20"/>
          <w:szCs w:val="30"/>
          <w:rtl/>
          <w:lang w:bidi="ar-EG"/>
        </w:rPr>
        <w:tab/>
      </w:r>
      <w:r w:rsidR="00335E4B" w:rsidRPr="00335E4B">
        <w:rPr>
          <w:rFonts w:cs="Traditional Arabic"/>
          <w:b/>
          <w:bCs/>
          <w:sz w:val="20"/>
          <w:szCs w:val="30"/>
          <w:rtl/>
          <w:lang w:bidi="ar-EG"/>
        </w:rPr>
        <w:t xml:space="preserve">المنافع </w:t>
      </w:r>
      <w:bookmarkEnd w:id="1751"/>
      <w:bookmarkEnd w:id="1752"/>
      <w:r w:rsidR="00335E4B" w:rsidRPr="00335E4B">
        <w:rPr>
          <w:rFonts w:cs="Traditional Arabic" w:hint="cs"/>
          <w:b/>
          <w:bCs/>
          <w:sz w:val="20"/>
          <w:szCs w:val="30"/>
          <w:rtl/>
          <w:lang w:bidi="ar-EG"/>
        </w:rPr>
        <w:t>المشتركة</w:t>
      </w:r>
      <w:bookmarkEnd w:id="1753"/>
      <w:bookmarkEnd w:id="1754"/>
      <w:bookmarkEnd w:id="1755"/>
      <w:bookmarkEnd w:id="1756"/>
      <w:bookmarkEnd w:id="1757"/>
      <w:bookmarkEnd w:id="1758"/>
      <w:bookmarkEnd w:id="1759"/>
      <w:bookmarkEnd w:id="1760"/>
      <w:bookmarkEnd w:id="1761"/>
      <w:bookmarkEnd w:id="1762"/>
    </w:p>
    <w:p w:rsidR="00335E4B" w:rsidRPr="00335E4B" w:rsidRDefault="00335E4B" w:rsidP="00335E4B">
      <w:pPr>
        <w:spacing w:after="120" w:line="340" w:lineRule="exact"/>
        <w:jc w:val="both"/>
        <w:rPr>
          <w:rFonts w:cs="Traditional Arabic"/>
          <w:sz w:val="20"/>
          <w:szCs w:val="30"/>
          <w:rtl/>
        </w:rPr>
      </w:pPr>
      <w:r w:rsidRPr="00335E4B">
        <w:rPr>
          <w:rFonts w:cs="Traditional Arabic"/>
          <w:sz w:val="20"/>
          <w:szCs w:val="30"/>
          <w:rtl/>
        </w:rPr>
        <w:t xml:space="preserve">يعتبر الكربون المنشط الذي لم </w:t>
      </w:r>
      <w:r w:rsidRPr="00335E4B">
        <w:rPr>
          <w:rFonts w:cs="Traditional Arabic" w:hint="cs"/>
          <w:sz w:val="20"/>
          <w:szCs w:val="30"/>
          <w:rtl/>
        </w:rPr>
        <w:t>يشرب</w:t>
      </w:r>
      <w:r w:rsidRPr="00335E4B">
        <w:rPr>
          <w:rFonts w:cs="Traditional Arabic"/>
          <w:sz w:val="20"/>
          <w:szCs w:val="30"/>
          <w:rtl/>
        </w:rPr>
        <w:t xml:space="preserve"> بالكبريت وسيلة فعّالة للغاية لإزالة المركبات العضوية مثل الديوكسينات والفيورانات والمركبات العضوية المتطايرة الموجودة في تيار الغاز</w:t>
      </w:r>
      <w:r w:rsidRPr="00335E4B">
        <w:rPr>
          <w:rFonts w:cs="Traditional Arabic"/>
          <w:sz w:val="20"/>
          <w:szCs w:val="30"/>
          <w:rtl/>
          <w:lang w:val="en-GB" w:bidi="ar-EG"/>
        </w:rPr>
        <w:t>.</w:t>
      </w:r>
      <w:r w:rsidRPr="00335E4B">
        <w:rPr>
          <w:rFonts w:cs="Traditional Arabic"/>
          <w:sz w:val="20"/>
          <w:szCs w:val="30"/>
          <w:rtl/>
        </w:rPr>
        <w:t xml:space="preserve"> وإذا كانت المركبات العضوية موجودة في الغاز، يركب ما يعرف باسم ”طبقة الكربون المنشط للتنظيف المسبق“ من أجل إزالة هذه المركبات العضوية قبل المرور بالطبقة </w:t>
      </w:r>
      <w:r w:rsidRPr="00335E4B">
        <w:rPr>
          <w:rFonts w:cs="Traditional Arabic" w:hint="cs"/>
          <w:sz w:val="20"/>
          <w:szCs w:val="30"/>
          <w:rtl/>
        </w:rPr>
        <w:t>المشربة</w:t>
      </w:r>
      <w:r w:rsidRPr="00335E4B">
        <w:rPr>
          <w:rFonts w:cs="Traditional Arabic"/>
          <w:sz w:val="20"/>
          <w:szCs w:val="30"/>
          <w:rtl/>
        </w:rPr>
        <w:t xml:space="preserve"> بالكبريت المخصصة لاحتجاز الزئبق</w:t>
      </w:r>
      <w:r w:rsidRPr="00335E4B">
        <w:rPr>
          <w:rFonts w:cs="Traditional Arabic"/>
          <w:sz w:val="20"/>
          <w:szCs w:val="30"/>
          <w:rtl/>
          <w:lang w:val="en-GB" w:bidi="ar-EG"/>
        </w:rPr>
        <w:t>.</w:t>
      </w:r>
      <w:r w:rsidRPr="00335E4B">
        <w:rPr>
          <w:rFonts w:cs="Traditional Arabic"/>
          <w:sz w:val="20"/>
          <w:szCs w:val="30"/>
          <w:rtl/>
        </w:rPr>
        <w:t xml:space="preserve"> وبدون وجود طبقة التنظيف المسبق، يتم امتصاص المركبات العضوية في الكربون المنشط </w:t>
      </w:r>
      <w:r w:rsidRPr="00335E4B">
        <w:rPr>
          <w:rFonts w:cs="Traditional Arabic" w:hint="cs"/>
          <w:sz w:val="20"/>
          <w:szCs w:val="30"/>
          <w:rtl/>
        </w:rPr>
        <w:t>المشرب</w:t>
      </w:r>
      <w:r w:rsidRPr="00335E4B">
        <w:rPr>
          <w:rFonts w:cs="Traditional Arabic"/>
          <w:sz w:val="20"/>
          <w:szCs w:val="30"/>
          <w:rtl/>
        </w:rPr>
        <w:t xml:space="preserve"> بالكبريت فتقل بعدئذ قدرته على إزالة الزئبق، الأمر الذي يزيد من التكاليف الناشئة عن ازدياد تواتر استبدال طبقات الكربون </w:t>
      </w:r>
      <w:r w:rsidRPr="009C5341">
        <w:rPr>
          <w:rFonts w:ascii="Traditional Arabic" w:hAnsi="Traditional Arabic" w:cs="Traditional Arabic"/>
          <w:sz w:val="20"/>
          <w:szCs w:val="20"/>
          <w:rtl/>
        </w:rPr>
        <w:t>(</w:t>
      </w:r>
      <w:r w:rsidRPr="009C5341">
        <w:rPr>
          <w:rFonts w:ascii="Traditional Arabic" w:hAnsi="Traditional Arabic" w:cs="Traditional Arabic"/>
          <w:sz w:val="20"/>
          <w:szCs w:val="20"/>
          <w:lang w:val="en-GB" w:bidi="ar-EG"/>
        </w:rPr>
        <w:t>Krumins et al. 2013</w:t>
      </w:r>
      <w:r w:rsidRPr="009C5341">
        <w:rPr>
          <w:rFonts w:ascii="Traditional Arabic" w:hAnsi="Traditional Arabic" w:cs="Traditional Arabic"/>
          <w:sz w:val="20"/>
          <w:szCs w:val="20"/>
          <w:rtl/>
        </w:rPr>
        <w:t>)</w:t>
      </w:r>
      <w:r w:rsidRPr="00335E4B">
        <w:rPr>
          <w:rFonts w:cs="Traditional Arabic"/>
          <w:sz w:val="20"/>
          <w:szCs w:val="30"/>
          <w:rtl/>
          <w:lang w:val="en-GB" w:bidi="ar-EG"/>
        </w:rPr>
        <w:t>.</w:t>
      </w:r>
    </w:p>
    <w:p w:rsidR="00335E4B" w:rsidRPr="00335E4B" w:rsidRDefault="007055F9" w:rsidP="00900A2C">
      <w:pPr>
        <w:keepNext/>
        <w:tabs>
          <w:tab w:val="left" w:pos="991"/>
        </w:tabs>
        <w:spacing w:after="120" w:line="340" w:lineRule="exact"/>
        <w:jc w:val="both"/>
        <w:outlineLvl w:val="0"/>
        <w:rPr>
          <w:rFonts w:cs="Traditional Arabic"/>
          <w:b/>
          <w:bCs/>
          <w:sz w:val="20"/>
          <w:szCs w:val="30"/>
          <w:rtl/>
          <w:lang w:bidi="ar-EG"/>
        </w:rPr>
      </w:pPr>
      <w:bookmarkStart w:id="1763" w:name="_Toc433095431"/>
      <w:bookmarkStart w:id="1764" w:name="_Toc434239966"/>
      <w:bookmarkStart w:id="1765" w:name="_Toc440550560"/>
      <w:bookmarkStart w:id="1766" w:name="_Toc441577819"/>
      <w:bookmarkStart w:id="1767" w:name="_Toc441577998"/>
      <w:bookmarkStart w:id="1768" w:name="_Toc441580832"/>
      <w:bookmarkStart w:id="1769" w:name="_Toc441585963"/>
      <w:bookmarkStart w:id="1770" w:name="_Toc441586299"/>
      <w:bookmarkStart w:id="1771" w:name="_Toc441586749"/>
      <w:bookmarkStart w:id="1772" w:name="_Toc441586928"/>
      <w:bookmarkStart w:id="1773" w:name="_Toc441666777"/>
      <w:bookmarkStart w:id="1774" w:name="_Toc441673838"/>
      <w:r>
        <w:rPr>
          <w:rFonts w:cs="Traditional Arabic" w:hint="cs"/>
          <w:b/>
          <w:bCs/>
          <w:sz w:val="20"/>
          <w:szCs w:val="30"/>
          <w:rtl/>
          <w:lang w:bidi="ar-EG"/>
        </w:rPr>
        <w:t>3-3-6</w:t>
      </w:r>
      <w:r>
        <w:rPr>
          <w:rFonts w:cs="Traditional Arabic" w:hint="cs"/>
          <w:b/>
          <w:bCs/>
          <w:sz w:val="20"/>
          <w:szCs w:val="30"/>
          <w:rtl/>
          <w:lang w:bidi="ar-EG"/>
        </w:rPr>
        <w:tab/>
      </w:r>
      <w:r w:rsidR="00335E4B" w:rsidRPr="00335E4B">
        <w:rPr>
          <w:rFonts w:cs="Traditional Arabic"/>
          <w:b/>
          <w:bCs/>
          <w:sz w:val="20"/>
          <w:szCs w:val="30"/>
          <w:rtl/>
          <w:lang w:bidi="ar-EG"/>
        </w:rPr>
        <w:t xml:space="preserve">الآثار </w:t>
      </w:r>
      <w:r w:rsidR="00335E4B" w:rsidRPr="00335E4B">
        <w:rPr>
          <w:rFonts w:cs="Traditional Arabic" w:hint="cs"/>
          <w:b/>
          <w:bCs/>
          <w:sz w:val="20"/>
          <w:szCs w:val="30"/>
          <w:rtl/>
          <w:lang w:bidi="ar-EG"/>
        </w:rPr>
        <w:t xml:space="preserve">الشاملة </w:t>
      </w:r>
      <w:bookmarkEnd w:id="1763"/>
      <w:bookmarkEnd w:id="1764"/>
      <w:bookmarkEnd w:id="1765"/>
      <w:bookmarkEnd w:id="1766"/>
      <w:bookmarkEnd w:id="1767"/>
      <w:bookmarkEnd w:id="1768"/>
      <w:bookmarkEnd w:id="1769"/>
      <w:bookmarkEnd w:id="1770"/>
      <w:bookmarkEnd w:id="1771"/>
      <w:bookmarkEnd w:id="1772"/>
      <w:bookmarkEnd w:id="1773"/>
      <w:bookmarkEnd w:id="1774"/>
      <w:r w:rsidR="00900A2C">
        <w:rPr>
          <w:rFonts w:cs="Traditional Arabic" w:hint="cs"/>
          <w:b/>
          <w:bCs/>
          <w:sz w:val="20"/>
          <w:szCs w:val="30"/>
          <w:rtl/>
          <w:lang w:bidi="ar-EG"/>
        </w:rPr>
        <w:t>لعدة أوساط</w:t>
      </w:r>
    </w:p>
    <w:p w:rsidR="00335E4B" w:rsidRPr="00335E4B" w:rsidRDefault="00335E4B" w:rsidP="00335E4B">
      <w:pPr>
        <w:spacing w:after="120" w:line="340" w:lineRule="exact"/>
        <w:jc w:val="both"/>
        <w:rPr>
          <w:rFonts w:cs="Traditional Arabic"/>
          <w:sz w:val="20"/>
          <w:szCs w:val="30"/>
          <w:rtl/>
          <w:lang w:val="en-GB" w:bidi="ar-EG"/>
        </w:rPr>
      </w:pPr>
      <w:r w:rsidRPr="00335E4B">
        <w:rPr>
          <w:rFonts w:cs="Traditional Arabic"/>
          <w:sz w:val="20"/>
          <w:szCs w:val="30"/>
          <w:rtl/>
        </w:rPr>
        <w:t xml:space="preserve">المواد المستهلكة المحملة بالزئبق من الكربون </w:t>
      </w:r>
      <w:r w:rsidRPr="00335E4B">
        <w:rPr>
          <w:rFonts w:cs="Traditional Arabic" w:hint="cs"/>
          <w:sz w:val="20"/>
          <w:szCs w:val="30"/>
          <w:rtl/>
        </w:rPr>
        <w:t>المشرب</w:t>
      </w:r>
      <w:r w:rsidRPr="00335E4B">
        <w:rPr>
          <w:rFonts w:cs="Traditional Arabic"/>
          <w:sz w:val="20"/>
          <w:szCs w:val="30"/>
          <w:rtl/>
        </w:rPr>
        <w:t xml:space="preserve"> بالكبريت قد يلزم التخلص منها كنفايات خطرة</w:t>
      </w:r>
      <w:r w:rsidRPr="00335E4B">
        <w:rPr>
          <w:rFonts w:cs="Traditional Arabic"/>
          <w:sz w:val="20"/>
          <w:szCs w:val="30"/>
          <w:rtl/>
          <w:lang w:val="en-GB" w:bidi="ar-EG"/>
        </w:rPr>
        <w:t>.</w:t>
      </w:r>
      <w:r w:rsidRPr="00335E4B">
        <w:rPr>
          <w:rFonts w:cs="Traditional Arabic"/>
          <w:sz w:val="20"/>
          <w:szCs w:val="30"/>
          <w:rtl/>
        </w:rPr>
        <w:t xml:space="preserve"> وينبغي أن تكون إدارة المواد المحتوية على الزئبق، بما في ذلك تخزينها والتخلص منها، والتجارة فيها، متسقة مع المواد الأخرى ذات الصلة في الاتفاقية</w:t>
      </w:r>
      <w:r w:rsidRPr="00335E4B">
        <w:rPr>
          <w:rFonts w:cs="Traditional Arabic"/>
          <w:sz w:val="20"/>
          <w:szCs w:val="30"/>
          <w:rtl/>
          <w:lang w:val="en-GB" w:bidi="ar-EG"/>
        </w:rPr>
        <w:t>.</w:t>
      </w:r>
    </w:p>
    <w:p w:rsidR="00335E4B" w:rsidRPr="00335E4B" w:rsidRDefault="007055F9" w:rsidP="007055F9">
      <w:pPr>
        <w:keepNext/>
        <w:spacing w:before="120" w:after="120" w:line="320" w:lineRule="exact"/>
        <w:jc w:val="both"/>
        <w:outlineLvl w:val="0"/>
        <w:rPr>
          <w:rFonts w:cs="Traditional Arabic"/>
          <w:b/>
          <w:bCs/>
          <w:sz w:val="20"/>
          <w:szCs w:val="30"/>
          <w:rtl/>
          <w:lang w:bidi="ar-EG"/>
        </w:rPr>
      </w:pPr>
      <w:bookmarkStart w:id="1775" w:name="_Toc433095432"/>
      <w:bookmarkStart w:id="1776" w:name="_Toc434239967"/>
      <w:bookmarkStart w:id="1777" w:name="_Toc440550561"/>
      <w:bookmarkStart w:id="1778" w:name="_Toc441577820"/>
      <w:bookmarkStart w:id="1779" w:name="_Toc441577999"/>
      <w:bookmarkStart w:id="1780" w:name="_Toc441580833"/>
      <w:bookmarkStart w:id="1781" w:name="_Toc441585964"/>
      <w:bookmarkStart w:id="1782" w:name="_Toc441586300"/>
      <w:bookmarkStart w:id="1783" w:name="_Toc441586750"/>
      <w:bookmarkStart w:id="1784" w:name="_Toc441586929"/>
      <w:bookmarkStart w:id="1785" w:name="_Toc441666778"/>
      <w:bookmarkStart w:id="1786" w:name="_Toc441673839"/>
      <w:r>
        <w:rPr>
          <w:rFonts w:cs="Traditional Arabic" w:hint="cs"/>
          <w:b/>
          <w:bCs/>
          <w:sz w:val="20"/>
          <w:szCs w:val="30"/>
          <w:rtl/>
          <w:lang w:bidi="ar-EG"/>
        </w:rPr>
        <w:t>3-4</w:t>
      </w:r>
      <w:r>
        <w:rPr>
          <w:rFonts w:cs="Traditional Arabic" w:hint="cs"/>
          <w:b/>
          <w:bCs/>
          <w:sz w:val="20"/>
          <w:szCs w:val="30"/>
          <w:rtl/>
          <w:lang w:bidi="ar-EG"/>
        </w:rPr>
        <w:tab/>
      </w:r>
      <w:r w:rsidR="00335E4B" w:rsidRPr="00335E4B">
        <w:rPr>
          <w:rFonts w:cs="Traditional Arabic"/>
          <w:b/>
          <w:bCs/>
          <w:sz w:val="20"/>
          <w:szCs w:val="30"/>
          <w:rtl/>
          <w:lang w:bidi="ar-EG"/>
        </w:rPr>
        <w:t xml:space="preserve">عملية مرشح دووا </w:t>
      </w:r>
      <w:r w:rsidR="00335E4B" w:rsidRPr="009C5341">
        <w:rPr>
          <w:rFonts w:asciiTheme="majorBidi" w:hAnsiTheme="majorBidi" w:cstheme="majorBidi"/>
          <w:b/>
          <w:bCs/>
          <w:sz w:val="20"/>
          <w:szCs w:val="20"/>
          <w:rtl/>
          <w:lang w:bidi="ar-EG"/>
        </w:rPr>
        <w:t>(</w:t>
      </w:r>
      <w:r w:rsidR="00335E4B" w:rsidRPr="009C5341">
        <w:rPr>
          <w:rFonts w:asciiTheme="majorBidi" w:hAnsiTheme="majorBidi" w:cstheme="majorBidi"/>
          <w:b/>
          <w:bCs/>
          <w:sz w:val="20"/>
          <w:szCs w:val="20"/>
          <w:lang w:bidi="ar-EG"/>
        </w:rPr>
        <w:t>DOWA</w:t>
      </w:r>
      <w:r w:rsidR="00335E4B" w:rsidRPr="009C5341">
        <w:rPr>
          <w:rFonts w:asciiTheme="majorBidi" w:hAnsiTheme="majorBidi" w:cstheme="majorBidi"/>
          <w:b/>
          <w:bCs/>
          <w:sz w:val="20"/>
          <w:szCs w:val="20"/>
          <w:rtl/>
          <w:lang w:bidi="ar-EG"/>
        </w:rPr>
        <w:t>)</w:t>
      </w:r>
      <w:r w:rsidR="00335E4B" w:rsidRPr="00335E4B">
        <w:rPr>
          <w:rFonts w:cs="Traditional Arabic"/>
          <w:b/>
          <w:bCs/>
          <w:sz w:val="20"/>
          <w:szCs w:val="30"/>
          <w:rtl/>
          <w:lang w:bidi="ar-EG"/>
        </w:rPr>
        <w:t xml:space="preserve"> (مرشح من حجر الخفاف مكسو بطبقة من كبريتيد الرصاص (ثنائي التكافؤ))</w:t>
      </w:r>
      <w:bookmarkEnd w:id="1775"/>
      <w:bookmarkEnd w:id="1776"/>
      <w:bookmarkEnd w:id="1777"/>
      <w:bookmarkEnd w:id="1778"/>
      <w:bookmarkEnd w:id="1779"/>
      <w:bookmarkEnd w:id="1780"/>
      <w:bookmarkEnd w:id="1781"/>
      <w:bookmarkEnd w:id="1782"/>
      <w:bookmarkEnd w:id="1783"/>
      <w:bookmarkEnd w:id="1784"/>
      <w:bookmarkEnd w:id="1785"/>
      <w:bookmarkEnd w:id="1786"/>
    </w:p>
    <w:p w:rsidR="00335E4B" w:rsidRPr="00335E4B" w:rsidRDefault="00335E4B" w:rsidP="00335E4B">
      <w:pPr>
        <w:spacing w:after="120" w:line="320" w:lineRule="exact"/>
        <w:jc w:val="both"/>
        <w:rPr>
          <w:rFonts w:cs="Traditional Arabic"/>
          <w:sz w:val="20"/>
          <w:szCs w:val="30"/>
          <w:rtl/>
        </w:rPr>
      </w:pPr>
      <w:r w:rsidRPr="00335E4B">
        <w:rPr>
          <w:rFonts w:cs="Traditional Arabic"/>
          <w:sz w:val="20"/>
          <w:szCs w:val="30"/>
          <w:rtl/>
        </w:rPr>
        <w:t>عملية كبريتيد الرصاص (ثنائي التكافؤ) هي إحدى وسائل الوسائط الجافة التي تستخدم لإزالة الزئبق من غازات الصرف المتولدة في مصاهر المعادن غير الحديدية</w:t>
      </w:r>
      <w:r w:rsidRPr="00335E4B">
        <w:rPr>
          <w:rFonts w:cs="Traditional Arabic"/>
          <w:sz w:val="20"/>
          <w:szCs w:val="30"/>
          <w:rtl/>
          <w:lang w:val="en-GB" w:bidi="ar-EG"/>
        </w:rPr>
        <w:t>.</w:t>
      </w:r>
      <w:r w:rsidRPr="00335E4B">
        <w:rPr>
          <w:rFonts w:cs="Traditional Arabic"/>
          <w:sz w:val="20"/>
          <w:szCs w:val="30"/>
          <w:rtl/>
        </w:rPr>
        <w:t xml:space="preserve"> وتمرر الغازات التي تحتوي على الزئبق المتطاير عبر برج معبأ بكرات مكسوة بكبريتيد الرصاص، مثل حبيبات الخفاف، من أجل تحقيق تماس فعال مع الغاز</w:t>
      </w:r>
      <w:r w:rsidRPr="00335E4B">
        <w:rPr>
          <w:rFonts w:cs="Traditional Arabic"/>
          <w:sz w:val="20"/>
          <w:szCs w:val="30"/>
          <w:rtl/>
          <w:lang w:val="en-GB" w:bidi="ar-EG"/>
        </w:rPr>
        <w:t>.</w:t>
      </w:r>
      <w:r w:rsidRPr="00335E4B">
        <w:rPr>
          <w:rFonts w:cs="Traditional Arabic"/>
          <w:sz w:val="20"/>
          <w:szCs w:val="30"/>
          <w:rtl/>
        </w:rPr>
        <w:t xml:space="preserve"> وعند ملامسة الغاز لكبريتيد الرصاص (ثنائي التكافؤ) يتحول الزئبق الذي يتميز بضغط بخار عال إلى كلوريد الزئبق الذي يكون ضغط بخاره منخفضاً جداً</w:t>
      </w:r>
      <w:r w:rsidRPr="00335E4B">
        <w:rPr>
          <w:rFonts w:cs="Traditional Arabic"/>
          <w:sz w:val="20"/>
          <w:szCs w:val="30"/>
          <w:rtl/>
          <w:lang w:val="en-GB" w:bidi="ar-EG"/>
        </w:rPr>
        <w:t>.</w:t>
      </w:r>
      <w:r w:rsidRPr="00335E4B">
        <w:rPr>
          <w:rFonts w:cs="Traditional Arabic"/>
          <w:sz w:val="20"/>
          <w:szCs w:val="30"/>
          <w:rtl/>
        </w:rPr>
        <w:t xml:space="preserve"> وبالنسبة لعملية كبريتيد الرصاص (ثنائي التكافؤ) تم قياس كفاءة</w:t>
      </w:r>
      <w:r w:rsidRPr="00335E4B">
        <w:rPr>
          <w:rFonts w:cs="Traditional Arabic"/>
          <w:sz w:val="20"/>
          <w:szCs w:val="30"/>
          <w:rtl/>
          <w:lang w:val="en-GB" w:bidi="ar-EG"/>
        </w:rPr>
        <w:t xml:space="preserve"> 99 </w:t>
      </w:r>
      <w:r w:rsidRPr="00335E4B">
        <w:rPr>
          <w:rFonts w:cs="Traditional Arabic"/>
          <w:sz w:val="20"/>
          <w:szCs w:val="30"/>
          <w:rtl/>
        </w:rPr>
        <w:t>في المائة لإزالة الزئبق، وتتراوح نسب تركيز انبعاثات الزئبق الناتجة عن ذلك بين</w:t>
      </w:r>
      <w:r w:rsidRPr="00335E4B">
        <w:rPr>
          <w:rFonts w:cs="Traditional Arabic"/>
          <w:sz w:val="20"/>
          <w:szCs w:val="30"/>
          <w:rtl/>
          <w:lang w:val="en-GB" w:bidi="ar-EG"/>
        </w:rPr>
        <w:t xml:space="preserve"> 0,01 و0,05 </w:t>
      </w:r>
      <w:r w:rsidRPr="00335E4B">
        <w:rPr>
          <w:rFonts w:cs="Traditional Arabic"/>
          <w:sz w:val="20"/>
          <w:szCs w:val="30"/>
          <w:rtl/>
        </w:rPr>
        <w:t>مليغرام</w:t>
      </w:r>
      <w:r w:rsidRPr="00335E4B">
        <w:rPr>
          <w:rFonts w:cs="Traditional Arabic"/>
          <w:sz w:val="20"/>
          <w:szCs w:val="30"/>
          <w:rtl/>
          <w:lang w:val="en-GB" w:bidi="ar-EG"/>
        </w:rPr>
        <w:t>/</w:t>
      </w:r>
      <w:r w:rsidRPr="00335E4B">
        <w:rPr>
          <w:rFonts w:cs="Traditional Arabic"/>
          <w:sz w:val="20"/>
          <w:szCs w:val="30"/>
          <w:rtl/>
        </w:rPr>
        <w:t xml:space="preserve">متر مكعب في الظروف العادية </w:t>
      </w:r>
      <w:r w:rsidRPr="00335E4B">
        <w:rPr>
          <w:rFonts w:cs="Times New Roman"/>
          <w:sz w:val="20"/>
          <w:szCs w:val="20"/>
          <w:rtl/>
        </w:rPr>
        <w:t>(</w:t>
      </w:r>
      <w:r w:rsidRPr="00335E4B">
        <w:rPr>
          <w:rFonts w:cs="Times New Roman"/>
          <w:sz w:val="20"/>
          <w:szCs w:val="20"/>
          <w:lang w:val="en-GB" w:bidi="ar-EG"/>
        </w:rPr>
        <w:t>mg/Nm</w:t>
      </w:r>
      <w:r w:rsidRPr="00335E4B">
        <w:rPr>
          <w:rFonts w:cs="Times New Roman"/>
          <w:sz w:val="20"/>
          <w:szCs w:val="20"/>
        </w:rPr>
        <w:t>³</w:t>
      </w:r>
      <w:r w:rsidRPr="00335E4B">
        <w:rPr>
          <w:rFonts w:cs="Times New Roman"/>
          <w:sz w:val="20"/>
          <w:szCs w:val="20"/>
          <w:rtl/>
        </w:rPr>
        <w:t>)</w:t>
      </w:r>
      <w:r w:rsidRPr="00335E4B">
        <w:rPr>
          <w:rFonts w:cs="Traditional Arabic"/>
          <w:sz w:val="20"/>
          <w:szCs w:val="30"/>
          <w:rtl/>
          <w:lang w:val="en-GB" w:bidi="ar-EG"/>
        </w:rPr>
        <w:t>.</w:t>
      </w:r>
    </w:p>
    <w:p w:rsidR="00335E4B" w:rsidRPr="00335E4B" w:rsidRDefault="00335E4B" w:rsidP="008B455F">
      <w:pPr>
        <w:spacing w:after="120" w:line="380" w:lineRule="exact"/>
        <w:jc w:val="both"/>
        <w:rPr>
          <w:rFonts w:cs="Traditional Arabic"/>
          <w:sz w:val="20"/>
          <w:szCs w:val="30"/>
          <w:rtl/>
        </w:rPr>
      </w:pPr>
      <w:r w:rsidRPr="00335E4B">
        <w:rPr>
          <w:rFonts w:cs="Traditional Arabic"/>
          <w:sz w:val="20"/>
          <w:szCs w:val="30"/>
          <w:rtl/>
        </w:rPr>
        <w:t>وتم الحصول على التكاليف الإرشادية من مصادر القطاع الصناعي</w:t>
      </w:r>
      <w:r w:rsidRPr="00335E4B">
        <w:rPr>
          <w:rFonts w:cs="Traditional Arabic"/>
          <w:sz w:val="20"/>
          <w:szCs w:val="30"/>
          <w:rtl/>
          <w:lang w:val="en-GB" w:bidi="ar-EG"/>
        </w:rPr>
        <w:t xml:space="preserve">: </w:t>
      </w:r>
      <w:r w:rsidRPr="00335E4B">
        <w:rPr>
          <w:rFonts w:cs="Traditional Arabic"/>
          <w:sz w:val="20"/>
          <w:szCs w:val="30"/>
          <w:rtl/>
        </w:rPr>
        <w:t>تبلغ كلفة الاستثمار المبدئية لبرج دووا طاقته</w:t>
      </w:r>
      <w:r w:rsidRPr="00335E4B">
        <w:rPr>
          <w:rFonts w:cs="Traditional Arabic"/>
          <w:sz w:val="20"/>
          <w:szCs w:val="30"/>
          <w:rtl/>
          <w:lang w:val="en-GB" w:bidi="ar-EG"/>
        </w:rPr>
        <w:t xml:space="preserve"> 000</w:t>
      </w:r>
      <w:r w:rsidR="008B455F">
        <w:rPr>
          <w:rFonts w:cs="Traditional Arabic" w:hint="cs"/>
          <w:sz w:val="20"/>
          <w:szCs w:val="30"/>
          <w:rtl/>
          <w:lang w:val="en-GB" w:bidi="ar-EG"/>
        </w:rPr>
        <w:t> </w:t>
      </w:r>
      <w:r w:rsidRPr="00335E4B">
        <w:rPr>
          <w:rFonts w:cs="Traditional Arabic"/>
          <w:sz w:val="20"/>
          <w:szCs w:val="30"/>
          <w:rtl/>
          <w:lang w:val="en-GB" w:bidi="ar-EG"/>
        </w:rPr>
        <w:t xml:space="preserve">200 </w:t>
      </w:r>
      <w:r w:rsidRPr="00335E4B">
        <w:rPr>
          <w:rFonts w:cs="Traditional Arabic"/>
          <w:sz w:val="20"/>
          <w:szCs w:val="30"/>
          <w:rtl/>
        </w:rPr>
        <w:t>متر مكعب في الساعة حوالي</w:t>
      </w:r>
      <w:r w:rsidRPr="00335E4B">
        <w:rPr>
          <w:rFonts w:cs="Traditional Arabic"/>
          <w:sz w:val="20"/>
          <w:szCs w:val="30"/>
          <w:rtl/>
          <w:lang w:val="en-GB" w:bidi="ar-EG"/>
        </w:rPr>
        <w:t xml:space="preserve"> 5</w:t>
      </w:r>
      <w:r w:rsidRPr="00335E4B">
        <w:rPr>
          <w:rFonts w:cs="Traditional Arabic" w:hint="cs"/>
          <w:sz w:val="20"/>
          <w:szCs w:val="30"/>
          <w:rtl/>
          <w:lang w:val="en-GB" w:bidi="ar-EG"/>
        </w:rPr>
        <w:t>,</w:t>
      </w:r>
      <w:r w:rsidRPr="00335E4B">
        <w:rPr>
          <w:rFonts w:cs="Traditional Arabic"/>
          <w:sz w:val="20"/>
          <w:szCs w:val="30"/>
          <w:rtl/>
          <w:lang w:val="en-GB" w:bidi="ar-EG"/>
        </w:rPr>
        <w:t xml:space="preserve">5 </w:t>
      </w:r>
      <w:r w:rsidRPr="00335E4B">
        <w:rPr>
          <w:rFonts w:cs="Traditional Arabic"/>
          <w:sz w:val="20"/>
          <w:szCs w:val="30"/>
          <w:rtl/>
        </w:rPr>
        <w:t>ملايين دولار، وتضاف إلى ذلك تكلفة</w:t>
      </w:r>
      <w:r w:rsidRPr="00335E4B">
        <w:rPr>
          <w:rFonts w:cs="Traditional Arabic"/>
          <w:sz w:val="20"/>
          <w:szCs w:val="30"/>
          <w:rtl/>
          <w:lang w:val="en-GB" w:bidi="ar-EG"/>
        </w:rPr>
        <w:t xml:space="preserve"> 500 </w:t>
      </w:r>
      <w:r w:rsidRPr="00335E4B">
        <w:rPr>
          <w:rFonts w:cs="Traditional Arabic"/>
          <w:sz w:val="20"/>
          <w:szCs w:val="30"/>
          <w:rtl/>
        </w:rPr>
        <w:t>متر مكعب من مواد الترشيح التي تبلغ</w:t>
      </w:r>
      <w:r w:rsidRPr="00335E4B">
        <w:rPr>
          <w:rFonts w:cs="Traditional Arabic"/>
          <w:sz w:val="20"/>
          <w:szCs w:val="30"/>
          <w:rtl/>
          <w:lang w:val="en-GB" w:bidi="ar-EG"/>
        </w:rPr>
        <w:t xml:space="preserve"> 800</w:t>
      </w:r>
      <w:r w:rsidR="008B455F">
        <w:rPr>
          <w:rFonts w:cs="Traditional Arabic" w:hint="cs"/>
          <w:sz w:val="20"/>
          <w:szCs w:val="30"/>
          <w:rtl/>
          <w:lang w:val="en-GB" w:bidi="ar-EG"/>
        </w:rPr>
        <w:t> </w:t>
      </w:r>
      <w:r w:rsidRPr="00335E4B">
        <w:rPr>
          <w:rFonts w:cs="Traditional Arabic"/>
          <w:sz w:val="20"/>
          <w:szCs w:val="30"/>
          <w:rtl/>
          <w:lang w:val="en-GB" w:bidi="ar-EG"/>
        </w:rPr>
        <w:t xml:space="preserve">1 </w:t>
      </w:r>
      <w:r w:rsidRPr="00335E4B">
        <w:rPr>
          <w:rFonts w:cs="Traditional Arabic"/>
          <w:sz w:val="20"/>
          <w:szCs w:val="30"/>
          <w:rtl/>
        </w:rPr>
        <w:t>يورو للطن الواحد، ويبلغ متوسط عمرها النافع</w:t>
      </w:r>
      <w:r w:rsidRPr="00335E4B">
        <w:rPr>
          <w:rFonts w:cs="Traditional Arabic"/>
          <w:sz w:val="20"/>
          <w:szCs w:val="30"/>
          <w:rtl/>
          <w:lang w:val="en-GB" w:bidi="ar-EG"/>
        </w:rPr>
        <w:t xml:space="preserve"> 5-10 </w:t>
      </w:r>
      <w:r w:rsidRPr="00335E4B">
        <w:rPr>
          <w:rFonts w:cs="Traditional Arabic"/>
          <w:sz w:val="20"/>
          <w:szCs w:val="30"/>
          <w:rtl/>
        </w:rPr>
        <w:t>سنوات</w:t>
      </w:r>
      <w:r w:rsidRPr="00335E4B">
        <w:rPr>
          <w:rFonts w:cs="Traditional Arabic"/>
          <w:sz w:val="20"/>
          <w:szCs w:val="30"/>
          <w:rtl/>
          <w:lang w:val="en-GB" w:bidi="ar-EG"/>
        </w:rPr>
        <w:t>.</w:t>
      </w:r>
    </w:p>
    <w:p w:rsidR="00335E4B" w:rsidRPr="00335E4B" w:rsidRDefault="007055F9" w:rsidP="00335E4B">
      <w:pPr>
        <w:keepNext/>
        <w:tabs>
          <w:tab w:val="left" w:pos="849"/>
        </w:tabs>
        <w:spacing w:before="120" w:after="120" w:line="380" w:lineRule="exact"/>
        <w:jc w:val="both"/>
        <w:outlineLvl w:val="0"/>
        <w:rPr>
          <w:rFonts w:cs="Traditional Arabic"/>
          <w:b/>
          <w:bCs/>
          <w:sz w:val="20"/>
          <w:szCs w:val="30"/>
          <w:rtl/>
          <w:lang w:bidi="ar-EG"/>
        </w:rPr>
      </w:pPr>
      <w:bookmarkStart w:id="1787" w:name="_Toc433095433"/>
      <w:bookmarkStart w:id="1788" w:name="_Toc434239968"/>
      <w:bookmarkStart w:id="1789" w:name="_Toc440550562"/>
      <w:bookmarkStart w:id="1790" w:name="_Toc441577821"/>
      <w:bookmarkStart w:id="1791" w:name="_Toc441578000"/>
      <w:bookmarkStart w:id="1792" w:name="_Toc441580834"/>
      <w:bookmarkStart w:id="1793" w:name="_Toc441585965"/>
      <w:bookmarkStart w:id="1794" w:name="_Toc441586301"/>
      <w:bookmarkStart w:id="1795" w:name="_Toc441586751"/>
      <w:bookmarkStart w:id="1796" w:name="_Toc441586930"/>
      <w:bookmarkStart w:id="1797" w:name="_Toc441666779"/>
      <w:bookmarkStart w:id="1798" w:name="_Toc441673840"/>
      <w:r>
        <w:rPr>
          <w:rFonts w:cs="Traditional Arabic" w:hint="cs"/>
          <w:b/>
          <w:bCs/>
          <w:sz w:val="20"/>
          <w:szCs w:val="30"/>
          <w:rtl/>
          <w:lang w:bidi="ar-EG"/>
        </w:rPr>
        <w:t>3-5</w:t>
      </w:r>
      <w:r>
        <w:rPr>
          <w:rFonts w:cs="Traditional Arabic" w:hint="cs"/>
          <w:b/>
          <w:bCs/>
          <w:sz w:val="20"/>
          <w:szCs w:val="30"/>
          <w:rtl/>
          <w:lang w:bidi="ar-EG"/>
        </w:rPr>
        <w:tab/>
      </w:r>
      <w:r w:rsidR="00335E4B" w:rsidRPr="00335E4B">
        <w:rPr>
          <w:rFonts w:cs="Traditional Arabic"/>
          <w:b/>
          <w:bCs/>
          <w:sz w:val="20"/>
          <w:szCs w:val="30"/>
          <w:rtl/>
          <w:lang w:bidi="ar-EG"/>
        </w:rPr>
        <w:t>عملية جيريت (</w:t>
      </w:r>
      <w:r w:rsidR="00335E4B" w:rsidRPr="00335E4B">
        <w:rPr>
          <w:rFonts w:cs="Traditional Arabic"/>
          <w:b/>
          <w:bCs/>
          <w:sz w:val="20"/>
          <w:szCs w:val="30"/>
          <w:lang w:bidi="ar-EG"/>
        </w:rPr>
        <w:t>Jerritt process</w:t>
      </w:r>
      <w:r w:rsidR="00335E4B" w:rsidRPr="00335E4B">
        <w:rPr>
          <w:rFonts w:cs="Traditional Arabic"/>
          <w:b/>
          <w:bCs/>
          <w:sz w:val="20"/>
          <w:szCs w:val="30"/>
          <w:rtl/>
          <w:lang w:bidi="ar-EG"/>
        </w:rPr>
        <w:t>)</w:t>
      </w:r>
      <w:bookmarkEnd w:id="1787"/>
      <w:bookmarkEnd w:id="1788"/>
      <w:bookmarkEnd w:id="1789"/>
      <w:bookmarkEnd w:id="1790"/>
      <w:bookmarkEnd w:id="1791"/>
      <w:bookmarkEnd w:id="1792"/>
      <w:bookmarkEnd w:id="1793"/>
      <w:bookmarkEnd w:id="1794"/>
      <w:bookmarkEnd w:id="1795"/>
      <w:bookmarkEnd w:id="1796"/>
      <w:bookmarkEnd w:id="1797"/>
      <w:bookmarkEnd w:id="1798"/>
    </w:p>
    <w:p w:rsidR="00335E4B" w:rsidRPr="00335E4B" w:rsidRDefault="007055F9" w:rsidP="00335E4B">
      <w:pPr>
        <w:keepNext/>
        <w:tabs>
          <w:tab w:val="left" w:pos="990"/>
        </w:tabs>
        <w:spacing w:before="120" w:after="120" w:line="380" w:lineRule="exact"/>
        <w:jc w:val="both"/>
        <w:outlineLvl w:val="0"/>
        <w:rPr>
          <w:rFonts w:cs="Traditional Arabic"/>
          <w:b/>
          <w:bCs/>
          <w:sz w:val="20"/>
          <w:szCs w:val="30"/>
          <w:rtl/>
          <w:lang w:bidi="ar-EG"/>
        </w:rPr>
      </w:pPr>
      <w:bookmarkStart w:id="1799" w:name="_Toc433095434"/>
      <w:bookmarkStart w:id="1800" w:name="_Toc434239969"/>
      <w:bookmarkStart w:id="1801" w:name="_Toc440550563"/>
      <w:bookmarkStart w:id="1802" w:name="_Toc441577822"/>
      <w:bookmarkStart w:id="1803" w:name="_Toc441578001"/>
      <w:bookmarkStart w:id="1804" w:name="_Toc441580835"/>
      <w:bookmarkStart w:id="1805" w:name="_Toc441585966"/>
      <w:bookmarkStart w:id="1806" w:name="_Toc441586302"/>
      <w:bookmarkStart w:id="1807" w:name="_Toc441586752"/>
      <w:bookmarkStart w:id="1808" w:name="_Toc441586931"/>
      <w:bookmarkStart w:id="1809" w:name="_Toc441666780"/>
      <w:bookmarkStart w:id="1810" w:name="_Toc441673841"/>
      <w:r>
        <w:rPr>
          <w:rFonts w:cs="Traditional Arabic" w:hint="cs"/>
          <w:b/>
          <w:bCs/>
          <w:sz w:val="20"/>
          <w:szCs w:val="30"/>
          <w:rtl/>
          <w:lang w:bidi="ar-EG"/>
        </w:rPr>
        <w:t>3-5-1</w:t>
      </w:r>
      <w:r>
        <w:rPr>
          <w:rFonts w:cs="Traditional Arabic" w:hint="cs"/>
          <w:b/>
          <w:bCs/>
          <w:sz w:val="20"/>
          <w:szCs w:val="30"/>
          <w:rtl/>
          <w:lang w:bidi="ar-EG"/>
        </w:rPr>
        <w:tab/>
      </w:r>
      <w:r w:rsidR="00335E4B" w:rsidRPr="00335E4B">
        <w:rPr>
          <w:rFonts w:cs="Traditional Arabic"/>
          <w:b/>
          <w:bCs/>
          <w:sz w:val="20"/>
          <w:szCs w:val="30"/>
          <w:rtl/>
          <w:lang w:bidi="ar-EG"/>
        </w:rPr>
        <w:t>الوصف</w:t>
      </w:r>
      <w:bookmarkEnd w:id="1799"/>
      <w:bookmarkEnd w:id="1800"/>
      <w:bookmarkEnd w:id="1801"/>
      <w:bookmarkEnd w:id="1802"/>
      <w:bookmarkEnd w:id="1803"/>
      <w:bookmarkEnd w:id="1804"/>
      <w:bookmarkEnd w:id="1805"/>
      <w:bookmarkEnd w:id="1806"/>
      <w:bookmarkEnd w:id="1807"/>
      <w:bookmarkEnd w:id="1808"/>
      <w:bookmarkEnd w:id="1809"/>
      <w:bookmarkEnd w:id="1810"/>
    </w:p>
    <w:p w:rsidR="00335E4B" w:rsidRPr="00335E4B" w:rsidRDefault="00335E4B" w:rsidP="00335E4B">
      <w:pPr>
        <w:spacing w:after="120" w:line="380" w:lineRule="exact"/>
        <w:jc w:val="both"/>
        <w:rPr>
          <w:rFonts w:cs="Traditional Arabic"/>
          <w:sz w:val="20"/>
          <w:szCs w:val="30"/>
          <w:rtl/>
        </w:rPr>
      </w:pPr>
      <w:r w:rsidRPr="00335E4B">
        <w:rPr>
          <w:rFonts w:cs="Traditional Arabic"/>
          <w:sz w:val="20"/>
          <w:szCs w:val="30"/>
          <w:rtl/>
        </w:rPr>
        <w:t>تستخدم عملية جيريت حالياً في منجم واحد من مناجم الذهب، وهي مبينة في الشكل</w:t>
      </w:r>
      <w:r w:rsidRPr="00335E4B">
        <w:rPr>
          <w:rFonts w:cs="Traditional Arabic"/>
          <w:sz w:val="20"/>
          <w:szCs w:val="30"/>
          <w:rtl/>
          <w:lang w:val="en-GB" w:bidi="ar-EG"/>
        </w:rPr>
        <w:t xml:space="preserve"> </w:t>
      </w:r>
      <w:r w:rsidRPr="00335E4B">
        <w:rPr>
          <w:rFonts w:cs="Traditional Arabic" w:hint="cs"/>
          <w:sz w:val="20"/>
          <w:szCs w:val="30"/>
          <w:rtl/>
          <w:lang w:val="en-GB" w:bidi="ar-EG"/>
        </w:rPr>
        <w:t>7</w:t>
      </w:r>
      <w:r w:rsidRPr="00335E4B">
        <w:rPr>
          <w:rFonts w:cs="Traditional Arabic"/>
          <w:sz w:val="20"/>
          <w:szCs w:val="30"/>
          <w:rtl/>
          <w:lang w:val="en-GB" w:bidi="ar-EG"/>
        </w:rPr>
        <w:t>.</w:t>
      </w:r>
      <w:r w:rsidRPr="00335E4B">
        <w:rPr>
          <w:rFonts w:cs="Traditional Arabic"/>
          <w:sz w:val="20"/>
          <w:szCs w:val="30"/>
          <w:rtl/>
        </w:rPr>
        <w:t xml:space="preserve"> وتزيل العملية الزئبق النقي من الغازات الناتجة كنفايات في جهاز التحميص عن طريق تحويل الزئبق إلى كلوريد الزئبق (ثنائي التكافؤ)</w:t>
      </w:r>
      <w:r w:rsidRPr="00335E4B">
        <w:rPr>
          <w:rFonts w:cs="Traditional Arabic"/>
          <w:sz w:val="20"/>
          <w:szCs w:val="30"/>
          <w:rtl/>
          <w:lang w:val="en-GB" w:bidi="ar-EG"/>
        </w:rPr>
        <w:t xml:space="preserve"> </w:t>
      </w:r>
      <w:r w:rsidRPr="00335E4B">
        <w:rPr>
          <w:rFonts w:cs="Traditional Arabic"/>
          <w:sz w:val="20"/>
          <w:szCs w:val="30"/>
          <w:lang w:val="en-GB" w:bidi="ar-EG"/>
        </w:rPr>
        <w:t>HgCl</w:t>
      </w:r>
      <w:r w:rsidRPr="00335E4B">
        <w:rPr>
          <w:rFonts w:cs="Traditional Arabic"/>
          <w:sz w:val="20"/>
          <w:szCs w:val="30"/>
          <w:vertAlign w:val="subscript"/>
          <w:lang w:val="en-GB" w:bidi="ar-EG"/>
        </w:rPr>
        <w:t>2</w:t>
      </w:r>
      <w:r w:rsidRPr="00335E4B">
        <w:rPr>
          <w:rFonts w:cs="Traditional Arabic"/>
          <w:sz w:val="20"/>
          <w:szCs w:val="30"/>
          <w:rtl/>
          <w:lang w:val="en-GB" w:bidi="ar-EG"/>
        </w:rPr>
        <w:t>.</w:t>
      </w:r>
      <w:r w:rsidRPr="00335E4B">
        <w:rPr>
          <w:rFonts w:cs="Traditional Arabic"/>
          <w:sz w:val="20"/>
          <w:szCs w:val="30"/>
          <w:rtl/>
        </w:rPr>
        <w:t xml:space="preserve"> وينتج كلوريد الزئبق (ثنائي التكافؤ) من تفاعل الزئبق مع الكلور الذائب،</w:t>
      </w:r>
      <w:r w:rsidRPr="00335E4B">
        <w:rPr>
          <w:rFonts w:cs="Traditional Arabic"/>
          <w:sz w:val="20"/>
          <w:szCs w:val="30"/>
          <w:rtl/>
          <w:lang w:val="en-GB" w:bidi="ar-EG"/>
        </w:rPr>
        <w:t xml:space="preserve"> </w:t>
      </w:r>
      <w:r w:rsidRPr="00335E4B">
        <w:rPr>
          <w:rFonts w:cs="Traditional Arabic"/>
          <w:sz w:val="20"/>
          <w:szCs w:val="30"/>
          <w:lang w:val="en-GB" w:bidi="ar-EG"/>
        </w:rPr>
        <w:t>Cl</w:t>
      </w:r>
      <w:r w:rsidRPr="00335E4B">
        <w:rPr>
          <w:rFonts w:cs="Traditional Arabic"/>
          <w:sz w:val="20"/>
          <w:szCs w:val="30"/>
          <w:vertAlign w:val="subscript"/>
          <w:lang w:val="en-GB" w:bidi="ar-EG"/>
        </w:rPr>
        <w:t>2</w:t>
      </w:r>
      <w:r w:rsidRPr="00335E4B">
        <w:rPr>
          <w:rFonts w:cs="Traditional Arabic"/>
          <w:sz w:val="20"/>
          <w:szCs w:val="30"/>
          <w:rtl/>
          <w:lang w:val="en-GB" w:bidi="ar-EG"/>
        </w:rPr>
        <w:t>.</w:t>
      </w:r>
      <w:r w:rsidRPr="00335E4B">
        <w:rPr>
          <w:rFonts w:cs="Traditional Arabic"/>
          <w:sz w:val="20"/>
          <w:szCs w:val="30"/>
          <w:rtl/>
        </w:rPr>
        <w:t xml:space="preserve"> وتتم بعد ذلك معالجة التيار المنصرف المحتوي على كلوريد الزئبق (ثنائي التكافؤ) بالتحليل الكهربائي المباشر لاسترداد الزئبق النقي، أو تتم معالجته بغبار الزنك لترسيب كلوريد الزئبق (أحادي التكافؤ) أو يعاد إلى جهاز مثخِّن لاسترداد قيم الذهب التي قد يحتوي عليها</w:t>
      </w:r>
      <w:r w:rsidRPr="00335E4B">
        <w:rPr>
          <w:rFonts w:cs="Traditional Arabic"/>
          <w:sz w:val="20"/>
          <w:szCs w:val="30"/>
          <w:rtl/>
          <w:lang w:val="en-GB" w:bidi="ar-EG"/>
        </w:rPr>
        <w:t>.</w:t>
      </w:r>
    </w:p>
    <w:p w:rsidR="00335E4B" w:rsidRPr="00335E4B" w:rsidRDefault="00335E4B" w:rsidP="00335E4B">
      <w:pPr>
        <w:spacing w:after="120" w:line="380" w:lineRule="exact"/>
        <w:jc w:val="both"/>
        <w:rPr>
          <w:rFonts w:cs="Traditional Arabic"/>
          <w:sz w:val="20"/>
          <w:szCs w:val="30"/>
          <w:rtl/>
        </w:rPr>
      </w:pPr>
      <w:r w:rsidRPr="00335E4B">
        <w:rPr>
          <w:rFonts w:cs="Traditional Arabic"/>
          <w:sz w:val="20"/>
          <w:szCs w:val="30"/>
          <w:rtl/>
        </w:rPr>
        <w:t>وقد تم تطوير عملية جيريت وتركيبها لأول مرة في عام</w:t>
      </w:r>
      <w:r w:rsidRPr="00335E4B">
        <w:rPr>
          <w:rFonts w:cs="Traditional Arabic"/>
          <w:sz w:val="20"/>
          <w:szCs w:val="30"/>
          <w:rtl/>
          <w:lang w:val="en-GB" w:bidi="ar-EG"/>
        </w:rPr>
        <w:t xml:space="preserve"> 2009 </w:t>
      </w:r>
      <w:r w:rsidRPr="00335E4B">
        <w:rPr>
          <w:rFonts w:cs="Traditional Arabic"/>
          <w:sz w:val="20"/>
          <w:szCs w:val="30"/>
          <w:rtl/>
        </w:rPr>
        <w:t>من جانب الشركة الكندية يوكن</w:t>
      </w:r>
      <w:r w:rsidRPr="00335E4B">
        <w:rPr>
          <w:rFonts w:cs="Traditional Arabic"/>
          <w:sz w:val="20"/>
          <w:szCs w:val="30"/>
          <w:rtl/>
          <w:lang w:val="en-GB" w:bidi="ar-EG"/>
        </w:rPr>
        <w:t>-</w:t>
      </w:r>
      <w:r w:rsidRPr="00335E4B">
        <w:rPr>
          <w:rFonts w:cs="Traditional Arabic"/>
          <w:sz w:val="20"/>
          <w:szCs w:val="30"/>
          <w:rtl/>
        </w:rPr>
        <w:t xml:space="preserve">نيفادا غولد </w:t>
      </w:r>
      <w:r w:rsidRPr="00335E4B">
        <w:rPr>
          <w:rFonts w:cs="Times New Roman"/>
          <w:sz w:val="20"/>
          <w:szCs w:val="20"/>
          <w:rtl/>
        </w:rPr>
        <w:t>(</w:t>
      </w:r>
      <w:r w:rsidRPr="00335E4B">
        <w:rPr>
          <w:rFonts w:cs="Times New Roman"/>
          <w:sz w:val="20"/>
          <w:szCs w:val="20"/>
          <w:lang w:val="en-GB" w:bidi="ar-EG"/>
        </w:rPr>
        <w:t>Yukon-Nevada Gold Corporation</w:t>
      </w:r>
      <w:r w:rsidRPr="00335E4B">
        <w:rPr>
          <w:rFonts w:cs="Times New Roman"/>
          <w:sz w:val="20"/>
          <w:szCs w:val="20"/>
          <w:rtl/>
        </w:rPr>
        <w:t>)</w:t>
      </w:r>
      <w:r w:rsidRPr="00335E4B">
        <w:rPr>
          <w:rFonts w:cs="Traditional Arabic"/>
          <w:sz w:val="20"/>
          <w:szCs w:val="30"/>
          <w:rtl/>
        </w:rPr>
        <w:t xml:space="preserve"> في منشأة تحميص الركاز التابعة لها في وادي جيريت (إيلكو، نيفادا، الولايات المتحدة)</w:t>
      </w:r>
      <w:r w:rsidRPr="00335E4B">
        <w:rPr>
          <w:rFonts w:cs="Traditional Arabic"/>
          <w:sz w:val="20"/>
          <w:szCs w:val="30"/>
          <w:rtl/>
          <w:lang w:val="en-GB" w:bidi="ar-EG"/>
        </w:rPr>
        <w:t>.</w:t>
      </w:r>
      <w:r w:rsidRPr="00335E4B">
        <w:rPr>
          <w:rFonts w:cs="Traditional Arabic"/>
          <w:sz w:val="20"/>
          <w:szCs w:val="30"/>
          <w:rtl/>
        </w:rPr>
        <w:t xml:space="preserve"> وفي وقت لاحق، في عام</w:t>
      </w:r>
      <w:r w:rsidRPr="00335E4B">
        <w:rPr>
          <w:rFonts w:cs="Traditional Arabic"/>
          <w:sz w:val="20"/>
          <w:szCs w:val="30"/>
          <w:rtl/>
          <w:lang w:val="en-GB" w:bidi="ar-EG"/>
        </w:rPr>
        <w:t xml:space="preserve"> 2010</w:t>
      </w:r>
      <w:r w:rsidRPr="00335E4B">
        <w:rPr>
          <w:rFonts w:cs="Traditional Arabic"/>
          <w:sz w:val="20"/>
          <w:szCs w:val="30"/>
          <w:rtl/>
        </w:rPr>
        <w:t>، جرى تركيب هذا النظام في مجفف الركاز التابع للشركة</w:t>
      </w:r>
      <w:r w:rsidRPr="00335E4B">
        <w:rPr>
          <w:rFonts w:cs="Traditional Arabic"/>
          <w:sz w:val="20"/>
          <w:szCs w:val="30"/>
          <w:rtl/>
          <w:lang w:val="en-GB" w:bidi="ar-EG"/>
        </w:rPr>
        <w:t>.</w:t>
      </w:r>
    </w:p>
    <w:p w:rsidR="00335E4B" w:rsidRPr="00335E4B" w:rsidRDefault="00335E4B" w:rsidP="00335E4B">
      <w:pPr>
        <w:spacing w:after="120" w:line="380" w:lineRule="exact"/>
        <w:jc w:val="both"/>
        <w:rPr>
          <w:rFonts w:cs="Traditional Arabic"/>
          <w:sz w:val="20"/>
          <w:szCs w:val="30"/>
          <w:rtl/>
        </w:rPr>
      </w:pPr>
      <w:r w:rsidRPr="00335E4B">
        <w:rPr>
          <w:rFonts w:cs="Traditional Arabic"/>
          <w:sz w:val="20"/>
          <w:szCs w:val="30"/>
          <w:rtl/>
        </w:rPr>
        <w:t>وتتم هذه العملية في البرج المعبأ</w:t>
      </w:r>
      <w:r w:rsidRPr="00335E4B">
        <w:rPr>
          <w:rFonts w:cs="Traditional Arabic"/>
          <w:sz w:val="20"/>
          <w:szCs w:val="30"/>
          <w:rtl/>
          <w:lang w:val="en-GB" w:bidi="ar-EG"/>
        </w:rPr>
        <w:t>.</w:t>
      </w:r>
      <w:r w:rsidRPr="00335E4B">
        <w:rPr>
          <w:rFonts w:cs="Traditional Arabic"/>
          <w:sz w:val="20"/>
          <w:szCs w:val="30"/>
          <w:rtl/>
        </w:rPr>
        <w:t xml:space="preserve"> وتتم أكسدة الزئبق النقي الموجود على شكل بخار في الغازات الناتجة كنفايات، وذلك بواسطة محلول شطف مكون من الماء والكلور الذائب</w:t>
      </w:r>
      <w:r w:rsidRPr="00335E4B">
        <w:rPr>
          <w:rFonts w:cs="Traditional Arabic"/>
          <w:sz w:val="20"/>
          <w:szCs w:val="30"/>
          <w:rtl/>
          <w:lang w:val="en-GB" w:bidi="ar-EG"/>
        </w:rPr>
        <w:t>:</w:t>
      </w:r>
    </w:p>
    <w:p w:rsidR="00335E4B" w:rsidRPr="00335E4B" w:rsidRDefault="00335E4B" w:rsidP="00335E4B">
      <w:pPr>
        <w:spacing w:after="120" w:line="380" w:lineRule="exact"/>
        <w:jc w:val="center"/>
        <w:rPr>
          <w:rFonts w:cs="Traditional Arabic"/>
          <w:sz w:val="20"/>
          <w:szCs w:val="30"/>
        </w:rPr>
      </w:pPr>
      <w:r w:rsidRPr="00335E4B">
        <w:rPr>
          <w:rFonts w:cs="Traditional Arabic"/>
          <w:sz w:val="20"/>
          <w:szCs w:val="30"/>
          <w:lang w:val="en-GB" w:bidi="ar-EG"/>
        </w:rPr>
        <w:t>Hg</w:t>
      </w:r>
      <w:r w:rsidRPr="00335E4B">
        <w:rPr>
          <w:rFonts w:cs="Traditional Arabic"/>
          <w:sz w:val="20"/>
          <w:szCs w:val="30"/>
          <w:vertAlign w:val="superscript"/>
          <w:lang w:val="en-GB" w:bidi="ar-EG"/>
        </w:rPr>
        <w:t>0</w:t>
      </w:r>
      <w:r w:rsidRPr="00335E4B">
        <w:rPr>
          <w:rFonts w:cs="Traditional Arabic"/>
          <w:sz w:val="20"/>
          <w:szCs w:val="30"/>
          <w:lang w:val="en-GB" w:bidi="ar-EG"/>
        </w:rPr>
        <w:t xml:space="preserve"> + Cl</w:t>
      </w:r>
      <w:r w:rsidRPr="00335E4B">
        <w:rPr>
          <w:rFonts w:cs="Traditional Arabic"/>
          <w:sz w:val="20"/>
          <w:szCs w:val="30"/>
          <w:vertAlign w:val="subscript"/>
          <w:lang w:val="en-GB" w:bidi="ar-EG"/>
        </w:rPr>
        <w:t>2</w:t>
      </w:r>
      <w:r w:rsidRPr="00335E4B">
        <w:rPr>
          <w:rFonts w:cs="Traditional Arabic"/>
          <w:sz w:val="20"/>
          <w:szCs w:val="30"/>
          <w:lang w:val="en-GB" w:bidi="ar-EG"/>
        </w:rPr>
        <w:t xml:space="preserve"> =&gt; HgCl</w:t>
      </w:r>
      <w:r w:rsidRPr="00335E4B">
        <w:rPr>
          <w:rFonts w:cs="Traditional Arabic"/>
          <w:sz w:val="20"/>
          <w:szCs w:val="30"/>
          <w:vertAlign w:val="subscript"/>
          <w:lang w:val="en-GB" w:bidi="ar-EG"/>
        </w:rPr>
        <w:t>2</w:t>
      </w:r>
    </w:p>
    <w:p w:rsidR="00335E4B" w:rsidRPr="00335E4B" w:rsidRDefault="00335E4B" w:rsidP="00335E4B">
      <w:pPr>
        <w:spacing w:after="120" w:line="380" w:lineRule="exact"/>
        <w:jc w:val="both"/>
        <w:rPr>
          <w:rFonts w:cs="Traditional Arabic"/>
          <w:sz w:val="20"/>
          <w:szCs w:val="30"/>
          <w:rtl/>
        </w:rPr>
      </w:pPr>
      <w:r w:rsidRPr="00335E4B">
        <w:rPr>
          <w:rFonts w:cs="Traditional Arabic"/>
          <w:sz w:val="20"/>
          <w:szCs w:val="30"/>
          <w:rtl/>
        </w:rPr>
        <w:t>ويتألف البرج من وعاء أسطواني مقوى بألياف زجاجية عمودية، يمرر من خلاله الغاز الناتج كنفايات من القاعدة إلى القمة</w:t>
      </w:r>
      <w:r w:rsidRPr="00335E4B">
        <w:rPr>
          <w:rFonts w:cs="Traditional Arabic"/>
          <w:sz w:val="20"/>
          <w:szCs w:val="30"/>
          <w:rtl/>
          <w:lang w:val="en-GB" w:bidi="ar-EG"/>
        </w:rPr>
        <w:t>.</w:t>
      </w:r>
      <w:r w:rsidRPr="00335E4B">
        <w:rPr>
          <w:rFonts w:cs="Traditional Arabic"/>
          <w:sz w:val="20"/>
          <w:szCs w:val="30"/>
          <w:rtl/>
        </w:rPr>
        <w:t xml:space="preserve"> ويعبأ البرج بمواد تغليف مصنوعة على شكل سروج من البوليبروبايلين</w:t>
      </w:r>
      <w:r w:rsidRPr="00335E4B">
        <w:rPr>
          <w:rFonts w:cs="Traditional Arabic"/>
          <w:sz w:val="20"/>
          <w:szCs w:val="30"/>
          <w:rtl/>
          <w:lang w:val="en-GB" w:bidi="ar-EG"/>
        </w:rPr>
        <w:t>.</w:t>
      </w:r>
      <w:r w:rsidRPr="00335E4B">
        <w:rPr>
          <w:rFonts w:cs="Traditional Arabic"/>
          <w:sz w:val="20"/>
          <w:szCs w:val="30"/>
          <w:rtl/>
        </w:rPr>
        <w:t xml:space="preserve"> وفي الجزء العلوي من البرج يرش محلول الشطف فوق مواد التغليف بواسطة مجموعة من فوهات الرش</w:t>
      </w:r>
      <w:r w:rsidRPr="00335E4B">
        <w:rPr>
          <w:rFonts w:cs="Traditional Arabic"/>
          <w:sz w:val="20"/>
          <w:szCs w:val="30"/>
          <w:rtl/>
          <w:lang w:val="en-GB" w:bidi="ar-EG"/>
        </w:rPr>
        <w:t>.</w:t>
      </w:r>
    </w:p>
    <w:p w:rsidR="00335E4B" w:rsidRPr="00335E4B" w:rsidRDefault="00335E4B" w:rsidP="00335E4B">
      <w:pPr>
        <w:spacing w:after="120" w:line="380" w:lineRule="exact"/>
        <w:jc w:val="both"/>
        <w:rPr>
          <w:rFonts w:cs="Traditional Arabic"/>
          <w:sz w:val="20"/>
          <w:szCs w:val="30"/>
          <w:rtl/>
        </w:rPr>
      </w:pPr>
      <w:r w:rsidRPr="00335E4B">
        <w:rPr>
          <w:rFonts w:cs="Traditional Arabic"/>
          <w:sz w:val="20"/>
          <w:szCs w:val="30"/>
          <w:rtl/>
        </w:rPr>
        <w:t>ويستخدم جهاز لإزالة البخار من الطراز المتموج (شيفرون) أو الطراز الشبكي عند منفذ خروج البرج لمنع خروج محلول الشطف من النظام</w:t>
      </w:r>
      <w:r w:rsidRPr="00335E4B">
        <w:rPr>
          <w:rFonts w:cs="Traditional Arabic"/>
          <w:sz w:val="20"/>
          <w:szCs w:val="30"/>
          <w:rtl/>
          <w:lang w:val="en-GB" w:bidi="ar-EG"/>
        </w:rPr>
        <w:t>.</w:t>
      </w:r>
      <w:r w:rsidRPr="00335E4B">
        <w:rPr>
          <w:rFonts w:cs="Traditional Arabic"/>
          <w:sz w:val="20"/>
          <w:szCs w:val="30"/>
          <w:rtl/>
        </w:rPr>
        <w:t xml:space="preserve"> وتجري العملية عند درجة حرارة</w:t>
      </w:r>
      <w:r w:rsidRPr="00335E4B">
        <w:rPr>
          <w:rFonts w:cs="Traditional Arabic"/>
          <w:sz w:val="20"/>
          <w:szCs w:val="30"/>
          <w:rtl/>
          <w:lang w:val="en-GB" w:bidi="ar-EG"/>
        </w:rPr>
        <w:t xml:space="preserve"> 40 </w:t>
      </w:r>
      <w:r w:rsidRPr="00335E4B">
        <w:rPr>
          <w:rFonts w:cs="Traditional Arabic"/>
          <w:sz w:val="20"/>
          <w:szCs w:val="30"/>
          <w:rtl/>
        </w:rPr>
        <w:t>درجة مئوية، أو أقل</w:t>
      </w:r>
      <w:r w:rsidRPr="00335E4B">
        <w:rPr>
          <w:rFonts w:cs="Traditional Arabic"/>
          <w:sz w:val="20"/>
          <w:szCs w:val="30"/>
          <w:rtl/>
          <w:lang w:val="en-GB" w:bidi="ar-EG"/>
        </w:rPr>
        <w:t>.</w:t>
      </w:r>
      <w:r w:rsidRPr="00335E4B">
        <w:rPr>
          <w:rFonts w:cs="Traditional Arabic"/>
          <w:sz w:val="20"/>
          <w:szCs w:val="30"/>
          <w:rtl/>
        </w:rPr>
        <w:t xml:space="preserve"> وينخفض الضغط بواسطة البرج بمقدار حوالي</w:t>
      </w:r>
      <w:r w:rsidRPr="00335E4B">
        <w:rPr>
          <w:rFonts w:cs="Traditional Arabic"/>
          <w:sz w:val="20"/>
          <w:szCs w:val="30"/>
          <w:rtl/>
          <w:lang w:val="en-GB" w:bidi="ar-EG"/>
        </w:rPr>
        <w:t xml:space="preserve"> 1 </w:t>
      </w:r>
      <w:r w:rsidRPr="00335E4B">
        <w:rPr>
          <w:rFonts w:cs="Traditional Arabic"/>
          <w:sz w:val="20"/>
          <w:szCs w:val="30"/>
          <w:rtl/>
        </w:rPr>
        <w:t>كيلو باسكال</w:t>
      </w:r>
      <w:r w:rsidRPr="00335E4B">
        <w:rPr>
          <w:rFonts w:cs="Traditional Arabic"/>
          <w:sz w:val="20"/>
          <w:szCs w:val="30"/>
          <w:rtl/>
          <w:lang w:val="en-GB" w:bidi="ar-EG"/>
        </w:rPr>
        <w:t>.</w:t>
      </w:r>
    </w:p>
    <w:p w:rsidR="00335E4B" w:rsidRPr="00335E4B" w:rsidRDefault="00335E4B" w:rsidP="00335E4B">
      <w:pPr>
        <w:spacing w:line="380" w:lineRule="exact"/>
        <w:jc w:val="both"/>
        <w:rPr>
          <w:rFonts w:cs="Traditional Arabic"/>
          <w:sz w:val="20"/>
          <w:szCs w:val="30"/>
          <w:rtl/>
        </w:rPr>
      </w:pPr>
      <w:r w:rsidRPr="00335E4B">
        <w:rPr>
          <w:rFonts w:cs="Traditional Arabic"/>
          <w:sz w:val="20"/>
          <w:szCs w:val="30"/>
          <w:rtl/>
        </w:rPr>
        <w:t>ويعاد تدوير المحلول الحمضي إلى جهاز الشطف، ويزال من المحلول المعاد تدويره تيار صرف يعادل في حجمه للمحلول المتحكم بدرجة الحموضة والرذاذ المزيل للرطوبة</w:t>
      </w:r>
      <w:r w:rsidRPr="00335E4B">
        <w:rPr>
          <w:rFonts w:cs="Traditional Arabic"/>
          <w:sz w:val="20"/>
          <w:szCs w:val="30"/>
          <w:rtl/>
          <w:lang w:val="en-GB" w:bidi="ar-EG"/>
        </w:rPr>
        <w:t>.</w:t>
      </w:r>
      <w:r w:rsidRPr="00335E4B">
        <w:rPr>
          <w:rFonts w:cs="Traditional Arabic"/>
          <w:sz w:val="20"/>
          <w:szCs w:val="30"/>
          <w:rtl/>
        </w:rPr>
        <w:t xml:space="preserve"> وفي الظروف المثالية للعملية، يتفاعل الزئبق النقي بالكامل تقريباً مع الكلور الذائب</w:t>
      </w:r>
      <w:r w:rsidRPr="00335E4B">
        <w:rPr>
          <w:rFonts w:cs="Traditional Arabic"/>
          <w:sz w:val="20"/>
          <w:szCs w:val="30"/>
          <w:rtl/>
          <w:lang w:val="en-GB" w:bidi="ar-EG"/>
        </w:rPr>
        <w:t>.</w:t>
      </w:r>
    </w:p>
    <w:p w:rsidR="00335E4B" w:rsidRPr="00335E4B" w:rsidRDefault="00335E4B" w:rsidP="00335E4B">
      <w:pPr>
        <w:spacing w:after="120" w:line="380" w:lineRule="exact"/>
        <w:jc w:val="both"/>
        <w:rPr>
          <w:rFonts w:cs="Traditional Arabic"/>
          <w:sz w:val="20"/>
          <w:szCs w:val="30"/>
          <w:rtl/>
        </w:rPr>
      </w:pPr>
      <w:r w:rsidRPr="00335E4B">
        <w:rPr>
          <w:rFonts w:cs="Traditional Arabic"/>
          <w:sz w:val="20"/>
          <w:szCs w:val="30"/>
          <w:rtl/>
        </w:rPr>
        <w:t>وينبغي أن تؤخذ في الاعتبار أيضاً المخاطر المترتبة على صحة العمال من احتمال التعرض لكلوريد الزئبق (ثنائي التكافؤ) (الشديد السمية)</w:t>
      </w:r>
      <w:r w:rsidRPr="00335E4B">
        <w:rPr>
          <w:rFonts w:cs="Traditional Arabic"/>
          <w:sz w:val="20"/>
          <w:szCs w:val="30"/>
          <w:rtl/>
          <w:lang w:val="en-GB" w:bidi="ar-EG"/>
        </w:rPr>
        <w:t>.</w:t>
      </w:r>
    </w:p>
    <w:p w:rsidR="00335E4B" w:rsidRPr="00335E4B" w:rsidRDefault="007055F9" w:rsidP="00335E4B">
      <w:pPr>
        <w:keepNext/>
        <w:tabs>
          <w:tab w:val="left" w:pos="991"/>
        </w:tabs>
        <w:spacing w:before="120" w:after="80" w:line="380" w:lineRule="exact"/>
        <w:jc w:val="both"/>
        <w:outlineLvl w:val="0"/>
        <w:rPr>
          <w:rFonts w:cs="Traditional Arabic"/>
          <w:b/>
          <w:bCs/>
          <w:sz w:val="20"/>
          <w:szCs w:val="30"/>
          <w:rtl/>
          <w:lang w:bidi="ar-EG"/>
        </w:rPr>
      </w:pPr>
      <w:bookmarkStart w:id="1811" w:name="_Toc433095435"/>
      <w:bookmarkStart w:id="1812" w:name="_Toc434239970"/>
      <w:bookmarkStart w:id="1813" w:name="_Toc440550564"/>
      <w:bookmarkStart w:id="1814" w:name="_Toc441577823"/>
      <w:bookmarkStart w:id="1815" w:name="_Toc441578002"/>
      <w:bookmarkStart w:id="1816" w:name="_Toc441580836"/>
      <w:bookmarkStart w:id="1817" w:name="_Toc441585967"/>
      <w:bookmarkStart w:id="1818" w:name="_Toc441586303"/>
      <w:bookmarkStart w:id="1819" w:name="_Toc441586753"/>
      <w:bookmarkStart w:id="1820" w:name="_Toc441586932"/>
      <w:bookmarkStart w:id="1821" w:name="_Toc441666781"/>
      <w:bookmarkStart w:id="1822" w:name="_Toc441673842"/>
      <w:r>
        <w:rPr>
          <w:rFonts w:cs="Traditional Arabic" w:hint="cs"/>
          <w:b/>
          <w:bCs/>
          <w:sz w:val="20"/>
          <w:szCs w:val="30"/>
          <w:rtl/>
          <w:lang w:bidi="ar-EG"/>
        </w:rPr>
        <w:t>3-5-2</w:t>
      </w:r>
      <w:r>
        <w:rPr>
          <w:rFonts w:cs="Traditional Arabic" w:hint="cs"/>
          <w:b/>
          <w:bCs/>
          <w:sz w:val="20"/>
          <w:szCs w:val="30"/>
          <w:rtl/>
          <w:lang w:bidi="ar-EG"/>
        </w:rPr>
        <w:tab/>
      </w:r>
      <w:r w:rsidR="00335E4B" w:rsidRPr="00335E4B">
        <w:rPr>
          <w:rFonts w:cs="Traditional Arabic"/>
          <w:b/>
          <w:bCs/>
          <w:sz w:val="20"/>
          <w:szCs w:val="30"/>
          <w:rtl/>
          <w:lang w:bidi="ar-EG"/>
        </w:rPr>
        <w:t>قابلية التطبيق</w:t>
      </w:r>
      <w:bookmarkEnd w:id="1811"/>
      <w:bookmarkEnd w:id="1812"/>
      <w:bookmarkEnd w:id="1813"/>
      <w:bookmarkEnd w:id="1814"/>
      <w:bookmarkEnd w:id="1815"/>
      <w:bookmarkEnd w:id="1816"/>
      <w:bookmarkEnd w:id="1817"/>
      <w:bookmarkEnd w:id="1818"/>
      <w:bookmarkEnd w:id="1819"/>
      <w:bookmarkEnd w:id="1820"/>
      <w:bookmarkEnd w:id="1821"/>
      <w:bookmarkEnd w:id="1822"/>
    </w:p>
    <w:p w:rsidR="00335E4B" w:rsidRPr="00335E4B" w:rsidRDefault="00335E4B" w:rsidP="00335E4B">
      <w:pPr>
        <w:spacing w:after="120" w:line="380" w:lineRule="exact"/>
        <w:jc w:val="both"/>
        <w:rPr>
          <w:rFonts w:cs="Traditional Arabic"/>
          <w:sz w:val="20"/>
          <w:szCs w:val="30"/>
          <w:rtl/>
        </w:rPr>
      </w:pPr>
      <w:r w:rsidRPr="00335E4B">
        <w:rPr>
          <w:rFonts w:cs="Traditional Arabic"/>
          <w:sz w:val="20"/>
          <w:szCs w:val="30"/>
          <w:rtl/>
        </w:rPr>
        <w:t>يمكن تطبيق هذه العملية على جميع الغازات الناتجة كنفايات من جهاز التحميص، ولا سيما غازات الصرف التي أزيل منها ثنائي أكسيد الكبريت بواسطة عملية الشطف</w:t>
      </w:r>
      <w:r w:rsidRPr="00335E4B">
        <w:rPr>
          <w:rFonts w:cs="Traditional Arabic"/>
          <w:sz w:val="20"/>
          <w:szCs w:val="30"/>
          <w:rtl/>
          <w:lang w:val="en-GB" w:bidi="ar-EG"/>
        </w:rPr>
        <w:t>.</w:t>
      </w:r>
      <w:r w:rsidRPr="00335E4B">
        <w:rPr>
          <w:rFonts w:cs="Traditional Arabic"/>
          <w:sz w:val="20"/>
          <w:szCs w:val="30"/>
          <w:rtl/>
        </w:rPr>
        <w:t xml:space="preserve"> وتتسم التقنية بالفعالية في المستويات العالية من مدخلات الزئبق التي تنتج من أجهزة تحميص جيريت، وهي فعالة أيضاً للمستويات المنخفضة من الزئبق التي تنتجها أجهزة جيريت لتجفيف الركاز</w:t>
      </w:r>
      <w:r w:rsidRPr="00335E4B">
        <w:rPr>
          <w:rFonts w:cs="Traditional Arabic"/>
          <w:sz w:val="20"/>
          <w:szCs w:val="30"/>
          <w:rtl/>
          <w:lang w:val="en-GB" w:bidi="ar-EG"/>
        </w:rPr>
        <w:t>.</w:t>
      </w:r>
    </w:p>
    <w:p w:rsidR="00335E4B" w:rsidRPr="00335E4B" w:rsidRDefault="007055F9" w:rsidP="009C5341">
      <w:pPr>
        <w:keepNext/>
        <w:tabs>
          <w:tab w:val="left" w:pos="991"/>
        </w:tabs>
        <w:spacing w:before="120" w:after="80" w:line="360" w:lineRule="exact"/>
        <w:jc w:val="both"/>
        <w:outlineLvl w:val="0"/>
        <w:rPr>
          <w:rFonts w:cs="Traditional Arabic"/>
          <w:b/>
          <w:bCs/>
          <w:sz w:val="20"/>
          <w:szCs w:val="30"/>
          <w:rtl/>
          <w:lang w:bidi="ar-EG"/>
        </w:rPr>
      </w:pPr>
      <w:bookmarkStart w:id="1823" w:name="_Toc433095436"/>
      <w:bookmarkStart w:id="1824" w:name="_Toc434239971"/>
      <w:bookmarkStart w:id="1825" w:name="_Toc440550565"/>
      <w:bookmarkStart w:id="1826" w:name="_Toc441577824"/>
      <w:bookmarkStart w:id="1827" w:name="_Toc441578003"/>
      <w:bookmarkStart w:id="1828" w:name="_Toc441580837"/>
      <w:bookmarkStart w:id="1829" w:name="_Toc441585968"/>
      <w:bookmarkStart w:id="1830" w:name="_Toc441586304"/>
      <w:bookmarkStart w:id="1831" w:name="_Toc441586754"/>
      <w:bookmarkStart w:id="1832" w:name="_Toc441586933"/>
      <w:bookmarkStart w:id="1833" w:name="_Toc441666782"/>
      <w:bookmarkStart w:id="1834" w:name="_Toc441673843"/>
      <w:r>
        <w:rPr>
          <w:rFonts w:cs="Traditional Arabic" w:hint="cs"/>
          <w:b/>
          <w:bCs/>
          <w:sz w:val="20"/>
          <w:szCs w:val="30"/>
          <w:rtl/>
          <w:lang w:bidi="ar-EG"/>
        </w:rPr>
        <w:t>3-5-3</w:t>
      </w:r>
      <w:r>
        <w:rPr>
          <w:rFonts w:cs="Traditional Arabic" w:hint="cs"/>
          <w:b/>
          <w:bCs/>
          <w:sz w:val="20"/>
          <w:szCs w:val="30"/>
          <w:rtl/>
          <w:lang w:bidi="ar-EG"/>
        </w:rPr>
        <w:tab/>
      </w:r>
      <w:r w:rsidR="00335E4B" w:rsidRPr="00335E4B">
        <w:rPr>
          <w:rFonts w:cs="Traditional Arabic"/>
          <w:b/>
          <w:bCs/>
          <w:sz w:val="20"/>
          <w:szCs w:val="30"/>
          <w:rtl/>
          <w:lang w:bidi="ar-EG"/>
        </w:rPr>
        <w:t>الأداء</w:t>
      </w:r>
      <w:bookmarkEnd w:id="1823"/>
      <w:bookmarkEnd w:id="1824"/>
      <w:bookmarkEnd w:id="1825"/>
      <w:bookmarkEnd w:id="1826"/>
      <w:bookmarkEnd w:id="1827"/>
      <w:bookmarkEnd w:id="1828"/>
      <w:bookmarkEnd w:id="1829"/>
      <w:bookmarkEnd w:id="1830"/>
      <w:bookmarkEnd w:id="1831"/>
      <w:bookmarkEnd w:id="1832"/>
      <w:bookmarkEnd w:id="1833"/>
      <w:bookmarkEnd w:id="1834"/>
    </w:p>
    <w:p w:rsidR="00335E4B" w:rsidRPr="00335E4B" w:rsidRDefault="00335E4B" w:rsidP="009C5341">
      <w:pPr>
        <w:spacing w:after="120" w:line="360" w:lineRule="exact"/>
        <w:jc w:val="both"/>
        <w:rPr>
          <w:rFonts w:cs="Traditional Arabic"/>
          <w:sz w:val="20"/>
          <w:szCs w:val="30"/>
          <w:rtl/>
        </w:rPr>
      </w:pPr>
      <w:r w:rsidRPr="00335E4B">
        <w:rPr>
          <w:rFonts w:cs="Traditional Arabic"/>
          <w:sz w:val="20"/>
          <w:szCs w:val="30"/>
          <w:rtl/>
        </w:rPr>
        <w:t>تبلغ كفاءة الإزالة عادة</w:t>
      </w:r>
      <w:r w:rsidRPr="00335E4B">
        <w:rPr>
          <w:rFonts w:cs="Traditional Arabic"/>
          <w:sz w:val="20"/>
          <w:szCs w:val="30"/>
          <w:rtl/>
          <w:lang w:val="en-GB" w:bidi="ar-EG"/>
        </w:rPr>
        <w:t xml:space="preserve"> 99,97 </w:t>
      </w:r>
      <w:r w:rsidRPr="00335E4B">
        <w:rPr>
          <w:rFonts w:cs="Traditional Arabic"/>
          <w:sz w:val="20"/>
          <w:szCs w:val="30"/>
          <w:rtl/>
        </w:rPr>
        <w:t>في المائة</w:t>
      </w:r>
      <w:r w:rsidRPr="00335E4B">
        <w:rPr>
          <w:rFonts w:cs="Traditional Arabic"/>
          <w:sz w:val="20"/>
          <w:szCs w:val="30"/>
          <w:rtl/>
          <w:lang w:val="en-GB" w:bidi="ar-EG"/>
        </w:rPr>
        <w:t>.</w:t>
      </w:r>
      <w:r w:rsidRPr="00335E4B">
        <w:rPr>
          <w:rFonts w:cs="Traditional Arabic"/>
          <w:sz w:val="20"/>
          <w:szCs w:val="30"/>
          <w:rtl/>
        </w:rPr>
        <w:t xml:space="preserve"> ويتراوح تركيز الزئبق عند منفذ الخروج عادة بين</w:t>
      </w:r>
      <w:r w:rsidRPr="00335E4B">
        <w:rPr>
          <w:rFonts w:cs="Traditional Arabic"/>
          <w:sz w:val="20"/>
          <w:szCs w:val="30"/>
          <w:rtl/>
          <w:lang w:val="en-GB" w:bidi="ar-EG"/>
        </w:rPr>
        <w:t xml:space="preserve"> 0,004 و0,005 </w:t>
      </w:r>
      <w:r w:rsidRPr="00335E4B">
        <w:rPr>
          <w:rFonts w:cs="Traditional Arabic"/>
          <w:sz w:val="20"/>
          <w:szCs w:val="30"/>
          <w:rtl/>
        </w:rPr>
        <w:t>جزءاً في المليون</w:t>
      </w:r>
      <w:r w:rsidRPr="00335E4B">
        <w:rPr>
          <w:rFonts w:cs="Traditional Arabic"/>
          <w:sz w:val="20"/>
          <w:szCs w:val="30"/>
          <w:rtl/>
          <w:lang w:val="en-GB" w:bidi="ar-EG"/>
        </w:rPr>
        <w:t>.</w:t>
      </w:r>
    </w:p>
    <w:p w:rsidR="00335E4B" w:rsidRPr="00335E4B" w:rsidRDefault="007055F9" w:rsidP="009C5341">
      <w:pPr>
        <w:keepNext/>
        <w:tabs>
          <w:tab w:val="left" w:pos="991"/>
        </w:tabs>
        <w:spacing w:before="120" w:after="80" w:line="360" w:lineRule="exact"/>
        <w:jc w:val="both"/>
        <w:outlineLvl w:val="0"/>
        <w:rPr>
          <w:rFonts w:cs="Traditional Arabic"/>
          <w:b/>
          <w:bCs/>
          <w:sz w:val="20"/>
          <w:szCs w:val="30"/>
          <w:rtl/>
          <w:lang w:bidi="ar-EG"/>
        </w:rPr>
      </w:pPr>
      <w:bookmarkStart w:id="1835" w:name="_Toc433095437"/>
      <w:bookmarkStart w:id="1836" w:name="_Toc434239972"/>
      <w:bookmarkStart w:id="1837" w:name="_Toc440550566"/>
      <w:bookmarkStart w:id="1838" w:name="_Toc441577825"/>
      <w:bookmarkStart w:id="1839" w:name="_Toc441578004"/>
      <w:bookmarkStart w:id="1840" w:name="_Toc441580838"/>
      <w:bookmarkStart w:id="1841" w:name="_Toc441585969"/>
      <w:bookmarkStart w:id="1842" w:name="_Toc441586305"/>
      <w:bookmarkStart w:id="1843" w:name="_Toc441586755"/>
      <w:bookmarkStart w:id="1844" w:name="_Toc441586934"/>
      <w:bookmarkStart w:id="1845" w:name="_Toc441666783"/>
      <w:bookmarkStart w:id="1846" w:name="_Toc441673844"/>
      <w:r>
        <w:rPr>
          <w:rFonts w:cs="Traditional Arabic" w:hint="cs"/>
          <w:b/>
          <w:bCs/>
          <w:sz w:val="20"/>
          <w:szCs w:val="30"/>
          <w:rtl/>
          <w:lang w:bidi="ar-EG"/>
        </w:rPr>
        <w:t>3-5-4</w:t>
      </w:r>
      <w:r>
        <w:rPr>
          <w:rFonts w:cs="Traditional Arabic" w:hint="cs"/>
          <w:b/>
          <w:bCs/>
          <w:sz w:val="20"/>
          <w:szCs w:val="30"/>
          <w:rtl/>
          <w:lang w:bidi="ar-EG"/>
        </w:rPr>
        <w:tab/>
      </w:r>
      <w:r w:rsidR="00335E4B" w:rsidRPr="00335E4B">
        <w:rPr>
          <w:rFonts w:cs="Traditional Arabic"/>
          <w:b/>
          <w:bCs/>
          <w:sz w:val="20"/>
          <w:szCs w:val="30"/>
          <w:rtl/>
          <w:lang w:bidi="ar-EG"/>
        </w:rPr>
        <w:t xml:space="preserve">الآثار </w:t>
      </w:r>
      <w:r w:rsidR="00335E4B" w:rsidRPr="00335E4B">
        <w:rPr>
          <w:rFonts w:cs="Traditional Arabic" w:hint="cs"/>
          <w:b/>
          <w:bCs/>
          <w:sz w:val="20"/>
          <w:szCs w:val="30"/>
          <w:rtl/>
          <w:lang w:bidi="ar-EG"/>
        </w:rPr>
        <w:t xml:space="preserve">الشاملة </w:t>
      </w:r>
      <w:bookmarkEnd w:id="1835"/>
      <w:bookmarkEnd w:id="1836"/>
      <w:bookmarkEnd w:id="1837"/>
      <w:bookmarkEnd w:id="1838"/>
      <w:bookmarkEnd w:id="1839"/>
      <w:bookmarkEnd w:id="1840"/>
      <w:bookmarkEnd w:id="1841"/>
      <w:bookmarkEnd w:id="1842"/>
      <w:bookmarkEnd w:id="1843"/>
      <w:bookmarkEnd w:id="1844"/>
      <w:bookmarkEnd w:id="1845"/>
      <w:bookmarkEnd w:id="1846"/>
      <w:r w:rsidR="00900A2C">
        <w:rPr>
          <w:rFonts w:cs="Traditional Arabic" w:hint="cs"/>
          <w:b/>
          <w:bCs/>
          <w:sz w:val="20"/>
          <w:szCs w:val="30"/>
          <w:rtl/>
          <w:lang w:bidi="ar-EG"/>
        </w:rPr>
        <w:t>لعدة أوساط</w:t>
      </w:r>
    </w:p>
    <w:p w:rsidR="00335E4B" w:rsidRPr="00335E4B" w:rsidRDefault="00335E4B" w:rsidP="009C5341">
      <w:pPr>
        <w:spacing w:after="120" w:line="360" w:lineRule="exact"/>
        <w:jc w:val="both"/>
        <w:rPr>
          <w:rFonts w:cs="Traditional Arabic"/>
          <w:sz w:val="20"/>
          <w:szCs w:val="30"/>
          <w:rtl/>
        </w:rPr>
      </w:pPr>
      <w:r w:rsidRPr="00335E4B">
        <w:rPr>
          <w:rFonts w:cs="Traditional Arabic"/>
          <w:sz w:val="20"/>
          <w:szCs w:val="30"/>
          <w:rtl/>
        </w:rPr>
        <w:t xml:space="preserve">تشمل الآثار الناجمة عن العملية </w:t>
      </w:r>
      <w:r w:rsidRPr="00335E4B">
        <w:rPr>
          <w:rFonts w:cs="Traditional Arabic" w:hint="cs"/>
          <w:sz w:val="20"/>
          <w:szCs w:val="30"/>
          <w:rtl/>
        </w:rPr>
        <w:t xml:space="preserve">والشاملة لوسائط متعددة </w:t>
      </w:r>
      <w:r w:rsidRPr="00335E4B">
        <w:rPr>
          <w:rFonts w:cs="Traditional Arabic"/>
          <w:sz w:val="20"/>
          <w:szCs w:val="30"/>
          <w:rtl/>
        </w:rPr>
        <w:t>ما يلي</w:t>
      </w:r>
      <w:r w:rsidRPr="00335E4B">
        <w:rPr>
          <w:rFonts w:cs="Traditional Arabic"/>
          <w:sz w:val="20"/>
          <w:szCs w:val="30"/>
          <w:rtl/>
          <w:lang w:val="en-GB" w:bidi="ar-EG"/>
        </w:rPr>
        <w:t>:</w:t>
      </w:r>
    </w:p>
    <w:p w:rsidR="00335E4B" w:rsidRPr="00335E4B" w:rsidRDefault="00335E4B" w:rsidP="009C5341">
      <w:pPr>
        <w:numPr>
          <w:ilvl w:val="0"/>
          <w:numId w:val="16"/>
        </w:numPr>
        <w:spacing w:after="120" w:line="360" w:lineRule="exact"/>
        <w:ind w:left="1132" w:hanging="425"/>
        <w:jc w:val="both"/>
        <w:rPr>
          <w:rFonts w:cs="Traditional Arabic"/>
          <w:sz w:val="20"/>
          <w:szCs w:val="30"/>
          <w:rtl/>
        </w:rPr>
      </w:pPr>
      <w:r w:rsidRPr="00335E4B">
        <w:rPr>
          <w:rFonts w:cs="Traditional Arabic"/>
          <w:sz w:val="20"/>
          <w:szCs w:val="30"/>
          <w:rtl/>
        </w:rPr>
        <w:t>الآثار المترتبة على الهواء والمياه بسبب إنتاج نفايات الكالوميل الصلبة (يمكن تجنبها في حالة تطبيق التحليل الكهربائي على كلوريد الزئبق (ثنائي التكافؤ) أو بالتخلص من تيار الصرف الناتج عن جهاز الشطف في مثخِّن جهاز التحميص)</w:t>
      </w:r>
      <w:r w:rsidRPr="00335E4B">
        <w:rPr>
          <w:rFonts w:cs="Traditional Arabic"/>
          <w:sz w:val="20"/>
          <w:szCs w:val="30"/>
          <w:rtl/>
          <w:lang w:val="en-GB" w:bidi="ar-EG"/>
        </w:rPr>
        <w:t>.</w:t>
      </w:r>
    </w:p>
    <w:p w:rsidR="00335E4B" w:rsidRPr="00335E4B" w:rsidRDefault="007055F9" w:rsidP="009C5341">
      <w:pPr>
        <w:keepNext/>
        <w:tabs>
          <w:tab w:val="left" w:pos="991"/>
        </w:tabs>
        <w:spacing w:before="120" w:after="80" w:line="360" w:lineRule="exact"/>
        <w:jc w:val="both"/>
        <w:outlineLvl w:val="0"/>
        <w:rPr>
          <w:rFonts w:cs="Traditional Arabic"/>
          <w:b/>
          <w:bCs/>
          <w:sz w:val="20"/>
          <w:szCs w:val="30"/>
          <w:rtl/>
          <w:lang w:bidi="ar-EG"/>
        </w:rPr>
      </w:pPr>
      <w:bookmarkStart w:id="1847" w:name="_Toc433095438"/>
      <w:bookmarkStart w:id="1848" w:name="_Toc434239973"/>
      <w:bookmarkStart w:id="1849" w:name="_Toc440550567"/>
      <w:bookmarkStart w:id="1850" w:name="_Toc441577826"/>
      <w:bookmarkStart w:id="1851" w:name="_Toc441578005"/>
      <w:bookmarkStart w:id="1852" w:name="_Toc441580839"/>
      <w:bookmarkStart w:id="1853" w:name="_Toc441585970"/>
      <w:bookmarkStart w:id="1854" w:name="_Toc441586306"/>
      <w:bookmarkStart w:id="1855" w:name="_Toc441586756"/>
      <w:bookmarkStart w:id="1856" w:name="_Toc441586935"/>
      <w:bookmarkStart w:id="1857" w:name="_Toc441666784"/>
      <w:bookmarkStart w:id="1858" w:name="_Toc441673845"/>
      <w:r>
        <w:rPr>
          <w:rFonts w:cs="Traditional Arabic" w:hint="cs"/>
          <w:b/>
          <w:bCs/>
          <w:sz w:val="20"/>
          <w:szCs w:val="30"/>
          <w:rtl/>
          <w:lang w:bidi="ar-EG"/>
        </w:rPr>
        <w:t>3-5-5</w:t>
      </w:r>
      <w:r>
        <w:rPr>
          <w:rFonts w:cs="Traditional Arabic" w:hint="cs"/>
          <w:b/>
          <w:bCs/>
          <w:sz w:val="20"/>
          <w:szCs w:val="30"/>
          <w:rtl/>
          <w:lang w:bidi="ar-EG"/>
        </w:rPr>
        <w:tab/>
      </w:r>
      <w:r w:rsidR="00335E4B" w:rsidRPr="00335E4B">
        <w:rPr>
          <w:rFonts w:cs="Traditional Arabic"/>
          <w:b/>
          <w:bCs/>
          <w:sz w:val="20"/>
          <w:szCs w:val="30"/>
          <w:rtl/>
          <w:lang w:bidi="ar-EG"/>
        </w:rPr>
        <w:t>تكاليف التركيب والتشغيل</w:t>
      </w:r>
      <w:bookmarkEnd w:id="1847"/>
      <w:bookmarkEnd w:id="1848"/>
      <w:bookmarkEnd w:id="1849"/>
      <w:bookmarkEnd w:id="1850"/>
      <w:bookmarkEnd w:id="1851"/>
      <w:bookmarkEnd w:id="1852"/>
      <w:bookmarkEnd w:id="1853"/>
      <w:bookmarkEnd w:id="1854"/>
      <w:bookmarkEnd w:id="1855"/>
      <w:bookmarkEnd w:id="1856"/>
      <w:bookmarkEnd w:id="1857"/>
      <w:bookmarkEnd w:id="1858"/>
    </w:p>
    <w:p w:rsidR="00335E4B" w:rsidRPr="00335E4B" w:rsidRDefault="00335E4B" w:rsidP="009C5341">
      <w:pPr>
        <w:spacing w:after="120" w:line="360" w:lineRule="exact"/>
        <w:jc w:val="both"/>
        <w:rPr>
          <w:rFonts w:cs="Traditional Arabic"/>
          <w:sz w:val="20"/>
          <w:szCs w:val="30"/>
          <w:rtl/>
        </w:rPr>
      </w:pPr>
      <w:r w:rsidRPr="00335E4B">
        <w:rPr>
          <w:rFonts w:cs="Traditional Arabic"/>
          <w:sz w:val="20"/>
          <w:szCs w:val="30"/>
          <w:rtl/>
        </w:rPr>
        <w:t>نظراً لانخفاض درجة حرارة التشغيل (أقل من</w:t>
      </w:r>
      <w:r w:rsidRPr="00335E4B">
        <w:rPr>
          <w:rFonts w:cs="Traditional Arabic"/>
          <w:sz w:val="20"/>
          <w:szCs w:val="30"/>
          <w:rtl/>
          <w:lang w:val="en-GB" w:bidi="ar-EG"/>
        </w:rPr>
        <w:t xml:space="preserve"> 40 </w:t>
      </w:r>
      <w:r w:rsidRPr="00335E4B">
        <w:rPr>
          <w:rFonts w:cs="Traditional Arabic"/>
          <w:sz w:val="20"/>
          <w:szCs w:val="30"/>
          <w:rtl/>
        </w:rPr>
        <w:t xml:space="preserve">درجة مئوية)، تستخدم بصورة أساسية المواد البلاستيكية من أجل </w:t>
      </w:r>
      <w:r w:rsidRPr="00335E4B">
        <w:rPr>
          <w:rFonts w:cs="Traditional Arabic" w:hint="cs"/>
          <w:sz w:val="20"/>
          <w:szCs w:val="30"/>
          <w:rtl/>
        </w:rPr>
        <w:t>الإنشاء</w:t>
      </w:r>
      <w:r w:rsidRPr="00335E4B">
        <w:rPr>
          <w:rFonts w:cs="Traditional Arabic"/>
          <w:sz w:val="20"/>
          <w:szCs w:val="30"/>
          <w:rtl/>
          <w:lang w:val="en-GB" w:bidi="ar-EG"/>
        </w:rPr>
        <w:t>.</w:t>
      </w:r>
    </w:p>
    <w:p w:rsidR="00335E4B" w:rsidRPr="00335E4B" w:rsidRDefault="00335E4B" w:rsidP="007055F9">
      <w:pPr>
        <w:spacing w:after="120" w:line="360" w:lineRule="exact"/>
        <w:jc w:val="both"/>
        <w:rPr>
          <w:rFonts w:cs="Traditional Arabic"/>
          <w:sz w:val="20"/>
          <w:szCs w:val="30"/>
          <w:rtl/>
        </w:rPr>
      </w:pPr>
      <w:r w:rsidRPr="00335E4B">
        <w:rPr>
          <w:rFonts w:cs="Traditional Arabic"/>
          <w:sz w:val="20"/>
          <w:szCs w:val="30"/>
          <w:rtl/>
        </w:rPr>
        <w:t>وتكون تكاليف التشغيل منخفضة لأنها تقتصر على ما يلي</w:t>
      </w:r>
      <w:r w:rsidRPr="00335E4B">
        <w:rPr>
          <w:rFonts w:cs="Traditional Arabic"/>
          <w:sz w:val="20"/>
          <w:szCs w:val="30"/>
          <w:rtl/>
          <w:lang w:val="en-GB" w:bidi="ar-EG"/>
        </w:rPr>
        <w:t>:</w:t>
      </w:r>
    </w:p>
    <w:p w:rsidR="00335E4B" w:rsidRPr="00335E4B" w:rsidRDefault="00335E4B" w:rsidP="007055F9">
      <w:pPr>
        <w:numPr>
          <w:ilvl w:val="0"/>
          <w:numId w:val="16"/>
        </w:numPr>
        <w:spacing w:after="60" w:line="320" w:lineRule="exact"/>
        <w:ind w:left="1134" w:hanging="425"/>
        <w:jc w:val="both"/>
        <w:rPr>
          <w:rFonts w:cs="Traditional Arabic"/>
          <w:sz w:val="20"/>
          <w:szCs w:val="30"/>
          <w:rtl/>
        </w:rPr>
      </w:pPr>
      <w:r w:rsidRPr="00335E4B">
        <w:rPr>
          <w:rFonts w:cs="Traditional Arabic"/>
          <w:sz w:val="20"/>
          <w:szCs w:val="30"/>
          <w:rtl/>
        </w:rPr>
        <w:t>استهلاك الطاقة الكهربائية لمضخات التدوير؛</w:t>
      </w:r>
    </w:p>
    <w:p w:rsidR="00335E4B" w:rsidRPr="00335E4B" w:rsidRDefault="00335E4B" w:rsidP="009C5341">
      <w:pPr>
        <w:numPr>
          <w:ilvl w:val="0"/>
          <w:numId w:val="16"/>
        </w:numPr>
        <w:spacing w:after="60" w:line="320" w:lineRule="exact"/>
        <w:ind w:left="1134" w:hanging="425"/>
        <w:jc w:val="both"/>
        <w:rPr>
          <w:rFonts w:cs="Traditional Arabic"/>
          <w:sz w:val="20"/>
          <w:szCs w:val="30"/>
          <w:rtl/>
        </w:rPr>
      </w:pPr>
      <w:r w:rsidRPr="00335E4B">
        <w:rPr>
          <w:rFonts w:cs="Traditional Arabic"/>
          <w:sz w:val="20"/>
          <w:szCs w:val="30"/>
          <w:rtl/>
        </w:rPr>
        <w:t xml:space="preserve">زيادة استهلاك الطاقة الكهربائية </w:t>
      </w:r>
      <w:r w:rsidRPr="00335E4B">
        <w:rPr>
          <w:rFonts w:cs="Traditional Arabic" w:hint="cs"/>
          <w:sz w:val="20"/>
          <w:szCs w:val="30"/>
          <w:rtl/>
        </w:rPr>
        <w:t>في ا</w:t>
      </w:r>
      <w:r w:rsidRPr="00335E4B">
        <w:rPr>
          <w:rFonts w:cs="Traditional Arabic"/>
          <w:sz w:val="20"/>
          <w:szCs w:val="30"/>
          <w:rtl/>
        </w:rPr>
        <w:t>لمراوح للتعويض عن انخفاض الضغط الذي يحدثه برج الشطف؛</w:t>
      </w:r>
    </w:p>
    <w:p w:rsidR="00335E4B" w:rsidRPr="00335E4B" w:rsidRDefault="00335E4B" w:rsidP="009C5341">
      <w:pPr>
        <w:numPr>
          <w:ilvl w:val="0"/>
          <w:numId w:val="16"/>
        </w:numPr>
        <w:spacing w:after="120" w:line="360" w:lineRule="exact"/>
        <w:ind w:left="1132" w:hanging="425"/>
        <w:jc w:val="both"/>
        <w:rPr>
          <w:rFonts w:cs="Traditional Arabic"/>
          <w:sz w:val="20"/>
          <w:szCs w:val="30"/>
        </w:rPr>
      </w:pPr>
      <w:r w:rsidRPr="00335E4B">
        <w:rPr>
          <w:rFonts w:cs="Traditional Arabic"/>
          <w:sz w:val="20"/>
          <w:szCs w:val="30"/>
          <w:rtl/>
        </w:rPr>
        <w:t>استهلاك غاز الكلور.</w:t>
      </w:r>
    </w:p>
    <w:p w:rsidR="00335E4B" w:rsidRDefault="00335E4B" w:rsidP="009C5341">
      <w:pPr>
        <w:spacing w:after="120" w:line="360" w:lineRule="exact"/>
        <w:ind w:left="-2"/>
        <w:jc w:val="both"/>
        <w:rPr>
          <w:rFonts w:cs="Traditional Arabic"/>
          <w:sz w:val="20"/>
          <w:szCs w:val="30"/>
          <w:rtl/>
          <w:lang w:val="en-GB" w:bidi="ar-EG"/>
        </w:rPr>
      </w:pPr>
      <w:r w:rsidRPr="00335E4B">
        <w:rPr>
          <w:rFonts w:cs="Traditional Arabic"/>
          <w:sz w:val="20"/>
          <w:szCs w:val="30"/>
          <w:rtl/>
        </w:rPr>
        <w:t>تكون تكاليف التشغيل مستقلة عملياً عن مستوى الزئبق في الغاز الناتج كنفايات</w:t>
      </w:r>
      <w:r w:rsidRPr="00335E4B">
        <w:rPr>
          <w:rFonts w:cs="Traditional Arabic"/>
          <w:sz w:val="20"/>
          <w:szCs w:val="30"/>
          <w:rtl/>
          <w:lang w:val="en-GB" w:bidi="ar-EG"/>
        </w:rPr>
        <w:t>.</w:t>
      </w:r>
      <w:r>
        <w:rPr>
          <w:rFonts w:cs="Traditional Arabic"/>
          <w:noProof/>
          <w:sz w:val="20"/>
          <w:szCs w:val="30"/>
          <w:lang w:val="en-GB" w:eastAsia="zh-CN"/>
        </w:rPr>
        <mc:AlternateContent>
          <mc:Choice Requires="wpc">
            <w:drawing>
              <wp:anchor distT="0" distB="0" distL="114300" distR="114300" simplePos="0" relativeHeight="251688960" behindDoc="1" locked="0" layoutInCell="1" allowOverlap="1" wp14:anchorId="310912BC" wp14:editId="442076CF">
                <wp:simplePos x="0" y="0"/>
                <wp:positionH relativeFrom="column">
                  <wp:posOffset>-158115</wp:posOffset>
                </wp:positionH>
                <wp:positionV relativeFrom="paragraph">
                  <wp:posOffset>300355</wp:posOffset>
                </wp:positionV>
                <wp:extent cx="6083935" cy="4968240"/>
                <wp:effectExtent l="18415" t="19050" r="12700" b="13335"/>
                <wp:wrapTight wrapText="bothSides">
                  <wp:wrapPolygon edited="0">
                    <wp:start x="-68" y="-83"/>
                    <wp:lineTo x="-68" y="21600"/>
                    <wp:lineTo x="21634" y="21600"/>
                    <wp:lineTo x="21634" y="-83"/>
                    <wp:lineTo x="-68" y="-83"/>
                  </wp:wrapPolygon>
                </wp:wrapTight>
                <wp:docPr id="235" name="Canvas 2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87" name="Rectangle 2"/>
                        <wps:cNvSpPr>
                          <a:spLocks noChangeArrowheads="1"/>
                        </wps:cNvSpPr>
                        <wps:spPr bwMode="auto">
                          <a:xfrm>
                            <a:off x="506995" y="1035050"/>
                            <a:ext cx="337996" cy="724535"/>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 name="Rectangle 4"/>
                        <wps:cNvSpPr>
                          <a:spLocks noChangeArrowheads="1"/>
                        </wps:cNvSpPr>
                        <wps:spPr bwMode="auto">
                          <a:xfrm>
                            <a:off x="1943479" y="828040"/>
                            <a:ext cx="337996" cy="2070100"/>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 name="Rectangle 7"/>
                        <wps:cNvSpPr>
                          <a:spLocks noChangeArrowheads="1"/>
                        </wps:cNvSpPr>
                        <wps:spPr bwMode="auto">
                          <a:xfrm>
                            <a:off x="3548962" y="828040"/>
                            <a:ext cx="337996" cy="2070100"/>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 name="Rectangle 8"/>
                        <wps:cNvSpPr>
                          <a:spLocks noChangeArrowheads="1"/>
                        </wps:cNvSpPr>
                        <wps:spPr bwMode="auto">
                          <a:xfrm>
                            <a:off x="4816449" y="828040"/>
                            <a:ext cx="337996" cy="2070100"/>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cNvPr id="91" name="Group 18"/>
                        <wpg:cNvGrpSpPr>
                          <a:grpSpLocks/>
                        </wpg:cNvGrpSpPr>
                        <wpg:grpSpPr bwMode="auto">
                          <a:xfrm>
                            <a:off x="1943479" y="517525"/>
                            <a:ext cx="342691" cy="310515"/>
                            <a:chOff x="2628900" y="571500"/>
                            <a:chExt cx="463550" cy="342900"/>
                          </a:xfrm>
                        </wpg:grpSpPr>
                        <wps:wsp>
                          <wps:cNvPr id="92" name="Straight Connector 13"/>
                          <wps:cNvCnPr>
                            <a:cxnSpLocks noChangeShapeType="1"/>
                          </wps:cNvCnPr>
                          <wps:spPr bwMode="auto">
                            <a:xfrm flipV="1">
                              <a:off x="2628900" y="571500"/>
                              <a:ext cx="228600" cy="1143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93" name="Straight Connector 14"/>
                          <wps:cNvCnPr>
                            <a:cxnSpLocks noChangeShapeType="1"/>
                          </wps:cNvCnPr>
                          <wps:spPr bwMode="auto">
                            <a:xfrm>
                              <a:off x="2863850" y="571500"/>
                              <a:ext cx="228600" cy="1143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94" name="Straight Connector 16"/>
                          <wps:cNvCnPr>
                            <a:cxnSpLocks noChangeShapeType="1"/>
                          </wps:cNvCnPr>
                          <wps:spPr bwMode="auto">
                            <a:xfrm flipV="1">
                              <a:off x="2628900" y="685800"/>
                              <a:ext cx="0" cy="2286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95" name="Straight Connector 17"/>
                          <wps:cNvCnPr>
                            <a:cxnSpLocks noChangeShapeType="1"/>
                          </wps:cNvCnPr>
                          <wps:spPr bwMode="auto">
                            <a:xfrm flipV="1">
                              <a:off x="3086100" y="685800"/>
                              <a:ext cx="0" cy="2286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g:wgp>
                      <wpg:wgp>
                        <wpg:cNvPr id="96" name="Group 19"/>
                        <wpg:cNvGrpSpPr>
                          <a:grpSpLocks/>
                        </wpg:cNvGrpSpPr>
                        <wpg:grpSpPr bwMode="auto">
                          <a:xfrm>
                            <a:off x="3548962" y="517525"/>
                            <a:ext cx="342691" cy="310515"/>
                            <a:chOff x="2628900" y="571500"/>
                            <a:chExt cx="463550" cy="342900"/>
                          </a:xfrm>
                        </wpg:grpSpPr>
                        <wps:wsp>
                          <wps:cNvPr id="97" name="Straight Connector 20"/>
                          <wps:cNvCnPr>
                            <a:cxnSpLocks noChangeShapeType="1"/>
                          </wps:cNvCnPr>
                          <wps:spPr bwMode="auto">
                            <a:xfrm flipV="1">
                              <a:off x="2628900" y="571500"/>
                              <a:ext cx="228600" cy="1143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98" name="Straight Connector 21"/>
                          <wps:cNvCnPr>
                            <a:cxnSpLocks noChangeShapeType="1"/>
                          </wps:cNvCnPr>
                          <wps:spPr bwMode="auto">
                            <a:xfrm>
                              <a:off x="2863850" y="571500"/>
                              <a:ext cx="228600" cy="1143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99" name="Straight Connector 22"/>
                          <wps:cNvCnPr>
                            <a:cxnSpLocks noChangeShapeType="1"/>
                          </wps:cNvCnPr>
                          <wps:spPr bwMode="auto">
                            <a:xfrm flipV="1">
                              <a:off x="2628900" y="685800"/>
                              <a:ext cx="0" cy="2286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00" name="Straight Connector 23"/>
                          <wps:cNvCnPr>
                            <a:cxnSpLocks noChangeShapeType="1"/>
                          </wps:cNvCnPr>
                          <wps:spPr bwMode="auto">
                            <a:xfrm flipV="1">
                              <a:off x="3086100" y="685800"/>
                              <a:ext cx="0" cy="2286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g:wgp>
                      <wpg:wgp>
                        <wpg:cNvPr id="101" name="Group 24"/>
                        <wpg:cNvGrpSpPr>
                          <a:grpSpLocks/>
                        </wpg:cNvGrpSpPr>
                        <wpg:grpSpPr bwMode="auto">
                          <a:xfrm>
                            <a:off x="4816449" y="517525"/>
                            <a:ext cx="342691" cy="310515"/>
                            <a:chOff x="2628900" y="571500"/>
                            <a:chExt cx="463550" cy="342900"/>
                          </a:xfrm>
                        </wpg:grpSpPr>
                        <wps:wsp>
                          <wps:cNvPr id="102" name="Straight Connector 25"/>
                          <wps:cNvCnPr>
                            <a:cxnSpLocks noChangeShapeType="1"/>
                          </wps:cNvCnPr>
                          <wps:spPr bwMode="auto">
                            <a:xfrm flipV="1">
                              <a:off x="2628900" y="571500"/>
                              <a:ext cx="228600" cy="1143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03" name="Straight Connector 26"/>
                          <wps:cNvCnPr>
                            <a:cxnSpLocks noChangeShapeType="1"/>
                          </wps:cNvCnPr>
                          <wps:spPr bwMode="auto">
                            <a:xfrm>
                              <a:off x="2863850" y="571500"/>
                              <a:ext cx="228600" cy="1143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04" name="Straight Connector 27"/>
                          <wps:cNvCnPr>
                            <a:cxnSpLocks noChangeShapeType="1"/>
                          </wps:cNvCnPr>
                          <wps:spPr bwMode="auto">
                            <a:xfrm flipV="1">
                              <a:off x="2628900" y="685800"/>
                              <a:ext cx="0" cy="2286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8"/>
                          <wps:cNvCnPr>
                            <a:cxnSpLocks noChangeShapeType="1"/>
                          </wps:cNvCnPr>
                          <wps:spPr bwMode="auto">
                            <a:xfrm flipV="1">
                              <a:off x="3086100" y="685800"/>
                              <a:ext cx="0" cy="2286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g:wgp>
                      <wpg:wgp>
                        <wpg:cNvPr id="106" name="Group 29"/>
                        <wpg:cNvGrpSpPr>
                          <a:grpSpLocks/>
                        </wpg:cNvGrpSpPr>
                        <wpg:grpSpPr bwMode="auto">
                          <a:xfrm rot="10800000">
                            <a:off x="1938785" y="2898140"/>
                            <a:ext cx="342691" cy="310515"/>
                            <a:chOff x="2628900" y="571500"/>
                            <a:chExt cx="463550" cy="342900"/>
                          </a:xfrm>
                        </wpg:grpSpPr>
                        <wps:wsp>
                          <wps:cNvPr id="107" name="Straight Connector 30"/>
                          <wps:cNvCnPr>
                            <a:cxnSpLocks noChangeShapeType="1"/>
                          </wps:cNvCnPr>
                          <wps:spPr bwMode="auto">
                            <a:xfrm flipV="1">
                              <a:off x="2628900" y="571500"/>
                              <a:ext cx="228600" cy="1143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08" name="Straight Connector 31"/>
                          <wps:cNvCnPr>
                            <a:cxnSpLocks noChangeShapeType="1"/>
                          </wps:cNvCnPr>
                          <wps:spPr bwMode="auto">
                            <a:xfrm>
                              <a:off x="2863850" y="571500"/>
                              <a:ext cx="228600" cy="1143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09" name="Straight Connector 32"/>
                          <wps:cNvCnPr>
                            <a:cxnSpLocks noChangeShapeType="1"/>
                          </wps:cNvCnPr>
                          <wps:spPr bwMode="auto">
                            <a:xfrm flipV="1">
                              <a:off x="2628900" y="685800"/>
                              <a:ext cx="0" cy="2286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10" name="Straight Connector 33"/>
                          <wps:cNvCnPr>
                            <a:cxnSpLocks noChangeShapeType="1"/>
                          </wps:cNvCnPr>
                          <wps:spPr bwMode="auto">
                            <a:xfrm flipV="1">
                              <a:off x="3086100" y="685800"/>
                              <a:ext cx="0" cy="2286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g:wgp>
                      <wpg:wgp>
                        <wpg:cNvPr id="111" name="Group 34"/>
                        <wpg:cNvGrpSpPr>
                          <a:grpSpLocks/>
                        </wpg:cNvGrpSpPr>
                        <wpg:grpSpPr bwMode="auto">
                          <a:xfrm rot="10800000">
                            <a:off x="3544268" y="2898142"/>
                            <a:ext cx="342691" cy="310515"/>
                            <a:chOff x="2628900" y="571500"/>
                            <a:chExt cx="463550" cy="342900"/>
                          </a:xfrm>
                        </wpg:grpSpPr>
                        <wps:wsp>
                          <wps:cNvPr id="112" name="Straight Connector 35"/>
                          <wps:cNvCnPr>
                            <a:cxnSpLocks noChangeShapeType="1"/>
                          </wps:cNvCnPr>
                          <wps:spPr bwMode="auto">
                            <a:xfrm flipV="1">
                              <a:off x="2628900" y="571500"/>
                              <a:ext cx="228600" cy="1143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13" name="Straight Connector 36"/>
                          <wps:cNvCnPr>
                            <a:cxnSpLocks noChangeShapeType="1"/>
                          </wps:cNvCnPr>
                          <wps:spPr bwMode="auto">
                            <a:xfrm>
                              <a:off x="2863850" y="571500"/>
                              <a:ext cx="228600" cy="1143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14" name="Straight Connector 37"/>
                          <wps:cNvCnPr>
                            <a:cxnSpLocks noChangeShapeType="1"/>
                          </wps:cNvCnPr>
                          <wps:spPr bwMode="auto">
                            <a:xfrm flipV="1">
                              <a:off x="2628900" y="685800"/>
                              <a:ext cx="0" cy="2286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15" name="Straight Connector 38"/>
                          <wps:cNvCnPr>
                            <a:cxnSpLocks noChangeShapeType="1"/>
                          </wps:cNvCnPr>
                          <wps:spPr bwMode="auto">
                            <a:xfrm flipV="1">
                              <a:off x="3086100" y="685800"/>
                              <a:ext cx="0" cy="2286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g:wgp>
                      <wpg:wgp>
                        <wpg:cNvPr id="116" name="Group 39"/>
                        <wpg:cNvGrpSpPr>
                          <a:grpSpLocks/>
                        </wpg:cNvGrpSpPr>
                        <wpg:grpSpPr bwMode="auto">
                          <a:xfrm rot="10800000">
                            <a:off x="4811754" y="2898142"/>
                            <a:ext cx="342691" cy="310515"/>
                            <a:chOff x="2628900" y="571500"/>
                            <a:chExt cx="463550" cy="342900"/>
                          </a:xfrm>
                        </wpg:grpSpPr>
                        <wps:wsp>
                          <wps:cNvPr id="117" name="Straight Connector 40"/>
                          <wps:cNvCnPr>
                            <a:cxnSpLocks noChangeShapeType="1"/>
                          </wps:cNvCnPr>
                          <wps:spPr bwMode="auto">
                            <a:xfrm flipV="1">
                              <a:off x="2628900" y="571500"/>
                              <a:ext cx="228600" cy="1143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18" name="Straight Connector 41"/>
                          <wps:cNvCnPr>
                            <a:cxnSpLocks noChangeShapeType="1"/>
                          </wps:cNvCnPr>
                          <wps:spPr bwMode="auto">
                            <a:xfrm>
                              <a:off x="2863850" y="571500"/>
                              <a:ext cx="228600" cy="1143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19" name="Straight Connector 42"/>
                          <wps:cNvCnPr>
                            <a:cxnSpLocks noChangeShapeType="1"/>
                          </wps:cNvCnPr>
                          <wps:spPr bwMode="auto">
                            <a:xfrm flipV="1">
                              <a:off x="2628900" y="685800"/>
                              <a:ext cx="0" cy="2286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20" name="Straight Connector 43"/>
                          <wps:cNvCnPr>
                            <a:cxnSpLocks noChangeShapeType="1"/>
                          </wps:cNvCnPr>
                          <wps:spPr bwMode="auto">
                            <a:xfrm flipV="1">
                              <a:off x="3086100" y="685800"/>
                              <a:ext cx="0" cy="2286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g:wgp>
                      <wps:wsp>
                        <wps:cNvPr id="121" name="Can 49"/>
                        <wps:cNvSpPr>
                          <a:spLocks noChangeArrowheads="1"/>
                        </wps:cNvSpPr>
                        <wps:spPr bwMode="auto">
                          <a:xfrm>
                            <a:off x="337996" y="3726180"/>
                            <a:ext cx="506995" cy="724535"/>
                          </a:xfrm>
                          <a:prstGeom prst="can">
                            <a:avLst>
                              <a:gd name="adj" fmla="val 25002"/>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2" name="Can 50"/>
                        <wps:cNvSpPr>
                          <a:spLocks noChangeArrowheads="1"/>
                        </wps:cNvSpPr>
                        <wps:spPr bwMode="auto">
                          <a:xfrm>
                            <a:off x="1351986" y="4140200"/>
                            <a:ext cx="337996" cy="414020"/>
                          </a:xfrm>
                          <a:prstGeom prst="can">
                            <a:avLst>
                              <a:gd name="adj" fmla="val 25000"/>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 name="Can 51"/>
                        <wps:cNvSpPr>
                          <a:spLocks noChangeArrowheads="1"/>
                        </wps:cNvSpPr>
                        <wps:spPr bwMode="auto">
                          <a:xfrm>
                            <a:off x="2027978" y="4140200"/>
                            <a:ext cx="337996" cy="414020"/>
                          </a:xfrm>
                          <a:prstGeom prst="can">
                            <a:avLst>
                              <a:gd name="adj" fmla="val 25000"/>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4" name="Can 52"/>
                        <wps:cNvSpPr>
                          <a:spLocks noChangeArrowheads="1"/>
                        </wps:cNvSpPr>
                        <wps:spPr bwMode="auto">
                          <a:xfrm>
                            <a:off x="2703971" y="4140200"/>
                            <a:ext cx="337996" cy="414020"/>
                          </a:xfrm>
                          <a:prstGeom prst="can">
                            <a:avLst>
                              <a:gd name="adj" fmla="val 25000"/>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5" name="Can 53"/>
                        <wps:cNvSpPr>
                          <a:spLocks noChangeArrowheads="1"/>
                        </wps:cNvSpPr>
                        <wps:spPr bwMode="auto">
                          <a:xfrm>
                            <a:off x="5238944" y="4036695"/>
                            <a:ext cx="506995" cy="724535"/>
                          </a:xfrm>
                          <a:prstGeom prst="can">
                            <a:avLst>
                              <a:gd name="adj" fmla="val 25002"/>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6" name="Rounded Rectangle 54"/>
                        <wps:cNvSpPr>
                          <a:spLocks noChangeArrowheads="1"/>
                        </wps:cNvSpPr>
                        <wps:spPr bwMode="auto">
                          <a:xfrm>
                            <a:off x="3633461" y="4041777"/>
                            <a:ext cx="844991" cy="512443"/>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70B40" w:rsidRPr="00784D3F" w:rsidRDefault="00670B40" w:rsidP="00335E4B">
                              <w:pPr>
                                <w:pStyle w:val="NormalWeb"/>
                                <w:bidi/>
                                <w:spacing w:before="0" w:beforeAutospacing="0" w:after="0" w:afterAutospacing="0" w:line="240" w:lineRule="exact"/>
                                <w:jc w:val="center"/>
                                <w:rPr>
                                  <w:rFonts w:ascii="Traditional Arabic" w:eastAsia="Calibri" w:hAnsi="Traditional Arabic" w:cs="Traditional Arabic"/>
                                  <w:sz w:val="20"/>
                                  <w:szCs w:val="20"/>
                                  <w:lang w:val="en-CA" w:bidi="ar-SY"/>
                                </w:rPr>
                              </w:pPr>
                              <w:r w:rsidRPr="00784D3F">
                                <w:rPr>
                                  <w:rFonts w:ascii="Traditional Arabic" w:eastAsia="Calibri" w:hAnsi="Traditional Arabic" w:cs="Traditional Arabic" w:hint="cs"/>
                                  <w:sz w:val="20"/>
                                  <w:szCs w:val="20"/>
                                  <w:rtl/>
                                  <w:lang w:val="en-CA" w:bidi="ar-SY"/>
                                </w:rPr>
                                <w:t>مكبس مرشح</w:t>
                              </w:r>
                              <w:r w:rsidRPr="00EA62B3">
                                <w:rPr>
                                  <w:rFonts w:ascii="Traditional Arabic" w:eastAsia="Calibri" w:hAnsi="Traditional Arabic" w:cs="Traditional Arabic" w:hint="cs"/>
                                  <w:sz w:val="20"/>
                                  <w:szCs w:val="20"/>
                                  <w:rtl/>
                                  <w:lang w:val="en-CA" w:bidi="ar-SY"/>
                                </w:rPr>
                                <w:t xml:space="preserve"> </w:t>
                              </w:r>
                              <w:r w:rsidRPr="00784D3F">
                                <w:rPr>
                                  <w:rFonts w:ascii="Traditional Arabic" w:eastAsia="Calibri" w:hAnsi="Traditional Arabic" w:cs="Traditional Arabic" w:hint="cs"/>
                                  <w:sz w:val="20"/>
                                  <w:szCs w:val="20"/>
                                  <w:rtl/>
                                  <w:lang w:val="en-CA" w:bidi="ar-SY"/>
                                </w:rPr>
                                <w:t>الكالوميل</w:t>
                              </w:r>
                            </w:p>
                          </w:txbxContent>
                        </wps:txbx>
                        <wps:bodyPr rot="0" vert="horz" wrap="square" lIns="91440" tIns="45720" rIns="91440" bIns="45720" anchor="ctr" anchorCtr="0" upright="1">
                          <a:noAutofit/>
                        </wps:bodyPr>
                      </wps:wsp>
                      <wps:wsp>
                        <wps:cNvPr id="127" name="Rectangle 55"/>
                        <wps:cNvSpPr>
                          <a:spLocks noChangeArrowheads="1"/>
                        </wps:cNvSpPr>
                        <wps:spPr bwMode="auto">
                          <a:xfrm>
                            <a:off x="2365975" y="1863090"/>
                            <a:ext cx="168998" cy="201258"/>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cNvPr id="128" name="Group 58"/>
                        <wpg:cNvGrpSpPr>
                          <a:grpSpLocks/>
                        </wpg:cNvGrpSpPr>
                        <wpg:grpSpPr bwMode="auto">
                          <a:xfrm>
                            <a:off x="2872969" y="2587625"/>
                            <a:ext cx="248803" cy="310514"/>
                            <a:chOff x="3663950" y="2628901"/>
                            <a:chExt cx="336550" cy="342899"/>
                          </a:xfrm>
                        </wpg:grpSpPr>
                        <wps:wsp>
                          <wps:cNvPr id="129" name="Rectangle 57"/>
                          <wps:cNvSpPr>
                            <a:spLocks noChangeArrowheads="1"/>
                          </wps:cNvSpPr>
                          <wps:spPr bwMode="auto">
                            <a:xfrm>
                              <a:off x="3879850" y="2628901"/>
                              <a:ext cx="120650" cy="114299"/>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0" name="Oval 56"/>
                          <wps:cNvSpPr>
                            <a:spLocks noChangeArrowheads="1"/>
                          </wps:cNvSpPr>
                          <wps:spPr bwMode="auto">
                            <a:xfrm>
                              <a:off x="3663950" y="2628902"/>
                              <a:ext cx="336550" cy="342898"/>
                            </a:xfrm>
                            <a:prstGeom prst="ellipse">
                              <a:avLst/>
                            </a:prstGeom>
                            <a:solidFill>
                              <a:srgbClr val="FFFFFF"/>
                            </a:solidFill>
                            <a:ln w="19050" algn="ctr">
                              <a:solidFill>
                                <a:srgbClr val="000000"/>
                              </a:solidFill>
                              <a:round/>
                              <a:headEnd/>
                              <a:tailEnd/>
                            </a:ln>
                          </wps:spPr>
                          <wps:bodyPr rot="0" vert="horz" wrap="square" lIns="91440" tIns="45720" rIns="91440" bIns="45720" anchor="ctr" anchorCtr="0" upright="1">
                            <a:noAutofit/>
                          </wps:bodyPr>
                        </wps:wsp>
                      </wpg:wgp>
                      <wps:wsp>
                        <wps:cNvPr id="131" name="Straight Arrow Connector 59"/>
                        <wps:cNvCnPr>
                          <a:cxnSpLocks noChangeShapeType="1"/>
                        </wps:cNvCnPr>
                        <wps:spPr bwMode="auto">
                          <a:xfrm>
                            <a:off x="675993" y="672783"/>
                            <a:ext cx="0" cy="362268"/>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g:wgp>
                        <wpg:cNvPr id="132" name="Group 65"/>
                        <wpg:cNvGrpSpPr>
                          <a:grpSpLocks/>
                        </wpg:cNvGrpSpPr>
                        <wpg:grpSpPr bwMode="auto">
                          <a:xfrm>
                            <a:off x="1089164" y="1656080"/>
                            <a:ext cx="342691" cy="931544"/>
                            <a:chOff x="1473287" y="1943100"/>
                            <a:chExt cx="463550" cy="1028699"/>
                          </a:xfrm>
                        </wpg:grpSpPr>
                        <wps:wsp>
                          <wps:cNvPr id="133" name="Rectangle 3"/>
                          <wps:cNvSpPr>
                            <a:spLocks noChangeArrowheads="1"/>
                          </wps:cNvSpPr>
                          <wps:spPr bwMode="auto">
                            <a:xfrm>
                              <a:off x="1479636" y="1943100"/>
                              <a:ext cx="457201" cy="800100"/>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34" name="Group 60"/>
                          <wpg:cNvGrpSpPr>
                            <a:grpSpLocks/>
                          </wpg:cNvGrpSpPr>
                          <wpg:grpSpPr bwMode="auto">
                            <a:xfrm rot="10800000">
                              <a:off x="1473287" y="2628899"/>
                              <a:ext cx="463550" cy="342900"/>
                              <a:chOff x="2628900" y="571500"/>
                              <a:chExt cx="463550" cy="342900"/>
                            </a:xfrm>
                          </wpg:grpSpPr>
                          <wps:wsp>
                            <wps:cNvPr id="135" name="Straight Connector 61"/>
                            <wps:cNvCnPr>
                              <a:cxnSpLocks noChangeShapeType="1"/>
                            </wps:cNvCnPr>
                            <wps:spPr bwMode="auto">
                              <a:xfrm flipV="1">
                                <a:off x="2628900" y="571500"/>
                                <a:ext cx="228600" cy="1143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36" name="Straight Connector 62"/>
                            <wps:cNvCnPr>
                              <a:cxnSpLocks noChangeShapeType="1"/>
                            </wps:cNvCnPr>
                            <wps:spPr bwMode="auto">
                              <a:xfrm>
                                <a:off x="2863850" y="571500"/>
                                <a:ext cx="228600" cy="1143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37" name="Straight Connector 63"/>
                            <wps:cNvCnPr>
                              <a:cxnSpLocks noChangeShapeType="1"/>
                            </wps:cNvCnPr>
                            <wps:spPr bwMode="auto">
                              <a:xfrm flipV="1">
                                <a:off x="2628900" y="685800"/>
                                <a:ext cx="0" cy="2286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138" name="Straight Connector 64"/>
                            <wps:cNvCnPr>
                              <a:cxnSpLocks noChangeShapeType="1"/>
                            </wps:cNvCnPr>
                            <wps:spPr bwMode="auto">
                              <a:xfrm flipV="1">
                                <a:off x="3086100" y="685800"/>
                                <a:ext cx="0" cy="22860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139" name="Straight Arrow Connector 67"/>
                        <wps:cNvCnPr>
                          <a:cxnSpLocks noChangeShapeType="1"/>
                        </wps:cNvCnPr>
                        <wps:spPr bwMode="auto">
                          <a:xfrm>
                            <a:off x="1262856" y="1345565"/>
                            <a:ext cx="427126" cy="0"/>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40" name="Straight Arrow Connector 68"/>
                        <wps:cNvCnPr>
                          <a:cxnSpLocks noChangeShapeType="1"/>
                        </wps:cNvCnPr>
                        <wps:spPr bwMode="auto">
                          <a:xfrm flipV="1">
                            <a:off x="1262856" y="1345565"/>
                            <a:ext cx="0" cy="310515"/>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41" name="Straight Arrow Connector 69"/>
                        <wps:cNvCnPr>
                          <a:cxnSpLocks noChangeShapeType="1"/>
                        </wps:cNvCnPr>
                        <wps:spPr bwMode="auto">
                          <a:xfrm flipV="1">
                            <a:off x="1689982" y="1345565"/>
                            <a:ext cx="0" cy="1449070"/>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42" name="Straight Arrow Connector 70"/>
                        <wps:cNvCnPr>
                          <a:cxnSpLocks noChangeShapeType="1"/>
                        </wps:cNvCnPr>
                        <wps:spPr bwMode="auto">
                          <a:xfrm>
                            <a:off x="1689982" y="2794635"/>
                            <a:ext cx="253497" cy="0"/>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43" name="Straight Arrow Connector 72"/>
                        <wps:cNvCnPr>
                          <a:cxnSpLocks noChangeShapeType="1"/>
                        </wps:cNvCnPr>
                        <wps:spPr bwMode="auto">
                          <a:xfrm flipV="1">
                            <a:off x="2117237" y="207010"/>
                            <a:ext cx="0" cy="310515"/>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44" name="Straight Arrow Connector 73"/>
                        <wps:cNvCnPr>
                          <a:cxnSpLocks noChangeShapeType="1"/>
                        </wps:cNvCnPr>
                        <wps:spPr bwMode="auto">
                          <a:xfrm>
                            <a:off x="2117237" y="207010"/>
                            <a:ext cx="591429" cy="0"/>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45" name="Straight Arrow Connector 74"/>
                        <wps:cNvCnPr>
                          <a:cxnSpLocks noChangeShapeType="1"/>
                        </wps:cNvCnPr>
                        <wps:spPr bwMode="auto">
                          <a:xfrm flipV="1">
                            <a:off x="2708666" y="207010"/>
                            <a:ext cx="0" cy="2484120"/>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46" name="Straight Arrow Connector 75"/>
                        <wps:cNvCnPr>
                          <a:cxnSpLocks noChangeShapeType="1"/>
                        </wps:cNvCnPr>
                        <wps:spPr bwMode="auto">
                          <a:xfrm>
                            <a:off x="2708666" y="2691129"/>
                            <a:ext cx="164304" cy="1"/>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47" name="Straight Arrow Connector 76"/>
                        <wps:cNvCnPr>
                          <a:cxnSpLocks noChangeShapeType="1"/>
                        </wps:cNvCnPr>
                        <wps:spPr bwMode="auto">
                          <a:xfrm>
                            <a:off x="3126467" y="2587625"/>
                            <a:ext cx="417801" cy="1"/>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48" name="Straight Arrow Connector 77"/>
                        <wps:cNvCnPr>
                          <a:cxnSpLocks noChangeShapeType="1"/>
                        </wps:cNvCnPr>
                        <wps:spPr bwMode="auto">
                          <a:xfrm flipV="1">
                            <a:off x="3727414" y="207010"/>
                            <a:ext cx="0" cy="310515"/>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49" name="Straight Arrow Connector 78"/>
                        <wps:cNvCnPr>
                          <a:cxnSpLocks noChangeShapeType="1"/>
                        </wps:cNvCnPr>
                        <wps:spPr bwMode="auto">
                          <a:xfrm flipV="1">
                            <a:off x="4985512" y="207010"/>
                            <a:ext cx="0" cy="310515"/>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50" name="Straight Arrow Connector 79"/>
                        <wps:cNvCnPr>
                          <a:cxnSpLocks noChangeShapeType="1"/>
                        </wps:cNvCnPr>
                        <wps:spPr bwMode="auto">
                          <a:xfrm>
                            <a:off x="3727414" y="207010"/>
                            <a:ext cx="591429" cy="0"/>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51" name="Straight Arrow Connector 80"/>
                        <wps:cNvCnPr>
                          <a:cxnSpLocks noChangeShapeType="1"/>
                        </wps:cNvCnPr>
                        <wps:spPr bwMode="auto">
                          <a:xfrm flipV="1">
                            <a:off x="4318843" y="207010"/>
                            <a:ext cx="4694" cy="2587625"/>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52" name="Straight Arrow Connector 81"/>
                        <wps:cNvCnPr>
                          <a:cxnSpLocks noChangeShapeType="1"/>
                        </wps:cNvCnPr>
                        <wps:spPr bwMode="auto">
                          <a:xfrm>
                            <a:off x="4309454" y="2794635"/>
                            <a:ext cx="502300" cy="1"/>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53" name="Straight Arrow Connector 82"/>
                        <wps:cNvCnPr>
                          <a:cxnSpLocks noChangeShapeType="1"/>
                        </wps:cNvCnPr>
                        <wps:spPr bwMode="auto">
                          <a:xfrm>
                            <a:off x="4999530" y="207010"/>
                            <a:ext cx="431884" cy="0"/>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54" name="Straight Arrow Connector 83"/>
                        <wps:cNvCnPr>
                          <a:cxnSpLocks noChangeShapeType="1"/>
                        </wps:cNvCnPr>
                        <wps:spPr bwMode="auto">
                          <a:xfrm flipV="1">
                            <a:off x="760492" y="1759585"/>
                            <a:ext cx="0" cy="304763"/>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55" name="Straight Arrow Connector 84"/>
                        <wps:cNvCnPr>
                          <a:cxnSpLocks noChangeShapeType="1"/>
                        </wps:cNvCnPr>
                        <wps:spPr bwMode="auto">
                          <a:xfrm>
                            <a:off x="760492" y="2064348"/>
                            <a:ext cx="328672" cy="0"/>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56" name="Straight Arrow Connector 85"/>
                        <wps:cNvCnPr>
                          <a:cxnSpLocks noChangeShapeType="1"/>
                        </wps:cNvCnPr>
                        <wps:spPr bwMode="auto">
                          <a:xfrm>
                            <a:off x="591494" y="1759585"/>
                            <a:ext cx="0" cy="1242060"/>
                          </a:xfrm>
                          <a:prstGeom prst="straightConnector1">
                            <a:avLst/>
                          </a:prstGeom>
                          <a:noFill/>
                          <a:ln w="25400" cap="rnd" algn="ctr">
                            <a:solidFill>
                              <a:srgbClr val="E46C0A"/>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57" name="Straight Arrow Connector 86"/>
                        <wps:cNvCnPr>
                          <a:cxnSpLocks noChangeShapeType="1"/>
                        </wps:cNvCnPr>
                        <wps:spPr bwMode="auto">
                          <a:xfrm flipV="1">
                            <a:off x="1262856" y="2587626"/>
                            <a:ext cx="0" cy="103506"/>
                          </a:xfrm>
                          <a:prstGeom prst="straightConnector1">
                            <a:avLst/>
                          </a:prstGeom>
                          <a:noFill/>
                          <a:ln w="25400" cap="rnd" algn="ctr">
                            <a:solidFill>
                              <a:srgbClr val="E46C0A"/>
                            </a:solidFill>
                            <a:round/>
                            <a:headEnd type="none" w="lg" len="lg"/>
                            <a:tailEnd/>
                          </a:ln>
                          <a:extLst>
                            <a:ext uri="{909E8E84-426E-40DD-AFC4-6F175D3DCCD1}">
                              <a14:hiddenFill xmlns:a14="http://schemas.microsoft.com/office/drawing/2010/main">
                                <a:noFill/>
                              </a14:hiddenFill>
                            </a:ext>
                          </a:extLst>
                        </wps:spPr>
                        <wps:bodyPr/>
                      </wps:wsp>
                      <wps:wsp>
                        <wps:cNvPr id="158" name="Straight Arrow Connector 87"/>
                        <wps:cNvCnPr>
                          <a:cxnSpLocks noChangeShapeType="1"/>
                        </wps:cNvCnPr>
                        <wps:spPr bwMode="auto">
                          <a:xfrm flipH="1">
                            <a:off x="596188" y="2691132"/>
                            <a:ext cx="666668" cy="0"/>
                          </a:xfrm>
                          <a:prstGeom prst="straightConnector1">
                            <a:avLst/>
                          </a:prstGeom>
                          <a:noFill/>
                          <a:ln w="25400" cap="rnd" algn="ctr">
                            <a:solidFill>
                              <a:srgbClr val="E46C0A"/>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59" name="Straight Arrow Connector 88"/>
                        <wps:cNvCnPr>
                          <a:cxnSpLocks noChangeShapeType="1"/>
                        </wps:cNvCnPr>
                        <wps:spPr bwMode="auto">
                          <a:xfrm>
                            <a:off x="2286170" y="2898139"/>
                            <a:ext cx="164304" cy="1"/>
                          </a:xfrm>
                          <a:prstGeom prst="straightConnector1">
                            <a:avLst/>
                          </a:prstGeom>
                          <a:noFill/>
                          <a:ln w="25400" cap="rnd" algn="ctr">
                            <a:solidFill>
                              <a:srgbClr val="E46C0A"/>
                            </a:solidFill>
                            <a:round/>
                            <a:headEnd type="none" w="lg" len="lg"/>
                            <a:tailEnd/>
                          </a:ln>
                          <a:extLst>
                            <a:ext uri="{909E8E84-426E-40DD-AFC4-6F175D3DCCD1}">
                              <a14:hiddenFill xmlns:a14="http://schemas.microsoft.com/office/drawing/2010/main">
                                <a:noFill/>
                              </a14:hiddenFill>
                            </a:ext>
                          </a:extLst>
                        </wps:spPr>
                        <wps:bodyPr/>
                      </wps:wsp>
                      <wps:wsp>
                        <wps:cNvPr id="160" name="Straight Arrow Connector 89"/>
                        <wps:cNvCnPr>
                          <a:cxnSpLocks noChangeShapeType="1"/>
                        </wps:cNvCnPr>
                        <wps:spPr bwMode="auto">
                          <a:xfrm flipH="1" flipV="1">
                            <a:off x="2450474" y="2064348"/>
                            <a:ext cx="4694" cy="833792"/>
                          </a:xfrm>
                          <a:prstGeom prst="straightConnector1">
                            <a:avLst/>
                          </a:prstGeom>
                          <a:noFill/>
                          <a:ln w="25400" cap="rnd" algn="ctr">
                            <a:solidFill>
                              <a:srgbClr val="E46C0A"/>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61" name="Straight Arrow Connector 90"/>
                        <wps:cNvCnPr>
                          <a:cxnSpLocks noChangeShapeType="1"/>
                        </wps:cNvCnPr>
                        <wps:spPr bwMode="auto">
                          <a:xfrm flipH="1" flipV="1">
                            <a:off x="2450474" y="661282"/>
                            <a:ext cx="4694" cy="1201808"/>
                          </a:xfrm>
                          <a:prstGeom prst="straightConnector1">
                            <a:avLst/>
                          </a:prstGeom>
                          <a:noFill/>
                          <a:ln w="25400" cap="rnd" algn="ctr">
                            <a:solidFill>
                              <a:srgbClr val="E46C0A"/>
                            </a:solidFill>
                            <a:round/>
                            <a:headEnd type="none" w="lg" len="lg"/>
                            <a:tailEnd/>
                          </a:ln>
                          <a:extLst>
                            <a:ext uri="{909E8E84-426E-40DD-AFC4-6F175D3DCCD1}">
                              <a14:hiddenFill xmlns:a14="http://schemas.microsoft.com/office/drawing/2010/main">
                                <a:noFill/>
                              </a14:hiddenFill>
                            </a:ext>
                          </a:extLst>
                        </wps:spPr>
                        <wps:bodyPr/>
                      </wps:wsp>
                      <wps:wsp>
                        <wps:cNvPr id="162" name="Straight Arrow Connector 91"/>
                        <wps:cNvCnPr>
                          <a:cxnSpLocks noChangeShapeType="1"/>
                        </wps:cNvCnPr>
                        <wps:spPr bwMode="auto">
                          <a:xfrm>
                            <a:off x="2117172" y="661282"/>
                            <a:ext cx="323848" cy="0"/>
                          </a:xfrm>
                          <a:prstGeom prst="straightConnector1">
                            <a:avLst/>
                          </a:prstGeom>
                          <a:noFill/>
                          <a:ln w="25400" cap="rnd" algn="ctr">
                            <a:solidFill>
                              <a:srgbClr val="E46C0A"/>
                            </a:solidFill>
                            <a:round/>
                            <a:headEnd type="none" w="lg" len="lg"/>
                            <a:tailEnd/>
                          </a:ln>
                          <a:extLst>
                            <a:ext uri="{909E8E84-426E-40DD-AFC4-6F175D3DCCD1}">
                              <a14:hiddenFill xmlns:a14="http://schemas.microsoft.com/office/drawing/2010/main">
                                <a:noFill/>
                              </a14:hiddenFill>
                            </a:ext>
                          </a:extLst>
                        </wps:spPr>
                        <wps:bodyPr/>
                      </wps:wsp>
                      <wps:wsp>
                        <wps:cNvPr id="163" name="Straight Arrow Connector 92"/>
                        <wps:cNvCnPr>
                          <a:cxnSpLocks noChangeShapeType="1"/>
                        </wps:cNvCnPr>
                        <wps:spPr bwMode="auto">
                          <a:xfrm>
                            <a:off x="2117237" y="661282"/>
                            <a:ext cx="0" cy="166758"/>
                          </a:xfrm>
                          <a:prstGeom prst="straightConnector1">
                            <a:avLst/>
                          </a:prstGeom>
                          <a:noFill/>
                          <a:ln w="25400" cap="rnd" algn="ctr">
                            <a:solidFill>
                              <a:srgbClr val="E46C0A"/>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64" name="Straight Arrow Connector 93"/>
                        <wps:cNvCnPr>
                          <a:cxnSpLocks noChangeShapeType="1"/>
                        </wps:cNvCnPr>
                        <wps:spPr bwMode="auto">
                          <a:xfrm>
                            <a:off x="3713266" y="672783"/>
                            <a:ext cx="0" cy="166758"/>
                          </a:xfrm>
                          <a:prstGeom prst="straightConnector1">
                            <a:avLst/>
                          </a:prstGeom>
                          <a:noFill/>
                          <a:ln w="25400" cap="rnd" algn="ctr">
                            <a:solidFill>
                              <a:srgbClr val="E46C0A"/>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65" name="Straight Arrow Connector 94"/>
                        <wps:cNvCnPr>
                          <a:cxnSpLocks noChangeShapeType="1"/>
                        </wps:cNvCnPr>
                        <wps:spPr bwMode="auto">
                          <a:xfrm>
                            <a:off x="4980752" y="672783"/>
                            <a:ext cx="0" cy="166758"/>
                          </a:xfrm>
                          <a:prstGeom prst="straightConnector1">
                            <a:avLst/>
                          </a:prstGeom>
                          <a:noFill/>
                          <a:ln w="25400" cap="rnd" algn="ctr">
                            <a:solidFill>
                              <a:srgbClr val="E46C0A"/>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66" name="Straight Arrow Connector 95"/>
                        <wps:cNvCnPr>
                          <a:cxnSpLocks noChangeShapeType="1"/>
                        </wps:cNvCnPr>
                        <wps:spPr bwMode="auto">
                          <a:xfrm>
                            <a:off x="3717960" y="662719"/>
                            <a:ext cx="344974" cy="0"/>
                          </a:xfrm>
                          <a:prstGeom prst="straightConnector1">
                            <a:avLst/>
                          </a:prstGeom>
                          <a:noFill/>
                          <a:ln w="25400" cap="rnd" algn="ctr">
                            <a:solidFill>
                              <a:srgbClr val="E46C0A"/>
                            </a:solidFill>
                            <a:round/>
                            <a:headEnd type="none" w="lg" len="lg"/>
                            <a:tailEnd/>
                          </a:ln>
                          <a:extLst>
                            <a:ext uri="{909E8E84-426E-40DD-AFC4-6F175D3DCCD1}">
                              <a14:hiddenFill xmlns:a14="http://schemas.microsoft.com/office/drawing/2010/main">
                                <a:noFill/>
                              </a14:hiddenFill>
                            </a:ext>
                          </a:extLst>
                        </wps:spPr>
                        <wps:bodyPr/>
                      </wps:wsp>
                      <wps:wsp>
                        <wps:cNvPr id="167" name="Straight Arrow Connector 97"/>
                        <wps:cNvCnPr>
                          <a:cxnSpLocks noChangeShapeType="1"/>
                        </wps:cNvCnPr>
                        <wps:spPr bwMode="auto">
                          <a:xfrm flipV="1">
                            <a:off x="4062935" y="672783"/>
                            <a:ext cx="0" cy="2221047"/>
                          </a:xfrm>
                          <a:prstGeom prst="straightConnector1">
                            <a:avLst/>
                          </a:prstGeom>
                          <a:noFill/>
                          <a:ln w="25400" cap="rnd" algn="ctr">
                            <a:solidFill>
                              <a:srgbClr val="E46C0A"/>
                            </a:solidFill>
                            <a:round/>
                            <a:headEnd type="none" w="lg" len="lg"/>
                            <a:tailEnd/>
                          </a:ln>
                          <a:extLst>
                            <a:ext uri="{909E8E84-426E-40DD-AFC4-6F175D3DCCD1}">
                              <a14:hiddenFill xmlns:a14="http://schemas.microsoft.com/office/drawing/2010/main">
                                <a:noFill/>
                              </a14:hiddenFill>
                            </a:ext>
                          </a:extLst>
                        </wps:spPr>
                        <wps:bodyPr/>
                      </wps:wsp>
                      <wps:wsp>
                        <wps:cNvPr id="168" name="Straight Arrow Connector 98"/>
                        <wps:cNvCnPr>
                          <a:cxnSpLocks noChangeShapeType="1"/>
                        </wps:cNvCnPr>
                        <wps:spPr bwMode="auto">
                          <a:xfrm>
                            <a:off x="3898629" y="2898142"/>
                            <a:ext cx="164304" cy="1"/>
                          </a:xfrm>
                          <a:prstGeom prst="straightConnector1">
                            <a:avLst/>
                          </a:prstGeom>
                          <a:noFill/>
                          <a:ln w="25400" cap="rnd" algn="ctr">
                            <a:solidFill>
                              <a:srgbClr val="E46C0A"/>
                            </a:solidFill>
                            <a:round/>
                            <a:headEnd type="none" w="lg" len="lg"/>
                            <a:tailEnd/>
                          </a:ln>
                          <a:extLst>
                            <a:ext uri="{909E8E84-426E-40DD-AFC4-6F175D3DCCD1}">
                              <a14:hiddenFill xmlns:a14="http://schemas.microsoft.com/office/drawing/2010/main">
                                <a:noFill/>
                              </a14:hiddenFill>
                            </a:ext>
                          </a:extLst>
                        </wps:spPr>
                        <wps:bodyPr/>
                      </wps:wsp>
                      <wps:wsp>
                        <wps:cNvPr id="169" name="Straight Arrow Connector 99"/>
                        <wps:cNvCnPr>
                          <a:cxnSpLocks noChangeShapeType="1"/>
                        </wps:cNvCnPr>
                        <wps:spPr bwMode="auto">
                          <a:xfrm>
                            <a:off x="5159139" y="2893829"/>
                            <a:ext cx="164304" cy="1"/>
                          </a:xfrm>
                          <a:prstGeom prst="straightConnector1">
                            <a:avLst/>
                          </a:prstGeom>
                          <a:noFill/>
                          <a:ln w="25400" cap="rnd" algn="ctr">
                            <a:solidFill>
                              <a:srgbClr val="E46C0A"/>
                            </a:solidFill>
                            <a:round/>
                            <a:headEnd type="none" w="lg" len="lg"/>
                            <a:tailEnd/>
                          </a:ln>
                          <a:extLst>
                            <a:ext uri="{909E8E84-426E-40DD-AFC4-6F175D3DCCD1}">
                              <a14:hiddenFill xmlns:a14="http://schemas.microsoft.com/office/drawing/2010/main">
                                <a:noFill/>
                              </a14:hiddenFill>
                            </a:ext>
                          </a:extLst>
                        </wps:spPr>
                        <wps:bodyPr/>
                      </wps:wsp>
                      <wps:wsp>
                        <wps:cNvPr id="170" name="Straight Arrow Connector 101"/>
                        <wps:cNvCnPr>
                          <a:cxnSpLocks noChangeShapeType="1"/>
                        </wps:cNvCnPr>
                        <wps:spPr bwMode="auto">
                          <a:xfrm flipV="1">
                            <a:off x="4980752" y="661282"/>
                            <a:ext cx="342627" cy="1437"/>
                          </a:xfrm>
                          <a:prstGeom prst="straightConnector1">
                            <a:avLst/>
                          </a:prstGeom>
                          <a:noFill/>
                          <a:ln w="25400" cap="rnd" algn="ctr">
                            <a:solidFill>
                              <a:srgbClr val="E46C0A"/>
                            </a:solidFill>
                            <a:round/>
                            <a:headEnd type="none" w="lg" len="lg"/>
                            <a:tailEnd/>
                          </a:ln>
                          <a:extLst>
                            <a:ext uri="{909E8E84-426E-40DD-AFC4-6F175D3DCCD1}">
                              <a14:hiddenFill xmlns:a14="http://schemas.microsoft.com/office/drawing/2010/main">
                                <a:noFill/>
                              </a14:hiddenFill>
                            </a:ext>
                          </a:extLst>
                        </wps:spPr>
                        <wps:bodyPr/>
                      </wps:wsp>
                      <wps:wsp>
                        <wps:cNvPr id="171" name="Straight Arrow Connector 102"/>
                        <wps:cNvCnPr>
                          <a:cxnSpLocks noChangeShapeType="1"/>
                        </wps:cNvCnPr>
                        <wps:spPr bwMode="auto">
                          <a:xfrm flipV="1">
                            <a:off x="5323380" y="662719"/>
                            <a:ext cx="64" cy="2219610"/>
                          </a:xfrm>
                          <a:prstGeom prst="straightConnector1">
                            <a:avLst/>
                          </a:prstGeom>
                          <a:noFill/>
                          <a:ln w="25400" cap="rnd" algn="ctr">
                            <a:solidFill>
                              <a:srgbClr val="E46C0A"/>
                            </a:solidFill>
                            <a:round/>
                            <a:headEnd type="none" w="lg" len="lg"/>
                            <a:tailEnd/>
                          </a:ln>
                          <a:extLst>
                            <a:ext uri="{909E8E84-426E-40DD-AFC4-6F175D3DCCD1}">
                              <a14:hiddenFill xmlns:a14="http://schemas.microsoft.com/office/drawing/2010/main">
                                <a:noFill/>
                              </a14:hiddenFill>
                            </a:ext>
                          </a:extLst>
                        </wps:spPr>
                        <wps:bodyPr/>
                      </wps:wsp>
                      <wps:wsp>
                        <wps:cNvPr id="172" name="Straight Arrow Connector 107"/>
                        <wps:cNvCnPr>
                          <a:cxnSpLocks noChangeShapeType="1"/>
                        </wps:cNvCnPr>
                        <wps:spPr bwMode="auto">
                          <a:xfrm>
                            <a:off x="597685" y="3415665"/>
                            <a:ext cx="4383067" cy="0"/>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73" name="Straight Arrow Connector 108"/>
                        <wps:cNvCnPr>
                          <a:cxnSpLocks noChangeShapeType="1"/>
                        </wps:cNvCnPr>
                        <wps:spPr bwMode="auto">
                          <a:xfrm>
                            <a:off x="2107783" y="3208656"/>
                            <a:ext cx="0" cy="207009"/>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74" name="Straight Arrow Connector 109"/>
                        <wps:cNvCnPr>
                          <a:cxnSpLocks noChangeShapeType="1"/>
                        </wps:cNvCnPr>
                        <wps:spPr bwMode="auto">
                          <a:xfrm>
                            <a:off x="3717960" y="3208655"/>
                            <a:ext cx="0" cy="207009"/>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75" name="Straight Arrow Connector 110"/>
                        <wps:cNvCnPr>
                          <a:cxnSpLocks noChangeShapeType="1"/>
                        </wps:cNvCnPr>
                        <wps:spPr bwMode="auto">
                          <a:xfrm>
                            <a:off x="4990141" y="3208658"/>
                            <a:ext cx="0" cy="207009"/>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76" name="Straight Arrow Connector 111"/>
                        <wps:cNvCnPr>
                          <a:cxnSpLocks noChangeShapeType="1"/>
                        </wps:cNvCnPr>
                        <wps:spPr bwMode="auto">
                          <a:xfrm flipH="1">
                            <a:off x="591494" y="3415665"/>
                            <a:ext cx="6191" cy="310515"/>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77" name="Straight Arrow Connector 112"/>
                        <wps:cNvCnPr>
                          <a:cxnSpLocks noChangeShapeType="1"/>
                        </wps:cNvCnPr>
                        <wps:spPr bwMode="auto">
                          <a:xfrm flipV="1">
                            <a:off x="3633461" y="3105153"/>
                            <a:ext cx="0" cy="517522"/>
                          </a:xfrm>
                          <a:prstGeom prst="straightConnector1">
                            <a:avLst/>
                          </a:prstGeom>
                          <a:noFill/>
                          <a:ln w="25400" cap="rnd" algn="ctr">
                            <a:solidFill>
                              <a:srgbClr val="8064A2"/>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78" name="Straight Arrow Connector 113"/>
                        <wps:cNvCnPr>
                          <a:cxnSpLocks noChangeShapeType="1"/>
                        </wps:cNvCnPr>
                        <wps:spPr bwMode="auto">
                          <a:xfrm flipV="1">
                            <a:off x="4900948" y="3105153"/>
                            <a:ext cx="0" cy="517525"/>
                          </a:xfrm>
                          <a:prstGeom prst="straightConnector1">
                            <a:avLst/>
                          </a:prstGeom>
                          <a:noFill/>
                          <a:ln w="25400" cap="rnd" algn="ctr">
                            <a:solidFill>
                              <a:srgbClr val="8064A2"/>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79" name="Straight Arrow Connector 114"/>
                        <wps:cNvCnPr>
                          <a:cxnSpLocks noChangeShapeType="1"/>
                        </wps:cNvCnPr>
                        <wps:spPr bwMode="auto">
                          <a:xfrm flipV="1">
                            <a:off x="2027978" y="3629657"/>
                            <a:ext cx="3210966" cy="3"/>
                          </a:xfrm>
                          <a:prstGeom prst="straightConnector1">
                            <a:avLst/>
                          </a:prstGeom>
                          <a:noFill/>
                          <a:ln w="25400" cap="rnd" algn="ctr">
                            <a:solidFill>
                              <a:srgbClr val="8064A2"/>
                            </a:solidFill>
                            <a:round/>
                            <a:headEnd type="none" w="lg" len="lg"/>
                            <a:tailEnd/>
                          </a:ln>
                          <a:extLst>
                            <a:ext uri="{909E8E84-426E-40DD-AFC4-6F175D3DCCD1}">
                              <a14:hiddenFill xmlns:a14="http://schemas.microsoft.com/office/drawing/2010/main">
                                <a:noFill/>
                              </a14:hiddenFill>
                            </a:ext>
                          </a:extLst>
                        </wps:spPr>
                        <wps:bodyPr/>
                      </wps:wsp>
                      <wps:wsp>
                        <wps:cNvPr id="180" name="Straight Arrow Connector 103"/>
                        <wps:cNvCnPr>
                          <a:cxnSpLocks noChangeShapeType="1"/>
                        </wps:cNvCnPr>
                        <wps:spPr bwMode="auto">
                          <a:xfrm flipV="1">
                            <a:off x="2027978" y="3105150"/>
                            <a:ext cx="0" cy="517528"/>
                          </a:xfrm>
                          <a:prstGeom prst="straightConnector1">
                            <a:avLst/>
                          </a:prstGeom>
                          <a:noFill/>
                          <a:ln w="25400" cap="rnd" algn="ctr">
                            <a:solidFill>
                              <a:srgbClr val="8064A2"/>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81" name="Straight Arrow Connector 115"/>
                        <wps:cNvCnPr>
                          <a:cxnSpLocks noChangeShapeType="1"/>
                        </wps:cNvCnPr>
                        <wps:spPr bwMode="auto">
                          <a:xfrm>
                            <a:off x="844991" y="4347210"/>
                            <a:ext cx="164304" cy="1"/>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82" name="Straight Arrow Connector 116"/>
                        <wps:cNvCnPr>
                          <a:cxnSpLocks noChangeShapeType="1"/>
                        </wps:cNvCnPr>
                        <wps:spPr bwMode="auto">
                          <a:xfrm flipV="1">
                            <a:off x="1018684" y="3935733"/>
                            <a:ext cx="0" cy="411479"/>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83" name="Straight Arrow Connector 117"/>
                        <wps:cNvCnPr>
                          <a:cxnSpLocks noChangeShapeType="1"/>
                        </wps:cNvCnPr>
                        <wps:spPr bwMode="auto">
                          <a:xfrm flipV="1">
                            <a:off x="1018684" y="3933190"/>
                            <a:ext cx="1168839" cy="2543"/>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84" name="Straight Arrow Connector 118"/>
                        <wps:cNvCnPr>
                          <a:cxnSpLocks noChangeShapeType="1"/>
                        </wps:cNvCnPr>
                        <wps:spPr bwMode="auto">
                          <a:xfrm>
                            <a:off x="1520984" y="3935733"/>
                            <a:ext cx="0" cy="204467"/>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85" name="Straight Arrow Connector 119"/>
                        <wps:cNvCnPr>
                          <a:cxnSpLocks noChangeShapeType="1"/>
                        </wps:cNvCnPr>
                        <wps:spPr bwMode="auto">
                          <a:xfrm>
                            <a:off x="2200087" y="3935733"/>
                            <a:ext cx="0" cy="204467"/>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86" name="Straight Arrow Connector 120"/>
                        <wps:cNvCnPr>
                          <a:cxnSpLocks noChangeShapeType="1"/>
                        </wps:cNvCnPr>
                        <wps:spPr bwMode="auto">
                          <a:xfrm>
                            <a:off x="1689982" y="4450715"/>
                            <a:ext cx="337996" cy="0"/>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87" name="Straight Arrow Connector 121"/>
                        <wps:cNvCnPr>
                          <a:cxnSpLocks noChangeShapeType="1"/>
                        </wps:cNvCnPr>
                        <wps:spPr bwMode="auto">
                          <a:xfrm flipV="1">
                            <a:off x="2365975" y="4456430"/>
                            <a:ext cx="253497" cy="1"/>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88" name="Straight Arrow Connector 122"/>
                        <wps:cNvCnPr>
                          <a:cxnSpLocks noChangeShapeType="1"/>
                        </wps:cNvCnPr>
                        <wps:spPr bwMode="auto">
                          <a:xfrm flipV="1">
                            <a:off x="2619472" y="3935733"/>
                            <a:ext cx="0" cy="724535"/>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89" name="Straight Arrow Connector 123"/>
                        <wps:cNvCnPr>
                          <a:cxnSpLocks noChangeShapeType="1"/>
                        </wps:cNvCnPr>
                        <wps:spPr bwMode="auto">
                          <a:xfrm flipV="1">
                            <a:off x="2619472" y="3933190"/>
                            <a:ext cx="244109" cy="2543"/>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90" name="Straight Arrow Connector 124"/>
                        <wps:cNvCnPr>
                          <a:cxnSpLocks noChangeShapeType="1"/>
                        </wps:cNvCnPr>
                        <wps:spPr bwMode="auto">
                          <a:xfrm>
                            <a:off x="2872969" y="3935733"/>
                            <a:ext cx="0" cy="207010"/>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91" name="Straight Arrow Connector 125"/>
                        <wps:cNvCnPr>
                          <a:cxnSpLocks noChangeShapeType="1"/>
                        </wps:cNvCnPr>
                        <wps:spPr bwMode="auto">
                          <a:xfrm>
                            <a:off x="1858980" y="4657725"/>
                            <a:ext cx="760492" cy="0"/>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92" name="Straight Arrow Connector 126"/>
                        <wps:cNvCnPr>
                          <a:cxnSpLocks noChangeShapeType="1"/>
                        </wps:cNvCnPr>
                        <wps:spPr bwMode="auto">
                          <a:xfrm flipH="1" flipV="1">
                            <a:off x="1857454" y="4450716"/>
                            <a:ext cx="1527" cy="207009"/>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93" name="Straight Arrow Connector 127"/>
                        <wps:cNvCnPr>
                          <a:cxnSpLocks noChangeShapeType="1"/>
                        </wps:cNvCnPr>
                        <wps:spPr bwMode="auto">
                          <a:xfrm>
                            <a:off x="3051421" y="4450715"/>
                            <a:ext cx="582040" cy="5716"/>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94" name="Straight Arrow Connector 130"/>
                        <wps:cNvCnPr>
                          <a:cxnSpLocks noChangeShapeType="1"/>
                        </wps:cNvCnPr>
                        <wps:spPr bwMode="auto">
                          <a:xfrm>
                            <a:off x="4478452" y="4243706"/>
                            <a:ext cx="333302" cy="0"/>
                          </a:xfrm>
                          <a:prstGeom prst="straightConnector1">
                            <a:avLst/>
                          </a:prstGeom>
                          <a:noFill/>
                          <a:ln w="25400" cap="rnd" algn="ctr">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195" name="Straight Arrow Connector 131"/>
                        <wps:cNvCnPr>
                          <a:cxnSpLocks noChangeShapeType="1"/>
                        </wps:cNvCnPr>
                        <wps:spPr bwMode="auto">
                          <a:xfrm flipV="1">
                            <a:off x="4811755" y="3829685"/>
                            <a:ext cx="4694" cy="408934"/>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96" name="Straight Arrow Connector 132"/>
                        <wps:cNvCnPr>
                          <a:cxnSpLocks noChangeShapeType="1"/>
                        </wps:cNvCnPr>
                        <wps:spPr bwMode="auto">
                          <a:xfrm>
                            <a:off x="5492441" y="3834768"/>
                            <a:ext cx="0" cy="207009"/>
                          </a:xfrm>
                          <a:prstGeom prst="straightConnector1">
                            <a:avLst/>
                          </a:prstGeom>
                          <a:noFill/>
                          <a:ln w="25400" cap="rnd" algn="ctr">
                            <a:solidFill>
                              <a:srgbClr val="C00000"/>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97" name="Straight Arrow Connector 133"/>
                        <wps:cNvCnPr>
                          <a:cxnSpLocks noChangeShapeType="1"/>
                        </wps:cNvCnPr>
                        <wps:spPr bwMode="auto">
                          <a:xfrm>
                            <a:off x="1774481" y="3834768"/>
                            <a:ext cx="3717960" cy="0"/>
                          </a:xfrm>
                          <a:prstGeom prst="straightConnector1">
                            <a:avLst/>
                          </a:prstGeom>
                          <a:noFill/>
                          <a:ln w="25400" cap="rnd" algn="ctr">
                            <a:solidFill>
                              <a:srgbClr val="C00000"/>
                            </a:solidFill>
                            <a:round/>
                            <a:headEnd type="none" w="lg" len="lg"/>
                            <a:tailEnd/>
                          </a:ln>
                          <a:extLst>
                            <a:ext uri="{909E8E84-426E-40DD-AFC4-6F175D3DCCD1}">
                              <a14:hiddenFill xmlns:a14="http://schemas.microsoft.com/office/drawing/2010/main">
                                <a:noFill/>
                              </a14:hiddenFill>
                            </a:ext>
                          </a:extLst>
                        </wps:spPr>
                        <wps:bodyPr/>
                      </wps:wsp>
                      <wps:wsp>
                        <wps:cNvPr id="198" name="Straight Arrow Connector 134"/>
                        <wps:cNvCnPr>
                          <a:cxnSpLocks noChangeShapeType="1"/>
                        </wps:cNvCnPr>
                        <wps:spPr bwMode="auto">
                          <a:xfrm flipV="1">
                            <a:off x="1774481" y="3829686"/>
                            <a:ext cx="0" cy="517524"/>
                          </a:xfrm>
                          <a:prstGeom prst="straightConnector1">
                            <a:avLst/>
                          </a:prstGeom>
                          <a:noFill/>
                          <a:ln w="25400" cap="rnd" algn="ctr">
                            <a:solidFill>
                              <a:srgbClr val="C00000"/>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99" name="Straight Arrow Connector 135"/>
                        <wps:cNvCnPr>
                          <a:cxnSpLocks noChangeShapeType="1"/>
                        </wps:cNvCnPr>
                        <wps:spPr bwMode="auto">
                          <a:xfrm flipV="1">
                            <a:off x="2450474" y="3837944"/>
                            <a:ext cx="0" cy="509266"/>
                          </a:xfrm>
                          <a:prstGeom prst="straightConnector1">
                            <a:avLst/>
                          </a:prstGeom>
                          <a:noFill/>
                          <a:ln w="25400" cap="rnd" algn="ctr">
                            <a:solidFill>
                              <a:srgbClr val="C00000"/>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00" name="Straight Arrow Connector 136"/>
                        <wps:cNvCnPr>
                          <a:cxnSpLocks noChangeShapeType="1"/>
                        </wps:cNvCnPr>
                        <wps:spPr bwMode="auto">
                          <a:xfrm flipV="1">
                            <a:off x="3126467" y="3837944"/>
                            <a:ext cx="0" cy="509268"/>
                          </a:xfrm>
                          <a:prstGeom prst="straightConnector1">
                            <a:avLst/>
                          </a:prstGeom>
                          <a:noFill/>
                          <a:ln w="25400" cap="rnd" algn="ctr">
                            <a:solidFill>
                              <a:srgbClr val="C00000"/>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01" name="Straight Arrow Connector 137"/>
                        <wps:cNvCnPr>
                          <a:cxnSpLocks noChangeShapeType="1"/>
                        </wps:cNvCnPr>
                        <wps:spPr bwMode="auto">
                          <a:xfrm flipV="1">
                            <a:off x="1693711" y="4347210"/>
                            <a:ext cx="80770" cy="1"/>
                          </a:xfrm>
                          <a:prstGeom prst="straightConnector1">
                            <a:avLst/>
                          </a:prstGeom>
                          <a:noFill/>
                          <a:ln w="25400" cap="rnd" algn="ctr">
                            <a:solidFill>
                              <a:srgbClr val="C00000"/>
                            </a:solidFill>
                            <a:round/>
                            <a:headEnd type="none" w="lg" len="lg"/>
                            <a:tailEnd/>
                          </a:ln>
                          <a:extLst>
                            <a:ext uri="{909E8E84-426E-40DD-AFC4-6F175D3DCCD1}">
                              <a14:hiddenFill xmlns:a14="http://schemas.microsoft.com/office/drawing/2010/main">
                                <a:noFill/>
                              </a14:hiddenFill>
                            </a:ext>
                          </a:extLst>
                        </wps:spPr>
                        <wps:bodyPr/>
                      </wps:wsp>
                      <wps:wsp>
                        <wps:cNvPr id="202" name="Straight Arrow Connector 138"/>
                        <wps:cNvCnPr>
                          <a:cxnSpLocks noChangeShapeType="1"/>
                        </wps:cNvCnPr>
                        <wps:spPr bwMode="auto">
                          <a:xfrm>
                            <a:off x="2374398" y="4347212"/>
                            <a:ext cx="66622" cy="0"/>
                          </a:xfrm>
                          <a:prstGeom prst="straightConnector1">
                            <a:avLst/>
                          </a:prstGeom>
                          <a:noFill/>
                          <a:ln w="25400" cap="rnd" algn="ctr">
                            <a:solidFill>
                              <a:srgbClr val="C00000"/>
                            </a:solidFill>
                            <a:round/>
                            <a:headEnd type="none" w="lg" len="lg"/>
                            <a:tailEnd/>
                          </a:ln>
                          <a:extLst>
                            <a:ext uri="{909E8E84-426E-40DD-AFC4-6F175D3DCCD1}">
                              <a14:hiddenFill xmlns:a14="http://schemas.microsoft.com/office/drawing/2010/main">
                                <a:noFill/>
                              </a14:hiddenFill>
                            </a:ext>
                          </a:extLst>
                        </wps:spPr>
                        <wps:bodyPr/>
                      </wps:wsp>
                      <wps:wsp>
                        <wps:cNvPr id="203" name="Straight Arrow Connector 139"/>
                        <wps:cNvCnPr>
                          <a:cxnSpLocks noChangeShapeType="1"/>
                        </wps:cNvCnPr>
                        <wps:spPr bwMode="auto">
                          <a:xfrm>
                            <a:off x="3059845" y="4347210"/>
                            <a:ext cx="66622" cy="0"/>
                          </a:xfrm>
                          <a:prstGeom prst="straightConnector1">
                            <a:avLst/>
                          </a:prstGeom>
                          <a:noFill/>
                          <a:ln w="25400" cap="rnd" algn="ctr">
                            <a:solidFill>
                              <a:srgbClr val="C00000"/>
                            </a:solidFill>
                            <a:round/>
                            <a:headEnd type="none" w="lg" len="lg"/>
                            <a:tailEnd/>
                          </a:ln>
                          <a:extLst>
                            <a:ext uri="{909E8E84-426E-40DD-AFC4-6F175D3DCCD1}">
                              <a14:hiddenFill xmlns:a14="http://schemas.microsoft.com/office/drawing/2010/main">
                                <a:noFill/>
                              </a14:hiddenFill>
                            </a:ext>
                          </a:extLst>
                        </wps:spPr>
                        <wps:bodyPr/>
                      </wps:wsp>
                      <wps:wsp>
                        <wps:cNvPr id="204" name="Straight Arrow Connector 140"/>
                        <wps:cNvCnPr>
                          <a:cxnSpLocks noChangeShapeType="1"/>
                        </wps:cNvCnPr>
                        <wps:spPr bwMode="auto">
                          <a:xfrm>
                            <a:off x="4062935" y="4554220"/>
                            <a:ext cx="0" cy="204467"/>
                          </a:xfrm>
                          <a:prstGeom prst="straightConnector1">
                            <a:avLst/>
                          </a:prstGeom>
                          <a:noFill/>
                          <a:ln w="25400" cap="rnd" algn="ctr">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05" name="Straight Arrow Connector 141"/>
                        <wps:cNvCnPr>
                          <a:cxnSpLocks noChangeShapeType="1"/>
                        </wps:cNvCnPr>
                        <wps:spPr bwMode="auto">
                          <a:xfrm flipV="1">
                            <a:off x="3295465" y="2794635"/>
                            <a:ext cx="0" cy="304763"/>
                          </a:xfrm>
                          <a:prstGeom prst="straightConnector1">
                            <a:avLst/>
                          </a:prstGeom>
                          <a:noFill/>
                          <a:ln w="25400" cap="rnd" algn="ctr">
                            <a:solidFill>
                              <a:srgbClr val="00B050"/>
                            </a:solidFill>
                            <a:round/>
                            <a:headEnd type="none" w="lg" len="lg"/>
                            <a:tailEnd/>
                          </a:ln>
                          <a:extLst>
                            <a:ext uri="{909E8E84-426E-40DD-AFC4-6F175D3DCCD1}">
                              <a14:hiddenFill xmlns:a14="http://schemas.microsoft.com/office/drawing/2010/main">
                                <a:noFill/>
                              </a14:hiddenFill>
                            </a:ext>
                          </a:extLst>
                        </wps:spPr>
                        <wps:bodyPr/>
                      </wps:wsp>
                      <wps:wsp>
                        <wps:cNvPr id="206" name="Straight Arrow Connector 142"/>
                        <wps:cNvCnPr>
                          <a:cxnSpLocks noChangeShapeType="1"/>
                        </wps:cNvCnPr>
                        <wps:spPr bwMode="auto">
                          <a:xfrm>
                            <a:off x="3301196" y="2794636"/>
                            <a:ext cx="243072" cy="0"/>
                          </a:xfrm>
                          <a:prstGeom prst="straightConnector1">
                            <a:avLst/>
                          </a:prstGeom>
                          <a:noFill/>
                          <a:ln w="25400" cap="rnd" algn="ctr">
                            <a:solidFill>
                              <a:srgbClr val="00B050"/>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07" name="Straight Arrow Connector 143"/>
                        <wps:cNvCnPr>
                          <a:cxnSpLocks noChangeShapeType="1"/>
                        </wps:cNvCnPr>
                        <wps:spPr bwMode="auto">
                          <a:xfrm>
                            <a:off x="1431855" y="3726180"/>
                            <a:ext cx="849620" cy="0"/>
                          </a:xfrm>
                          <a:prstGeom prst="straightConnector1">
                            <a:avLst/>
                          </a:prstGeom>
                          <a:noFill/>
                          <a:ln w="25400" cap="rnd" algn="ctr">
                            <a:solidFill>
                              <a:srgbClr val="1F497D"/>
                            </a:solidFill>
                            <a:round/>
                            <a:headEnd type="none" w="lg" len="lg"/>
                            <a:tailEnd/>
                          </a:ln>
                          <a:extLst>
                            <a:ext uri="{909E8E84-426E-40DD-AFC4-6F175D3DCCD1}">
                              <a14:hiddenFill xmlns:a14="http://schemas.microsoft.com/office/drawing/2010/main">
                                <a:noFill/>
                              </a14:hiddenFill>
                            </a:ext>
                          </a:extLst>
                        </wps:spPr>
                        <wps:bodyPr/>
                      </wps:wsp>
                      <wps:wsp>
                        <wps:cNvPr id="208" name="Straight Arrow Connector 144"/>
                        <wps:cNvCnPr>
                          <a:cxnSpLocks noChangeShapeType="1"/>
                        </wps:cNvCnPr>
                        <wps:spPr bwMode="auto">
                          <a:xfrm flipH="1">
                            <a:off x="2273730" y="3731262"/>
                            <a:ext cx="6191" cy="408938"/>
                          </a:xfrm>
                          <a:prstGeom prst="straightConnector1">
                            <a:avLst/>
                          </a:prstGeom>
                          <a:noFill/>
                          <a:ln w="25400" cap="rnd" algn="ctr">
                            <a:solidFill>
                              <a:srgbClr val="1F497D"/>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09" name="Straight Arrow Connector 145"/>
                        <wps:cNvCnPr>
                          <a:cxnSpLocks noChangeShapeType="1"/>
                        </wps:cNvCnPr>
                        <wps:spPr bwMode="auto">
                          <a:xfrm>
                            <a:off x="1599292" y="3726180"/>
                            <a:ext cx="0" cy="402589"/>
                          </a:xfrm>
                          <a:prstGeom prst="straightConnector1">
                            <a:avLst/>
                          </a:prstGeom>
                          <a:noFill/>
                          <a:ln w="25400" cap="rnd" algn="ctr">
                            <a:solidFill>
                              <a:srgbClr val="1F497D"/>
                            </a:solidFill>
                            <a:round/>
                            <a:headEnd type="none" w="lg" len="lg"/>
                            <a:tailEnd type="triangle" w="med" len="med"/>
                          </a:ln>
                          <a:extLst>
                            <a:ext uri="{909E8E84-426E-40DD-AFC4-6F175D3DCCD1}">
                              <a14:hiddenFill xmlns:a14="http://schemas.microsoft.com/office/drawing/2010/main">
                                <a:noFill/>
                              </a14:hiddenFill>
                            </a:ext>
                          </a:extLst>
                        </wps:spPr>
                        <wps:bodyPr/>
                      </wps:wsp>
                      <wps:wsp>
                        <wps:cNvPr id="210" name="Text Box 79"/>
                        <wps:cNvSpPr txBox="1">
                          <a:spLocks noChangeArrowheads="1"/>
                        </wps:cNvSpPr>
                        <wps:spPr bwMode="auto">
                          <a:xfrm>
                            <a:off x="220345" y="47803"/>
                            <a:ext cx="1098550" cy="57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6E2C6D" w:rsidRDefault="00670B40" w:rsidP="00335E4B">
                              <w:pPr>
                                <w:pStyle w:val="NormalWeb"/>
                                <w:bidi/>
                                <w:spacing w:before="0" w:beforeAutospacing="0" w:after="200" w:afterAutospacing="0" w:line="240" w:lineRule="exact"/>
                                <w:jc w:val="center"/>
                                <w:rPr>
                                  <w:rFonts w:ascii="Traditional Arabic" w:hAnsi="Traditional Arabic" w:cs="Traditional Arabic"/>
                                </w:rPr>
                              </w:pPr>
                              <w:r w:rsidRPr="006E2C6D">
                                <w:rPr>
                                  <w:rFonts w:ascii="Traditional Arabic" w:eastAsia="Calibri" w:hAnsi="Traditional Arabic" w:cs="Traditional Arabic"/>
                                  <w:rtl/>
                                  <w:lang w:val="en-CA"/>
                                </w:rPr>
                                <w:t xml:space="preserve">الغاز الناجم عن جهاز التحميص من زوابع الغبار </w:t>
                              </w:r>
                            </w:p>
                          </w:txbxContent>
                        </wps:txbx>
                        <wps:bodyPr rot="0" vert="horz" wrap="square" lIns="91440" tIns="45720" rIns="91440" bIns="45720" anchor="t" anchorCtr="0" upright="1">
                          <a:noAutofit/>
                        </wps:bodyPr>
                      </wps:wsp>
                      <wps:wsp>
                        <wps:cNvPr id="211" name="Text Box 79"/>
                        <wps:cNvSpPr txBox="1">
                          <a:spLocks noChangeArrowheads="1"/>
                        </wps:cNvSpPr>
                        <wps:spPr bwMode="auto">
                          <a:xfrm>
                            <a:off x="444331" y="1035050"/>
                            <a:ext cx="53596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6E2C6D" w:rsidRDefault="00670B40"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6E2C6D">
                                <w:rPr>
                                  <w:rFonts w:ascii="Traditional Arabic" w:eastAsia="Calibri" w:hAnsi="Traditional Arabic" w:cs="Traditional Arabic"/>
                                  <w:rtl/>
                                  <w:lang w:val="en-CA" w:bidi="ar-SY"/>
                                </w:rPr>
                                <w:t>جهاز إخماد الغاز</w:t>
                              </w:r>
                            </w:p>
                          </w:txbxContent>
                        </wps:txbx>
                        <wps:bodyPr rot="0" vert="vert270" wrap="square" lIns="91440" tIns="45720" rIns="91440" bIns="45720" anchor="t" anchorCtr="0" upright="1">
                          <a:noAutofit/>
                        </wps:bodyPr>
                      </wps:wsp>
                      <wps:wsp>
                        <wps:cNvPr id="212" name="Text Box 79"/>
                        <wps:cNvSpPr txBox="1">
                          <a:spLocks noChangeArrowheads="1"/>
                        </wps:cNvSpPr>
                        <wps:spPr bwMode="auto">
                          <a:xfrm>
                            <a:off x="1126306" y="1759585"/>
                            <a:ext cx="377204" cy="6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6E2C6D" w:rsidRDefault="00670B40"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6E2C6D">
                                <w:rPr>
                                  <w:rFonts w:ascii="Traditional Arabic" w:eastAsia="Calibri" w:hAnsi="Traditional Arabic" w:cs="Traditional Arabic"/>
                                  <w:rtl/>
                                  <w:lang w:val="en-CA" w:bidi="ar-SY"/>
                                </w:rPr>
                                <w:t>جهاز شطف</w:t>
                              </w:r>
                            </w:p>
                          </w:txbxContent>
                        </wps:txbx>
                        <wps:bodyPr rot="0" vert="vert270" wrap="square" lIns="91440" tIns="45720" rIns="91440" bIns="45720" anchor="t" anchorCtr="0" upright="1">
                          <a:noAutofit/>
                        </wps:bodyPr>
                      </wps:wsp>
                      <wps:wsp>
                        <wps:cNvPr id="213" name="Text Box 79"/>
                        <wps:cNvSpPr txBox="1">
                          <a:spLocks noChangeArrowheads="1"/>
                        </wps:cNvSpPr>
                        <wps:spPr bwMode="auto">
                          <a:xfrm>
                            <a:off x="1933376" y="1168364"/>
                            <a:ext cx="377204"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6E2C6D" w:rsidRDefault="00670B40"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6E2C6D">
                                <w:rPr>
                                  <w:rFonts w:ascii="Traditional Arabic" w:eastAsia="Calibri" w:hAnsi="Traditional Arabic" w:cs="Traditional Arabic"/>
                                  <w:rtl/>
                                  <w:lang w:val="en-CA" w:bidi="ar-SY"/>
                                </w:rPr>
                                <w:t xml:space="preserve">جهاز شطف </w:t>
                              </w:r>
                              <w:r w:rsidRPr="00D52D10">
                                <w:rPr>
                                  <w:rFonts w:eastAsia="Calibri"/>
                                  <w:sz w:val="18"/>
                                  <w:szCs w:val="18"/>
                                  <w:lang w:val="en-CA" w:bidi="ar-SY"/>
                                </w:rPr>
                                <w:t>SO2</w:t>
                              </w:r>
                            </w:p>
                          </w:txbxContent>
                        </wps:txbx>
                        <wps:bodyPr rot="0" vert="vert270" wrap="square" lIns="91440" tIns="45720" rIns="91440" bIns="45720" anchor="t" anchorCtr="0" upright="1">
                          <a:noAutofit/>
                        </wps:bodyPr>
                      </wps:wsp>
                      <wps:wsp>
                        <wps:cNvPr id="214" name="Text Box 79"/>
                        <wps:cNvSpPr txBox="1">
                          <a:spLocks noChangeArrowheads="1"/>
                        </wps:cNvSpPr>
                        <wps:spPr bwMode="auto">
                          <a:xfrm>
                            <a:off x="3544268" y="1168364"/>
                            <a:ext cx="377204"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6E2C6D" w:rsidRDefault="00670B40"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6E2C6D">
                                <w:rPr>
                                  <w:rFonts w:ascii="Traditional Arabic" w:eastAsia="Calibri" w:hAnsi="Traditional Arabic" w:cs="Traditional Arabic"/>
                                  <w:rtl/>
                                  <w:lang w:val="en-CA" w:bidi="ar-SY"/>
                                </w:rPr>
                                <w:t xml:space="preserve">جهاز شطف الزئبق </w:t>
                              </w:r>
                              <w:r w:rsidRPr="00D52D10">
                                <w:rPr>
                                  <w:rFonts w:eastAsia="Calibri"/>
                                  <w:sz w:val="18"/>
                                  <w:szCs w:val="18"/>
                                  <w:lang w:val="en-CA" w:bidi="ar-SY"/>
                                </w:rPr>
                                <w:t>Hg</w:t>
                              </w:r>
                            </w:p>
                          </w:txbxContent>
                        </wps:txbx>
                        <wps:bodyPr rot="0" vert="vert270" wrap="square" lIns="91440" tIns="45720" rIns="91440" bIns="45720" anchor="t" anchorCtr="0" upright="1">
                          <a:noAutofit/>
                        </wps:bodyPr>
                      </wps:wsp>
                      <wps:wsp>
                        <wps:cNvPr id="215" name="Text Box 79"/>
                        <wps:cNvSpPr txBox="1">
                          <a:spLocks noChangeArrowheads="1"/>
                        </wps:cNvSpPr>
                        <wps:spPr bwMode="auto">
                          <a:xfrm>
                            <a:off x="4812030" y="1114425"/>
                            <a:ext cx="377190" cy="157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6E2C6D" w:rsidRDefault="00670B40"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6E2C6D">
                                <w:rPr>
                                  <w:rFonts w:ascii="Traditional Arabic" w:eastAsia="Calibri" w:hAnsi="Traditional Arabic" w:cs="Traditional Arabic" w:hint="cs"/>
                                  <w:rtl/>
                                  <w:lang w:val="en-CA" w:bidi="ar-SY"/>
                                </w:rPr>
                                <w:t>غاز</w:t>
                              </w:r>
                              <w:r>
                                <w:rPr>
                                  <w:rFonts w:ascii="Traditional Arabic" w:eastAsia="Calibri" w:hAnsi="Traditional Arabic" w:cs="Traditional Arabic"/>
                                  <w:lang w:val="en-CA" w:bidi="ar-SY"/>
                                </w:rPr>
                                <w:t xml:space="preserve"> </w:t>
                              </w:r>
                              <w:r w:rsidRPr="006E2C6D">
                                <w:rPr>
                                  <w:rFonts w:ascii="Traditional Arabic" w:eastAsia="Calibri" w:hAnsi="Traditional Arabic" w:cs="Traditional Arabic" w:hint="cs"/>
                                  <w:rtl/>
                                  <w:lang w:val="en-CA" w:bidi="ar-SY"/>
                                </w:rPr>
                                <w:t>المخلفات</w:t>
                              </w:r>
                            </w:p>
                          </w:txbxContent>
                        </wps:txbx>
                        <wps:bodyPr rot="0" vert="vert270" wrap="square" lIns="91440" tIns="45720" rIns="91440" bIns="45720" anchor="t" anchorCtr="0" upright="1">
                          <a:noAutofit/>
                        </wps:bodyPr>
                      </wps:wsp>
                      <wps:wsp>
                        <wps:cNvPr id="216" name="Text Box 79"/>
                        <wps:cNvSpPr txBox="1">
                          <a:spLocks noChangeArrowheads="1"/>
                        </wps:cNvSpPr>
                        <wps:spPr bwMode="auto">
                          <a:xfrm>
                            <a:off x="4016000" y="1454023"/>
                            <a:ext cx="307523" cy="8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6E2C6D" w:rsidRDefault="00670B40"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6E2C6D">
                                <w:rPr>
                                  <w:rFonts w:ascii="Traditional Arabic" w:eastAsia="Calibri" w:hAnsi="Traditional Arabic" w:cs="Traditional Arabic" w:hint="cs"/>
                                  <w:rtl/>
                                  <w:lang w:val="en-CA" w:bidi="ar-SY"/>
                                </w:rPr>
                                <w:t>إعادة التدوير</w:t>
                              </w:r>
                            </w:p>
                          </w:txbxContent>
                        </wps:txbx>
                        <wps:bodyPr rot="0" vert="vert270" wrap="square" lIns="91440" tIns="45720" rIns="91440" bIns="45720" anchor="t" anchorCtr="0" upright="1">
                          <a:noAutofit/>
                        </wps:bodyPr>
                      </wps:wsp>
                      <wps:wsp>
                        <wps:cNvPr id="217" name="Text Box 79"/>
                        <wps:cNvSpPr txBox="1">
                          <a:spLocks noChangeArrowheads="1"/>
                        </wps:cNvSpPr>
                        <wps:spPr bwMode="auto">
                          <a:xfrm>
                            <a:off x="5239188" y="1451791"/>
                            <a:ext cx="506472" cy="827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C03874" w:rsidRDefault="00670B40" w:rsidP="00335E4B">
                              <w:pPr>
                                <w:pStyle w:val="NormalWeb"/>
                                <w:bidi/>
                                <w:spacing w:before="0" w:beforeAutospacing="0" w:after="200" w:afterAutospacing="0" w:line="276" w:lineRule="auto"/>
                                <w:jc w:val="center"/>
                                <w:rPr>
                                  <w:rFonts w:ascii="Traditional Arabic" w:eastAsia="Calibri" w:hAnsi="Traditional Arabic" w:cs="Traditional Arabic"/>
                                  <w:lang w:val="en-CA"/>
                                </w:rPr>
                              </w:pPr>
                              <w:r w:rsidRPr="00C03874">
                                <w:rPr>
                                  <w:rFonts w:ascii="Traditional Arabic" w:eastAsia="Calibri" w:hAnsi="Traditional Arabic" w:cs="Traditional Arabic" w:hint="cs"/>
                                  <w:rtl/>
                                  <w:lang w:val="en-CA"/>
                                </w:rPr>
                                <w:t>إعادة التدوير</w:t>
                              </w:r>
                            </w:p>
                          </w:txbxContent>
                        </wps:txbx>
                        <wps:bodyPr rot="0" vert="vert270" wrap="square" lIns="91440" tIns="45720" rIns="91440" bIns="45720" anchor="t" anchorCtr="0" upright="1">
                          <a:noAutofit/>
                        </wps:bodyPr>
                      </wps:wsp>
                      <wps:wsp>
                        <wps:cNvPr id="218" name="Text Box 79"/>
                        <wps:cNvSpPr txBox="1">
                          <a:spLocks noChangeArrowheads="1"/>
                        </wps:cNvSpPr>
                        <wps:spPr bwMode="auto">
                          <a:xfrm>
                            <a:off x="2401818" y="2173500"/>
                            <a:ext cx="365889" cy="8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C03874" w:rsidRDefault="00670B40" w:rsidP="00335E4B">
                              <w:pPr>
                                <w:pStyle w:val="NormalWeb"/>
                                <w:bidi/>
                                <w:spacing w:before="0" w:beforeAutospacing="0" w:after="200" w:afterAutospacing="0" w:line="240" w:lineRule="exact"/>
                                <w:jc w:val="center"/>
                                <w:rPr>
                                  <w:rFonts w:ascii="Traditional Arabic" w:eastAsia="Calibri" w:hAnsi="Traditional Arabic" w:cs="Traditional Arabic"/>
                                  <w:lang w:val="en-CA"/>
                                </w:rPr>
                              </w:pPr>
                              <w:r w:rsidRPr="00C03874">
                                <w:rPr>
                                  <w:rFonts w:ascii="Traditional Arabic" w:eastAsia="Calibri" w:hAnsi="Traditional Arabic" w:cs="Traditional Arabic" w:hint="cs"/>
                                  <w:rtl/>
                                  <w:lang w:val="en-CA"/>
                                </w:rPr>
                                <w:t xml:space="preserve">إعادة التدوير </w:t>
                              </w:r>
                            </w:p>
                          </w:txbxContent>
                        </wps:txbx>
                        <wps:bodyPr rot="0" vert="vert270" wrap="square" lIns="91440" tIns="45720" rIns="91440" bIns="45720" anchor="t" anchorCtr="0" upright="1">
                          <a:noAutofit/>
                        </wps:bodyPr>
                      </wps:wsp>
                      <wps:wsp>
                        <wps:cNvPr id="219" name="Text Box 79"/>
                        <wps:cNvSpPr txBox="1">
                          <a:spLocks noChangeArrowheads="1"/>
                        </wps:cNvSpPr>
                        <wps:spPr bwMode="auto">
                          <a:xfrm>
                            <a:off x="2767707" y="2359928"/>
                            <a:ext cx="576763" cy="227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C03874" w:rsidRDefault="00670B40"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C03874">
                                <w:rPr>
                                  <w:rFonts w:ascii="Traditional Arabic" w:eastAsia="Calibri" w:hAnsi="Traditional Arabic" w:cs="Traditional Arabic" w:hint="cs"/>
                                  <w:rtl/>
                                  <w:lang w:val="en-CA" w:bidi="ar-SY"/>
                                </w:rPr>
                                <w:t>مروحة</w:t>
                              </w:r>
                            </w:p>
                          </w:txbxContent>
                        </wps:txbx>
                        <wps:bodyPr rot="0" vert="horz" wrap="square" lIns="91440" tIns="45720" rIns="91440" bIns="45720" anchor="t" anchorCtr="0" upright="1">
                          <a:noAutofit/>
                        </wps:bodyPr>
                      </wps:wsp>
                      <wps:wsp>
                        <wps:cNvPr id="220" name="Text Box 79"/>
                        <wps:cNvSpPr txBox="1">
                          <a:spLocks noChangeArrowheads="1"/>
                        </wps:cNvSpPr>
                        <wps:spPr bwMode="auto">
                          <a:xfrm>
                            <a:off x="2619594" y="3096708"/>
                            <a:ext cx="952066" cy="285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C03874" w:rsidRDefault="00670B40"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C03874">
                                <w:rPr>
                                  <w:rFonts w:ascii="Traditional Arabic" w:eastAsia="Calibri" w:hAnsi="Traditional Arabic" w:cs="Traditional Arabic" w:hint="cs"/>
                                  <w:rtl/>
                                  <w:lang w:val="en-CA" w:bidi="ar-SY"/>
                                </w:rPr>
                                <w:t>إضافة الهيبوكلوريت</w:t>
                              </w:r>
                            </w:p>
                          </w:txbxContent>
                        </wps:txbx>
                        <wps:bodyPr rot="0" vert="horz" wrap="square" lIns="91440" tIns="45720" rIns="91440" bIns="45720" anchor="t" anchorCtr="0" upright="1">
                          <a:noAutofit/>
                        </wps:bodyPr>
                      </wps:wsp>
                      <wps:wsp>
                        <wps:cNvPr id="221" name="Text Box 79"/>
                        <wps:cNvSpPr txBox="1">
                          <a:spLocks noChangeArrowheads="1"/>
                        </wps:cNvSpPr>
                        <wps:spPr bwMode="auto">
                          <a:xfrm>
                            <a:off x="5228590" y="3487420"/>
                            <a:ext cx="85534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B455A2" w:rsidRDefault="00670B40" w:rsidP="00335E4B">
                              <w:pPr>
                                <w:pStyle w:val="NormalWeb"/>
                                <w:bidi/>
                                <w:spacing w:before="0" w:beforeAutospacing="0" w:after="0" w:afterAutospacing="0" w:line="220" w:lineRule="exact"/>
                                <w:jc w:val="center"/>
                                <w:rPr>
                                  <w:rFonts w:ascii="Traditional Arabic" w:eastAsia="Calibri" w:hAnsi="Traditional Arabic" w:cs="Traditional Arabic"/>
                                  <w:sz w:val="22"/>
                                  <w:szCs w:val="22"/>
                                  <w:lang w:val="en-CA" w:bidi="ar-SY"/>
                                </w:rPr>
                              </w:pPr>
                              <w:r w:rsidRPr="00B455A2">
                                <w:rPr>
                                  <w:rFonts w:ascii="Traditional Arabic" w:eastAsia="Calibri" w:hAnsi="Traditional Arabic" w:cs="Traditional Arabic" w:hint="cs"/>
                                  <w:sz w:val="22"/>
                                  <w:szCs w:val="22"/>
                                  <w:rtl/>
                                  <w:lang w:val="en-CA" w:bidi="ar-SY"/>
                                </w:rPr>
                                <w:t>رماد الصودا والماء</w:t>
                              </w:r>
                            </w:p>
                          </w:txbxContent>
                        </wps:txbx>
                        <wps:bodyPr rot="0" vert="horz" wrap="square" lIns="91440" tIns="45720" rIns="91440" bIns="45720" anchor="t" anchorCtr="0" upright="1">
                          <a:noAutofit/>
                        </wps:bodyPr>
                      </wps:wsp>
                      <wps:wsp>
                        <wps:cNvPr id="222" name="Text Box 79"/>
                        <wps:cNvSpPr txBox="1">
                          <a:spLocks noChangeArrowheads="1"/>
                        </wps:cNvSpPr>
                        <wps:spPr bwMode="auto">
                          <a:xfrm>
                            <a:off x="5154445" y="4142743"/>
                            <a:ext cx="675993" cy="618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784D3F" w:rsidRDefault="00670B40" w:rsidP="00335E4B">
                              <w:pPr>
                                <w:pStyle w:val="NormalWeb"/>
                                <w:bidi/>
                                <w:spacing w:before="0" w:beforeAutospacing="0" w:after="0" w:afterAutospacing="0" w:line="220" w:lineRule="exact"/>
                                <w:jc w:val="center"/>
                                <w:rPr>
                                  <w:rFonts w:ascii="Traditional Arabic" w:hAnsi="Traditional Arabic" w:cs="Traditional Arabic"/>
                                  <w:sz w:val="20"/>
                                  <w:szCs w:val="20"/>
                                  <w:lang w:bidi="ar-SY"/>
                                </w:rPr>
                              </w:pPr>
                              <w:r w:rsidRPr="00784D3F">
                                <w:rPr>
                                  <w:rFonts w:ascii="Traditional Arabic" w:eastAsia="Calibri" w:hAnsi="Traditional Arabic" w:cs="Traditional Arabic"/>
                                  <w:sz w:val="20"/>
                                  <w:szCs w:val="20"/>
                                  <w:rtl/>
                                  <w:lang w:val="en-CA" w:bidi="ar-SY"/>
                                </w:rPr>
                                <w:t>خزان مخلفات الكربون في حوض النض</w:t>
                              </w:r>
                            </w:p>
                          </w:txbxContent>
                        </wps:txbx>
                        <wps:bodyPr rot="0" vert="horz" wrap="square" lIns="91440" tIns="45720" rIns="91440" bIns="45720" anchor="t" anchorCtr="0" upright="1">
                          <a:noAutofit/>
                        </wps:bodyPr>
                      </wps:wsp>
                      <wps:wsp>
                        <wps:cNvPr id="223" name="Text Box 79"/>
                        <wps:cNvSpPr txBox="1">
                          <a:spLocks noChangeArrowheads="1"/>
                        </wps:cNvSpPr>
                        <wps:spPr bwMode="auto">
                          <a:xfrm>
                            <a:off x="253497" y="3849674"/>
                            <a:ext cx="675993" cy="606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6E2C6D" w:rsidRDefault="00670B40" w:rsidP="00335E4B">
                              <w:pPr>
                                <w:pStyle w:val="NormalWeb"/>
                                <w:bidi/>
                                <w:spacing w:before="0" w:beforeAutospacing="0" w:after="0" w:afterAutospacing="0" w:line="220" w:lineRule="exact"/>
                                <w:jc w:val="center"/>
                                <w:rPr>
                                  <w:rFonts w:ascii="Traditional Arabic" w:eastAsia="Calibri" w:hAnsi="Traditional Arabic" w:cs="Traditional Arabic"/>
                                  <w:sz w:val="20"/>
                                  <w:szCs w:val="20"/>
                                  <w:lang w:val="en-CA" w:bidi="ar-SY"/>
                                </w:rPr>
                              </w:pPr>
                              <w:r w:rsidRPr="006E2C6D">
                                <w:rPr>
                                  <w:rFonts w:ascii="Traditional Arabic" w:eastAsia="Calibri" w:hAnsi="Traditional Arabic" w:cs="Traditional Arabic" w:hint="cs"/>
                                  <w:sz w:val="20"/>
                                  <w:szCs w:val="20"/>
                                  <w:rtl/>
                                  <w:lang w:val="en-CA" w:bidi="ar-SY"/>
                                </w:rPr>
                                <w:t>خزان تجميع النضح</w:t>
                              </w:r>
                            </w:p>
                          </w:txbxContent>
                        </wps:txbx>
                        <wps:bodyPr rot="0" vert="horz" wrap="square" lIns="91440" tIns="45720" rIns="91440" bIns="45720" anchor="t" anchorCtr="0" upright="1">
                          <a:noAutofit/>
                        </wps:bodyPr>
                      </wps:wsp>
                      <wps:wsp>
                        <wps:cNvPr id="224" name="Text Box 79"/>
                        <wps:cNvSpPr txBox="1">
                          <a:spLocks noChangeArrowheads="1"/>
                        </wps:cNvSpPr>
                        <wps:spPr bwMode="auto">
                          <a:xfrm>
                            <a:off x="1318895" y="4180205"/>
                            <a:ext cx="419100" cy="429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6E2C6D" w:rsidRDefault="00670B40" w:rsidP="00335E4B">
                              <w:pPr>
                                <w:pStyle w:val="NormalWeb"/>
                                <w:bidi/>
                                <w:spacing w:before="0" w:beforeAutospacing="0" w:after="0" w:afterAutospacing="0" w:line="220" w:lineRule="exact"/>
                                <w:jc w:val="center"/>
                                <w:rPr>
                                  <w:rFonts w:ascii="Traditional Arabic" w:eastAsia="Calibri" w:hAnsi="Traditional Arabic" w:cs="Traditional Arabic"/>
                                  <w:sz w:val="20"/>
                                  <w:szCs w:val="20"/>
                                  <w:lang w:val="en-CA" w:bidi="ar-SY"/>
                                </w:rPr>
                              </w:pPr>
                              <w:r w:rsidRPr="006E2C6D">
                                <w:rPr>
                                  <w:rFonts w:ascii="Traditional Arabic" w:eastAsia="Calibri" w:hAnsi="Traditional Arabic" w:cs="Traditional Arabic" w:hint="cs"/>
                                  <w:sz w:val="20"/>
                                  <w:szCs w:val="20"/>
                                  <w:rtl/>
                                  <w:lang w:val="en-CA" w:bidi="ar-SY"/>
                                </w:rPr>
                                <w:t>ا</w:t>
                              </w:r>
                              <w:r>
                                <w:rPr>
                                  <w:rFonts w:ascii="Traditional Arabic" w:eastAsia="Calibri" w:hAnsi="Traditional Arabic" w:cs="Traditional Arabic" w:hint="cs"/>
                                  <w:sz w:val="20"/>
                                  <w:szCs w:val="20"/>
                                  <w:rtl/>
                                  <w:lang w:val="en-CA" w:bidi="ar-SY"/>
                                </w:rPr>
                                <w:t>لكمية 1</w:t>
                              </w:r>
                            </w:p>
                          </w:txbxContent>
                        </wps:txbx>
                        <wps:bodyPr rot="0" vert="horz" wrap="square" lIns="91440" tIns="45720" rIns="91440" bIns="45720" anchor="t" anchorCtr="0" upright="1">
                          <a:noAutofit/>
                        </wps:bodyPr>
                      </wps:wsp>
                      <wps:wsp>
                        <wps:cNvPr id="225" name="Text Box 79"/>
                        <wps:cNvSpPr txBox="1">
                          <a:spLocks noChangeArrowheads="1"/>
                        </wps:cNvSpPr>
                        <wps:spPr bwMode="auto">
                          <a:xfrm>
                            <a:off x="1982470" y="4180205"/>
                            <a:ext cx="41910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6E2C6D" w:rsidRDefault="00670B40" w:rsidP="00335E4B">
                              <w:pPr>
                                <w:pStyle w:val="NormalWeb"/>
                                <w:bidi/>
                                <w:spacing w:before="0" w:beforeAutospacing="0" w:after="0" w:afterAutospacing="0" w:line="220" w:lineRule="exact"/>
                                <w:jc w:val="center"/>
                                <w:rPr>
                                  <w:rFonts w:ascii="Traditional Arabic" w:eastAsia="Calibri" w:hAnsi="Traditional Arabic" w:cs="Traditional Arabic"/>
                                  <w:sz w:val="20"/>
                                  <w:szCs w:val="20"/>
                                  <w:lang w:val="en-CA" w:bidi="ar-SY"/>
                                </w:rPr>
                              </w:pPr>
                              <w:r w:rsidRPr="006E2C6D">
                                <w:rPr>
                                  <w:rFonts w:ascii="Traditional Arabic" w:eastAsia="Calibri" w:hAnsi="Traditional Arabic" w:cs="Traditional Arabic" w:hint="cs"/>
                                  <w:sz w:val="20"/>
                                  <w:szCs w:val="20"/>
                                  <w:rtl/>
                                  <w:lang w:val="en-CA" w:bidi="ar-SY"/>
                                </w:rPr>
                                <w:t>الكمية 2</w:t>
                              </w:r>
                            </w:p>
                          </w:txbxContent>
                        </wps:txbx>
                        <wps:bodyPr rot="0" vert="horz" wrap="square" lIns="91440" tIns="45720" rIns="91440" bIns="45720" anchor="t" anchorCtr="0" upright="1">
                          <a:noAutofit/>
                        </wps:bodyPr>
                      </wps:wsp>
                      <wps:wsp>
                        <wps:cNvPr id="226" name="Text Box 79"/>
                        <wps:cNvSpPr txBox="1">
                          <a:spLocks noChangeArrowheads="1"/>
                        </wps:cNvSpPr>
                        <wps:spPr bwMode="auto">
                          <a:xfrm>
                            <a:off x="2653665" y="4180205"/>
                            <a:ext cx="46799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6E2C6D" w:rsidRDefault="00670B40" w:rsidP="00335E4B">
                              <w:pPr>
                                <w:pStyle w:val="NormalWeb"/>
                                <w:bidi/>
                                <w:spacing w:before="0" w:beforeAutospacing="0" w:after="0" w:afterAutospacing="0" w:line="220" w:lineRule="exact"/>
                                <w:jc w:val="center"/>
                                <w:rPr>
                                  <w:rFonts w:ascii="Traditional Arabic" w:eastAsia="Calibri" w:hAnsi="Traditional Arabic" w:cs="Traditional Arabic"/>
                                  <w:sz w:val="20"/>
                                  <w:szCs w:val="20"/>
                                  <w:lang w:val="en-CA" w:bidi="ar-SY"/>
                                </w:rPr>
                              </w:pPr>
                              <w:r w:rsidRPr="006E2C6D">
                                <w:rPr>
                                  <w:rFonts w:ascii="Traditional Arabic" w:eastAsia="Calibri" w:hAnsi="Traditional Arabic" w:cs="Traditional Arabic" w:hint="cs"/>
                                  <w:sz w:val="20"/>
                                  <w:szCs w:val="20"/>
                                  <w:rtl/>
                                  <w:lang w:val="en-CA" w:bidi="ar-SY"/>
                                </w:rPr>
                                <w:t>خزان الحفظ</w:t>
                              </w:r>
                            </w:p>
                          </w:txbxContent>
                        </wps:txbx>
                        <wps:bodyPr rot="0" vert="horz" wrap="square" lIns="91440" tIns="45720" rIns="91440" bIns="45720" anchor="t" anchorCtr="0" upright="1">
                          <a:noAutofit/>
                        </wps:bodyPr>
                      </wps:wsp>
                      <wps:wsp>
                        <wps:cNvPr id="227" name="Text Box 79"/>
                        <wps:cNvSpPr txBox="1">
                          <a:spLocks noChangeArrowheads="1"/>
                        </wps:cNvSpPr>
                        <wps:spPr bwMode="auto">
                          <a:xfrm>
                            <a:off x="1431925" y="4660265"/>
                            <a:ext cx="15665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6E2C6D" w:rsidRDefault="00670B40" w:rsidP="00335E4B">
                              <w:pPr>
                                <w:pStyle w:val="NormalWeb"/>
                                <w:bidi/>
                                <w:spacing w:before="0" w:beforeAutospacing="0" w:after="200" w:afterAutospacing="0" w:line="240" w:lineRule="exact"/>
                                <w:jc w:val="center"/>
                                <w:rPr>
                                  <w:rFonts w:ascii="Traditional Arabic" w:eastAsia="Calibri" w:hAnsi="Traditional Arabic" w:cs="Traditional Arabic"/>
                                  <w:sz w:val="22"/>
                                  <w:szCs w:val="22"/>
                                  <w:lang w:val="en-CA"/>
                                </w:rPr>
                              </w:pPr>
                              <w:r w:rsidRPr="006E2C6D">
                                <w:rPr>
                                  <w:rFonts w:ascii="Traditional Arabic" w:eastAsia="Calibri" w:hAnsi="Traditional Arabic" w:cs="Traditional Arabic" w:hint="cs"/>
                                  <w:sz w:val="22"/>
                                  <w:szCs w:val="22"/>
                                  <w:rtl/>
                                  <w:lang w:val="en-CA"/>
                                </w:rPr>
                                <w:t>نظام تجميع الكالوميل</w:t>
                              </w:r>
                            </w:p>
                          </w:txbxContent>
                        </wps:txbx>
                        <wps:bodyPr rot="0" vert="horz" wrap="square" lIns="91440" tIns="45720" rIns="91440" bIns="45720" anchor="t" anchorCtr="0" upright="1">
                          <a:noAutofit/>
                        </wps:bodyPr>
                      </wps:wsp>
                      <wps:wsp>
                        <wps:cNvPr id="228" name="Text Box 79"/>
                        <wps:cNvSpPr txBox="1">
                          <a:spLocks noChangeArrowheads="1"/>
                        </wps:cNvSpPr>
                        <wps:spPr bwMode="auto">
                          <a:xfrm>
                            <a:off x="760649" y="3505286"/>
                            <a:ext cx="900604" cy="226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6E2C6D" w:rsidRDefault="00670B40" w:rsidP="009C5341">
                              <w:pPr>
                                <w:pStyle w:val="NormalWeb"/>
                                <w:bidi/>
                                <w:spacing w:before="0" w:beforeAutospacing="0" w:after="0" w:afterAutospacing="0" w:line="220" w:lineRule="exact"/>
                                <w:jc w:val="center"/>
                                <w:rPr>
                                  <w:rFonts w:ascii="Traditional Arabic" w:eastAsia="Calibri" w:hAnsi="Traditional Arabic" w:cs="Traditional Arabic"/>
                                  <w:sz w:val="20"/>
                                  <w:szCs w:val="20"/>
                                  <w:lang w:val="en-CA" w:bidi="ar-SY"/>
                                </w:rPr>
                              </w:pPr>
                              <w:r w:rsidRPr="006E2C6D">
                                <w:rPr>
                                  <w:rFonts w:ascii="Traditional Arabic" w:eastAsia="Calibri" w:hAnsi="Traditional Arabic" w:cs="Traditional Arabic" w:hint="cs"/>
                                  <w:sz w:val="20"/>
                                  <w:szCs w:val="20"/>
                                  <w:rtl/>
                                  <w:lang w:val="en-CA" w:bidi="ar-SY"/>
                                </w:rPr>
                                <w:t>إضافة غبار الزنك</w:t>
                              </w:r>
                            </w:p>
                            <w:p w:rsidR="00670B40" w:rsidRDefault="00670B40" w:rsidP="00335E4B"/>
                          </w:txbxContent>
                        </wps:txbx>
                        <wps:bodyPr rot="0" vert="horz" wrap="square" lIns="91440" tIns="45720" rIns="91440" bIns="45720" anchor="t" anchorCtr="0" upright="1">
                          <a:noAutofit/>
                        </wps:bodyPr>
                      </wps:wsp>
                      <wps:wsp>
                        <wps:cNvPr id="229" name="Text Box 79"/>
                        <wps:cNvSpPr txBox="1">
                          <a:spLocks noChangeArrowheads="1"/>
                        </wps:cNvSpPr>
                        <wps:spPr bwMode="auto">
                          <a:xfrm>
                            <a:off x="3633165" y="3622500"/>
                            <a:ext cx="1798068" cy="227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9C5341" w:rsidRDefault="00670B40" w:rsidP="009C5341">
                              <w:pPr>
                                <w:pStyle w:val="NormalWeb"/>
                                <w:bidi/>
                                <w:spacing w:before="0" w:beforeAutospacing="0" w:after="0" w:afterAutospacing="0" w:line="220" w:lineRule="exact"/>
                                <w:jc w:val="center"/>
                                <w:rPr>
                                  <w:rFonts w:ascii="Calibri" w:hAnsi="Calibri"/>
                                  <w:sz w:val="20"/>
                                  <w:szCs w:val="20"/>
                                  <w:lang w:bidi="ar-SY"/>
                                </w:rPr>
                              </w:pPr>
                              <w:r w:rsidRPr="009C5341">
                                <w:rPr>
                                  <w:rFonts w:ascii="Traditional Arabic" w:eastAsia="Calibri" w:hAnsi="Traditional Arabic" w:cs="Traditional Arabic" w:hint="cs"/>
                                  <w:sz w:val="20"/>
                                  <w:szCs w:val="20"/>
                                  <w:rtl/>
                                  <w:lang w:val="en-CA" w:bidi="ar-SY"/>
                                </w:rPr>
                                <w:t>من المادة الطافية إلى الكربون في حوض لنض</w:t>
                              </w:r>
                            </w:p>
                          </w:txbxContent>
                        </wps:txbx>
                        <wps:bodyPr rot="0" vert="horz" wrap="square" lIns="91440" tIns="45720" rIns="91440" bIns="45720" anchor="t" anchorCtr="0" upright="1">
                          <a:noAutofit/>
                        </wps:bodyPr>
                      </wps:wsp>
                      <wps:wsp>
                        <wps:cNvPr id="230" name="Text Box 79"/>
                        <wps:cNvSpPr txBox="1">
                          <a:spLocks noChangeArrowheads="1"/>
                        </wps:cNvSpPr>
                        <wps:spPr bwMode="auto">
                          <a:xfrm>
                            <a:off x="929640" y="3147257"/>
                            <a:ext cx="808355" cy="234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C03874" w:rsidRDefault="00670B40"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C03874">
                                <w:rPr>
                                  <w:rFonts w:ascii="Traditional Arabic" w:eastAsia="Calibri" w:hAnsi="Traditional Arabic" w:cs="Traditional Arabic" w:hint="cs"/>
                                  <w:rtl/>
                                  <w:lang w:val="en-CA" w:bidi="ar-SY"/>
                                </w:rPr>
                                <w:t>محلول النضح</w:t>
                              </w:r>
                            </w:p>
                          </w:txbxContent>
                        </wps:txbx>
                        <wps:bodyPr rot="0" vert="horz" wrap="square" lIns="91440" tIns="45720" rIns="91440" bIns="45720" anchor="t" anchorCtr="0" upright="1">
                          <a:noAutofit/>
                        </wps:bodyPr>
                      </wps:wsp>
                      <wps:wsp>
                        <wps:cNvPr id="231" name="Text Box 79"/>
                        <wps:cNvSpPr txBox="1">
                          <a:spLocks noChangeArrowheads="1"/>
                        </wps:cNvSpPr>
                        <wps:spPr bwMode="auto">
                          <a:xfrm>
                            <a:off x="3633470" y="4657725"/>
                            <a:ext cx="89471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6E2C6D" w:rsidRDefault="00670B40" w:rsidP="009C5341">
                              <w:pPr>
                                <w:pStyle w:val="NormalWeb"/>
                                <w:bidi/>
                                <w:spacing w:before="0" w:beforeAutospacing="0" w:after="200" w:afterAutospacing="0" w:line="240" w:lineRule="exact"/>
                                <w:jc w:val="center"/>
                                <w:rPr>
                                  <w:rFonts w:ascii="Traditional Arabic" w:eastAsia="Calibri" w:hAnsi="Traditional Arabic" w:cs="Traditional Arabic"/>
                                  <w:sz w:val="22"/>
                                  <w:szCs w:val="22"/>
                                  <w:lang w:val="en-CA"/>
                                </w:rPr>
                              </w:pPr>
                              <w:r w:rsidRPr="006E2C6D">
                                <w:rPr>
                                  <w:rFonts w:ascii="Traditional Arabic" w:eastAsia="Calibri" w:hAnsi="Traditional Arabic" w:cs="Traditional Arabic" w:hint="cs"/>
                                  <w:sz w:val="22"/>
                                  <w:szCs w:val="22"/>
                                  <w:rtl/>
                                  <w:lang w:val="en-CA"/>
                                </w:rPr>
                                <w:t>الكالوميل</w:t>
                              </w:r>
                            </w:p>
                          </w:txbxContent>
                        </wps:txbx>
                        <wps:bodyPr rot="0" vert="horz" wrap="square" lIns="91440" tIns="45720" rIns="91440" bIns="45720" anchor="t" anchorCtr="0" upright="1">
                          <a:noAutofit/>
                        </wps:bodyPr>
                      </wps:wsp>
                      <wps:wsp>
                        <wps:cNvPr id="232" name="Text Box 79"/>
                        <wps:cNvSpPr txBox="1">
                          <a:spLocks noChangeArrowheads="1"/>
                        </wps:cNvSpPr>
                        <wps:spPr bwMode="auto">
                          <a:xfrm>
                            <a:off x="32008" y="2931491"/>
                            <a:ext cx="897465" cy="48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C03874" w:rsidRDefault="00670B40"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C03874">
                                <w:rPr>
                                  <w:rFonts w:ascii="Traditional Arabic" w:eastAsia="Calibri" w:hAnsi="Traditional Arabic" w:cs="Traditional Arabic" w:hint="cs"/>
                                  <w:rtl/>
                                  <w:lang w:val="en-CA" w:bidi="ar-SY"/>
                                </w:rPr>
                                <w:t>إلى خزان محكم الإغلاق وخزان الإخماد</w:t>
                              </w:r>
                            </w:p>
                          </w:txbxContent>
                        </wps:txbx>
                        <wps:bodyPr rot="0" vert="horz" wrap="square" lIns="91440" tIns="45720" rIns="91440" bIns="45720" anchor="t" anchorCtr="0" upright="1">
                          <a:noAutofit/>
                        </wps:bodyPr>
                      </wps:wsp>
                      <wps:wsp>
                        <wps:cNvPr id="233" name="Text Box 79"/>
                        <wps:cNvSpPr txBox="1">
                          <a:spLocks noChangeArrowheads="1"/>
                        </wps:cNvSpPr>
                        <wps:spPr bwMode="auto">
                          <a:xfrm>
                            <a:off x="2534920" y="1759585"/>
                            <a:ext cx="645161"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70B40" w:rsidRPr="006E2C6D" w:rsidRDefault="00670B40"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6E2C6D">
                                <w:rPr>
                                  <w:rFonts w:ascii="Traditional Arabic" w:eastAsia="Calibri" w:hAnsi="Traditional Arabic" w:cs="Traditional Arabic" w:hint="cs"/>
                                  <w:rtl/>
                                  <w:lang w:val="en-CA" w:bidi="ar-SY"/>
                                </w:rPr>
                                <w:t>جهاز تبادل الحرارة</w:t>
                              </w:r>
                            </w:p>
                          </w:txbxContent>
                        </wps:txbx>
                        <wps:bodyPr rot="0" vert="horz" wrap="square" lIns="91440" tIns="45720" rIns="91440" bIns="45720" anchor="t" anchorCtr="0" upright="1">
                          <a:noAutofit/>
                        </wps:bodyPr>
                      </wps:wsp>
                      <wps:wsp>
                        <wps:cNvPr id="234" name="Straight Arrow Connector 176"/>
                        <wps:cNvCnPr>
                          <a:cxnSpLocks noChangeShapeType="1"/>
                        </wps:cNvCnPr>
                        <wps:spPr bwMode="auto">
                          <a:xfrm flipV="1">
                            <a:off x="2455168" y="2898144"/>
                            <a:ext cx="0" cy="735539"/>
                          </a:xfrm>
                          <a:prstGeom prst="straightConnector1">
                            <a:avLst/>
                          </a:prstGeom>
                          <a:noFill/>
                          <a:ln w="25400" cap="rnd" algn="ctr">
                            <a:solidFill>
                              <a:srgbClr val="8064A2"/>
                            </a:solidFill>
                            <a:round/>
                            <a:headEnd type="none" w="lg" len="lg"/>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35" o:spid="_x0000_s1396" editas="canvas" style="position:absolute;left:0;text-align:left;margin-left:-12.45pt;margin-top:23.65pt;width:479.05pt;height:391.2pt;z-index:-251627520;mso-position-horizontal-relative:text;mso-position-vertical-relative:text" coordsize="60839,4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">
                <v:shape id="_x0000_s1397" type="#_x0000_t75" style="position:absolute;width:60839;height:49682;visibility:visible;mso-wrap-style:square" stroked="t">
                  <v:fill o:detectmouseclick="t"/>
                  <v:path o:connecttype="none"/>
                </v:shape>
                <v:rect id="Rectangle 2" o:spid="_x0000_s1398" style="position:absolute;left:5069;top:10350;width:3380;height:7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c68YA&#10;AADbAAAADwAAAGRycy9kb3ducmV2LnhtbESPT2vCQBTE7wW/w/KE3pqNFdqQuopahB6K1D8Xb8/s&#10;axLMvg3ZTUz89K5Q6HGYmd8ws0VvKtFR40rLCiZRDII4s7rkXMHxsHlJQDiPrLGyTAoGcrCYj55m&#10;mGp75R11e5+LAGGXooLC+zqV0mUFGXSRrYmD92sbgz7IJpe6wWuAm0q+xvGbNFhyWCiwpnVB2WXf&#10;GgUGP6e3n/PAw+H8faxWp+32tmyVeh73yw8Qnnr/H/5rf2kFyTs8vo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Hc68YAAADbAAAADwAAAAAAAAAAAAAAAACYAgAAZHJz&#10;L2Rvd25yZXYueG1sUEsFBgAAAAAEAAQA9QAAAIsDAAAAAA==&#10;" filled="f" strokeweight="1.5pt"/>
                <v:rect id="Rectangle 4" o:spid="_x0000_s1399" style="position:absolute;left:19434;top:8280;width:3380;height:20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5Imb8A&#10;AADbAAAADwAAAGRycy9kb3ducmV2LnhtbERPy6rCMBDdC/5DGMGdpiqIVKP4QHAh4lU37sZmbIvN&#10;pDRRW7/eLIS7PJz3bFGbQryocrllBYN+BII4sTrnVMHlvO1NQDiPrLGwTAoacrCYt1szjLV98x+9&#10;Tj4VIYRdjAoy78tYSpdkZND1bUkcuLutDPoAq1TqCt8h3BRyGEVjaTDn0JBhSeuMksfpaRQY3Iw+&#10;x1vDzfm2vxSr6+HwWT6V6nbq5RSEp9r/i3/unVYwCWPDl/AD5Pw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XkiZvwAAANsAAAAPAAAAAAAAAAAAAAAAAJgCAABkcnMvZG93bnJl&#10;di54bWxQSwUGAAAAAAQABAD1AAAAhAMAAAAA&#10;" filled="f" strokeweight="1.5pt"/>
                <v:rect id="Rectangle 7" o:spid="_x0000_s1400" style="position:absolute;left:35489;top:8280;width:3380;height:20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tAsUA&#10;AADbAAAADwAAAGRycy9kb3ducmV2LnhtbESPQWvCQBSE7wX/w/KE3urGCkVTV1GL0EMJrcnF2zP7&#10;mgSzb0N2NYm/3hUKPQ4z8w2zXPemFldqXWVZwXQSgSDOra64UJCl+5c5COeRNdaWScFADtar0dMS&#10;Y207/qHrwRciQNjFqKD0vomldHlJBt3ENsTB+7WtQR9kW0jdYhfgppavUfQmDVYcFkpsaFdSfj5c&#10;jAKDH7Pb92ngIT19ZfX2mCS3zUWp53G/eQfhqff/4b/2p1YwX8Dj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u0CxQAAANsAAAAPAAAAAAAAAAAAAAAAAJgCAABkcnMv&#10;ZG93bnJldi54bWxQSwUGAAAAAAQABAD1AAAAigMAAAAA&#10;" filled="f" strokeweight="1.5pt"/>
                <v:rect id="Rectangle 8" o:spid="_x0000_s1401" style="position:absolute;left:48164;top:8280;width:3380;height:20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SQsAA&#10;AADbAAAADwAAAGRycy9kb3ducmV2LnhtbERPy4rCMBTdC/5DuII7TVWQsRrFB4ILkRl14+7aXNti&#10;c1OaqK1fbxbCLA/nPVvUphBPqlxuWcGgH4EgTqzOOVVwPm17PyCcR9ZYWCYFDTlYzNutGcbavviP&#10;nkefihDCLkYFmfdlLKVLMjLo+rYkDtzNVgZ9gFUqdYWvEG4KOYyisTSYc2jIsKR1Rsn9+DAKDG5G&#10;799rw83puj8Xq8vh8F4+lOp26uUUhKfa/4u/7p1WMAnrw5fwA+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HSQsAAAADbAAAADwAAAAAAAAAAAAAAAACYAgAAZHJzL2Rvd25y&#10;ZXYueG1sUEsFBgAAAAAEAAQA9QAAAIUDAAAAAA==&#10;" filled="f" strokeweight="1.5pt"/>
                <v:group id="Group 18" o:spid="_x0000_s1402" style="position:absolute;left:19434;top:5175;width:3427;height:3105" coordorigin="26289,5715" coordsize="463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Straight Connector 13" o:spid="_x0000_s1403" style="position:absolute;flip:y;visibility:visible;mso-wrap-style:square" from="26289,5715" to="28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gmwsIAAADbAAAADwAAAGRycy9kb3ducmV2LnhtbESPQYvCMBSE7wv+h/CEva2pPYhbjSKC&#10;oOweXBW8PprXpti8lCTa+u/NwsIeh5n5hlmuB9uKB/nQOFYwnWQgiEunG64VXM67jzmIEJE1to5J&#10;wZMCrFejtyUW2vX8Q49TrEWCcChQgYmxK6QMpSGLYeI64uRVzluMSfpaao99gttW5lk2kxYbTgsG&#10;O9oaKm+nu1UgD1/90e/yS1VX+85dD+Z71g9KvY+HzQJEpCH+h//ae63gM4ffL+kH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gmwsIAAADbAAAADwAAAAAAAAAAAAAA&#10;AAChAgAAZHJzL2Rvd25yZXYueG1sUEsFBgAAAAAEAAQA+QAAAJADAAAAAA==&#10;" strokeweight="1.5pt"/>
                  <v:line id="Straight Connector 14" o:spid="_x0000_s1404" style="position:absolute;visibility:visible;mso-wrap-style:square" from="28638,5715" to="309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JQ8MAAADbAAAADwAAAGRycy9kb3ducmV2LnhtbESPQWvCQBSE7wX/w/IEb3VjhVKjq4ig&#10;lt6MInh7ZJ9JTPZturvR9N+7hUKPw8x8wyxWvWnEnZyvLCuYjBMQxLnVFRcKTsft6wcIH5A1NpZJ&#10;wQ95WC0HLwtMtX3wge5ZKESEsE9RQRlCm0rp85IM+rFtiaN3tc5giNIVUjt8RLhp5FuSvEuDFceF&#10;ElvalJTXWWcUnLuML7d66xrsdvv99fxd++mXUqNhv56DCNSH//Bf+1MrmE3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kiUPDAAAA2wAAAA8AAAAAAAAAAAAA&#10;AAAAoQIAAGRycy9kb3ducmV2LnhtbFBLBQYAAAAABAAEAPkAAACRAwAAAAA=&#10;" strokeweight="1.5pt"/>
                  <v:line id="Straight Connector 16" o:spid="_x0000_s1405" style="position:absolute;flip:y;visibility:visible;mso-wrap-style:square" from="26289,6858" to="262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0bLcMAAADbAAAADwAAAGRycy9kb3ducmV2LnhtbESPQWsCMRSE7wX/Q3iCt5pVROpqFBEE&#10;xR5aFbw+Nm83i5uXJYnu+u+bQqHHYWa+YVab3jbiST7UjhVMxhkI4sLpmisF18v+/QNEiMgaG8ek&#10;4EUBNuvB2wpz7Tr+puc5ViJBOOSowMTY5lKGwpDFMHYtcfJK5y3GJH0ltccuwW0jp1k2lxZrTgsG&#10;W9oZKu7nh1Ugj6fuy++n17IqD627Hc3nvOuVGg377RJEpD7+h//aB61gMYP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NGy3DAAAA2wAAAA8AAAAAAAAAAAAA&#10;AAAAoQIAAGRycy9kb3ducmV2LnhtbFBLBQYAAAAABAAEAPkAAACRAwAAAAA=&#10;" strokeweight="1.5pt"/>
                  <v:line id="Straight Connector 17" o:spid="_x0000_s1406" style="position:absolute;flip:y;visibility:visible;mso-wrap-style:square" from="30861,6858" to="308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tsMAAADbAAAADwAAAGRycy9kb3ducmV2LnhtbESPQWsCMRSE7wX/Q3iCt5pVUOpqFBEE&#10;xR5aFbw+Nm83i5uXJYnu+u+bQqHHYWa+YVab3jbiST7UjhVMxhkI4sLpmisF18v+/QNEiMgaG8ek&#10;4EUBNuvB2wpz7Tr+puc5ViJBOOSowMTY5lKGwpDFMHYtcfJK5y3GJH0ltccuwW0jp1k2lxZrTgsG&#10;W9oZKu7nh1Ugj6fuy++n17IqD627Hc3nvOuVGg377RJEpD7+h//aB61gMYP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vrbDAAAA2wAAAA8AAAAAAAAAAAAA&#10;AAAAoQIAAGRycy9kb3ducmV2LnhtbFBLBQYAAAAABAAEAPkAAACRAwAAAAA=&#10;" strokeweight="1.5pt"/>
                </v:group>
                <v:group id="Group 19" o:spid="_x0000_s1407" style="position:absolute;left:35489;top:5175;width:3427;height:3105" coordorigin="26289,5715" coordsize="463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Straight Connector 20" o:spid="_x0000_s1408" style="position:absolute;flip:y;visibility:visible;mso-wrap-style:square" from="26289,5715" to="28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WsMAAADbAAAADwAAAGRycy9kb3ducmV2LnhtbESPQWsCMRSE7wX/Q3iCt5rVg62rUUQQ&#10;FHtoVfD62LzdLG5eliS66783hUKPw8x8wyzXvW3Eg3yoHSuYjDMQxIXTNVcKLufd+yeIEJE1No5J&#10;wZMCrFeDtyXm2nX8Q49TrESCcMhRgYmxzaUMhSGLYexa4uSVzluMSfpKao9dgttGTrNsJi3WnBYM&#10;trQ1VNxOd6tAHo7dt99NL2VV7lt3PZivWdcrNRr2mwWISH38D/+191rB/AN+v6Qf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fhVrDAAAA2wAAAA8AAAAAAAAAAAAA&#10;AAAAoQIAAGRycy9kb3ducmV2LnhtbFBLBQYAAAAABAAEAPkAAACRAwAAAAA=&#10;" strokeweight="1.5pt"/>
                  <v:line id="Straight Connector 21" o:spid="_x0000_s1409" style="position:absolute;visibility:visible;mso-wrap-style:square" from="28638,5715" to="309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bMsAAAADbAAAADwAAAGRycy9kb3ducmV2LnhtbERPz2vCMBS+C/sfwhvspukUxHVGGQN1&#10;eLOOwm6P5tl2bV5qkmr9781B8Pjx/V6uB9OKCzlfW1bwPklAEBdW11wq+D1uxgsQPiBrbC2Tght5&#10;WK9eRktMtb3ygS5ZKEUMYZ+igiqELpXSFxUZ9BPbEUfuZJ3BEKErpXZ4jeGmldMkmUuDNceGCjv6&#10;rqhost4oyPuM//6bjWux3+52p/zc+NleqbfX4esTRKAhPMUP949W8BH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AGzLAAAAA2wAAAA8AAAAAAAAAAAAAAAAA&#10;oQIAAGRycy9kb3ducmV2LnhtbFBLBQYAAAAABAAEAPkAAACOAwAAAAA=&#10;" strokeweight="1.5pt"/>
                  <v:line id="Straight Connector 22" o:spid="_x0000_s1410" style="position:absolute;flip:y;visibility:visible;mso-wrap-style:square" from="26289,6858" to="262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0s8IAAADbAAAADwAAAGRycy9kb3ducmV2LnhtbESPT4vCMBTE7wt+h/AEb2u6HkSrUZYF&#10;QdHD+ge8PprXpmzzUpJo67c3C4LHYWZ+wyzXvW3EnXyoHSv4GmcgiAuna64UXM6bzxmIEJE1No5J&#10;wYMCrFeDjyXm2nV8pPspViJBOOSowMTY5lKGwpDFMHYtcfJK5y3GJH0ltccuwW0jJ1k2lRZrTgsG&#10;W/oxVPydblaB3O27X7+ZXMqq3LbuujOHadcrNRr23wsQkfr4Dr/aW61gPof/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y0s8IAAADbAAAADwAAAAAAAAAAAAAA&#10;AAChAgAAZHJzL2Rvd25yZXYueG1sUEsFBgAAAAAEAAQA+QAAAJADAAAAAA==&#10;" strokeweight="1.5pt"/>
                  <v:line id="Straight Connector 23" o:spid="_x0000_s1411" style="position:absolute;flip:y;visibility:visible;mso-wrap-style:square" from="30861,6858" to="308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vV8QAAADcAAAADwAAAGRycy9kb3ducmV2LnhtbESPQWsCMRCF70L/Q5iCt5qtB5GtUaQg&#10;KPVQrdDrsJndLG4mS5K66793DgVvM7w3732z2oy+UzeKqQ1s4H1WgCKugm25MXD52b0tQaWMbLEL&#10;TAbulGCzfpmssLRh4BPdzrlREsKpRAMu577UOlWOPKZZ6IlFq0P0mGWNjbYRBwn3nZ4XxUJ7bFka&#10;HPb06ai6nv+8AX34Gr7jbn6pm3rfh9+DOy6G0Zjp67j9AJVpzE/z//XeCn4h+PKMTK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y9XxAAAANwAAAAPAAAAAAAAAAAA&#10;AAAAAKECAABkcnMvZG93bnJldi54bWxQSwUGAAAAAAQABAD5AAAAkgMAAAAA&#10;" strokeweight="1.5pt"/>
                </v:group>
                <v:group id="Group 24" o:spid="_x0000_s1412" style="position:absolute;left:48164;top:5175;width:3427;height:3105" coordorigin="26289,5715" coordsize="463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Straight Connector 25" o:spid="_x0000_s1413" style="position:absolute;flip:y;visibility:visible;mso-wrap-style:square" from="26289,5715" to="28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kUu8AAAADcAAAADwAAAGRycy9kb3ducmV2LnhtbERPS4vCMBC+L/gfwgje1tQeRKpRRBCU&#10;9bA+wOvQTJtiMylJtN1/v1lY8DYf33NWm8G24kU+NI4VzKYZCOLS6YZrBbfr/nMBIkRkja1jUvBD&#10;ATbr0ccKC+16PtPrEmuRQjgUqMDE2BVShtKQxTB1HXHiKuctxgR9LbXHPoXbVuZZNpcWG04NBjva&#10;GSofl6dVII9f/bff57eqrg6dux/Nad4PSk3Gw3YJItIQ3+J/90Gn+VkOf8+kC+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ZFLvAAAAA3AAAAA8AAAAAAAAAAAAAAAAA&#10;oQIAAGRycy9kb3ducmV2LnhtbFBLBQYAAAAABAAEAPkAAACOAwAAAAA=&#10;" strokeweight="1.5pt"/>
                  <v:line id="Straight Connector 26" o:spid="_x0000_s1414" style="position:absolute;visibility:visible;mso-wrap-style:square" from="28638,5715" to="309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zEsIAAADcAAAADwAAAGRycy9kb3ducmV2LnhtbERPTWvCQBC9F/oflin0VjdVkBJdRQS1&#10;9GYqAW9DdkxisrPp7kbTf+8Kgrd5vM+ZLwfTigs5X1tW8DlKQBAXVtdcKjj8bj6+QPiArLG1TAr+&#10;ycNy8foyx1TbK+/pkoVSxBD2KSqoQuhSKX1RkUE/sh1x5E7WGQwRulJqh9cYblo5TpKpNFhzbKiw&#10;o3VFRZP1RkHeZ3w8NxvXYr/d7U75X+MnP0q9vw2rGYhAQ3iKH+5vHecnE7g/Ey+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NzEsIAAADcAAAADwAAAAAAAAAAAAAA&#10;AAChAgAAZHJzL2Rvd25yZXYueG1sUEsFBgAAAAAEAAQA+QAAAJADAAAAAA==&#10;" strokeweight="1.5pt"/>
                  <v:line id="Straight Connector 27" o:spid="_x0000_s1415" style="position:absolute;flip:y;visibility:visible;mso-wrap-style:square" from="26289,6858" to="262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pVMAAAADcAAAADwAAAGRycy9kb3ducmV2LnhtbERPTYvCMBC9L/gfwgje1lQR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8KVTAAAAA3AAAAA8AAAAAAAAAAAAAAAAA&#10;oQIAAGRycy9kb3ducmV2LnhtbFBLBQYAAAAABAAEAPkAAACOAwAAAAA=&#10;" strokeweight="1.5pt"/>
                  <v:line id="Straight Connector 28" o:spid="_x0000_s1416" style="position:absolute;flip:y;visibility:visible;mso-wrap-style:square" from="30861,6858" to="308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Mz8AAAADcAAAADwAAAGRycy9kb3ducmV2LnhtbERPTYvCMBC9L/gfwgje1lRB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wjM/AAAAA3AAAAA8AAAAAAAAAAAAAAAAA&#10;oQIAAGRycy9kb3ducmV2LnhtbFBLBQYAAAAABAAEAPkAAACOAwAAAAA=&#10;" strokeweight="1.5pt"/>
                </v:group>
                <v:group id="Group 29" o:spid="_x0000_s1417" style="position:absolute;left:19387;top:28981;width:3427;height:3105;rotation:180" coordorigin="26289,5715" coordsize="463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IBOcAAAADcAAAADwAAAGRycy9kb3ducmV2LnhtbERPS4vCMBC+C/6HMII3&#10;TVdXWbpGEUHsacEH7HVoxqa7zaQkUeu/N4LgbT6+5yxWnW3ElXyoHSv4GGcgiEuna64UnI7b0ReI&#10;EJE1No5JwZ0CrJb93gJz7W68p+shViKFcMhRgYmxzaUMpSGLYexa4sSdnbcYE/SV1B5vKdw2cpJl&#10;c2mx5tRgsKWNofL/cLEK9GeYnqgo1n7y83ec1bOdqc6/Sg0H3fobRKQuvsUvd6HT/GwOz2fSBXL5&#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0YgE5wAAAANwAAAAPAAAA&#10;AAAAAAAAAAAAAKoCAABkcnMvZG93bnJldi54bWxQSwUGAAAAAAQABAD6AAAAlwMAAAAA&#10;">
                  <v:line id="Straight Connector 30" o:spid="_x0000_s1418" style="position:absolute;flip:y;visibility:visible;mso-wrap-style:square" from="26289,5715" to="28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3I8AAAADcAAAADwAAAGRycy9kb3ducmV2LnhtbERPTYvCMBC9C/sfwix403Q9qFSjiCAo&#10;elBX2OvQTJtiMylJ1nb//UYQvM3jfc5y3dtGPMiH2rGCr3EGgrhwuuZKwe17N5qDCBFZY+OYFPxR&#10;gPXqY7DEXLuOL/S4xkqkEA45KjAxtrmUoTBkMYxdS5y40nmLMUFfSe2xS+G2kZMsm0qLNacGgy1t&#10;DRX3669VIA/H7ux3k1tZlfvW/RzMadr1Sg0/+80CRKQ+vsUv916n+dkMns+kC+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utyPAAAAA3AAAAA8AAAAAAAAAAAAAAAAA&#10;oQIAAGRycy9kb3ducmV2LnhtbFBLBQYAAAAABAAEAPkAAACOAwAAAAA=&#10;" strokeweight="1.5pt"/>
                  <v:line id="Straight Connector 31" o:spid="_x0000_s1419" style="position:absolute;visibility:visible;mso-wrap-style:square" from="28638,5715" to="309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fhY8UAAADcAAAADwAAAGRycy9kb3ducmV2LnhtbESPQWvCQBCF74X+h2WE3urGFqREVxHB&#10;WnozLUJvQ3ZMYrKz6e5G03/fOQjeZnhv3vtmuR5dpy4UYuPZwGyagSIuvW24MvD9tXt+AxUTssXO&#10;Mxn4owjr1ePDEnPrr3ygS5EqJSEcczRQp9TnWseyJodx6nti0U4+OEyyhkrbgFcJd51+ybK5dtiw&#10;NNTY07amsi0GZ+A4FPxzbnehw+F9vz8df9v4+mnM02TcLEAlGtPdfLv+sIKfCa0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fhY8UAAADcAAAADwAAAAAAAAAA&#10;AAAAAAChAgAAZHJzL2Rvd25yZXYueG1sUEsFBgAAAAAEAAQA+QAAAJMDAAAAAA==&#10;" strokeweight="1.5pt"/>
                  <v:line id="Straight Connector 32" o:spid="_x0000_s1420" style="position:absolute;flip:y;visibility:visible;mso-wrap-style:square" from="26289,6858" to="262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GysAAAADcAAAADwAAAGRycy9kb3ducmV2LnhtbERPTYvCMBC9C/sfwix403Q9iFajiCAo&#10;elBX2OvQTJtiMylJ1nb//UYQvM3jfc5y3dtGPMiH2rGCr3EGgrhwuuZKwe17N5qBCBFZY+OYFPxR&#10;gPXqY7DEXLuOL/S4xkqkEA45KjAxtrmUoTBkMYxdS5y40nmLMUFfSe2xS+G2kZMsm0qLNacGgy1t&#10;DRX3669VIA/H7ux3k1tZlfvW/RzMadr1Sg0/+80CRKQ+vsUv916n+dkcns+kC+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9hsrAAAAA3AAAAA8AAAAAAAAAAAAAAAAA&#10;oQIAAGRycy9kb3ducmV2LnhtbFBLBQYAAAAABAAEAPkAAACOAwAAAAA=&#10;" strokeweight="1.5pt"/>
                  <v:line id="Straight Connector 33" o:spid="_x0000_s1421" style="position:absolute;flip:y;visibility:visible;mso-wrap-style:square" from="30861,6858" to="308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65isQAAADcAAAADwAAAGRycy9kb3ducmV2LnhtbESPQWsCMRCF74L/IYzQW83qQWRrFBEE&#10;pT1UK3gdNrObpZvJkqTu9t93DgVvM7w3732z2Y2+Uw+KqQ1sYDEvQBFXwbbcGLh9HV/XoFJGttgF&#10;JgO/lGC3nU42WNow8IUe19woCeFUogGXc19qnSpHHtM89MSi1SF6zLLGRtuIg4T7Ti+LYqU9tiwN&#10;Dns6OKq+rz/egD6/D5/xuLzVTX3qw/3sPlbDaMzLbNy/gco05qf5//pkBX8h+PKMTK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HrmKxAAAANwAAAAPAAAAAAAAAAAA&#10;AAAAAKECAABkcnMvZG93bnJldi54bWxQSwUGAAAAAAQABAD5AAAAkgMAAAAA&#10;" strokeweight="1.5pt"/>
                </v:group>
                <v:group id="Group 34" o:spid="_x0000_s1422" style="position:absolute;left:35442;top:28981;width:3427;height:3105;rotation:180" coordorigin="26289,5715" coordsize="463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lIPkMEAAADcAAAADwAA&#10;AAAAAAAAAAAAAACqAgAAZHJzL2Rvd25yZXYueG1sUEsFBgAAAAAEAAQA+gAAAJgDAAAAAA==&#10;">
                  <v:line id="Straight Connector 35" o:spid="_x0000_s1423" style="position:absolute;flip:y;visibility:visible;mso-wrap-style:square" from="26289,5715" to="28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CZsAAAADcAAAADwAAAGRycy9kb3ducmV2LnhtbERPTYvCMBC9C/6HMII3Te1BlmoUEQRl&#10;Pbiu4HVopk2xmZQk2u6/NwsLe5vH+5z1drCteJEPjWMFi3kGgrh0uuFawe37MPsAESKyxtYxKfih&#10;ANvNeLTGQruev+h1jbVIIRwKVGBi7AopQ2nIYpi7jjhxlfMWY4K+ltpjn8JtK/MsW0qLDacGgx3t&#10;DZWP69MqkKfP/uIP+a2qq2Pn7idzXvaDUtPJsFuBiDTEf/Gf+6jT/EUOv8+kC+Tm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AgmbAAAAA3AAAAA8AAAAAAAAAAAAAAAAA&#10;oQIAAGRycy9kb3ducmV2LnhtbFBLBQYAAAAABAAEAPkAAACOAwAAAAA=&#10;" strokeweight="1.5pt"/>
                  <v:line id="Straight Connector 36" o:spid="_x0000_s1424" style="position:absolute;visibility:visible;mso-wrap-style:square" from="28638,5715" to="309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rlz8EAAADcAAAADwAAAGRycy9kb3ducmV2LnhtbERPTYvCMBC9L/gfwgje1tQVlqUaRQRX&#10;2ZtdEbwNzdjWNpOapNr992ZB8DaP9znzZW8acSPnK8sKJuMEBHFudcWFgsPv5v0LhA/IGhvLpOCP&#10;PCwXg7c5ptreeU+3LBQihrBPUUEZQptK6fOSDPqxbYkjd7bOYIjQFVI7vMdw08iPJPmUBiuODSW2&#10;tC4pr7POKDh2GZ8u9cY12H1vt+fjtfbTH6VGw341AxGoDy/x073Tcf5kCv/Px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quXPwQAAANwAAAAPAAAAAAAAAAAAAAAA&#10;AKECAABkcnMvZG93bnJldi54bWxQSwUGAAAAAAQABAD5AAAAjwMAAAAA&#10;" strokeweight="1.5pt"/>
                  <v:line id="Straight Connector 37" o:spid="_x0000_s1425" style="position:absolute;flip:y;visibility:visible;mso-wrap-style:square" from="26289,6858" to="262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icAAAADcAAAADwAAAGRycy9kb3ducmV2LnhtbERPTYvCMBC9L/gfwgje1lRZZKlGEUFQ&#10;1sOuCl6HZtoUm0lJoq3/3iwI3ubxPmex6m0j7uRD7VjBZJyBIC6crrlScD5tP79BhIissXFMCh4U&#10;YLUcfCww167jP7ofYyVSCIccFZgY21zKUBiyGMauJU5c6bzFmKCvpPbYpXDbyGmWzaTFmlODwZY2&#10;horr8WYVyP1P9+u303NZlbvWXfbmMOt6pUbDfj0HEamPb/HLvdNp/uQL/p9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lv4nAAAAA3AAAAA8AAAAAAAAAAAAAAAAA&#10;oQIAAGRycy9kb3ducmV2LnhtbFBLBQYAAAAABAAEAPkAAACOAwAAAAA=&#10;" strokeweight="1.5pt"/>
                  <v:line id="Straight Connector 38" o:spid="_x0000_s1426" style="position:absolute;flip:y;visibility:visible;mso-wrap-style:square" from="30861,6858" to="308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kaEsAAAADcAAAADwAAAGRycy9kb3ducmV2LnhtbERPTYvCMBC9L/gfwgje1lRhZalGEUFQ&#10;1sOuCl6HZtoUm0lJoq3/3iwI3ubxPmex6m0j7uRD7VjBZJyBIC6crrlScD5tP79BhIissXFMCh4U&#10;YLUcfCww167jP7ofYyVSCIccFZgY21zKUBiyGMauJU5c6bzFmKCvpPbYpXDbyGmWzaTFmlODwZY2&#10;horr8WYVyP1P9+u303NZlbvWXfbmMOt6pUbDfj0HEamPb/HLvdNp/uQL/p9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pGhLAAAAA3AAAAA8AAAAAAAAAAAAAAAAA&#10;oQIAAGRycy9kb3ducmV2LnhtbFBLBQYAAAAABAAEAPkAAACOAwAAAAA=&#10;" strokeweight="1.5pt"/>
                </v:group>
                <v:group id="Group 39" o:spid="_x0000_s1427" style="position:absolute;left:48117;top:28981;width:3427;height:3105;rotation:180" coordorigin="26289,5715" coordsize="463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xu5fkwAAAANwAAAAPAAAA&#10;AAAAAAAAAAAAAKoCAABkcnMvZG93bnJldi54bWxQSwUGAAAAAAQABAD6AAAAlwMAAAAA&#10;">
                  <v:line id="Straight Connector 40" o:spid="_x0000_s1428" style="position:absolute;flip:y;visibility:visible;mso-wrap-style:square" from="26289,5715" to="28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h/sEAAADcAAAADwAAAGRycy9kb3ducmV2LnhtbERPTYvCMBC9L/gfwgje1lQP7lKNIoKg&#10;6GFXBa9DM22KzaQk0dZ/b4SFvc3jfc5i1dtGPMiH2rGCyTgDQVw4XXOl4HLefn6DCBFZY+OYFDwp&#10;wGo5+Fhgrl3Hv/Q4xUqkEA45KjAxtrmUoTBkMYxdS5y40nmLMUFfSe2xS+G2kdMsm0mLNacGgy1t&#10;DBW3090qkPtD9+O300tZlbvWXffmOOt6pUbDfj0HEamP/+I/906n+ZMveD+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9yH+wQAAANwAAAAPAAAAAAAAAAAAAAAA&#10;AKECAABkcnMvZG93bnJldi54bWxQSwUGAAAAAAQABAD5AAAAjwMAAAAA&#10;" strokeweight="1.5pt"/>
                  <v:line id="Straight Connector 41" o:spid="_x0000_s1429" style="position:absolute;visibility:visible;mso-wrap-style:square" from="28638,5715" to="309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53vsUAAADcAAAADwAAAGRycy9kb3ducmV2LnhtbESPQWvCQBCF74X+h2UK3urGFqSkrlIK&#10;1uLNVITehuyYpMnOprsbjf/eOQjeZnhv3vtmsRpdp04UYuPZwGyagSIuvW24MrD/WT+/gYoJ2WLn&#10;mQxcKMJq+fiwwNz6M+/oVKRKSQjHHA3UKfW51rGsyWGc+p5YtKMPDpOsodI24FnCXadfsmyuHTYs&#10;DTX29FlT2RaDM3AYCv79a9ehw+Frszke/tv4ujVm8jR+vINKNKa7+Xb9bQV/JrTyjEy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53vsUAAADcAAAADwAAAAAAAAAA&#10;AAAAAAChAgAAZHJzL2Rvd25yZXYueG1sUEsFBgAAAAAEAAQA+QAAAJMDAAAAAA==&#10;" strokeweight="1.5pt"/>
                  <v:line id="Straight Connector 42" o:spid="_x0000_s1430" style="position:absolute;flip:y;visibility:visible;mso-wrap-style:square" from="26289,6858" to="262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QF8EAAADcAAAADwAAAGRycy9kb3ducmV2LnhtbERPTYvCMBC9L/gfwgje1lQPsluNIoKg&#10;6GFXBa9DM22KzaQk0dZ/b4SFvc3jfc5i1dtGPMiH2rGCyTgDQVw4XXOl4HLefn6BCBFZY+OYFDwp&#10;wGo5+Fhgrl3Hv/Q4xUqkEA45KjAxtrmUoTBkMYxdS5y40nmLMUFfSe2xS+G2kdMsm0mLNacGgy1t&#10;DBW3090qkPtD9+O300tZlbvWXffmOOt6pUbDfj0HEamP/+I/906n+ZNveD+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JBAXwQAAANwAAAAPAAAAAAAAAAAAAAAA&#10;AKECAABkcnMvZG93bnJldi54bWxQSwUGAAAAAAQABAD5AAAAjwMAAAAA&#10;" strokeweight="1.5pt"/>
                  <v:line id="Straight Connector 43" o:spid="_x0000_s1431" style="position:absolute;flip:y;visibility:visible;mso-wrap-style:square" from="30861,6858" to="308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zN8QAAADcAAAADwAAAGRycy9kb3ducmV2LnhtbESPQWvDMAyF74P9B6PBbqvTHMrI6pZR&#10;KLS0h64r7CpiJQ6L5WC7Tfrvp0NhN4n39N6n5XryvbpRTF1gA/NZAYq4Drbj1sDle/v2DiplZIt9&#10;YDJwpwTr1fPTEisbRv6i2zm3SkI4VWjA5TxUWqfakcc0CwOxaE2IHrOssdU24ijhvtdlUSy0x46l&#10;weFAG0f17/nqDej9YTzFbXlp2mY3hJ+9Oy7GyZjXl+nzA1SmKf+bH9c7K/il4MszMoF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cnM3xAAAANwAAAAPAAAAAAAAAAAA&#10;AAAAAKECAABkcnMvZG93bnJldi54bWxQSwUGAAAAAAQABAD5AAAAkgMAAAAA&#10;" strokeweight="1.5pt"/>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49" o:spid="_x0000_s1432" type="#_x0000_t22" style="position:absolute;left:3379;top:37261;width:5070;height:7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DlMIA&#10;AADcAAAADwAAAGRycy9kb3ducmV2LnhtbERP32vCMBB+F/Y/hBv4ZlMV56hGkcJkIGOsXd9vzdmW&#10;NZeSRO3++2Uw8O0+vp+33Y+mF1dyvrOsYJ6kIIhrqztuFHyWL7NnED4ga+wtk4If8rDfPUy2mGl7&#10;4w+6FqERMYR9hgraEIZMSl+3ZNAndiCO3Nk6gyFC10jt8BbDTS8XafokDXYcG1ocKG+p/i4uRsH6&#10;a1Uccs5Le+rXla6q9+PbUio1fRwPGxCBxnAX/7tfdZy/mMPfM/EC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OUwgAAANwAAAAPAAAAAAAAAAAAAAAAAJgCAABkcnMvZG93&#10;bnJldi54bWxQSwUGAAAAAAQABAD1AAAAhwMAAAAA&#10;" adj="3779" filled="f" strokeweight="1.5pt"/>
                <v:shape id="Can 50" o:spid="_x0000_s1433" type="#_x0000_t22" style="position:absolute;left:13519;top:41402;width:3380;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sDLwA&#10;AADcAAAADwAAAGRycy9kb3ducmV2LnhtbERPzYrCMBC+C75DGMGbpltkka5RRBS8qvsAQzI2xWZS&#10;mljj2xtB8DYf3++sNsm1YqA+NJ4V/MwLEMTam4ZrBf+Xw2wJIkRkg61nUvCkAJv1eLTCyvgHn2g4&#10;x1rkEA4VKrAxdpWUQVtyGOa+I87c1fcOY4Z9LU2PjxzuWlkWxa902HBusNjRzpK+ne9OwU7vDzeZ&#10;jPVDFxbFKQ5pq69KTSdp+wciUopf8cd9NHl+WcL7mXyBX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4GwMvAAAANwAAAAPAAAAAAAAAAAAAAAAAJgCAABkcnMvZG93bnJldi54&#10;bWxQSwUGAAAAAAQABAD1AAAAgQMAAAAA&#10;" adj="4408" filled="f" strokeweight="1.5pt"/>
                <v:shape id="Can 51" o:spid="_x0000_s1434" type="#_x0000_t22" style="position:absolute;left:20279;top:41402;width:3380;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l7wA&#10;AADcAAAADwAAAGRycy9kb3ducmV2LnhtbERPzYrCMBC+L/gOYQRva6ouItUoIgpedX2AIRmbYjMp&#10;Tazx7Y0geJuP73dWm+Qa0VMXas8KJuMCBLH2puZKweX/8LsAESKywcYzKXhSgM168LPC0vgHn6g/&#10;x0rkEA4lKrAxtqWUQVtyGMa+Jc7c1XcOY4ZdJU2HjxzuGjktirl0WHNusNjSzpK+ne9OwU7vDzeZ&#10;jPV9G/6KU+zTVl+VGg3TdgkiUopf8cd9NHn+dAbvZ/IFcv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rMmXvAAAANwAAAAPAAAAAAAAAAAAAAAAAJgCAABkcnMvZG93bnJldi54&#10;bWxQSwUGAAAAAAQABAD1AAAAgQMAAAAA&#10;" adj="4408" filled="f" strokeweight="1.5pt"/>
                <v:shape id="Can 52" o:spid="_x0000_s1435" type="#_x0000_t22" style="position:absolute;left:27039;top:41402;width:3380;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R474A&#10;AADcAAAADwAAAGRycy9kb3ducmV2LnhtbERPS2rDMBDdF3oHMYXuGrnBhOJEDiHU0K3THGCQxpax&#10;NTKWaqu3rwqF7ubxvnM6JzeJlZYweFbwuitAEGtvBu4V3D+blzcQISIbnDyTgm8KcK4fH05YGb9x&#10;S+st9iKHcKhQgY1xrqQM2pLDsPMzceY6vziMGS69NAtuOdxNcl8UB+lw4NxgcaarJT3evpyCq35v&#10;RpmM9escyqKNa7roTqnnp3Q5goiU4r/4z/1h8vx9Cb/P5Atk/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VFUeO+AAAA3AAAAA8AAAAAAAAAAAAAAAAAmAIAAGRycy9kb3ducmV2&#10;LnhtbFBLBQYAAAAABAAEAPUAAACDAwAAAAA=&#10;" adj="4408" filled="f" strokeweight="1.5pt"/>
                <v:shape id="Can 53" o:spid="_x0000_s1436" type="#_x0000_t22" style="position:absolute;left:52389;top:40366;width:5070;height:7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Fl8EA&#10;AADcAAAADwAAAGRycy9kb3ducmV2LnhtbERP24rCMBB9F/Yfwiz4pqkuXqhGkcIugohs3b6PzdgW&#10;m0lpslr/3giCb3M411muO1OLK7WusqxgNIxAEOdWV1wo+Dt+D+YgnEfWWFsmBXdysF599JYYa3vj&#10;X7qmvhAhhF2MCkrvm1hKl5dk0A1tQxy4s20N+gDbQuoWbyHc1HIcRVNpsOLQUGJDSUn5Jf03Cman&#10;SbpJODnaXT3LdJYdfvZfUqn+Z7dZgPDU+bf45d7qMH88gecz4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QxZfBAAAA3AAAAA8AAAAAAAAAAAAAAAAAmAIAAGRycy9kb3du&#10;cmV2LnhtbFBLBQYAAAAABAAEAPUAAACGAwAAAAA=&#10;" adj="3779" filled="f" strokeweight="1.5pt"/>
                <v:roundrect id="Rounded Rectangle 54" o:spid="_x0000_s1437" style="position:absolute;left:36334;top:40417;width:8450;height:51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QQ8IA&#10;AADcAAAADwAAAGRycy9kb3ducmV2LnhtbERPTWsCMRC9F/wPYYTeaqKFtaxGUUFoT622l96GzZjd&#10;djNZkriu/74pCN7m8T5nuR5cK3oKsfGsYTpRIIgrbxq2Gr4+908vIGJCNth6Jg1XirBejR6WWBp/&#10;4QP1x2RFDuFYooY6pa6UMlY1OYwT3xFn7uSDw5RhsNIEvORw18qZUoV02HBuqLGjXU3V7/HsNBTP&#10;yW3DXO0OP3s7t9fv/k19vGv9OB42CxCJhnQX39yvJs+fFfD/TL5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tBDwgAAANwAAAAPAAAAAAAAAAAAAAAAAJgCAABkcnMvZG93&#10;bnJldi54bWxQSwUGAAAAAAQABAD1AAAAhwMAAAAA&#10;" filled="f" strokeweight="1.5pt">
                  <v:textbox>
                    <w:txbxContent>
                      <w:p w:rsidR="0093783C" w:rsidRPr="00784D3F" w:rsidRDefault="0093783C" w:rsidP="00335E4B">
                        <w:pPr>
                          <w:pStyle w:val="NormalWeb"/>
                          <w:bidi/>
                          <w:spacing w:before="0" w:beforeAutospacing="0" w:after="0" w:afterAutospacing="0" w:line="240" w:lineRule="exact"/>
                          <w:jc w:val="center"/>
                          <w:rPr>
                            <w:rFonts w:ascii="Traditional Arabic" w:eastAsia="Calibri" w:hAnsi="Traditional Arabic" w:cs="Traditional Arabic"/>
                            <w:sz w:val="20"/>
                            <w:szCs w:val="20"/>
                            <w:lang w:val="en-CA" w:bidi="ar-SY"/>
                          </w:rPr>
                        </w:pPr>
                        <w:r w:rsidRPr="00784D3F">
                          <w:rPr>
                            <w:rFonts w:ascii="Traditional Arabic" w:eastAsia="Calibri" w:hAnsi="Traditional Arabic" w:cs="Traditional Arabic" w:hint="cs"/>
                            <w:sz w:val="20"/>
                            <w:szCs w:val="20"/>
                            <w:rtl/>
                            <w:lang w:val="en-CA" w:bidi="ar-SY"/>
                          </w:rPr>
                          <w:t>مكبس مرشح</w:t>
                        </w:r>
                        <w:r w:rsidRPr="00EA62B3">
                          <w:rPr>
                            <w:rFonts w:ascii="Traditional Arabic" w:eastAsia="Calibri" w:hAnsi="Traditional Arabic" w:cs="Traditional Arabic" w:hint="cs"/>
                            <w:sz w:val="20"/>
                            <w:szCs w:val="20"/>
                            <w:rtl/>
                            <w:lang w:val="en-CA" w:bidi="ar-SY"/>
                          </w:rPr>
                          <w:t xml:space="preserve"> </w:t>
                        </w:r>
                        <w:r w:rsidRPr="00784D3F">
                          <w:rPr>
                            <w:rFonts w:ascii="Traditional Arabic" w:eastAsia="Calibri" w:hAnsi="Traditional Arabic" w:cs="Traditional Arabic" w:hint="cs"/>
                            <w:sz w:val="20"/>
                            <w:szCs w:val="20"/>
                            <w:rtl/>
                            <w:lang w:val="en-CA" w:bidi="ar-SY"/>
                          </w:rPr>
                          <w:t>الكالوميل</w:t>
                        </w:r>
                      </w:p>
                    </w:txbxContent>
                  </v:textbox>
                </v:roundrect>
                <v:rect id="Rectangle 55" o:spid="_x0000_s1438" style="position:absolute;left:23659;top:18630;width:169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N5sQA&#10;AADcAAAADwAAAGRycy9kb3ducmV2LnhtbERPS2vCQBC+F/wPywje6kaFVlI3QS2FHopY9eJtzE6T&#10;YHY2ZFfz+PVdodDbfHzPWaWdqcSdGldaVjCbRiCIM6tLzhWcjh/PSxDOI2usLJOCnhykyehphbG2&#10;LX/T/eBzEULYxaig8L6OpXRZQQbd1NbEgfuxjUEfYJNL3WAbwk0l51H0Ig2WHBoKrGlbUHY93IwC&#10;g++LYX/puT9evk7V5rzbDeubUpNxt34D4anz/+I/96cO8+ev8HgmXC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jebEAAAA3AAAAA8AAAAAAAAAAAAAAAAAmAIAAGRycy9k&#10;b3ducmV2LnhtbFBLBQYAAAAABAAEAPUAAACJAwAAAAA=&#10;" filled="f" strokeweight="1.5pt"/>
                <v:group id="Group 58" o:spid="_x0000_s1439" style="position:absolute;left:28729;top:25876;width:2488;height:3105" coordorigin="36639,26289" coordsize="3365,3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57" o:spid="_x0000_s1440" style="position:absolute;left:38798;top:26289;width:120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8D8QA&#10;AADcAAAADwAAAGRycy9kb3ducmV2LnhtbERPS2vCQBC+F/wPywje6kaFUlM3QS2FHopY9eJtzE6T&#10;YHY2ZFfz+PVdodDbfHzPWaWdqcSdGldaVjCbRiCIM6tLzhWcjh/PryCcR9ZYWSYFPTlIk9HTCmNt&#10;W/6m+8HnIoSwi1FB4X0dS+myggy6qa2JA/djG4M+wCaXusE2hJtKzqPoRRosOTQUWNO2oOx6uBkF&#10;Bt8Xw/7Sc3+8fJ2qzXm3G9Y3pSbjbv0GwlPn/8V/7k8d5s+X8HgmXC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vA/EAAAA3AAAAA8AAAAAAAAAAAAAAAAAmAIAAGRycy9k&#10;b3ducmV2LnhtbFBLBQYAAAAABAAEAPUAAACJAwAAAAA=&#10;" filled="f" strokeweight="1.5pt"/>
                  <v:oval id="Oval 56" o:spid="_x0000_s1441" style="position:absolute;left:36639;top:26289;width:336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hZpcgA&#10;AADcAAAADwAAAGRycy9kb3ducmV2LnhtbESPT2vCQBDF74V+h2WE3urGFotEV7GKqZcijX9ob0N2&#10;TEKzsyG71fTbdw5CbzO8N+/9ZrboXaMu1IXas4HRMAFFXHhbc2ngsN88TkCFiGyx8UwGfinAYn5/&#10;N8PU+it/0CWPpZIQDikaqGJsU61DUZHDMPQtsWhn3zmMsnalth1eJdw1+ilJXrTDmqWhwpZWFRXf&#10;+Y8zkL2uduv3/e74mfFomdXH8ekt/zLmYdAvp6Ai9fHffLveWsF/Fnx5Ri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FmlyAAAANwAAAAPAAAAAAAAAAAAAAAAAJgCAABk&#10;cnMvZG93bnJldi54bWxQSwUGAAAAAAQABAD1AAAAjQMAAAAA&#10;" strokeweight="1.5pt"/>
                </v:group>
                <v:shape id="Straight Arrow Connector 59" o:spid="_x0000_s1442" type="#_x0000_t32" style="position:absolute;left:6759;top:6727;width:0;height:3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078QAAADcAAAADwAAAGRycy9kb3ducmV2LnhtbERPS2vCQBC+F/oflhF6040txBJdRQql&#10;OeTio6i3MTtNQrOzaXbN4993C0Jv8/E9Z7UZTC06al1lWcF8FoEgzq2uuFBwPLxPX0E4j6yxtkwK&#10;RnKwWT8+rDDRtucddXtfiBDCLkEFpfdNIqXLSzLoZrYhDtyXbQ36ANtC6hb7EG5q+RxFsTRYcWgo&#10;saG3kvLv/c0oSEf8+PzRY3a+Li4uPp+y0fe5Uk+TYbsE4Wnw/+K7O9Vh/ssc/p4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5XTvxAAAANwAAAAPAAAAAAAAAAAA&#10;AAAAAKECAABkcnMvZG93bnJldi54bWxQSwUGAAAAAAQABAD5AAAAkgMAAAAA&#10;" strokecolor="#4a7ebb" strokeweight="2pt">
                  <v:stroke startarrowwidth="wide" startarrowlength="long" endarrow="block" endcap="round"/>
                </v:shape>
                <v:group id="Group 65" o:spid="_x0000_s1443" style="position:absolute;left:10891;top:16560;width:3427;height:9316" coordorigin="14732,19431" coordsize="4635,10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3" o:spid="_x0000_s1444" style="position:absolute;left:14796;top:19431;width:457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dOMQA&#10;AADcAAAADwAAAGRycy9kb3ducmV2LnhtbERPS2vCQBC+C/0PyxR6000NSEldxbYIPYi0SS69jdlp&#10;EpqdDdnVPH59VxC8zcf3nPV2MI24UOdqywqeFxEI4sLqmksFebafv4BwHlljY5kUjORgu3mYrTHR&#10;tudvuqS+FCGEXYIKKu/bREpXVGTQLWxLHLhf2xn0AXal1B32Idw0chlFK2mw5tBQYUvvFRV/6dko&#10;MPgRT1+nkcfsdMibt5/jcdqdlXp6HHavIDwN/i6+uT91mB/HcH0mXC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HTjEAAAA3AAAAA8AAAAAAAAAAAAAAAAAmAIAAGRycy9k&#10;b3ducmV2LnhtbFBLBQYAAAAABAAEAPUAAACJAwAAAAA=&#10;" filled="f" strokeweight="1.5pt"/>
                  <v:group id="Group 60" o:spid="_x0000_s1445" style="position:absolute;left:14732;top:26288;width:4636;height:3429;rotation:180" coordorigin="26289,5715" coordsize="463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DwaMAAAADcAAAADwAAAGRycy9kb3ducmV2LnhtbERPS4vCMBC+L/gfwgje&#10;1nR9IV2jiCD2JPgAr0MzNt1tJiWJWv+9WVjwNh/fcxarzjbiTj7UjhV8DTMQxKXTNVcKzqft5xxE&#10;iMgaG8ek4EkBVsvexwJz7R58oPsxViKFcMhRgYmxzaUMpSGLYeha4sRdnbcYE/SV1B4fKdw2cpRl&#10;M2mx5tRgsKWNofL3eLMK9CSMz1QUaz/a/5ym9XRnqutFqUG/W3+DiNTFt/jfXeg0fzyBv2fSBXL5&#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lkPBowAAAANwAAAAPAAAA&#10;AAAAAAAAAAAAAKoCAABkcnMvZG93bnJldi54bWxQSwUGAAAAAAQABAD6AAAAlwMAAAAA&#10;">
                    <v:line id="Straight Connector 61" o:spid="_x0000_s1446" style="position:absolute;flip:y;visibility:visible;mso-wrap-style:square" from="26289,5715" to="28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GcsEAAADcAAAADwAAAGRycy9kb3ducmV2LnhtbERPTYvCMBC9L/gfwgje1lRlRapRRBAU&#10;97CrgtehmTbFZlKSaOu/3yws7G0e73NWm9424kk+1I4VTMYZCOLC6ZorBdfL/n0BIkRkjY1jUvCi&#10;AJv14G2FuXYdf9PzHCuRQjjkqMDE2OZShsKQxTB2LXHiSuctxgR9JbXHLoXbRk6zbC4t1pwaDLa0&#10;M1Tczw+rQB5P3ZffT69lVR5adzuaz3nXKzUa9tsliEh9/Bf/uQ86zZ99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3EZywQAAANwAAAAPAAAAAAAAAAAAAAAA&#10;AKECAABkcnMvZG93bnJldi54bWxQSwUGAAAAAAQABAD5AAAAjwMAAAAA&#10;" strokeweight="1.5pt"/>
                    <v:line id="Straight Connector 62" o:spid="_x0000_s1447" style="position:absolute;visibility:visible;mso-wrap-style:square" from="28638,5715" to="309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gaN8EAAADcAAAADwAAAGRycy9kb3ducmV2LnhtbERPTYvCMBC9L/gfwgje1tQVZKlGEUFd&#10;vG1XBG9DM7a1zaQmqdZ/bxYW9jaP9zmLVW8acSfnK8sKJuMEBHFudcWFguPP9v0ThA/IGhvLpOBJ&#10;HlbLwdsCU20f/E33LBQihrBPUUEZQptK6fOSDPqxbYkjd7HOYIjQFVI7fMRw08iPJJlJgxXHhhJb&#10;2pSU11lnFJy6jM/Xeusa7Hb7/eV0q/30oNRo2K/nIAL14V/85/7Scf50B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Bo3wQAAANwAAAAPAAAAAAAAAAAAAAAA&#10;AKECAABkcnMvZG93bnJldi54bWxQSwUGAAAAAAQABAD5AAAAjwMAAAAA&#10;" strokeweight="1.5pt"/>
                    <v:line id="Straight Connector 63" o:spid="_x0000_s1448" style="position:absolute;flip:y;visibility:visible;mso-wrap-style:square" from="26289,6858" to="262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J9nsEAAADcAAAADwAAAGRycy9kb3ducmV2LnhtbERPTYvCMBC9L/gfwgje1lQFV6pRRBAU&#10;97CrgtehmTbFZlKSaOu/3yws7G0e73NWm9424kk+1I4VTMYZCOLC6ZorBdfL/n0BIkRkjY1jUvCi&#10;AJv14G2FuXYdf9PzHCuRQjjkqMDE2OZShsKQxTB2LXHiSuctxgR9JbXHLoXbRk6zbC4t1pwaDLa0&#10;M1Tczw+rQB5P3ZffT69lVR5adzuaz3nXKzUa9tsliEh9/Bf/uQ86zZ99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Qn2ewQAAANwAAAAPAAAAAAAAAAAAAAAA&#10;AKECAABkcnMvZG93bnJldi54bWxQSwUGAAAAAAQABAD5AAAAjwMAAAAA&#10;" strokeweight="1.5pt"/>
                    <v:line id="Straight Connector 64" o:spid="_x0000_s1449" style="position:absolute;flip:y;visibility:visible;mso-wrap-style:square" from="30861,6858" to="308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3p7MQAAADcAAAADwAAAGRycy9kb3ducmV2LnhtbESPQWsCMRCF74X+hzAFbzWrgpStUUQQ&#10;lPZgVeh12MxuFjeTJUnd7b/vHAreZnhv3vtmtRl9p+4UUxvYwGxagCKugm25MXC97F/fQKWMbLEL&#10;TAZ+KcFm/fy0wtKGgb/ofs6NkhBOJRpwOfel1qly5DFNQ08sWh2ixyxrbLSNOEi47/S8KJbaY8vS&#10;4LCnnaPqdv7xBvTxYzjF/fxaN/WhD99H97kcRmMmL+P2HVSmMT/M/9cHK/gLoZV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ensxAAAANwAAAAPAAAAAAAAAAAA&#10;AAAAAKECAABkcnMvZG93bnJldi54bWxQSwUGAAAAAAQABAD5AAAAkgMAAAAA&#10;" strokeweight="1.5pt"/>
                  </v:group>
                </v:group>
                <v:shape id="Straight Arrow Connector 67" o:spid="_x0000_s1450" type="#_x0000_t32" style="position:absolute;left:12628;top:13455;width:42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0qMEAAADcAAAADwAAAGRycy9kb3ducmV2LnhtbERPS2rDMBDdF3IHMYXsGrk2tLYbJYRC&#10;Id2k1MkBBmsim1ojY8mf3D4qFLqbx/vOdr/YTkw0+NaxgudNAoK4drplo+By/njKQfiArLFzTApu&#10;5GG/Wz1ssdRu5m+aqmBEDGFfooImhL6U0tcNWfQb1xNH7uoGiyHCwUg94BzDbSfTJHmRFluODQ32&#10;9N5Q/VONVsFXl5nZ1eMp4+n0+ZoWpsLcKLV+XA5vIAIt4V/85z7qOD8r4PeZeIH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HSowQAAANwAAAAPAAAAAAAAAAAAAAAA&#10;AKECAABkcnMvZG93bnJldi54bWxQSwUGAAAAAAQABAD5AAAAjwMAAAAA&#10;" strokecolor="#4a7ebb" strokeweight="2pt">
                  <v:stroke startarrowwidth="wide" startarrowlength="long" endcap="round"/>
                </v:shape>
                <v:shape id="Straight Arrow Connector 68" o:spid="_x0000_s1451" type="#_x0000_t32" style="position:absolute;left:12628;top:13455;width:0;height:3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O4DcQAAADcAAAADwAAAGRycy9kb3ducmV2LnhtbESPQYvCQAyF7wv+hyGCt3XqorJ0HUXE&#10;BT14qHrxFjqxLXYypTPW+u/NQfCW8F7e+7JY9a5WHbWh8mxgMk5AEefeVlwYOJ/+v39BhYhssfZM&#10;Bp4UYLUcfC0wtf7BGXXHWCgJ4ZCigTLGJtU65CU5DGPfEIt29a3DKGtbaNviQ8JdrX+SZK4dViwN&#10;JTa0KSm/He/OQHefzmyWrYtuf77MttfTzl0O3pjRsF//gYrUx4/5fb2zgj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7gNxAAAANwAAAAPAAAAAAAAAAAA&#10;AAAAAKECAABkcnMvZG93bnJldi54bWxQSwUGAAAAAAQABAD5AAAAkgMAAAAA&#10;" strokecolor="#4a7ebb" strokeweight="2pt">
                  <v:stroke startarrowwidth="wide" startarrowlength="long" endcap="round"/>
                </v:shape>
                <v:shape id="Straight Arrow Connector 69" o:spid="_x0000_s1452" type="#_x0000_t32" style="position:absolute;left:16899;top:13455;width:0;height:144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dlr8AAADcAAAADwAAAGRycy9kb3ducmV2LnhtbERPvQrCMBDeBd8hnOCmqaIi1SgiCjo4&#10;VF3cjuZsi82lNLHWtzeC4HYf3+8t160pRUO1KywrGA0jEMSp1QVnCq6X/WAOwnlkjaVlUvAmB+tV&#10;t7PEWNsXJ9ScfSZCCLsYFeTeV7GULs3JoBvaijhwd1sb9AHWmdQ1vkK4KeU4imbSYMGhIceKtjml&#10;j/PTKGiek6lOkk3WHK+36e5+OZjbySrV77WbBQhPrf+Lf+6DDvMnI/g+Ey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8dlr8AAADcAAAADwAAAAAAAAAAAAAAAACh&#10;AgAAZHJzL2Rvd25yZXYueG1sUEsFBgAAAAAEAAQA+QAAAI0DAAAAAA==&#10;" strokecolor="#4a7ebb" strokeweight="2pt">
                  <v:stroke startarrowwidth="wide" startarrowlength="long" endcap="round"/>
                </v:shape>
                <v:shape id="Straight Arrow Connector 70" o:spid="_x0000_s1453" type="#_x0000_t32" style="position:absolute;left:16899;top:27946;width:25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5cQAAADcAAAADwAAAGRycy9kb3ducmV2LnhtbERPS2vCQBC+F/wPywi91Y1SoqSuIoI0&#10;h1zqg9rbNDsmwexsmt3m8e+7hUJv8/E9Z70dTC06al1lWcF8FoEgzq2uuFBwPh2eViCcR9ZYWyYF&#10;IznYbiYPa0y07fmNuqMvRAhhl6CC0vsmkdLlJRl0M9sQB+5mW4M+wLaQusU+hJtaLqIolgYrDg0l&#10;NrQvKb8fv42CdMTXy5ces+vn8sPF1/ds9H2u1ON02L2A8DT4f/GfO9Vh/vMCfp8JF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nlxAAAANwAAAAPAAAAAAAAAAAA&#10;AAAAAKECAABkcnMvZG93bnJldi54bWxQSwUGAAAAAAQABAD5AAAAkgMAAAAA&#10;" strokecolor="#4a7ebb" strokeweight="2pt">
                  <v:stroke startarrowwidth="wide" startarrowlength="long" endarrow="block" endcap="round"/>
                </v:shape>
                <v:shape id="Straight Arrow Connector 72" o:spid="_x0000_s1454" type="#_x0000_t32" style="position:absolute;left:21172;top:2070;width:0;height:3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mesIAAADcAAAADwAAAGRycy9kb3ducmV2LnhtbERPS4vCMBC+C/6HMAveNF0fy9JtFBEF&#10;PXho9eJtaKYPtpmUJtb6783Cgrf5+J6TbAbTiJ46V1tW8DmLQBDnVtdcKrheDtNvEM4ja2wsk4In&#10;Odisx6MEY20fnFKf+VKEEHYxKqi8b2MpXV6RQTezLXHgCtsZ9AF2pdQdPkK4aeQ8ir6kwZpDQ4Ut&#10;7SrKf7O7UdDflyudptuyP11vq31xOZrb2So1+Ri2PyA8Df4t/ncfdZi/XMDfM+E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EmesIAAADcAAAADwAAAAAAAAAAAAAA&#10;AAChAgAAZHJzL2Rvd25yZXYueG1sUEsFBgAAAAAEAAQA+QAAAJADAAAAAA==&#10;" strokecolor="#4a7ebb" strokeweight="2pt">
                  <v:stroke startarrowwidth="wide" startarrowlength="long" endcap="round"/>
                </v:shape>
                <v:shape id="Straight Arrow Connector 73" o:spid="_x0000_s1455" type="#_x0000_t32" style="position:absolute;left:21172;top:2070;width:59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oS8EAAADcAAAADwAAAGRycy9kb3ducmV2LnhtbERPS2rDMBDdF3oHMYXsGrmxaRM3SiiF&#10;QrJxqdsDDNZENrVGxpI/uX0UCGQ3j/ed7X62rRip941jBS/LBARx5XTDRsHf79fzGoQPyBpbx6Tg&#10;TB72u8eHLebaTfxDYxmMiCHsc1RQh9DlUvqqJot+6TriyJ1cbzFE2Bupe5xiuG3lKklepcWGY0ON&#10;HX3WVP2Xg1Xw3aZmctVQpDwWx7fVxpS4NkotnuaPdxCB5nAX39wHHednGVyfiRfI3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x6hLwQAAANwAAAAPAAAAAAAAAAAAAAAA&#10;AKECAABkcnMvZG93bnJldi54bWxQSwUGAAAAAAQABAD5AAAAjwMAAAAA&#10;" strokecolor="#4a7ebb" strokeweight="2pt">
                  <v:stroke startarrowwidth="wide" startarrowlength="long" endcap="round"/>
                </v:shape>
                <v:shape id="Straight Arrow Connector 74" o:spid="_x0000_s1456" type="#_x0000_t32" style="position:absolute;left:27086;top:2070;width:0;height:248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QblcEAAADcAAAADwAAAGRycy9kb3ducmV2LnhtbERPTYvCMBC9L/gfwgje1lSxItUoIgru&#10;wUOtF29DM7bFZlKaWOu/NwuCt3m8z1ltelOLjlpXWVYwGUcgiHOrKy4UXLLD7wKE88gaa8uk4EUO&#10;NuvBzwoTbZ+cUnf2hQgh7BJUUHrfJFK6vCSDbmwb4sDdbGvQB9gWUrf4DOGmltMomkuDFYeGEhva&#10;lZTfzw+joHvMYp2m26L7u1zj/S07muvJKjUa9tslCE+9/4o/7qMO82cx/D8TLp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VBuVwQAAANwAAAAPAAAAAAAAAAAAAAAA&#10;AKECAABkcnMvZG93bnJldi54bWxQSwUGAAAAAAQABAD5AAAAjwMAAAAA&#10;" strokecolor="#4a7ebb" strokeweight="2pt">
                  <v:stroke startarrowwidth="wide" startarrowlength="long" endcap="round"/>
                </v:shape>
                <v:shape id="Straight Arrow Connector 75" o:spid="_x0000_s1457" type="#_x0000_t32" style="position:absolute;left:27086;top:26911;width:16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f5sIAAADcAAAADwAAAGRycy9kb3ducmV2LnhtbERPTWvCQBC9C/6HZQredFORVFJXEUH0&#10;4EWraG/T7DQJZmdjdjXJv+8WBG/zeJ8zW7SmFA+qXWFZwfsoAkGcWl1wpuD4tR5OQTiPrLG0TAo6&#10;crCY93szTLRteE+Pg89ECGGXoILc+yqR0qU5GXQjWxEH7tfWBn2AdSZ1jU0IN6UcR1EsDRYcGnKs&#10;aJVTej3cjYJth5vTTXe7y8/Ht4sv513nm1SpwVu7/AThqfUv8dO91WH+JIb/Z8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qf5sIAAADcAAAADwAAAAAAAAAAAAAA&#10;AAChAgAAZHJzL2Rvd25yZXYueG1sUEsFBgAAAAAEAAQA+QAAAJADAAAAAA==&#10;" strokecolor="#4a7ebb" strokeweight="2pt">
                  <v:stroke startarrowwidth="wide" startarrowlength="long" endarrow="block" endcap="round"/>
                </v:shape>
                <v:shape id="Straight Arrow Connector 76" o:spid="_x0000_s1458" type="#_x0000_t32" style="position:absolute;left:31264;top:25876;width:4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Y6fcMAAADcAAAADwAAAGRycy9kb3ducmV2LnhtbERPS2vCQBC+C/6HZQRvumkpsaSuUgRp&#10;Dl5MLbW3aXaahGZn0+yax793C4K3+fies94OphYdta6yrOBhGYEgzq2uuFBwet8vnkE4j6yxtkwK&#10;RnKw3Uwna0y07flIXeYLEULYJaig9L5JpHR5SQbd0jbEgfuxrUEfYFtI3WIfwk0tH6MolgYrDg0l&#10;NrQrKf/NLkZBOuLbx58eD+fv1ZeLz5+H0fe5UvPZ8PoCwtPg7+KbO9Vh/tMK/p8JF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GOn3DAAAA3AAAAA8AAAAAAAAAAAAA&#10;AAAAoQIAAGRycy9kb3ducmV2LnhtbFBLBQYAAAAABAAEAPkAAACRAwAAAAA=&#10;" strokecolor="#4a7ebb" strokeweight="2pt">
                  <v:stroke startarrowwidth="wide" startarrowlength="long" endarrow="block" endcap="round"/>
                </v:shape>
                <v:shape id="Straight Arrow Connector 77" o:spid="_x0000_s1459" type="#_x0000_t32" style="position:absolute;left:37274;top:2070;width:0;height:3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W0C8QAAADcAAAADwAAAGRycy9kb3ducmV2LnhtbESPQYvCQAyF7wv+hyGCt3XqorJ0HUXE&#10;BT14qHrxFjqxLXYypTPW+u/NQfCW8F7e+7JY9a5WHbWh8mxgMk5AEefeVlwYOJ/+v39BhYhssfZM&#10;Bp4UYLUcfC0wtf7BGXXHWCgJ4ZCigTLGJtU65CU5DGPfEIt29a3DKGtbaNviQ8JdrX+SZK4dViwN&#10;JTa0KSm/He/OQHefzmyWrYtuf77MttfTzl0O3pjRsF//gYrUx4/5fb2zgj8V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VbQLxAAAANwAAAAPAAAAAAAAAAAA&#10;AAAAAKECAABkcnMvZG93bnJldi54bWxQSwUGAAAAAAQABAD5AAAAkgMAAAAA&#10;" strokecolor="#4a7ebb" strokeweight="2pt">
                  <v:stroke startarrowwidth="wide" startarrowlength="long" endcap="round"/>
                </v:shape>
                <v:shape id="Straight Arrow Connector 78" o:spid="_x0000_s1460" type="#_x0000_t32" style="position:absolute;left:49855;top:2070;width:0;height:3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kRkMEAAADcAAAADwAAAGRycy9kb3ducmV2LnhtbERPTYvCMBC9C/6HMAveNF1R0a5RRBT0&#10;4KHVi7ehGduyzaQ0sdZ/bwTB2zze5yzXnalES40rLSv4HUUgiDOrS84VXM774RyE88gaK8uk4EkO&#10;1qt+b4mxtg9OqE19LkIIuxgVFN7XsZQuK8igG9maOHA32xj0ATa51A0+Qrip5DiKZtJgyaGhwJq2&#10;BWX/6d0oaO+TqU6STd4eL9fp7nY+mOvJKjX46TZ/IDx1/iv+uA86zJ8s4P1MuE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GRGQwQAAANwAAAAPAAAAAAAAAAAAAAAA&#10;AKECAABkcnMvZG93bnJldi54bWxQSwUGAAAAAAQABAD5AAAAjwMAAAAA&#10;" strokecolor="#4a7ebb" strokeweight="2pt">
                  <v:stroke startarrowwidth="wide" startarrowlength="long" endcap="round"/>
                </v:shape>
                <v:shape id="Straight Arrow Connector 79" o:spid="_x0000_s1461" type="#_x0000_t32" style="position:absolute;left:37274;top:2070;width:59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U4lcQAAADcAAAADwAAAGRycy9kb3ducmV2LnhtbESPQWvCQBCF7wX/wzKCt7pRqbWpq0ih&#10;0F6URn/AkJ1uQrOzIbsm8d93DoK3Gd6b977Z7kffqJ66WAc2sJhnoIjLYGt2Bi7nz+cNqJiQLTaB&#10;ycCNIux3k6ct5jYM/EN9kZySEI45GqhSanOtY1mRxzgPLbFov6HzmGTtnLYdDhLuG73MsrX2WLM0&#10;VNjSR0XlX3H1Bk7Nyg2hvB5X3B+/X5dvrsCNM2Y2HQ/voBKN6WG+X39ZwX8RfHlGJt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TiVxAAAANwAAAAPAAAAAAAAAAAA&#10;AAAAAKECAABkcnMvZG93bnJldi54bWxQSwUGAAAAAAQABAD5AAAAkgMAAAAA&#10;" strokecolor="#4a7ebb" strokeweight="2pt">
                  <v:stroke startarrowwidth="wide" startarrowlength="long" endcap="round"/>
                </v:shape>
                <v:shape id="Straight Arrow Connector 80" o:spid="_x0000_s1462" type="#_x0000_t32" style="position:absolute;left:43188;top:2070;width:47;height:258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aLS8IAAADcAAAADwAAAGRycy9kb3ducmV2LnhtbERPTYvCMBC9C/6HMMLeNHXZinSbiiy7&#10;oAcPtV68Dc3Ylm0mpYm1/nsjCN7m8T4n3YymFQP1rrGsYLmIQBCXVjdcKTgVf/M1COeRNbaWScGd&#10;HGyy6STFRNsb5zQcfSVCCLsEFdTed4mUrqzJoFvYjjhwF9sb9AH2ldQ93kK4aeVnFK2kwYZDQ40d&#10;/dRU/h+vRsFw/Yp1nm+rYX86x7+XYmfOB6vUx2zcfoPwNPq3+OXe6TA/XsLzmXCB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aLS8IAAADcAAAADwAAAAAAAAAAAAAA&#10;AAChAgAAZHJzL2Rvd25yZXYueG1sUEsFBgAAAAAEAAQA+QAAAJADAAAAAA==&#10;" strokecolor="#4a7ebb" strokeweight="2pt">
                  <v:stroke startarrowwidth="wide" startarrowlength="long" endcap="round"/>
                </v:shape>
                <v:shape id="Straight Arrow Connector 81" o:spid="_x0000_s1463" type="#_x0000_t32" style="position:absolute;left:43094;top:27946;width:50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POMQAAADcAAAADwAAAGRycy9kb3ducmV2LnhtbERPS2vCQBC+F/wPywi91Y1Co6SuIoI0&#10;h1zqg9rbNDsmwexsmt3m8e+7hUJv8/E9Z70dTC06al1lWcF8FoEgzq2uuFBwPh2eViCcR9ZYWyYF&#10;IznYbiYPa0y07fmNuqMvRAhhl6CC0vsmkdLlJRl0M9sQB+5mW4M+wLaQusU+hJtaLqIolgYrDg0l&#10;NrQvKb8fv42CdMTXy5ces+vn8sPF1/ds9H2u1ON02L2A8DT4f/GfO9Vh/vMCfp8JF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6A84xAAAANwAAAAPAAAAAAAAAAAA&#10;AAAAAKECAABkcnMvZG93bnJldi54bWxQSwUGAAAAAAQABAD5AAAAkgMAAAAA&#10;" strokecolor="#4a7ebb" strokeweight="2pt">
                  <v:stroke startarrowwidth="wide" startarrowlength="long" endarrow="block" endcap="round"/>
                </v:shape>
                <v:shape id="Straight Arrow Connector 82" o:spid="_x0000_s1464" type="#_x0000_t32" style="position:absolute;left:49995;top:2070;width:43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Sqo8QAAADcAAAADwAAAGRycy9kb3ducmV2LnhtbERPS2vCQBC+F/oflhG8mY2WWomuUgRp&#10;Dl6qLdXbmJ0modnZmF3z+PfdgtDbfHzPWW16U4mWGldaVjCNYhDEmdUl5wo+jrvJAoTzyBory6Rg&#10;IAeb9ePDChNtO36n9uBzEULYJaig8L5OpHRZQQZdZGviwH3bxqAPsMmlbrAL4aaSszieS4Mlh4YC&#10;a9oWlP0cbkZBOuDb51UP+9Pl5ezmp6/94LtMqfGof12C8NT7f/Hdneow//kJ/p4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KqjxAAAANwAAAAPAAAAAAAAAAAA&#10;AAAAAKECAABkcnMvZG93bnJldi54bWxQSwUGAAAAAAQABAD5AAAAkgMAAAAA&#10;" strokecolor="#4a7ebb" strokeweight="2pt">
                  <v:stroke startarrowwidth="wide" startarrowlength="long" endarrow="block" endcap="round"/>
                </v:shape>
                <v:shape id="Straight Arrow Connector 83" o:spid="_x0000_s1465" type="#_x0000_t32" style="position:absolute;left:7604;top:17595;width:0;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o08EAAADcAAAADwAAAGRycy9kb3ducmV2LnhtbERPTYvCMBC9L/gfwgje1lSxItUoIgru&#10;wUOtF29DM7bFZlKaWOu/NwuCt3m8z1ltelOLjlpXWVYwGUcgiHOrKy4UXLLD7wKE88gaa8uk4EUO&#10;NuvBzwoTbZ+cUnf2hQgh7BJUUHrfJFK6vCSDbmwb4sDdbGvQB9gWUrf4DOGmltMomkuDFYeGEhva&#10;lZTfzw+joHvMYp2m26L7u1zj/S07muvJKjUa9tslCE+9/4o/7qMO8+MZ/D8TLp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SjTwQAAANwAAAAPAAAAAAAAAAAAAAAA&#10;AKECAABkcnMvZG93bnJldi54bWxQSwUGAAAAAAQABAD5AAAAjwMAAAAA&#10;" strokecolor="#4a7ebb" strokeweight="2pt">
                  <v:stroke startarrowwidth="wide" startarrowlength="long" endcap="round"/>
                </v:shape>
                <v:shape id="Straight Arrow Connector 84" o:spid="_x0000_s1466" type="#_x0000_t32" style="position:absolute;left:7604;top:20643;width:3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XTMIAAADcAAAADwAAAGRycy9kb3ducmV2LnhtbERPS4vCMBC+L/gfwgjeNFXwQdcoIoge&#10;vPhi3dtsM7bFZlKbaNt/v1kQ9jYf33Pmy8YU4kWVyy0rGA4iEMSJ1TmnCs6nTX8GwnlkjYVlUtCS&#10;g+Wi8zHHWNuaD/Q6+lSEEHYxKsi8L2MpXZKRQTewJXHgbrYy6AOsUqkrrEO4KeQoiibSYM6hIcOS&#10;1hkl9+PTKNi1uL08dLu//ky/3eT6tW99nSjV6zarTxCeGv8vfrt3Oswfj+HvmXC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GXTMIAAADcAAAADwAAAAAAAAAAAAAA&#10;AAChAgAAZHJzL2Rvd25yZXYueG1sUEsFBgAAAAAEAAQA+QAAAJADAAAAAA==&#10;" strokecolor="#4a7ebb" strokeweight="2pt">
                  <v:stroke startarrowwidth="wide" startarrowlength="long" endarrow="block" endcap="round"/>
                </v:shape>
                <v:shape id="Straight Arrow Connector 85" o:spid="_x0000_s1467" type="#_x0000_t32" style="position:absolute;left:5914;top:17595;width:0;height:12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cK8QAAADcAAAADwAAAGRycy9kb3ducmV2LnhtbERPTWvCQBC9C/0PyxR6001FJU1dpQqi&#10;GBAaq/Q4ZKdJaHY2ZLdJ/PddodDbPN7nLNeDqUVHrassK3ieRCCIc6srLhR8nHfjGITzyBpry6Tg&#10;Rg7Wq4fREhNte36nLvOFCCHsElRQet8kUrq8JINuYhviwH3Z1qAPsC2kbrEP4aaW0yhaSIMVh4YS&#10;G9qWlH9nP0bBKU7dZ48vx/12dp5d0usmNf1GqafH4e0VhKfB/4v/3Acd5s8XcH8mX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pwrxAAAANwAAAAPAAAAAAAAAAAA&#10;AAAAAKECAABkcnMvZG93bnJldi54bWxQSwUGAAAAAAQABAD5AAAAkgMAAAAA&#10;" strokecolor="#e46c0a" strokeweight="2pt">
                  <v:stroke startarrowwidth="wide" startarrowlength="long" endarrow="block" endcap="round"/>
                </v:shape>
                <v:shape id="Straight Arrow Connector 86" o:spid="_x0000_s1468" type="#_x0000_t32" style="position:absolute;left:12628;top:25876;width:0;height:10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xu8IAAADcAAAADwAAAGRycy9kb3ducmV2LnhtbERPTWuDQBC9B/Iflin0EuIawTRYNyEJ&#10;pO0pUBM8D+5Upe6suFu1/75bKPQ2j/c5+WE2nRhpcK1lBZsoBkFcWd1yreB+u6x3IJxH1thZJgXf&#10;5OCwXy5yzLSd+J3GwtcihLDLUEHjfZ9J6aqGDLrI9sSB+7CDQR/gUEs94BTCTSeTON5Kgy2HhgZ7&#10;OjdUfRZfRkF5Ols3XXu6rLwey9fupUx1otTjw3x8BuFp9v/iP/ebDvPTJ/h9Jl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Cxu8IAAADcAAAADwAAAAAAAAAAAAAA&#10;AAChAgAAZHJzL2Rvd25yZXYueG1sUEsFBgAAAAAEAAQA+QAAAJADAAAAAA==&#10;" strokecolor="#e46c0a" strokeweight="2pt">
                  <v:stroke startarrowwidth="wide" startarrowlength="long" endcap="round"/>
                </v:shape>
                <v:shape id="Straight Arrow Connector 87" o:spid="_x0000_s1469" type="#_x0000_t32" style="position:absolute;left:5961;top:26911;width:6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xLw8YAAADcAAAADwAAAGRycy9kb3ducmV2LnhtbESPQWvCQBCF70L/wzIFb7ppoa2mrlKE&#10;gihUjEKvQ3ZMgtnZsLuN0V/fORR6m+G9ee+bxWpwreopxMazgadpBoq49LbhysDp+DmZgYoJ2WLr&#10;mQzcKMJq+TBaYG79lQ/UF6lSEsIxRwN1Sl2udSxrchinviMW7eyDwyRrqLQNeJVw1+rnLHvVDhuW&#10;hho7WtdUXoofZyC+Hfv4dZ/PD8V+sw3Feve9vwdjxo/DxzuoREP6N/9db6zgvwit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MS8PGAAAA3AAAAA8AAAAAAAAA&#10;AAAAAAAAoQIAAGRycy9kb3ducmV2LnhtbFBLBQYAAAAABAAEAPkAAACUAwAAAAA=&#10;" strokecolor="#e46c0a" strokeweight="2pt">
                  <v:stroke startarrowwidth="wide" startarrowlength="long" endarrow="block" endcap="round"/>
                </v:shape>
                <v:shape id="Straight Arrow Connector 88" o:spid="_x0000_s1470" type="#_x0000_t32" style="position:absolute;left:22861;top:28981;width:16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2/asMAAADcAAAADwAAAGRycy9kb3ducmV2LnhtbERPS2sCMRC+C/0PYQq9abbVPnZrlFJQ&#10;rAeh29d1SGYfdDPZJlHXf28Khd7m43vOfDnYThzIh9axgutJBoJYO9NyreD9bTV+ABEissHOMSk4&#10;UYDl4mI0x8K4I7/SoYy1SCEcClTQxNgXUgbdkMUwcT1x4irnLcYEfS2Nx2MKt528ybI7abHl1NBg&#10;T88N6e9ybxXcr1/QT/Ptp55Ndxunf/ijCl9KXV0OT48gIg3xX/zn3pg0/zaH32fSBXJ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tv2rDAAAA3AAAAA8AAAAAAAAAAAAA&#10;AAAAoQIAAGRycy9kb3ducmV2LnhtbFBLBQYAAAAABAAEAPkAAACRAwAAAAA=&#10;" strokecolor="#e46c0a" strokeweight="2pt">
                  <v:stroke startarrowwidth="wide" startarrowlength="long" endcap="round"/>
                </v:shape>
                <v:shape id="Straight Arrow Connector 89" o:spid="_x0000_s1471" type="#_x0000_t32" style="position:absolute;left:24504;top:20643;width:47;height:83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4phMYAAADcAAAADwAAAGRycy9kb3ducmV2LnhtbESPQWvCQBCF7wX/wzJCb3VjD7ZGV7GF&#10;gggiVUG8jdkxiWZnQ3arSX9951DwNo9535s303nrKnWjJpSeDQwHCSjizNuScwP73dfLO6gQkS1W&#10;nslARwHms97TFFPr7/xNt23MlYRwSNFAEWOdah2yghyGga+JZXf2jcMossm1bfAu4a7Sr0ky0g5L&#10;lgsF1vRZUHbd/jipsfu4vHXjzalbLo5+k6/s4fK7Nua53y4moCK18WH+p5dWuJHUl2dkAj3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KYTGAAAA3AAAAA8AAAAAAAAA&#10;AAAAAAAAoQIAAGRycy9kb3ducmV2LnhtbFBLBQYAAAAABAAEAPkAAACUAwAAAAA=&#10;" strokecolor="#e46c0a" strokeweight="2pt">
                  <v:stroke startarrowwidth="wide" startarrowlength="long" endarrow="block" endcap="round"/>
                </v:shape>
                <v:shape id="Straight Arrow Connector 90" o:spid="_x0000_s1472" type="#_x0000_t32" style="position:absolute;left:24504;top:6612;width:47;height:120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oUMEAAADcAAAADwAAAGRycy9kb3ducmV2LnhtbERPzWoCMRC+F3yHMEIvpSarYGVrlFIR&#10;igeh2gcYNuNmdTNZkqjr2xtB6G0+vt+ZL3vXiguF2HjWUIwUCOLKm4ZrDX/79fsMREzIBlvPpOFG&#10;EZaLwcscS+Ov/EuXXapFDuFYogabUldKGStLDuPId8SZO/jgMGUYamkCXnO4a+VYqal02HBusNjR&#10;t6XqtDs7Dcfj7GQnq7ePQo3l7WBWKmw3SuvXYf/1CSJRn/7FT/ePyfOnBTyeyR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kuhQwQAAANwAAAAPAAAAAAAAAAAAAAAA&#10;AKECAABkcnMvZG93bnJldi54bWxQSwUGAAAAAAQABAD5AAAAjwMAAAAA&#10;" strokecolor="#e46c0a" strokeweight="2pt">
                  <v:stroke startarrowwidth="wide" startarrowlength="long" endcap="round"/>
                </v:shape>
                <v:shape id="Straight Arrow Connector 91" o:spid="_x0000_s1473" type="#_x0000_t32" style="position:absolute;left:21171;top:6612;width:3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npsIAAADcAAAADwAAAGRycy9kb3ducmV2LnhtbERPS2sCMRC+C/0PYQq91axafKxGKYUW&#10;24Pg+zok4+7SzWSbpLr+e1MoeJuP7zmzRWtrcSYfKscKet0MBLF2puJCwW77/jwGESKywdoxKbhS&#10;gMX8oTPD3LgLr+m8iYVIIRxyVFDG2ORSBl2SxdB1DXHiTs5bjAn6QhqPlxRua9nPsqG0WHFqKLGh&#10;t5L09+bXKhh9fKIfTL4O+mWwWjr9w/tTOCr19Ni+TkFEauNd/O9emjR/2Ie/Z9IF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XnpsIAAADcAAAADwAAAAAAAAAAAAAA&#10;AAChAgAAZHJzL2Rvd25yZXYueG1sUEsFBgAAAAAEAAQA+QAAAJADAAAAAA==&#10;" strokecolor="#e46c0a" strokeweight="2pt">
                  <v:stroke startarrowwidth="wide" startarrowlength="long" endcap="round"/>
                </v:shape>
                <v:shape id="Straight Arrow Connector 92" o:spid="_x0000_s1474" type="#_x0000_t32" style="position:absolute;left:21172;top:6612;width:0;height:1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n1DsQAAADcAAAADwAAAGRycy9kb3ducmV2LnhtbERPTWvCQBC9C/0PyxR6001tkDR1lSqI&#10;YkBorNLjkJ0modnZkF1N/PddodDbPN7nzJeDacSVOldbVvA8iUAQF1bXXCr4PG7GCQjnkTU2lknB&#10;jRwsFw+jOaba9vxB19yXIoSwS1FB5X2bSumKigy6iW2JA/dtO4M+wK6UusM+hJtGTqNoJg3WHBoq&#10;bGldUfGTX4yCQ5K5rx5f99t1fIxP2XmVmX6l1NPj8P4GwtPg/8V/7p0O82cvcH8mXC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fUOxAAAANwAAAAPAAAAAAAAAAAA&#10;AAAAAKECAABkcnMvZG93bnJldi54bWxQSwUGAAAAAAQABAD5AAAAkgMAAAAA&#10;" strokecolor="#e46c0a" strokeweight="2pt">
                  <v:stroke startarrowwidth="wide" startarrowlength="long" endarrow="block" endcap="round"/>
                </v:shape>
                <v:shape id="Straight Arrow Connector 93" o:spid="_x0000_s1475" type="#_x0000_t32" style="position:absolute;left:37132;top:6727;width:0;height:1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tesMAAADcAAAADwAAAGRycy9kb3ducmV2LnhtbERP22rCQBB9F/yHZYS+1Y0SRGM2UoXS&#10;0oDglT4O2WkSmp0N2a1J/74rFHybw7lOuhlMI27Uudqygtk0AkFcWF1zqeB8en1egnAeWWNjmRT8&#10;koNNNh6lmGjb84FuR1+KEMIuQQWV920ipSsqMuimtiUO3JftDPoAu1LqDvsQbho5j6KFNFhzaKiw&#10;pV1FxffxxyjYL3P32ePq420Xn+JLft3mpt8q9TQZXtYgPA3+If53v+swfxHD/Zlw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wbXrDAAAA3AAAAA8AAAAAAAAAAAAA&#10;AAAAoQIAAGRycy9kb3ducmV2LnhtbFBLBQYAAAAABAAEAPkAAACRAwAAAAA=&#10;" strokecolor="#e46c0a" strokeweight="2pt">
                  <v:stroke startarrowwidth="wide" startarrowlength="long" endarrow="block" endcap="round"/>
                </v:shape>
                <v:shape id="Straight Arrow Connector 94" o:spid="_x0000_s1476" type="#_x0000_t32" style="position:absolute;left:49807;top:6727;width:0;height:1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I4cQAAADcAAAADwAAAGRycy9kb3ducmV2LnhtbERPTWvCQBC9C/0PyxR6001FJU1dpQqi&#10;GBAaq/Q4ZKdJaHY2ZLdJ/PddodDbPN7nLNeDqUVHrassK3ieRCCIc6srLhR8nHfjGITzyBpry6Tg&#10;Rg7Wq4fREhNte36nLvOFCCHsElRQet8kUrq8JINuYhviwH3Z1qAPsC2kbrEP4aaW0yhaSIMVh4YS&#10;G9qWlH9nP0bBKU7dZ48vx/12dp5d0usmNf1GqafH4e0VhKfB/4v/3Acd5i/mcH8mX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MjhxAAAANwAAAAPAAAAAAAAAAAA&#10;AAAAAKECAABkcnMvZG93bnJldi54bWxQSwUGAAAAAAQABAD5AAAAkgMAAAAA&#10;" strokecolor="#e46c0a" strokeweight="2pt">
                  <v:stroke startarrowwidth="wide" startarrowlength="long" endarrow="block" endcap="round"/>
                </v:shape>
                <v:shape id="Straight Arrow Connector 95" o:spid="_x0000_s1477" type="#_x0000_t32" style="position:absolute;left:37179;top:6627;width:3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pcMAAADcAAAADwAAAGRycy9kb3ducmV2LnhtbERPS2sCMRC+F/wPYQq91Wy1rLo1ihRa&#10;bA+Cz16HZNxd3Ey2SarrvzeFQm/z8T1nOu9sI87kQ+1YwVM/A0Gsnam5VLDbvj2OQYSIbLBxTAqu&#10;FGA+691NsTDuwms6b2IpUgiHAhVUMbaFlEFXZDH0XUucuKPzFmOCvpTG4yWF20YOsiyXFmtODRW2&#10;9FqRPm1+rILR+wf64eTzoJ+Hq6XT37w/hi+lHu67xQuISF38F/+5lybNz3P4fSZ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e4aXDAAAA3AAAAA8AAAAAAAAAAAAA&#10;AAAAoQIAAGRycy9kb3ducmV2LnhtbFBLBQYAAAAABAAEAPkAAACRAwAAAAA=&#10;" strokecolor="#e46c0a" strokeweight="2pt">
                  <v:stroke startarrowwidth="wide" startarrowlength="long" endcap="round"/>
                </v:shape>
                <v:shape id="Straight Arrow Connector 97" o:spid="_x0000_s1478" type="#_x0000_t32" style="position:absolute;left:40629;top:6727;width:0;height:222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7BsIAAADcAAAADwAAAGRycy9kb3ducmV2LnhtbERPTWuDQBC9F/Iflin0UuIaoTZYNyEJ&#10;pOkpUBM8D+5Upe6suFu1/z5bKOQ2j/c5+XY2nRhpcK1lBasoBkFcWd1yreB6OS7XIJxH1thZJgW/&#10;5GC7WTzkmGk78SeNha9FCGGXoYLG+z6T0lUNGXSR7YkD92UHgz7AoZZ6wCmEm04mcZxKgy2HhgZ7&#10;OjRUfRc/RkG5P1g3nXs6Pns9lqfuvXzRiVJPj/PuDYSn2d/F/+4PHeanr/D3TLhAb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x7BsIAAADcAAAADwAAAAAAAAAAAAAA&#10;AAChAgAAZHJzL2Rvd25yZXYueG1sUEsFBgAAAAAEAAQA+QAAAJADAAAAAA==&#10;" strokecolor="#e46c0a" strokeweight="2pt">
                  <v:stroke startarrowwidth="wide" startarrowlength="long" endcap="round"/>
                </v:shape>
                <v:shape id="Straight Arrow Connector 98" o:spid="_x0000_s1479" type="#_x0000_t32" style="position:absolute;left:38986;top:28981;width:16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3QTMYAAADcAAAADwAAAGRycy9kb3ducmV2LnhtbESPQU8CMRCF7yT+h2ZMvEFXMCgrhRgS&#10;DXogAUWvk3bY3bidrm2F9d87BxJuM3lv3vtmvux9q44UUxPYwO2oAEVsg2u4MvDx/jx8AJUyssM2&#10;MBn4owTLxdVgjqULJ97ScZcrJSGcSjRQ59yVWidbk8c0Ch2xaIcQPWZZY6VdxJOE+1aPi2KqPTYs&#10;DTV2tKrJfu9+vYH7l1eMk9nbp72bbNbB/vD+kL6Mubnunx5BZerzxXy+XjvBnwqtPCMT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0EzGAAAA3AAAAA8AAAAAAAAA&#10;AAAAAAAAoQIAAGRycy9kb3ducmV2LnhtbFBLBQYAAAAABAAEAPkAAACUAwAAAAA=&#10;" strokecolor="#e46c0a" strokeweight="2pt">
                  <v:stroke startarrowwidth="wide" startarrowlength="long" endcap="round"/>
                </v:shape>
                <v:shape id="Straight Arrow Connector 99" o:spid="_x0000_s1480" type="#_x0000_t32" style="position:absolute;left:51591;top:28938;width:16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118MAAADcAAAADwAAAGRycy9kb3ducmV2LnhtbERPTWsCMRC9C/6HMII3zVqL1tUoRbDY&#10;HgrVtl6HZNxd3EzWJNXtv28Kgrd5vM9ZrFpbiwv5UDlWMBpmIIi1MxUXCj73m8ETiBCRDdaOScEv&#10;BVgtu50F5sZd+YMuu1iIFMIhRwVljE0uZdAlWQxD1xAn7ui8xZigL6TxeE3htpYPWTaRFitODSU2&#10;tC5Jn3Y/VsH05RX9ePb2rR/H71unz/x1DAel+r32eQ4iUhvv4pt7a9L8yQz+n0kX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BddfDAAAA3AAAAA8AAAAAAAAAAAAA&#10;AAAAoQIAAGRycy9kb3ducmV2LnhtbFBLBQYAAAAABAAEAPkAAACRAwAAAAA=&#10;" strokecolor="#e46c0a" strokeweight="2pt">
                  <v:stroke startarrowwidth="wide" startarrowlength="long" endcap="round"/>
                </v:shape>
                <v:shape id="Straight Arrow Connector 101" o:spid="_x0000_s1481" type="#_x0000_t32" style="position:absolute;left:49807;top:6612;width:3426;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1r8QAAADcAAAADwAAAGRycy9kb3ducmV2LnhtbESPQWvCQBCF74L/YRmhF9FNhbYSXcUK&#10;Wk+FquQ8ZMckmJ0N2W0S/33nUPA2w3vz3jfr7eBq1VEbKs8GXucJKOLc24oLA9fLYbYEFSKyxdoz&#10;GXhQgO1mPFpjan3PP9SdY6EkhEOKBsoYm1TrkJfkMMx9QyzazbcOo6xtoW2LvYS7Wi+S5F07rFga&#10;SmxoX1J+P/86A9nn3of+u6HDNNou+6qP2ZtdGPMyGXYrUJGG+DT/X5+s4H8IvjwjE+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HWvxAAAANwAAAAPAAAAAAAAAAAA&#10;AAAAAKECAABkcnMvZG93bnJldi54bWxQSwUGAAAAAAQABAD5AAAAkgMAAAAA&#10;" strokecolor="#e46c0a" strokeweight="2pt">
                  <v:stroke startarrowwidth="wide" startarrowlength="long" endcap="round"/>
                </v:shape>
                <v:shape id="Straight Arrow Connector 102" o:spid="_x0000_s1482" type="#_x0000_t32" style="position:absolute;left:53233;top:6627;width:1;height:221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NMIAAADcAAAADwAAAGRycy9kb3ducmV2LnhtbERPTWuDQBC9B/Iflin0EuIaIWmwbkIa&#10;sOkpUBM8D+5Upe6suFu1/75bKPQ2j/c52XE2nRhpcK1lBZsoBkFcWd1yreB+y9d7EM4ja+wsk4Jv&#10;cnA8LBcZptpO/E5j4WsRQtilqKDxvk+ldFVDBl1ke+LAfdjBoA9wqKUecArhppNJHO+kwZZDQ4M9&#10;nRuqPosvo6B8OVs3XXvKV16P5aV7Lbc6UerxYT49g/A0+3/xn/tNh/lPG/h9Jlw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QNMIAAADcAAAADwAAAAAAAAAAAAAA&#10;AAChAgAAZHJzL2Rvd25yZXYueG1sUEsFBgAAAAAEAAQA+QAAAJADAAAAAA==&#10;" strokecolor="#e46c0a" strokeweight="2pt">
                  <v:stroke startarrowwidth="wide" startarrowlength="long" endcap="round"/>
                </v:shape>
                <v:shape id="Straight Arrow Connector 107" o:spid="_x0000_s1483" type="#_x0000_t32" style="position:absolute;left:5976;top:34156;width:43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5fGcAAAADcAAAADwAAAGRycy9kb3ducmV2LnhtbERPzYrCMBC+C75DGGFvmlpB3WqUZWFh&#10;vSjWfYChGdNiMylNbLtvbwTB23x8v7PdD7YWHbW+cqxgPktAEBdOV2wU/F1+pmsQPiBrrB2Tgn/y&#10;sN+NR1vMtOv5TF0ejIgh7DNUUIbQZFL6oiSLfuYa4shdXWsxRNgaqVvsY7itZZokS2mx4thQYkPf&#10;JRW3/G4VnOqF6V1xPy64Ox5W6afJcW2U+pgMXxsQgYbwFr/cvzrOX6XwfCZeIH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OXxnAAAAA3AAAAA8AAAAAAAAAAAAAAAAA&#10;oQIAAGRycy9kb3ducmV2LnhtbFBLBQYAAAAABAAEAPkAAACOAwAAAAA=&#10;" strokecolor="#4a7ebb" strokeweight="2pt">
                  <v:stroke startarrowwidth="wide" startarrowlength="long" endcap="round"/>
                </v:shape>
                <v:shape id="Straight Arrow Connector 108" o:spid="_x0000_s1484" type="#_x0000_t32" style="position:absolute;left:21077;top:32086;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2w8MAAADcAAAADwAAAGRycy9kb3ducmV2LnhtbERPS2vCQBC+C/6HZQRvumkLsaSuUgRp&#10;Dl5MLbW3aXaahGZn0+yax793C4K3+fies94OphYdta6yrOBhGYEgzq2uuFBwet8vnkE4j6yxtkwK&#10;RnKw3Uwna0y07flIXeYLEULYJaig9L5JpHR5SQbd0jbEgfuxrUEfYFtI3WIfwk0tH6MolgYrDg0l&#10;NrQrKf/NLkZBOuLbx58eD+fv1ZeLz5+H0fe5UvPZ8PoCwtPg7+KbO9Vh/uoJ/p8JF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R9sPDAAAA3AAAAA8AAAAAAAAAAAAA&#10;AAAAoQIAAGRycy9kb3ducmV2LnhtbFBLBQYAAAAABAAEAPkAAACRAwAAAAA=&#10;" strokecolor="#4a7ebb" strokeweight="2pt">
                  <v:stroke startarrowwidth="wide" startarrowlength="long" endarrow="block" endcap="round"/>
                </v:shape>
                <v:shape id="Straight Arrow Connector 109" o:spid="_x0000_s1485" type="#_x0000_t32" style="position:absolute;left:37179;top:32086;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ut8MAAADcAAAADwAAAGRycy9kb3ducmV2LnhtbERPS2vCQBC+C/6HZQRvumkpsaSuUgRp&#10;Dl5MLbW3aXaahGZn0+yax793C4K3+fies94OphYdta6yrOBhGYEgzq2uuFBwet8vnkE4j6yxtkwK&#10;RnKw3Uwna0y07flIXeYLEULYJaig9L5JpHR5SQbd0jbEgfuxrUEfYFtI3WIfwk0tH6MolgYrDg0l&#10;NrQrKf/NLkZBOuLbx58eD+fv1ZeLz5+H0fe5UvPZ8PoCwtPg7+KbO9Vh/uoJ/p8JF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4brfDAAAA3AAAAA8AAAAAAAAAAAAA&#10;AAAAoQIAAGRycy9kb3ducmV2LnhtbFBLBQYAAAAABAAEAPkAAACRAwAAAAA=&#10;" strokecolor="#4a7ebb" strokeweight="2pt">
                  <v:stroke startarrowwidth="wide" startarrowlength="long" endarrow="block" endcap="round"/>
                </v:shape>
                <v:shape id="Straight Arrow Connector 110" o:spid="_x0000_s1486" type="#_x0000_t32" style="position:absolute;left:49901;top:32086;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LLMMAAADcAAAADwAAAGRycy9kb3ducmV2LnhtbERPS2vCQBC+C/6HZQRvummhsaSuUgRp&#10;Dl5MLbW3aXaahGZn0+yax793C4K3+fies94OphYdta6yrOBhGYEgzq2uuFBwet8vnkE4j6yxtkwK&#10;RnKw3Uwna0y07flIXeYLEULYJaig9L5JpHR5SQbd0jbEgfuxrUEfYFtI3WIfwk0tH6MolgYrDg0l&#10;NrQrKf/NLkZBOuLbx58eD+fv1ZeLz5+H0fe5UvPZ8PoCwtPg7+KbO9Vh/uoJ/p8JF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0yyzDAAAA3AAAAA8AAAAAAAAAAAAA&#10;AAAAoQIAAGRycy9kb3ducmV2LnhtbFBLBQYAAAAABAAEAPkAAACRAwAAAAA=&#10;" strokecolor="#4a7ebb" strokeweight="2pt">
                  <v:stroke startarrowwidth="wide" startarrowlength="long" endarrow="block" endcap="round"/>
                </v:shape>
                <v:shape id="Straight Arrow Connector 111" o:spid="_x0000_s1487" type="#_x0000_t32" style="position:absolute;left:5914;top:34156;width:62;height:3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6A8MAAADcAAAADwAAAGRycy9kb3ducmV2LnhtbERPS2sCMRC+C/0PYQq9iGbtQZetUYoi&#10;eBJ8HPQ2bKabpZvJkmTXbX99UxC8zcf3nOV6sI3oyYfasYLZNANBXDpdc6Xgct5NchAhImtsHJOC&#10;HwqwXr2Mllhod+cj9adYiRTCoUAFJsa2kDKUhiyGqWuJE/flvMWYoK+k9nhP4baR71k2lxZrTg0G&#10;W9oYKr9PnVXwO86PZz3cuuvuOj7YzpttfzBKvb0Onx8gIg3xKX649zrNX8zh/5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AugPDAAAA3AAAAA8AAAAAAAAAAAAA&#10;AAAAoQIAAGRycy9kb3ducmV2LnhtbFBLBQYAAAAABAAEAPkAAACRAwAAAAA=&#10;" strokecolor="#4a7ebb" strokeweight="2pt">
                  <v:stroke startarrowwidth="wide" startarrowlength="long" endarrow="block" endcap="round"/>
                </v:shape>
                <v:shape id="Straight Arrow Connector 112" o:spid="_x0000_s1488" type="#_x0000_t32" style="position:absolute;left:36334;top:31051;width:0;height:5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o8IAAADcAAAADwAAAGRycy9kb3ducmV2LnhtbERPTWsCMRC9F/wPYYReimbbg5atUUQQ&#10;7UFkt6XgbdhMdxc3k7CJa/z3Rij0No/3OYtVNJ0YqPetZQWv0wwEcWV1y7WC76/t5B2ED8gaO8uk&#10;4EYeVsvR0wJzba9c0FCGWqQQ9jkqaEJwuZS+asign1pHnLhf2xsMCfa11D1eU7jp5FuWzaTBllND&#10;g442DVXn8mIU/Bzj51C6CxYvxZ4cHXYcTzulnsdx/QEiUAz/4j/3Xqf58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jo8IAAADcAAAADwAAAAAAAAAAAAAA&#10;AAChAgAAZHJzL2Rvd25yZXYueG1sUEsFBgAAAAAEAAQA+QAAAJADAAAAAA==&#10;" strokecolor="#8064a2" strokeweight="2pt">
                  <v:stroke startarrowwidth="wide" startarrowlength="long" endarrow="block" endcap="round"/>
                </v:shape>
                <v:shape id="Straight Arrow Connector 113" o:spid="_x0000_s1489" type="#_x0000_t32" style="position:absolute;left:49009;top:31051;width:0;height:5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30cUAAADcAAAADwAAAGRycy9kb3ducmV2LnhtbESPQUvDQBCF74L/YRmhF7Gb9lAldltE&#10;kLaHIokieBuyYxLMzi7Zbbr9952D4G2G9+a9b9bb7AY10Rh7zwYW8wIUceNtz62Bz4+3hydQMSFb&#10;HDyTgQtF2G5ub9ZYWn/miqY6tUpCOJZooEsplFrHpiOHce4DsWg/fnSYZB1bbUc8S7gb9LIoVtph&#10;z9LQYaDXjprf+uQMfL3nw1SHE1b31Z4CHXecv3fGzO7yyzOoRDn9m/+u91bwH4VWnpEJ9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x30cUAAADcAAAADwAAAAAAAAAA&#10;AAAAAAChAgAAZHJzL2Rvd25yZXYueG1sUEsFBgAAAAAEAAQA+QAAAJMDAAAAAA==&#10;" strokecolor="#8064a2" strokeweight="2pt">
                  <v:stroke startarrowwidth="wide" startarrowlength="long" endarrow="block" endcap="round"/>
                </v:shape>
                <v:shape id="Straight Arrow Connector 114" o:spid="_x0000_s1490" type="#_x0000_t32" style="position:absolute;left:20279;top:36296;width:321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7TMIAAADcAAAADwAAAGRycy9kb3ducmV2LnhtbERPTWsCMRC9F/ofwhS81Ww9aN1uFBEs&#10;4kHQ1p6HzexmdTPZJqmu/94IQm/zeJ9TzHvbijP50DhW8DbMQBCXTjdcK/j+Wr2+gwgRWWPrmBRc&#10;KcB89vxUYK7dhXd03sdapBAOOSowMXa5lKE0ZDEMXUecuMp5izFBX0vt8ZLCbStHWTaWFhtODQY7&#10;WhoqT/s/q2A6qUwTjttTXf5sDv7zt/eHpVFq8NIvPkBE6uO/+OFe6zR/MoX7M+kCO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C7TMIAAADcAAAADwAAAAAAAAAAAAAA&#10;AAChAgAAZHJzL2Rvd25yZXYueG1sUEsFBgAAAAAEAAQA+QAAAJADAAAAAA==&#10;" strokecolor="#8064a2" strokeweight="2pt">
                  <v:stroke startarrowwidth="wide" startarrowlength="long" endcap="round"/>
                </v:shape>
                <v:shape id="Straight Arrow Connector 103" o:spid="_x0000_s1491" type="#_x0000_t32" style="position:absolute;left:20279;top:31051;width:0;height:5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8MUAAADcAAAADwAAAGRycy9kb3ducmV2LnhtbESPQUvDQBCF74L/YRnBi7QbPZSSZltE&#10;kNaDlEQRvA3ZaRKanV2y23T9985B8DbDe/PeN9Uuu1HNNMXBs4HHZQGKuPV24M7A58frYg0qJmSL&#10;o2cy8EMRdtvbmwpL669c09ykTkkIxxIN9CmFUuvY9uQwLn0gFu3kJ4dJ1qnTdsKrhLtRPxXFSjsc&#10;WBp6DPTSU3tuLs7A1zG/zU24YP1QHyjQ+57z996Y+7v8vAGVKKd/89/1wQr+WvDlGZl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L8MUAAADcAAAADwAAAAAAAAAA&#10;AAAAAAChAgAAZHJzL2Rvd25yZXYueG1sUEsFBgAAAAAEAAQA+QAAAJMDAAAAAA==&#10;" strokecolor="#8064a2" strokeweight="2pt">
                  <v:stroke startarrowwidth="wide" startarrowlength="long" endarrow="block" endcap="round"/>
                </v:shape>
                <v:shape id="Straight Arrow Connector 115" o:spid="_x0000_s1492" type="#_x0000_t32" style="position:absolute;left:8449;top:43472;width:16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xScAAAADcAAAADwAAAGRycy9kb3ducmV2LnhtbERPzYrCMBC+L/gOYQRva6qCW6tRZGHB&#10;vShWH2BoxrTYTEoT2/r2ZkHY23x8v7PZDbYWHbW+cqxgNk1AEBdOV2wUXC8/nykIH5A11o5JwZM8&#10;7Lajjw1m2vV8pi4PRsQQ9hkqKENoMil9UZJFP3UNceRurrUYImyN1C32MdzWcp4kS2mx4thQYkPf&#10;JRX3/GEVnOqF6V3xOC64O/5+zVcmx9QoNRkP+zWIQEP4F7/dBx3npzP4eyZeIL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JsUnAAAAA3AAAAA8AAAAAAAAAAAAAAAAA&#10;oQIAAGRycy9kb3ducmV2LnhtbFBLBQYAAAAABAAEAPkAAACOAwAAAAA=&#10;" strokecolor="#4a7ebb" strokeweight="2pt">
                  <v:stroke startarrowwidth="wide" startarrowlength="long" endcap="round"/>
                </v:shape>
                <v:shape id="Straight Arrow Connector 116" o:spid="_x0000_s1493" type="#_x0000_t32" style="position:absolute;left:10186;top:39357;width:0;height:4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5e78AAADcAAAADwAAAGRycy9kb3ducmV2LnhtbERPvQrCMBDeBd8hnOCmqaIi1SgiCjo4&#10;VF3cjuZsi82lNLHWtzeC4HYf3+8t160pRUO1KywrGA0jEMSp1QVnCq6X/WAOwnlkjaVlUvAmB+tV&#10;t7PEWNsXJ9ScfSZCCLsYFeTeV7GULs3JoBvaijhwd1sb9AHWmdQ1vkK4KeU4imbSYMGhIceKtjml&#10;j/PTKGiek6lOkk3WHK+36e5+OZjbySrV77WbBQhPrf+Lf+6DDvPnY/g+Ey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QQ5e78AAADcAAAADwAAAAAAAAAAAAAAAACh&#10;AgAAZHJzL2Rvd25yZXYueG1sUEsFBgAAAAAEAAQA+QAAAI0DAAAAAA==&#10;" strokecolor="#4a7ebb" strokeweight="2pt">
                  <v:stroke startarrowwidth="wide" startarrowlength="long" endcap="round"/>
                </v:shape>
                <v:shape id="Straight Arrow Connector 117" o:spid="_x0000_s1494" type="#_x0000_t32" style="position:absolute;left:10186;top:39331;width:11689;height: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c4MEAAADcAAAADwAAAGRycy9kb3ducmV2LnhtbERPTYvCMBC9L/gfwgje1lRdRapRRBTc&#10;g4dWL96GZmyLzaQ0sdZ/bwTB2zze5yzXnalES40rLSsYDSMQxJnVJecKzqf97xyE88gaK8uk4EkO&#10;1qvezxJjbR+cUJv6XIQQdjEqKLyvYyldVpBBN7Q1ceCutjHoA2xyqRt8hHBTyXEUzaTBkkNDgTVt&#10;C8pu6d0oaO9/U50km7z9P1+mu+vpYC5Hq9Sg320WIDx1/iv+uA86zJ9P4P1MuE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SJzgwQAAANwAAAAPAAAAAAAAAAAAAAAA&#10;AKECAABkcnMvZG93bnJldi54bWxQSwUGAAAAAAQABAD5AAAAjwMAAAAA&#10;" strokecolor="#4a7ebb" strokeweight="2pt">
                  <v:stroke startarrowwidth="wide" startarrowlength="long" endcap="round"/>
                </v:shape>
                <v:shape id="Straight Arrow Connector 118" o:spid="_x0000_s1495" type="#_x0000_t32" style="position:absolute;left:15209;top:39357;width:0;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0ekMIAAADcAAAADwAAAGRycy9kb3ducmV2LnhtbERPS4vCMBC+C/6HMIK3NVVEpWsUEUQP&#10;XtYHurfZZrYtNpPaZG37742w4G0+vufMl40pxIMql1tWMBxEIIgTq3NOFZyOm48ZCOeRNRaWSUFL&#10;DpaLbmeOsbY1f9Hj4FMRQtjFqCDzvoyldElGBt3AlsSB+7WVQR9glUpdYR3CTSFHUTSRBnMODRmW&#10;tM4ouR3+jIJdi9vzXbf768/0202ul33r60Spfq9ZfYLw1Pi3+N+902H+bAyvZ8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0ekMIAAADcAAAADwAAAAAAAAAAAAAA&#10;AAChAgAAZHJzL2Rvd25yZXYueG1sUEsFBgAAAAAEAAQA+QAAAJADAAAAAA==&#10;" strokecolor="#4a7ebb" strokeweight="2pt">
                  <v:stroke startarrowwidth="wide" startarrowlength="long" endarrow="block" endcap="round"/>
                </v:shape>
                <v:shape id="Straight Arrow Connector 119" o:spid="_x0000_s1496" type="#_x0000_t32" style="position:absolute;left:22000;top:39357;width:0;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G7C8IAAADcAAAADwAAAGRycy9kb3ducmV2LnhtbERPS4vCMBC+C/6HMIK3NVXwQdcoIoge&#10;vKwPdG+zzWxbbCa1ydr23xthwdt8fM+ZLxtTiAdVLresYDiIQBAnVuecKjgdNx8zEM4jaywsk4KW&#10;HCwX3c4cY21r/qLHwacihLCLUUHmfRlL6ZKMDLqBLYkD92srgz7AKpW6wjqEm0KOomgiDeYcGjIs&#10;aZ1Rcjv8GQW7Frfnu27315/pt5tcL/vW14lS/V6z+gThqfFv8b97p8P82Rhez4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G7C8IAAADcAAAADwAAAAAAAAAAAAAA&#10;AAChAgAAZHJzL2Rvd25yZXYueG1sUEsFBgAAAAAEAAQA+QAAAJADAAAAAA==&#10;" strokecolor="#4a7ebb" strokeweight="2pt">
                  <v:stroke startarrowwidth="wide" startarrowlength="long" endarrow="block" endcap="round"/>
                </v:shape>
                <v:shape id="Straight Arrow Connector 120" o:spid="_x0000_s1497" type="#_x0000_t32" style="position:absolute;left:16899;top:44507;width:33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MlfMIAAADcAAAADwAAAGRycy9kb3ducmV2LnhtbERPS4vCMBC+C/6HMMLeNF0PXekaRRZE&#10;D17WB7q3sRnbYjOpTda2/94Igrf5+J4znbemFHeqXWFZwecoAkGcWl1wpmC/Ww4nIJxH1lhaJgUd&#10;OZjP+r0pJto2/Ev3rc9ECGGXoILc+yqR0qU5GXQjWxEH7mJrgz7AOpO6xiaEm1KOoyiWBgsODTlW&#10;9JNTet3+GwXrDleHm+42p/PXn4tPx03nm1Spj0G7+AbhqfVv8cu91mH+JIbnM+EC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MlfMIAAADcAAAADwAAAAAAAAAAAAAA&#10;AAChAgAAZHJzL2Rvd25yZXYueG1sUEsFBgAAAAAEAAQA+QAAAJADAAAAAA==&#10;" strokecolor="#4a7ebb" strokeweight="2pt">
                  <v:stroke startarrowwidth="wide" startarrowlength="long" endarrow="block" endcap="round"/>
                </v:shape>
                <v:shape id="Straight Arrow Connector 121" o:spid="_x0000_s1498" type="#_x0000_t32" style="position:absolute;left:23659;top:44564;width:253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lvv8MAAADcAAAADwAAAGRycy9kb3ducmV2LnhtbERPPWvDMBDdC/0P4gJZQiO3Q2vcKCa0&#10;GDoFknRIt8O6WCbWyUiy4+TXR4VCt3u8z1uVk+3ESD60jhU8LzMQxLXTLTcKvg/VUw4iRGSNnWNS&#10;cKUA5frxYYWFdhfe0biPjUghHApUYGLsCylDbchiWLqeOHEn5y3GBH0jtcdLCredfMmyV2mx5dRg&#10;sKcPQ/V5P1gFt0W+O+jpZzhWx8XWDt58jluj1Hw2bd5BRJriv/jP/aXT/PwNfp9JF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Zb7/DAAAA3AAAAA8AAAAAAAAAAAAA&#10;AAAAoQIAAGRycy9kb3ducmV2LnhtbFBLBQYAAAAABAAEAPkAAACRAwAAAAA=&#10;" strokecolor="#4a7ebb" strokeweight="2pt">
                  <v:stroke startarrowwidth="wide" startarrowlength="long" endarrow="block" endcap="round"/>
                </v:shape>
                <v:shape id="Straight Arrow Connector 122" o:spid="_x0000_s1499" type="#_x0000_t32" style="position:absolute;left:26194;top:39357;width:0;height:7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OkcQAAADcAAAADwAAAGRycy9kb3ducmV2LnhtbESPQYvCQAyF7wv+hyGCt3Wq6CJdRxFR&#10;0IOHqhdvoRPbsp1M6Yy1/ntzEPaW8F7e+7Jc965WHbWh8mxgMk5AEefeVlwYuF723wtQISJbrD2T&#10;gRcFWK8GX0tMrX9yRt05FkpCOKRooIyxSbUOeUkOw9g3xKLdfeswytoW2rb4lHBX62mS/GiHFUtD&#10;iQ1tS8r/zg9noHvM5jbLNkV3vN7mu/vl4G4nb8xo2G9+QUXq47/5c32wgr8QWnlGJt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7A6RxAAAANwAAAAPAAAAAAAAAAAA&#10;AAAAAKECAABkcnMvZG93bnJldi54bWxQSwUGAAAAAAQABAD5AAAAkgMAAAAA&#10;" strokecolor="#4a7ebb" strokeweight="2pt">
                  <v:stroke startarrowwidth="wide" startarrowlength="long" endcap="round"/>
                </v:shape>
                <v:shape id="Straight Arrow Connector 123" o:spid="_x0000_s1500" type="#_x0000_t32" style="position:absolute;left:26194;top:39331;width:2441;height: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CrCsIAAADcAAAADwAAAGRycy9kb3ducmV2LnhtbERPS4vCMBC+L/gfwgjetqmii1ajiCi4&#10;hz20evE2NNMHNpPSxFr/vVlY2Nt8fM/Z7AbTiJ46V1tWMI1iEMS51TWXCq6X0+cShPPIGhvLpOBF&#10;Dnbb0ccGE22fnFKf+VKEEHYJKqi8bxMpXV6RQRfZljhwhe0M+gC7UuoOnyHcNHIWx1/SYM2hocKW&#10;DhXl9+xhFPSP+UKn6b7sv6+3xbG4nM3txyo1GQ/7NQhPg/8X/7nPOsxfruD3mXCB3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CrCsIAAADcAAAADwAAAAAAAAAAAAAA&#10;AAChAgAAZHJzL2Rvd25yZXYueG1sUEsFBgAAAAAEAAQA+QAAAJADAAAAAA==&#10;" strokecolor="#4a7ebb" strokeweight="2pt">
                  <v:stroke startarrowwidth="wide" startarrowlength="long" endcap="round"/>
                </v:shape>
                <v:shape id="Straight Arrow Connector 124" o:spid="_x0000_s1501" type="#_x0000_t32" style="position:absolute;left:28729;top:39357;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TsUAAADcAAAADwAAAGRycy9kb3ducmV2LnhtbESPMW/CQAyF90r8h5OR2MoFBloCB0JI&#10;CAaWUlDpZnJuEjXnC7krSf59PVTqZus9v/d5ue5cpR7UhNKzgck4AUWceVtybuD8vnt+BRUissXK&#10;MxnoKcB6NXhaYmp9y2/0OMVcSQiHFA0UMdap1iEryGEY+5pYtC/fOIyyNrm2DbYS7io9TZKZdliy&#10;NBRY07ag7Pv04wwcetxf7rY/Xm8vn2F2/Tj2sc2MGQ27zQJUpC7+m/+uD1bw54Ivz8gE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OTsUAAADcAAAADwAAAAAAAAAA&#10;AAAAAAChAgAAZHJzL2Rvd25yZXYueG1sUEsFBgAAAAAEAAQA+QAAAJMDAAAAAA==&#10;" strokecolor="#4a7ebb" strokeweight="2pt">
                  <v:stroke startarrowwidth="wide" startarrowlength="long" endarrow="block" endcap="round"/>
                </v:shape>
                <v:shape id="Straight Arrow Connector 125" o:spid="_x0000_s1502" type="#_x0000_t32" style="position:absolute;left:18589;top:46577;width:76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Mr1cQAAADcAAAADwAAAGRycy9kb3ducmV2LnhtbERPS2vCQBC+F/wPywje6sYe0pq6igil&#10;OeRSq9TeptkxCWZn0+yax793hUJv8/E9Z7UZTC06al1lWcFiHoEgzq2uuFBw+Hx7fAHhPLLG2jIp&#10;GMnBZj15WGGibc8f1O19IUIIuwQVlN43iZQuL8mgm9uGOHBn2xr0AbaF1C32IdzU8imKYmmw4tBQ&#10;YkO7kvLL/moUpCO+H3/1mJ1+nr9dfPrKRt/nSs2mw/YVhKfB/4v/3KkO85cLuD8TLp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yvVxAAAANwAAAAPAAAAAAAAAAAA&#10;AAAAAKECAABkcnMvZG93bnJldi54bWxQSwUGAAAAAAQABAD5AAAAkgMAAAAA&#10;" strokecolor="#4a7ebb" strokeweight="2pt">
                  <v:stroke startarrowwidth="wide" startarrowlength="long" endarrow="block" endcap="round"/>
                </v:shape>
                <v:shape id="Straight Arrow Connector 126" o:spid="_x0000_s1503" type="#_x0000_t32" style="position:absolute;left:18574;top:44507;width:15;height:20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5g8AAAADcAAAADwAAAGRycy9kb3ducmV2LnhtbERPTYvCMBC9C/sfwizsTZMVtq7VKCIK&#10;giCoi+ehGdu6zaQ0sdZ/bwTB2zze50znna1ES40vHWv4HigQxJkzJeca/o7r/i8IH5ANVo5Jw508&#10;zGcfvSmmxt14T+0h5CKGsE9RQxFCnUrps4Is+oGriSN3do3FEGGTS9PgLYbbSg6VSqTFkmNDgTUt&#10;C8r+D1erQY39T2u2u25/vZyS0UrhzmSJ1l+f3WICIlAX3uKXe2Pi/PEQns/EC+Ts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f+YPAAAAA3AAAAA8AAAAAAAAAAAAAAAAA&#10;oQIAAGRycy9kb3ducmV2LnhtbFBLBQYAAAAABAAEAPkAAACOAwAAAAA=&#10;" strokecolor="#4a7ebb" strokeweight="2pt">
                  <v:stroke startarrowwidth="wide" startarrowlength="long" endcap="round"/>
                </v:shape>
                <v:shape id="Straight Arrow Connector 127" o:spid="_x0000_s1504" type="#_x0000_t32" style="position:absolute;left:30514;top:44507;width:5820;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0QOcMAAADcAAAADwAAAGRycy9kb3ducmV2LnhtbERPS2vCQBC+C/6HZQRvdaMFH9FVRCj1&#10;4MVHqd7G7DQJzc6m2dUk/94VCt7m43vOYtWYQtypcrllBcNBBII4sTrnVMHp+PE2BeE8ssbCMilo&#10;ycFq2e0sMNa25j3dDz4VIYRdjAoy78tYSpdkZNANbEkcuB9bGfQBVqnUFdYh3BRyFEVjaTDn0JBh&#10;SZuMkt/DzSjYtvj59afb3fk6ubjx+XvX+jpRqt9r1nMQnhr/Ev+7tzrMn73D85lwgV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dEDnDAAAA3AAAAA8AAAAAAAAAAAAA&#10;AAAAoQIAAGRycy9kb3ducmV2LnhtbFBLBQYAAAAABAAEAPkAAACRAwAAAAA=&#10;" strokecolor="#4a7ebb" strokeweight="2pt">
                  <v:stroke startarrowwidth="wide" startarrowlength="long" endarrow="block" endcap="round"/>
                </v:shape>
                <v:shape id="Straight Arrow Connector 130" o:spid="_x0000_s1505" type="#_x0000_t32" style="position:absolute;left:44784;top:42437;width:33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eEDMAAAADcAAAADwAAAGRycy9kb3ducmV2LnhtbERP24rCMBB9F/Yfwiz4pumqeKlGWRYE&#10;fVHs7gcMzZiWbSaliW39eyMIvs3hXGez620lWmp86VjB1zgBQZw7XbJR8Pe7Hy1B+ICssXJMCu7k&#10;Ybf9GGww1a7jC7VZMCKGsE9RQRFCnUrp84Is+rGriSN3dY3FEGFjpG6wi+G2kpMkmUuLJceGAmv6&#10;KSj/z25Wwbmams7lt9OU29NxMVmZDJdGqeFn/70GEagPb/HLfdBx/moGz2fiBX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nhAzAAAAA3AAAAA8AAAAAAAAAAAAAAAAA&#10;oQIAAGRycy9kb3ducmV2LnhtbFBLBQYAAAAABAAEAPkAAACOAwAAAAA=&#10;" strokecolor="#4a7ebb" strokeweight="2pt">
                  <v:stroke startarrowwidth="wide" startarrowlength="long" endcap="round"/>
                </v:shape>
                <v:shape id="Straight Arrow Connector 131" o:spid="_x0000_s1506" type="#_x0000_t32" style="position:absolute;left:48117;top:38296;width:47;height:40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7CjsMAAADcAAAADwAAAGRycy9kb3ducmV2LnhtbERPS2sCMRC+F/wPYYRepGYtWOzWKKUi&#10;eBJ8HOxt2Ew3SzeTJcmuq7/eCIK3+fieM1/2thYd+VA5VjAZZyCIC6crLhUcD+u3GYgQkTXWjknB&#10;hQIsF4OXOebanXlH3T6WIoVwyFGBibHJpQyFIYth7BrixP05bzEm6EupPZ5TuK3le5Z9SIsVpwaD&#10;Df0YKv73rVVwHc12B93/tqf1abS1rTerbmuUeh32318gIvXxKX64NzrN/5z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ewo7DAAAA3AAAAA8AAAAAAAAAAAAA&#10;AAAAoQIAAGRycy9kb3ducmV2LnhtbFBLBQYAAAAABAAEAPkAAACRAwAAAAA=&#10;" strokecolor="#4a7ebb" strokeweight="2pt">
                  <v:stroke startarrowwidth="wide" startarrowlength="long" endarrow="block" endcap="round"/>
                </v:shape>
                <v:shape id="Straight Arrow Connector 132" o:spid="_x0000_s1507" type="#_x0000_t32" style="position:absolute;left:54924;top:38347;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fRcIAAADcAAAADwAAAGRycy9kb3ducmV2LnhtbERPTWsCMRC9F/wPYQRvNakHsatRSkHx&#10;IKVVDx7HzZhdupmsSXS3/74RCr3N433OYtW7RtwpxNqzhpexAkFcelOz1XA8rJ9nIGJCNth4Jg0/&#10;FGG1HDwtsDC+4y+675MVOYRjgRqqlNpCylhW5DCOfUucuYsPDlOGwUoTsMvhrpETpabSYc25ocKW&#10;3isqv/c3p+F2OZ/oOFHX8qPb7Hw4f0arrNajYf82B5GoT//iP/fW5PmvU3g8ky+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cfRcIAAADcAAAADwAAAAAAAAAAAAAA&#10;AAChAgAAZHJzL2Rvd25yZXYueG1sUEsFBgAAAAAEAAQA+QAAAJADAAAAAA==&#10;" strokecolor="#c00000" strokeweight="2pt">
                  <v:stroke startarrowwidth="wide" startarrowlength="long" endarrow="block" endcap="round"/>
                </v:shape>
                <v:shape id="Straight Arrow Connector 133" o:spid="_x0000_s1508" type="#_x0000_t32" style="position:absolute;left:17744;top:38347;width:37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CyC78AAADcAAAADwAAAGRycy9kb3ducmV2LnhtbERPzYrCMBC+C75DGMGbpnpwbdcoRVC8&#10;+bcPMDRjW0wmpcm23bc3woK3+fh+Z7MbrBEdtb52rGAxT0AQF07XXCr4uR9maxA+IGs0jknBH3nY&#10;bcejDWba9Xyl7hZKEUPYZ6igCqHJpPRFRRb93DXEkXu41mKIsC2lbrGP4dbIZZKspMWaY0OFDe0r&#10;Kp63X6vgfjnKhTkuu2ea93m4nE2+Tg9KTSdD/g0i0BA+4n/3Scf56Re8n4kXy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CyC78AAADcAAAADwAAAAAAAAAAAAAAAACh&#10;AgAAZHJzL2Rvd25yZXYueG1sUEsFBgAAAAAEAAQA+QAAAI0DAAAAAA==&#10;" strokecolor="#c00000" strokeweight="2pt">
                  <v:stroke startarrowwidth="wide" startarrowlength="long" endcap="round"/>
                </v:shape>
                <v:shape id="Straight Arrow Connector 134" o:spid="_x0000_s1509" type="#_x0000_t32" style="position:absolute;left:17744;top:38296;width:0;height:5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ccAAADcAAAADwAAAGRycy9kb3ducmV2LnhtbESPS2vDQAyE74X8h0WF3pp1H+ThZhNK&#10;oZBLCHHaPG7Cq9omXq3xbh3n30eHQG4SM5r5NFv0rlYdtaHybOBlmIAizr2tuDDws/1+noAKEdli&#10;7ZkMXCjAYj54mGFq/Zk31GWxUBLCIUUDZYxNqnXIS3IYhr4hFu3Ptw6jrG2hbYtnCXe1fk2SkXZY&#10;sTSU2NBXSfkp+3cG1svxan/Yjcbd22qa/B732burLsY8PfafH6Ai9fFuvl0vreBPhVaekQn0/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5TZhxwAAANwAAAAPAAAAAAAA&#10;AAAAAAAAAKECAABkcnMvZG93bnJldi54bWxQSwUGAAAAAAQABAD5AAAAlQMAAAAA&#10;" strokecolor="#c00000" strokeweight="2pt">
                  <v:stroke startarrowwidth="wide" startarrowlength="long" endarrow="block" endcap="round"/>
                </v:shape>
                <v:shape id="Straight Arrow Connector 135" o:spid="_x0000_s1510" type="#_x0000_t32" style="position:absolute;left:24504;top:38379;width:0;height:50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T+sMAAADcAAAADwAAAGRycy9kb3ducmV2LnhtbERPS2vCQBC+C/0Pywi96UZb1KSuIoLg&#10;RaSpz9uQnSah2dmQ3cb477uC0Nt8fM+ZLztTiZYaV1pWMBpGIIgzq0vOFRy+NoMZCOeRNVaWScGd&#10;HCwXL705Jtre+JPa1OcihLBLUEHhfZ1I6bKCDLqhrYkD920bgz7AJpe6wVsIN5UcR9FEGiw5NBRY&#10;07qg7Cf9NQr22+nufDlNpu3bLo6O13P6bsq7Uq/9bvUBwlPn/8VP91aH+XEMj2fC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pk/rDAAAA3AAAAA8AAAAAAAAAAAAA&#10;AAAAoQIAAGRycy9kb3ducmV2LnhtbFBLBQYAAAAABAAEAPkAAACRAwAAAAA=&#10;" strokecolor="#c00000" strokeweight="2pt">
                  <v:stroke startarrowwidth="wide" startarrowlength="long" endarrow="block" endcap="round"/>
                </v:shape>
                <v:shape id="Straight Arrow Connector 136" o:spid="_x0000_s1511" type="#_x0000_t32" style="position:absolute;left:31264;top:38379;width:0;height:50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zOnMUAAADcAAAADwAAAGRycy9kb3ducmV2LnhtbESPW2vCQBSE34X+h+UUfNNNVbykriKC&#10;4IuI8da+HbKnSWj2bMiuMf57Vyj0cZiZb5j5sjWlaKh2hWUFH/0IBHFqdcGZgtNx05uCcB5ZY2mZ&#10;FDzIwXLx1pljrO2dD9QkPhMBwi5GBbn3VSylS3My6Pq2Ig7ej60N+iDrTOoa7wFuSjmIorE0WHBY&#10;yLGidU7pb3IzCvbbye76dRlPmuFuFp2/r8nIFA+luu/t6hOEp9b/h//aW60gEOF1Jh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zOnMUAAADcAAAADwAAAAAAAAAA&#10;AAAAAAChAgAAZHJzL2Rvd25yZXYueG1sUEsFBgAAAAAEAAQA+QAAAJMDAAAAAA==&#10;" strokecolor="#c00000" strokeweight="2pt">
                  <v:stroke startarrowwidth="wide" startarrowlength="long" endarrow="block" endcap="round"/>
                </v:shape>
                <v:shape id="Straight Arrow Connector 137" o:spid="_x0000_s1512" type="#_x0000_t32" style="position:absolute;left:16937;top:43472;width:80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kUT8UAAADcAAAADwAAAGRycy9kb3ducmV2LnhtbESPQYvCMBSE7wv+h/AEL4umuiBSjSKC&#10;qBdlVRRvj+bZFJuX0kTt7q/fLAgeh5n5hpnMGluKB9W+cKyg30tAEGdOF5wrOB6W3REIH5A1lo5J&#10;wQ95mE1bHxNMtXvyNz32IRcRwj5FBSaEKpXSZ4Ys+p6riKN3dbXFEGWdS13jM8JtKQdJMpQWC44L&#10;BitaGMpu+7tVsFlVl+3uc2OPO3n6bS7bszPll1KddjMfgwjUhHf41V5rBYOkD/9n4hG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kUT8UAAADcAAAADwAAAAAAAAAA&#10;AAAAAAChAgAAZHJzL2Rvd25yZXYueG1sUEsFBgAAAAAEAAQA+QAAAJMDAAAAAA==&#10;" strokecolor="#c00000" strokeweight="2pt">
                  <v:stroke startarrowwidth="wide" startarrowlength="long" endcap="round"/>
                </v:shape>
                <v:shape id="Straight Arrow Connector 138" o:spid="_x0000_s1513" type="#_x0000_t32" style="position:absolute;left:23743;top:43472;width: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laMEAAADcAAAADwAAAGRycy9kb3ducmV2LnhtbESPzarCMBSE9xd8h3AEd9fULkSrUYqg&#10;uPP3AQ7NsS0mJ6WJbX17c+GCy2FmvmHW28Ea0VHra8cKZtMEBHHhdM2lgvtt/7sA4QOyRuOYFLzJ&#10;w3Yz+lljpl3PF+quoRQRwj5DBVUITSalLyqy6KeuIY7ew7UWQ5RtKXWLfYRbI9MkmUuLNceFChva&#10;VVQ8ry+r4HY+yJk5pN1zmfd5OJ9MvljulZqMh3wFItAQvuH/9lErSJMU/s7EIyA3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2OVowQAAANwAAAAPAAAAAAAAAAAAAAAA&#10;AKECAABkcnMvZG93bnJldi54bWxQSwUGAAAAAAQABAD5AAAAjwMAAAAA&#10;" strokecolor="#c00000" strokeweight="2pt">
                  <v:stroke startarrowwidth="wide" startarrowlength="long" endcap="round"/>
                </v:shape>
                <v:shape id="Straight Arrow Connector 139" o:spid="_x0000_s1514" type="#_x0000_t32" style="position:absolute;left:30598;top:43472;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A88IAAADcAAAADwAAAGRycy9kb3ducmV2LnhtbESP3YrCMBSE7wXfIRzBO02tsGjXKEVQ&#10;vPNvH+DQHNticlKabNt9eyMseDnMzDfMZjdYIzpqfe1YwWKegCAunK65VPBzP8xWIHxA1mgck4I/&#10;8rDbjkcbzLTr+UrdLZQiQthnqKAKocmk9EVFFv3cNcTRe7jWYoiyLaVusY9wa2SaJF/SYs1xocKG&#10;9hUVz9uvVXC/HOXCHNPuuc77PFzOJl+tD0pNJ0P+DSLQED7h//ZJK0iTJbzPxCM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RA88IAAADcAAAADwAAAAAAAAAAAAAA&#10;AAChAgAAZHJzL2Rvd25yZXYueG1sUEsFBgAAAAAEAAQA+QAAAJADAAAAAA==&#10;" strokecolor="#c00000" strokeweight="2pt">
                  <v:stroke startarrowwidth="wide" startarrowlength="long" endcap="round"/>
                </v:shape>
                <v:shape id="Straight Arrow Connector 140" o:spid="_x0000_s1515" type="#_x0000_t32" style="position:absolute;left:40629;top:45542;width:0;height:2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8tsUAAADcAAAADwAAAGRycy9kb3ducmV2LnhtbESPT4vCMBTE74LfITzB25oqoks1igiy&#10;Hrz4Z1Fvz+ZtW7Z56TbRtt/eCAseh5n5DTNfNqYQD6pcblnBcBCBIE6szjlVcDpuPj5BOI+ssbBM&#10;ClpysFx0O3OMta15T4+DT0WAsItRQeZ9GUvpkowMuoEtiYP3YyuDPsgqlbrCOsBNIUdRNJEGcw4L&#10;GZa0zij5PdyNgm2LX99/ut1dbtOrm1zOu9bXiVL9XrOagfDU+Hf4v73VCkbRGF5nw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t8tsUAAADcAAAADwAAAAAAAAAA&#10;AAAAAAChAgAAZHJzL2Rvd25yZXYueG1sUEsFBgAAAAAEAAQA+QAAAJMDAAAAAA==&#10;" strokecolor="#4a7ebb" strokeweight="2pt">
                  <v:stroke startarrowwidth="wide" startarrowlength="long" endarrow="block" endcap="round"/>
                </v:shape>
                <v:shape id="Straight Arrow Connector 141" o:spid="_x0000_s1516" type="#_x0000_t32" style="position:absolute;left:32954;top:27946;width:0;height:3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8MAAADcAAAADwAAAGRycy9kb3ducmV2LnhtbESPQWsCMRSE74X+h/AK3mp2FYusRilF&#10;wUtF1xavj80zWdy8LJuo239vBKHHYWa+YebL3jXiSl2oPSvIhxkI4srrmo2Cn8P6fQoiRGSNjWdS&#10;8EcBlovXlzkW2t94T9cyGpEgHApUYGNsCylDZclhGPqWOHkn3zmMSXZG6g5vCe4aOcqyD+mw5rRg&#10;saUvS9W5vDgF38fDeDX2+e9+d5HGWL9t8oqUGrz1nzMQkfr4H362N1rBKJvA4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q/DAAAA3AAAAA8AAAAAAAAAAAAA&#10;AAAAoQIAAGRycy9kb3ducmV2LnhtbFBLBQYAAAAABAAEAPkAAACRAwAAAAA=&#10;" strokecolor="#00b050" strokeweight="2pt">
                  <v:stroke startarrowwidth="wide" startarrowlength="long" endcap="round"/>
                </v:shape>
                <v:shape id="Straight Arrow Connector 142" o:spid="_x0000_s1517" type="#_x0000_t32" style="position:absolute;left:33011;top:27946;width:2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ZGsMAAADcAAAADwAAAGRycy9kb3ducmV2LnhtbESPQYvCMBSE78L+h/AW9qaporJWoywr&#10;woIo6Irg7dE822DzUppU6783guBxmJlvmNmitaW4Uu2NYwX9XgKCOHPacK7g8L/qfoPwAVlj6ZgU&#10;3MnDYv7RmWGq3Y13dN2HXEQI+xQVFCFUqZQ+K8ii77mKOHpnV1sMUda51DXeItyWcpAkY2nRcFwo&#10;sKLfgrLLvrEKVhvdLA/GDY+nYxghN/fJemuU+vpsf6YgArXhHX61/7SCQTKG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8mRrDAAAA3AAAAA8AAAAAAAAAAAAA&#10;AAAAoQIAAGRycy9kb3ducmV2LnhtbFBLBQYAAAAABAAEAPkAAACRAwAAAAA=&#10;" strokecolor="#00b050" strokeweight="2pt">
                  <v:stroke startarrowwidth="wide" startarrowlength="long" endarrow="block" endcap="round"/>
                </v:shape>
                <v:shape id="Straight Arrow Connector 143" o:spid="_x0000_s1518" type="#_x0000_t32" style="position:absolute;left:14318;top:37261;width:8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6s8MAAADcAAAADwAAAGRycy9kb3ducmV2LnhtbESPwW7CMBBE75X4B2uReis2OQBKMaiN&#10;qNojEA4cV/Emjhqvo9gl6d/XlZA4jmbmjWa7n1wnbjSE1rOG5UKBIK68abnRcCk/XjYgQkQ22Hkm&#10;Db8UYL+bPW0xN37kE93OsREJwiFHDTbGPpcyVJYchoXviZNX+8FhTHJopBlwTHDXyUyplXTYclqw&#10;2FNhqfo+/zgNZe2z1VgU9lCX7+b6qY6TsY3Wz/Pp7RVEpCk+wvf2l9GQqTX8n0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GurPDAAAA3AAAAA8AAAAAAAAAAAAA&#10;AAAAoQIAAGRycy9kb3ducmV2LnhtbFBLBQYAAAAABAAEAPkAAACRAwAAAAA=&#10;" strokecolor="#1f497d" strokeweight="2pt">
                  <v:stroke startarrowwidth="wide" startarrowlength="long" endcap="round"/>
                </v:shape>
                <v:shape id="Straight Arrow Connector 144" o:spid="_x0000_s1519" type="#_x0000_t32" style="position:absolute;left:22737;top:37312;width:62;height:40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n7xsAAAADcAAAADwAAAGRycy9kb3ducmV2LnhtbERPy4rCMBTdD/gP4QpuBk0tOEg1iiiC&#10;Isj4wPWlubbF5qY2qda/NwvB5eG8p/PWlOJBtSssKxgOIhDEqdUFZwrOp3V/DMJ5ZI2lZVLwIgfz&#10;Wedniom2Tz7Q4+gzEULYJagg975KpHRpTgbdwFbEgbva2qAPsM6krvEZwk0p4yj6kwYLDg05VrTM&#10;Kb0dG6Pgf7sq71k6amO88Km5/u6aw36nVK/bLiYgPLX+K/64N1pBHIW14Uw4AnL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5+8bAAAAA3AAAAA8AAAAAAAAAAAAAAAAA&#10;oQIAAGRycy9kb3ducmV2LnhtbFBLBQYAAAAABAAEAPkAAACOAwAAAAA=&#10;" strokecolor="#1f497d" strokeweight="2pt">
                  <v:stroke startarrowwidth="wide" startarrowlength="long" endarrow="block" endcap="round"/>
                </v:shape>
                <v:shape id="Straight Arrow Connector 145" o:spid="_x0000_s1520" type="#_x0000_t32" style="position:absolute;left:15992;top:37261;width:0;height:4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DrmMUAAADcAAAADwAAAGRycy9kb3ducmV2LnhtbESPQWvCQBSE74L/YXmF3symHoJNs4oo&#10;QumhEvXQ4zP7TILZt2F3a9L++q4g9DjMzDdMsRpNJ27kfGtZwUuSgiCurG65VnA67mYLED4ga+ws&#10;k4If8rBaTicF5toOXNLtEGoRIexzVNCE0OdS+qohgz6xPXH0LtYZDFG6WmqHQ4SbTs7TNJMGW44L&#10;Dfa0aai6Hr6NAtp+fnxl51Oncb2v3GB+Sz1slXp+GtdvIAKN4T/8aL9rBfP0Fe5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DrmMUAAADcAAAADwAAAAAAAAAA&#10;AAAAAAChAgAAZHJzL2Rvd25yZXYueG1sUEsFBgAAAAAEAAQA+QAAAJMDAAAAAA==&#10;" strokecolor="#1f497d" strokeweight="2pt">
                  <v:stroke startarrowwidth="wide" startarrowlength="long" endarrow="block" endcap="round"/>
                </v:shape>
                <v:shape id="_x0000_s1521" type="#_x0000_t202" style="position:absolute;left:2203;top:478;width:10985;height:5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9osEA&#10;AADcAAAADwAAAGRycy9kb3ducmV2LnhtbERPTYvCMBC9C/6HMII3TS0oUo0iBVHEPeh62dvYjG2x&#10;mdQmat1fbw6Cx8f7ni9bU4kHNa60rGA0jEAQZ1aXnCs4/a4HUxDOI2usLJOCFzlYLrqdOSbaPvlA&#10;j6PPRQhhl6CCwvs6kdJlBRl0Q1sTB+5iG4M+wCaXusFnCDeVjKNoIg2WHBoKrCktKLse70bBLl3/&#10;4OEcm+l/lW72l1V9O/2Nler32tUMhKfWf8Uf91YriEdhfj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aLBAAAA3AAAAA8AAAAAAAAAAAAAAAAAmAIAAGRycy9kb3du&#10;cmV2LnhtbFBLBQYAAAAABAAEAPUAAACGAwAAAAA=&#10;" filled="f" stroked="f" strokeweight=".5pt">
                  <v:textbox>
                    <w:txbxContent>
                      <w:p w:rsidR="0093783C" w:rsidRPr="006E2C6D" w:rsidRDefault="0093783C" w:rsidP="00335E4B">
                        <w:pPr>
                          <w:pStyle w:val="NormalWeb"/>
                          <w:bidi/>
                          <w:spacing w:before="0" w:beforeAutospacing="0" w:after="200" w:afterAutospacing="0" w:line="240" w:lineRule="exact"/>
                          <w:jc w:val="center"/>
                          <w:rPr>
                            <w:rFonts w:ascii="Traditional Arabic" w:hAnsi="Traditional Arabic" w:cs="Traditional Arabic"/>
                          </w:rPr>
                        </w:pPr>
                        <w:r w:rsidRPr="006E2C6D">
                          <w:rPr>
                            <w:rFonts w:ascii="Traditional Arabic" w:eastAsia="Calibri" w:hAnsi="Traditional Arabic" w:cs="Traditional Arabic"/>
                            <w:rtl/>
                            <w:lang w:val="en-CA"/>
                          </w:rPr>
                          <w:t xml:space="preserve">الغاز الناجم عن جهاز التحميص من زوابع الغبار </w:t>
                        </w:r>
                      </w:p>
                    </w:txbxContent>
                  </v:textbox>
                </v:shape>
                <v:shape id="_x0000_s1522" type="#_x0000_t202" style="position:absolute;left:4443;top:10350;width:5359;height:7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GYsIA&#10;AADcAAAADwAAAGRycy9kb3ducmV2LnhtbESPzarCMBSE94LvEI5wd5rWxUWqUUT8g4sLtYjLQ3Ns&#10;i81JaaLtfXsjCC6HmfmGmS06U4knNa60rCAeRSCIM6tLzhWk581wAsJ5ZI2VZVLwTw4W835vhom2&#10;LR/pefK5CBB2CSoovK8TKV1WkEE3sjVx8G62MeiDbHKpG2wD3FRyHEW/0mDJYaHAmlYFZffTwyg4&#10;xn/uoK8+Zdeuu62+ri+8uyv1M+iWUxCeOv8Nf9p7rWAcx/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kZiwgAAANwAAAAPAAAAAAAAAAAAAAAAAJgCAABkcnMvZG93&#10;bnJldi54bWxQSwUGAAAAAAQABAD1AAAAhwMAAAAA&#10;" filled="f" stroked="f" strokeweight=".5pt">
                  <v:textbox style="layout-flow:vertical;mso-layout-flow-alt:bottom-to-top">
                    <w:txbxContent>
                      <w:p w:rsidR="0093783C" w:rsidRPr="006E2C6D" w:rsidRDefault="0093783C"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6E2C6D">
                          <w:rPr>
                            <w:rFonts w:ascii="Traditional Arabic" w:eastAsia="Calibri" w:hAnsi="Traditional Arabic" w:cs="Traditional Arabic"/>
                            <w:rtl/>
                            <w:lang w:val="en-CA" w:bidi="ar-SY"/>
                          </w:rPr>
                          <w:t>جهاز إخماد الغاز</w:t>
                        </w:r>
                      </w:p>
                    </w:txbxContent>
                  </v:textbox>
                </v:shape>
                <v:shape id="_x0000_s1523" type="#_x0000_t202" style="position:absolute;left:11263;top:17595;width:3772;height:6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YFcQA&#10;AADcAAAADwAAAGRycy9kb3ducmV2LnhtbESPQWvCQBSE70L/w/KE3nSTHEqJWaWItYXiIRrE4yP7&#10;mgSzb0N2TdJ/7xYEj8PMfMNkm8m0YqDeNZYVxMsIBHFpdcOVguL0uXgH4TyyxtYyKfgjB5v1yyzD&#10;VNuRcxqOvhIBwi5FBbX3XSqlK2sy6Ja2Iw7er+0N+iD7SuoexwA3rUyi6E0abDgs1NjRtqbyerwZ&#10;BXn84w764gt2427a68vuzF9XpV7n08cKhKfJP8OP9rdWkMQJ/J8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82BXEAAAA3AAAAA8AAAAAAAAAAAAAAAAAmAIAAGRycy9k&#10;b3ducmV2LnhtbFBLBQYAAAAABAAEAPUAAACJAwAAAAA=&#10;" filled="f" stroked="f" strokeweight=".5pt">
                  <v:textbox style="layout-flow:vertical;mso-layout-flow-alt:bottom-to-top">
                    <w:txbxContent>
                      <w:p w:rsidR="0093783C" w:rsidRPr="006E2C6D" w:rsidRDefault="0093783C"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6E2C6D">
                          <w:rPr>
                            <w:rFonts w:ascii="Traditional Arabic" w:eastAsia="Calibri" w:hAnsi="Traditional Arabic" w:cs="Traditional Arabic"/>
                            <w:rtl/>
                            <w:lang w:val="en-CA" w:bidi="ar-SY"/>
                          </w:rPr>
                          <w:t>جهاز شطف</w:t>
                        </w:r>
                      </w:p>
                    </w:txbxContent>
                  </v:textbox>
                </v:shape>
                <v:shape id="_x0000_s1524" type="#_x0000_t202" style="position:absolute;left:19333;top:11683;width:3772;height:12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9jsIA&#10;AADcAAAADwAAAGRycy9kb3ducmV2LnhtbESPS6vCMBSE9xf8D+EI7q5pFeRSjSLiC8SFD8TloTm2&#10;xeakNNHWf28E4S6HmfmGmcxaU4on1a6wrCDuRyCIU6sLzhScT6vfPxDOI2ssLZOCFzmYTTs/E0y0&#10;bfhAz6PPRICwS1BB7n2VSOnSnAy6vq2Ig3eztUEfZJ1JXWMT4KaUgygaSYMFh4UcK1rklN6PD6Pg&#10;EO/cXl/9mV2zbNf6urzw5q5Ur9vOxyA8tf4//G1vtYJBPIT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H2OwgAAANwAAAAPAAAAAAAAAAAAAAAAAJgCAABkcnMvZG93&#10;bnJldi54bWxQSwUGAAAAAAQABAD1AAAAhwMAAAAA&#10;" filled="f" stroked="f" strokeweight=".5pt">
                  <v:textbox style="layout-flow:vertical;mso-layout-flow-alt:bottom-to-top">
                    <w:txbxContent>
                      <w:p w:rsidR="0093783C" w:rsidRPr="006E2C6D" w:rsidRDefault="0093783C"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6E2C6D">
                          <w:rPr>
                            <w:rFonts w:ascii="Traditional Arabic" w:eastAsia="Calibri" w:hAnsi="Traditional Arabic" w:cs="Traditional Arabic"/>
                            <w:rtl/>
                            <w:lang w:val="en-CA" w:bidi="ar-SY"/>
                          </w:rPr>
                          <w:t xml:space="preserve">جهاز شطف </w:t>
                        </w:r>
                        <w:r w:rsidRPr="00D52D10">
                          <w:rPr>
                            <w:rFonts w:eastAsia="Calibri"/>
                            <w:sz w:val="18"/>
                            <w:szCs w:val="18"/>
                            <w:lang w:val="en-CA" w:bidi="ar-SY"/>
                          </w:rPr>
                          <w:t>SO2</w:t>
                        </w:r>
                      </w:p>
                    </w:txbxContent>
                  </v:textbox>
                </v:shape>
                <v:shape id="_x0000_s1525" type="#_x0000_t202" style="position:absolute;left:35442;top:11683;width:3772;height:12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l+sIA&#10;AADcAAAADwAAAGRycy9kb3ducmV2LnhtbESPS6vCMBSE9xf8D+EI7q5pReRSjSLiC8SFD8TloTm2&#10;xeakNNHWf28E4S6HmfmGmcxaU4on1a6wrCDuRyCIU6sLzhScT6vfPxDOI2ssLZOCFzmYTTs/E0y0&#10;bfhAz6PPRICwS1BB7n2VSOnSnAy6vq2Ig3eztUEfZJ1JXWMT4KaUgygaSYMFh4UcK1rklN6PD6Pg&#10;EO/cXl/9mV2zbNf6urzw5q5Ur9vOxyA8tf4//G1vtYJBPIT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eX6wgAAANwAAAAPAAAAAAAAAAAAAAAAAJgCAABkcnMvZG93&#10;bnJldi54bWxQSwUGAAAAAAQABAD1AAAAhwMAAAAA&#10;" filled="f" stroked="f" strokeweight=".5pt">
                  <v:textbox style="layout-flow:vertical;mso-layout-flow-alt:bottom-to-top">
                    <w:txbxContent>
                      <w:p w:rsidR="0093783C" w:rsidRPr="006E2C6D" w:rsidRDefault="0093783C"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6E2C6D">
                          <w:rPr>
                            <w:rFonts w:ascii="Traditional Arabic" w:eastAsia="Calibri" w:hAnsi="Traditional Arabic" w:cs="Traditional Arabic"/>
                            <w:rtl/>
                            <w:lang w:val="en-CA" w:bidi="ar-SY"/>
                          </w:rPr>
                          <w:t xml:space="preserve">جهاز شطف الزئبق </w:t>
                        </w:r>
                        <w:r w:rsidRPr="00D52D10">
                          <w:rPr>
                            <w:rFonts w:eastAsia="Calibri"/>
                            <w:sz w:val="18"/>
                            <w:szCs w:val="18"/>
                            <w:lang w:val="en-CA" w:bidi="ar-SY"/>
                          </w:rPr>
                          <w:t>Hg</w:t>
                        </w:r>
                      </w:p>
                    </w:txbxContent>
                  </v:textbox>
                </v:shape>
                <v:shape id="_x0000_s1526" type="#_x0000_t202" style="position:absolute;left:48120;top:11144;width:3772;height:15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AYcIA&#10;AADcAAAADwAAAGRycy9kb3ducmV2LnhtbESPS6vCMBSE9xf8D+EI7q5pBeVSjSLiC8SFD8TloTm2&#10;xeakNNHWf28E4S6HmfmGmcxaU4on1a6wrCDuRyCIU6sLzhScT6vfPxDOI2ssLZOCFzmYTTs/E0y0&#10;bfhAz6PPRICwS1BB7n2VSOnSnAy6vq2Ig3eztUEfZJ1JXWMT4KaUgygaSYMFh4UcK1rklN6PD6Pg&#10;EO/cXl/9mV2zbNf6urzw5q5Ur9vOxyA8tf4//G1vtYJBPIT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UBhwgAAANwAAAAPAAAAAAAAAAAAAAAAAJgCAABkcnMvZG93&#10;bnJldi54bWxQSwUGAAAAAAQABAD1AAAAhwMAAAAA&#10;" filled="f" stroked="f" strokeweight=".5pt">
                  <v:textbox style="layout-flow:vertical;mso-layout-flow-alt:bottom-to-top">
                    <w:txbxContent>
                      <w:p w:rsidR="0093783C" w:rsidRPr="006E2C6D" w:rsidRDefault="0093783C"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6E2C6D">
                          <w:rPr>
                            <w:rFonts w:ascii="Traditional Arabic" w:eastAsia="Calibri" w:hAnsi="Traditional Arabic" w:cs="Traditional Arabic" w:hint="cs"/>
                            <w:rtl/>
                            <w:lang w:val="en-CA" w:bidi="ar-SY"/>
                          </w:rPr>
                          <w:t>غاز</w:t>
                        </w:r>
                        <w:r>
                          <w:rPr>
                            <w:rFonts w:ascii="Traditional Arabic" w:eastAsia="Calibri" w:hAnsi="Traditional Arabic" w:cs="Traditional Arabic"/>
                            <w:lang w:val="en-CA" w:bidi="ar-SY"/>
                          </w:rPr>
                          <w:t xml:space="preserve"> </w:t>
                        </w:r>
                        <w:r w:rsidRPr="006E2C6D">
                          <w:rPr>
                            <w:rFonts w:ascii="Traditional Arabic" w:eastAsia="Calibri" w:hAnsi="Traditional Arabic" w:cs="Traditional Arabic" w:hint="cs"/>
                            <w:rtl/>
                            <w:lang w:val="en-CA" w:bidi="ar-SY"/>
                          </w:rPr>
                          <w:t>المخلفات</w:t>
                        </w:r>
                      </w:p>
                    </w:txbxContent>
                  </v:textbox>
                </v:shape>
                <v:shape id="_x0000_s1527" type="#_x0000_t202" style="position:absolute;left:40160;top:14540;width:3075;height:8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eFsIA&#10;AADcAAAADwAAAGRycy9kb3ducmV2LnhtbESPzarCMBSE9xd8h3AEd9e0LkSqUUT8A7kLtYjLQ3Ns&#10;i81JaaKtb38jCC6HmfmGmS06U4knNa60rCAeRiCIM6tLzhWk583vBITzyBory6TgRQ4W897PDBNt&#10;Wz7S8+RzESDsElRQeF8nUrqsIINuaGvi4N1sY9AH2eRSN9gGuKnkKIrG0mDJYaHAmlYFZffTwyg4&#10;xgf3p68+Zdeuu62+ri+8uys16HfLKQhPnf+GP+29VjCKx/A+E4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94WwgAAANwAAAAPAAAAAAAAAAAAAAAAAJgCAABkcnMvZG93&#10;bnJldi54bWxQSwUGAAAAAAQABAD1AAAAhwMAAAAA&#10;" filled="f" stroked="f" strokeweight=".5pt">
                  <v:textbox style="layout-flow:vertical;mso-layout-flow-alt:bottom-to-top">
                    <w:txbxContent>
                      <w:p w:rsidR="0093783C" w:rsidRPr="006E2C6D" w:rsidRDefault="0093783C"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6E2C6D">
                          <w:rPr>
                            <w:rFonts w:ascii="Traditional Arabic" w:eastAsia="Calibri" w:hAnsi="Traditional Arabic" w:cs="Traditional Arabic" w:hint="cs"/>
                            <w:rtl/>
                            <w:lang w:val="en-CA" w:bidi="ar-SY"/>
                          </w:rPr>
                          <w:t>إعادة التدوير</w:t>
                        </w:r>
                      </w:p>
                    </w:txbxContent>
                  </v:textbox>
                </v:shape>
                <v:shape id="_x0000_s1528" type="#_x0000_t202" style="position:absolute;left:52391;top:14517;width:5065;height:8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7jcIA&#10;AADcAAAADwAAAGRycy9kb3ducmV2LnhtbESPS6vCMBSE9xf8D+EI7q5pXeilGkXEF4gLH4jLQ3Ns&#10;i81JaaKt/94Iwl0OM/MNM5m1phRPql1hWUHcj0AQp1YXnCk4n1a/fyCcR9ZYWiYFL3Iwm3Z+Jpho&#10;2/CBnkefiQBhl6CC3PsqkdKlORl0fVsRB+9ma4M+yDqTusYmwE0pB1E0lAYLDgs5VrTIKb0fH0bB&#10;Id65vb76M7tm2a71dXnhzV2pXredj0F4av1/+NveagWDeASfM+EIy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3uNwgAAANwAAAAPAAAAAAAAAAAAAAAAAJgCAABkcnMvZG93&#10;bnJldi54bWxQSwUGAAAAAAQABAD1AAAAhwMAAAAA&#10;" filled="f" stroked="f" strokeweight=".5pt">
                  <v:textbox style="layout-flow:vertical;mso-layout-flow-alt:bottom-to-top">
                    <w:txbxContent>
                      <w:p w:rsidR="0093783C" w:rsidRPr="00C03874" w:rsidRDefault="0093783C" w:rsidP="00335E4B">
                        <w:pPr>
                          <w:pStyle w:val="NormalWeb"/>
                          <w:bidi/>
                          <w:spacing w:before="0" w:beforeAutospacing="0" w:after="200" w:afterAutospacing="0" w:line="276" w:lineRule="auto"/>
                          <w:jc w:val="center"/>
                          <w:rPr>
                            <w:rFonts w:ascii="Traditional Arabic" w:eastAsia="Calibri" w:hAnsi="Traditional Arabic" w:cs="Traditional Arabic"/>
                            <w:lang w:val="en-CA"/>
                          </w:rPr>
                        </w:pPr>
                        <w:r w:rsidRPr="00C03874">
                          <w:rPr>
                            <w:rFonts w:ascii="Traditional Arabic" w:eastAsia="Calibri" w:hAnsi="Traditional Arabic" w:cs="Traditional Arabic" w:hint="cs"/>
                            <w:rtl/>
                            <w:lang w:val="en-CA"/>
                          </w:rPr>
                          <w:t>إعادة التدوير</w:t>
                        </w:r>
                      </w:p>
                    </w:txbxContent>
                  </v:textbox>
                </v:shape>
                <v:shape id="_x0000_s1529" type="#_x0000_t202" style="position:absolute;left:24018;top:21735;width:3659;height:8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v/70A&#10;AADcAAAADwAAAGRycy9kb3ducmV2LnhtbERPyQrCMBC9C/5DGMGbpvUgUo0i4gbiwQXxODRjW2wm&#10;pYm2/r05CB4fb58tWlOKN9WusKwgHkYgiFOrC84UXC+bwQSE88gaS8uk4EMOFvNuZ4aJtg2f6H32&#10;mQgh7BJUkHtfJVK6NCeDbmgr4sA9bG3QB1hnUtfYhHBTylEUjaXBgkNDjhWtckqf55dRcIoP7qjv&#10;/squWbdbfV/fePdUqt9rl1MQnlr/F//ce61gFIe14Uw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JTv/70AAADcAAAADwAAAAAAAAAAAAAAAACYAgAAZHJzL2Rvd25yZXYu&#10;eG1sUEsFBgAAAAAEAAQA9QAAAIIDAAAAAA==&#10;" filled="f" stroked="f" strokeweight=".5pt">
                  <v:textbox style="layout-flow:vertical;mso-layout-flow-alt:bottom-to-top">
                    <w:txbxContent>
                      <w:p w:rsidR="0093783C" w:rsidRPr="00C03874" w:rsidRDefault="0093783C" w:rsidP="00335E4B">
                        <w:pPr>
                          <w:pStyle w:val="NormalWeb"/>
                          <w:bidi/>
                          <w:spacing w:before="0" w:beforeAutospacing="0" w:after="200" w:afterAutospacing="0" w:line="240" w:lineRule="exact"/>
                          <w:jc w:val="center"/>
                          <w:rPr>
                            <w:rFonts w:ascii="Traditional Arabic" w:eastAsia="Calibri" w:hAnsi="Traditional Arabic" w:cs="Traditional Arabic"/>
                            <w:lang w:val="en-CA"/>
                          </w:rPr>
                        </w:pPr>
                        <w:r w:rsidRPr="00C03874">
                          <w:rPr>
                            <w:rFonts w:ascii="Traditional Arabic" w:eastAsia="Calibri" w:hAnsi="Traditional Arabic" w:cs="Traditional Arabic" w:hint="cs"/>
                            <w:rtl/>
                            <w:lang w:val="en-CA"/>
                          </w:rPr>
                          <w:t xml:space="preserve">إعادة التدوير </w:t>
                        </w:r>
                      </w:p>
                    </w:txbxContent>
                  </v:textbox>
                </v:shape>
                <v:shape id="_x0000_s1530" type="#_x0000_t202" style="position:absolute;left:27677;top:23599;width:5767;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93783C" w:rsidRPr="00C03874" w:rsidRDefault="0093783C"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C03874">
                          <w:rPr>
                            <w:rFonts w:ascii="Traditional Arabic" w:eastAsia="Calibri" w:hAnsi="Traditional Arabic" w:cs="Traditional Arabic" w:hint="cs"/>
                            <w:rtl/>
                            <w:lang w:val="en-CA" w:bidi="ar-SY"/>
                          </w:rPr>
                          <w:t>مروحة</w:t>
                        </w:r>
                      </w:p>
                    </w:txbxContent>
                  </v:textbox>
                </v:shape>
                <v:shape id="_x0000_s1531" type="#_x0000_t202" style="position:absolute;left:26195;top:30967;width:952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H8IA&#10;AADcAAAADwAAAGRycy9kb3ducmV2LnhtbERPy4rCMBTdD/gP4QruxtSCg1TTIgWZQZyFj427a3Nt&#10;i81NbaLW+frJQnB5OO9F1ptG3KlztWUFk3EEgriwuuZSwWG/+pyBcB5ZY2OZFDzJQZYOPhaYaPvg&#10;Ld13vhQhhF2CCirv20RKV1Rk0I1tSxy4s+0M+gC7UuoOHyHcNDKOoi9psObQUGFLeUXFZXczCtb5&#10;6he3p9jM/pr8e3NettfDcarUaNgv5yA89f4tfrl/tII4DvP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DcfwgAAANwAAAAPAAAAAAAAAAAAAAAAAJgCAABkcnMvZG93&#10;bnJldi54bWxQSwUGAAAAAAQABAD1AAAAhwMAAAAA&#10;" filled="f" stroked="f" strokeweight=".5pt">
                  <v:textbox>
                    <w:txbxContent>
                      <w:p w:rsidR="0093783C" w:rsidRPr="00C03874" w:rsidRDefault="0093783C"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C03874">
                          <w:rPr>
                            <w:rFonts w:ascii="Traditional Arabic" w:eastAsia="Calibri" w:hAnsi="Traditional Arabic" w:cs="Traditional Arabic" w:hint="cs"/>
                            <w:rtl/>
                            <w:lang w:val="en-CA" w:bidi="ar-SY"/>
                          </w:rPr>
                          <w:t>إضافة الهيبوكلوريت</w:t>
                        </w:r>
                      </w:p>
                    </w:txbxContent>
                  </v:textbox>
                </v:shape>
                <v:shape id="_x0000_s1532" type="#_x0000_t202" style="position:absolute;left:52285;top:34874;width:855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rsidR="0093783C" w:rsidRPr="00B455A2" w:rsidRDefault="0093783C" w:rsidP="00335E4B">
                        <w:pPr>
                          <w:pStyle w:val="NormalWeb"/>
                          <w:bidi/>
                          <w:spacing w:before="0" w:beforeAutospacing="0" w:after="0" w:afterAutospacing="0" w:line="220" w:lineRule="exact"/>
                          <w:jc w:val="center"/>
                          <w:rPr>
                            <w:rFonts w:ascii="Traditional Arabic" w:eastAsia="Calibri" w:hAnsi="Traditional Arabic" w:cs="Traditional Arabic"/>
                            <w:sz w:val="22"/>
                            <w:szCs w:val="22"/>
                            <w:lang w:val="en-CA" w:bidi="ar-SY"/>
                          </w:rPr>
                        </w:pPr>
                        <w:r w:rsidRPr="00B455A2">
                          <w:rPr>
                            <w:rFonts w:ascii="Traditional Arabic" w:eastAsia="Calibri" w:hAnsi="Traditional Arabic" w:cs="Traditional Arabic" w:hint="cs"/>
                            <w:sz w:val="22"/>
                            <w:szCs w:val="22"/>
                            <w:rtl/>
                            <w:lang w:val="en-CA" w:bidi="ar-SY"/>
                          </w:rPr>
                          <w:t>رماد الصودا والماء</w:t>
                        </w:r>
                      </w:p>
                    </w:txbxContent>
                  </v:textbox>
                </v:shape>
                <v:shape id="_x0000_s1533" type="#_x0000_t202" style="position:absolute;left:51544;top:41427;width:6760;height: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88YA&#10;AADcAAAADwAAAGRycy9kb3ducmV2LnhtbESPT2sCMRTE7wW/Q3iF3mq2gRZZzYosiCL1oPXi7XXz&#10;9g/dvKybqFs/fSMIPQ4z8xtmNh9sKy7U+8axhrdxAoK4cKbhSsPha/k6AeEDssHWMWn4JQ/zbPQ0&#10;w9S4K+/osg+ViBD2KWqoQ+hSKX1Rk0U/dh1x9ErXWwxR9pU0PV4j3LZSJcmHtNhwXKixo7ym4md/&#10;tho2+XKLu29lJ7c2X32Wi+50OL5r/fI8LKYgAg3hP/xor40GpRTc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M88YAAADcAAAADwAAAAAAAAAAAAAAAACYAgAAZHJz&#10;L2Rvd25yZXYueG1sUEsFBgAAAAAEAAQA9QAAAIsDAAAAAA==&#10;" filled="f" stroked="f" strokeweight=".5pt">
                  <v:textbox>
                    <w:txbxContent>
                      <w:p w:rsidR="0093783C" w:rsidRPr="00784D3F" w:rsidRDefault="0093783C" w:rsidP="00335E4B">
                        <w:pPr>
                          <w:pStyle w:val="NormalWeb"/>
                          <w:bidi/>
                          <w:spacing w:before="0" w:beforeAutospacing="0" w:after="0" w:afterAutospacing="0" w:line="220" w:lineRule="exact"/>
                          <w:jc w:val="center"/>
                          <w:rPr>
                            <w:rFonts w:ascii="Traditional Arabic" w:hAnsi="Traditional Arabic" w:cs="Traditional Arabic"/>
                            <w:sz w:val="20"/>
                            <w:szCs w:val="20"/>
                            <w:lang w:bidi="ar-SY"/>
                          </w:rPr>
                        </w:pPr>
                        <w:r w:rsidRPr="00784D3F">
                          <w:rPr>
                            <w:rFonts w:ascii="Traditional Arabic" w:eastAsia="Calibri" w:hAnsi="Traditional Arabic" w:cs="Traditional Arabic"/>
                            <w:sz w:val="20"/>
                            <w:szCs w:val="20"/>
                            <w:rtl/>
                            <w:lang w:val="en-CA" w:bidi="ar-SY"/>
                          </w:rPr>
                          <w:t>خزان مخلفات الكربون في حوض النض</w:t>
                        </w:r>
                      </w:p>
                    </w:txbxContent>
                  </v:textbox>
                </v:shape>
                <v:shape id="_x0000_s1534" type="#_x0000_t202" style="position:absolute;left:2534;top:38496;width:6760;height:6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paMUA&#10;AADcAAAADwAAAGRycy9kb3ducmV2LnhtbESPT4vCMBTE7wv7HcJb8LamVhT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qloxQAAANwAAAAPAAAAAAAAAAAAAAAAAJgCAABkcnMv&#10;ZG93bnJldi54bWxQSwUGAAAAAAQABAD1AAAAigMAAAAA&#10;" filled="f" stroked="f" strokeweight=".5pt">
                  <v:textbox>
                    <w:txbxContent>
                      <w:p w:rsidR="0093783C" w:rsidRPr="006E2C6D" w:rsidRDefault="0093783C" w:rsidP="00335E4B">
                        <w:pPr>
                          <w:pStyle w:val="NormalWeb"/>
                          <w:bidi/>
                          <w:spacing w:before="0" w:beforeAutospacing="0" w:after="0" w:afterAutospacing="0" w:line="220" w:lineRule="exact"/>
                          <w:jc w:val="center"/>
                          <w:rPr>
                            <w:rFonts w:ascii="Traditional Arabic" w:eastAsia="Calibri" w:hAnsi="Traditional Arabic" w:cs="Traditional Arabic"/>
                            <w:sz w:val="20"/>
                            <w:szCs w:val="20"/>
                            <w:lang w:val="en-CA" w:bidi="ar-SY"/>
                          </w:rPr>
                        </w:pPr>
                        <w:r w:rsidRPr="006E2C6D">
                          <w:rPr>
                            <w:rFonts w:ascii="Traditional Arabic" w:eastAsia="Calibri" w:hAnsi="Traditional Arabic" w:cs="Traditional Arabic" w:hint="cs"/>
                            <w:sz w:val="20"/>
                            <w:szCs w:val="20"/>
                            <w:rtl/>
                            <w:lang w:val="en-CA" w:bidi="ar-SY"/>
                          </w:rPr>
                          <w:t>خزان تجميع النضح</w:t>
                        </w:r>
                      </w:p>
                    </w:txbxContent>
                  </v:textbox>
                </v:shape>
                <v:shape id="_x0000_s1535" type="#_x0000_t202" style="position:absolute;left:13188;top:41802;width:4191;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rsidR="0093783C" w:rsidRPr="006E2C6D" w:rsidRDefault="0093783C" w:rsidP="00335E4B">
                        <w:pPr>
                          <w:pStyle w:val="NormalWeb"/>
                          <w:bidi/>
                          <w:spacing w:before="0" w:beforeAutospacing="0" w:after="0" w:afterAutospacing="0" w:line="220" w:lineRule="exact"/>
                          <w:jc w:val="center"/>
                          <w:rPr>
                            <w:rFonts w:ascii="Traditional Arabic" w:eastAsia="Calibri" w:hAnsi="Traditional Arabic" w:cs="Traditional Arabic"/>
                            <w:sz w:val="20"/>
                            <w:szCs w:val="20"/>
                            <w:lang w:val="en-CA" w:bidi="ar-SY"/>
                          </w:rPr>
                        </w:pPr>
                        <w:r w:rsidRPr="006E2C6D">
                          <w:rPr>
                            <w:rFonts w:ascii="Traditional Arabic" w:eastAsia="Calibri" w:hAnsi="Traditional Arabic" w:cs="Traditional Arabic" w:hint="cs"/>
                            <w:sz w:val="20"/>
                            <w:szCs w:val="20"/>
                            <w:rtl/>
                            <w:lang w:val="en-CA" w:bidi="ar-SY"/>
                          </w:rPr>
                          <w:t>ا</w:t>
                        </w:r>
                        <w:r>
                          <w:rPr>
                            <w:rFonts w:ascii="Traditional Arabic" w:eastAsia="Calibri" w:hAnsi="Traditional Arabic" w:cs="Traditional Arabic" w:hint="cs"/>
                            <w:sz w:val="20"/>
                            <w:szCs w:val="20"/>
                            <w:rtl/>
                            <w:lang w:val="en-CA" w:bidi="ar-SY"/>
                          </w:rPr>
                          <w:t>لكمية 1</w:t>
                        </w:r>
                      </w:p>
                    </w:txbxContent>
                  </v:textbox>
                </v:shape>
                <v:shape id="_x0000_s1536" type="#_x0000_t202" style="position:absolute;left:19824;top:41802;width:4191;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Uh8YA&#10;AADcAAAADwAAAGRycy9kb3ducmV2LnhtbESPQWvCQBSE74X+h+UVems2BiySZhUJSKXoQZtLb6/Z&#10;ZxLMvk2zaxL99d1CweMwM98w2WoyrRiod41lBbMoBkFcWt1wpaD43LwsQDiPrLG1TAqu5GC1fHzI&#10;MNV25AMNR1+JAGGXooLa+y6V0pU1GXSR7YiDd7K9QR9kX0nd4xjgppVJHL9Kgw2HhRo7ymsqz8eL&#10;UfCRb/Z4+E7M4tbm77vTuvspvuZKPT9N6zcQniZ/D/+3t1pBks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OUh8YAAADcAAAADwAAAAAAAAAAAAAAAACYAgAAZHJz&#10;L2Rvd25yZXYueG1sUEsFBgAAAAAEAAQA9QAAAIsDAAAAAA==&#10;" filled="f" stroked="f" strokeweight=".5pt">
                  <v:textbox>
                    <w:txbxContent>
                      <w:p w:rsidR="0093783C" w:rsidRPr="006E2C6D" w:rsidRDefault="0093783C" w:rsidP="00335E4B">
                        <w:pPr>
                          <w:pStyle w:val="NormalWeb"/>
                          <w:bidi/>
                          <w:spacing w:before="0" w:beforeAutospacing="0" w:after="0" w:afterAutospacing="0" w:line="220" w:lineRule="exact"/>
                          <w:jc w:val="center"/>
                          <w:rPr>
                            <w:rFonts w:ascii="Traditional Arabic" w:eastAsia="Calibri" w:hAnsi="Traditional Arabic" w:cs="Traditional Arabic"/>
                            <w:sz w:val="20"/>
                            <w:szCs w:val="20"/>
                            <w:lang w:val="en-CA" w:bidi="ar-SY"/>
                          </w:rPr>
                        </w:pPr>
                        <w:r w:rsidRPr="006E2C6D">
                          <w:rPr>
                            <w:rFonts w:ascii="Traditional Arabic" w:eastAsia="Calibri" w:hAnsi="Traditional Arabic" w:cs="Traditional Arabic" w:hint="cs"/>
                            <w:sz w:val="20"/>
                            <w:szCs w:val="20"/>
                            <w:rtl/>
                            <w:lang w:val="en-CA" w:bidi="ar-SY"/>
                          </w:rPr>
                          <w:t>الكمية 2</w:t>
                        </w:r>
                      </w:p>
                    </w:txbxContent>
                  </v:textbox>
                </v:shape>
                <v:shape id="_x0000_s1537" type="#_x0000_t202" style="position:absolute;left:26536;top:41802;width:4680;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rsidR="0093783C" w:rsidRPr="006E2C6D" w:rsidRDefault="0093783C" w:rsidP="00335E4B">
                        <w:pPr>
                          <w:pStyle w:val="NormalWeb"/>
                          <w:bidi/>
                          <w:spacing w:before="0" w:beforeAutospacing="0" w:after="0" w:afterAutospacing="0" w:line="220" w:lineRule="exact"/>
                          <w:jc w:val="center"/>
                          <w:rPr>
                            <w:rFonts w:ascii="Traditional Arabic" w:eastAsia="Calibri" w:hAnsi="Traditional Arabic" w:cs="Traditional Arabic"/>
                            <w:sz w:val="20"/>
                            <w:szCs w:val="20"/>
                            <w:lang w:val="en-CA" w:bidi="ar-SY"/>
                          </w:rPr>
                        </w:pPr>
                        <w:r w:rsidRPr="006E2C6D">
                          <w:rPr>
                            <w:rFonts w:ascii="Traditional Arabic" w:eastAsia="Calibri" w:hAnsi="Traditional Arabic" w:cs="Traditional Arabic" w:hint="cs"/>
                            <w:sz w:val="20"/>
                            <w:szCs w:val="20"/>
                            <w:rtl/>
                            <w:lang w:val="en-CA" w:bidi="ar-SY"/>
                          </w:rPr>
                          <w:t>خزان الحفظ</w:t>
                        </w:r>
                      </w:p>
                    </w:txbxContent>
                  </v:textbox>
                </v:shape>
                <v:shape id="_x0000_s1538" type="#_x0000_t202" style="position:absolute;left:14319;top:46602;width:15665;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va8YA&#10;AADcAAAADwAAAGRycy9kb3ducmV2LnhtbESPS4vCQBCE7wv7H4Ze8LZODPgg6ygSkBXRg4+Lt95M&#10;mwQzPdnMqNFf7wiCx6KqvqLG09ZU4kKNKy0r6HUjEMSZ1SXnCva7+fcIhPPIGivLpOBGDqaTz48x&#10;JtpeeUOXrc9FgLBLUEHhfZ1I6bKCDLqurYmDd7SNQR9kk0vd4DXATSXjKBpIgyWHhQJrSgvKTtuz&#10;UbBM52vc/MVmdK/S39VxVv/vD32lOl/t7AeEp9a/w6/2QiuI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va8YAAADcAAAADwAAAAAAAAAAAAAAAACYAgAAZHJz&#10;L2Rvd25yZXYueG1sUEsFBgAAAAAEAAQA9QAAAIsDAAAAAA==&#10;" filled="f" stroked="f" strokeweight=".5pt">
                  <v:textbox>
                    <w:txbxContent>
                      <w:p w:rsidR="0093783C" w:rsidRPr="006E2C6D" w:rsidRDefault="0093783C" w:rsidP="00335E4B">
                        <w:pPr>
                          <w:pStyle w:val="NormalWeb"/>
                          <w:bidi/>
                          <w:spacing w:before="0" w:beforeAutospacing="0" w:after="200" w:afterAutospacing="0" w:line="240" w:lineRule="exact"/>
                          <w:jc w:val="center"/>
                          <w:rPr>
                            <w:rFonts w:ascii="Traditional Arabic" w:eastAsia="Calibri" w:hAnsi="Traditional Arabic" w:cs="Traditional Arabic"/>
                            <w:sz w:val="22"/>
                            <w:szCs w:val="22"/>
                            <w:lang w:val="en-CA"/>
                          </w:rPr>
                        </w:pPr>
                        <w:r w:rsidRPr="006E2C6D">
                          <w:rPr>
                            <w:rFonts w:ascii="Traditional Arabic" w:eastAsia="Calibri" w:hAnsi="Traditional Arabic" w:cs="Traditional Arabic" w:hint="cs"/>
                            <w:sz w:val="22"/>
                            <w:szCs w:val="22"/>
                            <w:rtl/>
                            <w:lang w:val="en-CA"/>
                          </w:rPr>
                          <w:t>نظام تجميع الكالوميل</w:t>
                        </w:r>
                      </w:p>
                    </w:txbxContent>
                  </v:textbox>
                </v:shape>
                <v:shape id="_x0000_s1539" type="#_x0000_t202" style="position:absolute;left:7606;top:35052;width:9006;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rsidR="0093783C" w:rsidRPr="006E2C6D" w:rsidRDefault="0093783C" w:rsidP="009C5341">
                        <w:pPr>
                          <w:pStyle w:val="NormalWeb"/>
                          <w:bidi/>
                          <w:spacing w:before="0" w:beforeAutospacing="0" w:after="0" w:afterAutospacing="0" w:line="220" w:lineRule="exact"/>
                          <w:jc w:val="center"/>
                          <w:rPr>
                            <w:rFonts w:ascii="Traditional Arabic" w:eastAsia="Calibri" w:hAnsi="Traditional Arabic" w:cs="Traditional Arabic"/>
                            <w:sz w:val="20"/>
                            <w:szCs w:val="20"/>
                            <w:lang w:val="en-CA" w:bidi="ar-SY"/>
                          </w:rPr>
                        </w:pPr>
                        <w:r w:rsidRPr="006E2C6D">
                          <w:rPr>
                            <w:rFonts w:ascii="Traditional Arabic" w:eastAsia="Calibri" w:hAnsi="Traditional Arabic" w:cs="Traditional Arabic" w:hint="cs"/>
                            <w:sz w:val="20"/>
                            <w:szCs w:val="20"/>
                            <w:rtl/>
                            <w:lang w:val="en-CA" w:bidi="ar-SY"/>
                          </w:rPr>
                          <w:t>إضافة غبار الزنك</w:t>
                        </w:r>
                      </w:p>
                      <w:p w:rsidR="0093783C" w:rsidRDefault="0093783C" w:rsidP="00335E4B"/>
                    </w:txbxContent>
                  </v:textbox>
                </v:shape>
                <v:shape id="_x0000_s1540" type="#_x0000_t202" style="position:absolute;left:36331;top:36225;width:17981;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rsidR="0093783C" w:rsidRPr="009C5341" w:rsidRDefault="0093783C" w:rsidP="009C5341">
                        <w:pPr>
                          <w:pStyle w:val="NormalWeb"/>
                          <w:bidi/>
                          <w:spacing w:before="0" w:beforeAutospacing="0" w:after="0" w:afterAutospacing="0" w:line="220" w:lineRule="exact"/>
                          <w:jc w:val="center"/>
                          <w:rPr>
                            <w:rFonts w:ascii="Calibri" w:hAnsi="Calibri"/>
                            <w:sz w:val="20"/>
                            <w:szCs w:val="20"/>
                            <w:lang w:bidi="ar-SY"/>
                          </w:rPr>
                        </w:pPr>
                        <w:r w:rsidRPr="009C5341">
                          <w:rPr>
                            <w:rFonts w:ascii="Traditional Arabic" w:eastAsia="Calibri" w:hAnsi="Traditional Arabic" w:cs="Traditional Arabic" w:hint="cs"/>
                            <w:sz w:val="20"/>
                            <w:szCs w:val="20"/>
                            <w:rtl/>
                            <w:lang w:val="en-CA" w:bidi="ar-SY"/>
                          </w:rPr>
                          <w:t>من المادة الطافية إلى الكربون في حوض لنض</w:t>
                        </w:r>
                      </w:p>
                    </w:txbxContent>
                  </v:textbox>
                </v:shape>
                <v:shape id="_x0000_s1541" type="#_x0000_t202" style="position:absolute;left:9296;top:31472;width:8083;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93783C" w:rsidRPr="00C03874" w:rsidRDefault="0093783C"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C03874">
                          <w:rPr>
                            <w:rFonts w:ascii="Traditional Arabic" w:eastAsia="Calibri" w:hAnsi="Traditional Arabic" w:cs="Traditional Arabic" w:hint="cs"/>
                            <w:rtl/>
                            <w:lang w:val="en-CA" w:bidi="ar-SY"/>
                          </w:rPr>
                          <w:t>محلول النضح</w:t>
                        </w:r>
                      </w:p>
                    </w:txbxContent>
                  </v:textbox>
                </v:shape>
                <v:shape id="_x0000_s1542" type="#_x0000_t202" style="position:absolute;left:36334;top:46577;width:8947;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rsidR="0093783C" w:rsidRPr="006E2C6D" w:rsidRDefault="0093783C" w:rsidP="009C5341">
                        <w:pPr>
                          <w:pStyle w:val="NormalWeb"/>
                          <w:bidi/>
                          <w:spacing w:before="0" w:beforeAutospacing="0" w:after="200" w:afterAutospacing="0" w:line="240" w:lineRule="exact"/>
                          <w:jc w:val="center"/>
                          <w:rPr>
                            <w:rFonts w:ascii="Traditional Arabic" w:eastAsia="Calibri" w:hAnsi="Traditional Arabic" w:cs="Traditional Arabic"/>
                            <w:sz w:val="22"/>
                            <w:szCs w:val="22"/>
                            <w:lang w:val="en-CA"/>
                          </w:rPr>
                        </w:pPr>
                        <w:r w:rsidRPr="006E2C6D">
                          <w:rPr>
                            <w:rFonts w:ascii="Traditional Arabic" w:eastAsia="Calibri" w:hAnsi="Traditional Arabic" w:cs="Traditional Arabic" w:hint="cs"/>
                            <w:sz w:val="22"/>
                            <w:szCs w:val="22"/>
                            <w:rtl/>
                            <w:lang w:val="en-CA"/>
                          </w:rPr>
                          <w:t>الكالوميل</w:t>
                        </w:r>
                      </w:p>
                    </w:txbxContent>
                  </v:textbox>
                </v:shape>
                <v:shape id="_x0000_s1543" type="#_x0000_t202" style="position:absolute;left:320;top:29314;width:8974;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rsidR="0093783C" w:rsidRPr="00C03874" w:rsidRDefault="0093783C"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C03874">
                          <w:rPr>
                            <w:rFonts w:ascii="Traditional Arabic" w:eastAsia="Calibri" w:hAnsi="Traditional Arabic" w:cs="Traditional Arabic" w:hint="cs"/>
                            <w:rtl/>
                            <w:lang w:val="en-CA" w:bidi="ar-SY"/>
                          </w:rPr>
                          <w:t>إلى خزان محكم الإغلاق وخزان الإخماد</w:t>
                        </w:r>
                      </w:p>
                    </w:txbxContent>
                  </v:textbox>
                </v:shape>
                <v:shape id="_x0000_s1544" type="#_x0000_t202" style="position:absolute;left:25349;top:17595;width:6451;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rsidR="0093783C" w:rsidRPr="006E2C6D" w:rsidRDefault="0093783C" w:rsidP="00335E4B">
                        <w:pPr>
                          <w:pStyle w:val="NormalWeb"/>
                          <w:bidi/>
                          <w:spacing w:before="0" w:beforeAutospacing="0" w:after="0" w:afterAutospacing="0" w:line="220" w:lineRule="exact"/>
                          <w:jc w:val="center"/>
                          <w:rPr>
                            <w:rFonts w:ascii="Traditional Arabic" w:eastAsia="Calibri" w:hAnsi="Traditional Arabic" w:cs="Traditional Arabic"/>
                            <w:lang w:val="en-CA" w:bidi="ar-SY"/>
                          </w:rPr>
                        </w:pPr>
                        <w:r w:rsidRPr="006E2C6D">
                          <w:rPr>
                            <w:rFonts w:ascii="Traditional Arabic" w:eastAsia="Calibri" w:hAnsi="Traditional Arabic" w:cs="Traditional Arabic" w:hint="cs"/>
                            <w:rtl/>
                            <w:lang w:val="en-CA" w:bidi="ar-SY"/>
                          </w:rPr>
                          <w:t>جهاز تبادل الحرارة</w:t>
                        </w:r>
                      </w:p>
                    </w:txbxContent>
                  </v:textbox>
                </v:shape>
                <v:shape id="Straight Arrow Connector 176" o:spid="_x0000_s1545" type="#_x0000_t32" style="position:absolute;left:24551;top:28981;width:0;height:73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laMUAAADcAAAADwAAAGRycy9kb3ducmV2LnhtbESPQWsCMRSE7wX/Q3iCl1Kz2lLK1iil&#10;INqDlN2WQm+PzXN3cfMSNnGN/94IgsdhZr5hFqtoOjFQ71vLCmbTDARxZXXLtYLfn/XTGwgfkDV2&#10;lknBmTyslqOHBebanrigoQy1SBD2OSpoQnC5lL5qyKCfWkecvL3tDYYk+1rqHk8Jbjo5z7JXabDl&#10;tNCgo8+GqkN5NAr+vuPXULojFo/FlhztNhz/N0pNxvHjHUSgGO7hW3urFcyfX+B6Jh0B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laMUAAADcAAAADwAAAAAAAAAA&#10;AAAAAAChAgAAZHJzL2Rvd25yZXYueG1sUEsFBgAAAAAEAAQA+QAAAJMDAAAAAA==&#10;" strokecolor="#8064a2" strokeweight="2pt">
                  <v:stroke startarrowwidth="wide" startarrowlength="long" endarrow="block" endcap="round"/>
                </v:shape>
                <w10:wrap type="tight"/>
              </v:group>
            </w:pict>
          </mc:Fallback>
        </mc:AlternateContent>
      </w:r>
    </w:p>
    <w:p w:rsidR="009C5341" w:rsidRPr="00335E4B" w:rsidRDefault="009C5341" w:rsidP="009C5341">
      <w:pPr>
        <w:spacing w:after="120" w:line="360" w:lineRule="exact"/>
        <w:ind w:left="-2"/>
        <w:jc w:val="both"/>
        <w:rPr>
          <w:rFonts w:cs="Traditional Arabic"/>
          <w:sz w:val="20"/>
          <w:szCs w:val="30"/>
          <w:rtl/>
          <w:lang w:val="en-GB" w:bidi="ar-EG"/>
        </w:rPr>
      </w:pPr>
      <w:r w:rsidRPr="00335E4B">
        <w:rPr>
          <w:rFonts w:cs="Traditional Arabic"/>
          <w:b/>
          <w:bCs/>
          <w:sz w:val="26"/>
          <w:szCs w:val="26"/>
          <w:rtl/>
        </w:rPr>
        <w:t>الشكل</w:t>
      </w:r>
      <w:r w:rsidRPr="00335E4B">
        <w:rPr>
          <w:rFonts w:cs="Traditional Arabic"/>
          <w:b/>
          <w:bCs/>
          <w:sz w:val="26"/>
          <w:szCs w:val="26"/>
          <w:rtl/>
          <w:lang w:val="en-GB" w:bidi="ar-EG"/>
        </w:rPr>
        <w:t xml:space="preserve"> </w:t>
      </w:r>
      <w:r w:rsidRPr="00335E4B">
        <w:rPr>
          <w:rFonts w:cs="Traditional Arabic" w:hint="cs"/>
          <w:b/>
          <w:bCs/>
          <w:sz w:val="26"/>
          <w:szCs w:val="26"/>
          <w:rtl/>
          <w:lang w:val="en-GB" w:bidi="ar-EG"/>
        </w:rPr>
        <w:t>7</w:t>
      </w:r>
      <w:r>
        <w:rPr>
          <w:rFonts w:cs="Traditional Arabic" w:hint="cs"/>
          <w:b/>
          <w:bCs/>
          <w:sz w:val="26"/>
          <w:szCs w:val="26"/>
          <w:rtl/>
          <w:lang w:val="en-GB" w:bidi="ar-EG"/>
        </w:rPr>
        <w:t>-</w:t>
      </w:r>
      <w:r w:rsidRPr="00335E4B">
        <w:rPr>
          <w:rFonts w:cs="Traditional Arabic"/>
          <w:b/>
          <w:bCs/>
          <w:sz w:val="26"/>
          <w:szCs w:val="26"/>
          <w:rtl/>
          <w:lang w:val="en-GB" w:bidi="ar-EG"/>
        </w:rPr>
        <w:t xml:space="preserve"> </w:t>
      </w:r>
      <w:r w:rsidRPr="00335E4B">
        <w:rPr>
          <w:rFonts w:cs="Traditional Arabic"/>
          <w:b/>
          <w:bCs/>
          <w:sz w:val="26"/>
          <w:szCs w:val="26"/>
          <w:rtl/>
        </w:rPr>
        <w:t>رسم تخطيطي لعملية جيريت مع خيار استرداد كلوريد الزئبق</w:t>
      </w:r>
      <w:r w:rsidRPr="00335E4B">
        <w:rPr>
          <w:rFonts w:cs="Traditional Arabic"/>
          <w:b/>
          <w:bCs/>
          <w:sz w:val="26"/>
          <w:szCs w:val="26"/>
          <w:rtl/>
          <w:lang w:val="en-GB" w:bidi="ar-EG"/>
        </w:rPr>
        <w:t xml:space="preserve"> </w:t>
      </w:r>
      <w:r w:rsidRPr="00335E4B">
        <w:rPr>
          <w:rFonts w:cs="Traditional Arabic"/>
          <w:b/>
          <w:bCs/>
          <w:sz w:val="18"/>
          <w:szCs w:val="18"/>
          <w:lang w:val="en-GB" w:bidi="ar-EG"/>
        </w:rPr>
        <w:t>Hg</w:t>
      </w:r>
      <w:r w:rsidRPr="00335E4B">
        <w:rPr>
          <w:rFonts w:cs="Traditional Arabic"/>
          <w:b/>
          <w:bCs/>
          <w:sz w:val="18"/>
          <w:szCs w:val="18"/>
          <w:vertAlign w:val="subscript"/>
          <w:lang w:val="en-GB" w:bidi="ar-EG"/>
        </w:rPr>
        <w:t>2</w:t>
      </w:r>
      <w:r w:rsidRPr="00335E4B">
        <w:rPr>
          <w:rFonts w:cs="Traditional Arabic"/>
          <w:b/>
          <w:bCs/>
          <w:sz w:val="18"/>
          <w:szCs w:val="18"/>
          <w:lang w:val="en-GB" w:bidi="ar-EG"/>
        </w:rPr>
        <w:t>Cl</w:t>
      </w:r>
      <w:r w:rsidRPr="00335E4B">
        <w:rPr>
          <w:rFonts w:cs="Traditional Arabic"/>
          <w:b/>
          <w:bCs/>
          <w:sz w:val="18"/>
          <w:szCs w:val="18"/>
          <w:vertAlign w:val="subscript"/>
          <w:lang w:val="en-GB" w:bidi="ar-EG"/>
        </w:rPr>
        <w:t>2</w:t>
      </w:r>
    </w:p>
    <w:p w:rsidR="00335E4B" w:rsidRPr="00335E4B" w:rsidRDefault="00D118C5" w:rsidP="000876B6">
      <w:pPr>
        <w:keepNext/>
        <w:spacing w:before="120" w:after="120" w:line="360" w:lineRule="exact"/>
        <w:ind w:left="991" w:hanging="991"/>
        <w:jc w:val="both"/>
        <w:outlineLvl w:val="0"/>
        <w:rPr>
          <w:rFonts w:cs="Traditional Arabic"/>
          <w:b/>
          <w:bCs/>
          <w:sz w:val="20"/>
          <w:szCs w:val="30"/>
          <w:rtl/>
        </w:rPr>
      </w:pPr>
      <w:bookmarkStart w:id="1859" w:name="_Ref289603586"/>
      <w:bookmarkStart w:id="1860" w:name="_Ref289595345"/>
      <w:bookmarkStart w:id="1861" w:name="_Toc433095439"/>
      <w:bookmarkStart w:id="1862" w:name="_Toc434239974"/>
      <w:bookmarkStart w:id="1863" w:name="_Toc440550568"/>
      <w:bookmarkStart w:id="1864" w:name="_Toc441577827"/>
      <w:bookmarkStart w:id="1865" w:name="_Toc441578006"/>
      <w:bookmarkStart w:id="1866" w:name="_Toc441580840"/>
      <w:bookmarkStart w:id="1867" w:name="_Toc441585971"/>
      <w:bookmarkStart w:id="1868" w:name="_Toc441586307"/>
      <w:bookmarkStart w:id="1869" w:name="_Toc441586757"/>
      <w:bookmarkStart w:id="1870" w:name="_Toc441586936"/>
      <w:bookmarkStart w:id="1871" w:name="_Toc441666785"/>
      <w:bookmarkStart w:id="1872" w:name="_Toc441673846"/>
      <w:r>
        <w:rPr>
          <w:rFonts w:cs="Traditional Arabic" w:hint="cs"/>
          <w:b/>
          <w:bCs/>
          <w:sz w:val="20"/>
          <w:szCs w:val="30"/>
          <w:rtl/>
          <w:lang w:bidi="ar-EG"/>
        </w:rPr>
        <w:t>3-6</w:t>
      </w:r>
      <w:r>
        <w:rPr>
          <w:rFonts w:cs="Traditional Arabic" w:hint="cs"/>
          <w:b/>
          <w:bCs/>
          <w:sz w:val="20"/>
          <w:szCs w:val="30"/>
          <w:rtl/>
          <w:lang w:bidi="ar-EG"/>
        </w:rPr>
        <w:tab/>
      </w:r>
      <w:r w:rsidR="00335E4B" w:rsidRPr="000876B6">
        <w:rPr>
          <w:rFonts w:ascii="Times New Roman Bold" w:hAnsi="Times New Roman Bold" w:cs="Traditional Arabic"/>
          <w:b/>
          <w:bCs/>
          <w:w w:val="86"/>
          <w:sz w:val="20"/>
          <w:szCs w:val="30"/>
          <w:rtl/>
          <w:lang w:bidi="ar-EG"/>
        </w:rPr>
        <w:t xml:space="preserve">المنافع </w:t>
      </w:r>
      <w:r w:rsidR="00335E4B" w:rsidRPr="000876B6">
        <w:rPr>
          <w:rFonts w:ascii="Times New Roman Bold" w:hAnsi="Times New Roman Bold" w:cs="Traditional Arabic" w:hint="cs"/>
          <w:b/>
          <w:bCs/>
          <w:w w:val="86"/>
          <w:sz w:val="20"/>
          <w:szCs w:val="30"/>
          <w:rtl/>
          <w:lang w:bidi="ar-EG"/>
        </w:rPr>
        <w:t>المشتركة</w:t>
      </w:r>
      <w:r w:rsidR="00335E4B" w:rsidRPr="000876B6">
        <w:rPr>
          <w:rFonts w:ascii="Times New Roman Bold" w:hAnsi="Times New Roman Bold" w:cs="Traditional Arabic"/>
          <w:b/>
          <w:bCs/>
          <w:w w:val="86"/>
          <w:sz w:val="20"/>
          <w:szCs w:val="30"/>
          <w:rtl/>
          <w:lang w:bidi="ar-EG"/>
        </w:rPr>
        <w:t xml:space="preserve"> للتكنولوجيات الشائعة الرامية إلى تخفيض تلوث الهواء وتقنيات </w:t>
      </w:r>
      <w:r w:rsidR="00335E4B" w:rsidRPr="000876B6">
        <w:rPr>
          <w:rFonts w:ascii="Times New Roman Bold" w:hAnsi="Times New Roman Bold" w:cs="Traditional Arabic" w:hint="cs"/>
          <w:b/>
          <w:bCs/>
          <w:w w:val="86"/>
          <w:sz w:val="20"/>
          <w:szCs w:val="30"/>
          <w:rtl/>
          <w:lang w:bidi="ar-EG"/>
        </w:rPr>
        <w:t xml:space="preserve">ضبط </w:t>
      </w:r>
      <w:r w:rsidR="00335E4B" w:rsidRPr="000876B6">
        <w:rPr>
          <w:rFonts w:ascii="Times New Roman Bold" w:hAnsi="Times New Roman Bold" w:cs="Traditional Arabic"/>
          <w:b/>
          <w:bCs/>
          <w:w w:val="86"/>
          <w:sz w:val="20"/>
          <w:szCs w:val="30"/>
          <w:rtl/>
          <w:lang w:bidi="ar-EG"/>
        </w:rPr>
        <w:t>الزئبق في منشآت تصنيع الحمض</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p>
    <w:p w:rsidR="00335E4B" w:rsidRPr="00335E4B" w:rsidRDefault="00D118C5" w:rsidP="000876B6">
      <w:pPr>
        <w:keepNext/>
        <w:tabs>
          <w:tab w:val="left" w:pos="991"/>
        </w:tabs>
        <w:spacing w:before="120" w:after="120" w:line="360" w:lineRule="exact"/>
        <w:jc w:val="both"/>
        <w:outlineLvl w:val="0"/>
        <w:rPr>
          <w:rFonts w:cs="Traditional Arabic"/>
          <w:b/>
          <w:bCs/>
          <w:sz w:val="20"/>
          <w:szCs w:val="30"/>
          <w:rtl/>
          <w:lang w:bidi="ar-EG"/>
        </w:rPr>
      </w:pPr>
      <w:bookmarkStart w:id="1873" w:name="_Toc433095440"/>
      <w:bookmarkStart w:id="1874" w:name="_Toc434239975"/>
      <w:bookmarkStart w:id="1875" w:name="_Toc440550569"/>
      <w:bookmarkStart w:id="1876" w:name="_Toc441577828"/>
      <w:bookmarkStart w:id="1877" w:name="_Toc441578007"/>
      <w:bookmarkStart w:id="1878" w:name="_Toc441580841"/>
      <w:bookmarkStart w:id="1879" w:name="_Toc441585972"/>
      <w:bookmarkStart w:id="1880" w:name="_Toc441586308"/>
      <w:bookmarkStart w:id="1881" w:name="_Toc441586758"/>
      <w:bookmarkStart w:id="1882" w:name="_Toc441586937"/>
      <w:bookmarkStart w:id="1883" w:name="_Toc441666786"/>
      <w:bookmarkStart w:id="1884" w:name="_Toc441673847"/>
      <w:r>
        <w:rPr>
          <w:rFonts w:cs="Traditional Arabic" w:hint="cs"/>
          <w:b/>
          <w:bCs/>
          <w:sz w:val="20"/>
          <w:szCs w:val="30"/>
          <w:rtl/>
          <w:lang w:bidi="ar-EG"/>
        </w:rPr>
        <w:t>3-6-1</w:t>
      </w:r>
      <w:r>
        <w:rPr>
          <w:rFonts w:cs="Traditional Arabic" w:hint="cs"/>
          <w:b/>
          <w:bCs/>
          <w:sz w:val="20"/>
          <w:szCs w:val="30"/>
          <w:rtl/>
          <w:lang w:bidi="ar-EG"/>
        </w:rPr>
        <w:tab/>
      </w:r>
      <w:r w:rsidR="00335E4B" w:rsidRPr="00335E4B">
        <w:rPr>
          <w:rFonts w:cs="Traditional Arabic"/>
          <w:b/>
          <w:bCs/>
          <w:sz w:val="20"/>
          <w:szCs w:val="30"/>
          <w:rtl/>
          <w:lang w:bidi="ar-EG"/>
        </w:rPr>
        <w:t>تكنولوجيات تخفيض التلوث</w:t>
      </w:r>
      <w:bookmarkEnd w:id="1873"/>
      <w:bookmarkEnd w:id="1874"/>
      <w:bookmarkEnd w:id="1875"/>
      <w:bookmarkEnd w:id="1876"/>
      <w:bookmarkEnd w:id="1877"/>
      <w:bookmarkEnd w:id="1878"/>
      <w:bookmarkEnd w:id="1879"/>
      <w:bookmarkEnd w:id="1880"/>
      <w:bookmarkEnd w:id="1881"/>
      <w:bookmarkEnd w:id="1882"/>
      <w:bookmarkEnd w:id="1883"/>
      <w:bookmarkEnd w:id="1884"/>
    </w:p>
    <w:p w:rsidR="00335E4B" w:rsidRPr="00335E4B" w:rsidRDefault="00335E4B" w:rsidP="000876B6">
      <w:pPr>
        <w:tabs>
          <w:tab w:val="left" w:pos="663"/>
          <w:tab w:val="left" w:pos="1117"/>
          <w:tab w:val="left" w:pos="2230"/>
          <w:tab w:val="center" w:pos="5468"/>
        </w:tabs>
        <w:spacing w:after="120" w:line="360" w:lineRule="exact"/>
        <w:jc w:val="both"/>
        <w:rPr>
          <w:rFonts w:cs="Traditional Arabic"/>
          <w:sz w:val="20"/>
          <w:szCs w:val="30"/>
          <w:rtl/>
        </w:rPr>
      </w:pPr>
      <w:r w:rsidRPr="00335E4B">
        <w:rPr>
          <w:rFonts w:cs="Traditional Arabic"/>
          <w:sz w:val="20"/>
          <w:szCs w:val="30"/>
          <w:rtl/>
        </w:rPr>
        <w:t xml:space="preserve">يرد قسم شامل عن التكنولوجيات الشائعة الرامية إلى تخفيض التلوث والتي توفر منافع </w:t>
      </w:r>
      <w:r w:rsidRPr="00335E4B">
        <w:rPr>
          <w:rFonts w:cs="Traditional Arabic" w:hint="cs"/>
          <w:sz w:val="20"/>
          <w:szCs w:val="30"/>
          <w:rtl/>
        </w:rPr>
        <w:t>مشتركة</w:t>
      </w:r>
      <w:r w:rsidRPr="00335E4B">
        <w:rPr>
          <w:rFonts w:cs="Traditional Arabic"/>
          <w:sz w:val="20"/>
          <w:szCs w:val="30"/>
          <w:rtl/>
        </w:rPr>
        <w:t xml:space="preserve"> لاحتجاز انبعاثات الزئبق في الفصل الذي يتناول التكنولوجيات الشائعة في الوثيقة التوجيهية المتعلقة بأفضل التكنولوجيات المتاحة</w:t>
      </w:r>
      <w:r w:rsidRPr="00335E4B">
        <w:rPr>
          <w:rFonts w:cs="Traditional Arabic"/>
          <w:sz w:val="20"/>
          <w:szCs w:val="30"/>
          <w:rtl/>
          <w:lang w:val="en-GB" w:bidi="ar-EG"/>
        </w:rPr>
        <w:t>/</w:t>
      </w:r>
      <w:r w:rsidRPr="00335E4B">
        <w:rPr>
          <w:rFonts w:cs="Traditional Arabic"/>
          <w:sz w:val="20"/>
          <w:szCs w:val="30"/>
          <w:rtl/>
        </w:rPr>
        <w:t>أفضل الممارسات البيئية</w:t>
      </w:r>
      <w:r w:rsidRPr="00335E4B">
        <w:rPr>
          <w:rFonts w:cs="Traditional Arabic"/>
          <w:sz w:val="20"/>
          <w:szCs w:val="30"/>
          <w:rtl/>
          <w:lang w:val="en-GB" w:bidi="ar-EG"/>
        </w:rPr>
        <w:t>.</w:t>
      </w:r>
      <w:r w:rsidRPr="00335E4B">
        <w:rPr>
          <w:rFonts w:cs="Traditional Arabic"/>
          <w:sz w:val="20"/>
          <w:szCs w:val="30"/>
          <w:rtl/>
        </w:rPr>
        <w:t xml:space="preserve"> ويناقش القسم الحالي إمكانية تطبيق هذه التقنيات في قطاع المعادن غير الحديدية</w:t>
      </w:r>
      <w:r w:rsidRPr="00335E4B">
        <w:rPr>
          <w:rFonts w:cs="Traditional Arabic"/>
          <w:sz w:val="20"/>
          <w:szCs w:val="30"/>
          <w:rtl/>
          <w:lang w:val="en-GB" w:bidi="ar-EG"/>
        </w:rPr>
        <w:t>.</w:t>
      </w:r>
    </w:p>
    <w:p w:rsidR="00335E4B" w:rsidRPr="00335E4B" w:rsidRDefault="00741EAC" w:rsidP="000876B6">
      <w:pPr>
        <w:tabs>
          <w:tab w:val="left" w:pos="991"/>
        </w:tabs>
        <w:spacing w:before="120" w:after="120" w:line="360" w:lineRule="exact"/>
        <w:rPr>
          <w:rFonts w:cs="Traditional Arabic"/>
          <w:b/>
          <w:bCs/>
          <w:sz w:val="20"/>
          <w:szCs w:val="30"/>
          <w:rtl/>
        </w:rPr>
      </w:pPr>
      <w:bookmarkStart w:id="1885" w:name="_Toc440550570"/>
      <w:r>
        <w:rPr>
          <w:rFonts w:cs="Traditional Arabic" w:hint="cs"/>
          <w:b/>
          <w:bCs/>
          <w:sz w:val="20"/>
          <w:szCs w:val="30"/>
          <w:rtl/>
          <w:lang w:bidi="ar-EG"/>
        </w:rPr>
        <w:t>3-6-1-1</w:t>
      </w:r>
      <w:r w:rsidR="00621308">
        <w:rPr>
          <w:rFonts w:cs="Traditional Arabic" w:hint="cs"/>
          <w:b/>
          <w:bCs/>
          <w:sz w:val="20"/>
          <w:szCs w:val="30"/>
          <w:rtl/>
          <w:lang w:bidi="ar-EG"/>
        </w:rPr>
        <w:tab/>
      </w:r>
      <w:r w:rsidR="00335E4B" w:rsidRPr="00335E4B">
        <w:rPr>
          <w:rFonts w:cs="Traditional Arabic"/>
          <w:b/>
          <w:bCs/>
          <w:sz w:val="20"/>
          <w:szCs w:val="30"/>
          <w:rtl/>
        </w:rPr>
        <w:t>المرشحات الكيسية</w:t>
      </w:r>
      <w:bookmarkEnd w:id="1885"/>
    </w:p>
    <w:p w:rsidR="00335E4B" w:rsidRPr="00335E4B" w:rsidRDefault="00335E4B" w:rsidP="000876B6">
      <w:pPr>
        <w:tabs>
          <w:tab w:val="left" w:pos="663"/>
          <w:tab w:val="left" w:pos="1117"/>
          <w:tab w:val="left" w:pos="2230"/>
          <w:tab w:val="center" w:pos="5468"/>
        </w:tabs>
        <w:spacing w:after="120" w:line="360" w:lineRule="exact"/>
        <w:jc w:val="both"/>
        <w:rPr>
          <w:rFonts w:cs="Traditional Arabic"/>
          <w:sz w:val="20"/>
          <w:szCs w:val="30"/>
          <w:rtl/>
        </w:rPr>
      </w:pPr>
      <w:r w:rsidRPr="00335E4B">
        <w:rPr>
          <w:rFonts w:cs="Traditional Arabic"/>
          <w:sz w:val="20"/>
          <w:szCs w:val="30"/>
          <w:rtl/>
        </w:rPr>
        <w:t xml:space="preserve">يشيع استخدام المرشحات الكيسية في قطاع المعادن غير الحديدية، لأن هذه التقنية توفر كفاءة الجمع الأعلى بين أساليب </w:t>
      </w:r>
      <w:r w:rsidRPr="00335E4B">
        <w:rPr>
          <w:rFonts w:cs="Traditional Arabic" w:hint="cs"/>
          <w:sz w:val="20"/>
          <w:szCs w:val="30"/>
          <w:rtl/>
        </w:rPr>
        <w:t>ضبط</w:t>
      </w:r>
      <w:r w:rsidRPr="00335E4B">
        <w:rPr>
          <w:rFonts w:cs="Traditional Arabic"/>
          <w:sz w:val="20"/>
          <w:szCs w:val="30"/>
          <w:rtl/>
        </w:rPr>
        <w:t xml:space="preserve"> المواد الجسيمية</w:t>
      </w:r>
      <w:r w:rsidRPr="00335E4B">
        <w:rPr>
          <w:rFonts w:cs="Traditional Arabic"/>
          <w:sz w:val="20"/>
          <w:szCs w:val="30"/>
          <w:rtl/>
          <w:lang w:val="en-GB" w:bidi="ar-EG"/>
        </w:rPr>
        <w:t>.</w:t>
      </w:r>
      <w:r w:rsidRPr="00335E4B">
        <w:rPr>
          <w:rFonts w:cs="Traditional Arabic"/>
          <w:sz w:val="20"/>
          <w:szCs w:val="30"/>
          <w:rtl/>
        </w:rPr>
        <w:t xml:space="preserve"> ويمكن إزالة قوالب الغبار المتجمعة على المرشح دورياً باستخدام طرق من قبيل تدفق الهواء في الاتجاه المعاكس، والرج الميكانيكي، والاهتزاز، وتيارات النبض الهوائية</w:t>
      </w:r>
      <w:r w:rsidRPr="00335E4B">
        <w:rPr>
          <w:rFonts w:cs="Traditional Arabic"/>
          <w:sz w:val="20"/>
          <w:szCs w:val="30"/>
          <w:rtl/>
          <w:lang w:val="en-GB" w:bidi="ar-EG"/>
        </w:rPr>
        <w:t>.</w:t>
      </w:r>
      <w:r w:rsidRPr="00335E4B">
        <w:rPr>
          <w:rFonts w:cs="Traditional Arabic"/>
          <w:sz w:val="20"/>
          <w:szCs w:val="30"/>
          <w:rtl/>
        </w:rPr>
        <w:t xml:space="preserve"> ويمكن إعادة تدوير قوالب الغبار بعد ذلك في عملية جهاز الصهر لاسترداد القيم المعدنية التي قد توجد فيها</w:t>
      </w:r>
      <w:r w:rsidRPr="00335E4B">
        <w:rPr>
          <w:rFonts w:cs="Traditional Arabic"/>
          <w:sz w:val="20"/>
          <w:szCs w:val="30"/>
          <w:rtl/>
          <w:lang w:val="en-GB" w:bidi="ar-EG"/>
        </w:rPr>
        <w:t>.</w:t>
      </w:r>
      <w:r w:rsidRPr="00335E4B">
        <w:rPr>
          <w:rFonts w:cs="Traditional Arabic"/>
          <w:sz w:val="20"/>
          <w:szCs w:val="30"/>
          <w:rtl/>
        </w:rPr>
        <w:t xml:space="preserve"> وهذه التقنية فعالة لاحتجاز الزئبق الموجود على شكل جسيمات، أو الزئبق الممتص على الجسيمات</w:t>
      </w:r>
      <w:r w:rsidRPr="00335E4B">
        <w:rPr>
          <w:rFonts w:cs="Traditional Arabic"/>
          <w:sz w:val="20"/>
          <w:szCs w:val="30"/>
          <w:rtl/>
          <w:lang w:val="en-GB" w:bidi="ar-EG"/>
        </w:rPr>
        <w:t>.</w:t>
      </w:r>
    </w:p>
    <w:p w:rsidR="00335E4B" w:rsidRPr="00335E4B" w:rsidRDefault="00741EAC" w:rsidP="000876B6">
      <w:pPr>
        <w:spacing w:before="120" w:after="120" w:line="360" w:lineRule="exact"/>
        <w:rPr>
          <w:rFonts w:cs="Traditional Arabic"/>
          <w:b/>
          <w:bCs/>
          <w:sz w:val="20"/>
          <w:szCs w:val="30"/>
          <w:rtl/>
        </w:rPr>
      </w:pPr>
      <w:bookmarkStart w:id="1886" w:name="_Toc440550571"/>
      <w:r>
        <w:rPr>
          <w:rFonts w:cs="Traditional Arabic" w:hint="cs"/>
          <w:b/>
          <w:bCs/>
          <w:sz w:val="20"/>
          <w:szCs w:val="30"/>
          <w:rtl/>
          <w:lang w:bidi="ar-EG"/>
        </w:rPr>
        <w:t>3-6-1-2</w:t>
      </w:r>
      <w:r w:rsidR="00621308">
        <w:rPr>
          <w:rFonts w:cs="Traditional Arabic" w:hint="cs"/>
          <w:b/>
          <w:bCs/>
          <w:sz w:val="20"/>
          <w:szCs w:val="30"/>
          <w:rtl/>
          <w:lang w:bidi="ar-EG"/>
        </w:rPr>
        <w:tab/>
      </w:r>
      <w:r w:rsidR="00335E4B" w:rsidRPr="00335E4B">
        <w:rPr>
          <w:rFonts w:cs="Traditional Arabic"/>
          <w:b/>
          <w:bCs/>
          <w:sz w:val="20"/>
          <w:szCs w:val="30"/>
          <w:rtl/>
        </w:rPr>
        <w:t>المرسِّبات الكهروستاتيكية</w:t>
      </w:r>
      <w:bookmarkEnd w:id="1886"/>
    </w:p>
    <w:p w:rsidR="00335E4B" w:rsidRPr="00335E4B" w:rsidRDefault="00335E4B" w:rsidP="000876B6">
      <w:pPr>
        <w:tabs>
          <w:tab w:val="left" w:pos="663"/>
          <w:tab w:val="left" w:pos="1117"/>
          <w:tab w:val="left" w:pos="2230"/>
          <w:tab w:val="center" w:pos="5468"/>
        </w:tabs>
        <w:spacing w:after="120" w:line="360" w:lineRule="exact"/>
        <w:jc w:val="both"/>
        <w:rPr>
          <w:rFonts w:cs="Traditional Arabic"/>
          <w:sz w:val="20"/>
          <w:szCs w:val="30"/>
          <w:rtl/>
        </w:rPr>
      </w:pPr>
      <w:r w:rsidRPr="00335E4B">
        <w:rPr>
          <w:rFonts w:cs="Traditional Arabic"/>
          <w:sz w:val="20"/>
          <w:szCs w:val="30"/>
          <w:rtl/>
        </w:rPr>
        <w:t>تستخدم المرسبات الكهروستاتيكية الجافة والرطبة على نطاق واسع في قطاع المعادن غير الحديدية، وذلك كمرحلة أولى في إزالة المواد الجسيمية</w:t>
      </w:r>
      <w:r w:rsidRPr="00335E4B">
        <w:rPr>
          <w:rFonts w:cs="Traditional Arabic"/>
          <w:sz w:val="20"/>
          <w:szCs w:val="30"/>
          <w:rtl/>
          <w:lang w:val="en-GB" w:bidi="ar-EG"/>
        </w:rPr>
        <w:t>.</w:t>
      </w:r>
      <w:r w:rsidRPr="00335E4B">
        <w:rPr>
          <w:rFonts w:cs="Traditional Arabic"/>
          <w:sz w:val="20"/>
          <w:szCs w:val="30"/>
          <w:rtl/>
        </w:rPr>
        <w:t xml:space="preserve"> وفي المرسبات الكهروستاتيكية الجافة، يزال الغبار المتجمع على الصفائح المشحونة بالط</w:t>
      </w:r>
      <w:r w:rsidRPr="00335E4B">
        <w:rPr>
          <w:rFonts w:cs="Traditional Arabic" w:hint="cs"/>
          <w:sz w:val="20"/>
          <w:szCs w:val="30"/>
          <w:rtl/>
        </w:rPr>
        <w:t>َ</w:t>
      </w:r>
      <w:r w:rsidRPr="00335E4B">
        <w:rPr>
          <w:rFonts w:cs="Traditional Arabic"/>
          <w:sz w:val="20"/>
          <w:szCs w:val="30"/>
          <w:rtl/>
        </w:rPr>
        <w:t>رق أو الاهتزاز</w:t>
      </w:r>
      <w:r w:rsidRPr="00335E4B">
        <w:rPr>
          <w:rFonts w:cs="Traditional Arabic"/>
          <w:sz w:val="20"/>
          <w:szCs w:val="30"/>
          <w:rtl/>
          <w:lang w:val="en-GB" w:bidi="ar-EG"/>
        </w:rPr>
        <w:t>.</w:t>
      </w:r>
      <w:r w:rsidRPr="00335E4B">
        <w:rPr>
          <w:rFonts w:cs="Traditional Arabic"/>
          <w:sz w:val="20"/>
          <w:szCs w:val="30"/>
          <w:rtl/>
        </w:rPr>
        <w:t xml:space="preserve"> ويعاد تدوير الغبار في العادة في عملية الصهر</w:t>
      </w:r>
      <w:r w:rsidRPr="00335E4B">
        <w:rPr>
          <w:rFonts w:cs="Traditional Arabic"/>
          <w:sz w:val="20"/>
          <w:szCs w:val="30"/>
          <w:rtl/>
          <w:lang w:val="en-GB" w:bidi="ar-EG"/>
        </w:rPr>
        <w:t>.</w:t>
      </w:r>
    </w:p>
    <w:p w:rsidR="00335E4B" w:rsidRPr="00335E4B" w:rsidRDefault="00335E4B" w:rsidP="000876B6">
      <w:pPr>
        <w:tabs>
          <w:tab w:val="left" w:pos="663"/>
          <w:tab w:val="left" w:pos="1117"/>
          <w:tab w:val="left" w:pos="2230"/>
          <w:tab w:val="center" w:pos="5468"/>
        </w:tabs>
        <w:spacing w:after="120" w:line="360" w:lineRule="exact"/>
        <w:jc w:val="both"/>
        <w:rPr>
          <w:rFonts w:cs="Traditional Arabic"/>
          <w:sz w:val="20"/>
          <w:szCs w:val="30"/>
          <w:rtl/>
        </w:rPr>
      </w:pPr>
      <w:r w:rsidRPr="00335E4B">
        <w:rPr>
          <w:rFonts w:cs="Traditional Arabic"/>
          <w:sz w:val="20"/>
          <w:szCs w:val="30"/>
          <w:rtl/>
        </w:rPr>
        <w:t>وفي المرسبات الكهروستاتيكية الرطبة، يزال الغبار بغسل الصفائح، ويتم الغسل بالماء عادة</w:t>
      </w:r>
      <w:r w:rsidRPr="00335E4B">
        <w:rPr>
          <w:rFonts w:cs="Traditional Arabic"/>
          <w:sz w:val="20"/>
          <w:szCs w:val="30"/>
          <w:rtl/>
          <w:lang w:val="en-GB" w:bidi="ar-EG"/>
        </w:rPr>
        <w:t>.</w:t>
      </w:r>
      <w:r w:rsidRPr="00335E4B">
        <w:rPr>
          <w:rFonts w:cs="Traditional Arabic"/>
          <w:sz w:val="20"/>
          <w:szCs w:val="30"/>
          <w:rtl/>
        </w:rPr>
        <w:t xml:space="preserve"> وتنتج من ذلك نفايات سائلة وحمأة يمكن بعدئذ إعادة تدويرها في العملية إذا كانت تحتوي على مواد ذات قيمة، أو التخلص منها</w:t>
      </w:r>
      <w:r w:rsidRPr="00335E4B">
        <w:rPr>
          <w:rFonts w:cs="Traditional Arabic"/>
          <w:sz w:val="20"/>
          <w:szCs w:val="30"/>
          <w:rtl/>
          <w:lang w:val="en-GB" w:bidi="ar-EG"/>
        </w:rPr>
        <w:t>.</w:t>
      </w:r>
      <w:r w:rsidRPr="00335E4B">
        <w:rPr>
          <w:rFonts w:cs="Traditional Arabic"/>
          <w:sz w:val="20"/>
          <w:szCs w:val="30"/>
          <w:rtl/>
        </w:rPr>
        <w:t xml:space="preserve"> وفي حالات معينة، تبين أن المرسبات الكهروستاتيكية الرطبة تزيل الزئبق بفعالية بشكله الغازي أو الجسيمي، وذلك عندما تعمل بالاقتران مع تقنيات أخرى مثل أجهزة الشطف وأجهزة تبريد الغاز</w:t>
      </w:r>
      <w:r w:rsidRPr="00335E4B">
        <w:rPr>
          <w:rFonts w:cs="Traditional Arabic"/>
          <w:sz w:val="20"/>
          <w:szCs w:val="30"/>
          <w:rtl/>
          <w:lang w:val="en-GB" w:bidi="ar-EG"/>
        </w:rPr>
        <w:t>.</w:t>
      </w:r>
    </w:p>
    <w:p w:rsidR="00335E4B" w:rsidRPr="00335E4B" w:rsidRDefault="00741EAC" w:rsidP="000876B6">
      <w:pPr>
        <w:spacing w:before="120" w:after="120" w:line="360" w:lineRule="exact"/>
        <w:rPr>
          <w:rFonts w:cs="Traditional Arabic"/>
          <w:b/>
          <w:bCs/>
          <w:sz w:val="20"/>
          <w:szCs w:val="30"/>
          <w:rtl/>
        </w:rPr>
      </w:pPr>
      <w:bookmarkStart w:id="1887" w:name="_Toc440550572"/>
      <w:r>
        <w:rPr>
          <w:rFonts w:cs="Traditional Arabic" w:hint="cs"/>
          <w:b/>
          <w:bCs/>
          <w:sz w:val="20"/>
          <w:szCs w:val="30"/>
          <w:rtl/>
          <w:lang w:bidi="ar-EG"/>
        </w:rPr>
        <w:t>3-6-1-3</w:t>
      </w:r>
      <w:r w:rsidR="000876B6">
        <w:rPr>
          <w:rFonts w:cs="Traditional Arabic" w:hint="cs"/>
          <w:b/>
          <w:bCs/>
          <w:sz w:val="20"/>
          <w:szCs w:val="30"/>
          <w:rtl/>
          <w:lang w:bidi="ar-EG"/>
        </w:rPr>
        <w:tab/>
      </w:r>
      <w:r w:rsidR="00335E4B" w:rsidRPr="00335E4B">
        <w:rPr>
          <w:rFonts w:cs="Traditional Arabic"/>
          <w:b/>
          <w:bCs/>
          <w:sz w:val="20"/>
          <w:szCs w:val="30"/>
          <w:rtl/>
        </w:rPr>
        <w:t>أجهزة الشطف</w:t>
      </w:r>
      <w:bookmarkEnd w:id="1887"/>
    </w:p>
    <w:p w:rsidR="00335E4B" w:rsidRPr="00335E4B" w:rsidRDefault="00335E4B" w:rsidP="000876B6">
      <w:pPr>
        <w:tabs>
          <w:tab w:val="left" w:pos="663"/>
          <w:tab w:val="left" w:pos="1117"/>
          <w:tab w:val="left" w:pos="2230"/>
          <w:tab w:val="center" w:pos="5468"/>
        </w:tabs>
        <w:spacing w:after="120" w:line="360" w:lineRule="exact"/>
        <w:jc w:val="both"/>
        <w:rPr>
          <w:rFonts w:cs="Traditional Arabic"/>
          <w:sz w:val="20"/>
          <w:szCs w:val="30"/>
          <w:rtl/>
        </w:rPr>
      </w:pPr>
      <w:r w:rsidRPr="00335E4B">
        <w:rPr>
          <w:rFonts w:cs="Traditional Arabic"/>
          <w:sz w:val="20"/>
          <w:szCs w:val="30"/>
          <w:rtl/>
        </w:rPr>
        <w:t xml:space="preserve">من المعتاد استخدام أجهزة الشطف الرطبة في قطاع المعادن الحديدية، وذلك لأغراض </w:t>
      </w:r>
      <w:r w:rsidRPr="00335E4B">
        <w:rPr>
          <w:rFonts w:cs="Traditional Arabic" w:hint="cs"/>
          <w:sz w:val="20"/>
          <w:szCs w:val="30"/>
          <w:rtl/>
        </w:rPr>
        <w:t>غازات التبريد</w:t>
      </w:r>
      <w:r w:rsidRPr="00335E4B">
        <w:rPr>
          <w:rFonts w:cs="Traditional Arabic"/>
          <w:sz w:val="20"/>
          <w:szCs w:val="30"/>
          <w:rtl/>
        </w:rPr>
        <w:t xml:space="preserve"> وإزالة المواد الجسيمية والشوائب مثل ثلاثي أكسيد الكبريت </w:t>
      </w:r>
      <w:r w:rsidRPr="00335E4B">
        <w:rPr>
          <w:rFonts w:cs="Times New Roman"/>
          <w:sz w:val="20"/>
          <w:szCs w:val="20"/>
          <w:rtl/>
        </w:rPr>
        <w:t>(</w:t>
      </w:r>
      <w:r w:rsidRPr="00335E4B">
        <w:rPr>
          <w:rFonts w:cs="Times New Roman"/>
          <w:sz w:val="20"/>
          <w:szCs w:val="20"/>
          <w:lang w:val="en-GB" w:bidi="ar-EG"/>
        </w:rPr>
        <w:t>SO</w:t>
      </w:r>
      <w:r w:rsidRPr="00335E4B">
        <w:rPr>
          <w:rFonts w:cs="Times New Roman"/>
          <w:sz w:val="20"/>
          <w:szCs w:val="20"/>
          <w:vertAlign w:val="subscript"/>
          <w:lang w:val="en-GB" w:bidi="ar-EG"/>
        </w:rPr>
        <w:t>3</w:t>
      </w:r>
      <w:r w:rsidRPr="00335E4B">
        <w:rPr>
          <w:rFonts w:cs="Times New Roman"/>
          <w:sz w:val="20"/>
          <w:szCs w:val="20"/>
          <w:rtl/>
        </w:rPr>
        <w:t>)</w:t>
      </w:r>
      <w:r w:rsidRPr="00335E4B">
        <w:rPr>
          <w:rFonts w:cs="Traditional Arabic"/>
          <w:sz w:val="20"/>
          <w:szCs w:val="30"/>
          <w:rtl/>
        </w:rPr>
        <w:t xml:space="preserve">، وحمض الهيدروكلوريك </w:t>
      </w:r>
      <w:r w:rsidRPr="00335E4B">
        <w:rPr>
          <w:rFonts w:cs="Times New Roman"/>
          <w:sz w:val="20"/>
          <w:szCs w:val="20"/>
          <w:rtl/>
        </w:rPr>
        <w:t>(</w:t>
      </w:r>
      <w:r w:rsidRPr="00335E4B">
        <w:rPr>
          <w:rFonts w:cs="Times New Roman"/>
          <w:sz w:val="20"/>
          <w:szCs w:val="20"/>
          <w:lang w:val="en-GB" w:bidi="ar-EG"/>
        </w:rPr>
        <w:t>HCl</w:t>
      </w:r>
      <w:r w:rsidRPr="00335E4B">
        <w:rPr>
          <w:rFonts w:cs="Times New Roman"/>
          <w:sz w:val="20"/>
          <w:szCs w:val="20"/>
          <w:rtl/>
        </w:rPr>
        <w:t>)</w:t>
      </w:r>
      <w:r w:rsidRPr="00335E4B">
        <w:rPr>
          <w:rFonts w:cs="Traditional Arabic"/>
          <w:sz w:val="20"/>
          <w:szCs w:val="30"/>
          <w:rtl/>
        </w:rPr>
        <w:t xml:space="preserve">، وفلوريد الهيدروجين </w:t>
      </w:r>
      <w:r w:rsidRPr="00335E4B">
        <w:rPr>
          <w:rFonts w:cs="Times New Roman"/>
          <w:sz w:val="20"/>
          <w:szCs w:val="20"/>
          <w:rtl/>
        </w:rPr>
        <w:t>(</w:t>
      </w:r>
      <w:r w:rsidRPr="00335E4B">
        <w:rPr>
          <w:rFonts w:cs="Times New Roman"/>
          <w:sz w:val="20"/>
          <w:szCs w:val="20"/>
          <w:lang w:val="en-GB" w:bidi="ar-EG"/>
        </w:rPr>
        <w:t>HF</w:t>
      </w:r>
      <w:r w:rsidRPr="00335E4B">
        <w:rPr>
          <w:rFonts w:cs="Times New Roman"/>
          <w:sz w:val="20"/>
          <w:szCs w:val="20"/>
          <w:rtl/>
        </w:rPr>
        <w:t>)</w:t>
      </w:r>
      <w:r w:rsidRPr="00335E4B">
        <w:rPr>
          <w:rFonts w:cs="Traditional Arabic"/>
          <w:sz w:val="20"/>
          <w:szCs w:val="30"/>
          <w:rtl/>
        </w:rPr>
        <w:t xml:space="preserve"> كجزء من عملية تنظيف الغاز التي تسبق إنتاج حمض الكبريتيك</w:t>
      </w:r>
      <w:r w:rsidRPr="00335E4B">
        <w:rPr>
          <w:rFonts w:cs="Traditional Arabic"/>
          <w:sz w:val="20"/>
          <w:szCs w:val="30"/>
          <w:rtl/>
          <w:lang w:val="en-GB" w:bidi="ar-EG"/>
        </w:rPr>
        <w:t>.</w:t>
      </w:r>
      <w:r w:rsidRPr="00335E4B">
        <w:rPr>
          <w:rFonts w:cs="Traditional Arabic"/>
          <w:sz w:val="20"/>
          <w:szCs w:val="30"/>
          <w:rtl/>
        </w:rPr>
        <w:t xml:space="preserve"> وينتج عن هذه التقنية نفايات سائلة وحمأة</w:t>
      </w:r>
      <w:r w:rsidRPr="00335E4B">
        <w:rPr>
          <w:rFonts w:cs="Traditional Arabic"/>
          <w:sz w:val="20"/>
          <w:szCs w:val="30"/>
          <w:rtl/>
          <w:lang w:val="en-GB" w:bidi="ar-EG"/>
        </w:rPr>
        <w:t>.</w:t>
      </w:r>
      <w:r w:rsidRPr="00335E4B">
        <w:rPr>
          <w:rFonts w:cs="Traditional Arabic"/>
          <w:sz w:val="20"/>
          <w:szCs w:val="30"/>
          <w:rtl/>
        </w:rPr>
        <w:t xml:space="preserve"> ويمكن إعادة استخدام النفايات السائلة في جهاز الشطف، في حين يمكن إعادة تدوير الحمأة في عملية الصهر أو التخلص منها</w:t>
      </w:r>
      <w:r w:rsidRPr="00335E4B">
        <w:rPr>
          <w:rFonts w:cs="Traditional Arabic"/>
          <w:sz w:val="20"/>
          <w:szCs w:val="30"/>
          <w:rtl/>
          <w:lang w:val="en-GB" w:bidi="ar-EG"/>
        </w:rPr>
        <w:t>.</w:t>
      </w:r>
      <w:r w:rsidRPr="00335E4B">
        <w:rPr>
          <w:rFonts w:cs="Traditional Arabic"/>
          <w:sz w:val="20"/>
          <w:szCs w:val="30"/>
          <w:rtl/>
        </w:rPr>
        <w:t xml:space="preserve"> وينبغي أن تكون إدارة المواد المحتوية على الزئبق، بما في ذلك تخزينها والتخلص منها، والتجارة فيها، متسقة مع المواد الأخرى ذات الصلة في الاتفاقية</w:t>
      </w:r>
      <w:r w:rsidRPr="00335E4B">
        <w:rPr>
          <w:rFonts w:cs="Traditional Arabic"/>
          <w:sz w:val="20"/>
          <w:szCs w:val="30"/>
          <w:rtl/>
          <w:lang w:val="en-GB" w:bidi="ar-EG"/>
        </w:rPr>
        <w:t>.</w:t>
      </w:r>
    </w:p>
    <w:p w:rsidR="00335E4B" w:rsidRPr="00335E4B" w:rsidRDefault="00335E4B" w:rsidP="000876B6">
      <w:pPr>
        <w:tabs>
          <w:tab w:val="left" w:pos="663"/>
          <w:tab w:val="left" w:pos="1117"/>
          <w:tab w:val="left" w:pos="2230"/>
          <w:tab w:val="center" w:pos="5468"/>
        </w:tabs>
        <w:spacing w:after="120" w:line="360" w:lineRule="exact"/>
        <w:jc w:val="both"/>
        <w:rPr>
          <w:rFonts w:cs="Traditional Arabic"/>
          <w:sz w:val="20"/>
          <w:szCs w:val="30"/>
          <w:rtl/>
        </w:rPr>
      </w:pPr>
      <w:r w:rsidRPr="00335E4B">
        <w:rPr>
          <w:rFonts w:cs="Traditional Arabic"/>
          <w:sz w:val="20"/>
          <w:szCs w:val="30"/>
          <w:rtl/>
        </w:rPr>
        <w:t>وأجهزة الشطف الرطبة فعالة في احتجاز الزئبق الموجود على شكل جسيمات، أو الزئبق الممتص على الجسيمات</w:t>
      </w:r>
      <w:r w:rsidRPr="00335E4B">
        <w:rPr>
          <w:rFonts w:cs="Traditional Arabic"/>
          <w:sz w:val="20"/>
          <w:szCs w:val="30"/>
          <w:rtl/>
          <w:lang w:val="en-GB" w:bidi="ar-EG"/>
        </w:rPr>
        <w:t>.</w:t>
      </w:r>
      <w:r w:rsidRPr="00335E4B">
        <w:rPr>
          <w:rFonts w:cs="Traditional Arabic"/>
          <w:sz w:val="20"/>
          <w:szCs w:val="30"/>
          <w:rtl/>
        </w:rPr>
        <w:t xml:space="preserve"> ولكن هذه الأجهزة ليست فعالة كثيراً في إزالة الزئبق النقي الغازي من تيار الغاز ما لم يكن الغاز محتوياً على مركبات السلنيوم</w:t>
      </w:r>
      <w:r w:rsidRPr="00335E4B">
        <w:rPr>
          <w:rFonts w:cs="Traditional Arabic"/>
          <w:sz w:val="20"/>
          <w:szCs w:val="30"/>
          <w:rtl/>
          <w:lang w:val="en-GB" w:bidi="ar-EG"/>
        </w:rPr>
        <w:t>.</w:t>
      </w:r>
    </w:p>
    <w:p w:rsidR="00335E4B" w:rsidRPr="00335E4B" w:rsidRDefault="00D118C5" w:rsidP="000876B6">
      <w:pPr>
        <w:keepNext/>
        <w:tabs>
          <w:tab w:val="left" w:pos="991"/>
        </w:tabs>
        <w:spacing w:before="120" w:after="120" w:line="360" w:lineRule="exact"/>
        <w:jc w:val="both"/>
        <w:outlineLvl w:val="0"/>
        <w:rPr>
          <w:rFonts w:cs="Traditional Arabic"/>
          <w:b/>
          <w:bCs/>
          <w:sz w:val="20"/>
          <w:szCs w:val="30"/>
          <w:rtl/>
          <w:lang w:bidi="ar-EG"/>
        </w:rPr>
      </w:pPr>
      <w:bookmarkStart w:id="1888" w:name="_Toc440550573"/>
      <w:bookmarkStart w:id="1889" w:name="_Toc441577829"/>
      <w:bookmarkStart w:id="1890" w:name="_Toc441578008"/>
      <w:bookmarkStart w:id="1891" w:name="_Toc441580842"/>
      <w:bookmarkStart w:id="1892" w:name="_Toc441585973"/>
      <w:bookmarkStart w:id="1893" w:name="_Toc441586309"/>
      <w:bookmarkStart w:id="1894" w:name="_Toc441586759"/>
      <w:bookmarkStart w:id="1895" w:name="_Toc441586938"/>
      <w:bookmarkStart w:id="1896" w:name="_Toc441666787"/>
      <w:bookmarkStart w:id="1897" w:name="_Toc441673848"/>
      <w:bookmarkStart w:id="1898" w:name="_Toc433095441"/>
      <w:bookmarkStart w:id="1899" w:name="_Toc434239976"/>
      <w:r>
        <w:rPr>
          <w:rFonts w:cs="Traditional Arabic" w:hint="cs"/>
          <w:b/>
          <w:bCs/>
          <w:sz w:val="20"/>
          <w:szCs w:val="30"/>
          <w:rtl/>
          <w:lang w:bidi="ar-EG"/>
        </w:rPr>
        <w:t>3-6-2</w:t>
      </w:r>
      <w:r>
        <w:rPr>
          <w:rFonts w:cs="Traditional Arabic" w:hint="cs"/>
          <w:b/>
          <w:bCs/>
          <w:sz w:val="20"/>
          <w:szCs w:val="30"/>
          <w:rtl/>
          <w:lang w:bidi="ar-EG"/>
        </w:rPr>
        <w:tab/>
      </w:r>
      <w:r w:rsidR="00335E4B" w:rsidRPr="00335E4B">
        <w:rPr>
          <w:rFonts w:cs="Traditional Arabic"/>
          <w:b/>
          <w:bCs/>
          <w:sz w:val="20"/>
          <w:szCs w:val="30"/>
          <w:rtl/>
          <w:lang w:bidi="ar-EG"/>
        </w:rPr>
        <w:t>الجمع بين تنظيف الغاز ومنشآت تصنيع الحمض</w:t>
      </w:r>
      <w:bookmarkEnd w:id="1888"/>
      <w:bookmarkEnd w:id="1889"/>
      <w:bookmarkEnd w:id="1890"/>
      <w:bookmarkEnd w:id="1891"/>
      <w:bookmarkEnd w:id="1892"/>
      <w:bookmarkEnd w:id="1893"/>
      <w:bookmarkEnd w:id="1894"/>
      <w:bookmarkEnd w:id="1895"/>
      <w:bookmarkEnd w:id="1896"/>
      <w:bookmarkEnd w:id="1897"/>
      <w:bookmarkEnd w:id="1898"/>
      <w:bookmarkEnd w:id="1899"/>
    </w:p>
    <w:p w:rsidR="00335E4B" w:rsidRPr="00335E4B" w:rsidRDefault="00741EAC" w:rsidP="000876B6">
      <w:pPr>
        <w:spacing w:before="120" w:after="120" w:line="360" w:lineRule="exact"/>
        <w:rPr>
          <w:rFonts w:cs="Traditional Arabic"/>
          <w:b/>
          <w:bCs/>
          <w:sz w:val="20"/>
          <w:szCs w:val="30"/>
          <w:rtl/>
        </w:rPr>
      </w:pPr>
      <w:bookmarkStart w:id="1900" w:name="_Toc440550574"/>
      <w:r>
        <w:rPr>
          <w:rFonts w:cs="Traditional Arabic" w:hint="cs"/>
          <w:b/>
          <w:bCs/>
          <w:sz w:val="20"/>
          <w:szCs w:val="30"/>
          <w:rtl/>
          <w:lang w:bidi="ar-EG"/>
        </w:rPr>
        <w:t>3-6-2-1</w:t>
      </w:r>
      <w:r w:rsidR="000876B6">
        <w:rPr>
          <w:rFonts w:cs="Traditional Arabic" w:hint="cs"/>
          <w:b/>
          <w:bCs/>
          <w:sz w:val="20"/>
          <w:szCs w:val="30"/>
          <w:rtl/>
          <w:lang w:bidi="ar-EG"/>
        </w:rPr>
        <w:tab/>
      </w:r>
      <w:r w:rsidR="00335E4B" w:rsidRPr="00335E4B">
        <w:rPr>
          <w:rFonts w:cs="Traditional Arabic"/>
          <w:b/>
          <w:bCs/>
          <w:sz w:val="20"/>
          <w:szCs w:val="30"/>
          <w:rtl/>
        </w:rPr>
        <w:t>الوصف</w:t>
      </w:r>
      <w:bookmarkEnd w:id="1900"/>
    </w:p>
    <w:p w:rsidR="00335E4B" w:rsidRPr="00335E4B" w:rsidRDefault="00335E4B" w:rsidP="00DC48E9">
      <w:pPr>
        <w:spacing w:after="120" w:line="350" w:lineRule="exact"/>
        <w:jc w:val="both"/>
        <w:rPr>
          <w:rFonts w:cs="Traditional Arabic"/>
          <w:sz w:val="20"/>
          <w:szCs w:val="30"/>
          <w:rtl/>
        </w:rPr>
      </w:pPr>
      <w:r w:rsidRPr="00335E4B">
        <w:rPr>
          <w:rFonts w:cs="Traditional Arabic"/>
          <w:sz w:val="20"/>
          <w:szCs w:val="30"/>
          <w:rtl/>
        </w:rPr>
        <w:t xml:space="preserve">يمثل الجمع بين معدات تنظيف الغاز ومنشآت تصنيع الحمض أحد التكنولوجيات التي أثبتت فعاليتها في </w:t>
      </w:r>
      <w:r w:rsidRPr="00335E4B">
        <w:rPr>
          <w:rFonts w:cs="Traditional Arabic" w:hint="cs"/>
          <w:sz w:val="20"/>
          <w:szCs w:val="30"/>
          <w:rtl/>
        </w:rPr>
        <w:t>ضبط</w:t>
      </w:r>
      <w:r w:rsidRPr="00335E4B">
        <w:rPr>
          <w:rFonts w:cs="Traditional Arabic"/>
          <w:sz w:val="20"/>
          <w:szCs w:val="30"/>
          <w:rtl/>
        </w:rPr>
        <w:t xml:space="preserve"> انبعاثات الكبريت في قطاع تصنيع المعادن غير الحديدية، وهو من الأساليب الشائعة الاستخدام في جميع أنحاء العالم</w:t>
      </w:r>
      <w:r w:rsidRPr="00335E4B">
        <w:rPr>
          <w:rFonts w:cs="Traditional Arabic"/>
          <w:sz w:val="20"/>
          <w:szCs w:val="30"/>
          <w:rtl/>
          <w:lang w:val="en-GB" w:bidi="ar-EG"/>
        </w:rPr>
        <w:t>.</w:t>
      </w:r>
      <w:r w:rsidRPr="00335E4B">
        <w:rPr>
          <w:rFonts w:cs="Traditional Arabic"/>
          <w:sz w:val="20"/>
          <w:szCs w:val="30"/>
          <w:rtl/>
        </w:rPr>
        <w:t xml:space="preserve"> وفي ظل ظروف معينة، وجد أن تشغيل منشآت تصنيع الحمض مع معدات تنظيف الغاز أثبتت فعاليتها في احتجاز الزئبق من تيار الغاز باستخدام التقنيات التقليدية </w:t>
      </w:r>
      <w:r w:rsidRPr="00335E4B">
        <w:rPr>
          <w:rFonts w:cs="Traditional Arabic" w:hint="cs"/>
          <w:sz w:val="20"/>
          <w:szCs w:val="30"/>
          <w:rtl/>
        </w:rPr>
        <w:t xml:space="preserve">لضبط </w:t>
      </w:r>
      <w:r w:rsidRPr="00335E4B">
        <w:rPr>
          <w:rFonts w:cs="Traditional Arabic"/>
          <w:sz w:val="20"/>
          <w:szCs w:val="30"/>
          <w:rtl/>
        </w:rPr>
        <w:t>المواد الجسيمية، وكانت نتيجة ذلك تحقيق كفاءة في إزالة الزئبق تعادل تلك الناتجة عن استخدام أفضل التقنيات المتاحة المخصصة لإزالة الزئبق</w:t>
      </w:r>
      <w:r w:rsidRPr="00335E4B">
        <w:rPr>
          <w:rFonts w:cs="Traditional Arabic"/>
          <w:sz w:val="20"/>
          <w:szCs w:val="30"/>
          <w:rtl/>
          <w:lang w:val="en-GB" w:bidi="ar-EG"/>
        </w:rPr>
        <w:t>.</w:t>
      </w:r>
      <w:r w:rsidRPr="00335E4B">
        <w:rPr>
          <w:rFonts w:cs="Traditional Arabic"/>
          <w:sz w:val="20"/>
          <w:szCs w:val="30"/>
          <w:rtl/>
        </w:rPr>
        <w:t xml:space="preserve"> وفي هذه الحالات، التي تسمح بها خصائص الركاز وشروط التصنيع، تتم إزالة الزئبق كله تقريباً خلال تنظيف الغاز وقبل تصنيع الحمض، في حين يزال الزئبق المتبقي بالتنظيف الإضافي للغاز بعد إرسال المواد إلى منشأة تصنيع الحمض</w:t>
      </w:r>
      <w:r w:rsidRPr="00335E4B">
        <w:rPr>
          <w:rFonts w:cs="Traditional Arabic"/>
          <w:sz w:val="20"/>
          <w:szCs w:val="30"/>
          <w:rtl/>
          <w:lang w:val="en-GB" w:bidi="ar-EG"/>
        </w:rPr>
        <w:t>.</w:t>
      </w:r>
    </w:p>
    <w:p w:rsidR="00335E4B" w:rsidRPr="00335E4B" w:rsidRDefault="00335E4B" w:rsidP="00DC48E9">
      <w:pPr>
        <w:spacing w:after="120" w:line="360" w:lineRule="exact"/>
        <w:jc w:val="both"/>
        <w:rPr>
          <w:rFonts w:cs="Traditional Arabic"/>
          <w:sz w:val="20"/>
          <w:szCs w:val="30"/>
          <w:rtl/>
        </w:rPr>
      </w:pPr>
      <w:r w:rsidRPr="00335E4B">
        <w:rPr>
          <w:rFonts w:cs="Traditional Arabic" w:hint="cs"/>
          <w:sz w:val="20"/>
          <w:szCs w:val="30"/>
          <w:rtl/>
        </w:rPr>
        <w:t>و</w:t>
      </w:r>
      <w:r w:rsidRPr="00335E4B">
        <w:rPr>
          <w:rFonts w:cs="Traditional Arabic"/>
          <w:sz w:val="20"/>
          <w:szCs w:val="30"/>
          <w:rtl/>
        </w:rPr>
        <w:t>أظهرت دراسة استقصائية أجريت مؤخراً في اليابان</w:t>
      </w:r>
      <w:r w:rsidRPr="00335E4B">
        <w:rPr>
          <w:rFonts w:cs="Traditional Arabic" w:hint="cs"/>
          <w:sz w:val="20"/>
          <w:szCs w:val="30"/>
          <w:vertAlign w:val="superscript"/>
          <w:rtl/>
        </w:rPr>
        <w:t>(</w:t>
      </w:r>
      <w:r w:rsidRPr="00335E4B">
        <w:rPr>
          <w:rFonts w:cs="Traditional Arabic"/>
          <w:sz w:val="20"/>
          <w:szCs w:val="30"/>
          <w:vertAlign w:val="superscript"/>
          <w:rtl/>
        </w:rPr>
        <w:footnoteReference w:id="45"/>
      </w:r>
      <w:r w:rsidRPr="00335E4B">
        <w:rPr>
          <w:rFonts w:cs="Traditional Arabic" w:hint="cs"/>
          <w:sz w:val="20"/>
          <w:szCs w:val="30"/>
          <w:vertAlign w:val="superscript"/>
          <w:rtl/>
        </w:rPr>
        <w:t>)</w:t>
      </w:r>
      <w:r w:rsidRPr="00335E4B">
        <w:rPr>
          <w:rFonts w:cs="Traditional Arabic"/>
          <w:sz w:val="20"/>
          <w:szCs w:val="30"/>
          <w:rtl/>
        </w:rPr>
        <w:t xml:space="preserve"> أن العديد من الشركات تعتمد بنجاح على منشآت تنظيف الغاز وتصنيع حمض الكبريتيك من أجل إزالة الزئبق من غازات الصرف الناتجة في منشآت صهر المعادن. وتظهر الدراسة الاستقصائية أن استخدام هذا الأسلوب يؤدي إلى احتجاز الزئبق بصورة فعّالة في بعض مصاهر النحاس والرصاص والزنك.</w:t>
      </w:r>
      <w:bookmarkStart w:id="1901" w:name="_Ref289611462"/>
      <w:bookmarkEnd w:id="1901"/>
    </w:p>
    <w:p w:rsidR="00335E4B" w:rsidRPr="00335E4B" w:rsidRDefault="00741EAC" w:rsidP="00DC48E9">
      <w:pPr>
        <w:spacing w:before="120" w:after="120" w:line="350" w:lineRule="exact"/>
        <w:rPr>
          <w:rFonts w:cs="Traditional Arabic"/>
          <w:b/>
          <w:bCs/>
          <w:sz w:val="20"/>
          <w:szCs w:val="30"/>
          <w:rtl/>
        </w:rPr>
      </w:pPr>
      <w:bookmarkStart w:id="1902" w:name="_Toc440550575"/>
      <w:r>
        <w:rPr>
          <w:rFonts w:cs="Traditional Arabic" w:hint="cs"/>
          <w:b/>
          <w:bCs/>
          <w:sz w:val="20"/>
          <w:szCs w:val="30"/>
          <w:rtl/>
          <w:lang w:bidi="ar-EG"/>
        </w:rPr>
        <w:t>3-6-2-2</w:t>
      </w:r>
      <w:r w:rsidR="000876B6">
        <w:rPr>
          <w:rFonts w:cs="Traditional Arabic" w:hint="cs"/>
          <w:b/>
          <w:bCs/>
          <w:sz w:val="20"/>
          <w:szCs w:val="30"/>
          <w:rtl/>
          <w:lang w:bidi="ar-EG"/>
        </w:rPr>
        <w:tab/>
      </w:r>
      <w:r w:rsidR="00335E4B" w:rsidRPr="00335E4B">
        <w:rPr>
          <w:rFonts w:cs="Traditional Arabic"/>
          <w:b/>
          <w:bCs/>
          <w:sz w:val="20"/>
          <w:szCs w:val="30"/>
          <w:rtl/>
        </w:rPr>
        <w:t>قابلية التطبيق</w:t>
      </w:r>
      <w:bookmarkEnd w:id="1902"/>
    </w:p>
    <w:p w:rsidR="00335E4B" w:rsidRPr="00335E4B" w:rsidRDefault="00335E4B" w:rsidP="00DC48E9">
      <w:pPr>
        <w:spacing w:after="60" w:line="360" w:lineRule="exact"/>
        <w:jc w:val="both"/>
        <w:rPr>
          <w:rFonts w:cs="Traditional Arabic"/>
          <w:sz w:val="20"/>
          <w:szCs w:val="30"/>
          <w:rtl/>
        </w:rPr>
      </w:pPr>
      <w:r w:rsidRPr="00335E4B">
        <w:rPr>
          <w:rFonts w:cs="Traditional Arabic" w:hint="cs"/>
          <w:sz w:val="20"/>
          <w:szCs w:val="30"/>
          <w:rtl/>
        </w:rPr>
        <w:t xml:space="preserve">إن </w:t>
      </w:r>
      <w:r w:rsidRPr="00335E4B">
        <w:rPr>
          <w:rFonts w:cs="Traditional Arabic"/>
          <w:sz w:val="20"/>
          <w:szCs w:val="30"/>
          <w:rtl/>
        </w:rPr>
        <w:t>مصانع حمض الكبريتيك المقترنة مع منشآت تنظيف الغاز لإزالة الزئبق بشكل فعّال</w:t>
      </w:r>
      <w:r w:rsidRPr="00335E4B">
        <w:rPr>
          <w:rFonts w:cs="Traditional Arabic" w:hint="cs"/>
          <w:sz w:val="20"/>
          <w:szCs w:val="30"/>
          <w:rtl/>
        </w:rPr>
        <w:t>،</w:t>
      </w:r>
      <w:r w:rsidRPr="00335E4B">
        <w:rPr>
          <w:rFonts w:cs="Traditional Arabic"/>
          <w:sz w:val="20"/>
          <w:szCs w:val="30"/>
          <w:rtl/>
        </w:rPr>
        <w:t xml:space="preserve"> جرى تطبيقها </w:t>
      </w:r>
      <w:r w:rsidRPr="00335E4B">
        <w:rPr>
          <w:rFonts w:cs="Traditional Arabic" w:hint="cs"/>
          <w:sz w:val="20"/>
          <w:szCs w:val="30"/>
          <w:rtl/>
        </w:rPr>
        <w:t>على نحو</w:t>
      </w:r>
      <w:r w:rsidRPr="00335E4B">
        <w:rPr>
          <w:rFonts w:cs="Traditional Arabic"/>
          <w:sz w:val="20"/>
          <w:szCs w:val="30"/>
          <w:rtl/>
        </w:rPr>
        <w:t xml:space="preserve"> فعال في مصاهر النحاس والزنك والرصاص في جميع أنحاء العالم.</w:t>
      </w:r>
    </w:p>
    <w:p w:rsidR="00335E4B" w:rsidRPr="00335E4B" w:rsidRDefault="00335E4B" w:rsidP="00DC48E9">
      <w:pPr>
        <w:spacing w:after="60" w:line="360" w:lineRule="exact"/>
        <w:jc w:val="both"/>
        <w:rPr>
          <w:rFonts w:cs="Traditional Arabic"/>
          <w:sz w:val="20"/>
          <w:szCs w:val="30"/>
          <w:rtl/>
        </w:rPr>
      </w:pPr>
      <w:r w:rsidRPr="00335E4B">
        <w:rPr>
          <w:rFonts w:cs="Traditional Arabic"/>
          <w:sz w:val="20"/>
          <w:szCs w:val="30"/>
          <w:rtl/>
        </w:rPr>
        <w:t xml:space="preserve">ويرد مثال </w:t>
      </w:r>
      <w:r w:rsidRPr="00335E4B">
        <w:rPr>
          <w:rFonts w:cs="Traditional Arabic" w:hint="cs"/>
          <w:sz w:val="20"/>
          <w:szCs w:val="30"/>
          <w:rtl/>
        </w:rPr>
        <w:t>على</w:t>
      </w:r>
      <w:r w:rsidRPr="00335E4B">
        <w:rPr>
          <w:rFonts w:cs="Traditional Arabic"/>
          <w:sz w:val="20"/>
          <w:szCs w:val="30"/>
          <w:rtl/>
        </w:rPr>
        <w:t xml:space="preserve"> هذه المنشآت في دراسة يابانية مفصلة </w:t>
      </w:r>
      <w:r w:rsidRPr="00335E4B">
        <w:rPr>
          <w:rFonts w:cs="Times New Roman"/>
          <w:sz w:val="20"/>
          <w:szCs w:val="20"/>
          <w:rtl/>
        </w:rPr>
        <w:t>(</w:t>
      </w:r>
      <w:r w:rsidRPr="00335E4B">
        <w:rPr>
          <w:rFonts w:cs="Times New Roman"/>
          <w:sz w:val="20"/>
          <w:szCs w:val="20"/>
        </w:rPr>
        <w:t>Takaoka et al. 2012</w:t>
      </w:r>
      <w:r w:rsidRPr="00335E4B">
        <w:rPr>
          <w:rFonts w:cs="Times New Roman"/>
          <w:sz w:val="20"/>
          <w:szCs w:val="20"/>
          <w:rtl/>
        </w:rPr>
        <w:t>)</w:t>
      </w:r>
      <w:r w:rsidRPr="00335E4B">
        <w:rPr>
          <w:rFonts w:cs="Traditional Arabic" w:hint="cs"/>
          <w:sz w:val="20"/>
          <w:szCs w:val="30"/>
          <w:rtl/>
        </w:rPr>
        <w:t>،</w:t>
      </w:r>
      <w:r w:rsidRPr="00335E4B">
        <w:rPr>
          <w:rFonts w:cs="Traditional Arabic"/>
          <w:sz w:val="20"/>
          <w:szCs w:val="30"/>
          <w:rtl/>
        </w:rPr>
        <w:t xml:space="preserve"> أجريت في مصهر للزنك يستخدم عملية الصهر بالفرن العالي، واستخدم فيها حساب شامل </w:t>
      </w:r>
      <w:r w:rsidRPr="00335E4B">
        <w:rPr>
          <w:rFonts w:cs="Traditional Arabic" w:hint="cs"/>
          <w:sz w:val="20"/>
          <w:szCs w:val="30"/>
          <w:rtl/>
        </w:rPr>
        <w:t xml:space="preserve">لتوازن كتلة </w:t>
      </w:r>
      <w:r w:rsidRPr="00335E4B">
        <w:rPr>
          <w:rFonts w:cs="Traditional Arabic"/>
          <w:sz w:val="20"/>
          <w:szCs w:val="30"/>
          <w:rtl/>
        </w:rPr>
        <w:t xml:space="preserve">الزئبق على النحو المبين في الشكل </w:t>
      </w:r>
      <w:r w:rsidRPr="00335E4B">
        <w:rPr>
          <w:rFonts w:cs="Traditional Arabic" w:hint="cs"/>
          <w:sz w:val="20"/>
          <w:szCs w:val="30"/>
          <w:rtl/>
        </w:rPr>
        <w:t>8</w:t>
      </w:r>
      <w:r w:rsidRPr="00335E4B">
        <w:rPr>
          <w:rFonts w:cs="Traditional Arabic"/>
          <w:sz w:val="20"/>
          <w:szCs w:val="30"/>
          <w:rtl/>
        </w:rPr>
        <w:t>.</w:t>
      </w:r>
    </w:p>
    <w:p w:rsidR="00335E4B" w:rsidRPr="00335E4B" w:rsidRDefault="00741EAC" w:rsidP="00DC48E9">
      <w:pPr>
        <w:spacing w:before="120" w:after="120" w:line="350" w:lineRule="exact"/>
        <w:rPr>
          <w:rFonts w:cs="Traditional Arabic"/>
          <w:b/>
          <w:bCs/>
          <w:sz w:val="20"/>
          <w:szCs w:val="30"/>
          <w:rtl/>
        </w:rPr>
      </w:pPr>
      <w:bookmarkStart w:id="1903" w:name="_Toc440550576"/>
      <w:r>
        <w:rPr>
          <w:rFonts w:cs="Traditional Arabic" w:hint="cs"/>
          <w:b/>
          <w:bCs/>
          <w:sz w:val="20"/>
          <w:szCs w:val="30"/>
          <w:rtl/>
          <w:lang w:bidi="ar-EG"/>
        </w:rPr>
        <w:t>3-6-2-3</w:t>
      </w:r>
      <w:r w:rsidR="000876B6">
        <w:rPr>
          <w:rFonts w:cs="Traditional Arabic" w:hint="cs"/>
          <w:b/>
          <w:bCs/>
          <w:sz w:val="20"/>
          <w:szCs w:val="30"/>
          <w:rtl/>
          <w:lang w:bidi="ar-EG"/>
        </w:rPr>
        <w:tab/>
      </w:r>
      <w:r w:rsidR="00E103DC">
        <w:rPr>
          <w:rFonts w:cs="Traditional Arabic"/>
          <w:b/>
          <w:bCs/>
          <w:sz w:val="20"/>
          <w:szCs w:val="30"/>
          <w:rtl/>
        </w:rPr>
        <w:t>مستو</w:t>
      </w:r>
      <w:r w:rsidR="00E103DC">
        <w:rPr>
          <w:rFonts w:cs="Traditional Arabic" w:hint="cs"/>
          <w:b/>
          <w:bCs/>
          <w:sz w:val="20"/>
          <w:szCs w:val="30"/>
          <w:rtl/>
        </w:rPr>
        <w:t>يات</w:t>
      </w:r>
      <w:r w:rsidR="00335E4B" w:rsidRPr="00335E4B">
        <w:rPr>
          <w:rFonts w:cs="Traditional Arabic"/>
          <w:b/>
          <w:bCs/>
          <w:sz w:val="20"/>
          <w:szCs w:val="30"/>
          <w:rtl/>
        </w:rPr>
        <w:t xml:space="preserve"> الأداء</w:t>
      </w:r>
      <w:bookmarkEnd w:id="1903"/>
    </w:p>
    <w:p w:rsidR="00335E4B" w:rsidRPr="00335E4B" w:rsidRDefault="00335E4B" w:rsidP="00DC48E9">
      <w:pPr>
        <w:spacing w:after="60" w:line="360" w:lineRule="exact"/>
        <w:jc w:val="both"/>
        <w:rPr>
          <w:rFonts w:cs="Traditional Arabic"/>
          <w:sz w:val="20"/>
          <w:szCs w:val="30"/>
          <w:rtl/>
        </w:rPr>
      </w:pPr>
      <w:r w:rsidRPr="00335E4B">
        <w:rPr>
          <w:rFonts w:cs="Traditional Arabic"/>
          <w:sz w:val="20"/>
          <w:szCs w:val="30"/>
          <w:rtl/>
        </w:rPr>
        <w:t>تبين نتائج الدراسة اليابانية الفعالية المحتملة للأسلوب الذي يجمع بين منشأتي تنظيف الغاز وتصنيع الحمض في احتجاز الزئبق. ووجد أن التركيزات الإجمالية للزئبق في غازات الصرف تتراوح ضمن نطاق 1,7 إلى 6,1 (</w:t>
      </w:r>
      <w:r w:rsidRPr="00335E4B">
        <w:rPr>
          <w:rFonts w:cs="Traditional Arabic" w:hint="cs"/>
          <w:sz w:val="20"/>
          <w:szCs w:val="30"/>
        </w:rPr>
        <w:t>μ</w:t>
      </w:r>
      <w:r w:rsidRPr="00335E4B">
        <w:rPr>
          <w:rFonts w:cs="Traditional Arabic"/>
          <w:sz w:val="20"/>
          <w:szCs w:val="30"/>
        </w:rPr>
        <w:t>g/Nm3</w:t>
      </w:r>
      <w:r w:rsidRPr="00335E4B">
        <w:rPr>
          <w:rFonts w:cs="Traditional Arabic"/>
          <w:sz w:val="20"/>
          <w:szCs w:val="30"/>
          <w:rtl/>
        </w:rPr>
        <w:t xml:space="preserve">) ميكروغرام/متر مكعب </w:t>
      </w:r>
      <w:r w:rsidRPr="00335E4B">
        <w:rPr>
          <w:rFonts w:cs="Traditional Arabic" w:hint="cs"/>
          <w:sz w:val="20"/>
          <w:szCs w:val="30"/>
          <w:rtl/>
        </w:rPr>
        <w:t>عادي</w:t>
      </w:r>
      <w:r w:rsidRPr="00335E4B">
        <w:rPr>
          <w:rFonts w:cs="Traditional Arabic"/>
          <w:sz w:val="20"/>
          <w:szCs w:val="30"/>
          <w:rtl/>
        </w:rPr>
        <w:t xml:space="preserve"> </w:t>
      </w:r>
      <w:r w:rsidRPr="00335E4B">
        <w:rPr>
          <w:rFonts w:cs="Times New Roman"/>
          <w:sz w:val="20"/>
          <w:szCs w:val="20"/>
          <w:rtl/>
        </w:rPr>
        <w:t>(</w:t>
      </w:r>
      <w:r w:rsidRPr="00335E4B">
        <w:rPr>
          <w:rFonts w:cs="Times New Roman"/>
          <w:sz w:val="20"/>
          <w:szCs w:val="20"/>
        </w:rPr>
        <w:t>Takaoka et al. 2012</w:t>
      </w:r>
      <w:r w:rsidRPr="00335E4B">
        <w:rPr>
          <w:rFonts w:cs="Times New Roman"/>
          <w:sz w:val="20"/>
          <w:szCs w:val="20"/>
          <w:rtl/>
        </w:rPr>
        <w:t>)</w:t>
      </w:r>
      <w:r w:rsidRPr="00335E4B">
        <w:rPr>
          <w:rFonts w:cs="Traditional Arabic"/>
          <w:sz w:val="20"/>
          <w:szCs w:val="30"/>
          <w:rtl/>
        </w:rPr>
        <w:t>.</w:t>
      </w:r>
    </w:p>
    <w:p w:rsidR="00335E4B" w:rsidRPr="00335E4B" w:rsidRDefault="00741EAC" w:rsidP="00DC48E9">
      <w:pPr>
        <w:spacing w:before="120" w:after="120" w:line="350" w:lineRule="exact"/>
        <w:rPr>
          <w:rFonts w:cs="Traditional Arabic"/>
          <w:b/>
          <w:bCs/>
          <w:sz w:val="20"/>
          <w:szCs w:val="30"/>
          <w:rtl/>
        </w:rPr>
      </w:pPr>
      <w:bookmarkStart w:id="1904" w:name="_Toc440550577"/>
      <w:r>
        <w:rPr>
          <w:rFonts w:cs="Traditional Arabic" w:hint="cs"/>
          <w:b/>
          <w:bCs/>
          <w:sz w:val="20"/>
          <w:szCs w:val="30"/>
          <w:rtl/>
          <w:lang w:bidi="ar-EG"/>
        </w:rPr>
        <w:t>3-6-2-4</w:t>
      </w:r>
      <w:r w:rsidR="000876B6">
        <w:rPr>
          <w:rFonts w:cs="Traditional Arabic" w:hint="cs"/>
          <w:b/>
          <w:bCs/>
          <w:sz w:val="20"/>
          <w:szCs w:val="30"/>
          <w:rtl/>
          <w:lang w:bidi="ar-EG"/>
        </w:rPr>
        <w:tab/>
      </w:r>
      <w:r w:rsidR="00335E4B" w:rsidRPr="00335E4B">
        <w:rPr>
          <w:rFonts w:cs="Traditional Arabic"/>
          <w:b/>
          <w:bCs/>
          <w:sz w:val="20"/>
          <w:szCs w:val="30"/>
          <w:rtl/>
        </w:rPr>
        <w:t>التكاليف</w:t>
      </w:r>
      <w:bookmarkEnd w:id="1904"/>
    </w:p>
    <w:p w:rsidR="00335E4B" w:rsidRDefault="00335E4B" w:rsidP="00DC48E9">
      <w:pPr>
        <w:tabs>
          <w:tab w:val="left" w:pos="663"/>
          <w:tab w:val="left" w:pos="1117"/>
          <w:tab w:val="left" w:pos="2230"/>
          <w:tab w:val="center" w:pos="5468"/>
        </w:tabs>
        <w:spacing w:after="60" w:line="360" w:lineRule="exact"/>
        <w:jc w:val="both"/>
        <w:rPr>
          <w:rFonts w:cs="Traditional Arabic"/>
          <w:sz w:val="20"/>
          <w:szCs w:val="30"/>
          <w:rtl/>
          <w:lang w:val="en-GB" w:bidi="ar-EG"/>
        </w:rPr>
      </w:pPr>
      <w:r w:rsidRPr="00335E4B">
        <w:rPr>
          <w:rFonts w:cs="Traditional Arabic"/>
          <w:sz w:val="20"/>
          <w:szCs w:val="30"/>
          <w:rtl/>
        </w:rPr>
        <w:t xml:space="preserve">يمثل الجمع بين منشآت تنظيف الغاز وصناعة حمض الكبريتيك تكنولوجيا قياسية لالتقاط ثنائي أكسيد الكبريت من غاز </w:t>
      </w:r>
      <w:r w:rsidRPr="00335E4B">
        <w:rPr>
          <w:rFonts w:cs="Traditional Arabic" w:hint="cs"/>
          <w:sz w:val="20"/>
          <w:szCs w:val="30"/>
          <w:rtl/>
        </w:rPr>
        <w:t>التصريف</w:t>
      </w:r>
      <w:r w:rsidRPr="00335E4B">
        <w:rPr>
          <w:rFonts w:cs="Traditional Arabic"/>
          <w:sz w:val="20"/>
          <w:szCs w:val="30"/>
          <w:rtl/>
        </w:rPr>
        <w:t xml:space="preserve"> الناتج في المصاهر التي تعالج المركزات الكبريتيدية</w:t>
      </w:r>
      <w:r w:rsidRPr="00335E4B">
        <w:rPr>
          <w:rFonts w:cs="Traditional Arabic"/>
          <w:sz w:val="20"/>
          <w:szCs w:val="30"/>
          <w:rtl/>
          <w:lang w:val="en-GB" w:bidi="ar-EG"/>
        </w:rPr>
        <w:t>.</w:t>
      </w:r>
      <w:r w:rsidRPr="00335E4B">
        <w:rPr>
          <w:rFonts w:cs="Traditional Arabic"/>
          <w:sz w:val="20"/>
          <w:szCs w:val="30"/>
          <w:rtl/>
        </w:rPr>
        <w:t xml:space="preserve"> وفي الحالات التي تتيح فيها هذه التكنولوجيا المقترنة استرداد الزئبق بكفاءة تعادل استخدام أفضل التكنولوجيات المتاحة الخاصة باحتجاز الزئبق، لن تلزم استثمارات رأسمالية إضافية في إزالة الزئبق</w:t>
      </w:r>
      <w:r w:rsidRPr="00335E4B">
        <w:rPr>
          <w:rFonts w:cs="Traditional Arabic"/>
          <w:sz w:val="20"/>
          <w:szCs w:val="30"/>
          <w:rtl/>
          <w:lang w:val="en-GB" w:bidi="ar-EG"/>
        </w:rPr>
        <w:t>.</w:t>
      </w:r>
    </w:p>
    <w:p w:rsidR="00335E4B" w:rsidRPr="00335E4B" w:rsidRDefault="002606E2"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r>
        <w:rPr>
          <w:rFonts w:cs="Traditional Arabic"/>
          <w:noProof/>
          <w:sz w:val="20"/>
          <w:szCs w:val="30"/>
          <w:lang w:val="en-GB" w:eastAsia="zh-CN"/>
        </w:rPr>
        <mc:AlternateContent>
          <mc:Choice Requires="wps">
            <w:drawing>
              <wp:anchor distT="0" distB="0" distL="114300" distR="114300" simplePos="0" relativeHeight="251694080" behindDoc="0" locked="0" layoutInCell="1" allowOverlap="1" wp14:anchorId="2C7ACC1A" wp14:editId="7DF4C04F">
                <wp:simplePos x="0" y="0"/>
                <wp:positionH relativeFrom="column">
                  <wp:posOffset>-2355850</wp:posOffset>
                </wp:positionH>
                <wp:positionV relativeFrom="paragraph">
                  <wp:posOffset>62543</wp:posOffset>
                </wp:positionV>
                <wp:extent cx="622935" cy="396000"/>
                <wp:effectExtent l="0" t="0" r="24765" b="2349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396000"/>
                        </a:xfrm>
                        <a:prstGeom prst="rect">
                          <a:avLst/>
                        </a:prstGeom>
                        <a:solidFill>
                          <a:srgbClr val="548DD4"/>
                        </a:solidFill>
                        <a:ln w="9525">
                          <a:solidFill>
                            <a:srgbClr val="FFFFFF"/>
                          </a:solidFill>
                          <a:miter lim="800000"/>
                          <a:headEnd/>
                          <a:tailEnd/>
                        </a:ln>
                      </wps:spPr>
                      <wps:txbx>
                        <w:txbxContent>
                          <w:p w:rsidR="00670B40" w:rsidRPr="00B604C0" w:rsidRDefault="00670B40" w:rsidP="00335E4B">
                            <w:pPr>
                              <w:spacing w:line="200" w:lineRule="exact"/>
                              <w:rPr>
                                <w:rFonts w:ascii="Traditional Arabic" w:hAnsi="Traditional Arabic"/>
                                <w:color w:val="FFFFFF"/>
                                <w:sz w:val="18"/>
                                <w:szCs w:val="18"/>
                                <w:rtl/>
                              </w:rPr>
                            </w:pPr>
                            <w:r w:rsidRPr="00B604C0">
                              <w:rPr>
                                <w:rFonts w:ascii="Traditional Arabic" w:hAnsi="Traditional Arabic"/>
                                <w:color w:val="FFFFFF"/>
                                <w:sz w:val="12"/>
                                <w:szCs w:val="12"/>
                              </w:rPr>
                              <w:t>H</w:t>
                            </w:r>
                            <w:r w:rsidRPr="00B604C0">
                              <w:rPr>
                                <w:rFonts w:ascii="Traditional Arabic" w:hAnsi="Traditional Arabic"/>
                                <w:color w:val="FFFFFF"/>
                                <w:sz w:val="12"/>
                                <w:szCs w:val="12"/>
                                <w:vertAlign w:val="subscript"/>
                              </w:rPr>
                              <w:t>2</w:t>
                            </w:r>
                            <w:r w:rsidRPr="00B604C0">
                              <w:rPr>
                                <w:rFonts w:ascii="Traditional Arabic" w:hAnsi="Traditional Arabic"/>
                                <w:color w:val="FFFFFF"/>
                                <w:sz w:val="12"/>
                                <w:szCs w:val="12"/>
                              </w:rPr>
                              <w:t>SO</w:t>
                            </w:r>
                            <w:r w:rsidRPr="00B604C0">
                              <w:rPr>
                                <w:rFonts w:ascii="Traditional Arabic" w:hAnsi="Traditional Arabic"/>
                                <w:color w:val="FFFFFF"/>
                                <w:sz w:val="16"/>
                                <w:szCs w:val="16"/>
                                <w:vertAlign w:val="subscript"/>
                              </w:rPr>
                              <w:t>4</w:t>
                            </w:r>
                            <w:r w:rsidRPr="00B604C0">
                              <w:rPr>
                                <w:rFonts w:ascii="Traditional Arabic" w:hAnsi="Traditional Arabic" w:hint="cs"/>
                                <w:color w:val="FFFFFF"/>
                                <w:sz w:val="18"/>
                                <w:szCs w:val="18"/>
                                <w:rtl/>
                              </w:rPr>
                              <w:t>:</w:t>
                            </w:r>
                          </w:p>
                          <w:p w:rsidR="00670B40" w:rsidRPr="002606E2" w:rsidRDefault="00670B40" w:rsidP="00335E4B">
                            <w:pPr>
                              <w:spacing w:line="200" w:lineRule="exact"/>
                              <w:rPr>
                                <w:rFonts w:ascii="Traditional Arabic" w:hAnsi="Traditional Arabic"/>
                                <w:sz w:val="16"/>
                                <w:szCs w:val="16"/>
                              </w:rPr>
                            </w:pPr>
                            <w:r w:rsidRPr="002606E2">
                              <w:rPr>
                                <w:rFonts w:hint="cs"/>
                                <w:sz w:val="16"/>
                                <w:szCs w:val="16"/>
                                <w:lang w:val="en-GB" w:bidi="ar-EG"/>
                              </w:rPr>
                              <w:sym w:font="Wingdings 3" w:char="F070"/>
                            </w:r>
                            <w:r w:rsidRPr="002606E2">
                              <w:rPr>
                                <w:rFonts w:ascii="Traditional Arabic" w:hAnsi="Traditional Arabic" w:hint="cs"/>
                                <w:sz w:val="16"/>
                                <w:szCs w:val="16"/>
                                <w:rtl/>
                              </w:rPr>
                              <w:t xml:space="preserve"> </w:t>
                            </w:r>
                            <w:r w:rsidRPr="002606E2">
                              <w:rPr>
                                <w:rFonts w:ascii="Traditional Arabic" w:hAnsi="Traditional Arabic" w:hint="cs"/>
                                <w:color w:val="FFFFFF"/>
                                <w:w w:val="90"/>
                                <w:sz w:val="16"/>
                                <w:szCs w:val="16"/>
                                <w:rtl/>
                              </w:rPr>
                              <w:t>640 غرام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546" type="#_x0000_t202" style="position:absolute;left:0;text-align:left;margin-left:-185.5pt;margin-top:4.9pt;width:49.05pt;height:3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" fillcolor="#548dd4" strokecolor="white">
                <v:textbox>
                  <w:txbxContent>
                    <w:p w:rsidR="0093783C" w:rsidRPr="00B604C0" w:rsidRDefault="0093783C" w:rsidP="00335E4B">
                      <w:pPr>
                        <w:spacing w:line="200" w:lineRule="exact"/>
                        <w:rPr>
                          <w:rFonts w:ascii="Traditional Arabic" w:hAnsi="Traditional Arabic"/>
                          <w:color w:val="FFFFFF"/>
                          <w:sz w:val="18"/>
                          <w:szCs w:val="18"/>
                          <w:rtl/>
                        </w:rPr>
                      </w:pPr>
                      <w:r w:rsidRPr="00B604C0">
                        <w:rPr>
                          <w:rFonts w:ascii="Traditional Arabic" w:hAnsi="Traditional Arabic"/>
                          <w:color w:val="FFFFFF"/>
                          <w:sz w:val="12"/>
                          <w:szCs w:val="12"/>
                        </w:rPr>
                        <w:t>H</w:t>
                      </w:r>
                      <w:r w:rsidRPr="00B604C0">
                        <w:rPr>
                          <w:rFonts w:ascii="Traditional Arabic" w:hAnsi="Traditional Arabic"/>
                          <w:color w:val="FFFFFF"/>
                          <w:sz w:val="12"/>
                          <w:szCs w:val="12"/>
                          <w:vertAlign w:val="subscript"/>
                        </w:rPr>
                        <w:t>2</w:t>
                      </w:r>
                      <w:r w:rsidRPr="00B604C0">
                        <w:rPr>
                          <w:rFonts w:ascii="Traditional Arabic" w:hAnsi="Traditional Arabic"/>
                          <w:color w:val="FFFFFF"/>
                          <w:sz w:val="12"/>
                          <w:szCs w:val="12"/>
                        </w:rPr>
                        <w:t>SO</w:t>
                      </w:r>
                      <w:r w:rsidRPr="00B604C0">
                        <w:rPr>
                          <w:rFonts w:ascii="Traditional Arabic" w:hAnsi="Traditional Arabic"/>
                          <w:color w:val="FFFFFF"/>
                          <w:sz w:val="16"/>
                          <w:szCs w:val="16"/>
                          <w:vertAlign w:val="subscript"/>
                        </w:rPr>
                        <w:t>4</w:t>
                      </w:r>
                      <w:r w:rsidRPr="00B604C0">
                        <w:rPr>
                          <w:rFonts w:ascii="Traditional Arabic" w:hAnsi="Traditional Arabic" w:hint="cs"/>
                          <w:color w:val="FFFFFF"/>
                          <w:sz w:val="18"/>
                          <w:szCs w:val="18"/>
                          <w:rtl/>
                        </w:rPr>
                        <w:t>:</w:t>
                      </w:r>
                    </w:p>
                    <w:p w:rsidR="0093783C" w:rsidRPr="002606E2" w:rsidRDefault="0093783C" w:rsidP="00335E4B">
                      <w:pPr>
                        <w:spacing w:line="200" w:lineRule="exact"/>
                        <w:rPr>
                          <w:rFonts w:ascii="Traditional Arabic" w:hAnsi="Traditional Arabic"/>
                          <w:sz w:val="16"/>
                          <w:szCs w:val="16"/>
                        </w:rPr>
                      </w:pPr>
                      <w:r w:rsidRPr="002606E2">
                        <w:rPr>
                          <w:rFonts w:hint="cs"/>
                          <w:sz w:val="16"/>
                          <w:szCs w:val="16"/>
                          <w:lang w:val="en-GB" w:bidi="ar-EG"/>
                        </w:rPr>
                        <w:sym w:font="Wingdings 3" w:char="F070"/>
                      </w:r>
                      <w:r w:rsidRPr="002606E2">
                        <w:rPr>
                          <w:rFonts w:ascii="Traditional Arabic" w:hAnsi="Traditional Arabic" w:hint="cs"/>
                          <w:sz w:val="16"/>
                          <w:szCs w:val="16"/>
                          <w:rtl/>
                        </w:rPr>
                        <w:t xml:space="preserve"> </w:t>
                      </w:r>
                      <w:r w:rsidRPr="002606E2">
                        <w:rPr>
                          <w:rFonts w:ascii="Traditional Arabic" w:hAnsi="Traditional Arabic" w:hint="cs"/>
                          <w:color w:val="FFFFFF"/>
                          <w:w w:val="90"/>
                          <w:sz w:val="16"/>
                          <w:szCs w:val="16"/>
                          <w:rtl/>
                        </w:rPr>
                        <w:t>640 غرام</w:t>
                      </w:r>
                    </w:p>
                  </w:txbxContent>
                </v:textbox>
              </v:shape>
            </w:pict>
          </mc:Fallback>
        </mc:AlternateContent>
      </w:r>
      <w:r w:rsidR="00335E4B">
        <w:rPr>
          <w:rFonts w:cs="Traditional Arabic"/>
          <w:noProof/>
          <w:sz w:val="20"/>
          <w:szCs w:val="30"/>
          <w:lang w:val="en-GB" w:eastAsia="zh-CN"/>
        </w:rPr>
        <mc:AlternateContent>
          <mc:Choice Requires="wps">
            <w:drawing>
              <wp:anchor distT="0" distB="0" distL="114300" distR="114300" simplePos="0" relativeHeight="251692032" behindDoc="0" locked="0" layoutInCell="1" allowOverlap="1" wp14:anchorId="31827FC0" wp14:editId="766BB58C">
                <wp:simplePos x="0" y="0"/>
                <wp:positionH relativeFrom="column">
                  <wp:posOffset>-1375410</wp:posOffset>
                </wp:positionH>
                <wp:positionV relativeFrom="paragraph">
                  <wp:posOffset>104140</wp:posOffset>
                </wp:positionV>
                <wp:extent cx="760095" cy="368300"/>
                <wp:effectExtent l="13335" t="13335" r="7620" b="889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368300"/>
                        </a:xfrm>
                        <a:prstGeom prst="rect">
                          <a:avLst/>
                        </a:prstGeom>
                        <a:solidFill>
                          <a:srgbClr val="FFFFFF"/>
                        </a:solidFill>
                        <a:ln w="9525">
                          <a:solidFill>
                            <a:srgbClr val="000000"/>
                          </a:solidFill>
                          <a:miter lim="800000"/>
                          <a:headEnd/>
                          <a:tailEnd/>
                        </a:ln>
                      </wps:spPr>
                      <wps:txbx>
                        <w:txbxContent>
                          <w:p w:rsidR="00670B40" w:rsidRPr="0006589F" w:rsidRDefault="00670B40" w:rsidP="0006589F">
                            <w:pPr>
                              <w:spacing w:line="200" w:lineRule="exact"/>
                              <w:rPr>
                                <w:rFonts w:ascii="Traditional Arabic" w:hAnsi="Traditional Arabic"/>
                                <w:sz w:val="16"/>
                                <w:szCs w:val="16"/>
                                <w:rtl/>
                              </w:rPr>
                            </w:pPr>
                            <w:r w:rsidRPr="0006589F">
                              <w:rPr>
                                <w:rFonts w:hint="cs"/>
                                <w:sz w:val="12"/>
                                <w:szCs w:val="12"/>
                                <w:lang w:val="en-GB" w:bidi="ar-EG"/>
                              </w:rPr>
                              <w:sym w:font="Wingdings 3" w:char="F070"/>
                            </w:r>
                            <w:r w:rsidRPr="0006589F">
                              <w:rPr>
                                <w:rFonts w:ascii="Traditional Arabic" w:hAnsi="Traditional Arabic" w:hint="cs"/>
                                <w:sz w:val="16"/>
                                <w:szCs w:val="16"/>
                                <w:rtl/>
                              </w:rPr>
                              <w:t xml:space="preserve"> انتاج </w:t>
                            </w:r>
                            <w:r w:rsidRPr="0006589F">
                              <w:rPr>
                                <w:rFonts w:ascii="Traditional Arabic" w:hAnsi="Traditional Arabic"/>
                                <w:sz w:val="10"/>
                                <w:szCs w:val="10"/>
                              </w:rPr>
                              <w:t>H</w:t>
                            </w:r>
                            <w:r w:rsidRPr="0006589F">
                              <w:rPr>
                                <w:rFonts w:ascii="Traditional Arabic" w:hAnsi="Traditional Arabic"/>
                                <w:sz w:val="10"/>
                                <w:szCs w:val="10"/>
                                <w:vertAlign w:val="subscript"/>
                              </w:rPr>
                              <w:t>2</w:t>
                            </w:r>
                            <w:r w:rsidRPr="0006589F">
                              <w:rPr>
                                <w:rFonts w:ascii="Traditional Arabic" w:hAnsi="Traditional Arabic"/>
                                <w:sz w:val="10"/>
                                <w:szCs w:val="10"/>
                              </w:rPr>
                              <w:t>SO</w:t>
                            </w:r>
                            <w:r w:rsidRPr="0006589F">
                              <w:rPr>
                                <w:rFonts w:ascii="Traditional Arabic" w:hAnsi="Traditional Arabic"/>
                                <w:sz w:val="10"/>
                                <w:szCs w:val="10"/>
                                <w:vertAlign w:val="subscript"/>
                              </w:rPr>
                              <w:t>4</w:t>
                            </w:r>
                            <w:r w:rsidRPr="0006589F">
                              <w:rPr>
                                <w:rFonts w:ascii="Traditional Arabic" w:hAnsi="Traditional Arabic" w:hint="cs"/>
                                <w:sz w:val="16"/>
                                <w:szCs w:val="16"/>
                                <w:rtl/>
                              </w:rPr>
                              <w:t xml:space="preserve">: </w:t>
                            </w:r>
                            <w:r>
                              <w:rPr>
                                <w:rFonts w:ascii="Traditional Arabic" w:hAnsi="Traditional Arabic" w:hint="cs"/>
                                <w:sz w:val="16"/>
                                <w:szCs w:val="16"/>
                                <w:rtl/>
                              </w:rPr>
                              <w:t>69</w:t>
                            </w:r>
                            <w:r w:rsidRPr="0006589F">
                              <w:rPr>
                                <w:rFonts w:ascii="Traditional Arabic" w:hAnsi="Traditional Arabic" w:hint="cs"/>
                                <w:sz w:val="16"/>
                                <w:szCs w:val="16"/>
                                <w:rtl/>
                              </w:rPr>
                              <w:t xml:space="preserve"> غرام</w:t>
                            </w:r>
                          </w:p>
                          <w:p w:rsidR="00670B40" w:rsidRDefault="00670B40" w:rsidP="00335E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547" type="#_x0000_t202" style="position:absolute;left:0;text-align:left;margin-left:-108.3pt;margin-top:8.2pt;width:59.85pt;height: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DC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">
                <v:textbox>
                  <w:txbxContent>
                    <w:p w:rsidR="0093783C" w:rsidRPr="0006589F" w:rsidRDefault="0093783C" w:rsidP="0006589F">
                      <w:pPr>
                        <w:spacing w:line="200" w:lineRule="exact"/>
                        <w:rPr>
                          <w:rFonts w:ascii="Traditional Arabic" w:hAnsi="Traditional Arabic"/>
                          <w:sz w:val="16"/>
                          <w:szCs w:val="16"/>
                          <w:rtl/>
                        </w:rPr>
                      </w:pPr>
                      <w:r w:rsidRPr="0006589F">
                        <w:rPr>
                          <w:rFonts w:hint="cs"/>
                          <w:sz w:val="12"/>
                          <w:szCs w:val="12"/>
                          <w:lang w:val="en-GB" w:bidi="ar-EG"/>
                        </w:rPr>
                        <w:sym w:font="Wingdings 3" w:char="F070"/>
                      </w:r>
                      <w:r w:rsidRPr="0006589F">
                        <w:rPr>
                          <w:rFonts w:ascii="Traditional Arabic" w:hAnsi="Traditional Arabic" w:hint="cs"/>
                          <w:sz w:val="16"/>
                          <w:szCs w:val="16"/>
                          <w:rtl/>
                        </w:rPr>
                        <w:t xml:space="preserve"> انتاج </w:t>
                      </w:r>
                      <w:r w:rsidRPr="0006589F">
                        <w:rPr>
                          <w:rFonts w:ascii="Traditional Arabic" w:hAnsi="Traditional Arabic"/>
                          <w:sz w:val="10"/>
                          <w:szCs w:val="10"/>
                        </w:rPr>
                        <w:t>H</w:t>
                      </w:r>
                      <w:r w:rsidRPr="0006589F">
                        <w:rPr>
                          <w:rFonts w:ascii="Traditional Arabic" w:hAnsi="Traditional Arabic"/>
                          <w:sz w:val="10"/>
                          <w:szCs w:val="10"/>
                          <w:vertAlign w:val="subscript"/>
                        </w:rPr>
                        <w:t>2</w:t>
                      </w:r>
                      <w:r w:rsidRPr="0006589F">
                        <w:rPr>
                          <w:rFonts w:ascii="Traditional Arabic" w:hAnsi="Traditional Arabic"/>
                          <w:sz w:val="10"/>
                          <w:szCs w:val="10"/>
                        </w:rPr>
                        <w:t>SO</w:t>
                      </w:r>
                      <w:r w:rsidRPr="0006589F">
                        <w:rPr>
                          <w:rFonts w:ascii="Traditional Arabic" w:hAnsi="Traditional Arabic"/>
                          <w:sz w:val="10"/>
                          <w:szCs w:val="10"/>
                          <w:vertAlign w:val="subscript"/>
                        </w:rPr>
                        <w:t>4</w:t>
                      </w:r>
                      <w:r w:rsidRPr="0006589F">
                        <w:rPr>
                          <w:rFonts w:ascii="Traditional Arabic" w:hAnsi="Traditional Arabic" w:hint="cs"/>
                          <w:sz w:val="16"/>
                          <w:szCs w:val="16"/>
                          <w:rtl/>
                        </w:rPr>
                        <w:t xml:space="preserve">: </w:t>
                      </w:r>
                      <w:r>
                        <w:rPr>
                          <w:rFonts w:ascii="Traditional Arabic" w:hAnsi="Traditional Arabic" w:hint="cs"/>
                          <w:sz w:val="16"/>
                          <w:szCs w:val="16"/>
                          <w:rtl/>
                        </w:rPr>
                        <w:t>69</w:t>
                      </w:r>
                      <w:r w:rsidRPr="0006589F">
                        <w:rPr>
                          <w:rFonts w:ascii="Traditional Arabic" w:hAnsi="Traditional Arabic" w:hint="cs"/>
                          <w:sz w:val="16"/>
                          <w:szCs w:val="16"/>
                          <w:rtl/>
                        </w:rPr>
                        <w:t xml:space="preserve"> غرام</w:t>
                      </w:r>
                    </w:p>
                    <w:p w:rsidR="0093783C" w:rsidRDefault="0093783C" w:rsidP="00335E4B"/>
                  </w:txbxContent>
                </v:textbox>
              </v:shape>
            </w:pict>
          </mc:Fallback>
        </mc:AlternateContent>
      </w:r>
      <w:r w:rsidR="00335E4B">
        <w:rPr>
          <w:rFonts w:cs="Traditional Arabic" w:hint="cs"/>
          <w:noProof/>
          <w:sz w:val="20"/>
          <w:szCs w:val="30"/>
          <w:rtl/>
          <w:lang w:val="en-GB" w:eastAsia="zh-CN"/>
        </w:rPr>
        <mc:AlternateContent>
          <mc:Choice Requires="wps">
            <w:drawing>
              <wp:anchor distT="0" distB="0" distL="114300" distR="114300" simplePos="0" relativeHeight="251696128" behindDoc="0" locked="0" layoutInCell="1" allowOverlap="1" wp14:anchorId="1D20C308" wp14:editId="0CE6D776">
                <wp:simplePos x="0" y="0"/>
                <wp:positionH relativeFrom="column">
                  <wp:posOffset>-366395</wp:posOffset>
                </wp:positionH>
                <wp:positionV relativeFrom="paragraph">
                  <wp:posOffset>292735</wp:posOffset>
                </wp:positionV>
                <wp:extent cx="303530" cy="230505"/>
                <wp:effectExtent l="12700" t="11430" r="7620" b="571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230505"/>
                        </a:xfrm>
                        <a:prstGeom prst="rect">
                          <a:avLst/>
                        </a:prstGeom>
                        <a:solidFill>
                          <a:srgbClr val="FFFFFF"/>
                        </a:solidFill>
                        <a:ln w="9525">
                          <a:solidFill>
                            <a:srgbClr val="FFFFFF"/>
                          </a:solidFill>
                          <a:miter lim="800000"/>
                          <a:headEnd/>
                          <a:tailEnd/>
                        </a:ln>
                      </wps:spPr>
                      <wps:txbx>
                        <w:txbxContent>
                          <w:p w:rsidR="00670B40" w:rsidRPr="0006589F" w:rsidRDefault="00670B40" w:rsidP="00335E4B">
                            <w:pPr>
                              <w:spacing w:line="160" w:lineRule="exact"/>
                              <w:jc w:val="right"/>
                              <w:rPr>
                                <w:rFonts w:ascii="Traditional Arabic" w:hAnsi="Traditional Arabic"/>
                                <w:sz w:val="14"/>
                                <w:szCs w:val="14"/>
                                <w:rtl/>
                              </w:rPr>
                            </w:pPr>
                            <w:r w:rsidRPr="0006589F">
                              <w:rPr>
                                <w:rFonts w:ascii="Traditional Arabic" w:hAnsi="Traditional Arabic" w:hint="cs"/>
                                <w:sz w:val="14"/>
                                <w:szCs w:val="14"/>
                                <w:rtl/>
                              </w:rPr>
                              <w:t xml:space="preserve">غاز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548" type="#_x0000_t202" style="position:absolute;left:0;text-align:left;margin-left:-28.85pt;margin-top:23.05pt;width:23.9pt;height:1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" strokecolor="white">
                <v:textbox>
                  <w:txbxContent>
                    <w:p w:rsidR="0093783C" w:rsidRPr="0006589F" w:rsidRDefault="0093783C" w:rsidP="00335E4B">
                      <w:pPr>
                        <w:spacing w:line="160" w:lineRule="exact"/>
                        <w:jc w:val="right"/>
                        <w:rPr>
                          <w:rFonts w:ascii="Traditional Arabic" w:hAnsi="Traditional Arabic"/>
                          <w:sz w:val="14"/>
                          <w:szCs w:val="14"/>
                          <w:rtl/>
                        </w:rPr>
                      </w:pPr>
                      <w:r w:rsidRPr="0006589F">
                        <w:rPr>
                          <w:rFonts w:ascii="Traditional Arabic" w:hAnsi="Traditional Arabic" w:hint="cs"/>
                          <w:sz w:val="14"/>
                          <w:szCs w:val="14"/>
                          <w:rtl/>
                        </w:rPr>
                        <w:t xml:space="preserve">غاز </w:t>
                      </w:r>
                    </w:p>
                  </w:txbxContent>
                </v:textbox>
              </v:shape>
            </w:pict>
          </mc:Fallback>
        </mc:AlternateContent>
      </w:r>
      <w:r w:rsidR="00335E4B">
        <w:rPr>
          <w:rFonts w:cs="Traditional Arabic"/>
          <w:noProof/>
          <w:sz w:val="20"/>
          <w:szCs w:val="30"/>
          <w:lang w:val="en-GB" w:eastAsia="zh-CN"/>
        </w:rPr>
        <mc:AlternateContent>
          <mc:Choice Requires="wps">
            <w:drawing>
              <wp:anchor distT="0" distB="0" distL="114300" distR="114300" simplePos="0" relativeHeight="251695104" behindDoc="0" locked="0" layoutInCell="1" allowOverlap="1" wp14:anchorId="0EE47D45" wp14:editId="6EA68AC4">
                <wp:simplePos x="0" y="0"/>
                <wp:positionH relativeFrom="column">
                  <wp:posOffset>-3124200</wp:posOffset>
                </wp:positionH>
                <wp:positionV relativeFrom="paragraph">
                  <wp:posOffset>60960</wp:posOffset>
                </wp:positionV>
                <wp:extent cx="571500" cy="411480"/>
                <wp:effectExtent l="7620" t="8255" r="11430" b="889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11480"/>
                        </a:xfrm>
                        <a:prstGeom prst="rect">
                          <a:avLst/>
                        </a:prstGeom>
                        <a:solidFill>
                          <a:srgbClr val="FFC000"/>
                        </a:solidFill>
                        <a:ln w="9525">
                          <a:solidFill>
                            <a:srgbClr val="FFFFFF"/>
                          </a:solidFill>
                          <a:miter lim="800000"/>
                          <a:headEnd/>
                          <a:tailEnd/>
                        </a:ln>
                      </wps:spPr>
                      <wps:txbx>
                        <w:txbxContent>
                          <w:p w:rsidR="00670B40" w:rsidRPr="0006589F" w:rsidRDefault="00670B40" w:rsidP="00335E4B">
                            <w:pPr>
                              <w:spacing w:line="200" w:lineRule="exact"/>
                              <w:jc w:val="center"/>
                              <w:rPr>
                                <w:rFonts w:ascii="Traditional Arabic" w:hAnsi="Traditional Arabic"/>
                                <w:sz w:val="14"/>
                                <w:szCs w:val="14"/>
                              </w:rPr>
                            </w:pPr>
                            <w:r w:rsidRPr="0006589F">
                              <w:rPr>
                                <w:rFonts w:ascii="Traditional Arabic" w:hAnsi="Traditional Arabic" w:hint="cs"/>
                                <w:sz w:val="14"/>
                                <w:szCs w:val="14"/>
                                <w:rtl/>
                              </w:rPr>
                              <w:t>بقايا الألمنيوم (330غرام)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549" type="#_x0000_t202" style="position:absolute;left:0;text-align:left;margin-left:-246pt;margin-top:4.8pt;width:45pt;height:3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" fillcolor="#ffc000" strokecolor="white">
                <v:textbox>
                  <w:txbxContent>
                    <w:p w:rsidR="0093783C" w:rsidRPr="0006589F" w:rsidRDefault="0093783C" w:rsidP="00335E4B">
                      <w:pPr>
                        <w:spacing w:line="200" w:lineRule="exact"/>
                        <w:jc w:val="center"/>
                        <w:rPr>
                          <w:rFonts w:ascii="Traditional Arabic" w:hAnsi="Traditional Arabic"/>
                          <w:sz w:val="14"/>
                          <w:szCs w:val="14"/>
                        </w:rPr>
                      </w:pPr>
                      <w:r w:rsidRPr="0006589F">
                        <w:rPr>
                          <w:rFonts w:ascii="Traditional Arabic" w:hAnsi="Traditional Arabic" w:hint="cs"/>
                          <w:sz w:val="14"/>
                          <w:szCs w:val="14"/>
                          <w:rtl/>
                        </w:rPr>
                        <w:t>بقايا الألمنيوم (330غرام)</w:t>
                      </w:r>
                    </w:p>
                  </w:txbxContent>
                </v:textbox>
              </v:shape>
            </w:pict>
          </mc:Fallback>
        </mc:AlternateContent>
      </w:r>
      <w:r w:rsidR="00335E4B">
        <w:rPr>
          <w:rFonts w:cs="Traditional Arabic"/>
          <w:noProof/>
          <w:sz w:val="20"/>
          <w:szCs w:val="30"/>
          <w:lang w:val="en-GB" w:eastAsia="zh-CN"/>
        </w:rPr>
        <mc:AlternateContent>
          <mc:Choice Requires="wps">
            <w:drawing>
              <wp:anchor distT="0" distB="0" distL="114300" distR="114300" simplePos="0" relativeHeight="251691008" behindDoc="0" locked="0" layoutInCell="1" allowOverlap="1" wp14:anchorId="06268515" wp14:editId="0ECC1E1F">
                <wp:simplePos x="0" y="0"/>
                <wp:positionH relativeFrom="column">
                  <wp:posOffset>-615315</wp:posOffset>
                </wp:positionH>
                <wp:positionV relativeFrom="paragraph">
                  <wp:posOffset>109855</wp:posOffset>
                </wp:positionV>
                <wp:extent cx="765810" cy="216535"/>
                <wp:effectExtent l="11430" t="9525" r="13335" b="1206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16535"/>
                        </a:xfrm>
                        <a:prstGeom prst="rect">
                          <a:avLst/>
                        </a:prstGeom>
                        <a:solidFill>
                          <a:srgbClr val="FFFFFF"/>
                        </a:solidFill>
                        <a:ln w="9525">
                          <a:solidFill>
                            <a:srgbClr val="FFFFFF"/>
                          </a:solidFill>
                          <a:miter lim="800000"/>
                          <a:headEnd/>
                          <a:tailEnd/>
                        </a:ln>
                      </wps:spPr>
                      <wps:txbx>
                        <w:txbxContent>
                          <w:p w:rsidR="00670B40" w:rsidRPr="0006589F" w:rsidRDefault="00670B40" w:rsidP="00335E4B">
                            <w:pPr>
                              <w:spacing w:line="200" w:lineRule="exact"/>
                              <w:rPr>
                                <w:rFonts w:ascii="Traditional Arabic" w:hAnsi="Traditional Arabic"/>
                                <w:sz w:val="14"/>
                                <w:szCs w:val="14"/>
                                <w:rtl/>
                              </w:rPr>
                            </w:pPr>
                            <w:r w:rsidRPr="0006589F">
                              <w:rPr>
                                <w:rFonts w:ascii="Traditional Arabic" w:hAnsi="Traditional Arabic" w:hint="cs"/>
                                <w:sz w:val="14"/>
                                <w:szCs w:val="14"/>
                                <w:rtl/>
                              </w:rPr>
                              <w:t>نقطة أخذ العينات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550" type="#_x0000_t202" style="position:absolute;left:0;text-align:left;margin-left:-48.45pt;margin-top:8.65pt;width:60.3pt;height:1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" strokecolor="white">
                <v:textbox>
                  <w:txbxContent>
                    <w:p w:rsidR="0093783C" w:rsidRPr="0006589F" w:rsidRDefault="0093783C" w:rsidP="00335E4B">
                      <w:pPr>
                        <w:spacing w:line="200" w:lineRule="exact"/>
                        <w:rPr>
                          <w:rFonts w:ascii="Traditional Arabic" w:hAnsi="Traditional Arabic"/>
                          <w:sz w:val="14"/>
                          <w:szCs w:val="14"/>
                          <w:rtl/>
                        </w:rPr>
                      </w:pPr>
                      <w:r w:rsidRPr="0006589F">
                        <w:rPr>
                          <w:rFonts w:ascii="Traditional Arabic" w:hAnsi="Traditional Arabic" w:hint="cs"/>
                          <w:sz w:val="14"/>
                          <w:szCs w:val="14"/>
                          <w:rtl/>
                        </w:rPr>
                        <w:t>نقطة أخذ العينات</w:t>
                      </w:r>
                    </w:p>
                  </w:txbxContent>
                </v:textbox>
              </v:shape>
            </w:pict>
          </mc:Fallback>
        </mc:AlternateContent>
      </w:r>
      <w:r w:rsidR="00335E4B">
        <w:rPr>
          <w:rFonts w:cs="Traditional Arabic"/>
          <w:noProof/>
          <w:sz w:val="20"/>
          <w:szCs w:val="30"/>
          <w:lang w:val="en-GB" w:eastAsia="zh-CN"/>
        </w:rPr>
        <w:drawing>
          <wp:anchor distT="0" distB="0" distL="114300" distR="114300" simplePos="0" relativeHeight="251660288" behindDoc="1" locked="0" layoutInCell="1" allowOverlap="1" wp14:anchorId="47AC342C" wp14:editId="345A5C91">
            <wp:simplePos x="0" y="0"/>
            <wp:positionH relativeFrom="column">
              <wp:posOffset>240665</wp:posOffset>
            </wp:positionH>
            <wp:positionV relativeFrom="paragraph">
              <wp:posOffset>60960</wp:posOffset>
            </wp:positionV>
            <wp:extent cx="5372100" cy="2737485"/>
            <wp:effectExtent l="0" t="0" r="0" b="5715"/>
            <wp:wrapTight wrapText="bothSides">
              <wp:wrapPolygon edited="0">
                <wp:start x="8809" y="0"/>
                <wp:lineTo x="2681" y="1353"/>
                <wp:lineTo x="2068" y="1653"/>
                <wp:lineTo x="2068" y="5111"/>
                <wp:lineTo x="766" y="7516"/>
                <wp:lineTo x="0" y="7666"/>
                <wp:lineTo x="0" y="11123"/>
                <wp:lineTo x="1226" y="12326"/>
                <wp:lineTo x="1226" y="13077"/>
                <wp:lineTo x="1838" y="14731"/>
                <wp:lineTo x="2068" y="20593"/>
                <wp:lineTo x="3753" y="21495"/>
                <wp:lineTo x="5515" y="21495"/>
                <wp:lineTo x="16315" y="21495"/>
                <wp:lineTo x="16545" y="19541"/>
                <wp:lineTo x="17234" y="17587"/>
                <wp:lineTo x="17157" y="17136"/>
                <wp:lineTo x="18306" y="16384"/>
                <wp:lineTo x="18230" y="15332"/>
                <wp:lineTo x="16162" y="14731"/>
                <wp:lineTo x="17464" y="14731"/>
                <wp:lineTo x="19149" y="13378"/>
                <wp:lineTo x="19149" y="8117"/>
                <wp:lineTo x="18689" y="7516"/>
                <wp:lineTo x="17311" y="7516"/>
                <wp:lineTo x="21064" y="5261"/>
                <wp:lineTo x="21064" y="3758"/>
                <wp:lineTo x="20834" y="2706"/>
                <wp:lineTo x="21140" y="752"/>
                <wp:lineTo x="20681" y="301"/>
                <wp:lineTo x="18460" y="0"/>
                <wp:lineTo x="8809"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72100" cy="273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E4B" w:rsidRPr="00335E4B" w:rsidRDefault="002606E2"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r>
        <w:rPr>
          <w:rFonts w:cs="Traditional Arabic" w:hint="cs"/>
          <w:noProof/>
          <w:sz w:val="20"/>
          <w:szCs w:val="30"/>
          <w:rtl/>
          <w:lang w:val="en-GB" w:eastAsia="zh-CN"/>
        </w:rPr>
        <mc:AlternateContent>
          <mc:Choice Requires="wps">
            <w:drawing>
              <wp:anchor distT="0" distB="0" distL="114300" distR="114300" simplePos="0" relativeHeight="251700224" behindDoc="0" locked="0" layoutInCell="1" allowOverlap="1" wp14:anchorId="099E05B0" wp14:editId="0E4CF0B4">
                <wp:simplePos x="0" y="0"/>
                <wp:positionH relativeFrom="column">
                  <wp:posOffset>-2690495</wp:posOffset>
                </wp:positionH>
                <wp:positionV relativeFrom="paragraph">
                  <wp:posOffset>242570</wp:posOffset>
                </wp:positionV>
                <wp:extent cx="575945" cy="360045"/>
                <wp:effectExtent l="0" t="0" r="14605" b="2095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360045"/>
                        </a:xfrm>
                        <a:prstGeom prst="rect">
                          <a:avLst/>
                        </a:prstGeom>
                        <a:solidFill>
                          <a:srgbClr val="FFFFFF"/>
                        </a:solidFill>
                        <a:ln w="9525">
                          <a:solidFill>
                            <a:srgbClr val="000000"/>
                          </a:solidFill>
                          <a:prstDash val="sysDot"/>
                          <a:miter lim="800000"/>
                          <a:headEnd/>
                          <a:tailEnd/>
                        </a:ln>
                      </wps:spPr>
                      <wps:txbx>
                        <w:txbxContent>
                          <w:p w:rsidR="00670B40" w:rsidRPr="00931FB4" w:rsidRDefault="00670B40" w:rsidP="00335E4B">
                            <w:pPr>
                              <w:spacing w:line="200" w:lineRule="exact"/>
                              <w:jc w:val="center"/>
                              <w:rPr>
                                <w:rFonts w:ascii="Traditional Arabic" w:hAnsi="Traditional Arabic"/>
                                <w:sz w:val="18"/>
                                <w:szCs w:val="18"/>
                              </w:rPr>
                            </w:pPr>
                            <w:r>
                              <w:rPr>
                                <w:rFonts w:ascii="Traditional Arabic" w:hAnsi="Traditional Arabic" w:hint="cs"/>
                                <w:sz w:val="18"/>
                                <w:szCs w:val="18"/>
                                <w:rtl/>
                              </w:rPr>
                              <w:t>غاز 357 غرام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551" type="#_x0000_t202" style="position:absolute;left:0;text-align:left;margin-left:-211.85pt;margin-top:19.1pt;width:45.35pt;height:2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">
                <v:stroke dashstyle="1 1"/>
                <v:textbox>
                  <w:txbxContent>
                    <w:p w:rsidR="0093783C" w:rsidRPr="00931FB4" w:rsidRDefault="0093783C" w:rsidP="00335E4B">
                      <w:pPr>
                        <w:spacing w:line="200" w:lineRule="exact"/>
                        <w:jc w:val="center"/>
                        <w:rPr>
                          <w:rFonts w:ascii="Traditional Arabic" w:hAnsi="Traditional Arabic"/>
                          <w:sz w:val="18"/>
                          <w:szCs w:val="18"/>
                        </w:rPr>
                      </w:pPr>
                      <w:r>
                        <w:rPr>
                          <w:rFonts w:ascii="Traditional Arabic" w:hAnsi="Traditional Arabic" w:hint="cs"/>
                          <w:sz w:val="18"/>
                          <w:szCs w:val="18"/>
                          <w:rtl/>
                        </w:rPr>
                        <w:t>غاز 357 غرام</w:t>
                      </w:r>
                    </w:p>
                  </w:txbxContent>
                </v:textbox>
              </v:shape>
            </w:pict>
          </mc:Fallback>
        </mc:AlternateContent>
      </w:r>
      <w:r w:rsidR="00335E4B">
        <w:rPr>
          <w:rFonts w:cs="Traditional Arabic"/>
          <w:noProof/>
          <w:sz w:val="20"/>
          <w:szCs w:val="30"/>
          <w:lang w:val="en-GB" w:eastAsia="zh-CN"/>
        </w:rPr>
        <mc:AlternateContent>
          <mc:Choice Requires="wps">
            <w:drawing>
              <wp:anchor distT="0" distB="0" distL="114300" distR="114300" simplePos="0" relativeHeight="251693056" behindDoc="0" locked="0" layoutInCell="1" allowOverlap="1" wp14:anchorId="38BAF2F9" wp14:editId="7707FC2B">
                <wp:simplePos x="0" y="0"/>
                <wp:positionH relativeFrom="column">
                  <wp:posOffset>-394970</wp:posOffset>
                </wp:positionH>
                <wp:positionV relativeFrom="paragraph">
                  <wp:posOffset>128270</wp:posOffset>
                </wp:positionV>
                <wp:extent cx="386715" cy="200025"/>
                <wp:effectExtent l="12700" t="5715" r="10160" b="1333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0025"/>
                        </a:xfrm>
                        <a:prstGeom prst="rect">
                          <a:avLst/>
                        </a:prstGeom>
                        <a:solidFill>
                          <a:srgbClr val="FFFFFF"/>
                        </a:solidFill>
                        <a:ln w="9525">
                          <a:solidFill>
                            <a:srgbClr val="FFFFFF"/>
                          </a:solidFill>
                          <a:miter lim="800000"/>
                          <a:headEnd/>
                          <a:tailEnd/>
                        </a:ln>
                      </wps:spPr>
                      <wps:txbx>
                        <w:txbxContent>
                          <w:p w:rsidR="00670B40" w:rsidRPr="00AE5D01" w:rsidRDefault="00670B40" w:rsidP="00335E4B">
                            <w:pPr>
                              <w:spacing w:line="140" w:lineRule="exact"/>
                              <w:jc w:val="right"/>
                              <w:rPr>
                                <w:rFonts w:ascii="Traditional Arabic" w:hAnsi="Traditional Arabic"/>
                                <w:sz w:val="18"/>
                                <w:szCs w:val="18"/>
                              </w:rPr>
                            </w:pPr>
                            <w:r w:rsidRPr="0006589F">
                              <w:rPr>
                                <w:rFonts w:ascii="Traditional Arabic" w:hAnsi="Traditional Arabic" w:hint="cs"/>
                                <w:sz w:val="14"/>
                                <w:szCs w:val="14"/>
                                <w:rtl/>
                              </w:rPr>
                              <w:t>سائل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552" type="#_x0000_t202" style="position:absolute;left:0;text-align:left;margin-left:-31.1pt;margin-top:10.1pt;width:30.4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" strokecolor="white">
                <v:textbox>
                  <w:txbxContent>
                    <w:p w:rsidR="0093783C" w:rsidRPr="00AE5D01" w:rsidRDefault="0093783C" w:rsidP="00335E4B">
                      <w:pPr>
                        <w:spacing w:line="140" w:lineRule="exact"/>
                        <w:jc w:val="right"/>
                        <w:rPr>
                          <w:rFonts w:ascii="Traditional Arabic" w:hAnsi="Traditional Arabic"/>
                          <w:sz w:val="18"/>
                          <w:szCs w:val="18"/>
                        </w:rPr>
                      </w:pPr>
                      <w:r w:rsidRPr="0006589F">
                        <w:rPr>
                          <w:rFonts w:ascii="Traditional Arabic" w:hAnsi="Traditional Arabic" w:hint="cs"/>
                          <w:sz w:val="14"/>
                          <w:szCs w:val="14"/>
                          <w:rtl/>
                        </w:rPr>
                        <w:t>سائل</w:t>
                      </w:r>
                    </w:p>
                  </w:txbxContent>
                </v:textbox>
              </v:shape>
            </w:pict>
          </mc:Fallback>
        </mc:AlternateContent>
      </w:r>
      <w:r w:rsidR="00335E4B">
        <w:rPr>
          <w:rFonts w:cs="Traditional Arabic"/>
          <w:noProof/>
          <w:sz w:val="20"/>
          <w:szCs w:val="30"/>
          <w:lang w:val="en-GB" w:eastAsia="zh-CN"/>
        </w:rPr>
        <mc:AlternateContent>
          <mc:Choice Requires="wps">
            <w:drawing>
              <wp:anchor distT="0" distB="0" distL="114300" distR="114300" simplePos="0" relativeHeight="251702272" behindDoc="0" locked="0" layoutInCell="1" allowOverlap="1" wp14:anchorId="0861E2EE" wp14:editId="2E4B67C1">
                <wp:simplePos x="0" y="0"/>
                <wp:positionH relativeFrom="column">
                  <wp:posOffset>-394970</wp:posOffset>
                </wp:positionH>
                <wp:positionV relativeFrom="paragraph">
                  <wp:posOffset>299720</wp:posOffset>
                </wp:positionV>
                <wp:extent cx="386715" cy="203835"/>
                <wp:effectExtent l="12700" t="5715" r="10160" b="952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3835"/>
                        </a:xfrm>
                        <a:prstGeom prst="rect">
                          <a:avLst/>
                        </a:prstGeom>
                        <a:solidFill>
                          <a:srgbClr val="FFFFFF"/>
                        </a:solidFill>
                        <a:ln w="9525">
                          <a:solidFill>
                            <a:srgbClr val="FFFFFF"/>
                          </a:solidFill>
                          <a:miter lim="800000"/>
                          <a:headEnd/>
                          <a:tailEnd/>
                        </a:ln>
                      </wps:spPr>
                      <wps:txbx>
                        <w:txbxContent>
                          <w:p w:rsidR="00670B40" w:rsidRPr="0006589F" w:rsidRDefault="00670B40" w:rsidP="00335E4B">
                            <w:pPr>
                              <w:spacing w:line="140" w:lineRule="exact"/>
                              <w:jc w:val="right"/>
                              <w:rPr>
                                <w:rFonts w:ascii="Traditional Arabic" w:hAnsi="Traditional Arabic"/>
                                <w:sz w:val="14"/>
                                <w:szCs w:val="14"/>
                              </w:rPr>
                            </w:pPr>
                            <w:r w:rsidRPr="0006589F">
                              <w:rPr>
                                <w:rFonts w:ascii="Traditional Arabic" w:hAnsi="Traditional Arabic" w:hint="cs"/>
                                <w:sz w:val="14"/>
                                <w:szCs w:val="14"/>
                                <w:rtl/>
                              </w:rPr>
                              <w:t>صلب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553" type="#_x0000_t202" style="position:absolute;left:0;text-align:left;margin-left:-31.1pt;margin-top:23.6pt;width:30.45pt;height:16.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" strokecolor="white">
                <v:textbox>
                  <w:txbxContent>
                    <w:p w:rsidR="0093783C" w:rsidRPr="0006589F" w:rsidRDefault="0093783C" w:rsidP="00335E4B">
                      <w:pPr>
                        <w:spacing w:line="140" w:lineRule="exact"/>
                        <w:jc w:val="right"/>
                        <w:rPr>
                          <w:rFonts w:ascii="Traditional Arabic" w:hAnsi="Traditional Arabic"/>
                          <w:sz w:val="14"/>
                          <w:szCs w:val="14"/>
                        </w:rPr>
                      </w:pPr>
                      <w:r w:rsidRPr="0006589F">
                        <w:rPr>
                          <w:rFonts w:ascii="Traditional Arabic" w:hAnsi="Traditional Arabic" w:hint="cs"/>
                          <w:sz w:val="14"/>
                          <w:szCs w:val="14"/>
                          <w:rtl/>
                        </w:rPr>
                        <w:t>صلب</w:t>
                      </w:r>
                    </w:p>
                  </w:txbxContent>
                </v:textbox>
              </v:shape>
            </w:pict>
          </mc:Fallback>
        </mc:AlternateContent>
      </w:r>
      <w:r w:rsidR="00335E4B">
        <w:rPr>
          <w:rFonts w:cs="Traditional Arabic"/>
          <w:noProof/>
          <w:sz w:val="20"/>
          <w:szCs w:val="30"/>
          <w:lang w:val="en-GB" w:eastAsia="zh-CN"/>
        </w:rPr>
        <mc:AlternateContent>
          <mc:Choice Requires="wps">
            <w:drawing>
              <wp:anchor distT="0" distB="0" distL="114300" distR="114300" simplePos="0" relativeHeight="251701248" behindDoc="0" locked="0" layoutInCell="1" allowOverlap="1" wp14:anchorId="1DD81FCC" wp14:editId="07488FEF">
                <wp:simplePos x="0" y="0"/>
                <wp:positionH relativeFrom="column">
                  <wp:posOffset>-3910965</wp:posOffset>
                </wp:positionH>
                <wp:positionV relativeFrom="paragraph">
                  <wp:posOffset>242570</wp:posOffset>
                </wp:positionV>
                <wp:extent cx="612000" cy="360045"/>
                <wp:effectExtent l="0" t="0" r="17145" b="2095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360045"/>
                        </a:xfrm>
                        <a:prstGeom prst="rect">
                          <a:avLst/>
                        </a:prstGeom>
                        <a:solidFill>
                          <a:srgbClr val="FFFFFF"/>
                        </a:solidFill>
                        <a:ln w="9525">
                          <a:solidFill>
                            <a:srgbClr val="000000"/>
                          </a:solidFill>
                          <a:prstDash val="sysDot"/>
                          <a:miter lim="800000"/>
                          <a:headEnd/>
                          <a:tailEnd/>
                        </a:ln>
                      </wps:spPr>
                      <wps:txbx>
                        <w:txbxContent>
                          <w:p w:rsidR="00670B40" w:rsidRPr="002606E2" w:rsidRDefault="00670B40" w:rsidP="00335E4B">
                            <w:pPr>
                              <w:spacing w:line="200" w:lineRule="exact"/>
                              <w:jc w:val="center"/>
                              <w:rPr>
                                <w:rFonts w:ascii="Traditional Arabic" w:hAnsi="Traditional Arabic"/>
                                <w:sz w:val="16"/>
                                <w:szCs w:val="16"/>
                              </w:rPr>
                            </w:pPr>
                            <w:r w:rsidRPr="002606E2">
                              <w:rPr>
                                <w:rFonts w:ascii="Traditional Arabic" w:hAnsi="Traditional Arabic" w:hint="cs"/>
                                <w:sz w:val="16"/>
                                <w:szCs w:val="16"/>
                                <w:rtl/>
                              </w:rPr>
                              <w:t>غاز 5710 غرام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554" type="#_x0000_t202" style="position:absolute;left:0;text-align:left;margin-left:-307.95pt;margin-top:19.1pt;width:48.2pt;height:2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">
                <v:stroke dashstyle="1 1"/>
                <v:textbox>
                  <w:txbxContent>
                    <w:p w:rsidR="0093783C" w:rsidRPr="002606E2" w:rsidRDefault="0093783C" w:rsidP="00335E4B">
                      <w:pPr>
                        <w:spacing w:line="200" w:lineRule="exact"/>
                        <w:jc w:val="center"/>
                        <w:rPr>
                          <w:rFonts w:ascii="Traditional Arabic" w:hAnsi="Traditional Arabic"/>
                          <w:sz w:val="16"/>
                          <w:szCs w:val="16"/>
                        </w:rPr>
                      </w:pPr>
                      <w:r w:rsidRPr="002606E2">
                        <w:rPr>
                          <w:rFonts w:ascii="Traditional Arabic" w:hAnsi="Traditional Arabic" w:hint="cs"/>
                          <w:sz w:val="16"/>
                          <w:szCs w:val="16"/>
                          <w:rtl/>
                        </w:rPr>
                        <w:t>غاز 5710 غرام</w:t>
                      </w:r>
                    </w:p>
                  </w:txbxContent>
                </v:textbox>
              </v:shape>
            </w:pict>
          </mc:Fallback>
        </mc:AlternateContent>
      </w:r>
      <w:r w:rsidR="00335E4B">
        <w:rPr>
          <w:rFonts w:cs="Traditional Arabic" w:hint="cs"/>
          <w:noProof/>
          <w:sz w:val="20"/>
          <w:szCs w:val="30"/>
          <w:rtl/>
          <w:lang w:val="en-GB" w:eastAsia="zh-CN"/>
        </w:rPr>
        <mc:AlternateContent>
          <mc:Choice Requires="wps">
            <w:drawing>
              <wp:anchor distT="0" distB="0" distL="114300" distR="114300" simplePos="0" relativeHeight="251699200" behindDoc="0" locked="0" layoutInCell="1" allowOverlap="1" wp14:anchorId="05C6677E" wp14:editId="277D11EF">
                <wp:simplePos x="0" y="0"/>
                <wp:positionH relativeFrom="column">
                  <wp:posOffset>-1956435</wp:posOffset>
                </wp:positionH>
                <wp:positionV relativeFrom="paragraph">
                  <wp:posOffset>242570</wp:posOffset>
                </wp:positionV>
                <wp:extent cx="612000" cy="360045"/>
                <wp:effectExtent l="0" t="0" r="17145" b="2095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360045"/>
                        </a:xfrm>
                        <a:prstGeom prst="rect">
                          <a:avLst/>
                        </a:prstGeom>
                        <a:solidFill>
                          <a:srgbClr val="FFFFFF"/>
                        </a:solidFill>
                        <a:ln w="9525">
                          <a:solidFill>
                            <a:srgbClr val="000000"/>
                          </a:solidFill>
                          <a:prstDash val="sysDot"/>
                          <a:miter lim="800000"/>
                          <a:headEnd/>
                          <a:tailEnd/>
                        </a:ln>
                      </wps:spPr>
                      <wps:txbx>
                        <w:txbxContent>
                          <w:p w:rsidR="00670B40" w:rsidRPr="00931FB4" w:rsidRDefault="00670B40" w:rsidP="00335E4B">
                            <w:pPr>
                              <w:spacing w:line="200" w:lineRule="exact"/>
                              <w:jc w:val="center"/>
                              <w:rPr>
                                <w:rFonts w:ascii="Traditional Arabic" w:hAnsi="Traditional Arabic"/>
                                <w:sz w:val="18"/>
                                <w:szCs w:val="18"/>
                              </w:rPr>
                            </w:pPr>
                            <w:r>
                              <w:rPr>
                                <w:rFonts w:ascii="Traditional Arabic" w:hAnsi="Traditional Arabic" w:hint="cs"/>
                                <w:sz w:val="18"/>
                                <w:szCs w:val="18"/>
                                <w:rtl/>
                              </w:rPr>
                              <w:t>غاز 74,7 غرام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555" type="#_x0000_t202" style="position:absolute;left:0;text-align:left;margin-left:-154.05pt;margin-top:19.1pt;width:48.2pt;height:2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">
                <v:stroke dashstyle="1 1"/>
                <v:textbox>
                  <w:txbxContent>
                    <w:p w:rsidR="0093783C" w:rsidRPr="00931FB4" w:rsidRDefault="0093783C" w:rsidP="00335E4B">
                      <w:pPr>
                        <w:spacing w:line="200" w:lineRule="exact"/>
                        <w:jc w:val="center"/>
                        <w:rPr>
                          <w:rFonts w:ascii="Traditional Arabic" w:hAnsi="Traditional Arabic"/>
                          <w:sz w:val="18"/>
                          <w:szCs w:val="18"/>
                        </w:rPr>
                      </w:pPr>
                      <w:r>
                        <w:rPr>
                          <w:rFonts w:ascii="Traditional Arabic" w:hAnsi="Traditional Arabic" w:hint="cs"/>
                          <w:sz w:val="18"/>
                          <w:szCs w:val="18"/>
                          <w:rtl/>
                        </w:rPr>
                        <w:t>غاز 74,7 غرام</w:t>
                      </w:r>
                    </w:p>
                  </w:txbxContent>
                </v:textbox>
              </v:shape>
            </w:pict>
          </mc:Fallback>
        </mc:AlternateContent>
      </w:r>
      <w:r w:rsidR="00335E4B">
        <w:rPr>
          <w:rFonts w:cs="Traditional Arabic"/>
          <w:noProof/>
          <w:sz w:val="20"/>
          <w:szCs w:val="30"/>
          <w:lang w:val="en-GB" w:eastAsia="zh-CN"/>
        </w:rPr>
        <mc:AlternateContent>
          <mc:Choice Requires="wps">
            <w:drawing>
              <wp:anchor distT="0" distB="0" distL="114300" distR="114300" simplePos="0" relativeHeight="251697152" behindDoc="0" locked="0" layoutInCell="1" allowOverlap="1" wp14:anchorId="0425CA68" wp14:editId="38D29D52">
                <wp:simplePos x="0" y="0"/>
                <wp:positionH relativeFrom="column">
                  <wp:posOffset>-1306830</wp:posOffset>
                </wp:positionH>
                <wp:positionV relativeFrom="paragraph">
                  <wp:posOffset>248285</wp:posOffset>
                </wp:positionV>
                <wp:extent cx="576000" cy="354330"/>
                <wp:effectExtent l="0" t="0" r="14605" b="266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354330"/>
                        </a:xfrm>
                        <a:prstGeom prst="rect">
                          <a:avLst/>
                        </a:prstGeom>
                        <a:solidFill>
                          <a:srgbClr val="FFFFFF"/>
                        </a:solidFill>
                        <a:ln w="9525">
                          <a:solidFill>
                            <a:srgbClr val="000000"/>
                          </a:solidFill>
                          <a:prstDash val="sysDot"/>
                          <a:miter lim="800000"/>
                          <a:headEnd/>
                          <a:tailEnd/>
                        </a:ln>
                      </wps:spPr>
                      <wps:txbx>
                        <w:txbxContent>
                          <w:p w:rsidR="00670B40" w:rsidRPr="00931FB4" w:rsidRDefault="00670B40" w:rsidP="00335E4B">
                            <w:pPr>
                              <w:spacing w:line="200" w:lineRule="exact"/>
                              <w:jc w:val="center"/>
                              <w:rPr>
                                <w:rFonts w:ascii="Traditional Arabic" w:hAnsi="Traditional Arabic"/>
                                <w:sz w:val="18"/>
                                <w:szCs w:val="18"/>
                              </w:rPr>
                            </w:pPr>
                            <w:r>
                              <w:rPr>
                                <w:rFonts w:ascii="Traditional Arabic" w:hAnsi="Traditional Arabic" w:hint="cs"/>
                                <w:sz w:val="18"/>
                                <w:szCs w:val="18"/>
                                <w:rtl/>
                              </w:rPr>
                              <w:t>غاز 2,7 غرام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556" type="#_x0000_t202" style="position:absolute;left:0;text-align:left;margin-left:-102.9pt;margin-top:19.55pt;width:45.35pt;height:2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">
                <v:stroke dashstyle="1 1"/>
                <v:textbox>
                  <w:txbxContent>
                    <w:p w:rsidR="0093783C" w:rsidRPr="00931FB4" w:rsidRDefault="0093783C" w:rsidP="00335E4B">
                      <w:pPr>
                        <w:spacing w:line="200" w:lineRule="exact"/>
                        <w:jc w:val="center"/>
                        <w:rPr>
                          <w:rFonts w:ascii="Traditional Arabic" w:hAnsi="Traditional Arabic"/>
                          <w:sz w:val="18"/>
                          <w:szCs w:val="18"/>
                        </w:rPr>
                      </w:pPr>
                      <w:r>
                        <w:rPr>
                          <w:rFonts w:ascii="Traditional Arabic" w:hAnsi="Traditional Arabic" w:hint="cs"/>
                          <w:sz w:val="18"/>
                          <w:szCs w:val="18"/>
                          <w:rtl/>
                        </w:rPr>
                        <w:t>غاز 2,7 غرام</w:t>
                      </w:r>
                    </w:p>
                  </w:txbxContent>
                </v:textbox>
              </v:shape>
            </w:pict>
          </mc:Fallback>
        </mc:AlternateConten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r>
        <w:rPr>
          <w:rFonts w:cs="Traditional Arabic"/>
          <w:noProof/>
          <w:sz w:val="20"/>
          <w:szCs w:val="30"/>
          <w:lang w:val="en-GB" w:eastAsia="zh-CN"/>
        </w:rPr>
        <mc:AlternateContent>
          <mc:Choice Requires="wps">
            <w:drawing>
              <wp:anchor distT="0" distB="0" distL="114300" distR="114300" simplePos="0" relativeHeight="251705344" behindDoc="1" locked="0" layoutInCell="1" allowOverlap="1" wp14:anchorId="02EA2CB5" wp14:editId="6CC1CE07">
                <wp:simplePos x="0" y="0"/>
                <wp:positionH relativeFrom="column">
                  <wp:posOffset>-4877435</wp:posOffset>
                </wp:positionH>
                <wp:positionV relativeFrom="paragraph">
                  <wp:posOffset>33655</wp:posOffset>
                </wp:positionV>
                <wp:extent cx="379095" cy="434340"/>
                <wp:effectExtent l="7620" t="9525" r="13335" b="13335"/>
                <wp:wrapTight wrapText="bothSides">
                  <wp:wrapPolygon edited="0">
                    <wp:start x="-543" y="-505"/>
                    <wp:lineTo x="-543" y="21600"/>
                    <wp:lineTo x="22143" y="21600"/>
                    <wp:lineTo x="22143" y="-505"/>
                    <wp:lineTo x="-543" y="-505"/>
                  </wp:wrapPolygon>
                </wp:wrapTight>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434340"/>
                        </a:xfrm>
                        <a:prstGeom prst="rect">
                          <a:avLst/>
                        </a:prstGeom>
                        <a:solidFill>
                          <a:srgbClr val="FFFFFF"/>
                        </a:solidFill>
                        <a:ln w="9525">
                          <a:solidFill>
                            <a:srgbClr val="000000"/>
                          </a:solidFill>
                          <a:miter lim="800000"/>
                          <a:headEnd/>
                          <a:tailEnd/>
                        </a:ln>
                      </wps:spPr>
                      <wps:txbx>
                        <w:txbxContent>
                          <w:p w:rsidR="00670B40" w:rsidRDefault="00670B40" w:rsidP="00335E4B">
                            <w:pPr>
                              <w:spacing w:line="200" w:lineRule="exact"/>
                              <w:ind w:left="-138"/>
                              <w:rPr>
                                <w:rFonts w:ascii="Traditional Arabic" w:hAnsi="Traditional Arabic"/>
                                <w:sz w:val="18"/>
                                <w:szCs w:val="18"/>
                                <w:rtl/>
                              </w:rPr>
                            </w:pPr>
                            <w:r>
                              <w:rPr>
                                <w:rFonts w:ascii="Traditional Arabic" w:hAnsi="Traditional Arabic" w:hint="cs"/>
                                <w:sz w:val="18"/>
                                <w:szCs w:val="18"/>
                              </w:rPr>
                              <w:sym w:font="Wingdings 2" w:char="F0A2"/>
                            </w:r>
                          </w:p>
                          <w:p w:rsidR="00670B40" w:rsidRPr="0006589F" w:rsidRDefault="00670B40" w:rsidP="00335E4B">
                            <w:pPr>
                              <w:spacing w:line="200" w:lineRule="exact"/>
                              <w:rPr>
                                <w:rFonts w:ascii="Traditional Arabic" w:hAnsi="Traditional Arabic"/>
                                <w:sz w:val="14"/>
                                <w:szCs w:val="14"/>
                              </w:rPr>
                            </w:pPr>
                            <w:r w:rsidRPr="0006589F">
                              <w:rPr>
                                <w:rFonts w:ascii="Traditional Arabic" w:hAnsi="Traditional Arabic" w:hint="cs"/>
                                <w:sz w:val="14"/>
                                <w:szCs w:val="14"/>
                                <w:rtl/>
                              </w:rPr>
                              <w:t>الركاز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557" type="#_x0000_t202" style="position:absolute;left:0;text-align:left;margin-left:-384.05pt;margin-top:2.65pt;width:29.85pt;height:34.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">
                <v:textbox>
                  <w:txbxContent>
                    <w:p w:rsidR="0093783C" w:rsidRDefault="0093783C" w:rsidP="00335E4B">
                      <w:pPr>
                        <w:spacing w:line="200" w:lineRule="exact"/>
                        <w:ind w:left="-138"/>
                        <w:rPr>
                          <w:rFonts w:ascii="Traditional Arabic" w:hAnsi="Traditional Arabic"/>
                          <w:sz w:val="18"/>
                          <w:szCs w:val="18"/>
                          <w:rtl/>
                        </w:rPr>
                      </w:pPr>
                      <w:r>
                        <w:rPr>
                          <w:rFonts w:ascii="Traditional Arabic" w:hAnsi="Traditional Arabic" w:hint="cs"/>
                          <w:sz w:val="18"/>
                          <w:szCs w:val="18"/>
                        </w:rPr>
                        <w:sym w:font="Wingdings 2" w:char="F0A2"/>
                      </w:r>
                    </w:p>
                    <w:p w:rsidR="0093783C" w:rsidRPr="0006589F" w:rsidRDefault="0093783C" w:rsidP="00335E4B">
                      <w:pPr>
                        <w:spacing w:line="200" w:lineRule="exact"/>
                        <w:rPr>
                          <w:rFonts w:ascii="Traditional Arabic" w:hAnsi="Traditional Arabic"/>
                          <w:sz w:val="14"/>
                          <w:szCs w:val="14"/>
                        </w:rPr>
                      </w:pPr>
                      <w:r w:rsidRPr="0006589F">
                        <w:rPr>
                          <w:rFonts w:ascii="Traditional Arabic" w:hAnsi="Traditional Arabic" w:hint="cs"/>
                          <w:sz w:val="14"/>
                          <w:szCs w:val="14"/>
                          <w:rtl/>
                        </w:rPr>
                        <w:t>الركاز</w:t>
                      </w:r>
                    </w:p>
                  </w:txbxContent>
                </v:textbox>
                <w10:wrap type="tight"/>
              </v:shape>
            </w:pict>
          </mc:Fallback>
        </mc:AlternateContent>
      </w:r>
      <w:r>
        <w:rPr>
          <w:rFonts w:cs="Traditional Arabic"/>
          <w:noProof/>
          <w:sz w:val="20"/>
          <w:szCs w:val="30"/>
          <w:lang w:val="en-GB" w:eastAsia="zh-CN"/>
        </w:rPr>
        <mc:AlternateContent>
          <mc:Choice Requires="wps">
            <w:drawing>
              <wp:anchor distT="0" distB="0" distL="114300" distR="114300" simplePos="0" relativeHeight="251704320" behindDoc="0" locked="0" layoutInCell="1" allowOverlap="1" wp14:anchorId="6209DE2D" wp14:editId="2F9D49E0">
                <wp:simplePos x="0" y="0"/>
                <wp:positionH relativeFrom="column">
                  <wp:posOffset>-4498340</wp:posOffset>
                </wp:positionH>
                <wp:positionV relativeFrom="paragraph">
                  <wp:posOffset>153670</wp:posOffset>
                </wp:positionV>
                <wp:extent cx="421640" cy="612140"/>
                <wp:effectExtent l="0" t="0" r="10795" b="2984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612140"/>
                        </a:xfrm>
                        <a:prstGeom prst="rect">
                          <a:avLst/>
                        </a:prstGeom>
                        <a:solidFill>
                          <a:srgbClr val="4F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670B40" w:rsidRPr="008F1516" w:rsidRDefault="00670B40" w:rsidP="00335E4B">
                            <w:pPr>
                              <w:spacing w:line="200" w:lineRule="exact"/>
                              <w:rPr>
                                <w:rFonts w:ascii="Traditional Arabic" w:hAnsi="Traditional Arabic" w:cs="Traditional Arabic"/>
                                <w:b/>
                                <w:bCs/>
                                <w:color w:val="FFFFFF"/>
                                <w:sz w:val="18"/>
                                <w:szCs w:val="18"/>
                              </w:rPr>
                            </w:pPr>
                            <w:r w:rsidRPr="008F1516">
                              <w:rPr>
                                <w:rFonts w:ascii="Traditional Arabic" w:hAnsi="Traditional Arabic" w:cs="Traditional Arabic"/>
                                <w:b/>
                                <w:bCs/>
                                <w:color w:val="FFFFFF"/>
                                <w:sz w:val="18"/>
                                <w:szCs w:val="18"/>
                                <w:rtl/>
                              </w:rPr>
                              <w:t>المواد الداخلة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558" type="#_x0000_t202" style="position:absolute;left:0;text-align:left;margin-left:-354.2pt;margin-top:12.1pt;width:33.2pt;height:4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" fillcolor="#4f81bd" stroked="f" strokecolor="#f2f2f2" strokeweight="3pt">
                <v:shadow on="t" color="#243f60" opacity=".5" offset="1pt"/>
                <v:textbox>
                  <w:txbxContent>
                    <w:p w:rsidR="0093783C" w:rsidRPr="008F1516" w:rsidRDefault="0093783C" w:rsidP="00335E4B">
                      <w:pPr>
                        <w:spacing w:line="200" w:lineRule="exact"/>
                        <w:rPr>
                          <w:rFonts w:ascii="Traditional Arabic" w:hAnsi="Traditional Arabic" w:cs="Traditional Arabic"/>
                          <w:b/>
                          <w:bCs/>
                          <w:color w:val="FFFFFF"/>
                          <w:sz w:val="18"/>
                          <w:szCs w:val="18"/>
                        </w:rPr>
                      </w:pPr>
                      <w:r w:rsidRPr="008F1516">
                        <w:rPr>
                          <w:rFonts w:ascii="Traditional Arabic" w:hAnsi="Traditional Arabic" w:cs="Traditional Arabic"/>
                          <w:b/>
                          <w:bCs/>
                          <w:color w:val="FFFFFF"/>
                          <w:sz w:val="18"/>
                          <w:szCs w:val="18"/>
                          <w:rtl/>
                        </w:rPr>
                        <w:t>المواد الداخلة</w:t>
                      </w:r>
                    </w:p>
                  </w:txbxContent>
                </v:textbox>
              </v:shape>
            </w:pict>
          </mc:Fallback>
        </mc:AlternateContent>
      </w:r>
      <w:r>
        <w:rPr>
          <w:rFonts w:cs="Traditional Arabic"/>
          <w:noProof/>
          <w:sz w:val="20"/>
          <w:szCs w:val="30"/>
          <w:lang w:val="en-GB" w:eastAsia="zh-CN"/>
        </w:rPr>
        <mc:AlternateContent>
          <mc:Choice Requires="wps">
            <w:drawing>
              <wp:anchor distT="0" distB="0" distL="114300" distR="114300" simplePos="0" relativeHeight="251703296" behindDoc="0" locked="0" layoutInCell="1" allowOverlap="1" wp14:anchorId="4027F4EF" wp14:editId="57EC5781">
                <wp:simplePos x="0" y="0"/>
                <wp:positionH relativeFrom="column">
                  <wp:posOffset>-4005580</wp:posOffset>
                </wp:positionH>
                <wp:positionV relativeFrom="paragraph">
                  <wp:posOffset>125095</wp:posOffset>
                </wp:positionV>
                <wp:extent cx="450215" cy="657225"/>
                <wp:effectExtent l="3175" t="0" r="13335" b="2286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657225"/>
                        </a:xfrm>
                        <a:prstGeom prst="rect">
                          <a:avLst/>
                        </a:prstGeom>
                        <a:solidFill>
                          <a:srgbClr val="48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670B40" w:rsidRPr="008F1516" w:rsidRDefault="00670B40" w:rsidP="00335E4B">
                            <w:pPr>
                              <w:spacing w:line="200" w:lineRule="exact"/>
                              <w:jc w:val="center"/>
                              <w:rPr>
                                <w:rFonts w:ascii="Traditional Arabic" w:hAnsi="Traditional Arabic" w:cs="Traditional Arabic"/>
                                <w:b/>
                                <w:bCs/>
                                <w:color w:val="FFFFFF"/>
                                <w:sz w:val="18"/>
                                <w:szCs w:val="18"/>
                              </w:rPr>
                            </w:pPr>
                            <w:r w:rsidRPr="008F1516">
                              <w:rPr>
                                <w:rFonts w:ascii="Traditional Arabic" w:hAnsi="Traditional Arabic" w:cs="Traditional Arabic"/>
                                <w:b/>
                                <w:bCs/>
                                <w:color w:val="FFFFFF"/>
                                <w:sz w:val="18"/>
                                <w:szCs w:val="18"/>
                                <w:rtl/>
                              </w:rPr>
                              <w:t>آلة التلبيد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559" type="#_x0000_t202" style="position:absolute;left:0;text-align:left;margin-left:-315.4pt;margin-top:9.85pt;width:35.45pt;height:5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" fillcolor="#4881bd" stroked="f" strokecolor="#f2f2f2" strokeweight="3pt">
                <v:shadow on="t" color="#243f60" opacity=".5" offset="1pt"/>
                <v:textbox>
                  <w:txbxContent>
                    <w:p w:rsidR="0093783C" w:rsidRPr="008F1516" w:rsidRDefault="0093783C" w:rsidP="00335E4B">
                      <w:pPr>
                        <w:spacing w:line="200" w:lineRule="exact"/>
                        <w:jc w:val="center"/>
                        <w:rPr>
                          <w:rFonts w:ascii="Traditional Arabic" w:hAnsi="Traditional Arabic" w:cs="Traditional Arabic"/>
                          <w:b/>
                          <w:bCs/>
                          <w:color w:val="FFFFFF"/>
                          <w:sz w:val="18"/>
                          <w:szCs w:val="18"/>
                        </w:rPr>
                      </w:pPr>
                      <w:r w:rsidRPr="008F1516">
                        <w:rPr>
                          <w:rFonts w:ascii="Traditional Arabic" w:hAnsi="Traditional Arabic" w:cs="Traditional Arabic"/>
                          <w:b/>
                          <w:bCs/>
                          <w:color w:val="FFFFFF"/>
                          <w:sz w:val="18"/>
                          <w:szCs w:val="18"/>
                          <w:rtl/>
                        </w:rPr>
                        <w:t>آلة التلبيد</w:t>
                      </w:r>
                    </w:p>
                  </w:txbxContent>
                </v:textbox>
              </v:shape>
            </w:pict>
          </mc:Fallback>
        </mc:AlternateConten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r>
        <w:rPr>
          <w:rFonts w:cs="Traditional Arabic"/>
          <w:noProof/>
          <w:sz w:val="20"/>
          <w:szCs w:val="30"/>
          <w:lang w:val="en-GB" w:eastAsia="zh-CN"/>
        </w:rPr>
        <mc:AlternateContent>
          <mc:Choice Requires="wps">
            <w:drawing>
              <wp:anchor distT="0" distB="0" distL="114300" distR="114300" simplePos="0" relativeHeight="251710464" behindDoc="0" locked="0" layoutInCell="1" allowOverlap="1" wp14:anchorId="20E5D22C" wp14:editId="2BBCA173">
                <wp:simplePos x="0" y="0"/>
                <wp:positionH relativeFrom="column">
                  <wp:posOffset>-2310130</wp:posOffset>
                </wp:positionH>
                <wp:positionV relativeFrom="paragraph">
                  <wp:posOffset>201930</wp:posOffset>
                </wp:positionV>
                <wp:extent cx="1047115" cy="371475"/>
                <wp:effectExtent l="12065" t="9525" r="7620" b="952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371475"/>
                        </a:xfrm>
                        <a:prstGeom prst="rect">
                          <a:avLst/>
                        </a:prstGeom>
                        <a:solidFill>
                          <a:srgbClr val="FF0000"/>
                        </a:solidFill>
                        <a:ln w="9525">
                          <a:solidFill>
                            <a:srgbClr val="FFFFFF"/>
                          </a:solidFill>
                          <a:miter lim="800000"/>
                          <a:headEnd/>
                          <a:tailEnd/>
                        </a:ln>
                      </wps:spPr>
                      <wps:txbx>
                        <w:txbxContent>
                          <w:p w:rsidR="00670B40" w:rsidRPr="00CB52A6" w:rsidRDefault="00670B40" w:rsidP="00335E4B">
                            <w:pPr>
                              <w:spacing w:line="200" w:lineRule="exact"/>
                              <w:jc w:val="center"/>
                              <w:rPr>
                                <w:szCs w:val="20"/>
                              </w:rPr>
                            </w:pPr>
                            <w:r w:rsidRPr="00B604C0">
                              <w:rPr>
                                <w:rFonts w:ascii="Traditional Arabic" w:hAnsi="Traditional Arabic" w:hint="cs"/>
                                <w:color w:val="FFFFFF"/>
                                <w:sz w:val="18"/>
                                <w:szCs w:val="18"/>
                                <w:rtl/>
                              </w:rPr>
                              <w:t>الحمأة ذات محتوى الزئبق المرتفع (2930 غرام)</w:t>
                            </w:r>
                            <w:r>
                              <w:rPr>
                                <w:rFonts w:ascii="Traditional Arabic" w:hAnsi="Traditional Arabic" w:hint="cs"/>
                                <w:sz w:val="18"/>
                                <w:szCs w:val="18"/>
                                <w:rtl/>
                              </w:rPr>
                              <w:t xml:space="preserve"> </w:t>
                            </w:r>
                            <w:r>
                              <w:rPr>
                                <w:rFonts w:ascii="Traditional Arabic" w:hAnsi="Traditional Arabic" w:hint="cs"/>
                                <w:sz w:val="18"/>
                                <w:szCs w:val="18"/>
                              </w:rPr>
                              <w:sym w:font="Wingdings 2" w:char="F0A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560" type="#_x0000_t202" style="position:absolute;left:0;text-align:left;margin-left:-181.9pt;margin-top:15.9pt;width:82.45pt;height: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" fillcolor="red" strokecolor="white">
                <v:textbox>
                  <w:txbxContent>
                    <w:p w:rsidR="0093783C" w:rsidRPr="00CB52A6" w:rsidRDefault="0093783C" w:rsidP="00335E4B">
                      <w:pPr>
                        <w:spacing w:line="200" w:lineRule="exact"/>
                        <w:jc w:val="center"/>
                        <w:rPr>
                          <w:szCs w:val="20"/>
                        </w:rPr>
                      </w:pPr>
                      <w:r w:rsidRPr="00B604C0">
                        <w:rPr>
                          <w:rFonts w:ascii="Traditional Arabic" w:hAnsi="Traditional Arabic" w:hint="cs"/>
                          <w:color w:val="FFFFFF"/>
                          <w:sz w:val="18"/>
                          <w:szCs w:val="18"/>
                          <w:rtl/>
                        </w:rPr>
                        <w:t>الحمأة ذات محتوى الزئبق المرتفع (2930 غرام)</w:t>
                      </w:r>
                      <w:r>
                        <w:rPr>
                          <w:rFonts w:ascii="Traditional Arabic" w:hAnsi="Traditional Arabic" w:hint="cs"/>
                          <w:sz w:val="18"/>
                          <w:szCs w:val="18"/>
                          <w:rtl/>
                        </w:rPr>
                        <w:t xml:space="preserve"> </w:t>
                      </w:r>
                      <w:r>
                        <w:rPr>
                          <w:rFonts w:ascii="Traditional Arabic" w:hAnsi="Traditional Arabic" w:hint="cs"/>
                          <w:sz w:val="18"/>
                          <w:szCs w:val="18"/>
                        </w:rPr>
                        <w:sym w:font="Wingdings 2" w:char="F0A2"/>
                      </w:r>
                    </w:p>
                  </w:txbxContent>
                </v:textbox>
              </v:shape>
            </w:pict>
          </mc:Fallback>
        </mc:AlternateContent>
      </w:r>
      <w:r>
        <w:rPr>
          <w:rFonts w:cs="Traditional Arabic"/>
          <w:noProof/>
          <w:sz w:val="20"/>
          <w:szCs w:val="30"/>
          <w:lang w:val="en-GB" w:eastAsia="zh-CN"/>
        </w:rPr>
        <mc:AlternateContent>
          <mc:Choice Requires="wps">
            <w:drawing>
              <wp:anchor distT="0" distB="0" distL="114300" distR="114300" simplePos="0" relativeHeight="251709440" behindDoc="0" locked="0" layoutInCell="1" allowOverlap="1" wp14:anchorId="7E8A8CD8" wp14:editId="244A3308">
                <wp:simplePos x="0" y="0"/>
                <wp:positionH relativeFrom="column">
                  <wp:posOffset>-811530</wp:posOffset>
                </wp:positionH>
                <wp:positionV relativeFrom="paragraph">
                  <wp:posOffset>264795</wp:posOffset>
                </wp:positionV>
                <wp:extent cx="631825" cy="612000"/>
                <wp:effectExtent l="0" t="0" r="15875" b="1714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612000"/>
                        </a:xfrm>
                        <a:prstGeom prst="rect">
                          <a:avLst/>
                        </a:prstGeom>
                        <a:solidFill>
                          <a:srgbClr val="FFFFFF"/>
                        </a:solidFill>
                        <a:ln w="9525">
                          <a:solidFill>
                            <a:srgbClr val="FFFFFF"/>
                          </a:solidFill>
                          <a:miter lim="800000"/>
                          <a:headEnd/>
                          <a:tailEnd/>
                        </a:ln>
                      </wps:spPr>
                      <wps:txbx>
                        <w:txbxContent>
                          <w:p w:rsidR="00670B40" w:rsidRPr="00931FB4" w:rsidRDefault="00670B40" w:rsidP="00335E4B">
                            <w:pPr>
                              <w:spacing w:line="200" w:lineRule="exact"/>
                              <w:jc w:val="center"/>
                              <w:rPr>
                                <w:rFonts w:ascii="Traditional Arabic" w:hAnsi="Traditional Arabic"/>
                                <w:sz w:val="18"/>
                                <w:szCs w:val="18"/>
                              </w:rPr>
                            </w:pPr>
                            <w:r>
                              <w:rPr>
                                <w:rFonts w:ascii="Traditional Arabic" w:hAnsi="Traditional Arabic" w:hint="cs"/>
                                <w:sz w:val="18"/>
                                <w:szCs w:val="18"/>
                                <w:rtl/>
                              </w:rPr>
                              <w:t>الفضلات السائلة في الشطف الرطب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561" type="#_x0000_t202" style="position:absolute;left:0;text-align:left;margin-left:-63.9pt;margin-top:20.85pt;width:49.75pt;height:4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" strokecolor="white">
                <v:textbox>
                  <w:txbxContent>
                    <w:p w:rsidR="0093783C" w:rsidRPr="00931FB4" w:rsidRDefault="0093783C" w:rsidP="00335E4B">
                      <w:pPr>
                        <w:spacing w:line="200" w:lineRule="exact"/>
                        <w:jc w:val="center"/>
                        <w:rPr>
                          <w:rFonts w:ascii="Traditional Arabic" w:hAnsi="Traditional Arabic"/>
                          <w:sz w:val="18"/>
                          <w:szCs w:val="18"/>
                        </w:rPr>
                      </w:pPr>
                      <w:r>
                        <w:rPr>
                          <w:rFonts w:ascii="Traditional Arabic" w:hAnsi="Traditional Arabic" w:hint="cs"/>
                          <w:sz w:val="18"/>
                          <w:szCs w:val="18"/>
                          <w:rtl/>
                        </w:rPr>
                        <w:t>الفضلات السائلة في الشطف الرطب</w:t>
                      </w:r>
                    </w:p>
                  </w:txbxContent>
                </v:textbox>
              </v:shape>
            </w:pict>
          </mc:Fallback>
        </mc:AlternateContent>
      </w:r>
      <w:r>
        <w:rPr>
          <w:rFonts w:cs="Traditional Arabic"/>
          <w:noProof/>
          <w:sz w:val="20"/>
          <w:szCs w:val="30"/>
          <w:lang w:val="en-GB" w:eastAsia="zh-CN"/>
        </w:rPr>
        <mc:AlternateContent>
          <mc:Choice Requires="wps">
            <w:drawing>
              <wp:anchor distT="0" distB="0" distL="114300" distR="114300" simplePos="0" relativeHeight="251708416" behindDoc="0" locked="0" layoutInCell="1" allowOverlap="1" wp14:anchorId="4D94776C" wp14:editId="53B648F1">
                <wp:simplePos x="0" y="0"/>
                <wp:positionH relativeFrom="column">
                  <wp:posOffset>-3080385</wp:posOffset>
                </wp:positionH>
                <wp:positionV relativeFrom="paragraph">
                  <wp:posOffset>258445</wp:posOffset>
                </wp:positionV>
                <wp:extent cx="560070" cy="252095"/>
                <wp:effectExtent l="13335" t="8890" r="7620" b="571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52095"/>
                        </a:xfrm>
                        <a:prstGeom prst="rect">
                          <a:avLst/>
                        </a:prstGeom>
                        <a:solidFill>
                          <a:srgbClr val="FF0000"/>
                        </a:solidFill>
                        <a:ln w="9525">
                          <a:solidFill>
                            <a:srgbClr val="F2F2F2"/>
                          </a:solidFill>
                          <a:miter lim="800000"/>
                          <a:headEnd/>
                          <a:tailEnd/>
                        </a:ln>
                      </wps:spPr>
                      <wps:txbx>
                        <w:txbxContent>
                          <w:p w:rsidR="00670B40" w:rsidRPr="00B604C0" w:rsidRDefault="00670B40" w:rsidP="00335E4B">
                            <w:pPr>
                              <w:spacing w:line="200" w:lineRule="exact"/>
                              <w:jc w:val="center"/>
                              <w:rPr>
                                <w:rFonts w:ascii="Traditional Arabic" w:hAnsi="Traditional Arabic"/>
                                <w:color w:val="FFFFFF"/>
                                <w:sz w:val="18"/>
                                <w:szCs w:val="18"/>
                              </w:rPr>
                            </w:pPr>
                            <w:r w:rsidRPr="00B604C0">
                              <w:rPr>
                                <w:rFonts w:ascii="Traditional Arabic" w:hAnsi="Traditional Arabic" w:hint="cs"/>
                                <w:color w:val="FFFFFF"/>
                                <w:sz w:val="18"/>
                                <w:szCs w:val="18"/>
                                <w:rtl/>
                              </w:rPr>
                              <w:t>إزالة الماء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562" type="#_x0000_t202" style="position:absolute;left:0;text-align:left;margin-left:-242.55pt;margin-top:20.35pt;width:44.1pt;height:19.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" fillcolor="red" strokecolor="#f2f2f2">
                <v:textbox>
                  <w:txbxContent>
                    <w:p w:rsidR="0093783C" w:rsidRPr="00B604C0" w:rsidRDefault="0093783C" w:rsidP="00335E4B">
                      <w:pPr>
                        <w:spacing w:line="200" w:lineRule="exact"/>
                        <w:jc w:val="center"/>
                        <w:rPr>
                          <w:rFonts w:ascii="Traditional Arabic" w:hAnsi="Traditional Arabic"/>
                          <w:color w:val="FFFFFF"/>
                          <w:sz w:val="18"/>
                          <w:szCs w:val="18"/>
                        </w:rPr>
                      </w:pPr>
                      <w:r w:rsidRPr="00B604C0">
                        <w:rPr>
                          <w:rFonts w:ascii="Traditional Arabic" w:hAnsi="Traditional Arabic" w:hint="cs"/>
                          <w:color w:val="FFFFFF"/>
                          <w:sz w:val="18"/>
                          <w:szCs w:val="18"/>
                          <w:rtl/>
                        </w:rPr>
                        <w:t>إزالة الماء</w:t>
                      </w:r>
                    </w:p>
                  </w:txbxContent>
                </v:textbox>
              </v:shape>
            </w:pict>
          </mc:Fallback>
        </mc:AlternateConten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r>
        <w:rPr>
          <w:rFonts w:cs="Traditional Arabic"/>
          <w:noProof/>
          <w:sz w:val="20"/>
          <w:szCs w:val="30"/>
          <w:lang w:val="en-GB" w:eastAsia="zh-CN"/>
        </w:rPr>
        <mc:AlternateContent>
          <mc:Choice Requires="wps">
            <w:drawing>
              <wp:anchor distT="0" distB="0" distL="114300" distR="114300" simplePos="0" relativeHeight="251707392" behindDoc="0" locked="0" layoutInCell="1" allowOverlap="1" wp14:anchorId="1319362C" wp14:editId="493FE9AF">
                <wp:simplePos x="0" y="0"/>
                <wp:positionH relativeFrom="column">
                  <wp:posOffset>-2512695</wp:posOffset>
                </wp:positionH>
                <wp:positionV relativeFrom="paragraph">
                  <wp:posOffset>306070</wp:posOffset>
                </wp:positionV>
                <wp:extent cx="1728000" cy="205740"/>
                <wp:effectExtent l="0" t="0" r="24765" b="2286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000" cy="205740"/>
                        </a:xfrm>
                        <a:prstGeom prst="rect">
                          <a:avLst/>
                        </a:prstGeom>
                        <a:solidFill>
                          <a:srgbClr val="FFFFFF"/>
                        </a:solidFill>
                        <a:ln w="9525">
                          <a:solidFill>
                            <a:srgbClr val="FFFFFF"/>
                          </a:solidFill>
                          <a:miter lim="800000"/>
                          <a:headEnd/>
                          <a:tailEnd/>
                        </a:ln>
                      </wps:spPr>
                      <wps:txbx>
                        <w:txbxContent>
                          <w:p w:rsidR="00670B40" w:rsidRPr="00931FB4" w:rsidRDefault="00670B40" w:rsidP="00335E4B">
                            <w:pPr>
                              <w:spacing w:line="140" w:lineRule="exact"/>
                              <w:jc w:val="center"/>
                              <w:rPr>
                                <w:rFonts w:ascii="Traditional Arabic" w:hAnsi="Traditional Arabic"/>
                                <w:sz w:val="18"/>
                                <w:szCs w:val="18"/>
                              </w:rPr>
                            </w:pPr>
                            <w:r>
                              <w:rPr>
                                <w:rFonts w:ascii="Traditional Arabic" w:hAnsi="Traditional Arabic" w:hint="cs"/>
                                <w:sz w:val="18"/>
                                <w:szCs w:val="18"/>
                                <w:rtl/>
                              </w:rPr>
                              <w:t>الفضلات السائلة من جهاز شطف فنتوري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563" type="#_x0000_t202" style="position:absolute;left:0;text-align:left;margin-left:-197.85pt;margin-top:24.1pt;width:136.05pt;height:1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" strokecolor="white">
                <v:textbox>
                  <w:txbxContent>
                    <w:p w:rsidR="0093783C" w:rsidRPr="00931FB4" w:rsidRDefault="0093783C" w:rsidP="00335E4B">
                      <w:pPr>
                        <w:spacing w:line="140" w:lineRule="exact"/>
                        <w:jc w:val="center"/>
                        <w:rPr>
                          <w:rFonts w:ascii="Traditional Arabic" w:hAnsi="Traditional Arabic"/>
                          <w:sz w:val="18"/>
                          <w:szCs w:val="18"/>
                        </w:rPr>
                      </w:pPr>
                      <w:r>
                        <w:rPr>
                          <w:rFonts w:ascii="Traditional Arabic" w:hAnsi="Traditional Arabic" w:hint="cs"/>
                          <w:sz w:val="18"/>
                          <w:szCs w:val="18"/>
                          <w:rtl/>
                        </w:rPr>
                        <w:t>الفضلات السائلة من جهاز شطف فنتوري</w:t>
                      </w:r>
                    </w:p>
                  </w:txbxContent>
                </v:textbox>
              </v:shape>
            </w:pict>
          </mc:Fallback>
        </mc:AlternateContent>
      </w:r>
      <w:r>
        <w:rPr>
          <w:rFonts w:cs="Traditional Arabic"/>
          <w:noProof/>
          <w:sz w:val="20"/>
          <w:szCs w:val="30"/>
          <w:lang w:val="en-GB" w:eastAsia="zh-CN"/>
        </w:rPr>
        <mc:AlternateContent>
          <mc:Choice Requires="wps">
            <w:drawing>
              <wp:anchor distT="0" distB="0" distL="114300" distR="114300" simplePos="0" relativeHeight="251698176" behindDoc="0" locked="0" layoutInCell="1" allowOverlap="1" wp14:anchorId="33F4C527" wp14:editId="503C3632">
                <wp:simplePos x="0" y="0"/>
                <wp:positionH relativeFrom="column">
                  <wp:posOffset>-3472815</wp:posOffset>
                </wp:positionH>
                <wp:positionV relativeFrom="paragraph">
                  <wp:posOffset>60325</wp:posOffset>
                </wp:positionV>
                <wp:extent cx="440055" cy="365760"/>
                <wp:effectExtent l="11430" t="7620" r="5715" b="762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365760"/>
                        </a:xfrm>
                        <a:prstGeom prst="rect">
                          <a:avLst/>
                        </a:prstGeom>
                        <a:solidFill>
                          <a:srgbClr val="FFC000"/>
                        </a:solidFill>
                        <a:ln w="9525">
                          <a:solidFill>
                            <a:srgbClr val="FFFFFF"/>
                          </a:solidFill>
                          <a:miter lim="800000"/>
                          <a:headEnd/>
                          <a:tailEnd/>
                        </a:ln>
                      </wps:spPr>
                      <wps:txbx>
                        <w:txbxContent>
                          <w:p w:rsidR="00670B40" w:rsidRPr="0006589F" w:rsidRDefault="00670B40" w:rsidP="00335E4B">
                            <w:pPr>
                              <w:spacing w:line="200" w:lineRule="exact"/>
                              <w:jc w:val="center"/>
                              <w:rPr>
                                <w:rFonts w:ascii="Traditional Arabic" w:hAnsi="Traditional Arabic"/>
                                <w:sz w:val="14"/>
                                <w:szCs w:val="14"/>
                              </w:rPr>
                            </w:pPr>
                            <w:r w:rsidRPr="0006589F">
                              <w:rPr>
                                <w:rFonts w:ascii="Traditional Arabic" w:hAnsi="Traditional Arabic" w:hint="cs"/>
                                <w:sz w:val="14"/>
                                <w:szCs w:val="14"/>
                                <w:rtl/>
                              </w:rPr>
                              <w:t>الرماد المتطاير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564" type="#_x0000_t202" style="position:absolute;left:0;text-align:left;margin-left:-273.45pt;margin-top:4.75pt;width:34.65pt;height:2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" fillcolor="#ffc000" strokecolor="white">
                <v:textbox>
                  <w:txbxContent>
                    <w:p w:rsidR="0093783C" w:rsidRPr="0006589F" w:rsidRDefault="0093783C" w:rsidP="00335E4B">
                      <w:pPr>
                        <w:spacing w:line="200" w:lineRule="exact"/>
                        <w:jc w:val="center"/>
                        <w:rPr>
                          <w:rFonts w:ascii="Traditional Arabic" w:hAnsi="Traditional Arabic"/>
                          <w:sz w:val="14"/>
                          <w:szCs w:val="14"/>
                        </w:rPr>
                      </w:pPr>
                      <w:r w:rsidRPr="0006589F">
                        <w:rPr>
                          <w:rFonts w:ascii="Traditional Arabic" w:hAnsi="Traditional Arabic" w:hint="cs"/>
                          <w:sz w:val="14"/>
                          <w:szCs w:val="14"/>
                          <w:rtl/>
                        </w:rPr>
                        <w:t>الرماد المتطاير</w:t>
                      </w:r>
                    </w:p>
                  </w:txbxContent>
                </v:textbox>
              </v:shape>
            </w:pict>
          </mc:Fallback>
        </mc:AlternateConten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r>
        <w:rPr>
          <w:rFonts w:cs="Traditional Arabic"/>
          <w:noProof/>
          <w:sz w:val="20"/>
          <w:szCs w:val="30"/>
          <w:lang w:val="en-GB" w:eastAsia="zh-CN"/>
        </w:rPr>
        <mc:AlternateContent>
          <mc:Choice Requires="wps">
            <w:drawing>
              <wp:anchor distT="0" distB="0" distL="114300" distR="114300" simplePos="0" relativeHeight="251706368" behindDoc="0" locked="0" layoutInCell="1" allowOverlap="1" wp14:anchorId="30F7EB84" wp14:editId="3212E824">
                <wp:simplePos x="0" y="0"/>
                <wp:positionH relativeFrom="column">
                  <wp:posOffset>-2933700</wp:posOffset>
                </wp:positionH>
                <wp:positionV relativeFrom="paragraph">
                  <wp:posOffset>238760</wp:posOffset>
                </wp:positionV>
                <wp:extent cx="2600325" cy="248285"/>
                <wp:effectExtent l="9525" t="11430" r="9525" b="698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48285"/>
                        </a:xfrm>
                        <a:prstGeom prst="rect">
                          <a:avLst/>
                        </a:prstGeom>
                        <a:solidFill>
                          <a:srgbClr val="FFC000"/>
                        </a:solidFill>
                        <a:ln w="9525">
                          <a:solidFill>
                            <a:srgbClr val="FFFFFF"/>
                          </a:solidFill>
                          <a:miter lim="800000"/>
                          <a:headEnd/>
                          <a:tailEnd/>
                        </a:ln>
                      </wps:spPr>
                      <wps:txbx>
                        <w:txbxContent>
                          <w:p w:rsidR="00670B40" w:rsidRPr="00931FB4" w:rsidRDefault="00670B40" w:rsidP="00335E4B">
                            <w:pPr>
                              <w:spacing w:line="200" w:lineRule="exact"/>
                              <w:jc w:val="center"/>
                              <w:rPr>
                                <w:rFonts w:ascii="Traditional Arabic" w:hAnsi="Traditional Arabic"/>
                                <w:sz w:val="18"/>
                                <w:szCs w:val="18"/>
                              </w:rPr>
                            </w:pPr>
                            <w:r>
                              <w:rPr>
                                <w:rFonts w:ascii="Traditional Arabic" w:hAnsi="Traditional Arabic" w:hint="cs"/>
                                <w:sz w:val="18"/>
                                <w:szCs w:val="18"/>
                                <w:rtl/>
                              </w:rPr>
                              <w:t>الحمأة الناشئة عن مجمل الفضلات السائلة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565" type="#_x0000_t202" style="position:absolute;left:0;text-align:left;margin-left:-231pt;margin-top:18.8pt;width:204.75pt;height:1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" fillcolor="#ffc000" strokecolor="white">
                <v:textbox>
                  <w:txbxContent>
                    <w:p w:rsidR="0093783C" w:rsidRPr="00931FB4" w:rsidRDefault="0093783C" w:rsidP="00335E4B">
                      <w:pPr>
                        <w:spacing w:line="200" w:lineRule="exact"/>
                        <w:jc w:val="center"/>
                        <w:rPr>
                          <w:rFonts w:ascii="Traditional Arabic" w:hAnsi="Traditional Arabic"/>
                          <w:sz w:val="18"/>
                          <w:szCs w:val="18"/>
                        </w:rPr>
                      </w:pPr>
                      <w:r>
                        <w:rPr>
                          <w:rFonts w:ascii="Traditional Arabic" w:hAnsi="Traditional Arabic" w:hint="cs"/>
                          <w:sz w:val="18"/>
                          <w:szCs w:val="18"/>
                          <w:rtl/>
                        </w:rPr>
                        <w:t>الحمأة الناشئة عن مجمل الفضلات السائلة</w:t>
                      </w:r>
                    </w:p>
                  </w:txbxContent>
                </v:textbox>
              </v:shape>
            </w:pict>
          </mc:Fallback>
        </mc:AlternateContent>
      </w:r>
    </w:p>
    <w:p w:rsidR="00335E4B" w:rsidRPr="00335E4B" w:rsidRDefault="00335E4B" w:rsidP="00DC48E9">
      <w:pPr>
        <w:spacing w:before="120" w:line="320" w:lineRule="exact"/>
        <w:jc w:val="both"/>
        <w:rPr>
          <w:rFonts w:ascii="Traditional Arabic" w:hAnsi="Traditional Arabic" w:cs="Traditional Arabic"/>
          <w:sz w:val="18"/>
          <w:szCs w:val="26"/>
          <w:rtl/>
        </w:rPr>
      </w:pPr>
      <w:bookmarkStart w:id="1905" w:name="_Ref415660826"/>
    </w:p>
    <w:p w:rsidR="00335E4B" w:rsidRPr="00335E4B" w:rsidRDefault="00335E4B" w:rsidP="00DC48E9">
      <w:pPr>
        <w:spacing w:after="120" w:line="300" w:lineRule="exact"/>
        <w:ind w:left="720"/>
        <w:jc w:val="both"/>
        <w:rPr>
          <w:rFonts w:ascii="Traditional Arabic" w:hAnsi="Traditional Arabic" w:cs="Traditional Arabic"/>
          <w:sz w:val="18"/>
          <w:szCs w:val="26"/>
          <w:rtl/>
        </w:rPr>
      </w:pPr>
      <w:r w:rsidRPr="00335E4B">
        <w:rPr>
          <w:rFonts w:ascii="Traditional Arabic" w:hAnsi="Traditional Arabic" w:cs="Traditional Arabic"/>
          <w:i/>
          <w:iCs/>
          <w:sz w:val="18"/>
          <w:szCs w:val="26"/>
          <w:rtl/>
        </w:rPr>
        <w:t>الدليل</w:t>
      </w:r>
      <w:r w:rsidRPr="00335E4B">
        <w:rPr>
          <w:rFonts w:ascii="Traditional Arabic" w:hAnsi="Traditional Arabic" w:cs="Traditional Arabic"/>
          <w:sz w:val="18"/>
          <w:szCs w:val="26"/>
          <w:rtl/>
          <w:lang w:val="en-GB" w:bidi="ar-EG"/>
        </w:rPr>
        <w:t xml:space="preserve">: </w:t>
      </w:r>
      <w:r w:rsidRPr="00335E4B">
        <w:rPr>
          <w:rFonts w:ascii="Traditional Arabic" w:hAnsi="Traditional Arabic" w:cs="Traditional Arabic"/>
          <w:sz w:val="18"/>
          <w:szCs w:val="26"/>
          <w:lang w:val="en-GB" w:bidi="ar-EG"/>
        </w:rPr>
        <w:t>DEP</w:t>
      </w:r>
      <w:r w:rsidRPr="00335E4B">
        <w:rPr>
          <w:rFonts w:ascii="Traditional Arabic" w:hAnsi="Traditional Arabic" w:cs="Traditional Arabic"/>
          <w:sz w:val="18"/>
          <w:szCs w:val="26"/>
          <w:rtl/>
          <w:lang w:val="en-GB" w:bidi="ar-EG"/>
        </w:rPr>
        <w:t xml:space="preserve">: </w:t>
      </w:r>
      <w:r w:rsidRPr="00335E4B">
        <w:rPr>
          <w:rFonts w:ascii="Traditional Arabic" w:hAnsi="Traditional Arabic" w:cs="Traditional Arabic"/>
          <w:sz w:val="18"/>
          <w:szCs w:val="26"/>
          <w:rtl/>
        </w:rPr>
        <w:t>مرسب كهروستاتيكي جاف،</w:t>
      </w:r>
      <w:r w:rsidRPr="00335E4B">
        <w:rPr>
          <w:rFonts w:ascii="Traditional Arabic" w:hAnsi="Traditional Arabic" w:cs="Traditional Arabic"/>
          <w:sz w:val="18"/>
          <w:szCs w:val="26"/>
          <w:rtl/>
          <w:lang w:val="en-GB" w:bidi="ar-EG"/>
        </w:rPr>
        <w:t xml:space="preserve"> </w:t>
      </w:r>
      <w:r w:rsidRPr="00335E4B">
        <w:rPr>
          <w:rFonts w:ascii="Traditional Arabic" w:hAnsi="Traditional Arabic" w:cs="Traditional Arabic"/>
          <w:sz w:val="18"/>
          <w:szCs w:val="26"/>
          <w:lang w:val="en-GB" w:bidi="ar-EG"/>
        </w:rPr>
        <w:t>VS</w:t>
      </w:r>
      <w:r w:rsidRPr="00335E4B">
        <w:rPr>
          <w:rFonts w:ascii="Traditional Arabic" w:hAnsi="Traditional Arabic" w:cs="Traditional Arabic"/>
          <w:sz w:val="18"/>
          <w:szCs w:val="26"/>
          <w:rtl/>
          <w:lang w:val="en-GB" w:bidi="ar-EG"/>
        </w:rPr>
        <w:t xml:space="preserve">: </w:t>
      </w:r>
      <w:r w:rsidRPr="00335E4B">
        <w:rPr>
          <w:rFonts w:ascii="Traditional Arabic" w:hAnsi="Traditional Arabic" w:cs="Traditional Arabic"/>
          <w:sz w:val="18"/>
          <w:szCs w:val="26"/>
          <w:rtl/>
        </w:rPr>
        <w:t>جهاز شطف من نوع فنتوري (</w:t>
      </w:r>
      <w:r w:rsidRPr="00335E4B">
        <w:rPr>
          <w:rFonts w:ascii="Traditional Arabic" w:hAnsi="Traditional Arabic" w:cs="Traditional Arabic"/>
          <w:sz w:val="18"/>
          <w:szCs w:val="26"/>
          <w:lang w:val="de-DE"/>
        </w:rPr>
        <w:t>Venturi Scrubber</w:t>
      </w:r>
      <w:r w:rsidRPr="00335E4B">
        <w:rPr>
          <w:rFonts w:ascii="Traditional Arabic" w:hAnsi="Traditional Arabic" w:cs="Traditional Arabic"/>
          <w:sz w:val="18"/>
          <w:szCs w:val="26"/>
          <w:rtl/>
        </w:rPr>
        <w:t>)،</w:t>
      </w:r>
      <w:r w:rsidRPr="00335E4B">
        <w:rPr>
          <w:rFonts w:ascii="Traditional Arabic" w:hAnsi="Traditional Arabic" w:cs="Traditional Arabic"/>
          <w:sz w:val="18"/>
          <w:szCs w:val="26"/>
          <w:rtl/>
          <w:lang w:val="en-GB" w:bidi="ar-EG"/>
        </w:rPr>
        <w:t xml:space="preserve"> </w:t>
      </w:r>
      <w:r w:rsidRPr="00335E4B">
        <w:rPr>
          <w:rFonts w:ascii="Traditional Arabic" w:hAnsi="Traditional Arabic" w:cs="Traditional Arabic"/>
          <w:sz w:val="18"/>
          <w:szCs w:val="26"/>
          <w:lang w:val="en-GB" w:bidi="ar-EG"/>
        </w:rPr>
        <w:t>GC</w:t>
      </w:r>
      <w:r w:rsidRPr="00335E4B">
        <w:rPr>
          <w:rFonts w:ascii="Traditional Arabic" w:hAnsi="Traditional Arabic" w:cs="Traditional Arabic"/>
          <w:sz w:val="18"/>
          <w:szCs w:val="26"/>
          <w:rtl/>
          <w:lang w:val="en-GB" w:bidi="ar-EG"/>
        </w:rPr>
        <w:t xml:space="preserve">: </w:t>
      </w:r>
      <w:r w:rsidRPr="00335E4B">
        <w:rPr>
          <w:rFonts w:ascii="Traditional Arabic" w:hAnsi="Traditional Arabic" w:cs="Traditional Arabic"/>
          <w:sz w:val="18"/>
          <w:szCs w:val="26"/>
          <w:rtl/>
        </w:rPr>
        <w:t>مبرد غاز (</w:t>
      </w:r>
      <w:r w:rsidRPr="00335E4B">
        <w:rPr>
          <w:rFonts w:ascii="Traditional Arabic" w:hAnsi="Traditional Arabic" w:cs="Traditional Arabic"/>
          <w:sz w:val="18"/>
          <w:szCs w:val="26"/>
        </w:rPr>
        <w:t>Gas Cooler</w:t>
      </w:r>
      <w:r w:rsidRPr="00335E4B">
        <w:rPr>
          <w:rFonts w:ascii="Traditional Arabic" w:hAnsi="Traditional Arabic" w:cs="Traditional Arabic"/>
          <w:sz w:val="18"/>
          <w:szCs w:val="26"/>
          <w:rtl/>
        </w:rPr>
        <w:t>)،</w:t>
      </w:r>
      <w:r w:rsidRPr="00335E4B">
        <w:rPr>
          <w:rFonts w:ascii="Traditional Arabic" w:hAnsi="Traditional Arabic" w:cs="Traditional Arabic"/>
          <w:sz w:val="18"/>
          <w:szCs w:val="26"/>
          <w:rtl/>
          <w:lang w:val="en-GB" w:bidi="ar-EG"/>
        </w:rPr>
        <w:t xml:space="preserve"> </w:t>
      </w:r>
      <w:r w:rsidRPr="00335E4B">
        <w:rPr>
          <w:rFonts w:ascii="Traditional Arabic" w:hAnsi="Traditional Arabic" w:cs="Traditional Arabic"/>
          <w:sz w:val="18"/>
          <w:szCs w:val="26"/>
          <w:lang w:val="en-GB" w:bidi="ar-EG"/>
        </w:rPr>
        <w:t>WEP</w:t>
      </w:r>
      <w:r w:rsidRPr="00335E4B">
        <w:rPr>
          <w:rFonts w:ascii="Traditional Arabic" w:hAnsi="Traditional Arabic" w:cs="Traditional Arabic"/>
          <w:sz w:val="18"/>
          <w:szCs w:val="26"/>
          <w:rtl/>
          <w:lang w:val="en-GB" w:bidi="ar-EG"/>
        </w:rPr>
        <w:t xml:space="preserve">: </w:t>
      </w:r>
      <w:r w:rsidRPr="00335E4B">
        <w:rPr>
          <w:rFonts w:ascii="Traditional Arabic" w:hAnsi="Traditional Arabic" w:cs="Traditional Arabic"/>
          <w:sz w:val="18"/>
          <w:szCs w:val="26"/>
          <w:rtl/>
        </w:rPr>
        <w:t>مرسب كهروستاتيكي رطب،</w:t>
      </w:r>
      <w:r w:rsidRPr="00335E4B">
        <w:rPr>
          <w:rFonts w:ascii="Traditional Arabic" w:hAnsi="Traditional Arabic" w:cs="Traditional Arabic"/>
          <w:sz w:val="18"/>
          <w:szCs w:val="26"/>
          <w:rtl/>
          <w:lang w:val="en-GB" w:bidi="ar-EG"/>
        </w:rPr>
        <w:t xml:space="preserve"> </w:t>
      </w:r>
      <w:r w:rsidRPr="00335E4B">
        <w:rPr>
          <w:rFonts w:ascii="Traditional Arabic" w:hAnsi="Traditional Arabic" w:cs="Traditional Arabic"/>
          <w:sz w:val="18"/>
          <w:szCs w:val="26"/>
          <w:lang w:val="en-GB" w:bidi="ar-EG"/>
        </w:rPr>
        <w:t>DT</w:t>
      </w:r>
      <w:r w:rsidRPr="00335E4B">
        <w:rPr>
          <w:rFonts w:ascii="Traditional Arabic" w:hAnsi="Traditional Arabic" w:cs="Traditional Arabic"/>
          <w:sz w:val="18"/>
          <w:szCs w:val="26"/>
          <w:rtl/>
          <w:lang w:val="en-GB" w:bidi="ar-EG"/>
        </w:rPr>
        <w:t xml:space="preserve">: </w:t>
      </w:r>
      <w:r w:rsidRPr="00335E4B">
        <w:rPr>
          <w:rFonts w:ascii="Traditional Arabic" w:hAnsi="Traditional Arabic" w:cs="Traditional Arabic"/>
          <w:sz w:val="18"/>
          <w:szCs w:val="26"/>
          <w:rtl/>
        </w:rPr>
        <w:t>برج تجفيف (</w:t>
      </w:r>
      <w:r w:rsidRPr="00335E4B">
        <w:rPr>
          <w:rFonts w:ascii="Traditional Arabic" w:hAnsi="Traditional Arabic" w:cs="Traditional Arabic"/>
          <w:sz w:val="18"/>
          <w:szCs w:val="26"/>
        </w:rPr>
        <w:t>Dehydration Tower</w:t>
      </w:r>
      <w:r w:rsidRPr="00335E4B">
        <w:rPr>
          <w:rFonts w:ascii="Traditional Arabic" w:hAnsi="Traditional Arabic" w:cs="Traditional Arabic"/>
          <w:sz w:val="18"/>
          <w:szCs w:val="26"/>
          <w:rtl/>
        </w:rPr>
        <w:t>)،</w:t>
      </w:r>
      <w:r w:rsidRPr="00335E4B">
        <w:rPr>
          <w:rFonts w:ascii="Traditional Arabic" w:hAnsi="Traditional Arabic" w:cs="Traditional Arabic"/>
          <w:sz w:val="18"/>
          <w:szCs w:val="26"/>
          <w:rtl/>
          <w:lang w:val="en-GB" w:bidi="ar-EG"/>
        </w:rPr>
        <w:t xml:space="preserve"> </w:t>
      </w:r>
      <w:r w:rsidRPr="00335E4B">
        <w:rPr>
          <w:rFonts w:ascii="Traditional Arabic" w:hAnsi="Traditional Arabic" w:cs="Traditional Arabic"/>
          <w:sz w:val="18"/>
          <w:szCs w:val="26"/>
          <w:lang w:val="en-GB" w:bidi="ar-EG"/>
        </w:rPr>
        <w:t>CAT</w:t>
      </w:r>
      <w:r w:rsidRPr="00335E4B">
        <w:rPr>
          <w:rFonts w:ascii="Traditional Arabic" w:hAnsi="Traditional Arabic" w:cs="Traditional Arabic"/>
          <w:sz w:val="18"/>
          <w:szCs w:val="26"/>
          <w:rtl/>
          <w:lang w:val="en-GB" w:bidi="ar-EG"/>
        </w:rPr>
        <w:t xml:space="preserve">: </w:t>
      </w:r>
      <w:r w:rsidRPr="00335E4B">
        <w:rPr>
          <w:rFonts w:ascii="Traditional Arabic" w:hAnsi="Traditional Arabic" w:cs="Traditional Arabic"/>
          <w:sz w:val="18"/>
          <w:szCs w:val="26"/>
          <w:rtl/>
        </w:rPr>
        <w:t>عملية التحويل وبرج الامتصاص،</w:t>
      </w:r>
      <w:r w:rsidRPr="00335E4B">
        <w:rPr>
          <w:rFonts w:ascii="Traditional Arabic" w:hAnsi="Traditional Arabic" w:cs="Traditional Arabic"/>
          <w:sz w:val="18"/>
          <w:szCs w:val="26"/>
          <w:rtl/>
          <w:lang w:val="en-GB" w:bidi="ar-EG"/>
        </w:rPr>
        <w:t xml:space="preserve"> </w:t>
      </w:r>
      <w:r w:rsidRPr="00335E4B">
        <w:rPr>
          <w:rFonts w:ascii="Traditional Arabic" w:hAnsi="Traditional Arabic" w:cs="Traditional Arabic"/>
          <w:sz w:val="18"/>
          <w:szCs w:val="26"/>
          <w:lang w:val="en-GB" w:bidi="ar-EG"/>
        </w:rPr>
        <w:t>WS</w:t>
      </w:r>
      <w:r w:rsidRPr="00335E4B">
        <w:rPr>
          <w:rFonts w:ascii="Traditional Arabic" w:hAnsi="Traditional Arabic" w:cs="Traditional Arabic"/>
          <w:sz w:val="18"/>
          <w:szCs w:val="26"/>
          <w:rtl/>
          <w:lang w:val="en-GB" w:bidi="ar-EG"/>
        </w:rPr>
        <w:t xml:space="preserve">: </w:t>
      </w:r>
      <w:r w:rsidRPr="00335E4B">
        <w:rPr>
          <w:rFonts w:ascii="Traditional Arabic" w:hAnsi="Traditional Arabic" w:cs="Traditional Arabic"/>
          <w:sz w:val="18"/>
          <w:szCs w:val="26"/>
          <w:rtl/>
        </w:rPr>
        <w:t>جهاز شطف رطب</w:t>
      </w:r>
    </w:p>
    <w:p w:rsidR="00DC48E9" w:rsidRDefault="00335E4B" w:rsidP="00DC48E9">
      <w:pPr>
        <w:spacing w:after="120" w:line="360" w:lineRule="exact"/>
        <w:jc w:val="both"/>
        <w:rPr>
          <w:rFonts w:cs="Times New Roman"/>
          <w:b/>
          <w:bCs/>
          <w:w w:val="90"/>
          <w:sz w:val="16"/>
          <w:szCs w:val="16"/>
          <w:rtl/>
        </w:rPr>
      </w:pPr>
      <w:r w:rsidRPr="00DC48E9">
        <w:rPr>
          <w:rFonts w:ascii="Traditional Arabic" w:hAnsi="Traditional Arabic" w:cs="Traditional Arabic"/>
          <w:b/>
          <w:bCs/>
          <w:w w:val="90"/>
          <w:sz w:val="18"/>
          <w:szCs w:val="26"/>
          <w:rtl/>
        </w:rPr>
        <w:t>الشكل</w:t>
      </w:r>
      <w:r w:rsidRPr="00DC48E9">
        <w:rPr>
          <w:rFonts w:ascii="Traditional Arabic" w:hAnsi="Traditional Arabic" w:cs="Traditional Arabic"/>
          <w:b/>
          <w:bCs/>
          <w:w w:val="90"/>
          <w:sz w:val="18"/>
          <w:szCs w:val="26"/>
          <w:rtl/>
          <w:lang w:val="en-GB" w:bidi="ar-EG"/>
        </w:rPr>
        <w:t xml:space="preserve"> </w:t>
      </w:r>
      <w:r w:rsidRPr="00DC48E9">
        <w:rPr>
          <w:rFonts w:ascii="Traditional Arabic" w:hAnsi="Traditional Arabic" w:cs="Traditional Arabic" w:hint="cs"/>
          <w:b/>
          <w:bCs/>
          <w:w w:val="90"/>
          <w:sz w:val="18"/>
          <w:szCs w:val="26"/>
          <w:rtl/>
          <w:lang w:val="en-GB" w:bidi="ar-EG"/>
        </w:rPr>
        <w:t>8</w:t>
      </w:r>
      <w:r w:rsidR="000876B6" w:rsidRPr="00DC48E9">
        <w:rPr>
          <w:rFonts w:ascii="Traditional Arabic" w:hAnsi="Traditional Arabic" w:cs="Traditional Arabic" w:hint="cs"/>
          <w:b/>
          <w:bCs/>
          <w:w w:val="90"/>
          <w:sz w:val="18"/>
          <w:szCs w:val="26"/>
          <w:rtl/>
          <w:lang w:val="en-GB" w:bidi="ar-EG"/>
        </w:rPr>
        <w:t>-</w:t>
      </w:r>
      <w:r w:rsidR="00DC48E9">
        <w:rPr>
          <w:rFonts w:ascii="Traditional Arabic" w:hAnsi="Traditional Arabic" w:cs="Traditional Arabic" w:hint="cs"/>
          <w:b/>
          <w:bCs/>
          <w:w w:val="90"/>
          <w:sz w:val="18"/>
          <w:szCs w:val="26"/>
          <w:rtl/>
          <w:lang w:val="en-GB" w:bidi="ar-EG"/>
        </w:rPr>
        <w:t xml:space="preserve">  </w:t>
      </w:r>
      <w:r w:rsidRPr="00DC48E9">
        <w:rPr>
          <w:rFonts w:ascii="Traditional Arabic" w:hAnsi="Traditional Arabic" w:cs="Traditional Arabic"/>
          <w:b/>
          <w:bCs/>
          <w:w w:val="90"/>
          <w:sz w:val="18"/>
          <w:szCs w:val="26"/>
          <w:rtl/>
          <w:lang w:val="en-GB" w:bidi="ar-EG"/>
        </w:rPr>
        <w:t xml:space="preserve">توازن </w:t>
      </w:r>
      <w:r w:rsidRPr="00DC48E9">
        <w:rPr>
          <w:rFonts w:ascii="Traditional Arabic" w:hAnsi="Traditional Arabic" w:cs="Traditional Arabic"/>
          <w:b/>
          <w:bCs/>
          <w:w w:val="90"/>
          <w:sz w:val="18"/>
          <w:szCs w:val="26"/>
          <w:rtl/>
        </w:rPr>
        <w:t xml:space="preserve">الكتلة للزئبق حول مواقع إنتاج حمض الكبريتيك في مصنع ياباني للزنك يستخدم عملية الصهر بالفرن العالي </w:t>
      </w:r>
      <w:r w:rsidRPr="00DC48E9">
        <w:rPr>
          <w:rFonts w:cs="Times New Roman"/>
          <w:b/>
          <w:bCs/>
          <w:w w:val="90"/>
          <w:sz w:val="16"/>
          <w:szCs w:val="16"/>
          <w:rtl/>
        </w:rPr>
        <w:t>(</w:t>
      </w:r>
      <w:r w:rsidRPr="00DC48E9">
        <w:rPr>
          <w:rFonts w:cs="Times New Roman"/>
          <w:b/>
          <w:bCs/>
          <w:w w:val="90"/>
          <w:sz w:val="16"/>
          <w:szCs w:val="16"/>
          <w:lang w:val="en-GB" w:bidi="ar-EG"/>
        </w:rPr>
        <w:t>Takaoka et al.2012</w:t>
      </w:r>
      <w:r w:rsidRPr="00DC48E9">
        <w:rPr>
          <w:rFonts w:cs="Times New Roman"/>
          <w:b/>
          <w:bCs/>
          <w:w w:val="90"/>
          <w:sz w:val="16"/>
          <w:szCs w:val="16"/>
          <w:rtl/>
        </w:rPr>
        <w:t>)</w:t>
      </w:r>
      <w:bookmarkStart w:id="1906" w:name="_Toc440550578"/>
      <w:bookmarkEnd w:id="1905"/>
    </w:p>
    <w:p w:rsidR="00DC48E9" w:rsidRDefault="00DC48E9" w:rsidP="00DC48E9">
      <w:pPr>
        <w:spacing w:after="120" w:line="360" w:lineRule="exact"/>
        <w:jc w:val="both"/>
        <w:rPr>
          <w:rFonts w:cs="Traditional Arabic"/>
          <w:b/>
          <w:bCs/>
          <w:sz w:val="20"/>
          <w:szCs w:val="30"/>
          <w:rtl/>
          <w:lang w:bidi="ar-EG"/>
        </w:rPr>
      </w:pPr>
      <w:r>
        <w:rPr>
          <w:rFonts w:cs="Traditional Arabic"/>
          <w:b/>
          <w:bCs/>
          <w:sz w:val="20"/>
          <w:szCs w:val="30"/>
          <w:rtl/>
          <w:lang w:bidi="ar-EG"/>
        </w:rPr>
        <w:br w:type="page"/>
      </w:r>
    </w:p>
    <w:p w:rsidR="00335E4B" w:rsidRPr="00335E4B" w:rsidRDefault="00741EAC" w:rsidP="00DC48E9">
      <w:pPr>
        <w:spacing w:before="120" w:after="120" w:line="400" w:lineRule="exact"/>
        <w:rPr>
          <w:rFonts w:cs="Traditional Arabic"/>
          <w:b/>
          <w:bCs/>
          <w:sz w:val="20"/>
          <w:szCs w:val="30"/>
          <w:rtl/>
        </w:rPr>
      </w:pPr>
      <w:r>
        <w:rPr>
          <w:rFonts w:cs="Traditional Arabic" w:hint="cs"/>
          <w:b/>
          <w:bCs/>
          <w:sz w:val="20"/>
          <w:szCs w:val="30"/>
          <w:rtl/>
          <w:lang w:bidi="ar-EG"/>
        </w:rPr>
        <w:t>3-6-2-5</w:t>
      </w:r>
      <w:r w:rsidR="00DC48E9">
        <w:rPr>
          <w:rFonts w:cs="Traditional Arabic" w:hint="cs"/>
          <w:b/>
          <w:bCs/>
          <w:sz w:val="20"/>
          <w:szCs w:val="30"/>
          <w:rtl/>
          <w:lang w:bidi="ar-EG"/>
        </w:rPr>
        <w:tab/>
      </w:r>
      <w:r w:rsidR="00335E4B" w:rsidRPr="00335E4B">
        <w:rPr>
          <w:rFonts w:cs="Traditional Arabic"/>
          <w:b/>
          <w:bCs/>
          <w:sz w:val="20"/>
          <w:szCs w:val="30"/>
          <w:rtl/>
        </w:rPr>
        <w:t xml:space="preserve">المنافع </w:t>
      </w:r>
      <w:r w:rsidR="00335E4B" w:rsidRPr="00335E4B">
        <w:rPr>
          <w:rFonts w:cs="Traditional Arabic" w:hint="cs"/>
          <w:b/>
          <w:bCs/>
          <w:sz w:val="20"/>
          <w:szCs w:val="30"/>
          <w:rtl/>
        </w:rPr>
        <w:t>المشتركة</w:t>
      </w:r>
      <w:bookmarkEnd w:id="1906"/>
    </w:p>
    <w:p w:rsidR="00335E4B" w:rsidRPr="00335E4B" w:rsidRDefault="00335E4B" w:rsidP="00335E4B">
      <w:pPr>
        <w:spacing w:after="60" w:line="320" w:lineRule="exact"/>
        <w:jc w:val="both"/>
        <w:rPr>
          <w:rFonts w:cs="Traditional Arabic"/>
          <w:sz w:val="20"/>
          <w:szCs w:val="30"/>
          <w:rtl/>
        </w:rPr>
      </w:pPr>
      <w:r w:rsidRPr="00335E4B">
        <w:rPr>
          <w:rFonts w:cs="Traditional Arabic"/>
          <w:sz w:val="20"/>
          <w:szCs w:val="30"/>
          <w:rtl/>
        </w:rPr>
        <w:t>الجمع بين منشآت تنظيف الغاز وتصنيع حمض الكبريتيك وسيلة فعالة جداً لاحتجاز ثنائي أكسيد الكبريت</w:t>
      </w:r>
      <w:r w:rsidRPr="00335E4B">
        <w:rPr>
          <w:rFonts w:cs="Traditional Arabic"/>
          <w:sz w:val="20"/>
          <w:szCs w:val="30"/>
          <w:rtl/>
          <w:lang w:val="en-GB" w:bidi="ar-EG"/>
        </w:rPr>
        <w:t>.</w:t>
      </w:r>
      <w:r w:rsidRPr="00335E4B">
        <w:rPr>
          <w:rFonts w:cs="Traditional Arabic"/>
          <w:sz w:val="20"/>
          <w:szCs w:val="30"/>
          <w:rtl/>
        </w:rPr>
        <w:t xml:space="preserve"> وفي الواقع، </w:t>
      </w:r>
      <w:r w:rsidRPr="00335E4B">
        <w:rPr>
          <w:rFonts w:cs="Traditional Arabic" w:hint="cs"/>
          <w:sz w:val="20"/>
          <w:szCs w:val="30"/>
          <w:rtl/>
        </w:rPr>
        <w:t xml:space="preserve">يكون </w:t>
      </w:r>
      <w:r w:rsidRPr="00335E4B">
        <w:rPr>
          <w:rFonts w:cs="Traditional Arabic"/>
          <w:sz w:val="20"/>
          <w:szCs w:val="30"/>
          <w:rtl/>
        </w:rPr>
        <w:t xml:space="preserve">الغرض الأساسي من إنشاء مصنع لحمض الكبريتيك </w:t>
      </w:r>
      <w:r w:rsidRPr="00335E4B">
        <w:rPr>
          <w:rFonts w:cs="Traditional Arabic" w:hint="cs"/>
          <w:sz w:val="20"/>
          <w:szCs w:val="30"/>
          <w:rtl/>
        </w:rPr>
        <w:t>هو</w:t>
      </w:r>
      <w:r w:rsidRPr="00335E4B">
        <w:rPr>
          <w:rFonts w:cs="Traditional Arabic"/>
          <w:sz w:val="20"/>
          <w:szCs w:val="30"/>
          <w:rtl/>
        </w:rPr>
        <w:t xml:space="preserve"> جمع ثنائي أكسيد الكبريت وإنتاج حمض الكبريتيك الذي يمكن بيعه</w:t>
      </w:r>
      <w:r w:rsidRPr="00335E4B">
        <w:rPr>
          <w:rFonts w:cs="Traditional Arabic"/>
          <w:sz w:val="20"/>
          <w:szCs w:val="30"/>
          <w:rtl/>
          <w:lang w:val="en-GB" w:bidi="ar-EG"/>
        </w:rPr>
        <w:t>.</w:t>
      </w:r>
    </w:p>
    <w:p w:rsidR="00335E4B" w:rsidRPr="00335E4B" w:rsidRDefault="00741EAC" w:rsidP="00DC48E9">
      <w:pPr>
        <w:spacing w:before="120" w:after="120" w:line="320" w:lineRule="exact"/>
        <w:rPr>
          <w:rFonts w:cs="Traditional Arabic"/>
          <w:b/>
          <w:bCs/>
          <w:sz w:val="20"/>
          <w:szCs w:val="30"/>
          <w:rtl/>
        </w:rPr>
      </w:pPr>
      <w:bookmarkStart w:id="1907" w:name="_Toc440550579"/>
      <w:r>
        <w:rPr>
          <w:rFonts w:cs="Traditional Arabic" w:hint="cs"/>
          <w:b/>
          <w:bCs/>
          <w:sz w:val="20"/>
          <w:szCs w:val="30"/>
          <w:rtl/>
          <w:lang w:bidi="ar-EG"/>
        </w:rPr>
        <w:t>3-6-2-6</w:t>
      </w:r>
      <w:r w:rsidR="00DC48E9">
        <w:rPr>
          <w:rFonts w:cs="Traditional Arabic" w:hint="cs"/>
          <w:b/>
          <w:bCs/>
          <w:sz w:val="20"/>
          <w:szCs w:val="30"/>
          <w:rtl/>
          <w:lang w:bidi="ar-EG"/>
        </w:rPr>
        <w:tab/>
      </w:r>
      <w:r w:rsidR="00335E4B" w:rsidRPr="00335E4B">
        <w:rPr>
          <w:rFonts w:cs="Traditional Arabic"/>
          <w:b/>
          <w:bCs/>
          <w:sz w:val="20"/>
          <w:szCs w:val="30"/>
          <w:rtl/>
        </w:rPr>
        <w:t xml:space="preserve">الآثار </w:t>
      </w:r>
      <w:r w:rsidR="00335E4B" w:rsidRPr="00335E4B">
        <w:rPr>
          <w:rFonts w:cs="Traditional Arabic" w:hint="cs"/>
          <w:b/>
          <w:bCs/>
          <w:sz w:val="20"/>
          <w:szCs w:val="30"/>
          <w:rtl/>
        </w:rPr>
        <w:t xml:space="preserve">الشاملة </w:t>
      </w:r>
      <w:bookmarkEnd w:id="1907"/>
      <w:r w:rsidR="00427FFA">
        <w:rPr>
          <w:rFonts w:cs="Traditional Arabic" w:hint="cs"/>
          <w:b/>
          <w:bCs/>
          <w:sz w:val="20"/>
          <w:szCs w:val="30"/>
          <w:rtl/>
        </w:rPr>
        <w:t>لعدة أوساط</w:t>
      </w:r>
    </w:p>
    <w:p w:rsidR="00335E4B" w:rsidRPr="00335E4B" w:rsidRDefault="00335E4B" w:rsidP="00335E4B">
      <w:pPr>
        <w:spacing w:after="60" w:line="320" w:lineRule="exact"/>
        <w:jc w:val="both"/>
        <w:rPr>
          <w:rFonts w:cs="Traditional Arabic"/>
          <w:sz w:val="20"/>
          <w:szCs w:val="30"/>
          <w:rtl/>
        </w:rPr>
      </w:pPr>
      <w:r w:rsidRPr="00335E4B">
        <w:rPr>
          <w:rFonts w:cs="Traditional Arabic"/>
          <w:sz w:val="20"/>
          <w:szCs w:val="30"/>
          <w:rtl/>
        </w:rPr>
        <w:t>هناك آثار محتملة على الهواء والمياه بسبب إنتاج نفايات الزئبق الصلبة (الحمأة)</w:t>
      </w:r>
      <w:r w:rsidRPr="00335E4B">
        <w:rPr>
          <w:rFonts w:cs="Traditional Arabic"/>
          <w:sz w:val="20"/>
          <w:szCs w:val="30"/>
          <w:rtl/>
          <w:lang w:val="en-GB" w:bidi="ar-EG"/>
        </w:rPr>
        <w:t>.</w:t>
      </w:r>
      <w:r w:rsidRPr="00335E4B">
        <w:rPr>
          <w:rFonts w:cs="Traditional Arabic"/>
          <w:sz w:val="20"/>
          <w:szCs w:val="30"/>
          <w:rtl/>
        </w:rPr>
        <w:t xml:space="preserve"> وينبغي أن تكون إدارة المواد المحتوية على الزئبق، بما في ذلك تخزينها والتخلص منها، والتجارة فيها، متسقة مع المواد الأخرى ذات الصلة في الاتفاقية</w:t>
      </w:r>
      <w:r w:rsidRPr="00335E4B">
        <w:rPr>
          <w:rFonts w:cs="Traditional Arabic"/>
          <w:sz w:val="20"/>
          <w:szCs w:val="30"/>
          <w:rtl/>
          <w:lang w:val="en-GB" w:bidi="ar-EG"/>
        </w:rPr>
        <w:t>.</w:t>
      </w:r>
    </w:p>
    <w:p w:rsidR="00CC010E" w:rsidRDefault="00CC010E">
      <w:pPr>
        <w:bidi w:val="0"/>
        <w:rPr>
          <w:rFonts w:cs="Traditional Arabic"/>
          <w:b/>
          <w:bCs/>
          <w:sz w:val="32"/>
          <w:szCs w:val="32"/>
          <w:rtl/>
          <w:lang w:bidi="ar-EG"/>
        </w:rPr>
      </w:pPr>
      <w:bookmarkStart w:id="1908" w:name="_Toc440550584"/>
      <w:bookmarkStart w:id="1909" w:name="_Toc441577834"/>
      <w:bookmarkStart w:id="1910" w:name="_Toc441578013"/>
      <w:bookmarkStart w:id="1911" w:name="_Toc441580847"/>
      <w:bookmarkStart w:id="1912" w:name="_Toc441585978"/>
      <w:bookmarkStart w:id="1913" w:name="_Toc441586314"/>
      <w:bookmarkStart w:id="1914" w:name="_Toc441586764"/>
      <w:bookmarkStart w:id="1915" w:name="_Toc441586943"/>
      <w:bookmarkStart w:id="1916" w:name="_Toc441666792"/>
      <w:bookmarkStart w:id="1917" w:name="_Toc441673853"/>
      <w:r>
        <w:rPr>
          <w:rFonts w:cs="Traditional Arabic"/>
          <w:b/>
          <w:bCs/>
          <w:sz w:val="32"/>
          <w:szCs w:val="32"/>
          <w:rtl/>
          <w:lang w:bidi="ar-EG"/>
        </w:rPr>
        <w:br w:type="page"/>
      </w:r>
    </w:p>
    <w:p w:rsidR="00335E4B" w:rsidRPr="00335E4B" w:rsidRDefault="00741EAC" w:rsidP="00386BEC">
      <w:pPr>
        <w:keepNext/>
        <w:tabs>
          <w:tab w:val="left" w:pos="707"/>
        </w:tabs>
        <w:spacing w:after="120" w:line="400" w:lineRule="exact"/>
        <w:jc w:val="both"/>
        <w:outlineLvl w:val="0"/>
        <w:rPr>
          <w:rFonts w:cs="Traditional Arabic"/>
          <w:b/>
          <w:bCs/>
          <w:sz w:val="32"/>
          <w:szCs w:val="32"/>
          <w:rtl/>
          <w:lang w:bidi="ar-EG"/>
        </w:rPr>
      </w:pPr>
      <w:r>
        <w:rPr>
          <w:rFonts w:cs="Traditional Arabic" w:hint="cs"/>
          <w:b/>
          <w:bCs/>
          <w:sz w:val="32"/>
          <w:szCs w:val="32"/>
          <w:rtl/>
          <w:lang w:bidi="ar-EG"/>
        </w:rPr>
        <w:t>4</w:t>
      </w:r>
      <w:r w:rsidR="00DC48E9">
        <w:rPr>
          <w:rFonts w:cs="Traditional Arabic" w:hint="cs"/>
          <w:b/>
          <w:bCs/>
          <w:sz w:val="32"/>
          <w:szCs w:val="32"/>
          <w:rtl/>
          <w:lang w:bidi="ar-EG"/>
        </w:rPr>
        <w:t xml:space="preserve"> </w:t>
      </w:r>
      <w:r w:rsidR="00C416FB">
        <w:rPr>
          <w:rFonts w:cs="Traditional Arabic" w:hint="cs"/>
          <w:b/>
          <w:bCs/>
          <w:sz w:val="32"/>
          <w:szCs w:val="32"/>
          <w:rtl/>
          <w:lang w:bidi="ar-EG"/>
        </w:rPr>
        <w:t>-</w:t>
      </w:r>
      <w:r w:rsidR="00C416FB">
        <w:rPr>
          <w:rFonts w:cs="Traditional Arabic" w:hint="cs"/>
          <w:b/>
          <w:bCs/>
          <w:sz w:val="32"/>
          <w:szCs w:val="32"/>
          <w:rtl/>
          <w:lang w:bidi="ar-EG"/>
        </w:rPr>
        <w:tab/>
      </w:r>
      <w:r w:rsidR="00335E4B" w:rsidRPr="00335E4B">
        <w:rPr>
          <w:rFonts w:cs="Traditional Arabic"/>
          <w:b/>
          <w:bCs/>
          <w:sz w:val="32"/>
          <w:szCs w:val="32"/>
          <w:rtl/>
          <w:lang w:bidi="ar-EG"/>
        </w:rPr>
        <w:t>أفضل التقنيات المتاحة وأفضل الممارسات البيئية</w:t>
      </w:r>
      <w:bookmarkEnd w:id="1908"/>
      <w:bookmarkEnd w:id="1909"/>
      <w:bookmarkEnd w:id="1910"/>
      <w:bookmarkEnd w:id="1911"/>
      <w:bookmarkEnd w:id="1912"/>
      <w:bookmarkEnd w:id="1913"/>
      <w:bookmarkEnd w:id="1914"/>
      <w:bookmarkEnd w:id="1915"/>
      <w:bookmarkEnd w:id="1916"/>
      <w:bookmarkEnd w:id="1917"/>
    </w:p>
    <w:p w:rsidR="00335E4B" w:rsidRPr="00335E4B" w:rsidRDefault="00741EAC" w:rsidP="00335E4B">
      <w:pPr>
        <w:keepNext/>
        <w:tabs>
          <w:tab w:val="left" w:pos="707"/>
        </w:tabs>
        <w:spacing w:before="120" w:after="120" w:line="400" w:lineRule="exact"/>
        <w:jc w:val="both"/>
        <w:outlineLvl w:val="0"/>
        <w:rPr>
          <w:rFonts w:cs="Traditional Arabic"/>
          <w:b/>
          <w:bCs/>
          <w:sz w:val="20"/>
          <w:szCs w:val="30"/>
          <w:rtl/>
          <w:lang w:bidi="ar-EG"/>
        </w:rPr>
      </w:pPr>
      <w:bookmarkStart w:id="1918" w:name="_Toc440550585"/>
      <w:bookmarkStart w:id="1919" w:name="_Toc441577835"/>
      <w:bookmarkStart w:id="1920" w:name="_Toc441578014"/>
      <w:bookmarkStart w:id="1921" w:name="_Toc441580848"/>
      <w:bookmarkStart w:id="1922" w:name="_Toc441585979"/>
      <w:bookmarkStart w:id="1923" w:name="_Toc441586315"/>
      <w:bookmarkStart w:id="1924" w:name="_Toc441586765"/>
      <w:bookmarkStart w:id="1925" w:name="_Toc441586944"/>
      <w:bookmarkStart w:id="1926" w:name="_Toc441666793"/>
      <w:bookmarkStart w:id="1927" w:name="_Toc441673854"/>
      <w:r>
        <w:rPr>
          <w:rFonts w:cs="Traditional Arabic" w:hint="cs"/>
          <w:b/>
          <w:bCs/>
          <w:sz w:val="20"/>
          <w:szCs w:val="30"/>
          <w:rtl/>
          <w:lang w:bidi="ar-EG"/>
        </w:rPr>
        <w:t>4</w:t>
      </w:r>
      <w:r w:rsidR="00C416FB">
        <w:rPr>
          <w:rFonts w:cs="Traditional Arabic" w:hint="cs"/>
          <w:b/>
          <w:bCs/>
          <w:sz w:val="20"/>
          <w:szCs w:val="30"/>
          <w:rtl/>
          <w:lang w:bidi="ar-EG"/>
        </w:rPr>
        <w:t>-1</w:t>
      </w:r>
      <w:r w:rsidR="00C416FB">
        <w:rPr>
          <w:rFonts w:cs="Traditional Arabic" w:hint="cs"/>
          <w:b/>
          <w:bCs/>
          <w:sz w:val="20"/>
          <w:szCs w:val="30"/>
          <w:rtl/>
          <w:lang w:bidi="ar-EG"/>
        </w:rPr>
        <w:tab/>
      </w:r>
      <w:r w:rsidR="00335E4B" w:rsidRPr="00335E4B">
        <w:rPr>
          <w:rFonts w:cs="Traditional Arabic"/>
          <w:b/>
          <w:bCs/>
          <w:sz w:val="20"/>
          <w:szCs w:val="30"/>
          <w:rtl/>
          <w:lang w:bidi="ar-EG"/>
        </w:rPr>
        <w:t>لمحة عامة عن أفضل التقنيات المتاحة</w:t>
      </w:r>
      <w:bookmarkEnd w:id="1918"/>
      <w:bookmarkEnd w:id="1919"/>
      <w:bookmarkEnd w:id="1920"/>
      <w:bookmarkEnd w:id="1921"/>
      <w:bookmarkEnd w:id="1922"/>
      <w:bookmarkEnd w:id="1923"/>
      <w:bookmarkEnd w:id="1924"/>
      <w:bookmarkEnd w:id="1925"/>
      <w:bookmarkEnd w:id="1926"/>
      <w:bookmarkEnd w:id="1927"/>
    </w:p>
    <w:p w:rsidR="00DC48E9" w:rsidRDefault="00335E4B" w:rsidP="004F5C55">
      <w:pPr>
        <w:spacing w:after="120" w:line="380" w:lineRule="exact"/>
        <w:jc w:val="both"/>
        <w:rPr>
          <w:rFonts w:cs="Traditional Arabic"/>
          <w:b/>
          <w:sz w:val="20"/>
          <w:szCs w:val="30"/>
          <w:rtl/>
        </w:rPr>
      </w:pPr>
      <w:r w:rsidRPr="00335E4B">
        <w:rPr>
          <w:rFonts w:cs="Traditional Arabic"/>
          <w:b/>
          <w:sz w:val="20"/>
          <w:szCs w:val="30"/>
          <w:rtl/>
        </w:rPr>
        <w:t xml:space="preserve">ترد في الجدول </w:t>
      </w:r>
      <w:r w:rsidR="00CC010E">
        <w:rPr>
          <w:rFonts w:cs="Traditional Arabic" w:hint="cs"/>
          <w:b/>
          <w:sz w:val="20"/>
          <w:szCs w:val="30"/>
          <w:rtl/>
        </w:rPr>
        <w:t>3</w:t>
      </w:r>
      <w:r w:rsidRPr="00335E4B">
        <w:rPr>
          <w:rFonts w:cs="Traditional Arabic"/>
          <w:b/>
          <w:sz w:val="20"/>
          <w:szCs w:val="30"/>
          <w:rtl/>
        </w:rPr>
        <w:t xml:space="preserve"> لمحة عامة عن التقنيات التي يمكن النظر فيها لتحديد أفضل التكنولوجيات المتاحة للتقليل من الزئبق في قطاع المعادن غير الحديدية.</w:t>
      </w:r>
      <w:r w:rsidRPr="00335E4B">
        <w:rPr>
          <w:rFonts w:cs="Traditional Arabic" w:hint="cs"/>
          <w:b/>
          <w:sz w:val="20"/>
          <w:szCs w:val="30"/>
          <w:rtl/>
        </w:rPr>
        <w:t xml:space="preserve"> </w:t>
      </w:r>
      <w:r w:rsidRPr="00335E4B">
        <w:rPr>
          <w:rFonts w:cs="Traditional Arabic"/>
          <w:b/>
          <w:sz w:val="20"/>
          <w:szCs w:val="30"/>
          <w:rtl/>
        </w:rPr>
        <w:t xml:space="preserve">وعلى النحو الموصوف في القسم </w:t>
      </w:r>
      <w:r w:rsidR="00386BEC">
        <w:rPr>
          <w:rFonts w:cs="Traditional Arabic" w:hint="cs"/>
          <w:b/>
          <w:sz w:val="20"/>
          <w:szCs w:val="30"/>
          <w:rtl/>
        </w:rPr>
        <w:t>0</w:t>
      </w:r>
      <w:r w:rsidRPr="00335E4B">
        <w:rPr>
          <w:rFonts w:cs="Traditional Arabic" w:hint="cs"/>
          <w:b/>
          <w:sz w:val="20"/>
          <w:szCs w:val="30"/>
          <w:rtl/>
        </w:rPr>
        <w:t>،</w:t>
      </w:r>
      <w:r w:rsidRPr="00335E4B">
        <w:rPr>
          <w:rFonts w:cs="Traditional Arabic"/>
          <w:b/>
          <w:sz w:val="20"/>
          <w:szCs w:val="30"/>
          <w:rtl/>
        </w:rPr>
        <w:t xml:space="preserve"> قد تحقق المنافع المشتركة لتقنيات تخفيف التلوث بالغاز والجسيمات ومنشآت تصنيع الحمض أيضاً قدراً مقبولاً من الانبعاثات الطفيفة </w:t>
      </w:r>
      <w:r w:rsidRPr="00335E4B">
        <w:rPr>
          <w:rFonts w:cs="Traditional Arabic" w:hint="cs"/>
          <w:b/>
          <w:sz w:val="20"/>
          <w:szCs w:val="30"/>
          <w:rtl/>
        </w:rPr>
        <w:t>للزئبق.</w:t>
      </w:r>
    </w:p>
    <w:p w:rsidR="008F1516" w:rsidRDefault="008F1516" w:rsidP="004F5C55">
      <w:pPr>
        <w:spacing w:after="120" w:line="380" w:lineRule="exact"/>
        <w:jc w:val="both"/>
        <w:rPr>
          <w:rFonts w:cs="Traditional Arabic"/>
          <w:b/>
          <w:bCs/>
          <w:sz w:val="18"/>
          <w:szCs w:val="30"/>
          <w:rtl/>
          <w:lang w:val="en-GB" w:bidi="ar-EG"/>
        </w:rPr>
      </w:pPr>
      <w:r>
        <w:rPr>
          <w:rFonts w:cs="Traditional Arabic"/>
          <w:b/>
          <w:bCs/>
          <w:sz w:val="18"/>
          <w:szCs w:val="30"/>
          <w:rtl/>
          <w:lang w:val="en-GB" w:bidi="ar-EG"/>
        </w:rPr>
        <w:br w:type="page"/>
      </w:r>
    </w:p>
    <w:p w:rsidR="00335E4B" w:rsidRPr="00335E4B" w:rsidRDefault="00BC1DB4" w:rsidP="008F1516">
      <w:pPr>
        <w:spacing w:line="380" w:lineRule="exact"/>
        <w:jc w:val="both"/>
        <w:rPr>
          <w:rFonts w:cs="Traditional Arabic"/>
          <w:b/>
          <w:bCs/>
          <w:sz w:val="18"/>
          <w:szCs w:val="30"/>
          <w:rtl/>
          <w:lang w:val="en-GB" w:bidi="ar-EG"/>
        </w:rPr>
      </w:pPr>
      <w:r>
        <w:rPr>
          <w:rFonts w:cs="Traditional Arabic" w:hint="cs"/>
          <w:b/>
          <w:bCs/>
          <w:sz w:val="18"/>
          <w:szCs w:val="30"/>
          <w:rtl/>
          <w:lang w:val="en-GB" w:bidi="ar-EG"/>
        </w:rPr>
        <w:t>الجدول 3</w:t>
      </w:r>
    </w:p>
    <w:p w:rsidR="00335E4B" w:rsidRPr="00335E4B" w:rsidRDefault="00335E4B" w:rsidP="008F1516">
      <w:pPr>
        <w:spacing w:after="40" w:line="380" w:lineRule="exact"/>
        <w:jc w:val="both"/>
        <w:rPr>
          <w:rFonts w:cs="Traditional Arabic"/>
          <w:sz w:val="18"/>
          <w:szCs w:val="30"/>
          <w:rtl/>
          <w:lang w:val="en-GB" w:bidi="ar-EG"/>
        </w:rPr>
      </w:pPr>
      <w:r w:rsidRPr="00335E4B">
        <w:rPr>
          <w:rFonts w:cs="Traditional Arabic"/>
          <w:sz w:val="18"/>
          <w:szCs w:val="30"/>
          <w:rtl/>
          <w:lang w:val="en-GB" w:bidi="ar-EG"/>
        </w:rPr>
        <w:t>ملخص لتقنيات التحكم الموجهة حصراً إلى الزئبق في عمليات الصهر والتحميص للمعادن غير الحديدية (يبين الأداء القياسي للانبعاث، وقد لا يظهر ذلك جميع الحالات الممكنة)</w:t>
      </w:r>
      <w:r w:rsidRPr="00335E4B">
        <w:rPr>
          <w:rFonts w:cs="Traditional Arabic" w:hint="cs"/>
          <w:sz w:val="18"/>
          <w:szCs w:val="30"/>
          <w:vertAlign w:val="superscript"/>
          <w:rtl/>
          <w:lang w:val="en-GB" w:bidi="ar-EG"/>
        </w:rPr>
        <w:t>(38)(41)</w:t>
      </w:r>
      <w:r w:rsidRPr="00335E4B">
        <w:rPr>
          <w:rFonts w:cs="Traditional Arabic"/>
          <w:sz w:val="18"/>
          <w:szCs w:val="30"/>
          <w:rtl/>
          <w:lang w:val="en-GB" w:bidi="ar-EG"/>
        </w:rPr>
        <w:t xml:space="preserve"> </w:t>
      </w:r>
      <w:r w:rsidRPr="00335E4B">
        <w:rPr>
          <w:rFonts w:cs="Times New Roman"/>
          <w:sz w:val="20"/>
          <w:szCs w:val="20"/>
          <w:rtl/>
          <w:lang w:val="en-GB" w:bidi="ar-EG"/>
        </w:rPr>
        <w:t>(</w:t>
      </w:r>
      <w:r w:rsidRPr="00335E4B">
        <w:rPr>
          <w:rFonts w:cs="Times New Roman"/>
          <w:sz w:val="20"/>
          <w:szCs w:val="20"/>
          <w:lang w:val="en-GB" w:bidi="ar-EG"/>
        </w:rPr>
        <w:t>UNECE 2013</w:t>
      </w:r>
      <w:r w:rsidRPr="00335E4B">
        <w:rPr>
          <w:rFonts w:cs="Times New Roman"/>
          <w:sz w:val="20"/>
          <w:szCs w:val="20"/>
          <w:rtl/>
          <w:lang w:val="en-GB" w:bidi="ar-EG"/>
        </w:rPr>
        <w:t>)</w:t>
      </w:r>
    </w:p>
    <w:tbl>
      <w:tblPr>
        <w:bidiVisual/>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63"/>
        <w:gridCol w:w="1968"/>
        <w:gridCol w:w="2418"/>
        <w:gridCol w:w="1987"/>
        <w:gridCol w:w="1640"/>
      </w:tblGrid>
      <w:tr w:rsidR="00335E4B" w:rsidRPr="00335E4B" w:rsidTr="00D002D1">
        <w:trPr>
          <w:trHeight w:val="20"/>
        </w:trPr>
        <w:tc>
          <w:tcPr>
            <w:tcW w:w="2132" w:type="dxa"/>
            <w:shd w:val="clear" w:color="auto" w:fill="9BBB59"/>
          </w:tcPr>
          <w:p w:rsidR="00335E4B" w:rsidRPr="008F1516" w:rsidRDefault="00335E4B" w:rsidP="00335E4B">
            <w:pPr>
              <w:spacing w:line="280" w:lineRule="exact"/>
              <w:jc w:val="center"/>
              <w:rPr>
                <w:rFonts w:ascii="Traditional Arabic" w:hAnsi="Traditional Arabic" w:cs="Traditional Arabic"/>
                <w:b/>
                <w:bCs/>
                <w:sz w:val="26"/>
                <w:szCs w:val="26"/>
                <w:rtl/>
              </w:rPr>
            </w:pPr>
            <w:r w:rsidRPr="008F1516">
              <w:rPr>
                <w:rFonts w:ascii="Traditional Arabic" w:hAnsi="Traditional Arabic" w:cs="Traditional Arabic"/>
                <w:b/>
                <w:bCs/>
                <w:sz w:val="26"/>
                <w:szCs w:val="26"/>
                <w:rtl/>
              </w:rPr>
              <w:t>تقنيات التحكم بالانبعاثات</w:t>
            </w:r>
          </w:p>
        </w:tc>
        <w:tc>
          <w:tcPr>
            <w:tcW w:w="3119" w:type="dxa"/>
            <w:shd w:val="clear" w:color="auto" w:fill="9BBB59"/>
          </w:tcPr>
          <w:p w:rsidR="00335E4B" w:rsidRPr="008F1516" w:rsidRDefault="00335E4B" w:rsidP="00335E4B">
            <w:pPr>
              <w:tabs>
                <w:tab w:val="left" w:pos="663"/>
                <w:tab w:val="left" w:pos="1117"/>
                <w:tab w:val="left" w:pos="2230"/>
                <w:tab w:val="center" w:pos="5468"/>
              </w:tabs>
              <w:spacing w:after="40" w:line="280" w:lineRule="exact"/>
              <w:jc w:val="center"/>
              <w:rPr>
                <w:rFonts w:ascii="Traditional Arabic" w:hAnsi="Traditional Arabic" w:cs="Traditional Arabic"/>
                <w:b/>
                <w:bCs/>
                <w:sz w:val="26"/>
                <w:szCs w:val="26"/>
                <w:rtl/>
              </w:rPr>
            </w:pPr>
            <w:r w:rsidRPr="008F1516">
              <w:rPr>
                <w:rFonts w:ascii="Traditional Arabic" w:hAnsi="Traditional Arabic" w:cs="Traditional Arabic"/>
                <w:b/>
                <w:bCs/>
                <w:sz w:val="26"/>
                <w:szCs w:val="26"/>
                <w:rtl/>
              </w:rPr>
              <w:t>الوصف</w:t>
            </w:r>
          </w:p>
        </w:tc>
        <w:tc>
          <w:tcPr>
            <w:tcW w:w="3883" w:type="dxa"/>
            <w:shd w:val="clear" w:color="auto" w:fill="9BBB59"/>
          </w:tcPr>
          <w:p w:rsidR="00335E4B" w:rsidRPr="008F1516" w:rsidRDefault="00335E4B" w:rsidP="00335E4B">
            <w:pPr>
              <w:tabs>
                <w:tab w:val="center" w:pos="5468"/>
              </w:tabs>
              <w:spacing w:after="40" w:line="280" w:lineRule="exact"/>
              <w:jc w:val="center"/>
              <w:rPr>
                <w:rFonts w:ascii="Traditional Arabic" w:hAnsi="Traditional Arabic" w:cs="Traditional Arabic"/>
                <w:b/>
                <w:bCs/>
                <w:sz w:val="26"/>
                <w:szCs w:val="26"/>
                <w:rtl/>
              </w:rPr>
            </w:pPr>
            <w:r w:rsidRPr="008F1516">
              <w:rPr>
                <w:rFonts w:ascii="Traditional Arabic" w:hAnsi="Traditional Arabic" w:cs="Traditional Arabic"/>
                <w:b/>
                <w:bCs/>
                <w:sz w:val="26"/>
                <w:szCs w:val="26"/>
                <w:rtl/>
              </w:rPr>
              <w:t>الأداء القياسي (كفاءة إزالة الزئبق)</w:t>
            </w:r>
            <w:r w:rsidRPr="008F1516">
              <w:rPr>
                <w:rFonts w:ascii="Traditional Arabic" w:hAnsi="Traditional Arabic" w:cs="Traditional Arabic"/>
                <w:b/>
                <w:bCs/>
                <w:sz w:val="26"/>
                <w:szCs w:val="26"/>
                <w:vertAlign w:val="superscript"/>
                <w:rtl/>
              </w:rPr>
              <w:t>(أ)</w:t>
            </w:r>
          </w:p>
        </w:tc>
        <w:tc>
          <w:tcPr>
            <w:tcW w:w="2779" w:type="dxa"/>
            <w:shd w:val="clear" w:color="auto" w:fill="9BBB59"/>
          </w:tcPr>
          <w:p w:rsidR="00335E4B" w:rsidRPr="008F1516" w:rsidRDefault="00335E4B" w:rsidP="00335E4B">
            <w:pPr>
              <w:tabs>
                <w:tab w:val="center" w:pos="5468"/>
              </w:tabs>
              <w:spacing w:after="40" w:line="280" w:lineRule="exact"/>
              <w:jc w:val="center"/>
              <w:rPr>
                <w:rFonts w:ascii="Traditional Arabic" w:hAnsi="Traditional Arabic" w:cs="Traditional Arabic"/>
                <w:b/>
                <w:bCs/>
                <w:sz w:val="26"/>
                <w:szCs w:val="26"/>
                <w:rtl/>
              </w:rPr>
            </w:pPr>
            <w:r w:rsidRPr="008F1516">
              <w:rPr>
                <w:rFonts w:ascii="Traditional Arabic" w:hAnsi="Traditional Arabic" w:cs="Traditional Arabic"/>
                <w:b/>
                <w:bCs/>
                <w:sz w:val="26"/>
                <w:szCs w:val="26"/>
                <w:rtl/>
              </w:rPr>
              <w:t>المزايا</w:t>
            </w:r>
            <w:r w:rsidRPr="008F1516">
              <w:rPr>
                <w:rFonts w:ascii="Traditional Arabic" w:hAnsi="Traditional Arabic" w:cs="Traditional Arabic"/>
                <w:b/>
                <w:bCs/>
                <w:sz w:val="26"/>
                <w:szCs w:val="26"/>
                <w:rtl/>
                <w:lang w:val="en-GB" w:bidi="ar-EG"/>
              </w:rPr>
              <w:t>/</w:t>
            </w:r>
            <w:r w:rsidRPr="008F1516">
              <w:rPr>
                <w:rFonts w:ascii="Traditional Arabic" w:hAnsi="Traditional Arabic" w:cs="Traditional Arabic"/>
                <w:b/>
                <w:bCs/>
                <w:sz w:val="26"/>
                <w:szCs w:val="26"/>
                <w:rtl/>
              </w:rPr>
              <w:t>التعليقات</w:t>
            </w:r>
          </w:p>
        </w:tc>
        <w:tc>
          <w:tcPr>
            <w:tcW w:w="2552" w:type="dxa"/>
            <w:shd w:val="clear" w:color="auto" w:fill="9BBB59"/>
          </w:tcPr>
          <w:p w:rsidR="00335E4B" w:rsidRPr="008F1516" w:rsidRDefault="00335E4B" w:rsidP="00335E4B">
            <w:pPr>
              <w:tabs>
                <w:tab w:val="left" w:pos="663"/>
                <w:tab w:val="left" w:pos="1117"/>
                <w:tab w:val="left" w:pos="2230"/>
                <w:tab w:val="center" w:pos="5468"/>
              </w:tabs>
              <w:spacing w:after="40" w:line="280" w:lineRule="exact"/>
              <w:jc w:val="center"/>
              <w:rPr>
                <w:rFonts w:ascii="Traditional Arabic" w:hAnsi="Traditional Arabic" w:cs="Traditional Arabic"/>
                <w:b/>
                <w:bCs/>
                <w:sz w:val="26"/>
                <w:szCs w:val="26"/>
                <w:rtl/>
              </w:rPr>
            </w:pPr>
            <w:r w:rsidRPr="008F1516">
              <w:rPr>
                <w:rFonts w:ascii="Traditional Arabic" w:hAnsi="Traditional Arabic" w:cs="Traditional Arabic"/>
                <w:b/>
                <w:bCs/>
                <w:sz w:val="26"/>
                <w:szCs w:val="26"/>
                <w:rtl/>
              </w:rPr>
              <w:t>المساوئ</w:t>
            </w:r>
          </w:p>
        </w:tc>
      </w:tr>
      <w:tr w:rsidR="00335E4B" w:rsidRPr="00335E4B" w:rsidTr="00D002D1">
        <w:tc>
          <w:tcPr>
            <w:tcW w:w="2132" w:type="dxa"/>
            <w:shd w:val="clear" w:color="auto" w:fill="auto"/>
          </w:tcPr>
          <w:p w:rsidR="00335E4B" w:rsidRPr="008F1516" w:rsidRDefault="00335E4B" w:rsidP="00335E4B">
            <w:pPr>
              <w:tabs>
                <w:tab w:val="center" w:pos="5468"/>
              </w:tabs>
              <w:spacing w:after="40" w:line="280" w:lineRule="exact"/>
              <w:rPr>
                <w:rFonts w:ascii="Traditional Arabic" w:hAnsi="Traditional Arabic" w:cs="Traditional Arabic"/>
                <w:b/>
                <w:bCs/>
                <w:sz w:val="26"/>
                <w:szCs w:val="26"/>
                <w:rtl/>
              </w:rPr>
            </w:pPr>
            <w:r w:rsidRPr="008F1516">
              <w:rPr>
                <w:rFonts w:ascii="Traditional Arabic" w:hAnsi="Traditional Arabic" w:cs="Traditional Arabic"/>
                <w:b/>
                <w:bCs/>
                <w:sz w:val="26"/>
                <w:szCs w:val="26"/>
                <w:rtl/>
              </w:rPr>
              <w:t>عملية بوليدين</w:t>
            </w:r>
            <w:r w:rsidRPr="008F1516">
              <w:rPr>
                <w:rFonts w:ascii="Traditional Arabic" w:hAnsi="Traditional Arabic" w:cs="Traditional Arabic"/>
                <w:b/>
                <w:bCs/>
                <w:sz w:val="26"/>
                <w:szCs w:val="26"/>
                <w:rtl/>
                <w:lang w:val="en-GB" w:bidi="ar-EG"/>
              </w:rPr>
              <w:t>-</w:t>
            </w:r>
            <w:r w:rsidRPr="008F1516">
              <w:rPr>
                <w:rFonts w:ascii="Traditional Arabic" w:hAnsi="Traditional Arabic" w:cs="Traditional Arabic"/>
                <w:b/>
                <w:bCs/>
                <w:sz w:val="26"/>
                <w:szCs w:val="26"/>
                <w:rtl/>
              </w:rPr>
              <w:t>نورزينك</w:t>
            </w:r>
          </w:p>
        </w:tc>
        <w:tc>
          <w:tcPr>
            <w:tcW w:w="3119" w:type="dxa"/>
            <w:shd w:val="clear" w:color="auto" w:fill="auto"/>
          </w:tcPr>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بناء على جهاز شطف رطب باستخدام تفاعل بين كلوريد الزئبق (ثنائي التكافؤ) والزئبق لتشكيل كلوريد الزئبق (أحادي التكافؤ) (كالوميل) الذي يترسب من المحلول المائي</w:t>
            </w:r>
            <w:r w:rsidRPr="008F1516">
              <w:rPr>
                <w:rFonts w:ascii="Traditional Arabic" w:hAnsi="Traditional Arabic" w:cs="Traditional Arabic"/>
                <w:sz w:val="26"/>
                <w:szCs w:val="26"/>
                <w:rtl/>
                <w:lang w:val="en-GB" w:bidi="ar-EG"/>
              </w:rPr>
              <w:t>.</w:t>
            </w:r>
          </w:p>
        </w:tc>
        <w:tc>
          <w:tcPr>
            <w:tcW w:w="3883" w:type="dxa"/>
            <w:shd w:val="clear" w:color="auto" w:fill="auto"/>
          </w:tcPr>
          <w:p w:rsidR="00335E4B" w:rsidRPr="008F1516" w:rsidRDefault="00335E4B" w:rsidP="00335E4B">
            <w:pPr>
              <w:tabs>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99,7</w:t>
            </w:r>
            <w:r w:rsidRPr="008F1516">
              <w:rPr>
                <w:rFonts w:ascii="Traditional Arabic" w:hAnsi="Traditional Arabic" w:cs="Traditional Arabic"/>
                <w:sz w:val="26"/>
                <w:szCs w:val="26"/>
                <w:rtl/>
                <w:lang w:val="en-GB" w:bidi="ar-EG"/>
              </w:rPr>
              <w:t xml:space="preserve"> في المائة</w:t>
            </w:r>
          </w:p>
          <w:p w:rsidR="00335E4B" w:rsidRPr="008F1516" w:rsidRDefault="00335E4B" w:rsidP="00335E4B">
            <w:pPr>
              <w:tabs>
                <w:tab w:val="center" w:pos="5468"/>
              </w:tabs>
              <w:spacing w:after="40" w:line="280" w:lineRule="exact"/>
              <w:jc w:val="both"/>
              <w:rPr>
                <w:rFonts w:ascii="Traditional Arabic" w:hAnsi="Traditional Arabic" w:cs="Traditional Arabic"/>
                <w:sz w:val="26"/>
                <w:szCs w:val="26"/>
                <w:vertAlign w:val="superscript"/>
                <w:rtl/>
              </w:rPr>
            </w:pPr>
            <w:r w:rsidRPr="008F1516">
              <w:rPr>
                <w:rFonts w:ascii="Traditional Arabic" w:hAnsi="Traditional Arabic" w:cs="Traditional Arabic"/>
                <w:sz w:val="26"/>
                <w:szCs w:val="26"/>
                <w:rtl/>
                <w:lang w:val="en-GB" w:bidi="ar-EG"/>
              </w:rPr>
              <w:t xml:space="preserve">- </w:t>
            </w:r>
            <w:r w:rsidRPr="008F1516">
              <w:rPr>
                <w:rFonts w:ascii="Traditional Arabic" w:hAnsi="Traditional Arabic" w:cs="Traditional Arabic"/>
                <w:sz w:val="26"/>
                <w:szCs w:val="26"/>
                <w:rtl/>
              </w:rPr>
              <w:t>تركيز منفذ الدخول</w:t>
            </w:r>
            <w:r w:rsidRPr="008F1516">
              <w:rPr>
                <w:rFonts w:ascii="Traditional Arabic" w:hAnsi="Traditional Arabic" w:cs="Traditional Arabic"/>
                <w:sz w:val="26"/>
                <w:szCs w:val="26"/>
                <w:rtl/>
                <w:lang w:val="en-GB" w:bidi="ar-EG"/>
              </w:rPr>
              <w:t xml:space="preserve">: </w:t>
            </w:r>
            <w:r w:rsidRPr="008F1516">
              <w:rPr>
                <w:rFonts w:ascii="Traditional Arabic" w:hAnsi="Traditional Arabic" w:cs="Traditional Arabic"/>
                <w:sz w:val="26"/>
                <w:szCs w:val="26"/>
                <w:rtl/>
              </w:rPr>
              <w:t>حوالي</w:t>
            </w:r>
            <w:r w:rsidRPr="008F1516">
              <w:rPr>
                <w:rFonts w:ascii="Traditional Arabic" w:hAnsi="Traditional Arabic" w:cs="Traditional Arabic"/>
                <w:sz w:val="26"/>
                <w:szCs w:val="26"/>
                <w:rtl/>
                <w:lang w:val="en-GB" w:bidi="ar-EG"/>
              </w:rPr>
              <w:t xml:space="preserve"> 9900 ميكرو</w:t>
            </w:r>
            <w:r w:rsidRPr="008F1516">
              <w:rPr>
                <w:rFonts w:ascii="Traditional Arabic" w:hAnsi="Traditional Arabic" w:cs="Traditional Arabic"/>
                <w:sz w:val="26"/>
                <w:szCs w:val="26"/>
                <w:rtl/>
              </w:rPr>
              <w:t>غرام</w:t>
            </w:r>
            <w:r w:rsidRPr="008F1516">
              <w:rPr>
                <w:rFonts w:ascii="Traditional Arabic" w:hAnsi="Traditional Arabic" w:cs="Traditional Arabic"/>
                <w:sz w:val="26"/>
                <w:szCs w:val="26"/>
                <w:rtl/>
                <w:lang w:val="en-GB" w:bidi="ar-EG"/>
              </w:rPr>
              <w:t>/</w:t>
            </w:r>
            <w:r w:rsidRPr="008F1516">
              <w:rPr>
                <w:rFonts w:ascii="Traditional Arabic" w:hAnsi="Traditional Arabic" w:cs="Traditional Arabic"/>
                <w:sz w:val="26"/>
                <w:szCs w:val="26"/>
                <w:rtl/>
              </w:rPr>
              <w:t>متر مكعب</w:t>
            </w:r>
          </w:p>
          <w:p w:rsidR="00335E4B" w:rsidRPr="008F1516" w:rsidRDefault="00335E4B" w:rsidP="00335E4B">
            <w:pPr>
              <w:tabs>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٧٤</w:t>
            </w:r>
            <w:r w:rsidRPr="008F1516">
              <w:rPr>
                <w:rFonts w:ascii="Traditional Arabic" w:hAnsi="Traditional Arabic" w:cs="Traditional Arabic"/>
                <w:sz w:val="26"/>
                <w:szCs w:val="26"/>
                <w:rtl/>
                <w:lang w:val="en-GB" w:bidi="ar-EG"/>
              </w:rPr>
              <w:t xml:space="preserve"> في المائة</w:t>
            </w:r>
          </w:p>
          <w:p w:rsidR="00335E4B" w:rsidRPr="008F1516" w:rsidRDefault="00335E4B" w:rsidP="00335E4B">
            <w:pPr>
              <w:tabs>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lang w:val="en-GB" w:bidi="ar-EG"/>
              </w:rPr>
              <w:t xml:space="preserve">- </w:t>
            </w:r>
            <w:r w:rsidRPr="008F1516">
              <w:rPr>
                <w:rFonts w:ascii="Traditional Arabic" w:hAnsi="Traditional Arabic" w:cs="Traditional Arabic"/>
                <w:sz w:val="26"/>
                <w:szCs w:val="26"/>
                <w:rtl/>
              </w:rPr>
              <w:t>التركيز لمنفذ الدخول</w:t>
            </w:r>
            <w:r w:rsidRPr="008F1516">
              <w:rPr>
                <w:rFonts w:ascii="Traditional Arabic" w:hAnsi="Traditional Arabic" w:cs="Traditional Arabic"/>
                <w:sz w:val="26"/>
                <w:szCs w:val="26"/>
                <w:rtl/>
                <w:lang w:val="en-GB" w:bidi="ar-EG"/>
              </w:rPr>
              <w:t xml:space="preserve"> 51 ميكرو</w:t>
            </w:r>
            <w:r w:rsidRPr="008F1516">
              <w:rPr>
                <w:rFonts w:ascii="Traditional Arabic" w:hAnsi="Traditional Arabic" w:cs="Traditional Arabic"/>
                <w:sz w:val="26"/>
                <w:szCs w:val="26"/>
                <w:rtl/>
              </w:rPr>
              <w:t>غرام</w:t>
            </w:r>
            <w:r w:rsidRPr="008F1516">
              <w:rPr>
                <w:rFonts w:ascii="Traditional Arabic" w:hAnsi="Traditional Arabic" w:cs="Traditional Arabic"/>
                <w:sz w:val="26"/>
                <w:szCs w:val="26"/>
                <w:rtl/>
                <w:lang w:val="en-GB" w:bidi="ar-EG"/>
              </w:rPr>
              <w:t>/</w:t>
            </w:r>
            <w:r w:rsidRPr="008F1516">
              <w:rPr>
                <w:rFonts w:ascii="Traditional Arabic" w:hAnsi="Traditional Arabic" w:cs="Traditional Arabic"/>
                <w:sz w:val="26"/>
                <w:szCs w:val="26"/>
                <w:rtl/>
              </w:rPr>
              <w:t xml:space="preserve">متر مكعب </w:t>
            </w:r>
          </w:p>
        </w:tc>
        <w:tc>
          <w:tcPr>
            <w:tcW w:w="2779" w:type="dxa"/>
            <w:shd w:val="clear" w:color="auto" w:fill="auto"/>
          </w:tcPr>
          <w:p w:rsidR="00335E4B" w:rsidRPr="008F1516" w:rsidRDefault="00335E4B" w:rsidP="00335E4B">
            <w:pPr>
              <w:tabs>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ثبتت على نطاق واسع</w:t>
            </w:r>
          </w:p>
        </w:tc>
        <w:tc>
          <w:tcPr>
            <w:tcW w:w="2552" w:type="dxa"/>
            <w:shd w:val="clear" w:color="auto" w:fill="auto"/>
          </w:tcPr>
          <w:p w:rsidR="00335E4B" w:rsidRPr="008F1516" w:rsidRDefault="00335E4B" w:rsidP="00335E4B">
            <w:pPr>
              <w:tabs>
                <w:tab w:val="left" w:pos="663"/>
                <w:tab w:val="left" w:pos="1117"/>
                <w:tab w:val="left" w:pos="2230"/>
                <w:tab w:val="center" w:pos="5468"/>
              </w:tabs>
              <w:spacing w:after="40" w:line="280" w:lineRule="exact"/>
              <w:rPr>
                <w:rFonts w:ascii="Traditional Arabic" w:hAnsi="Traditional Arabic" w:cs="Traditional Arabic"/>
                <w:sz w:val="26"/>
                <w:szCs w:val="26"/>
                <w:rtl/>
              </w:rPr>
            </w:pPr>
            <w:r w:rsidRPr="008F1516">
              <w:rPr>
                <w:rFonts w:ascii="Traditional Arabic" w:hAnsi="Traditional Arabic" w:cs="Traditional Arabic"/>
                <w:sz w:val="26"/>
                <w:szCs w:val="26"/>
                <w:rtl/>
              </w:rPr>
              <w:t>معالجة غاز الكلور</w:t>
            </w:r>
          </w:p>
          <w:p w:rsidR="00335E4B" w:rsidRPr="008F1516" w:rsidRDefault="00335E4B" w:rsidP="00335E4B">
            <w:pPr>
              <w:tabs>
                <w:tab w:val="left" w:pos="663"/>
                <w:tab w:val="left" w:pos="1117"/>
                <w:tab w:val="left" w:pos="2230"/>
                <w:tab w:val="center" w:pos="5468"/>
              </w:tabs>
              <w:spacing w:after="40" w:line="280" w:lineRule="exact"/>
              <w:rPr>
                <w:rFonts w:ascii="Traditional Arabic" w:hAnsi="Traditional Arabic" w:cs="Traditional Arabic"/>
                <w:sz w:val="26"/>
                <w:szCs w:val="26"/>
                <w:rtl/>
              </w:rPr>
            </w:pPr>
            <w:r w:rsidRPr="008F1516">
              <w:rPr>
                <w:rFonts w:ascii="Traditional Arabic" w:hAnsi="Traditional Arabic" w:cs="Traditional Arabic"/>
                <w:sz w:val="26"/>
                <w:szCs w:val="26"/>
                <w:rtl/>
              </w:rPr>
              <w:t>معالجة الكالوميل</w:t>
            </w:r>
          </w:p>
          <w:p w:rsidR="00335E4B" w:rsidRPr="008F1516" w:rsidRDefault="00335E4B" w:rsidP="00335E4B">
            <w:pPr>
              <w:tabs>
                <w:tab w:val="left" w:pos="663"/>
                <w:tab w:val="left" w:pos="1117"/>
                <w:tab w:val="left" w:pos="2230"/>
                <w:tab w:val="center" w:pos="5468"/>
              </w:tabs>
              <w:spacing w:after="40" w:line="280" w:lineRule="exact"/>
              <w:rPr>
                <w:rFonts w:ascii="Traditional Arabic" w:hAnsi="Traditional Arabic" w:cs="Traditional Arabic"/>
                <w:sz w:val="26"/>
                <w:szCs w:val="26"/>
                <w:rtl/>
              </w:rPr>
            </w:pPr>
            <w:r w:rsidRPr="008F1516">
              <w:rPr>
                <w:rFonts w:ascii="Traditional Arabic" w:hAnsi="Traditional Arabic" w:cs="Traditional Arabic"/>
                <w:sz w:val="26"/>
                <w:szCs w:val="26"/>
                <w:rtl/>
              </w:rPr>
              <w:t>التخلص من الكالوميل كنفايات خطرة</w:t>
            </w:r>
          </w:p>
        </w:tc>
      </w:tr>
      <w:tr w:rsidR="00335E4B" w:rsidRPr="00335E4B" w:rsidTr="00D002D1">
        <w:tc>
          <w:tcPr>
            <w:tcW w:w="2132" w:type="dxa"/>
            <w:shd w:val="clear" w:color="auto" w:fill="auto"/>
          </w:tcPr>
          <w:p w:rsidR="00335E4B" w:rsidRPr="008F1516" w:rsidRDefault="00335E4B" w:rsidP="00335E4B">
            <w:pPr>
              <w:tabs>
                <w:tab w:val="center" w:pos="5468"/>
              </w:tabs>
              <w:spacing w:after="40" w:line="280" w:lineRule="exact"/>
              <w:rPr>
                <w:rFonts w:ascii="Traditional Arabic" w:hAnsi="Traditional Arabic" w:cs="Traditional Arabic"/>
                <w:b/>
                <w:bCs/>
                <w:sz w:val="26"/>
                <w:szCs w:val="26"/>
                <w:rtl/>
              </w:rPr>
            </w:pPr>
            <w:r w:rsidRPr="008F1516">
              <w:rPr>
                <w:rFonts w:ascii="Traditional Arabic" w:hAnsi="Traditional Arabic" w:cs="Traditional Arabic"/>
                <w:b/>
                <w:bCs/>
                <w:sz w:val="26"/>
                <w:szCs w:val="26"/>
                <w:rtl/>
              </w:rPr>
              <w:t>مرشحات السلنيوم</w:t>
            </w:r>
          </w:p>
        </w:tc>
        <w:tc>
          <w:tcPr>
            <w:tcW w:w="3119" w:type="dxa"/>
            <w:shd w:val="clear" w:color="auto" w:fill="auto"/>
          </w:tcPr>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يتألف مرشح السلنيوم من مادة مسامية خاملة مشبعة يحمض السيلينوز، ويتم بعد ذلك تجفيفها لترسيب السلنيوم الأحمر غير المتبلور</w:t>
            </w:r>
            <w:r w:rsidRPr="008F1516">
              <w:rPr>
                <w:rFonts w:ascii="Traditional Arabic" w:hAnsi="Traditional Arabic" w:cs="Traditional Arabic"/>
                <w:sz w:val="26"/>
                <w:szCs w:val="26"/>
                <w:rtl/>
                <w:lang w:val="en-GB" w:bidi="ar-EG"/>
              </w:rPr>
              <w:t>.</w:t>
            </w:r>
            <w:r w:rsidRPr="008F1516">
              <w:rPr>
                <w:rFonts w:ascii="Traditional Arabic" w:hAnsi="Traditional Arabic" w:cs="Traditional Arabic"/>
                <w:sz w:val="26"/>
                <w:szCs w:val="26"/>
                <w:rtl/>
              </w:rPr>
              <w:t xml:space="preserve"> ويتفاعل السلنيوم الأحمر غير المتبلور مع الزئبق في الغاز لتشكيل سلنيد الزئبق</w:t>
            </w:r>
            <w:r w:rsidRPr="008F1516">
              <w:rPr>
                <w:rFonts w:ascii="Traditional Arabic" w:hAnsi="Traditional Arabic" w:cs="Traditional Arabic"/>
                <w:sz w:val="26"/>
                <w:szCs w:val="26"/>
                <w:rtl/>
                <w:lang w:val="en-GB" w:bidi="ar-EG"/>
              </w:rPr>
              <w:t xml:space="preserve"> </w:t>
            </w:r>
            <w:r w:rsidRPr="008F1516">
              <w:rPr>
                <w:rFonts w:asciiTheme="majorBidi" w:hAnsiTheme="majorBidi" w:cstheme="majorBidi"/>
                <w:sz w:val="18"/>
                <w:szCs w:val="18"/>
                <w:rtl/>
                <w:lang w:val="en-GB" w:bidi="ar-EG"/>
              </w:rPr>
              <w:t>(</w:t>
            </w:r>
            <w:r w:rsidRPr="008F1516">
              <w:rPr>
                <w:rFonts w:asciiTheme="majorBidi" w:hAnsiTheme="majorBidi" w:cstheme="majorBidi"/>
                <w:sz w:val="18"/>
                <w:szCs w:val="18"/>
                <w:lang w:val="en-GB" w:bidi="ar-EG"/>
              </w:rPr>
              <w:t>HgSe</w:t>
            </w:r>
            <w:r w:rsidRPr="008F1516">
              <w:rPr>
                <w:rFonts w:asciiTheme="majorBidi" w:hAnsiTheme="majorBidi" w:cstheme="majorBidi"/>
                <w:sz w:val="18"/>
                <w:szCs w:val="18"/>
                <w:rtl/>
              </w:rPr>
              <w:t>)</w:t>
            </w:r>
            <w:r w:rsidRPr="008F1516">
              <w:rPr>
                <w:rFonts w:ascii="Traditional Arabic" w:hAnsi="Traditional Arabic" w:cs="Traditional Arabic"/>
                <w:sz w:val="26"/>
                <w:szCs w:val="26"/>
                <w:rtl/>
                <w:lang w:val="en-GB" w:bidi="ar-EG"/>
              </w:rPr>
              <w:t>.</w:t>
            </w:r>
          </w:p>
        </w:tc>
        <w:tc>
          <w:tcPr>
            <w:tcW w:w="3883" w:type="dxa"/>
            <w:shd w:val="clear" w:color="auto" w:fill="auto"/>
          </w:tcPr>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٩٥</w:t>
            </w:r>
            <w:r w:rsidRPr="008F1516">
              <w:rPr>
                <w:rFonts w:ascii="Traditional Arabic" w:hAnsi="Traditional Arabic" w:cs="Traditional Arabic"/>
                <w:sz w:val="26"/>
                <w:szCs w:val="26"/>
                <w:rtl/>
                <w:lang w:val="en-GB" w:bidi="ar-EG"/>
              </w:rPr>
              <w:t xml:space="preserve"> في المائة</w:t>
            </w:r>
          </w:p>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vertAlign w:val="superscript"/>
                <w:rtl/>
              </w:rPr>
            </w:pPr>
            <w:r w:rsidRPr="008F1516">
              <w:rPr>
                <w:rFonts w:ascii="Traditional Arabic" w:hAnsi="Traditional Arabic" w:cs="Traditional Arabic"/>
                <w:sz w:val="26"/>
                <w:szCs w:val="26"/>
                <w:rtl/>
                <w:lang w:val="en-GB" w:bidi="ar-EG"/>
              </w:rPr>
              <w:t xml:space="preserve">- </w:t>
            </w:r>
            <w:r w:rsidRPr="008F1516">
              <w:rPr>
                <w:rFonts w:ascii="Traditional Arabic" w:hAnsi="Traditional Arabic" w:cs="Traditional Arabic"/>
                <w:sz w:val="26"/>
                <w:szCs w:val="26"/>
                <w:rtl/>
              </w:rPr>
              <w:t>التركيز لمنفذ الدخول</w:t>
            </w:r>
            <w:r w:rsidRPr="008F1516">
              <w:rPr>
                <w:rFonts w:ascii="Traditional Arabic" w:hAnsi="Traditional Arabic" w:cs="Traditional Arabic"/>
                <w:sz w:val="26"/>
                <w:szCs w:val="26"/>
                <w:rtl/>
                <w:lang w:val="en-GB" w:bidi="ar-EG"/>
              </w:rPr>
              <w:t xml:space="preserve"> 1000 ميكرو</w:t>
            </w:r>
            <w:r w:rsidRPr="008F1516">
              <w:rPr>
                <w:rFonts w:ascii="Traditional Arabic" w:hAnsi="Traditional Arabic" w:cs="Traditional Arabic"/>
                <w:sz w:val="26"/>
                <w:szCs w:val="26"/>
                <w:rtl/>
              </w:rPr>
              <w:t>غرام</w:t>
            </w:r>
            <w:r w:rsidRPr="008F1516">
              <w:rPr>
                <w:rFonts w:ascii="Traditional Arabic" w:hAnsi="Traditional Arabic" w:cs="Traditional Arabic"/>
                <w:sz w:val="26"/>
                <w:szCs w:val="26"/>
                <w:rtl/>
                <w:lang w:val="en-GB" w:bidi="ar-EG"/>
              </w:rPr>
              <w:t>/</w:t>
            </w:r>
            <w:r w:rsidRPr="008F1516">
              <w:rPr>
                <w:rFonts w:ascii="Traditional Arabic" w:hAnsi="Traditional Arabic" w:cs="Traditional Arabic"/>
                <w:sz w:val="26"/>
                <w:szCs w:val="26"/>
                <w:rtl/>
              </w:rPr>
              <w:t>متر مكعب</w:t>
            </w:r>
          </w:p>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٧١</w:t>
            </w:r>
            <w:r w:rsidRPr="008F1516">
              <w:rPr>
                <w:rFonts w:ascii="Traditional Arabic" w:hAnsi="Traditional Arabic" w:cs="Traditional Arabic"/>
                <w:sz w:val="26"/>
                <w:szCs w:val="26"/>
                <w:rtl/>
                <w:lang w:val="en-GB" w:bidi="ar-EG"/>
              </w:rPr>
              <w:t xml:space="preserve"> في المائة</w:t>
            </w:r>
          </w:p>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lang w:val="en-GB" w:bidi="ar-EG"/>
              </w:rPr>
              <w:t xml:space="preserve">- </w:t>
            </w:r>
            <w:r w:rsidRPr="008F1516">
              <w:rPr>
                <w:rFonts w:ascii="Traditional Arabic" w:hAnsi="Traditional Arabic" w:cs="Traditional Arabic"/>
                <w:sz w:val="26"/>
                <w:szCs w:val="26"/>
                <w:rtl/>
              </w:rPr>
              <w:t>التركيز لمنفذ الدخول</w:t>
            </w:r>
            <w:r w:rsidRPr="008F1516">
              <w:rPr>
                <w:rFonts w:ascii="Traditional Arabic" w:hAnsi="Traditional Arabic" w:cs="Traditional Arabic"/>
                <w:sz w:val="26"/>
                <w:szCs w:val="26"/>
                <w:rtl/>
                <w:lang w:val="en-GB" w:bidi="ar-EG"/>
              </w:rPr>
              <w:t xml:space="preserve"> 42 </w:t>
            </w:r>
            <w:r w:rsidRPr="008F1516">
              <w:rPr>
                <w:rFonts w:ascii="Traditional Arabic" w:hAnsi="Traditional Arabic" w:cs="Traditional Arabic"/>
                <w:sz w:val="26"/>
                <w:szCs w:val="26"/>
                <w:rtl/>
              </w:rPr>
              <w:t>ميكروغرام</w:t>
            </w:r>
            <w:r w:rsidRPr="008F1516">
              <w:rPr>
                <w:rFonts w:ascii="Traditional Arabic" w:hAnsi="Traditional Arabic" w:cs="Traditional Arabic"/>
                <w:sz w:val="26"/>
                <w:szCs w:val="26"/>
                <w:rtl/>
                <w:lang w:val="en-GB" w:bidi="ar-EG"/>
              </w:rPr>
              <w:t>/</w:t>
            </w:r>
            <w:r w:rsidRPr="008F1516">
              <w:rPr>
                <w:rFonts w:ascii="Traditional Arabic" w:hAnsi="Traditional Arabic" w:cs="Traditional Arabic"/>
                <w:sz w:val="26"/>
                <w:szCs w:val="26"/>
                <w:rtl/>
              </w:rPr>
              <w:t>متر مكعب</w:t>
            </w:r>
          </w:p>
        </w:tc>
        <w:tc>
          <w:tcPr>
            <w:tcW w:w="2779" w:type="dxa"/>
            <w:shd w:val="clear" w:color="auto" w:fill="auto"/>
          </w:tcPr>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 xml:space="preserve">تناسب بوجه خاص التركيزات المنخفضة للزئبق في الغاز </w:t>
            </w:r>
          </w:p>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p>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جرى تركيبها بنجاح في المنشآت الميتالورجية</w:t>
            </w:r>
          </w:p>
        </w:tc>
        <w:tc>
          <w:tcPr>
            <w:tcW w:w="2552" w:type="dxa"/>
            <w:shd w:val="clear" w:color="auto" w:fill="auto"/>
          </w:tcPr>
          <w:p w:rsidR="00335E4B" w:rsidRPr="008F1516" w:rsidRDefault="00335E4B" w:rsidP="00335E4B">
            <w:pPr>
              <w:tabs>
                <w:tab w:val="left" w:pos="663"/>
                <w:tab w:val="left" w:pos="1117"/>
                <w:tab w:val="left" w:pos="2230"/>
                <w:tab w:val="center" w:pos="5468"/>
              </w:tabs>
              <w:spacing w:after="40" w:line="280" w:lineRule="exact"/>
              <w:rPr>
                <w:rFonts w:ascii="Traditional Arabic" w:hAnsi="Traditional Arabic" w:cs="Traditional Arabic"/>
                <w:sz w:val="26"/>
                <w:szCs w:val="26"/>
                <w:rtl/>
              </w:rPr>
            </w:pPr>
            <w:r w:rsidRPr="008F1516">
              <w:rPr>
                <w:rFonts w:ascii="Traditional Arabic" w:hAnsi="Traditional Arabic" w:cs="Traditional Arabic"/>
                <w:sz w:val="26"/>
                <w:szCs w:val="26"/>
                <w:rtl/>
              </w:rPr>
              <w:t>تركيز محدود للزئبق عند منفذ الدخول</w:t>
            </w:r>
          </w:p>
          <w:p w:rsidR="00335E4B" w:rsidRPr="008F1516" w:rsidRDefault="00335E4B" w:rsidP="00335E4B">
            <w:pPr>
              <w:tabs>
                <w:tab w:val="left" w:pos="663"/>
                <w:tab w:val="left" w:pos="1117"/>
                <w:tab w:val="left" w:pos="2230"/>
                <w:tab w:val="center" w:pos="5468"/>
              </w:tabs>
              <w:spacing w:after="40" w:line="280" w:lineRule="exact"/>
              <w:rPr>
                <w:rFonts w:ascii="Traditional Arabic" w:hAnsi="Traditional Arabic" w:cs="Traditional Arabic"/>
                <w:sz w:val="26"/>
                <w:szCs w:val="26"/>
                <w:rtl/>
              </w:rPr>
            </w:pPr>
            <w:r w:rsidRPr="008F1516">
              <w:rPr>
                <w:rFonts w:ascii="Traditional Arabic" w:hAnsi="Traditional Arabic" w:cs="Traditional Arabic"/>
                <w:sz w:val="26"/>
                <w:szCs w:val="26"/>
                <w:rtl/>
              </w:rPr>
              <w:t>يلزم التخلص السليم بيئياً من المرشح المستهلك</w:t>
            </w:r>
            <w:r w:rsidRPr="008F1516">
              <w:rPr>
                <w:rFonts w:ascii="Traditional Arabic" w:hAnsi="Traditional Arabic" w:cs="Traditional Arabic"/>
                <w:sz w:val="26"/>
                <w:szCs w:val="26"/>
                <w:rtl/>
                <w:lang w:val="en-GB" w:bidi="ar-EG"/>
              </w:rPr>
              <w:t>.</w:t>
            </w:r>
          </w:p>
        </w:tc>
      </w:tr>
      <w:tr w:rsidR="00335E4B" w:rsidRPr="00335E4B" w:rsidTr="00D002D1">
        <w:tc>
          <w:tcPr>
            <w:tcW w:w="2132" w:type="dxa"/>
            <w:shd w:val="clear" w:color="auto" w:fill="auto"/>
          </w:tcPr>
          <w:p w:rsidR="00335E4B" w:rsidRPr="008F1516" w:rsidRDefault="00335E4B" w:rsidP="00335E4B">
            <w:pPr>
              <w:tabs>
                <w:tab w:val="center" w:pos="5468"/>
              </w:tabs>
              <w:spacing w:after="40" w:line="280" w:lineRule="exact"/>
              <w:rPr>
                <w:rFonts w:ascii="Traditional Arabic" w:hAnsi="Traditional Arabic" w:cs="Traditional Arabic"/>
                <w:b/>
                <w:bCs/>
                <w:sz w:val="26"/>
                <w:szCs w:val="26"/>
                <w:rtl/>
              </w:rPr>
            </w:pPr>
            <w:r w:rsidRPr="008F1516">
              <w:rPr>
                <w:rFonts w:ascii="Traditional Arabic" w:hAnsi="Traditional Arabic" w:cs="Traditional Arabic"/>
                <w:b/>
                <w:bCs/>
                <w:sz w:val="26"/>
                <w:szCs w:val="26"/>
                <w:rtl/>
              </w:rPr>
              <w:t>طبقات الترشيح المكونة من الكربون المنشط</w:t>
            </w:r>
          </w:p>
        </w:tc>
        <w:tc>
          <w:tcPr>
            <w:tcW w:w="3119" w:type="dxa"/>
            <w:shd w:val="clear" w:color="auto" w:fill="auto"/>
          </w:tcPr>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الكربون المنشط معروف جداً بخصائص الامتصاص</w:t>
            </w:r>
            <w:r w:rsidRPr="008F1516">
              <w:rPr>
                <w:rFonts w:ascii="Traditional Arabic" w:hAnsi="Traditional Arabic" w:cs="Traditional Arabic"/>
                <w:sz w:val="26"/>
                <w:szCs w:val="26"/>
                <w:rtl/>
                <w:lang w:val="en-GB" w:bidi="ar-EG"/>
              </w:rPr>
              <w:t>.</w:t>
            </w:r>
            <w:r w:rsidRPr="008F1516">
              <w:rPr>
                <w:rFonts w:ascii="Traditional Arabic" w:hAnsi="Traditional Arabic" w:cs="Traditional Arabic"/>
                <w:sz w:val="26"/>
                <w:szCs w:val="26"/>
                <w:rtl/>
              </w:rPr>
              <w:t xml:space="preserve"> وبالنسبة لامتصاص الزئبق، يمكن للكربون المنشط أن يمتص</w:t>
            </w:r>
            <w:r w:rsidRPr="008F1516">
              <w:rPr>
                <w:rFonts w:ascii="Traditional Arabic" w:hAnsi="Traditional Arabic" w:cs="Traditional Arabic"/>
                <w:sz w:val="26"/>
                <w:szCs w:val="26"/>
                <w:rtl/>
                <w:lang w:val="en-GB" w:bidi="ar-EG"/>
              </w:rPr>
              <w:t xml:space="preserve"> 10-12 </w:t>
            </w:r>
            <w:r w:rsidRPr="008F1516">
              <w:rPr>
                <w:rFonts w:ascii="Traditional Arabic" w:hAnsi="Traditional Arabic" w:cs="Traditional Arabic"/>
                <w:sz w:val="26"/>
                <w:szCs w:val="26"/>
                <w:rtl/>
              </w:rPr>
              <w:t>في المائة من وزنه</w:t>
            </w:r>
            <w:r w:rsidRPr="008F1516">
              <w:rPr>
                <w:rFonts w:ascii="Traditional Arabic" w:hAnsi="Traditional Arabic" w:cs="Traditional Arabic"/>
                <w:sz w:val="26"/>
                <w:szCs w:val="26"/>
                <w:rtl/>
                <w:lang w:val="en-GB" w:bidi="ar-EG"/>
              </w:rPr>
              <w:t>.</w:t>
            </w:r>
          </w:p>
        </w:tc>
        <w:tc>
          <w:tcPr>
            <w:tcW w:w="3883" w:type="dxa"/>
            <w:shd w:val="clear" w:color="auto" w:fill="auto"/>
          </w:tcPr>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٩٧</w:t>
            </w:r>
            <w:r w:rsidRPr="008F1516">
              <w:rPr>
                <w:rFonts w:ascii="Traditional Arabic" w:hAnsi="Traditional Arabic" w:cs="Traditional Arabic"/>
                <w:sz w:val="26"/>
                <w:szCs w:val="26"/>
                <w:rtl/>
                <w:lang w:val="en-GB" w:bidi="ar-EG"/>
              </w:rPr>
              <w:t xml:space="preserve"> في المائة</w:t>
            </w:r>
          </w:p>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vertAlign w:val="superscript"/>
                <w:rtl/>
              </w:rPr>
            </w:pPr>
            <w:r w:rsidRPr="008F1516">
              <w:rPr>
                <w:rFonts w:ascii="Traditional Arabic" w:hAnsi="Traditional Arabic" w:cs="Traditional Arabic"/>
                <w:sz w:val="26"/>
                <w:szCs w:val="26"/>
                <w:rtl/>
                <w:lang w:val="en-GB" w:bidi="ar-EG"/>
              </w:rPr>
              <w:t xml:space="preserve">- </w:t>
            </w:r>
            <w:r w:rsidRPr="008F1516">
              <w:rPr>
                <w:rFonts w:ascii="Traditional Arabic" w:hAnsi="Traditional Arabic" w:cs="Traditional Arabic"/>
                <w:sz w:val="26"/>
                <w:szCs w:val="26"/>
                <w:rtl/>
              </w:rPr>
              <w:t>التركيز لمنفذ الدخول</w:t>
            </w:r>
            <w:r w:rsidRPr="008F1516">
              <w:rPr>
                <w:rFonts w:ascii="Traditional Arabic" w:hAnsi="Traditional Arabic" w:cs="Traditional Arabic"/>
                <w:sz w:val="26"/>
                <w:szCs w:val="26"/>
                <w:rtl/>
                <w:lang w:val="en-GB" w:bidi="ar-EG"/>
              </w:rPr>
              <w:t xml:space="preserve"> 1200 ميكرو</w:t>
            </w:r>
            <w:r w:rsidRPr="008F1516">
              <w:rPr>
                <w:rFonts w:ascii="Traditional Arabic" w:hAnsi="Traditional Arabic" w:cs="Traditional Arabic"/>
                <w:sz w:val="26"/>
                <w:szCs w:val="26"/>
                <w:rtl/>
              </w:rPr>
              <w:t>غرام</w:t>
            </w:r>
            <w:r w:rsidRPr="008F1516">
              <w:rPr>
                <w:rFonts w:ascii="Traditional Arabic" w:hAnsi="Traditional Arabic" w:cs="Traditional Arabic"/>
                <w:sz w:val="26"/>
                <w:szCs w:val="26"/>
                <w:rtl/>
                <w:lang w:val="en-GB" w:bidi="ar-EG"/>
              </w:rPr>
              <w:t>/</w:t>
            </w:r>
            <w:r w:rsidRPr="008F1516">
              <w:rPr>
                <w:rFonts w:ascii="Traditional Arabic" w:hAnsi="Traditional Arabic" w:cs="Traditional Arabic"/>
                <w:sz w:val="26"/>
                <w:szCs w:val="26"/>
                <w:rtl/>
              </w:rPr>
              <w:t>متر مكعب</w:t>
            </w:r>
          </w:p>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٩٣</w:t>
            </w:r>
            <w:r w:rsidRPr="008F1516">
              <w:rPr>
                <w:rFonts w:ascii="Traditional Arabic" w:hAnsi="Traditional Arabic" w:cs="Traditional Arabic"/>
                <w:sz w:val="26"/>
                <w:szCs w:val="26"/>
                <w:rtl/>
                <w:lang w:val="en-GB" w:bidi="ar-EG"/>
              </w:rPr>
              <w:t xml:space="preserve"> في المائة</w:t>
            </w:r>
          </w:p>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lang w:val="en-GB" w:bidi="ar-EG"/>
              </w:rPr>
              <w:t xml:space="preserve">- </w:t>
            </w:r>
            <w:r w:rsidRPr="008F1516">
              <w:rPr>
                <w:rFonts w:ascii="Traditional Arabic" w:hAnsi="Traditional Arabic" w:cs="Traditional Arabic"/>
                <w:sz w:val="26"/>
                <w:szCs w:val="26"/>
                <w:rtl/>
              </w:rPr>
              <w:t>التركيز لمنفذ الدخول</w:t>
            </w:r>
            <w:r w:rsidRPr="008F1516">
              <w:rPr>
                <w:rFonts w:ascii="Traditional Arabic" w:hAnsi="Traditional Arabic" w:cs="Traditional Arabic"/>
                <w:sz w:val="26"/>
                <w:szCs w:val="26"/>
                <w:rtl/>
                <w:lang w:val="en-GB" w:bidi="ar-EG"/>
              </w:rPr>
              <w:t xml:space="preserve"> 37 ميكرو</w:t>
            </w:r>
            <w:r w:rsidRPr="008F1516">
              <w:rPr>
                <w:rFonts w:ascii="Traditional Arabic" w:hAnsi="Traditional Arabic" w:cs="Traditional Arabic"/>
                <w:sz w:val="26"/>
                <w:szCs w:val="26"/>
                <w:rtl/>
              </w:rPr>
              <w:t>غرام</w:t>
            </w:r>
            <w:r w:rsidRPr="008F1516">
              <w:rPr>
                <w:rFonts w:ascii="Traditional Arabic" w:hAnsi="Traditional Arabic" w:cs="Traditional Arabic"/>
                <w:sz w:val="26"/>
                <w:szCs w:val="26"/>
                <w:rtl/>
                <w:lang w:val="en-GB" w:bidi="ar-EG"/>
              </w:rPr>
              <w:t>/</w:t>
            </w:r>
            <w:r w:rsidRPr="008F1516">
              <w:rPr>
                <w:rFonts w:ascii="Traditional Arabic" w:hAnsi="Traditional Arabic" w:cs="Traditional Arabic"/>
                <w:sz w:val="26"/>
                <w:szCs w:val="26"/>
                <w:rtl/>
              </w:rPr>
              <w:t>متر مكعب</w:t>
            </w:r>
          </w:p>
        </w:tc>
        <w:tc>
          <w:tcPr>
            <w:tcW w:w="2779" w:type="dxa"/>
            <w:shd w:val="clear" w:color="auto" w:fill="auto"/>
          </w:tcPr>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الكربون المنشط المشرب بالكبريت متاح تجارياً</w:t>
            </w:r>
          </w:p>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p>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 xml:space="preserve">تزيل الزئبق النقي </w:t>
            </w:r>
            <w:r w:rsidRPr="008F1516">
              <w:rPr>
                <w:rFonts w:asciiTheme="majorBidi" w:eastAsia="SimSun" w:hAnsiTheme="majorBidi" w:cstheme="majorBidi"/>
                <w:sz w:val="18"/>
                <w:szCs w:val="18"/>
              </w:rPr>
              <w:t>Hg</w:t>
            </w:r>
            <w:r w:rsidRPr="008F1516">
              <w:rPr>
                <w:rFonts w:asciiTheme="majorBidi" w:eastAsia="SimSun" w:hAnsiTheme="majorBidi" w:cstheme="majorBidi"/>
                <w:sz w:val="18"/>
                <w:szCs w:val="18"/>
                <w:vertAlign w:val="superscript"/>
              </w:rPr>
              <w:t>0</w:t>
            </w:r>
            <w:r w:rsidRPr="008F1516">
              <w:rPr>
                <w:rFonts w:ascii="Traditional Arabic" w:eastAsia="SimSun" w:hAnsi="Traditional Arabic" w:cs="Traditional Arabic"/>
                <w:sz w:val="26"/>
                <w:szCs w:val="26"/>
                <w:vertAlign w:val="superscript"/>
                <w:rtl/>
              </w:rPr>
              <w:t xml:space="preserve"> </w:t>
            </w:r>
            <w:r w:rsidRPr="008F1516">
              <w:rPr>
                <w:rFonts w:ascii="Traditional Arabic" w:hAnsi="Traditional Arabic" w:cs="Traditional Arabic"/>
                <w:sz w:val="26"/>
                <w:szCs w:val="26"/>
                <w:rtl/>
              </w:rPr>
              <w:t xml:space="preserve">والأنواع الأخرى </w:t>
            </w:r>
          </w:p>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احتمال منخفض لارتشاح الزئبق من الكربون المستهلك</w:t>
            </w:r>
          </w:p>
        </w:tc>
        <w:tc>
          <w:tcPr>
            <w:tcW w:w="2552" w:type="dxa"/>
            <w:shd w:val="clear" w:color="auto" w:fill="auto"/>
          </w:tcPr>
          <w:p w:rsidR="00335E4B" w:rsidRPr="008F1516" w:rsidRDefault="00335E4B" w:rsidP="00335E4B">
            <w:pPr>
              <w:tabs>
                <w:tab w:val="left" w:pos="663"/>
                <w:tab w:val="left" w:pos="1117"/>
                <w:tab w:val="left" w:pos="2230"/>
                <w:tab w:val="center" w:pos="5468"/>
              </w:tabs>
              <w:spacing w:after="40" w:line="280" w:lineRule="exact"/>
              <w:rPr>
                <w:rFonts w:ascii="Traditional Arabic" w:hAnsi="Traditional Arabic" w:cs="Traditional Arabic"/>
                <w:sz w:val="26"/>
                <w:szCs w:val="26"/>
                <w:rtl/>
              </w:rPr>
            </w:pPr>
            <w:r w:rsidRPr="008F1516">
              <w:rPr>
                <w:rFonts w:ascii="Traditional Arabic" w:hAnsi="Traditional Arabic" w:cs="Traditional Arabic"/>
                <w:sz w:val="26"/>
                <w:szCs w:val="26"/>
                <w:rtl/>
              </w:rPr>
              <w:t>يلزم التخلص من الكربون المستهلك في مدافن القمامة</w:t>
            </w:r>
          </w:p>
        </w:tc>
      </w:tr>
      <w:tr w:rsidR="00335E4B" w:rsidRPr="00335E4B" w:rsidTr="00D002D1">
        <w:tc>
          <w:tcPr>
            <w:tcW w:w="2132" w:type="dxa"/>
            <w:shd w:val="clear" w:color="auto" w:fill="auto"/>
          </w:tcPr>
          <w:p w:rsidR="00335E4B" w:rsidRPr="008F1516" w:rsidRDefault="00335E4B" w:rsidP="00335E4B">
            <w:pPr>
              <w:tabs>
                <w:tab w:val="center" w:pos="5468"/>
              </w:tabs>
              <w:spacing w:after="40" w:line="280" w:lineRule="exact"/>
              <w:rPr>
                <w:rFonts w:ascii="Traditional Arabic" w:hAnsi="Traditional Arabic" w:cs="Traditional Arabic"/>
                <w:b/>
                <w:bCs/>
                <w:sz w:val="26"/>
                <w:szCs w:val="26"/>
                <w:rtl/>
              </w:rPr>
            </w:pPr>
            <w:r w:rsidRPr="008F1516">
              <w:rPr>
                <w:rFonts w:ascii="Traditional Arabic" w:hAnsi="Traditional Arabic" w:cs="Traditional Arabic"/>
                <w:b/>
                <w:bCs/>
                <w:sz w:val="26"/>
                <w:szCs w:val="26"/>
                <w:rtl/>
              </w:rPr>
              <w:t xml:space="preserve">تقنية دووا </w:t>
            </w:r>
            <w:r w:rsidRPr="008F1516">
              <w:rPr>
                <w:rFonts w:asciiTheme="majorBidi" w:hAnsiTheme="majorBidi" w:cstheme="majorBidi"/>
                <w:b/>
                <w:bCs/>
                <w:sz w:val="18"/>
                <w:szCs w:val="18"/>
                <w:rtl/>
              </w:rPr>
              <w:t>(</w:t>
            </w:r>
            <w:r w:rsidRPr="008F1516">
              <w:rPr>
                <w:rFonts w:asciiTheme="majorBidi" w:hAnsiTheme="majorBidi" w:cstheme="majorBidi"/>
                <w:b/>
                <w:bCs/>
                <w:sz w:val="18"/>
                <w:szCs w:val="18"/>
                <w:lang w:val="en-GB" w:bidi="ar-EG"/>
              </w:rPr>
              <w:t>DOWA</w:t>
            </w:r>
            <w:r w:rsidRPr="008F1516">
              <w:rPr>
                <w:rFonts w:asciiTheme="majorBidi" w:hAnsiTheme="majorBidi" w:cstheme="majorBidi"/>
                <w:b/>
                <w:bCs/>
                <w:sz w:val="18"/>
                <w:szCs w:val="18"/>
                <w:rtl/>
              </w:rPr>
              <w:t>)</w:t>
            </w:r>
          </w:p>
        </w:tc>
        <w:tc>
          <w:tcPr>
            <w:tcW w:w="3119" w:type="dxa"/>
            <w:shd w:val="clear" w:color="auto" w:fill="auto"/>
          </w:tcPr>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lang w:val="en-GB" w:bidi="ar-EG"/>
              </w:rPr>
            </w:pPr>
            <w:r w:rsidRPr="008F1516">
              <w:rPr>
                <w:rFonts w:ascii="Traditional Arabic" w:hAnsi="Traditional Arabic" w:cs="Traditional Arabic"/>
                <w:sz w:val="26"/>
                <w:szCs w:val="26"/>
                <w:rtl/>
              </w:rPr>
              <w:t>تعتمد على امتصاص الزئبق في حجر خفّاف مكسو يطبقة من كبريتيدات الرصاص</w:t>
            </w:r>
            <w:r w:rsidRPr="008F1516">
              <w:rPr>
                <w:rFonts w:ascii="Traditional Arabic" w:hAnsi="Traditional Arabic" w:cs="Traditional Arabic"/>
                <w:sz w:val="26"/>
                <w:szCs w:val="26"/>
                <w:rtl/>
                <w:lang w:val="en-GB" w:bidi="ar-EG"/>
              </w:rPr>
              <w:t>.</w:t>
            </w:r>
          </w:p>
        </w:tc>
        <w:tc>
          <w:tcPr>
            <w:tcW w:w="3883" w:type="dxa"/>
            <w:shd w:val="clear" w:color="auto" w:fill="auto"/>
          </w:tcPr>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97 في المائة</w:t>
            </w:r>
          </w:p>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vertAlign w:val="superscript"/>
                <w:rtl/>
              </w:rPr>
            </w:pPr>
            <w:r w:rsidRPr="008F1516">
              <w:rPr>
                <w:rFonts w:ascii="Traditional Arabic" w:hAnsi="Traditional Arabic" w:cs="Traditional Arabic"/>
                <w:sz w:val="26"/>
                <w:szCs w:val="26"/>
                <w:rtl/>
                <w:lang w:val="en-GB" w:bidi="ar-EG"/>
              </w:rPr>
              <w:t xml:space="preserve">- </w:t>
            </w:r>
            <w:r w:rsidRPr="008F1516">
              <w:rPr>
                <w:rFonts w:ascii="Traditional Arabic" w:hAnsi="Traditional Arabic" w:cs="Traditional Arabic"/>
                <w:sz w:val="26"/>
                <w:szCs w:val="26"/>
                <w:rtl/>
              </w:rPr>
              <w:t>التركيز لمنفذ الدخول</w:t>
            </w:r>
            <w:r w:rsidRPr="008F1516">
              <w:rPr>
                <w:rFonts w:ascii="Traditional Arabic" w:hAnsi="Traditional Arabic" w:cs="Traditional Arabic"/>
                <w:sz w:val="26"/>
                <w:szCs w:val="26"/>
                <w:rtl/>
                <w:lang w:val="en-GB" w:bidi="ar-EG"/>
              </w:rPr>
              <w:t xml:space="preserve"> 50 </w:t>
            </w:r>
            <w:r w:rsidRPr="008F1516">
              <w:rPr>
                <w:rFonts w:ascii="Traditional Arabic" w:hAnsi="Traditional Arabic" w:cs="Traditional Arabic"/>
                <w:sz w:val="26"/>
                <w:szCs w:val="26"/>
                <w:rtl/>
              </w:rPr>
              <w:t>ميكروغرام</w:t>
            </w:r>
            <w:r w:rsidRPr="008F1516">
              <w:rPr>
                <w:rFonts w:ascii="Traditional Arabic" w:hAnsi="Traditional Arabic" w:cs="Traditional Arabic"/>
                <w:sz w:val="26"/>
                <w:szCs w:val="26"/>
                <w:rtl/>
                <w:lang w:val="en-GB" w:bidi="ar-EG"/>
              </w:rPr>
              <w:t>/</w:t>
            </w:r>
            <w:r w:rsidRPr="008F1516">
              <w:rPr>
                <w:rFonts w:ascii="Traditional Arabic" w:hAnsi="Traditional Arabic" w:cs="Traditional Arabic"/>
                <w:sz w:val="26"/>
                <w:szCs w:val="26"/>
                <w:rtl/>
              </w:rPr>
              <w:t>متر مكعب</w:t>
            </w:r>
          </w:p>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٨٨</w:t>
            </w:r>
            <w:r w:rsidRPr="008F1516">
              <w:rPr>
                <w:rFonts w:ascii="Traditional Arabic" w:hAnsi="Traditional Arabic" w:cs="Traditional Arabic"/>
                <w:sz w:val="26"/>
                <w:szCs w:val="26"/>
                <w:rtl/>
                <w:lang w:val="en-GB" w:bidi="ar-EG"/>
              </w:rPr>
              <w:t xml:space="preserve"> في المائة</w:t>
            </w:r>
          </w:p>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lang w:val="en-GB" w:bidi="ar-EG"/>
              </w:rPr>
              <w:t xml:space="preserve">- </w:t>
            </w:r>
            <w:r w:rsidRPr="008F1516">
              <w:rPr>
                <w:rFonts w:ascii="Traditional Arabic" w:hAnsi="Traditional Arabic" w:cs="Traditional Arabic"/>
                <w:sz w:val="26"/>
                <w:szCs w:val="26"/>
                <w:rtl/>
              </w:rPr>
              <w:t>التركيز لمنفذ الدخول</w:t>
            </w:r>
            <w:r w:rsidRPr="008F1516">
              <w:rPr>
                <w:rFonts w:ascii="Traditional Arabic" w:hAnsi="Traditional Arabic" w:cs="Traditional Arabic"/>
                <w:sz w:val="26"/>
                <w:szCs w:val="26"/>
                <w:rtl/>
                <w:lang w:val="en-GB" w:bidi="ar-EG"/>
              </w:rPr>
              <w:t xml:space="preserve"> 11 </w:t>
            </w:r>
            <w:r w:rsidRPr="008F1516">
              <w:rPr>
                <w:rFonts w:ascii="Traditional Arabic" w:hAnsi="Traditional Arabic" w:cs="Traditional Arabic"/>
                <w:sz w:val="26"/>
                <w:szCs w:val="26"/>
                <w:rtl/>
              </w:rPr>
              <w:t>ميكروغرام</w:t>
            </w:r>
            <w:r w:rsidRPr="008F1516">
              <w:rPr>
                <w:rFonts w:ascii="Traditional Arabic" w:hAnsi="Traditional Arabic" w:cs="Traditional Arabic"/>
                <w:sz w:val="26"/>
                <w:szCs w:val="26"/>
                <w:rtl/>
                <w:lang w:val="en-GB" w:bidi="ar-EG"/>
              </w:rPr>
              <w:t>/</w:t>
            </w:r>
            <w:r w:rsidRPr="008F1516">
              <w:rPr>
                <w:rFonts w:ascii="Traditional Arabic" w:hAnsi="Traditional Arabic" w:cs="Traditional Arabic"/>
                <w:sz w:val="26"/>
                <w:szCs w:val="26"/>
                <w:rtl/>
              </w:rPr>
              <w:t>متر مكعب</w:t>
            </w:r>
          </w:p>
        </w:tc>
        <w:tc>
          <w:tcPr>
            <w:tcW w:w="2779" w:type="dxa"/>
            <w:shd w:val="clear" w:color="auto" w:fill="auto"/>
          </w:tcPr>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p>
        </w:tc>
        <w:tc>
          <w:tcPr>
            <w:tcW w:w="2552" w:type="dxa"/>
            <w:shd w:val="clear" w:color="auto" w:fill="auto"/>
          </w:tcPr>
          <w:p w:rsidR="00335E4B" w:rsidRPr="008F1516" w:rsidRDefault="00335E4B" w:rsidP="00335E4B">
            <w:pPr>
              <w:tabs>
                <w:tab w:val="left" w:pos="663"/>
                <w:tab w:val="left" w:pos="1117"/>
                <w:tab w:val="left" w:pos="2230"/>
                <w:tab w:val="center" w:pos="5468"/>
              </w:tabs>
              <w:spacing w:after="40" w:line="280" w:lineRule="exact"/>
              <w:rPr>
                <w:rFonts w:ascii="Traditional Arabic" w:hAnsi="Traditional Arabic" w:cs="Traditional Arabic"/>
                <w:sz w:val="26"/>
                <w:szCs w:val="26"/>
                <w:rtl/>
              </w:rPr>
            </w:pPr>
            <w:r w:rsidRPr="008F1516">
              <w:rPr>
                <w:rFonts w:ascii="Traditional Arabic" w:hAnsi="Traditional Arabic" w:cs="Traditional Arabic"/>
                <w:sz w:val="26"/>
                <w:szCs w:val="26"/>
                <w:rtl/>
              </w:rPr>
              <w:t>غير مستخدمة على نطاق واسع</w:t>
            </w:r>
          </w:p>
          <w:p w:rsidR="00335E4B" w:rsidRPr="008F1516" w:rsidRDefault="00335E4B" w:rsidP="00335E4B">
            <w:pPr>
              <w:tabs>
                <w:tab w:val="left" w:pos="663"/>
                <w:tab w:val="left" w:pos="1117"/>
                <w:tab w:val="left" w:pos="2230"/>
                <w:tab w:val="center" w:pos="5468"/>
              </w:tabs>
              <w:spacing w:after="40" w:line="280" w:lineRule="exact"/>
              <w:rPr>
                <w:rFonts w:ascii="Traditional Arabic" w:hAnsi="Traditional Arabic" w:cs="Traditional Arabic"/>
                <w:sz w:val="26"/>
                <w:szCs w:val="26"/>
                <w:rtl/>
              </w:rPr>
            </w:pPr>
            <w:r w:rsidRPr="008F1516">
              <w:rPr>
                <w:rFonts w:ascii="Traditional Arabic" w:hAnsi="Traditional Arabic" w:cs="Traditional Arabic"/>
                <w:sz w:val="26"/>
                <w:szCs w:val="26"/>
                <w:rtl/>
              </w:rPr>
              <w:t>التخلص من كبريتيد الزئبق كنفايات خطرة</w:t>
            </w:r>
          </w:p>
        </w:tc>
      </w:tr>
      <w:tr w:rsidR="00335E4B" w:rsidRPr="00335E4B" w:rsidTr="00D002D1">
        <w:tc>
          <w:tcPr>
            <w:tcW w:w="2132" w:type="dxa"/>
            <w:shd w:val="clear" w:color="auto" w:fill="auto"/>
          </w:tcPr>
          <w:p w:rsidR="00335E4B" w:rsidRPr="008F1516" w:rsidRDefault="00335E4B" w:rsidP="00335E4B">
            <w:pPr>
              <w:tabs>
                <w:tab w:val="center" w:pos="5468"/>
              </w:tabs>
              <w:spacing w:after="40" w:line="280" w:lineRule="exact"/>
              <w:rPr>
                <w:rFonts w:ascii="Traditional Arabic" w:hAnsi="Traditional Arabic" w:cs="Traditional Arabic"/>
                <w:b/>
                <w:bCs/>
                <w:sz w:val="26"/>
                <w:szCs w:val="26"/>
                <w:rtl/>
              </w:rPr>
            </w:pPr>
            <w:r w:rsidRPr="008F1516">
              <w:rPr>
                <w:rFonts w:ascii="Traditional Arabic" w:hAnsi="Traditional Arabic" w:cs="Traditional Arabic"/>
                <w:b/>
                <w:bCs/>
                <w:sz w:val="26"/>
                <w:szCs w:val="26"/>
                <w:rtl/>
              </w:rPr>
              <w:t xml:space="preserve">تقنية جيريت </w:t>
            </w:r>
            <w:r w:rsidRPr="008F1516">
              <w:rPr>
                <w:rFonts w:asciiTheme="majorBidi" w:hAnsiTheme="majorBidi" w:cstheme="majorBidi"/>
                <w:b/>
                <w:bCs/>
                <w:sz w:val="18"/>
                <w:szCs w:val="18"/>
                <w:rtl/>
              </w:rPr>
              <w:t>(</w:t>
            </w:r>
            <w:r w:rsidRPr="008F1516">
              <w:rPr>
                <w:rFonts w:asciiTheme="majorBidi" w:hAnsiTheme="majorBidi" w:cstheme="majorBidi"/>
                <w:b/>
                <w:bCs/>
                <w:sz w:val="18"/>
                <w:szCs w:val="18"/>
                <w:rtl/>
                <w:lang w:val="en-GB" w:bidi="ar-EG"/>
              </w:rPr>
              <w:t>Jerritt</w:t>
            </w:r>
            <w:r w:rsidRPr="008F1516">
              <w:rPr>
                <w:rFonts w:asciiTheme="majorBidi" w:hAnsiTheme="majorBidi" w:cstheme="majorBidi"/>
                <w:b/>
                <w:bCs/>
                <w:sz w:val="18"/>
                <w:szCs w:val="18"/>
                <w:rtl/>
              </w:rPr>
              <w:t>)</w:t>
            </w:r>
          </w:p>
        </w:tc>
        <w:tc>
          <w:tcPr>
            <w:tcW w:w="3119" w:type="dxa"/>
            <w:shd w:val="clear" w:color="auto" w:fill="auto"/>
          </w:tcPr>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تعتمد على تحويل الزئبق النقي إلى كلوريد الزئبق (ثنائي التكافؤ) عن طريق التفاعل مع الكلور الذائب</w:t>
            </w:r>
            <w:r w:rsidRPr="008F1516">
              <w:rPr>
                <w:rFonts w:ascii="Traditional Arabic" w:hAnsi="Traditional Arabic" w:cs="Traditional Arabic"/>
                <w:sz w:val="26"/>
                <w:szCs w:val="26"/>
                <w:rtl/>
                <w:lang w:val="en-GB" w:bidi="ar-EG"/>
              </w:rPr>
              <w:t xml:space="preserve"> </w:t>
            </w:r>
            <w:r w:rsidRPr="008F1516">
              <w:rPr>
                <w:rFonts w:ascii="Traditional Arabic" w:hAnsi="Traditional Arabic" w:cs="Traditional Arabic"/>
                <w:sz w:val="26"/>
                <w:szCs w:val="26"/>
                <w:lang w:val="en-GB" w:bidi="ar-EG"/>
              </w:rPr>
              <w:t>Cl</w:t>
            </w:r>
            <w:r w:rsidRPr="008F1516">
              <w:rPr>
                <w:rFonts w:ascii="Traditional Arabic" w:hAnsi="Traditional Arabic" w:cs="Traditional Arabic"/>
                <w:sz w:val="26"/>
                <w:szCs w:val="26"/>
                <w:vertAlign w:val="subscript"/>
                <w:lang w:val="en-GB" w:bidi="ar-EG"/>
              </w:rPr>
              <w:t>2</w:t>
            </w:r>
            <w:r w:rsidRPr="008F1516">
              <w:rPr>
                <w:rFonts w:ascii="Traditional Arabic" w:hAnsi="Traditional Arabic" w:cs="Traditional Arabic"/>
                <w:sz w:val="26"/>
                <w:szCs w:val="26"/>
                <w:rtl/>
                <w:lang w:val="en-GB" w:bidi="ar-EG"/>
              </w:rPr>
              <w:t>.</w:t>
            </w:r>
          </w:p>
        </w:tc>
        <w:tc>
          <w:tcPr>
            <w:tcW w:w="3883" w:type="dxa"/>
            <w:shd w:val="clear" w:color="auto" w:fill="auto"/>
          </w:tcPr>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٩٩</w:t>
            </w:r>
            <w:r w:rsidRPr="008F1516">
              <w:rPr>
                <w:rFonts w:ascii="Traditional Arabic" w:hAnsi="Traditional Arabic" w:cs="Traditional Arabic"/>
                <w:sz w:val="26"/>
                <w:szCs w:val="26"/>
                <w:rtl/>
                <w:lang w:val="en-GB" w:bidi="ar-EG"/>
              </w:rPr>
              <w:t>,</w:t>
            </w:r>
            <w:r w:rsidRPr="008F1516">
              <w:rPr>
                <w:rFonts w:ascii="Traditional Arabic" w:hAnsi="Traditional Arabic" w:cs="Traditional Arabic"/>
                <w:sz w:val="26"/>
                <w:szCs w:val="26"/>
                <w:rtl/>
              </w:rPr>
              <w:t>٩٧</w:t>
            </w:r>
            <w:r w:rsidRPr="008F1516">
              <w:rPr>
                <w:rFonts w:ascii="Traditional Arabic" w:hAnsi="Traditional Arabic" w:cs="Traditional Arabic"/>
                <w:sz w:val="26"/>
                <w:szCs w:val="26"/>
                <w:rtl/>
                <w:lang w:val="en-GB" w:bidi="ar-EG"/>
              </w:rPr>
              <w:t xml:space="preserve"> في المائة</w:t>
            </w:r>
          </w:p>
        </w:tc>
        <w:tc>
          <w:tcPr>
            <w:tcW w:w="2779" w:type="dxa"/>
            <w:shd w:val="clear" w:color="auto" w:fill="auto"/>
          </w:tcPr>
          <w:p w:rsidR="00335E4B" w:rsidRPr="008F1516" w:rsidRDefault="00335E4B" w:rsidP="00335E4B">
            <w:pPr>
              <w:tabs>
                <w:tab w:val="left" w:pos="663"/>
                <w:tab w:val="left" w:pos="1117"/>
                <w:tab w:val="left" w:pos="2230"/>
                <w:tab w:val="center" w:pos="5468"/>
              </w:tabs>
              <w:spacing w:after="40" w:line="280" w:lineRule="exact"/>
              <w:jc w:val="both"/>
              <w:rPr>
                <w:rFonts w:ascii="Traditional Arabic" w:hAnsi="Traditional Arabic" w:cs="Traditional Arabic"/>
                <w:sz w:val="26"/>
                <w:szCs w:val="26"/>
                <w:rtl/>
              </w:rPr>
            </w:pPr>
            <w:r w:rsidRPr="008F1516">
              <w:rPr>
                <w:rFonts w:ascii="Traditional Arabic" w:hAnsi="Traditional Arabic" w:cs="Traditional Arabic"/>
                <w:sz w:val="26"/>
                <w:szCs w:val="26"/>
                <w:rtl/>
              </w:rPr>
              <w:t>كفاءة عالية جداً في إزالة الزئبق</w:t>
            </w:r>
          </w:p>
        </w:tc>
        <w:tc>
          <w:tcPr>
            <w:tcW w:w="2552" w:type="dxa"/>
            <w:shd w:val="clear" w:color="auto" w:fill="auto"/>
          </w:tcPr>
          <w:p w:rsidR="00335E4B" w:rsidRPr="008F1516" w:rsidRDefault="00335E4B" w:rsidP="00335E4B">
            <w:pPr>
              <w:tabs>
                <w:tab w:val="left" w:pos="663"/>
                <w:tab w:val="left" w:pos="1117"/>
                <w:tab w:val="left" w:pos="2230"/>
                <w:tab w:val="center" w:pos="5468"/>
              </w:tabs>
              <w:spacing w:after="40" w:line="280" w:lineRule="exact"/>
              <w:rPr>
                <w:rFonts w:ascii="Traditional Arabic" w:hAnsi="Traditional Arabic" w:cs="Traditional Arabic"/>
                <w:sz w:val="26"/>
                <w:szCs w:val="26"/>
                <w:rtl/>
              </w:rPr>
            </w:pPr>
            <w:r w:rsidRPr="008F1516">
              <w:rPr>
                <w:rFonts w:ascii="Traditional Arabic" w:hAnsi="Traditional Arabic" w:cs="Traditional Arabic"/>
                <w:sz w:val="26"/>
                <w:szCs w:val="26"/>
                <w:rtl/>
              </w:rPr>
              <w:t>التخلص من المنتجات الثانوية على نحو يتفق مع المواد الأخرى ذات الصلة من الاتفاقية</w:t>
            </w:r>
          </w:p>
        </w:tc>
      </w:tr>
    </w:tbl>
    <w:p w:rsidR="00335E4B" w:rsidRPr="00335E4B" w:rsidRDefault="00335E4B" w:rsidP="008F1516">
      <w:pPr>
        <w:spacing w:before="40" w:after="120" w:line="260" w:lineRule="exact"/>
        <w:jc w:val="both"/>
        <w:rPr>
          <w:rFonts w:cs="Traditional Arabic"/>
          <w:sz w:val="20"/>
          <w:szCs w:val="30"/>
          <w:rtl/>
          <w:lang w:bidi="ar-EG"/>
        </w:rPr>
      </w:pPr>
      <w:r w:rsidRPr="00335E4B">
        <w:rPr>
          <w:rFonts w:cs="Traditional Arabic" w:hint="cs"/>
          <w:sz w:val="18"/>
          <w:szCs w:val="26"/>
          <w:rtl/>
          <w:lang w:val="en-GB" w:bidi="ar-EG"/>
        </w:rPr>
        <w:t xml:space="preserve">(أ)  </w:t>
      </w:r>
      <w:r w:rsidRPr="00335E4B">
        <w:rPr>
          <w:rFonts w:cs="Traditional Arabic"/>
          <w:sz w:val="20"/>
          <w:szCs w:val="26"/>
          <w:rtl/>
          <w:lang w:val="en-AU" w:bidi="ar-EG"/>
        </w:rPr>
        <w:t xml:space="preserve">تستند بيانات الأداء إلى بيانات مصهر بوليدين رونسكارفيركن </w:t>
      </w:r>
      <w:r w:rsidRPr="00335E4B">
        <w:rPr>
          <w:rFonts w:cs="Traditional Arabic"/>
          <w:sz w:val="18"/>
          <w:szCs w:val="26"/>
          <w:rtl/>
          <w:lang w:val="en-AU" w:bidi="ar-EG"/>
        </w:rPr>
        <w:t>(</w:t>
      </w:r>
      <w:r w:rsidRPr="00335E4B">
        <w:rPr>
          <w:rFonts w:cs="Traditional Arabic"/>
          <w:sz w:val="18"/>
          <w:szCs w:val="26"/>
          <w:lang w:val="en-AU" w:bidi="ar-EG"/>
        </w:rPr>
        <w:t>Boliden’s Rönnskärsverken</w:t>
      </w:r>
      <w:r w:rsidRPr="00335E4B">
        <w:rPr>
          <w:rFonts w:cs="Traditional Arabic"/>
          <w:sz w:val="18"/>
          <w:szCs w:val="26"/>
          <w:rtl/>
          <w:lang w:val="en-AU" w:bidi="ar-EG"/>
        </w:rPr>
        <w:t>)</w:t>
      </w:r>
      <w:r w:rsidRPr="00335E4B">
        <w:rPr>
          <w:rFonts w:cs="Traditional Arabic"/>
          <w:sz w:val="20"/>
          <w:szCs w:val="26"/>
          <w:rtl/>
          <w:lang w:val="en-AU" w:bidi="ar-EG"/>
        </w:rPr>
        <w:t xml:space="preserve"> للنحاس والرصاص والزنك، </w:t>
      </w:r>
      <w:r w:rsidRPr="00335E4B">
        <w:rPr>
          <w:rFonts w:cs="Traditional Arabic" w:hint="cs"/>
          <w:sz w:val="20"/>
          <w:szCs w:val="26"/>
          <w:rtl/>
          <w:lang w:val="en-AU" w:bidi="ar-EG"/>
        </w:rPr>
        <w:t>حسبما</w:t>
      </w:r>
      <w:r w:rsidRPr="00335E4B">
        <w:rPr>
          <w:rFonts w:cs="Traditional Arabic"/>
          <w:sz w:val="20"/>
          <w:szCs w:val="26"/>
          <w:rtl/>
          <w:lang w:val="en-AU" w:bidi="ar-EG"/>
        </w:rPr>
        <w:t xml:space="preserve"> جرى الإبلاغ عنها في الوثيقة</w:t>
      </w:r>
      <w:r w:rsidRPr="00335E4B">
        <w:rPr>
          <w:rFonts w:cs="Traditional Arabic" w:hint="cs"/>
          <w:sz w:val="20"/>
          <w:szCs w:val="26"/>
          <w:rtl/>
          <w:lang w:val="en-AU" w:bidi="ar-EG"/>
        </w:rPr>
        <w:t xml:space="preserve"> </w:t>
      </w:r>
      <w:r w:rsidRPr="00335E4B">
        <w:rPr>
          <w:rFonts w:cs="Traditional Arabic"/>
          <w:sz w:val="18"/>
          <w:szCs w:val="26"/>
          <w:rtl/>
          <w:lang w:val="en-AU" w:bidi="ar-EG"/>
        </w:rPr>
        <w:t>(</w:t>
      </w:r>
      <w:r w:rsidRPr="00335E4B">
        <w:rPr>
          <w:rFonts w:cs="Traditional Arabic"/>
          <w:sz w:val="18"/>
          <w:szCs w:val="26"/>
          <w:lang w:val="en-AU" w:bidi="ar-EG"/>
        </w:rPr>
        <w:t>UNECE 2013</w:t>
      </w:r>
      <w:r w:rsidRPr="00335E4B">
        <w:rPr>
          <w:rFonts w:cs="Traditional Arabic"/>
          <w:sz w:val="18"/>
          <w:szCs w:val="26"/>
          <w:rtl/>
          <w:lang w:val="en-AU" w:bidi="ar-EG"/>
        </w:rPr>
        <w:t>)</w:t>
      </w:r>
      <w:r w:rsidRPr="00335E4B">
        <w:rPr>
          <w:rFonts w:cs="Traditional Arabic" w:hint="cs"/>
          <w:sz w:val="20"/>
          <w:szCs w:val="26"/>
          <w:rtl/>
          <w:lang w:val="en-AU" w:bidi="ar-EG"/>
        </w:rPr>
        <w:t>.</w:t>
      </w:r>
      <w:bookmarkStart w:id="1928" w:name="_Toc433095448"/>
      <w:bookmarkStart w:id="1929" w:name="_Toc434239983"/>
      <w:bookmarkStart w:id="1930" w:name="_Toc440550586"/>
    </w:p>
    <w:p w:rsidR="00335E4B" w:rsidRPr="00335E4B" w:rsidRDefault="00BC1DB4" w:rsidP="00C416FB">
      <w:pPr>
        <w:keepNext/>
        <w:spacing w:after="120" w:line="400" w:lineRule="exact"/>
        <w:ind w:left="991" w:hanging="993"/>
        <w:jc w:val="both"/>
        <w:outlineLvl w:val="0"/>
        <w:rPr>
          <w:rFonts w:cs="Traditional Arabic"/>
          <w:b/>
          <w:bCs/>
          <w:sz w:val="20"/>
          <w:szCs w:val="30"/>
          <w:rtl/>
          <w:lang w:bidi="ar-EG"/>
        </w:rPr>
      </w:pPr>
      <w:bookmarkStart w:id="1931" w:name="_Toc441577836"/>
      <w:bookmarkStart w:id="1932" w:name="_Toc441578015"/>
      <w:bookmarkStart w:id="1933" w:name="_Toc441580849"/>
      <w:bookmarkStart w:id="1934" w:name="_Toc441585980"/>
      <w:bookmarkStart w:id="1935" w:name="_Toc441586316"/>
      <w:bookmarkStart w:id="1936" w:name="_Toc441586766"/>
      <w:bookmarkStart w:id="1937" w:name="_Toc441586945"/>
      <w:bookmarkStart w:id="1938" w:name="_Toc441666794"/>
      <w:bookmarkStart w:id="1939" w:name="_Toc441673855"/>
      <w:r>
        <w:rPr>
          <w:rFonts w:cs="Traditional Arabic" w:hint="cs"/>
          <w:b/>
          <w:bCs/>
          <w:sz w:val="20"/>
          <w:szCs w:val="30"/>
          <w:rtl/>
          <w:lang w:bidi="ar-EG"/>
        </w:rPr>
        <w:t>4</w:t>
      </w:r>
      <w:r w:rsidR="00C416FB">
        <w:rPr>
          <w:rFonts w:cs="Traditional Arabic" w:hint="cs"/>
          <w:b/>
          <w:bCs/>
          <w:sz w:val="20"/>
          <w:szCs w:val="30"/>
          <w:rtl/>
          <w:lang w:bidi="ar-EG"/>
        </w:rPr>
        <w:t>-1-1</w:t>
      </w:r>
      <w:r w:rsidR="00C416FB">
        <w:rPr>
          <w:rFonts w:cs="Traditional Arabic" w:hint="cs"/>
          <w:b/>
          <w:bCs/>
          <w:sz w:val="20"/>
          <w:szCs w:val="30"/>
          <w:rtl/>
          <w:lang w:bidi="ar-EG"/>
        </w:rPr>
        <w:tab/>
      </w:r>
      <w:r w:rsidR="00335E4B" w:rsidRPr="00335E4B">
        <w:rPr>
          <w:rFonts w:cs="Traditional Arabic"/>
          <w:b/>
          <w:bCs/>
          <w:sz w:val="20"/>
          <w:szCs w:val="30"/>
          <w:rtl/>
          <w:lang w:bidi="ar-EG"/>
        </w:rPr>
        <w:t xml:space="preserve">بعض الاعتبارات الأخرى في اختيار تقنيات </w:t>
      </w:r>
      <w:r w:rsidR="00335E4B" w:rsidRPr="00335E4B">
        <w:rPr>
          <w:rFonts w:cs="Traditional Arabic" w:hint="cs"/>
          <w:b/>
          <w:bCs/>
          <w:sz w:val="20"/>
          <w:szCs w:val="30"/>
          <w:rtl/>
          <w:lang w:bidi="ar-EG"/>
        </w:rPr>
        <w:t>ضبط</w:t>
      </w:r>
      <w:r w:rsidR="00335E4B" w:rsidRPr="00335E4B">
        <w:rPr>
          <w:rFonts w:cs="Traditional Arabic"/>
          <w:b/>
          <w:bCs/>
          <w:sz w:val="20"/>
          <w:szCs w:val="30"/>
          <w:rtl/>
          <w:lang w:bidi="ar-EG"/>
        </w:rPr>
        <w:t xml:space="preserve"> الزئبق لعمليات الصهر والتحميص في قطاع المعادن غير الحديدية</w:t>
      </w:r>
      <w:bookmarkEnd w:id="1928"/>
      <w:bookmarkEnd w:id="1929"/>
      <w:bookmarkEnd w:id="1930"/>
      <w:bookmarkEnd w:id="1931"/>
      <w:bookmarkEnd w:id="1932"/>
      <w:bookmarkEnd w:id="1933"/>
      <w:bookmarkEnd w:id="1934"/>
      <w:bookmarkEnd w:id="1935"/>
      <w:bookmarkEnd w:id="1936"/>
      <w:bookmarkEnd w:id="1937"/>
      <w:bookmarkEnd w:id="1938"/>
      <w:bookmarkEnd w:id="1939"/>
    </w:p>
    <w:p w:rsidR="00335E4B" w:rsidRPr="00335E4B" w:rsidRDefault="00335E4B" w:rsidP="00335E4B">
      <w:pPr>
        <w:tabs>
          <w:tab w:val="center" w:pos="5468"/>
        </w:tabs>
        <w:spacing w:after="120" w:line="400" w:lineRule="exact"/>
        <w:jc w:val="both"/>
        <w:rPr>
          <w:rFonts w:cs="Traditional Arabic"/>
          <w:sz w:val="20"/>
          <w:szCs w:val="30"/>
          <w:rtl/>
        </w:rPr>
      </w:pPr>
      <w:r w:rsidRPr="00335E4B">
        <w:rPr>
          <w:rFonts w:cs="Traditional Arabic"/>
          <w:sz w:val="20"/>
          <w:szCs w:val="30"/>
          <w:rtl/>
        </w:rPr>
        <w:t>يرد في الفصل التمهيدي من هذه الوثيقة التوجيهية وصف المبادئ العامة لاختيار أفضل التقنيات لمصادر الانبعاث الثابتة المدرجة في المرفق دال</w:t>
      </w:r>
      <w:r w:rsidRPr="00335E4B">
        <w:rPr>
          <w:rFonts w:cs="Traditional Arabic"/>
          <w:sz w:val="20"/>
          <w:szCs w:val="30"/>
          <w:rtl/>
          <w:lang w:val="en-GB" w:bidi="ar-EG"/>
        </w:rPr>
        <w:t>.</w:t>
      </w:r>
      <w:r w:rsidRPr="00335E4B">
        <w:rPr>
          <w:rFonts w:cs="Traditional Arabic"/>
          <w:sz w:val="20"/>
          <w:szCs w:val="30"/>
          <w:rtl/>
        </w:rPr>
        <w:t xml:space="preserve"> وهنا تجري مناقشة بعض جوانب كيمياء الزئبق التي قد يكون لها تأثير على اختيار ضوابط التحكم بالزئبق في قطاع المعادن غير الحديدية</w:t>
      </w:r>
      <w:r w:rsidRPr="00335E4B">
        <w:rPr>
          <w:rFonts w:cs="Traditional Arabic"/>
          <w:sz w:val="20"/>
          <w:szCs w:val="30"/>
          <w:rtl/>
          <w:lang w:val="en-GB" w:bidi="ar-EG"/>
        </w:rPr>
        <w:t>.</w:t>
      </w:r>
      <w:r w:rsidRPr="00335E4B">
        <w:rPr>
          <w:rFonts w:cs="Traditional Arabic"/>
          <w:sz w:val="20"/>
          <w:szCs w:val="30"/>
          <w:rtl/>
        </w:rPr>
        <w:t xml:space="preserve"> وهذه الجوانب لا يراد لها أن تكون ملزمة، كما أنها قد تكون أقل قابلية للتطبيق بالنسبة لبعض المعادن الواردة في المرفق دال، ولا سيما الذهب</w:t>
      </w:r>
      <w:r w:rsidRPr="00335E4B">
        <w:rPr>
          <w:rFonts w:cs="Traditional Arabic"/>
          <w:sz w:val="20"/>
          <w:szCs w:val="30"/>
          <w:rtl/>
          <w:lang w:val="en-GB" w:bidi="ar-EG"/>
        </w:rPr>
        <w:t>.</w:t>
      </w:r>
    </w:p>
    <w:p w:rsidR="00335E4B" w:rsidRPr="00335E4B" w:rsidRDefault="00335E4B" w:rsidP="00335E4B">
      <w:pPr>
        <w:spacing w:after="120" w:line="400" w:lineRule="exact"/>
        <w:jc w:val="both"/>
        <w:rPr>
          <w:rFonts w:cs="Traditional Arabic"/>
          <w:sz w:val="20"/>
          <w:szCs w:val="30"/>
          <w:rtl/>
        </w:rPr>
      </w:pPr>
      <w:r w:rsidRPr="00335E4B">
        <w:rPr>
          <w:rFonts w:cs="Traditional Arabic"/>
          <w:sz w:val="20"/>
          <w:szCs w:val="30"/>
          <w:rtl/>
        </w:rPr>
        <w:t xml:space="preserve">قد يوجد الزئبق بشكله الأولي </w:t>
      </w:r>
      <w:r w:rsidRPr="00335E4B">
        <w:rPr>
          <w:rFonts w:cs="Times New Roman"/>
          <w:sz w:val="20"/>
          <w:szCs w:val="20"/>
          <w:rtl/>
        </w:rPr>
        <w:t>(</w:t>
      </w:r>
      <w:r w:rsidRPr="00335E4B">
        <w:rPr>
          <w:rFonts w:cs="Times New Roman"/>
          <w:sz w:val="20"/>
          <w:szCs w:val="20"/>
          <w:lang w:val="en-GB" w:bidi="ar-EG"/>
        </w:rPr>
        <w:t>Hg</w:t>
      </w:r>
      <w:r w:rsidRPr="00335E4B">
        <w:rPr>
          <w:rFonts w:cs="Times New Roman"/>
          <w:sz w:val="20"/>
          <w:szCs w:val="20"/>
          <w:vertAlign w:val="superscript"/>
          <w:lang w:val="en-GB" w:bidi="ar-EG"/>
        </w:rPr>
        <w:t>0</w:t>
      </w:r>
      <w:r w:rsidRPr="00335E4B">
        <w:rPr>
          <w:rFonts w:cs="Times New Roman"/>
          <w:sz w:val="20"/>
          <w:szCs w:val="20"/>
          <w:rtl/>
        </w:rPr>
        <w:t>)</w:t>
      </w:r>
      <w:r w:rsidRPr="00335E4B">
        <w:rPr>
          <w:rFonts w:cs="Traditional Arabic"/>
          <w:sz w:val="20"/>
          <w:szCs w:val="30"/>
          <w:rtl/>
        </w:rPr>
        <w:t xml:space="preserve"> أو بشكله المؤكسد </w:t>
      </w:r>
      <w:r w:rsidRPr="00335E4B">
        <w:rPr>
          <w:rFonts w:cs="Times New Roman"/>
          <w:sz w:val="20"/>
          <w:szCs w:val="20"/>
          <w:rtl/>
        </w:rPr>
        <w:t>(</w:t>
      </w:r>
      <w:r w:rsidRPr="00335E4B">
        <w:rPr>
          <w:rFonts w:cs="Times New Roman"/>
          <w:sz w:val="20"/>
          <w:szCs w:val="20"/>
        </w:rPr>
        <w:t>(</w:t>
      </w:r>
      <w:r w:rsidRPr="00335E4B">
        <w:rPr>
          <w:rFonts w:cs="Times New Roman"/>
          <w:sz w:val="20"/>
          <w:szCs w:val="20"/>
          <w:lang w:val="en-GB" w:bidi="ar-EG"/>
        </w:rPr>
        <w:t>Hg</w:t>
      </w:r>
      <w:r w:rsidRPr="00335E4B">
        <w:rPr>
          <w:rFonts w:cs="Times New Roman"/>
          <w:sz w:val="20"/>
          <w:szCs w:val="20"/>
          <w:vertAlign w:val="superscript"/>
          <w:lang w:val="en-GB" w:bidi="ar-EG"/>
        </w:rPr>
        <w:t>2+</w:t>
      </w:r>
      <w:r w:rsidRPr="00335E4B">
        <w:rPr>
          <w:rFonts w:cs="Traditional Arabic"/>
          <w:sz w:val="20"/>
          <w:szCs w:val="30"/>
          <w:rtl/>
        </w:rPr>
        <w:t xml:space="preserve"> في الغازات الناتجة عن عمليات الصهر والتحميص، أو في مرحلة الغاز أو الجسيمات</w:t>
      </w:r>
      <w:r w:rsidRPr="00335E4B">
        <w:rPr>
          <w:rFonts w:cs="Traditional Arabic"/>
          <w:sz w:val="20"/>
          <w:szCs w:val="30"/>
          <w:rtl/>
          <w:lang w:val="en-GB" w:bidi="ar-EG"/>
        </w:rPr>
        <w:t>.</w:t>
      </w:r>
      <w:r w:rsidRPr="00335E4B">
        <w:rPr>
          <w:rFonts w:cs="Traditional Arabic"/>
          <w:sz w:val="20"/>
          <w:szCs w:val="30"/>
          <w:rtl/>
        </w:rPr>
        <w:t xml:space="preserve"> وفي كثير من الحالات يزال الزئبق بكفاءة في نظم تنظيف الغاز العادية المستخدمة في تلك العمليات للتحكم بالغازات الحمضية </w:t>
      </w:r>
      <w:r w:rsidRPr="00335E4B">
        <w:rPr>
          <w:rFonts w:cs="Times New Roman"/>
          <w:sz w:val="20"/>
          <w:szCs w:val="20"/>
          <w:rtl/>
        </w:rPr>
        <w:t>(</w:t>
      </w:r>
      <w:r w:rsidRPr="00335E4B">
        <w:rPr>
          <w:rFonts w:cs="Times New Roman"/>
          <w:sz w:val="20"/>
          <w:szCs w:val="20"/>
          <w:lang w:val="en-GB" w:bidi="ar-EG"/>
        </w:rPr>
        <w:t>SO</w:t>
      </w:r>
      <w:r w:rsidRPr="00335E4B">
        <w:rPr>
          <w:rFonts w:cs="Times New Roman"/>
          <w:sz w:val="20"/>
          <w:szCs w:val="20"/>
          <w:vertAlign w:val="subscript"/>
          <w:lang w:val="en-GB" w:bidi="ar-EG"/>
        </w:rPr>
        <w:t>2</w:t>
      </w:r>
      <w:r w:rsidRPr="00335E4B">
        <w:rPr>
          <w:rFonts w:cs="Times New Roman"/>
          <w:sz w:val="20"/>
          <w:szCs w:val="20"/>
          <w:lang w:val="en-GB" w:bidi="ar-EG"/>
        </w:rPr>
        <w:t>, NO</w:t>
      </w:r>
      <w:r w:rsidRPr="00335E4B">
        <w:rPr>
          <w:rFonts w:cs="Times New Roman"/>
          <w:sz w:val="20"/>
          <w:szCs w:val="20"/>
          <w:vertAlign w:val="subscript"/>
          <w:lang w:val="en-GB" w:bidi="ar-EG"/>
        </w:rPr>
        <w:t>x</w:t>
      </w:r>
      <w:r w:rsidRPr="00335E4B">
        <w:rPr>
          <w:rFonts w:cs="Times New Roman"/>
          <w:sz w:val="20"/>
          <w:szCs w:val="20"/>
          <w:rtl/>
        </w:rPr>
        <w:t>)</w:t>
      </w:r>
      <w:r w:rsidRPr="00335E4B">
        <w:rPr>
          <w:rFonts w:cs="Traditional Arabic"/>
          <w:sz w:val="20"/>
          <w:szCs w:val="30"/>
          <w:rtl/>
        </w:rPr>
        <w:t xml:space="preserve"> وبالجسيمات الدقيقة</w:t>
      </w:r>
      <w:r w:rsidRPr="00335E4B">
        <w:rPr>
          <w:rFonts w:cs="Traditional Arabic"/>
          <w:sz w:val="20"/>
          <w:szCs w:val="30"/>
          <w:rtl/>
          <w:lang w:val="en-GB" w:bidi="ar-EG"/>
        </w:rPr>
        <w:t>.</w:t>
      </w:r>
      <w:r w:rsidRPr="00335E4B">
        <w:rPr>
          <w:rFonts w:cs="Traditional Arabic"/>
          <w:sz w:val="20"/>
          <w:szCs w:val="30"/>
          <w:rtl/>
        </w:rPr>
        <w:t xml:space="preserve"> ولذلك من الضروري أن يكون أداء هذه النظم جيداً، لتحقيق محتوى متبق منخفض من الزئبق في الغاز المنظَّف</w:t>
      </w:r>
      <w:r w:rsidRPr="00335E4B">
        <w:rPr>
          <w:rFonts w:cs="Traditional Arabic"/>
          <w:sz w:val="20"/>
          <w:szCs w:val="30"/>
          <w:rtl/>
          <w:lang w:val="en-GB" w:bidi="ar-EG"/>
        </w:rPr>
        <w:t>.</w:t>
      </w:r>
      <w:r w:rsidRPr="00335E4B">
        <w:rPr>
          <w:rFonts w:cs="Traditional Arabic"/>
          <w:sz w:val="20"/>
          <w:szCs w:val="30"/>
          <w:rtl/>
        </w:rPr>
        <w:t xml:space="preserve"> ويكون هذا مهماً بوجه خاص في نظم المرسبات الكهروستاتيكية الرطبة والنظم الرطبة لتنظيف الغازات</w:t>
      </w:r>
      <w:r w:rsidRPr="00335E4B">
        <w:rPr>
          <w:rFonts w:cs="Traditional Arabic"/>
          <w:sz w:val="20"/>
          <w:szCs w:val="30"/>
          <w:rtl/>
          <w:lang w:val="en-GB" w:bidi="ar-EG"/>
        </w:rPr>
        <w:t>.</w:t>
      </w:r>
      <w:r w:rsidRPr="00335E4B">
        <w:rPr>
          <w:rFonts w:cs="Traditional Arabic"/>
          <w:sz w:val="20"/>
          <w:szCs w:val="30"/>
          <w:rtl/>
        </w:rPr>
        <w:t xml:space="preserve"> وتتسم كفاءة تنظيف الغاز بالأهمية أيضاً لأن الشوائب الموجودة في الغاز قد تؤدي إلى تفاعلات جانبية غير مرغوب فيها في مرحلة إزالة الزئبق</w:t>
      </w:r>
      <w:r w:rsidRPr="00335E4B">
        <w:rPr>
          <w:rFonts w:cs="Traditional Arabic"/>
          <w:sz w:val="20"/>
          <w:szCs w:val="30"/>
          <w:rtl/>
          <w:lang w:val="en-GB" w:bidi="ar-EG"/>
        </w:rPr>
        <w:t>.</w:t>
      </w:r>
      <w:r w:rsidRPr="00335E4B">
        <w:rPr>
          <w:rFonts w:cs="Traditional Arabic"/>
          <w:sz w:val="20"/>
          <w:szCs w:val="30"/>
          <w:rtl/>
        </w:rPr>
        <w:t xml:space="preserve"> فعلى سبيل المثال، مرشح السلنيوم الذي يعد من المرشحات ذات الطبقة الثابتة، حساس لترسبات الغبار على الجسيمات المسامية الفعّالة</w:t>
      </w:r>
      <w:r w:rsidRPr="00335E4B">
        <w:rPr>
          <w:rFonts w:cs="Traditional Arabic"/>
          <w:sz w:val="20"/>
          <w:szCs w:val="30"/>
          <w:rtl/>
          <w:lang w:val="en-GB" w:bidi="ar-EG"/>
        </w:rPr>
        <w:t>.</w:t>
      </w:r>
    </w:p>
    <w:p w:rsidR="00335E4B" w:rsidRPr="00335E4B" w:rsidRDefault="00335E4B" w:rsidP="00335E4B">
      <w:pPr>
        <w:spacing w:after="120" w:line="400" w:lineRule="exact"/>
        <w:jc w:val="both"/>
        <w:rPr>
          <w:rFonts w:cs="Traditional Arabic"/>
          <w:sz w:val="20"/>
          <w:szCs w:val="30"/>
          <w:rtl/>
          <w:lang w:val="en-GB" w:bidi="ar-EG"/>
        </w:rPr>
      </w:pPr>
      <w:r w:rsidRPr="00335E4B">
        <w:rPr>
          <w:rFonts w:cs="Traditional Arabic"/>
          <w:sz w:val="20"/>
          <w:szCs w:val="30"/>
          <w:rtl/>
        </w:rPr>
        <w:t>وتكون إزالة الزئبق النقي أصعب بكثير من إزالة الزئبق المؤكسد، وتصمم معظم التكنولوجيات التجارية لإزالة الزئبق النقي الموجود على شكل بخار، وتعتمد على تنظيف الغاز التقليدي في المراحل الأولية لتحقيق معدلات إزالة مرتفعة للزئبق</w:t>
      </w:r>
      <w:r w:rsidRPr="00335E4B">
        <w:rPr>
          <w:rFonts w:cs="Traditional Arabic"/>
          <w:sz w:val="20"/>
          <w:szCs w:val="30"/>
          <w:rtl/>
          <w:lang w:val="en-GB" w:bidi="ar-EG"/>
        </w:rPr>
        <w:t>.</w:t>
      </w:r>
      <w:r w:rsidRPr="00335E4B">
        <w:rPr>
          <w:rFonts w:cs="Traditional Arabic"/>
          <w:sz w:val="20"/>
          <w:szCs w:val="30"/>
          <w:rtl/>
        </w:rPr>
        <w:t xml:space="preserve"> ويجري تركيب مرحلة إزالة الزئبق في العادة في الحالات التي يكون فيها تنظيف الغاز غير كاف لإزالة كميات كافية من الزئبق بسبب محتوى الزئبق في المواد الأولية أو خصائص الركاز</w:t>
      </w:r>
      <w:r w:rsidRPr="00335E4B">
        <w:rPr>
          <w:rFonts w:cs="Traditional Arabic"/>
          <w:sz w:val="20"/>
          <w:szCs w:val="30"/>
          <w:rtl/>
          <w:lang w:val="en-GB" w:bidi="ar-EG"/>
        </w:rPr>
        <w:t>.</w:t>
      </w:r>
    </w:p>
    <w:p w:rsidR="00335E4B" w:rsidRPr="00335E4B" w:rsidRDefault="00335E4B" w:rsidP="00BC1DB4">
      <w:pPr>
        <w:spacing w:after="120" w:line="400" w:lineRule="exact"/>
        <w:jc w:val="both"/>
        <w:rPr>
          <w:rFonts w:cs="Traditional Arabic"/>
          <w:sz w:val="20"/>
          <w:szCs w:val="30"/>
          <w:rtl/>
        </w:rPr>
      </w:pPr>
      <w:r w:rsidRPr="00335E4B">
        <w:rPr>
          <w:rFonts w:cs="Traditional Arabic"/>
          <w:sz w:val="20"/>
          <w:szCs w:val="30"/>
          <w:rtl/>
        </w:rPr>
        <w:t>ويلخص الجدول</w:t>
      </w:r>
      <w:r w:rsidRPr="00335E4B">
        <w:rPr>
          <w:rFonts w:cs="Traditional Arabic"/>
          <w:sz w:val="20"/>
          <w:szCs w:val="30"/>
          <w:rtl/>
          <w:lang w:val="en-GB" w:bidi="ar-EG"/>
        </w:rPr>
        <w:t xml:space="preserve"> </w:t>
      </w:r>
      <w:r w:rsidR="00BC1DB4">
        <w:rPr>
          <w:rFonts w:cs="Traditional Arabic" w:hint="cs"/>
          <w:sz w:val="20"/>
          <w:szCs w:val="30"/>
          <w:rtl/>
          <w:lang w:val="en-GB" w:bidi="ar-EG"/>
        </w:rPr>
        <w:t>4</w:t>
      </w:r>
      <w:r w:rsidRPr="00335E4B">
        <w:rPr>
          <w:rFonts w:cs="Traditional Arabic"/>
          <w:sz w:val="20"/>
          <w:szCs w:val="30"/>
          <w:rtl/>
          <w:lang w:val="en-GB" w:bidi="ar-EG"/>
        </w:rPr>
        <w:t xml:space="preserve"> </w:t>
      </w:r>
      <w:r w:rsidRPr="00335E4B">
        <w:rPr>
          <w:rFonts w:cs="Traditional Arabic"/>
          <w:sz w:val="20"/>
          <w:szCs w:val="30"/>
          <w:rtl/>
        </w:rPr>
        <w:t>بعض العوامل التي تؤثر على توزيع الزئبق في نظام تنظيف الغاز في بيئة المصهَر</w:t>
      </w:r>
      <w:r w:rsidRPr="00335E4B">
        <w:rPr>
          <w:rFonts w:cs="Traditional Arabic"/>
          <w:sz w:val="20"/>
          <w:szCs w:val="30"/>
          <w:rtl/>
          <w:lang w:val="en-GB" w:bidi="ar-EG"/>
        </w:rPr>
        <w:t>.</w:t>
      </w:r>
    </w:p>
    <w:p w:rsidR="00335E4B" w:rsidRPr="00335E4B" w:rsidRDefault="00335E4B" w:rsidP="00BC1DB4">
      <w:pPr>
        <w:spacing w:after="120" w:line="400" w:lineRule="exact"/>
        <w:jc w:val="both"/>
        <w:rPr>
          <w:rFonts w:cs="Traditional Arabic"/>
          <w:b/>
          <w:bCs/>
          <w:sz w:val="20"/>
          <w:szCs w:val="30"/>
          <w:rtl/>
        </w:rPr>
      </w:pPr>
      <w:bookmarkStart w:id="1940" w:name="_Ref415663867"/>
      <w:bookmarkStart w:id="1941" w:name="_Ref415663852"/>
      <w:r w:rsidRPr="00335E4B">
        <w:rPr>
          <w:rFonts w:cs="Traditional Arabic"/>
          <w:b/>
          <w:bCs/>
          <w:sz w:val="20"/>
          <w:szCs w:val="30"/>
          <w:rtl/>
        </w:rPr>
        <w:t>الجدول</w:t>
      </w:r>
      <w:r w:rsidRPr="00335E4B">
        <w:rPr>
          <w:rFonts w:cs="Traditional Arabic"/>
          <w:b/>
          <w:bCs/>
          <w:sz w:val="20"/>
          <w:szCs w:val="30"/>
          <w:rtl/>
          <w:lang w:val="en-GB" w:bidi="ar-EG"/>
        </w:rPr>
        <w:t xml:space="preserve"> </w:t>
      </w:r>
      <w:r w:rsidR="00BC1DB4">
        <w:rPr>
          <w:rFonts w:cs="Traditional Arabic" w:hint="cs"/>
          <w:b/>
          <w:bCs/>
          <w:sz w:val="20"/>
          <w:szCs w:val="30"/>
          <w:rtl/>
          <w:lang w:val="en-GB" w:bidi="ar-EG"/>
        </w:rPr>
        <w:t>4</w:t>
      </w:r>
      <w:r w:rsidRPr="00335E4B">
        <w:rPr>
          <w:rFonts w:cs="Traditional Arabic"/>
          <w:b/>
          <w:bCs/>
          <w:sz w:val="20"/>
          <w:szCs w:val="30"/>
          <w:rtl/>
          <w:lang w:val="en-GB" w:bidi="ar-EG"/>
        </w:rPr>
        <w:t xml:space="preserve">: </w:t>
      </w:r>
      <w:r w:rsidRPr="00335E4B">
        <w:rPr>
          <w:rFonts w:cs="Traditional Arabic"/>
          <w:b/>
          <w:bCs/>
          <w:sz w:val="20"/>
          <w:szCs w:val="30"/>
          <w:rtl/>
        </w:rPr>
        <w:t>بعض العوامل التي تؤثر على توزيع الزئبق في نظام تنظيم الغاز (حسب (</w:t>
      </w:r>
      <w:r w:rsidRPr="00335E4B">
        <w:rPr>
          <w:rFonts w:cs="Traditional Arabic"/>
          <w:b/>
          <w:bCs/>
          <w:sz w:val="20"/>
          <w:szCs w:val="30"/>
          <w:lang w:val="en-GB" w:bidi="ar-EG"/>
        </w:rPr>
        <w:t>Holmstr</w:t>
      </w:r>
      <w:r w:rsidRPr="00335E4B">
        <w:rPr>
          <w:rFonts w:cs="Traditional Arabic"/>
          <w:b/>
          <w:bCs/>
          <w:sz w:val="20"/>
          <w:szCs w:val="30"/>
        </w:rPr>
        <w:t>ö</w:t>
      </w:r>
      <w:r w:rsidRPr="00335E4B">
        <w:rPr>
          <w:rFonts w:cs="Traditional Arabic"/>
          <w:b/>
          <w:bCs/>
          <w:sz w:val="20"/>
          <w:szCs w:val="30"/>
          <w:lang w:val="en-GB" w:bidi="ar-EG"/>
        </w:rPr>
        <w:t>m et al. 2012</w:t>
      </w:r>
      <w:r w:rsidRPr="00335E4B">
        <w:rPr>
          <w:rFonts w:cs="Traditional Arabic"/>
          <w:b/>
          <w:bCs/>
          <w:sz w:val="20"/>
          <w:szCs w:val="30"/>
          <w:rtl/>
        </w:rPr>
        <w:t>))</w:t>
      </w:r>
      <w:bookmarkEnd w:id="1940"/>
      <w:bookmarkEnd w:id="1941"/>
    </w:p>
    <w:tbl>
      <w:tblPr>
        <w:bidiVisual/>
        <w:tblW w:w="0" w:type="auto"/>
        <w:tblInd w:w="106" w:type="dxa"/>
        <w:tblBorders>
          <w:top w:val="single" w:sz="8" w:space="0" w:color="9BBB59"/>
          <w:left w:val="single" w:sz="8" w:space="0" w:color="9BBB59"/>
          <w:bottom w:val="single" w:sz="8" w:space="0" w:color="9BBB59"/>
          <w:right w:val="single" w:sz="8" w:space="0" w:color="9BBB59"/>
        </w:tblBorders>
        <w:tblLayout w:type="fixed"/>
        <w:tblCellMar>
          <w:top w:w="28" w:type="dxa"/>
          <w:left w:w="85" w:type="dxa"/>
          <w:bottom w:w="28" w:type="dxa"/>
          <w:right w:w="85" w:type="dxa"/>
        </w:tblCellMar>
        <w:tblLook w:val="00A0" w:firstRow="1" w:lastRow="0" w:firstColumn="1" w:lastColumn="0" w:noHBand="0" w:noVBand="0"/>
      </w:tblPr>
      <w:tblGrid>
        <w:gridCol w:w="4399"/>
        <w:gridCol w:w="5099"/>
      </w:tblGrid>
      <w:tr w:rsidR="00335E4B" w:rsidRPr="00335E4B" w:rsidTr="00D002D1">
        <w:tc>
          <w:tcPr>
            <w:tcW w:w="4399" w:type="dxa"/>
            <w:tcBorders>
              <w:top w:val="single" w:sz="8" w:space="0" w:color="9BBB59"/>
              <w:bottom w:val="nil"/>
              <w:right w:val="nil"/>
            </w:tcBorders>
            <w:shd w:val="clear" w:color="auto" w:fill="9BBB59"/>
          </w:tcPr>
          <w:p w:rsidR="00335E4B" w:rsidRPr="00335E4B" w:rsidRDefault="00335E4B" w:rsidP="00335E4B">
            <w:pPr>
              <w:tabs>
                <w:tab w:val="left" w:pos="663"/>
                <w:tab w:val="left" w:pos="1117"/>
                <w:tab w:val="left" w:pos="2230"/>
                <w:tab w:val="center" w:pos="5468"/>
              </w:tabs>
              <w:spacing w:after="40" w:line="320" w:lineRule="exact"/>
              <w:jc w:val="lowKashida"/>
              <w:rPr>
                <w:rFonts w:cs="Traditional Arabic"/>
                <w:b/>
                <w:bCs/>
                <w:sz w:val="20"/>
                <w:szCs w:val="30"/>
                <w:rtl/>
              </w:rPr>
            </w:pPr>
            <w:r w:rsidRPr="00335E4B">
              <w:rPr>
                <w:rFonts w:cs="Traditional Arabic"/>
                <w:b/>
                <w:bCs/>
                <w:sz w:val="20"/>
                <w:szCs w:val="30"/>
                <w:rtl/>
              </w:rPr>
              <w:t>خصائص الغاز</w:t>
            </w:r>
          </w:p>
        </w:tc>
        <w:tc>
          <w:tcPr>
            <w:tcW w:w="5099" w:type="dxa"/>
            <w:tcBorders>
              <w:top w:val="single" w:sz="8" w:space="0" w:color="9BBB59"/>
              <w:left w:val="nil"/>
              <w:bottom w:val="nil"/>
            </w:tcBorders>
            <w:shd w:val="clear" w:color="auto" w:fill="9BBB59"/>
          </w:tcPr>
          <w:p w:rsidR="00335E4B" w:rsidRPr="00335E4B" w:rsidRDefault="00335E4B" w:rsidP="00335E4B">
            <w:pPr>
              <w:tabs>
                <w:tab w:val="left" w:pos="663"/>
                <w:tab w:val="left" w:pos="1117"/>
                <w:tab w:val="left" w:pos="2230"/>
                <w:tab w:val="center" w:pos="5468"/>
              </w:tabs>
              <w:spacing w:after="40" w:line="320" w:lineRule="exact"/>
              <w:jc w:val="lowKashida"/>
              <w:rPr>
                <w:rFonts w:cs="Traditional Arabic"/>
                <w:b/>
                <w:bCs/>
                <w:sz w:val="20"/>
                <w:szCs w:val="30"/>
                <w:rtl/>
              </w:rPr>
            </w:pPr>
            <w:r w:rsidRPr="00335E4B">
              <w:rPr>
                <w:rFonts w:cs="Traditional Arabic"/>
                <w:b/>
                <w:bCs/>
                <w:sz w:val="20"/>
                <w:szCs w:val="30"/>
                <w:rtl/>
              </w:rPr>
              <w:t xml:space="preserve">النتائج </w:t>
            </w:r>
            <w:r w:rsidRPr="00335E4B">
              <w:rPr>
                <w:rFonts w:cs="Traditional Arabic" w:hint="cs"/>
                <w:b/>
                <w:bCs/>
                <w:sz w:val="20"/>
                <w:szCs w:val="30"/>
                <w:rtl/>
              </w:rPr>
              <w:t>بالنسبة</w:t>
            </w:r>
            <w:r w:rsidRPr="00335E4B">
              <w:rPr>
                <w:rFonts w:cs="Traditional Arabic"/>
                <w:b/>
                <w:bCs/>
                <w:sz w:val="20"/>
                <w:szCs w:val="30"/>
                <w:rtl/>
              </w:rPr>
              <w:t xml:space="preserve"> </w:t>
            </w:r>
            <w:r w:rsidRPr="00335E4B">
              <w:rPr>
                <w:rFonts w:cs="Traditional Arabic" w:hint="cs"/>
                <w:b/>
                <w:bCs/>
                <w:sz w:val="20"/>
                <w:szCs w:val="30"/>
                <w:rtl/>
              </w:rPr>
              <w:t>ل</w:t>
            </w:r>
            <w:r w:rsidRPr="00335E4B">
              <w:rPr>
                <w:rFonts w:cs="Traditional Arabic"/>
                <w:b/>
                <w:bCs/>
                <w:sz w:val="20"/>
                <w:szCs w:val="30"/>
                <w:rtl/>
              </w:rPr>
              <w:t xml:space="preserve">توزيع الزئبق </w:t>
            </w:r>
          </w:p>
        </w:tc>
      </w:tr>
      <w:tr w:rsidR="00335E4B" w:rsidRPr="00335E4B" w:rsidTr="00D002D1">
        <w:tc>
          <w:tcPr>
            <w:tcW w:w="4399" w:type="dxa"/>
            <w:tcBorders>
              <w:top w:val="single" w:sz="8" w:space="0" w:color="9BBB59"/>
              <w:bottom w:val="single" w:sz="8" w:space="0" w:color="9BBB59"/>
              <w:right w:val="nil"/>
            </w:tcBorders>
          </w:tcPr>
          <w:p w:rsidR="00335E4B" w:rsidRPr="00335E4B" w:rsidRDefault="00335E4B" w:rsidP="00335E4B">
            <w:pPr>
              <w:tabs>
                <w:tab w:val="left" w:pos="663"/>
                <w:tab w:val="left" w:pos="1117"/>
                <w:tab w:val="left" w:pos="2230"/>
                <w:tab w:val="center" w:pos="5468"/>
              </w:tabs>
              <w:spacing w:after="40" w:line="320" w:lineRule="exact"/>
              <w:jc w:val="lowKashida"/>
              <w:rPr>
                <w:rFonts w:cs="Traditional Arabic"/>
                <w:sz w:val="20"/>
                <w:szCs w:val="30"/>
                <w:rtl/>
              </w:rPr>
            </w:pPr>
            <w:r w:rsidRPr="00335E4B">
              <w:rPr>
                <w:rFonts w:cs="Traditional Arabic"/>
                <w:sz w:val="20"/>
                <w:szCs w:val="30"/>
                <w:rtl/>
              </w:rPr>
              <w:t>وجود</w:t>
            </w:r>
            <w:r w:rsidRPr="00335E4B">
              <w:rPr>
                <w:rFonts w:cs="Traditional Arabic"/>
                <w:sz w:val="20"/>
                <w:szCs w:val="30"/>
                <w:rtl/>
                <w:lang w:val="en-GB" w:bidi="ar-EG"/>
              </w:rPr>
              <w:t xml:space="preserve"> </w:t>
            </w:r>
            <w:r w:rsidRPr="00335E4B">
              <w:rPr>
                <w:rFonts w:cs="Traditional Arabic"/>
                <w:sz w:val="20"/>
                <w:szCs w:val="30"/>
                <w:lang w:val="en-GB" w:bidi="ar-EG"/>
              </w:rPr>
              <w:t>Se</w:t>
            </w:r>
            <w:r w:rsidRPr="00335E4B">
              <w:rPr>
                <w:rFonts w:cs="Traditional Arabic"/>
                <w:sz w:val="20"/>
                <w:szCs w:val="30"/>
                <w:rtl/>
                <w:lang w:val="en-GB" w:bidi="ar-EG"/>
              </w:rPr>
              <w:t xml:space="preserve"> </w:t>
            </w:r>
            <w:r w:rsidRPr="00335E4B">
              <w:rPr>
                <w:rFonts w:cs="Traditional Arabic"/>
                <w:sz w:val="20"/>
                <w:szCs w:val="30"/>
                <w:rtl/>
              </w:rPr>
              <w:t>أو</w:t>
            </w:r>
            <w:r w:rsidRPr="00335E4B">
              <w:rPr>
                <w:rFonts w:cs="Traditional Arabic"/>
                <w:sz w:val="20"/>
                <w:szCs w:val="30"/>
                <w:rtl/>
                <w:lang w:val="en-GB" w:bidi="ar-EG"/>
              </w:rPr>
              <w:t xml:space="preserve"> </w:t>
            </w:r>
            <w:r w:rsidRPr="00335E4B">
              <w:rPr>
                <w:rFonts w:cs="Traditional Arabic"/>
                <w:sz w:val="20"/>
                <w:szCs w:val="30"/>
                <w:lang w:val="en-GB" w:bidi="ar-EG"/>
              </w:rPr>
              <w:t>S</w:t>
            </w:r>
            <w:r w:rsidRPr="00335E4B">
              <w:rPr>
                <w:rFonts w:cs="Traditional Arabic"/>
                <w:sz w:val="20"/>
                <w:szCs w:val="30"/>
                <w:vertAlign w:val="superscript"/>
                <w:lang w:val="en-GB" w:bidi="ar-EG"/>
              </w:rPr>
              <w:t>o</w:t>
            </w:r>
            <w:r w:rsidRPr="00335E4B">
              <w:rPr>
                <w:rFonts w:cs="Traditional Arabic"/>
                <w:sz w:val="20"/>
                <w:szCs w:val="30"/>
                <w:rtl/>
              </w:rPr>
              <w:t xml:space="preserve"> أو بدلاً من ذلك</w:t>
            </w:r>
            <w:r w:rsidRPr="00335E4B">
              <w:rPr>
                <w:rFonts w:cs="Traditional Arabic"/>
                <w:sz w:val="20"/>
                <w:szCs w:val="30"/>
                <w:rtl/>
                <w:lang w:val="en-GB" w:bidi="ar-EG"/>
              </w:rPr>
              <w:t xml:space="preserve"> </w:t>
            </w:r>
            <w:r w:rsidRPr="00335E4B">
              <w:rPr>
                <w:rFonts w:cs="Traditional Arabic"/>
                <w:sz w:val="20"/>
                <w:szCs w:val="30"/>
                <w:lang w:val="en-GB" w:bidi="ar-EG"/>
              </w:rPr>
              <w:t>H</w:t>
            </w:r>
            <w:r w:rsidRPr="00335E4B">
              <w:rPr>
                <w:rFonts w:cs="Traditional Arabic"/>
                <w:sz w:val="20"/>
                <w:szCs w:val="30"/>
                <w:vertAlign w:val="subscript"/>
                <w:lang w:val="en-GB" w:bidi="ar-EG"/>
              </w:rPr>
              <w:t>2</w:t>
            </w:r>
            <w:r w:rsidRPr="00335E4B">
              <w:rPr>
                <w:rFonts w:cs="Traditional Arabic"/>
                <w:sz w:val="20"/>
                <w:szCs w:val="30"/>
                <w:lang w:val="en-GB" w:bidi="ar-EG"/>
              </w:rPr>
              <w:t>S</w:t>
            </w:r>
            <w:r w:rsidRPr="00335E4B">
              <w:rPr>
                <w:rFonts w:cs="Traditional Arabic"/>
                <w:sz w:val="20"/>
                <w:szCs w:val="30"/>
                <w:vertAlign w:val="subscript"/>
              </w:rPr>
              <w:t>(</w:t>
            </w:r>
            <w:r w:rsidRPr="00335E4B">
              <w:rPr>
                <w:rFonts w:cs="Traditional Arabic"/>
                <w:sz w:val="20"/>
                <w:szCs w:val="30"/>
                <w:vertAlign w:val="subscript"/>
                <w:lang w:val="en-GB" w:bidi="ar-EG"/>
              </w:rPr>
              <w:t>g</w:t>
            </w:r>
            <w:r w:rsidRPr="00335E4B">
              <w:rPr>
                <w:rFonts w:cs="Traditional Arabic"/>
                <w:sz w:val="20"/>
                <w:szCs w:val="30"/>
                <w:vertAlign w:val="subscript"/>
              </w:rPr>
              <w:t>)</w:t>
            </w:r>
          </w:p>
        </w:tc>
        <w:tc>
          <w:tcPr>
            <w:tcW w:w="5099" w:type="dxa"/>
            <w:tcBorders>
              <w:top w:val="single" w:sz="8" w:space="0" w:color="9BBB59"/>
              <w:left w:val="nil"/>
              <w:bottom w:val="single" w:sz="8" w:space="0" w:color="9BBB59"/>
            </w:tcBorders>
          </w:tcPr>
          <w:p w:rsidR="00335E4B" w:rsidRPr="00335E4B" w:rsidRDefault="00335E4B" w:rsidP="00335E4B">
            <w:pPr>
              <w:tabs>
                <w:tab w:val="left" w:pos="663"/>
                <w:tab w:val="left" w:pos="1117"/>
                <w:tab w:val="left" w:pos="2230"/>
                <w:tab w:val="center" w:pos="5468"/>
              </w:tabs>
              <w:spacing w:after="40" w:line="320" w:lineRule="exact"/>
              <w:jc w:val="lowKashida"/>
              <w:rPr>
                <w:rFonts w:cs="Traditional Arabic"/>
                <w:sz w:val="20"/>
                <w:szCs w:val="30"/>
                <w:rtl/>
              </w:rPr>
            </w:pPr>
            <w:r w:rsidRPr="00335E4B">
              <w:rPr>
                <w:rFonts w:cs="Traditional Arabic"/>
                <w:sz w:val="20"/>
                <w:szCs w:val="30"/>
                <w:rtl/>
              </w:rPr>
              <w:t>تشكيل</w:t>
            </w:r>
            <w:r w:rsidRPr="00335E4B">
              <w:rPr>
                <w:rFonts w:cs="Traditional Arabic"/>
                <w:sz w:val="20"/>
                <w:szCs w:val="30"/>
                <w:rtl/>
                <w:lang w:val="en-GB" w:bidi="ar-EG"/>
              </w:rPr>
              <w:t xml:space="preserve"> </w:t>
            </w:r>
            <w:r w:rsidRPr="00335E4B">
              <w:rPr>
                <w:rFonts w:cs="Traditional Arabic"/>
                <w:sz w:val="20"/>
                <w:szCs w:val="30"/>
                <w:lang w:val="en-GB" w:bidi="ar-EG"/>
              </w:rPr>
              <w:t>HgSe</w:t>
            </w:r>
            <w:r w:rsidRPr="00335E4B">
              <w:rPr>
                <w:rFonts w:cs="Traditional Arabic"/>
                <w:sz w:val="20"/>
                <w:szCs w:val="30"/>
                <w:rtl/>
                <w:lang w:val="en-GB" w:bidi="ar-EG"/>
              </w:rPr>
              <w:t xml:space="preserve"> </w:t>
            </w:r>
            <w:r w:rsidRPr="00335E4B">
              <w:rPr>
                <w:rFonts w:cs="Traditional Arabic"/>
                <w:sz w:val="20"/>
                <w:szCs w:val="30"/>
                <w:rtl/>
              </w:rPr>
              <w:t>أو</w:t>
            </w:r>
            <w:r w:rsidRPr="00335E4B">
              <w:rPr>
                <w:rFonts w:cs="Traditional Arabic"/>
                <w:sz w:val="20"/>
                <w:szCs w:val="30"/>
                <w:rtl/>
                <w:lang w:val="en-GB" w:bidi="ar-EG"/>
              </w:rPr>
              <w:t xml:space="preserve"> </w:t>
            </w:r>
            <w:r w:rsidRPr="00335E4B">
              <w:rPr>
                <w:rFonts w:cs="Traditional Arabic"/>
                <w:sz w:val="20"/>
                <w:szCs w:val="30"/>
                <w:lang w:val="en-GB" w:bidi="ar-EG"/>
              </w:rPr>
              <w:t>HgS</w:t>
            </w:r>
            <w:r w:rsidRPr="00335E4B">
              <w:rPr>
                <w:rFonts w:cs="Traditional Arabic"/>
                <w:sz w:val="20"/>
                <w:szCs w:val="30"/>
                <w:rtl/>
                <w:lang w:val="en-GB" w:bidi="ar-EG"/>
              </w:rPr>
              <w:t xml:space="preserve"> </w:t>
            </w:r>
            <w:r w:rsidRPr="00335E4B">
              <w:rPr>
                <w:rFonts w:cs="Traditional Arabic"/>
                <w:sz w:val="20"/>
                <w:szCs w:val="30"/>
                <w:rtl/>
              </w:rPr>
              <w:t xml:space="preserve">(جسيمات)، </w:t>
            </w:r>
            <w:r w:rsidRPr="00335E4B">
              <w:rPr>
                <w:rFonts w:cs="Traditional Arabic" w:hint="cs"/>
                <w:sz w:val="20"/>
                <w:szCs w:val="30"/>
                <w:rtl/>
              </w:rPr>
              <w:t>التي تستعاد</w:t>
            </w:r>
            <w:r w:rsidRPr="00335E4B">
              <w:rPr>
                <w:rFonts w:cs="Traditional Arabic"/>
                <w:sz w:val="20"/>
                <w:szCs w:val="30"/>
                <w:rtl/>
              </w:rPr>
              <w:t xml:space="preserve"> بواسطة المرشحات الكيسية أو المرسبات الكهروستاتيكية الرطبة</w:t>
            </w:r>
          </w:p>
        </w:tc>
      </w:tr>
      <w:tr w:rsidR="00335E4B" w:rsidRPr="00335E4B" w:rsidTr="00D002D1">
        <w:tc>
          <w:tcPr>
            <w:tcW w:w="4399" w:type="dxa"/>
            <w:tcBorders>
              <w:top w:val="nil"/>
              <w:bottom w:val="nil"/>
              <w:right w:val="nil"/>
            </w:tcBorders>
          </w:tcPr>
          <w:p w:rsidR="00335E4B" w:rsidRPr="00335E4B" w:rsidRDefault="00335E4B" w:rsidP="00335E4B">
            <w:pPr>
              <w:spacing w:after="40" w:line="320" w:lineRule="exact"/>
              <w:jc w:val="lowKashida"/>
              <w:rPr>
                <w:rFonts w:cs="Traditional Arabic"/>
                <w:sz w:val="20"/>
                <w:szCs w:val="30"/>
                <w:rtl/>
              </w:rPr>
            </w:pPr>
            <w:r w:rsidRPr="00335E4B">
              <w:rPr>
                <w:rFonts w:cs="Traditional Arabic"/>
                <w:sz w:val="20"/>
                <w:szCs w:val="30"/>
                <w:rtl/>
              </w:rPr>
              <w:t>محتوى عال جداً من الزئبق النقي في نظام تبريد الغاز</w:t>
            </w:r>
          </w:p>
        </w:tc>
        <w:tc>
          <w:tcPr>
            <w:tcW w:w="5099" w:type="dxa"/>
            <w:tcBorders>
              <w:top w:val="nil"/>
              <w:left w:val="nil"/>
              <w:bottom w:val="nil"/>
            </w:tcBorders>
          </w:tcPr>
          <w:p w:rsidR="00335E4B" w:rsidRPr="00335E4B" w:rsidRDefault="00335E4B" w:rsidP="00335E4B">
            <w:pPr>
              <w:tabs>
                <w:tab w:val="left" w:pos="663"/>
                <w:tab w:val="left" w:pos="1117"/>
                <w:tab w:val="left" w:pos="2230"/>
                <w:tab w:val="center" w:pos="5468"/>
              </w:tabs>
              <w:spacing w:after="40" w:line="320" w:lineRule="exact"/>
              <w:jc w:val="lowKashida"/>
              <w:rPr>
                <w:rFonts w:cs="Traditional Arabic"/>
                <w:sz w:val="20"/>
                <w:szCs w:val="30"/>
                <w:rtl/>
              </w:rPr>
            </w:pPr>
            <w:r w:rsidRPr="00335E4B">
              <w:rPr>
                <w:rFonts w:cs="Traditional Arabic"/>
                <w:sz w:val="20"/>
                <w:szCs w:val="30"/>
                <w:rtl/>
              </w:rPr>
              <w:t>تشكيل وتكثف الزئبق النقي السائل في جميع أجزاء النظام</w:t>
            </w:r>
          </w:p>
        </w:tc>
      </w:tr>
      <w:tr w:rsidR="00335E4B" w:rsidRPr="00335E4B" w:rsidTr="00D002D1">
        <w:tc>
          <w:tcPr>
            <w:tcW w:w="4399" w:type="dxa"/>
            <w:tcBorders>
              <w:top w:val="single" w:sz="8" w:space="0" w:color="9BBB59"/>
              <w:bottom w:val="single" w:sz="8" w:space="0" w:color="9BBB59"/>
              <w:right w:val="nil"/>
            </w:tcBorders>
          </w:tcPr>
          <w:p w:rsidR="00335E4B" w:rsidRPr="00335E4B" w:rsidRDefault="00335E4B" w:rsidP="00335E4B">
            <w:pPr>
              <w:tabs>
                <w:tab w:val="left" w:pos="663"/>
                <w:tab w:val="left" w:pos="1117"/>
                <w:tab w:val="left" w:pos="2230"/>
                <w:tab w:val="center" w:pos="5468"/>
              </w:tabs>
              <w:spacing w:after="40" w:line="320" w:lineRule="exact"/>
              <w:jc w:val="lowKashida"/>
              <w:rPr>
                <w:rFonts w:cs="Traditional Arabic"/>
                <w:sz w:val="20"/>
                <w:szCs w:val="30"/>
                <w:rtl/>
              </w:rPr>
            </w:pPr>
            <w:r w:rsidRPr="00335E4B">
              <w:rPr>
                <w:rFonts w:cs="Traditional Arabic"/>
                <w:sz w:val="20"/>
                <w:szCs w:val="30"/>
                <w:rtl/>
              </w:rPr>
              <w:t>درجة الحرارة العالية للغاز بعد تبريده في برج بوليدين</w:t>
            </w:r>
            <w:r w:rsidRPr="00335E4B">
              <w:rPr>
                <w:rFonts w:cs="Traditional Arabic"/>
                <w:sz w:val="20"/>
                <w:szCs w:val="30"/>
                <w:rtl/>
                <w:lang w:val="en-GB" w:bidi="ar-EG"/>
              </w:rPr>
              <w:t>-</w:t>
            </w:r>
            <w:r w:rsidRPr="00335E4B">
              <w:rPr>
                <w:rFonts w:cs="Traditional Arabic"/>
                <w:sz w:val="20"/>
                <w:szCs w:val="30"/>
                <w:rtl/>
              </w:rPr>
              <w:t>نورزينك</w:t>
            </w:r>
          </w:p>
        </w:tc>
        <w:tc>
          <w:tcPr>
            <w:tcW w:w="5099" w:type="dxa"/>
            <w:tcBorders>
              <w:top w:val="single" w:sz="8" w:space="0" w:color="9BBB59"/>
              <w:left w:val="nil"/>
              <w:bottom w:val="single" w:sz="8" w:space="0" w:color="9BBB59"/>
            </w:tcBorders>
          </w:tcPr>
          <w:p w:rsidR="00335E4B" w:rsidRPr="00335E4B" w:rsidRDefault="00335E4B" w:rsidP="00335E4B">
            <w:pPr>
              <w:tabs>
                <w:tab w:val="left" w:pos="663"/>
                <w:tab w:val="left" w:pos="1117"/>
                <w:tab w:val="left" w:pos="2230"/>
                <w:tab w:val="center" w:pos="5468"/>
              </w:tabs>
              <w:spacing w:after="40" w:line="320" w:lineRule="exact"/>
              <w:jc w:val="lowKashida"/>
              <w:rPr>
                <w:rFonts w:cs="Traditional Arabic"/>
                <w:sz w:val="20"/>
                <w:szCs w:val="30"/>
                <w:rtl/>
              </w:rPr>
            </w:pPr>
            <w:r w:rsidRPr="00335E4B">
              <w:rPr>
                <w:rFonts w:cs="Traditional Arabic"/>
                <w:sz w:val="20"/>
                <w:szCs w:val="30"/>
                <w:rtl/>
              </w:rPr>
              <w:t>ينتج عن ذلك محتوى عال نسبياً من</w:t>
            </w:r>
            <w:r w:rsidRPr="00335E4B">
              <w:rPr>
                <w:rFonts w:cs="Traditional Arabic"/>
                <w:sz w:val="20"/>
                <w:szCs w:val="30"/>
                <w:rtl/>
                <w:lang w:val="en-GB" w:bidi="ar-EG"/>
              </w:rPr>
              <w:t xml:space="preserve"> </w:t>
            </w:r>
            <w:r w:rsidRPr="00335E4B">
              <w:rPr>
                <w:rFonts w:cs="Traditional Arabic"/>
                <w:sz w:val="20"/>
                <w:szCs w:val="30"/>
                <w:lang w:val="en-GB" w:bidi="ar-EG"/>
              </w:rPr>
              <w:t>Hg</w:t>
            </w:r>
            <w:r w:rsidRPr="00335E4B">
              <w:rPr>
                <w:rFonts w:cs="Traditional Arabic"/>
                <w:sz w:val="20"/>
                <w:szCs w:val="30"/>
                <w:vertAlign w:val="superscript"/>
                <w:lang w:val="en-GB" w:bidi="ar-EG"/>
              </w:rPr>
              <w:t>o</w:t>
            </w:r>
            <w:r w:rsidRPr="00335E4B">
              <w:rPr>
                <w:rFonts w:cs="Traditional Arabic"/>
                <w:sz w:val="20"/>
                <w:szCs w:val="30"/>
                <w:rtl/>
              </w:rPr>
              <w:t xml:space="preserve"> بعد برج بوليدين</w:t>
            </w:r>
            <w:r w:rsidRPr="00335E4B">
              <w:rPr>
                <w:rFonts w:cs="Traditional Arabic"/>
                <w:sz w:val="20"/>
                <w:szCs w:val="30"/>
                <w:rtl/>
                <w:lang w:val="en-GB" w:bidi="ar-EG"/>
              </w:rPr>
              <w:t>-</w:t>
            </w:r>
            <w:r w:rsidRPr="00335E4B">
              <w:rPr>
                <w:rFonts w:cs="Traditional Arabic"/>
                <w:sz w:val="20"/>
                <w:szCs w:val="30"/>
                <w:rtl/>
              </w:rPr>
              <w:t>نورزينك</w:t>
            </w:r>
          </w:p>
        </w:tc>
      </w:tr>
      <w:tr w:rsidR="00335E4B" w:rsidRPr="00335E4B" w:rsidTr="00D002D1">
        <w:tc>
          <w:tcPr>
            <w:tcW w:w="4399" w:type="dxa"/>
            <w:tcBorders>
              <w:top w:val="nil"/>
              <w:bottom w:val="nil"/>
              <w:right w:val="nil"/>
            </w:tcBorders>
          </w:tcPr>
          <w:p w:rsidR="00335E4B" w:rsidRPr="00335E4B" w:rsidRDefault="00335E4B" w:rsidP="00335E4B">
            <w:pPr>
              <w:tabs>
                <w:tab w:val="left" w:pos="663"/>
                <w:tab w:val="left" w:pos="1117"/>
                <w:tab w:val="left" w:pos="2230"/>
                <w:tab w:val="center" w:pos="5468"/>
              </w:tabs>
              <w:spacing w:after="40" w:line="320" w:lineRule="exact"/>
              <w:jc w:val="lowKashida"/>
              <w:rPr>
                <w:rFonts w:cs="Traditional Arabic"/>
                <w:sz w:val="20"/>
                <w:szCs w:val="30"/>
                <w:rtl/>
              </w:rPr>
            </w:pPr>
            <w:r w:rsidRPr="00335E4B">
              <w:rPr>
                <w:rFonts w:cs="Traditional Arabic"/>
                <w:sz w:val="20"/>
                <w:szCs w:val="30"/>
                <w:rtl/>
              </w:rPr>
              <w:t>عمل جهاز الترسيب الكهروستاتيكي الرطب</w:t>
            </w:r>
          </w:p>
        </w:tc>
        <w:tc>
          <w:tcPr>
            <w:tcW w:w="5099" w:type="dxa"/>
            <w:tcBorders>
              <w:top w:val="nil"/>
              <w:left w:val="nil"/>
              <w:bottom w:val="nil"/>
            </w:tcBorders>
          </w:tcPr>
          <w:p w:rsidR="00335E4B" w:rsidRPr="00335E4B" w:rsidRDefault="00335E4B" w:rsidP="00335E4B">
            <w:pPr>
              <w:tabs>
                <w:tab w:val="left" w:pos="663"/>
                <w:tab w:val="left" w:pos="1117"/>
                <w:tab w:val="left" w:pos="2230"/>
                <w:tab w:val="center" w:pos="5468"/>
              </w:tabs>
              <w:spacing w:after="40" w:line="320" w:lineRule="exact"/>
              <w:jc w:val="lowKashida"/>
              <w:rPr>
                <w:rFonts w:cs="Traditional Arabic"/>
                <w:sz w:val="20"/>
                <w:szCs w:val="30"/>
                <w:rtl/>
              </w:rPr>
            </w:pPr>
            <w:r w:rsidRPr="00335E4B">
              <w:rPr>
                <w:rFonts w:cs="Traditional Arabic"/>
                <w:sz w:val="20"/>
                <w:szCs w:val="30"/>
                <w:rtl/>
              </w:rPr>
              <w:t>تلزم الكفاءة العالية؛ وبدونها ستنتقل الجسيمات الغنية بالزئبق إلى الحمض</w:t>
            </w:r>
          </w:p>
        </w:tc>
      </w:tr>
      <w:tr w:rsidR="00335E4B" w:rsidRPr="00335E4B" w:rsidTr="00D002D1">
        <w:tc>
          <w:tcPr>
            <w:tcW w:w="4399" w:type="dxa"/>
            <w:tcBorders>
              <w:top w:val="single" w:sz="8" w:space="0" w:color="9BBB59"/>
              <w:bottom w:val="single" w:sz="8" w:space="0" w:color="9BBB59"/>
              <w:right w:val="nil"/>
            </w:tcBorders>
          </w:tcPr>
          <w:p w:rsidR="00335E4B" w:rsidRPr="00335E4B" w:rsidRDefault="00335E4B" w:rsidP="00335E4B">
            <w:pPr>
              <w:tabs>
                <w:tab w:val="left" w:pos="663"/>
                <w:tab w:val="left" w:pos="1117"/>
                <w:tab w:val="left" w:pos="2230"/>
                <w:tab w:val="center" w:pos="5468"/>
              </w:tabs>
              <w:spacing w:after="40" w:line="320" w:lineRule="exact"/>
              <w:jc w:val="lowKashida"/>
              <w:rPr>
                <w:rFonts w:cs="Traditional Arabic"/>
                <w:sz w:val="20"/>
                <w:szCs w:val="30"/>
                <w:rtl/>
              </w:rPr>
            </w:pPr>
            <w:r w:rsidRPr="00335E4B">
              <w:rPr>
                <w:rFonts w:cs="Traditional Arabic"/>
                <w:sz w:val="20"/>
                <w:szCs w:val="30"/>
                <w:rtl/>
              </w:rPr>
              <w:t xml:space="preserve">وجود الزئبق المؤكسد في </w:t>
            </w:r>
            <w:r w:rsidRPr="00335E4B">
              <w:rPr>
                <w:rFonts w:cs="Traditional Arabic" w:hint="cs"/>
                <w:sz w:val="20"/>
                <w:szCs w:val="30"/>
                <w:rtl/>
              </w:rPr>
              <w:t>غاز</w:t>
            </w:r>
            <w:r w:rsidRPr="00335E4B">
              <w:rPr>
                <w:rFonts w:cs="Traditional Arabic"/>
                <w:sz w:val="20"/>
                <w:szCs w:val="30"/>
                <w:rtl/>
              </w:rPr>
              <w:t xml:space="preserve"> العمليات الذي يصل إلى المرشحات الكيسية</w:t>
            </w:r>
          </w:p>
        </w:tc>
        <w:tc>
          <w:tcPr>
            <w:tcW w:w="5099" w:type="dxa"/>
            <w:tcBorders>
              <w:top w:val="single" w:sz="8" w:space="0" w:color="9BBB59"/>
              <w:left w:val="nil"/>
              <w:bottom w:val="single" w:sz="8" w:space="0" w:color="9BBB59"/>
            </w:tcBorders>
          </w:tcPr>
          <w:p w:rsidR="00335E4B" w:rsidRPr="00335E4B" w:rsidRDefault="00335E4B" w:rsidP="00335E4B">
            <w:pPr>
              <w:tabs>
                <w:tab w:val="left" w:pos="663"/>
                <w:tab w:val="left" w:pos="1117"/>
                <w:tab w:val="left" w:pos="2230"/>
                <w:tab w:val="center" w:pos="5468"/>
              </w:tabs>
              <w:spacing w:after="40" w:line="320" w:lineRule="exact"/>
              <w:jc w:val="lowKashida"/>
              <w:rPr>
                <w:rFonts w:cs="Traditional Arabic"/>
                <w:sz w:val="20"/>
                <w:szCs w:val="30"/>
                <w:rtl/>
              </w:rPr>
            </w:pPr>
            <w:r w:rsidRPr="00335E4B">
              <w:rPr>
                <w:rFonts w:cs="Traditional Arabic"/>
                <w:sz w:val="20"/>
                <w:szCs w:val="30"/>
                <w:rtl/>
              </w:rPr>
              <w:t>سيؤدي إلى وجود المزيد من الزئبق في غبار المرشحات الكيسية</w:t>
            </w:r>
            <w:r w:rsidRPr="00335E4B">
              <w:rPr>
                <w:rFonts w:cs="Traditional Arabic"/>
                <w:sz w:val="20"/>
                <w:szCs w:val="30"/>
                <w:rtl/>
                <w:lang w:val="en-GB" w:bidi="ar-EG"/>
              </w:rPr>
              <w:t>.</w:t>
            </w:r>
          </w:p>
        </w:tc>
      </w:tr>
    </w:tbl>
    <w:p w:rsidR="00335E4B" w:rsidRPr="00335E4B" w:rsidRDefault="00335E4B" w:rsidP="00BC1DB4">
      <w:pPr>
        <w:tabs>
          <w:tab w:val="left" w:pos="663"/>
          <w:tab w:val="left" w:pos="1117"/>
          <w:tab w:val="left" w:pos="2230"/>
          <w:tab w:val="center" w:pos="5468"/>
        </w:tabs>
        <w:spacing w:before="120" w:after="120" w:line="400" w:lineRule="exact"/>
        <w:jc w:val="lowKashida"/>
        <w:rPr>
          <w:rFonts w:cs="Traditional Arabic"/>
          <w:sz w:val="20"/>
          <w:szCs w:val="30"/>
          <w:rtl/>
        </w:rPr>
      </w:pPr>
      <w:r w:rsidRPr="00335E4B">
        <w:rPr>
          <w:rFonts w:cs="Traditional Arabic"/>
          <w:sz w:val="20"/>
          <w:szCs w:val="30"/>
          <w:rtl/>
        </w:rPr>
        <w:t>وتكون شروط نقاء الغاز اللازمة من أجل عمليات إزالة الزئبق هي نفسها تقريباً تلك المطلوبة لمنشآت تصنيع الحمض</w:t>
      </w:r>
      <w:r w:rsidRPr="00335E4B">
        <w:rPr>
          <w:rFonts w:cs="Traditional Arabic"/>
          <w:sz w:val="20"/>
          <w:szCs w:val="30"/>
          <w:rtl/>
          <w:lang w:val="en-GB" w:bidi="ar-EG"/>
        </w:rPr>
        <w:t>.</w:t>
      </w:r>
      <w:r w:rsidRPr="00335E4B">
        <w:rPr>
          <w:rFonts w:cs="Traditional Arabic"/>
          <w:sz w:val="20"/>
          <w:szCs w:val="30"/>
          <w:rtl/>
        </w:rPr>
        <w:t xml:space="preserve"> وفيما يتعلق بالحالة المحددة لعملية بوليدين</w:t>
      </w:r>
      <w:r w:rsidRPr="00335E4B">
        <w:rPr>
          <w:rFonts w:cs="Traditional Arabic"/>
          <w:sz w:val="20"/>
          <w:szCs w:val="30"/>
          <w:rtl/>
          <w:lang w:val="en-GB" w:bidi="ar-EG"/>
        </w:rPr>
        <w:t>-</w:t>
      </w:r>
      <w:r w:rsidRPr="00335E4B">
        <w:rPr>
          <w:rFonts w:cs="Traditional Arabic"/>
          <w:sz w:val="20"/>
          <w:szCs w:val="30"/>
          <w:rtl/>
        </w:rPr>
        <w:t>نورزينك، تكون قياسات ضغط بخار الزئبق في السوائل الدائرة حساسة لدرجات الحرارة</w:t>
      </w:r>
      <w:r w:rsidRPr="00335E4B">
        <w:rPr>
          <w:rFonts w:cs="Traditional Arabic"/>
          <w:sz w:val="20"/>
          <w:szCs w:val="30"/>
          <w:rtl/>
          <w:lang w:val="en-GB" w:bidi="ar-EG"/>
        </w:rPr>
        <w:t>.</w:t>
      </w:r>
      <w:r w:rsidRPr="00335E4B">
        <w:rPr>
          <w:rFonts w:cs="Traditional Arabic"/>
          <w:sz w:val="20"/>
          <w:szCs w:val="30"/>
          <w:rtl/>
        </w:rPr>
        <w:t xml:space="preserve"> ولهذا السبب، ينبغي أن تكون درجة حرارة الغاز الداخل منخفضة قدر الإمكان</w:t>
      </w:r>
      <w:r w:rsidRPr="00335E4B">
        <w:rPr>
          <w:rFonts w:cs="Traditional Arabic"/>
          <w:sz w:val="20"/>
          <w:szCs w:val="30"/>
          <w:rtl/>
          <w:lang w:val="en-GB" w:bidi="ar-EG"/>
        </w:rPr>
        <w:t>.</w:t>
      </w:r>
      <w:r w:rsidRPr="00335E4B">
        <w:rPr>
          <w:rFonts w:cs="Traditional Arabic"/>
          <w:sz w:val="20"/>
          <w:szCs w:val="30"/>
          <w:rtl/>
        </w:rPr>
        <w:t xml:space="preserve"> ويرد في الجدول</w:t>
      </w:r>
      <w:r w:rsidRPr="00335E4B">
        <w:rPr>
          <w:rFonts w:cs="Traditional Arabic"/>
          <w:sz w:val="20"/>
          <w:szCs w:val="30"/>
          <w:rtl/>
          <w:lang w:val="en-GB" w:bidi="ar-EG"/>
        </w:rPr>
        <w:t xml:space="preserve"> </w:t>
      </w:r>
      <w:r w:rsidR="00BC1DB4">
        <w:rPr>
          <w:rFonts w:cs="Traditional Arabic" w:hint="cs"/>
          <w:sz w:val="20"/>
          <w:szCs w:val="30"/>
          <w:rtl/>
          <w:lang w:val="en-GB" w:bidi="ar-EG"/>
        </w:rPr>
        <w:t>5</w:t>
      </w:r>
      <w:r w:rsidRPr="00335E4B">
        <w:rPr>
          <w:rFonts w:cs="Traditional Arabic"/>
          <w:sz w:val="20"/>
          <w:szCs w:val="30"/>
          <w:rtl/>
          <w:lang w:val="en-GB" w:bidi="ar-EG"/>
        </w:rPr>
        <w:t xml:space="preserve"> </w:t>
      </w:r>
      <w:r w:rsidRPr="00335E4B">
        <w:rPr>
          <w:rFonts w:cs="Traditional Arabic"/>
          <w:sz w:val="20"/>
          <w:szCs w:val="30"/>
          <w:rtl/>
        </w:rPr>
        <w:t>بيان للمتطلبات العادية بالنسبة لغاز منفذ الدخول إلى مرحلة إزالة الزئبق في عمليات بوليدين</w:t>
      </w:r>
      <w:r w:rsidRPr="00335E4B">
        <w:rPr>
          <w:rFonts w:cs="Traditional Arabic"/>
          <w:sz w:val="20"/>
          <w:szCs w:val="30"/>
          <w:rtl/>
          <w:lang w:val="en-GB" w:bidi="ar-EG"/>
        </w:rPr>
        <w:t>-</w:t>
      </w:r>
      <w:r w:rsidRPr="00335E4B">
        <w:rPr>
          <w:rFonts w:cs="Traditional Arabic"/>
          <w:sz w:val="20"/>
          <w:szCs w:val="30"/>
          <w:rtl/>
        </w:rPr>
        <w:t>نورزينك والثيوكبريتات ومرشح السلنيوم</w:t>
      </w:r>
      <w:r w:rsidRPr="00335E4B">
        <w:rPr>
          <w:rFonts w:cs="Traditional Arabic" w:hint="cs"/>
          <w:sz w:val="20"/>
          <w:szCs w:val="30"/>
          <w:rtl/>
        </w:rPr>
        <w:t>.</w:t>
      </w:r>
    </w:p>
    <w:p w:rsidR="008F1516" w:rsidRDefault="008F1516">
      <w:pPr>
        <w:bidi w:val="0"/>
        <w:rPr>
          <w:rFonts w:cs="Traditional Arabic"/>
          <w:b/>
          <w:bCs/>
          <w:sz w:val="20"/>
          <w:szCs w:val="30"/>
          <w:rtl/>
        </w:rPr>
      </w:pPr>
      <w:bookmarkStart w:id="1942" w:name="_Ref415664808"/>
      <w:r>
        <w:rPr>
          <w:rFonts w:cs="Traditional Arabic"/>
          <w:b/>
          <w:bCs/>
          <w:sz w:val="20"/>
          <w:szCs w:val="30"/>
          <w:rtl/>
        </w:rPr>
        <w:br w:type="page"/>
      </w:r>
    </w:p>
    <w:p w:rsidR="00335E4B" w:rsidRPr="00335E4B" w:rsidRDefault="00335E4B" w:rsidP="00BC1DB4">
      <w:pPr>
        <w:spacing w:after="120" w:line="360" w:lineRule="exact"/>
        <w:jc w:val="both"/>
        <w:rPr>
          <w:rFonts w:cs="Traditional Arabic"/>
          <w:b/>
          <w:bCs/>
          <w:sz w:val="20"/>
          <w:szCs w:val="30"/>
          <w:rtl/>
        </w:rPr>
      </w:pPr>
      <w:r w:rsidRPr="00335E4B">
        <w:rPr>
          <w:rFonts w:cs="Traditional Arabic"/>
          <w:b/>
          <w:bCs/>
          <w:sz w:val="20"/>
          <w:szCs w:val="30"/>
          <w:rtl/>
        </w:rPr>
        <w:t>الجدول</w:t>
      </w:r>
      <w:r w:rsidRPr="00335E4B">
        <w:rPr>
          <w:rFonts w:cs="Traditional Arabic"/>
          <w:b/>
          <w:bCs/>
          <w:sz w:val="20"/>
          <w:szCs w:val="30"/>
          <w:rtl/>
          <w:lang w:val="en-GB" w:bidi="ar-EG"/>
        </w:rPr>
        <w:t xml:space="preserve"> </w:t>
      </w:r>
      <w:r w:rsidR="00BC1DB4">
        <w:rPr>
          <w:rFonts w:cs="Traditional Arabic" w:hint="cs"/>
          <w:b/>
          <w:bCs/>
          <w:sz w:val="20"/>
          <w:szCs w:val="30"/>
          <w:rtl/>
          <w:lang w:val="en-GB" w:bidi="ar-EG"/>
        </w:rPr>
        <w:t>5</w:t>
      </w:r>
      <w:r w:rsidRPr="00335E4B">
        <w:rPr>
          <w:rFonts w:cs="Traditional Arabic"/>
          <w:b/>
          <w:bCs/>
          <w:sz w:val="20"/>
          <w:szCs w:val="30"/>
          <w:rtl/>
          <w:lang w:val="en-GB" w:bidi="ar-EG"/>
        </w:rPr>
        <w:t xml:space="preserve">: </w:t>
      </w:r>
      <w:r w:rsidRPr="00335E4B">
        <w:rPr>
          <w:rFonts w:cs="Traditional Arabic"/>
          <w:b/>
          <w:bCs/>
          <w:sz w:val="20"/>
          <w:szCs w:val="30"/>
          <w:rtl/>
        </w:rPr>
        <w:t>جودة الغازات والخصائص اللازمة بالنسبة لغاز منفذ الدخول إلى مرحلة إزالة الزئبق في عمليات بوليدين</w:t>
      </w:r>
      <w:r w:rsidRPr="00335E4B">
        <w:rPr>
          <w:rFonts w:cs="Traditional Arabic"/>
          <w:b/>
          <w:bCs/>
          <w:sz w:val="20"/>
          <w:szCs w:val="30"/>
          <w:rtl/>
          <w:lang w:val="en-GB" w:bidi="ar-EG"/>
        </w:rPr>
        <w:t>-</w:t>
      </w:r>
      <w:r w:rsidRPr="00335E4B">
        <w:rPr>
          <w:rFonts w:cs="Traditional Arabic"/>
          <w:b/>
          <w:bCs/>
          <w:sz w:val="20"/>
          <w:szCs w:val="30"/>
          <w:rtl/>
        </w:rPr>
        <w:t>نورزينك والثيوكبريتات ومرشح السلنيوم (بيانات القطاع الصناعي المقدمة من أوتوتيك)</w:t>
      </w:r>
      <w:bookmarkEnd w:id="1942"/>
    </w:p>
    <w:tbl>
      <w:tblPr>
        <w:bidiVisual/>
        <w:tblW w:w="0" w:type="auto"/>
        <w:tblBorders>
          <w:top w:val="single" w:sz="8" w:space="0" w:color="9BBB59"/>
          <w:left w:val="single" w:sz="8" w:space="0" w:color="9BBB59"/>
          <w:bottom w:val="single" w:sz="8" w:space="0" w:color="9BBB59"/>
          <w:right w:val="single" w:sz="8" w:space="0" w:color="9BBB59"/>
        </w:tblBorders>
        <w:tblLayout w:type="fixed"/>
        <w:tblCellMar>
          <w:top w:w="28" w:type="dxa"/>
          <w:left w:w="28" w:type="dxa"/>
          <w:bottom w:w="28" w:type="dxa"/>
          <w:right w:w="28" w:type="dxa"/>
        </w:tblCellMar>
        <w:tblLook w:val="00A0" w:firstRow="1" w:lastRow="0" w:firstColumn="1" w:lastColumn="0" w:noHBand="0" w:noVBand="0"/>
      </w:tblPr>
      <w:tblGrid>
        <w:gridCol w:w="2394"/>
        <w:gridCol w:w="2394"/>
        <w:gridCol w:w="2394"/>
        <w:gridCol w:w="2394"/>
      </w:tblGrid>
      <w:tr w:rsidR="00335E4B" w:rsidRPr="00335E4B" w:rsidTr="00D002D1">
        <w:tc>
          <w:tcPr>
            <w:tcW w:w="2394" w:type="dxa"/>
            <w:tcBorders>
              <w:top w:val="single" w:sz="8" w:space="0" w:color="9BBB59"/>
              <w:bottom w:val="nil"/>
              <w:right w:val="nil"/>
            </w:tcBorders>
            <w:shd w:val="clear" w:color="auto" w:fill="9BBB59"/>
          </w:tcPr>
          <w:p w:rsidR="00335E4B" w:rsidRPr="00335E4B" w:rsidRDefault="00335E4B" w:rsidP="00335E4B">
            <w:pPr>
              <w:tabs>
                <w:tab w:val="left" w:pos="663"/>
                <w:tab w:val="left" w:pos="1117"/>
                <w:tab w:val="left" w:pos="2230"/>
                <w:tab w:val="center" w:pos="5468"/>
              </w:tabs>
              <w:spacing w:after="40" w:line="320" w:lineRule="exact"/>
              <w:rPr>
                <w:rFonts w:cs="Traditional Arabic"/>
                <w:b/>
                <w:bCs/>
                <w:sz w:val="20"/>
                <w:szCs w:val="30"/>
                <w:rtl/>
              </w:rPr>
            </w:pPr>
            <w:r w:rsidRPr="00335E4B">
              <w:rPr>
                <w:rFonts w:cs="Traditional Arabic"/>
                <w:b/>
                <w:bCs/>
                <w:sz w:val="20"/>
                <w:szCs w:val="30"/>
                <w:rtl/>
              </w:rPr>
              <w:t>البارامتر</w:t>
            </w:r>
          </w:p>
        </w:tc>
        <w:tc>
          <w:tcPr>
            <w:tcW w:w="2394" w:type="dxa"/>
            <w:tcBorders>
              <w:top w:val="single" w:sz="8" w:space="0" w:color="9BBB59"/>
              <w:left w:val="nil"/>
              <w:bottom w:val="nil"/>
              <w:right w:val="nil"/>
            </w:tcBorders>
            <w:shd w:val="clear" w:color="auto" w:fill="9BBB59"/>
          </w:tcPr>
          <w:p w:rsidR="00335E4B" w:rsidRPr="00335E4B" w:rsidRDefault="00335E4B" w:rsidP="00335E4B">
            <w:pPr>
              <w:tabs>
                <w:tab w:val="left" w:pos="663"/>
                <w:tab w:val="left" w:pos="1117"/>
                <w:tab w:val="left" w:pos="2230"/>
                <w:tab w:val="center" w:pos="5468"/>
              </w:tabs>
              <w:spacing w:after="40" w:line="320" w:lineRule="exact"/>
              <w:rPr>
                <w:rFonts w:cs="Traditional Arabic"/>
                <w:b/>
                <w:bCs/>
                <w:sz w:val="20"/>
                <w:szCs w:val="30"/>
                <w:rtl/>
              </w:rPr>
            </w:pPr>
            <w:r w:rsidRPr="00335E4B">
              <w:rPr>
                <w:rFonts w:cs="Traditional Arabic"/>
                <w:b/>
                <w:bCs/>
                <w:sz w:val="20"/>
                <w:szCs w:val="30"/>
                <w:rtl/>
              </w:rPr>
              <w:t>عملية بوليدين</w:t>
            </w:r>
            <w:r w:rsidRPr="00335E4B">
              <w:rPr>
                <w:rFonts w:cs="Traditional Arabic"/>
                <w:b/>
                <w:bCs/>
                <w:sz w:val="20"/>
                <w:szCs w:val="30"/>
                <w:rtl/>
                <w:lang w:val="en-GB" w:bidi="ar-EG"/>
              </w:rPr>
              <w:t>-</w:t>
            </w:r>
            <w:r w:rsidRPr="00335E4B">
              <w:rPr>
                <w:rFonts w:cs="Traditional Arabic"/>
                <w:b/>
                <w:bCs/>
                <w:sz w:val="20"/>
                <w:szCs w:val="30"/>
                <w:rtl/>
              </w:rPr>
              <w:t>نورزينك</w:t>
            </w:r>
          </w:p>
        </w:tc>
        <w:tc>
          <w:tcPr>
            <w:tcW w:w="2394" w:type="dxa"/>
            <w:tcBorders>
              <w:top w:val="single" w:sz="8" w:space="0" w:color="9BBB59"/>
              <w:left w:val="nil"/>
              <w:bottom w:val="nil"/>
              <w:right w:val="nil"/>
            </w:tcBorders>
            <w:shd w:val="clear" w:color="auto" w:fill="9BBB59"/>
          </w:tcPr>
          <w:p w:rsidR="00335E4B" w:rsidRPr="00335E4B" w:rsidRDefault="00335E4B" w:rsidP="00335E4B">
            <w:pPr>
              <w:tabs>
                <w:tab w:val="left" w:pos="663"/>
                <w:tab w:val="left" w:pos="1117"/>
                <w:tab w:val="left" w:pos="2230"/>
                <w:tab w:val="center" w:pos="5468"/>
              </w:tabs>
              <w:spacing w:after="40" w:line="320" w:lineRule="exact"/>
              <w:rPr>
                <w:rFonts w:cs="Traditional Arabic"/>
                <w:b/>
                <w:bCs/>
                <w:sz w:val="20"/>
                <w:szCs w:val="30"/>
                <w:rtl/>
              </w:rPr>
            </w:pPr>
            <w:r w:rsidRPr="00335E4B">
              <w:rPr>
                <w:rFonts w:cs="Traditional Arabic"/>
                <w:b/>
                <w:bCs/>
                <w:sz w:val="20"/>
                <w:szCs w:val="30"/>
                <w:rtl/>
              </w:rPr>
              <w:t>عملية الثيوكبريتات</w:t>
            </w:r>
          </w:p>
        </w:tc>
        <w:tc>
          <w:tcPr>
            <w:tcW w:w="2394" w:type="dxa"/>
            <w:tcBorders>
              <w:top w:val="single" w:sz="8" w:space="0" w:color="9BBB59"/>
              <w:left w:val="nil"/>
              <w:bottom w:val="nil"/>
            </w:tcBorders>
            <w:shd w:val="clear" w:color="auto" w:fill="9BBB59"/>
          </w:tcPr>
          <w:p w:rsidR="00335E4B" w:rsidRPr="00335E4B" w:rsidRDefault="00335E4B" w:rsidP="00335E4B">
            <w:pPr>
              <w:tabs>
                <w:tab w:val="left" w:pos="663"/>
                <w:tab w:val="left" w:pos="1117"/>
                <w:tab w:val="left" w:pos="2230"/>
                <w:tab w:val="center" w:pos="5468"/>
              </w:tabs>
              <w:spacing w:after="40" w:line="320" w:lineRule="exact"/>
              <w:rPr>
                <w:rFonts w:cs="Traditional Arabic"/>
                <w:b/>
                <w:bCs/>
                <w:sz w:val="20"/>
                <w:szCs w:val="30"/>
                <w:rtl/>
              </w:rPr>
            </w:pPr>
            <w:r w:rsidRPr="00335E4B">
              <w:rPr>
                <w:rFonts w:cs="Traditional Arabic"/>
                <w:b/>
                <w:bCs/>
                <w:sz w:val="20"/>
                <w:szCs w:val="30"/>
                <w:rtl/>
              </w:rPr>
              <w:t>مرشح السلنيوم</w:t>
            </w:r>
          </w:p>
        </w:tc>
      </w:tr>
      <w:tr w:rsidR="00335E4B" w:rsidRPr="00335E4B" w:rsidTr="00D002D1">
        <w:tc>
          <w:tcPr>
            <w:tcW w:w="2394" w:type="dxa"/>
            <w:tcBorders>
              <w:top w:val="single" w:sz="8" w:space="0" w:color="9BBB59"/>
              <w:bottom w:val="single" w:sz="8" w:space="0" w:color="9BBB59"/>
              <w:right w:val="nil"/>
            </w:tcBorders>
          </w:tcPr>
          <w:p w:rsidR="00335E4B" w:rsidRPr="00335E4B" w:rsidRDefault="00335E4B" w:rsidP="00335E4B">
            <w:pPr>
              <w:tabs>
                <w:tab w:val="left" w:pos="663"/>
                <w:tab w:val="left" w:pos="1117"/>
                <w:tab w:val="left" w:pos="2230"/>
                <w:tab w:val="center" w:pos="5468"/>
              </w:tabs>
              <w:spacing w:after="40" w:line="320" w:lineRule="exact"/>
              <w:rPr>
                <w:rFonts w:cs="Traditional Arabic"/>
                <w:sz w:val="20"/>
                <w:szCs w:val="30"/>
                <w:rtl/>
              </w:rPr>
            </w:pPr>
            <w:r w:rsidRPr="00335E4B">
              <w:rPr>
                <w:rFonts w:cs="Traditional Arabic"/>
                <w:sz w:val="20"/>
                <w:szCs w:val="30"/>
                <w:rtl/>
              </w:rPr>
              <w:t xml:space="preserve">الغبار </w:t>
            </w:r>
          </w:p>
        </w:tc>
        <w:tc>
          <w:tcPr>
            <w:tcW w:w="2394" w:type="dxa"/>
            <w:tcBorders>
              <w:top w:val="single" w:sz="8" w:space="0" w:color="9BBB59"/>
              <w:left w:val="nil"/>
              <w:bottom w:val="single" w:sz="8" w:space="0" w:color="9BBB59"/>
              <w:right w:val="nil"/>
            </w:tcBorders>
          </w:tcPr>
          <w:p w:rsidR="00335E4B" w:rsidRPr="00335E4B" w:rsidRDefault="00335E4B" w:rsidP="00335E4B">
            <w:pPr>
              <w:tabs>
                <w:tab w:val="left" w:pos="663"/>
                <w:tab w:val="left" w:pos="1117"/>
                <w:tab w:val="left" w:pos="2230"/>
                <w:tab w:val="center" w:pos="5468"/>
              </w:tabs>
              <w:spacing w:after="40" w:line="320" w:lineRule="exact"/>
              <w:rPr>
                <w:rFonts w:cs="Traditional Arabic"/>
                <w:sz w:val="20"/>
                <w:szCs w:val="30"/>
                <w:vertAlign w:val="superscript"/>
                <w:rtl/>
              </w:rPr>
            </w:pPr>
            <w:r w:rsidRPr="00335E4B">
              <w:rPr>
                <w:rFonts w:cs="Traditional Arabic"/>
                <w:sz w:val="20"/>
                <w:szCs w:val="30"/>
                <w:rtl/>
              </w:rPr>
              <w:t>الحد الأقصى</w:t>
            </w:r>
            <w:r w:rsidRPr="00335E4B">
              <w:rPr>
                <w:rFonts w:cs="Traditional Arabic"/>
                <w:sz w:val="20"/>
                <w:szCs w:val="30"/>
                <w:rtl/>
                <w:lang w:val="en-GB" w:bidi="ar-EG"/>
              </w:rPr>
              <w:t xml:space="preserve"> 1 </w:t>
            </w:r>
            <w:r w:rsidRPr="00335E4B">
              <w:rPr>
                <w:rFonts w:cs="Traditional Arabic"/>
                <w:sz w:val="20"/>
                <w:szCs w:val="30"/>
                <w:rtl/>
              </w:rPr>
              <w:t>مليغرام</w:t>
            </w:r>
            <w:r w:rsidRPr="00335E4B">
              <w:rPr>
                <w:rFonts w:cs="Traditional Arabic"/>
                <w:sz w:val="20"/>
                <w:szCs w:val="30"/>
                <w:rtl/>
                <w:lang w:val="en-GB" w:bidi="ar-EG"/>
              </w:rPr>
              <w:t>/</w:t>
            </w:r>
            <w:r w:rsidRPr="00335E4B">
              <w:rPr>
                <w:rFonts w:cs="Traditional Arabic"/>
                <w:sz w:val="20"/>
                <w:szCs w:val="30"/>
                <w:rtl/>
              </w:rPr>
              <w:t>متر مكعب في الظروف الطبيعية</w:t>
            </w:r>
          </w:p>
        </w:tc>
        <w:tc>
          <w:tcPr>
            <w:tcW w:w="2394" w:type="dxa"/>
            <w:tcBorders>
              <w:top w:val="single" w:sz="8" w:space="0" w:color="9BBB59"/>
              <w:left w:val="nil"/>
              <w:bottom w:val="single" w:sz="8" w:space="0" w:color="9BBB59"/>
              <w:right w:val="nil"/>
            </w:tcBorders>
          </w:tcPr>
          <w:p w:rsidR="00335E4B" w:rsidRPr="00335E4B" w:rsidRDefault="00335E4B" w:rsidP="00335E4B">
            <w:pPr>
              <w:tabs>
                <w:tab w:val="left" w:pos="663"/>
                <w:tab w:val="left" w:pos="1117"/>
                <w:tab w:val="left" w:pos="2230"/>
                <w:tab w:val="center" w:pos="5468"/>
              </w:tabs>
              <w:spacing w:after="40" w:line="320" w:lineRule="exact"/>
              <w:rPr>
                <w:rFonts w:cs="Traditional Arabic"/>
                <w:sz w:val="20"/>
                <w:szCs w:val="30"/>
                <w:rtl/>
              </w:rPr>
            </w:pPr>
            <w:r w:rsidRPr="00335E4B">
              <w:rPr>
                <w:rFonts w:cs="Traditional Arabic"/>
                <w:sz w:val="20"/>
                <w:szCs w:val="30"/>
                <w:rtl/>
              </w:rPr>
              <w:t>الحد الأقصى</w:t>
            </w:r>
            <w:r w:rsidRPr="00335E4B">
              <w:rPr>
                <w:rFonts w:cs="Traditional Arabic"/>
                <w:sz w:val="20"/>
                <w:szCs w:val="30"/>
                <w:rtl/>
                <w:lang w:val="en-GB" w:bidi="ar-EG"/>
              </w:rPr>
              <w:t xml:space="preserve"> 1 </w:t>
            </w:r>
            <w:r w:rsidRPr="00335E4B">
              <w:rPr>
                <w:rFonts w:cs="Traditional Arabic"/>
                <w:sz w:val="20"/>
                <w:szCs w:val="30"/>
                <w:rtl/>
              </w:rPr>
              <w:t>مليغرام</w:t>
            </w:r>
            <w:r w:rsidRPr="00335E4B">
              <w:rPr>
                <w:rFonts w:cs="Traditional Arabic"/>
                <w:sz w:val="20"/>
                <w:szCs w:val="30"/>
                <w:rtl/>
                <w:lang w:val="en-GB" w:bidi="ar-EG"/>
              </w:rPr>
              <w:t>/</w:t>
            </w:r>
            <w:r w:rsidRPr="00335E4B">
              <w:rPr>
                <w:rFonts w:cs="Traditional Arabic"/>
                <w:sz w:val="20"/>
                <w:szCs w:val="30"/>
                <w:rtl/>
              </w:rPr>
              <w:t xml:space="preserve">متر مكعب </w:t>
            </w:r>
            <w:r w:rsidRPr="00335E4B">
              <w:rPr>
                <w:rFonts w:cs="Traditional Arabic" w:hint="cs"/>
                <w:sz w:val="20"/>
                <w:szCs w:val="30"/>
                <w:rtl/>
              </w:rPr>
              <w:t>عادي</w:t>
            </w:r>
            <w:r w:rsidRPr="00335E4B">
              <w:rPr>
                <w:rFonts w:cs="Traditional Arabic"/>
                <w:sz w:val="20"/>
                <w:szCs w:val="30"/>
                <w:rtl/>
              </w:rPr>
              <w:t xml:space="preserve"> (بعد مرحلة المرسب الكهروستاتيكي الرطب)</w:t>
            </w:r>
          </w:p>
        </w:tc>
        <w:tc>
          <w:tcPr>
            <w:tcW w:w="2394" w:type="dxa"/>
            <w:tcBorders>
              <w:top w:val="single" w:sz="8" w:space="0" w:color="9BBB59"/>
              <w:left w:val="nil"/>
              <w:bottom w:val="single" w:sz="8" w:space="0" w:color="9BBB59"/>
            </w:tcBorders>
          </w:tcPr>
          <w:p w:rsidR="00335E4B" w:rsidRPr="00335E4B" w:rsidRDefault="00335E4B" w:rsidP="00335E4B">
            <w:pPr>
              <w:tabs>
                <w:tab w:val="left" w:pos="663"/>
                <w:tab w:val="left" w:pos="1117"/>
                <w:tab w:val="left" w:pos="2230"/>
                <w:tab w:val="center" w:pos="5468"/>
              </w:tabs>
              <w:spacing w:after="40" w:line="320" w:lineRule="exact"/>
              <w:rPr>
                <w:rFonts w:cs="Traditional Arabic"/>
                <w:sz w:val="20"/>
                <w:szCs w:val="30"/>
                <w:rtl/>
              </w:rPr>
            </w:pPr>
            <w:r w:rsidRPr="00335E4B">
              <w:rPr>
                <w:rFonts w:cs="Traditional Arabic"/>
                <w:sz w:val="20"/>
                <w:szCs w:val="30"/>
                <w:rtl/>
              </w:rPr>
              <w:t>الحد الأقصى</w:t>
            </w:r>
            <w:r w:rsidRPr="00335E4B">
              <w:rPr>
                <w:rFonts w:cs="Traditional Arabic"/>
                <w:sz w:val="20"/>
                <w:szCs w:val="30"/>
                <w:rtl/>
                <w:lang w:val="en-GB" w:bidi="ar-EG"/>
              </w:rPr>
              <w:t xml:space="preserve"> 10 </w:t>
            </w:r>
            <w:r w:rsidRPr="00335E4B">
              <w:rPr>
                <w:rFonts w:cs="Traditional Arabic"/>
                <w:sz w:val="20"/>
                <w:szCs w:val="30"/>
                <w:rtl/>
              </w:rPr>
              <w:t>مليغرام</w:t>
            </w:r>
            <w:r w:rsidRPr="00335E4B">
              <w:rPr>
                <w:rFonts w:cs="Traditional Arabic"/>
                <w:sz w:val="20"/>
                <w:szCs w:val="30"/>
                <w:rtl/>
                <w:lang w:val="en-GB" w:bidi="ar-EG"/>
              </w:rPr>
              <w:t>/</w:t>
            </w:r>
            <w:r w:rsidRPr="00335E4B">
              <w:rPr>
                <w:rFonts w:cs="Traditional Arabic"/>
                <w:sz w:val="20"/>
                <w:szCs w:val="30"/>
                <w:rtl/>
              </w:rPr>
              <w:t xml:space="preserve">متر مكعب </w:t>
            </w:r>
            <w:r w:rsidRPr="00335E4B">
              <w:rPr>
                <w:rFonts w:cs="Traditional Arabic" w:hint="cs"/>
                <w:sz w:val="20"/>
                <w:szCs w:val="30"/>
                <w:rtl/>
              </w:rPr>
              <w:t>عادي</w:t>
            </w:r>
          </w:p>
        </w:tc>
      </w:tr>
      <w:tr w:rsidR="00335E4B" w:rsidRPr="00335E4B" w:rsidTr="00D002D1">
        <w:tc>
          <w:tcPr>
            <w:tcW w:w="2394" w:type="dxa"/>
            <w:tcBorders>
              <w:top w:val="nil"/>
              <w:bottom w:val="nil"/>
              <w:right w:val="nil"/>
            </w:tcBorders>
          </w:tcPr>
          <w:p w:rsidR="00335E4B" w:rsidRPr="00335E4B" w:rsidRDefault="00335E4B" w:rsidP="00335E4B">
            <w:pPr>
              <w:tabs>
                <w:tab w:val="left" w:pos="663"/>
                <w:tab w:val="left" w:pos="1117"/>
                <w:tab w:val="left" w:pos="2230"/>
                <w:tab w:val="center" w:pos="5468"/>
              </w:tabs>
              <w:spacing w:after="40" w:line="320" w:lineRule="exact"/>
              <w:rPr>
                <w:rFonts w:cs="Traditional Arabic"/>
                <w:sz w:val="20"/>
                <w:szCs w:val="30"/>
                <w:rtl/>
              </w:rPr>
            </w:pPr>
            <w:r w:rsidRPr="00335E4B">
              <w:rPr>
                <w:rFonts w:cs="Traditional Arabic"/>
                <w:sz w:val="20"/>
                <w:szCs w:val="30"/>
                <w:rtl/>
              </w:rPr>
              <w:t>رذاذ حمض الكبريتيك</w:t>
            </w:r>
          </w:p>
        </w:tc>
        <w:tc>
          <w:tcPr>
            <w:tcW w:w="2394" w:type="dxa"/>
            <w:tcBorders>
              <w:top w:val="nil"/>
              <w:left w:val="nil"/>
              <w:bottom w:val="nil"/>
              <w:right w:val="nil"/>
            </w:tcBorders>
          </w:tcPr>
          <w:p w:rsidR="00335E4B" w:rsidRPr="00335E4B" w:rsidRDefault="00335E4B" w:rsidP="00335E4B">
            <w:pPr>
              <w:tabs>
                <w:tab w:val="left" w:pos="663"/>
                <w:tab w:val="left" w:pos="1117"/>
                <w:tab w:val="left" w:pos="2230"/>
                <w:tab w:val="center" w:pos="5468"/>
              </w:tabs>
              <w:spacing w:after="40" w:line="320" w:lineRule="exact"/>
              <w:rPr>
                <w:rFonts w:cs="Traditional Arabic"/>
                <w:sz w:val="20"/>
                <w:szCs w:val="30"/>
                <w:rtl/>
              </w:rPr>
            </w:pPr>
            <w:r w:rsidRPr="00335E4B">
              <w:rPr>
                <w:rFonts w:cs="Traditional Arabic"/>
                <w:sz w:val="20"/>
                <w:szCs w:val="30"/>
                <w:rtl/>
              </w:rPr>
              <w:t>الحد الأقصى</w:t>
            </w:r>
            <w:r w:rsidRPr="00335E4B">
              <w:rPr>
                <w:rFonts w:cs="Traditional Arabic"/>
                <w:sz w:val="20"/>
                <w:szCs w:val="30"/>
                <w:rtl/>
                <w:lang w:val="en-GB" w:bidi="ar-EG"/>
              </w:rPr>
              <w:t xml:space="preserve"> 20 </w:t>
            </w:r>
            <w:r w:rsidRPr="00335E4B">
              <w:rPr>
                <w:rFonts w:cs="Traditional Arabic"/>
                <w:sz w:val="20"/>
                <w:szCs w:val="30"/>
                <w:rtl/>
              </w:rPr>
              <w:t>مليغرام</w:t>
            </w:r>
            <w:r w:rsidRPr="00335E4B">
              <w:rPr>
                <w:rFonts w:cs="Traditional Arabic"/>
                <w:sz w:val="20"/>
                <w:szCs w:val="30"/>
                <w:rtl/>
                <w:lang w:val="en-GB" w:bidi="ar-EG"/>
              </w:rPr>
              <w:t>/</w:t>
            </w:r>
            <w:r w:rsidRPr="00335E4B">
              <w:rPr>
                <w:rFonts w:cs="Traditional Arabic"/>
                <w:sz w:val="20"/>
                <w:szCs w:val="30"/>
                <w:rtl/>
              </w:rPr>
              <w:t>متر مكعب في الظروف الطبيعية</w:t>
            </w:r>
          </w:p>
        </w:tc>
        <w:tc>
          <w:tcPr>
            <w:tcW w:w="2394" w:type="dxa"/>
            <w:tcBorders>
              <w:top w:val="nil"/>
              <w:left w:val="nil"/>
              <w:bottom w:val="nil"/>
              <w:right w:val="nil"/>
            </w:tcBorders>
          </w:tcPr>
          <w:p w:rsidR="00335E4B" w:rsidRPr="00335E4B" w:rsidRDefault="00335E4B" w:rsidP="00335E4B">
            <w:pPr>
              <w:tabs>
                <w:tab w:val="left" w:pos="663"/>
                <w:tab w:val="left" w:pos="1117"/>
                <w:tab w:val="left" w:pos="2230"/>
                <w:tab w:val="center" w:pos="5468"/>
              </w:tabs>
              <w:spacing w:after="40" w:line="320" w:lineRule="exact"/>
              <w:rPr>
                <w:rFonts w:cs="Traditional Arabic"/>
                <w:sz w:val="20"/>
                <w:szCs w:val="30"/>
                <w:rtl/>
              </w:rPr>
            </w:pPr>
            <w:r w:rsidRPr="00335E4B">
              <w:rPr>
                <w:rFonts w:cs="Traditional Arabic"/>
                <w:sz w:val="20"/>
                <w:szCs w:val="30"/>
                <w:rtl/>
              </w:rPr>
              <w:t>الحد الأقصى</w:t>
            </w:r>
            <w:r w:rsidRPr="00335E4B">
              <w:rPr>
                <w:rFonts w:cs="Traditional Arabic"/>
                <w:sz w:val="20"/>
                <w:szCs w:val="30"/>
                <w:rtl/>
                <w:lang w:val="en-GB" w:bidi="ar-EG"/>
              </w:rPr>
              <w:t xml:space="preserve"> 20 </w:t>
            </w:r>
            <w:r w:rsidRPr="00335E4B">
              <w:rPr>
                <w:rFonts w:cs="Traditional Arabic"/>
                <w:sz w:val="20"/>
                <w:szCs w:val="30"/>
                <w:rtl/>
              </w:rPr>
              <w:t>مليغرام</w:t>
            </w:r>
            <w:r w:rsidRPr="00335E4B">
              <w:rPr>
                <w:rFonts w:cs="Traditional Arabic"/>
                <w:sz w:val="20"/>
                <w:szCs w:val="30"/>
                <w:rtl/>
                <w:lang w:val="en-GB" w:bidi="ar-EG"/>
              </w:rPr>
              <w:t>/</w:t>
            </w:r>
            <w:r w:rsidRPr="00335E4B">
              <w:rPr>
                <w:rFonts w:cs="Traditional Arabic"/>
                <w:sz w:val="20"/>
                <w:szCs w:val="30"/>
                <w:rtl/>
              </w:rPr>
              <w:t xml:space="preserve">متر مكعب </w:t>
            </w:r>
            <w:r w:rsidRPr="00335E4B">
              <w:rPr>
                <w:rFonts w:cs="Traditional Arabic" w:hint="cs"/>
                <w:sz w:val="20"/>
                <w:szCs w:val="30"/>
                <w:rtl/>
              </w:rPr>
              <w:t>عادي</w:t>
            </w:r>
            <w:r w:rsidRPr="00335E4B">
              <w:rPr>
                <w:rFonts w:cs="Traditional Arabic"/>
                <w:sz w:val="20"/>
                <w:szCs w:val="30"/>
                <w:rtl/>
              </w:rPr>
              <w:t xml:space="preserve"> (بعد مرحلة المرسب الكهروستاتيكي الرطب)</w:t>
            </w:r>
          </w:p>
        </w:tc>
        <w:tc>
          <w:tcPr>
            <w:tcW w:w="2394" w:type="dxa"/>
            <w:tcBorders>
              <w:top w:val="nil"/>
              <w:left w:val="nil"/>
              <w:bottom w:val="nil"/>
            </w:tcBorders>
          </w:tcPr>
          <w:p w:rsidR="00335E4B" w:rsidRPr="00335E4B" w:rsidRDefault="00335E4B" w:rsidP="00335E4B">
            <w:pPr>
              <w:tabs>
                <w:tab w:val="left" w:pos="663"/>
                <w:tab w:val="left" w:pos="1117"/>
                <w:tab w:val="left" w:pos="2230"/>
                <w:tab w:val="center" w:pos="5468"/>
              </w:tabs>
              <w:spacing w:after="40" w:line="320" w:lineRule="exact"/>
              <w:rPr>
                <w:rFonts w:cs="Traditional Arabic"/>
                <w:sz w:val="20"/>
                <w:szCs w:val="30"/>
                <w:rtl/>
              </w:rPr>
            </w:pPr>
            <w:r w:rsidRPr="00335E4B">
              <w:rPr>
                <w:rFonts w:cs="Traditional Arabic"/>
                <w:sz w:val="20"/>
                <w:szCs w:val="30"/>
                <w:rtl/>
              </w:rPr>
              <w:t>الحد الأقصى</w:t>
            </w:r>
            <w:r w:rsidRPr="00335E4B">
              <w:rPr>
                <w:rFonts w:cs="Traditional Arabic"/>
                <w:sz w:val="20"/>
                <w:szCs w:val="30"/>
                <w:rtl/>
                <w:lang w:val="en-GB" w:bidi="ar-EG"/>
              </w:rPr>
              <w:t xml:space="preserve"> 20 </w:t>
            </w:r>
            <w:r w:rsidRPr="00335E4B">
              <w:rPr>
                <w:rFonts w:cs="Traditional Arabic"/>
                <w:sz w:val="20"/>
                <w:szCs w:val="30"/>
                <w:rtl/>
              </w:rPr>
              <w:t>مليغرام</w:t>
            </w:r>
            <w:r w:rsidRPr="00335E4B">
              <w:rPr>
                <w:rFonts w:cs="Traditional Arabic"/>
                <w:sz w:val="20"/>
                <w:szCs w:val="30"/>
                <w:rtl/>
                <w:lang w:val="en-GB" w:bidi="ar-EG"/>
              </w:rPr>
              <w:t>/</w:t>
            </w:r>
            <w:r w:rsidRPr="00335E4B">
              <w:rPr>
                <w:rFonts w:cs="Traditional Arabic"/>
                <w:sz w:val="20"/>
                <w:szCs w:val="30"/>
                <w:rtl/>
              </w:rPr>
              <w:t xml:space="preserve">متر مكعب </w:t>
            </w:r>
            <w:r w:rsidRPr="00335E4B">
              <w:rPr>
                <w:rFonts w:cs="Traditional Arabic" w:hint="cs"/>
                <w:sz w:val="20"/>
                <w:szCs w:val="30"/>
                <w:rtl/>
              </w:rPr>
              <w:t>عادي</w:t>
            </w:r>
          </w:p>
        </w:tc>
      </w:tr>
      <w:tr w:rsidR="00335E4B" w:rsidRPr="00335E4B" w:rsidTr="00D002D1">
        <w:tc>
          <w:tcPr>
            <w:tcW w:w="2394" w:type="dxa"/>
            <w:tcBorders>
              <w:top w:val="single" w:sz="8" w:space="0" w:color="9BBB59"/>
              <w:bottom w:val="single" w:sz="8" w:space="0" w:color="9BBB59"/>
              <w:right w:val="nil"/>
            </w:tcBorders>
          </w:tcPr>
          <w:p w:rsidR="00335E4B" w:rsidRPr="00335E4B" w:rsidRDefault="00335E4B" w:rsidP="00335E4B">
            <w:pPr>
              <w:tabs>
                <w:tab w:val="left" w:pos="663"/>
                <w:tab w:val="left" w:pos="1117"/>
                <w:tab w:val="left" w:pos="2230"/>
                <w:tab w:val="center" w:pos="5468"/>
              </w:tabs>
              <w:spacing w:after="40" w:line="320" w:lineRule="exact"/>
              <w:rPr>
                <w:rFonts w:cs="Traditional Arabic"/>
                <w:sz w:val="20"/>
                <w:szCs w:val="30"/>
                <w:rtl/>
              </w:rPr>
            </w:pPr>
            <w:r w:rsidRPr="00335E4B">
              <w:rPr>
                <w:rFonts w:cs="Traditional Arabic"/>
                <w:sz w:val="20"/>
                <w:szCs w:val="30"/>
                <w:rtl/>
              </w:rPr>
              <w:t>درجة حرارة الغاز</w:t>
            </w:r>
          </w:p>
        </w:tc>
        <w:tc>
          <w:tcPr>
            <w:tcW w:w="2394" w:type="dxa"/>
            <w:tcBorders>
              <w:top w:val="single" w:sz="8" w:space="0" w:color="9BBB59"/>
              <w:left w:val="nil"/>
              <w:bottom w:val="single" w:sz="8" w:space="0" w:color="9BBB59"/>
              <w:right w:val="nil"/>
            </w:tcBorders>
          </w:tcPr>
          <w:p w:rsidR="00335E4B" w:rsidRPr="00335E4B" w:rsidRDefault="00335E4B" w:rsidP="00335E4B">
            <w:pPr>
              <w:tabs>
                <w:tab w:val="left" w:pos="663"/>
                <w:tab w:val="left" w:pos="1117"/>
                <w:tab w:val="left" w:pos="2230"/>
                <w:tab w:val="center" w:pos="5468"/>
              </w:tabs>
              <w:spacing w:after="40" w:line="320" w:lineRule="exact"/>
              <w:rPr>
                <w:rFonts w:cs="Traditional Arabic"/>
                <w:sz w:val="20"/>
                <w:szCs w:val="30"/>
                <w:rtl/>
              </w:rPr>
            </w:pPr>
            <w:r w:rsidRPr="00335E4B">
              <w:rPr>
                <w:rFonts w:cs="Traditional Arabic"/>
                <w:sz w:val="20"/>
                <w:szCs w:val="30"/>
                <w:rtl/>
                <w:lang w:val="en-GB" w:bidi="ar-EG"/>
              </w:rPr>
              <w:t xml:space="preserve">40 </w:t>
            </w:r>
            <w:r w:rsidRPr="00335E4B">
              <w:rPr>
                <w:rFonts w:cs="Traditional Arabic"/>
                <w:sz w:val="20"/>
                <w:szCs w:val="30"/>
                <w:rtl/>
              </w:rPr>
              <w:t>درجة مئوية كحد أقصى</w:t>
            </w:r>
          </w:p>
        </w:tc>
        <w:tc>
          <w:tcPr>
            <w:tcW w:w="2394" w:type="dxa"/>
            <w:tcBorders>
              <w:top w:val="single" w:sz="8" w:space="0" w:color="9BBB59"/>
              <w:left w:val="nil"/>
              <w:bottom w:val="single" w:sz="8" w:space="0" w:color="9BBB59"/>
              <w:right w:val="nil"/>
            </w:tcBorders>
          </w:tcPr>
          <w:p w:rsidR="00335E4B" w:rsidRPr="00335E4B" w:rsidRDefault="00335E4B" w:rsidP="00335E4B">
            <w:pPr>
              <w:tabs>
                <w:tab w:val="left" w:pos="663"/>
                <w:tab w:val="left" w:pos="1117"/>
                <w:tab w:val="left" w:pos="2230"/>
                <w:tab w:val="center" w:pos="5468"/>
              </w:tabs>
              <w:spacing w:after="40" w:line="320" w:lineRule="exact"/>
              <w:rPr>
                <w:rFonts w:cs="Traditional Arabic"/>
                <w:sz w:val="20"/>
                <w:szCs w:val="30"/>
                <w:rtl/>
              </w:rPr>
            </w:pPr>
            <w:r w:rsidRPr="00335E4B">
              <w:rPr>
                <w:rFonts w:cs="Traditional Arabic"/>
                <w:sz w:val="20"/>
                <w:szCs w:val="30"/>
                <w:rtl/>
              </w:rPr>
              <w:t>ليست ذات أهمية حرجة</w:t>
            </w:r>
          </w:p>
        </w:tc>
        <w:tc>
          <w:tcPr>
            <w:tcW w:w="2394" w:type="dxa"/>
            <w:tcBorders>
              <w:top w:val="single" w:sz="8" w:space="0" w:color="9BBB59"/>
              <w:left w:val="nil"/>
              <w:bottom w:val="single" w:sz="8" w:space="0" w:color="9BBB59"/>
            </w:tcBorders>
          </w:tcPr>
          <w:p w:rsidR="00335E4B" w:rsidRPr="00335E4B" w:rsidRDefault="00335E4B" w:rsidP="00335E4B">
            <w:pPr>
              <w:tabs>
                <w:tab w:val="left" w:pos="663"/>
                <w:tab w:val="left" w:pos="1117"/>
                <w:tab w:val="left" w:pos="2230"/>
                <w:tab w:val="center" w:pos="5468"/>
              </w:tabs>
              <w:spacing w:after="40" w:line="320" w:lineRule="exact"/>
              <w:rPr>
                <w:rFonts w:cs="Traditional Arabic"/>
                <w:sz w:val="20"/>
                <w:szCs w:val="30"/>
                <w:rtl/>
              </w:rPr>
            </w:pPr>
            <w:r w:rsidRPr="00335E4B">
              <w:rPr>
                <w:rFonts w:cs="Traditional Arabic"/>
                <w:sz w:val="20"/>
                <w:szCs w:val="30"/>
                <w:rtl/>
                <w:lang w:val="en-GB" w:bidi="ar-EG"/>
              </w:rPr>
              <w:t xml:space="preserve">90 </w:t>
            </w:r>
            <w:r w:rsidRPr="00335E4B">
              <w:rPr>
                <w:rFonts w:cs="Traditional Arabic"/>
                <w:sz w:val="20"/>
                <w:szCs w:val="30"/>
                <w:rtl/>
              </w:rPr>
              <w:t>درجة مئوية كحد أقصى</w:t>
            </w:r>
          </w:p>
        </w:tc>
      </w:tr>
    </w:tbl>
    <w:p w:rsidR="00335E4B" w:rsidRPr="00335E4B" w:rsidRDefault="00335E4B" w:rsidP="00335E4B">
      <w:pPr>
        <w:tabs>
          <w:tab w:val="left" w:pos="663"/>
          <w:tab w:val="left" w:pos="1117"/>
          <w:tab w:val="left" w:pos="2230"/>
          <w:tab w:val="center" w:pos="5468"/>
        </w:tabs>
        <w:spacing w:before="240" w:after="120" w:line="400" w:lineRule="exact"/>
        <w:jc w:val="both"/>
        <w:rPr>
          <w:rFonts w:cs="Traditional Arabic"/>
          <w:sz w:val="20"/>
          <w:szCs w:val="30"/>
          <w:rtl/>
        </w:rPr>
      </w:pPr>
      <w:r w:rsidRPr="00335E4B">
        <w:rPr>
          <w:rFonts w:cs="Traditional Arabic"/>
          <w:sz w:val="20"/>
          <w:szCs w:val="30"/>
          <w:rtl/>
        </w:rPr>
        <w:t xml:space="preserve">وصفت مؤسسة أوتوتيك، الموزع الرئيسي لتقنيات </w:t>
      </w:r>
      <w:r w:rsidRPr="00335E4B">
        <w:rPr>
          <w:rFonts w:cs="Traditional Arabic" w:hint="cs"/>
          <w:sz w:val="20"/>
          <w:szCs w:val="30"/>
          <w:rtl/>
        </w:rPr>
        <w:t xml:space="preserve">ضبط </w:t>
      </w:r>
      <w:r w:rsidRPr="00335E4B">
        <w:rPr>
          <w:rFonts w:cs="Traditional Arabic"/>
          <w:sz w:val="20"/>
          <w:szCs w:val="30"/>
          <w:rtl/>
        </w:rPr>
        <w:t xml:space="preserve">الزئبق </w:t>
      </w:r>
      <w:r w:rsidRPr="00335E4B">
        <w:rPr>
          <w:rFonts w:cs="Traditional Arabic" w:hint="cs"/>
          <w:sz w:val="20"/>
          <w:szCs w:val="30"/>
          <w:rtl/>
        </w:rPr>
        <w:t xml:space="preserve">في </w:t>
      </w:r>
      <w:r w:rsidRPr="00335E4B">
        <w:rPr>
          <w:rFonts w:cs="Traditional Arabic"/>
          <w:sz w:val="20"/>
          <w:szCs w:val="30"/>
          <w:rtl/>
        </w:rPr>
        <w:t xml:space="preserve">عمليات الصهر، أسلوباً لاختيار التكنولوجيا </w:t>
      </w:r>
      <w:r w:rsidRPr="00060630">
        <w:rPr>
          <w:rFonts w:asciiTheme="majorBidi" w:hAnsiTheme="majorBidi" w:cstheme="majorBidi"/>
          <w:sz w:val="18"/>
          <w:szCs w:val="18"/>
          <w:rtl/>
        </w:rPr>
        <w:t>(</w:t>
      </w:r>
      <w:r w:rsidRPr="00060630">
        <w:rPr>
          <w:rFonts w:asciiTheme="majorBidi" w:hAnsiTheme="majorBidi" w:cstheme="majorBidi"/>
          <w:sz w:val="18"/>
          <w:szCs w:val="18"/>
          <w:lang w:val="en-GB" w:bidi="ar-EG"/>
        </w:rPr>
        <w:t>Holmstr</w:t>
      </w:r>
      <w:r w:rsidRPr="00060630">
        <w:rPr>
          <w:rFonts w:asciiTheme="majorBidi" w:hAnsiTheme="majorBidi" w:cstheme="majorBidi"/>
          <w:sz w:val="18"/>
          <w:szCs w:val="18"/>
        </w:rPr>
        <w:t>ö</w:t>
      </w:r>
      <w:r w:rsidRPr="00060630">
        <w:rPr>
          <w:rFonts w:asciiTheme="majorBidi" w:hAnsiTheme="majorBidi" w:cstheme="majorBidi"/>
          <w:sz w:val="18"/>
          <w:szCs w:val="18"/>
          <w:lang w:val="en-GB" w:bidi="ar-EG"/>
        </w:rPr>
        <w:t>m et al. 2012</w:t>
      </w:r>
      <w:r w:rsidRPr="00060630">
        <w:rPr>
          <w:rFonts w:asciiTheme="majorBidi" w:hAnsiTheme="majorBidi" w:cstheme="majorBidi"/>
          <w:sz w:val="18"/>
          <w:szCs w:val="18"/>
          <w:rtl/>
        </w:rPr>
        <w:t>)</w:t>
      </w:r>
      <w:r w:rsidRPr="00335E4B">
        <w:rPr>
          <w:rFonts w:cs="Traditional Arabic"/>
          <w:sz w:val="20"/>
          <w:szCs w:val="30"/>
          <w:rtl/>
        </w:rPr>
        <w:t xml:space="preserve"> في الحالات التي تلزم فيها إزالة كبيرة للزئبق من الغاز</w:t>
      </w:r>
      <w:r w:rsidRPr="00335E4B">
        <w:rPr>
          <w:rFonts w:cs="Traditional Arabic"/>
          <w:sz w:val="20"/>
          <w:szCs w:val="30"/>
          <w:rtl/>
          <w:lang w:val="en-GB" w:bidi="ar-EG"/>
        </w:rPr>
        <w:t>.</w:t>
      </w:r>
      <w:r w:rsidRPr="00335E4B">
        <w:rPr>
          <w:rFonts w:cs="Traditional Arabic"/>
          <w:sz w:val="20"/>
          <w:szCs w:val="30"/>
          <w:rtl/>
        </w:rPr>
        <w:t xml:space="preserve"> وكانت التكنولوجيات الثلاث الواردة في الوصف هي عملية بوليدين</w:t>
      </w:r>
      <w:r w:rsidRPr="00335E4B">
        <w:rPr>
          <w:rFonts w:cs="Traditional Arabic"/>
          <w:sz w:val="20"/>
          <w:szCs w:val="30"/>
          <w:rtl/>
          <w:lang w:val="en-GB" w:bidi="ar-EG"/>
        </w:rPr>
        <w:t>-</w:t>
      </w:r>
      <w:r w:rsidRPr="00335E4B">
        <w:rPr>
          <w:rFonts w:cs="Traditional Arabic"/>
          <w:sz w:val="20"/>
          <w:szCs w:val="30"/>
          <w:rtl/>
        </w:rPr>
        <w:t xml:space="preserve">نورزينك ومرشح السلنيوم المستخدم في طبقة ثابتة بوجود تدفقات غازية صغيرة نسبياً؛ ومرشح من الكربون المنشط لاستخدامه في طبقة ثابتة أو </w:t>
      </w:r>
      <w:r w:rsidRPr="00335E4B">
        <w:rPr>
          <w:rFonts w:cs="Traditional Arabic" w:hint="cs"/>
          <w:sz w:val="20"/>
          <w:szCs w:val="30"/>
          <w:rtl/>
        </w:rPr>
        <w:t>ب</w:t>
      </w:r>
      <w:r w:rsidRPr="00335E4B">
        <w:rPr>
          <w:rFonts w:cs="Traditional Arabic"/>
          <w:sz w:val="20"/>
          <w:szCs w:val="30"/>
          <w:rtl/>
        </w:rPr>
        <w:t>حقن الكربون المنشط في مرحلة سابقة للمرشح الكيسي</w:t>
      </w:r>
      <w:r w:rsidRPr="00335E4B">
        <w:rPr>
          <w:rFonts w:cs="Traditional Arabic"/>
          <w:sz w:val="20"/>
          <w:szCs w:val="30"/>
          <w:rtl/>
          <w:lang w:val="en-GB" w:bidi="ar-EG"/>
        </w:rPr>
        <w:t>.</w:t>
      </w:r>
      <w:r w:rsidRPr="00335E4B">
        <w:rPr>
          <w:rFonts w:cs="Traditional Arabic"/>
          <w:sz w:val="20"/>
          <w:szCs w:val="30"/>
          <w:rtl/>
        </w:rPr>
        <w:t xml:space="preserve"> ووفقا</w:t>
      </w:r>
      <w:r w:rsidR="00060630">
        <w:rPr>
          <w:rFonts w:cs="Traditional Arabic" w:hint="cs"/>
          <w:sz w:val="20"/>
          <w:szCs w:val="30"/>
          <w:rtl/>
        </w:rPr>
        <w:t>ً</w:t>
      </w:r>
      <w:r w:rsidRPr="00335E4B">
        <w:rPr>
          <w:rFonts w:cs="Traditional Arabic"/>
          <w:sz w:val="20"/>
          <w:szCs w:val="30"/>
          <w:rtl/>
        </w:rPr>
        <w:t xml:space="preserve"> لأوتوتيك يتحدد الخيار </w:t>
      </w:r>
      <w:r w:rsidRPr="00060630">
        <w:rPr>
          <w:rFonts w:asciiTheme="majorBidi" w:hAnsiTheme="majorBidi" w:cstheme="majorBidi"/>
          <w:sz w:val="18"/>
          <w:szCs w:val="18"/>
          <w:rtl/>
        </w:rPr>
        <w:t>(</w:t>
      </w:r>
      <w:r w:rsidRPr="00060630">
        <w:rPr>
          <w:rFonts w:asciiTheme="majorBidi" w:hAnsiTheme="majorBidi" w:cstheme="majorBidi"/>
          <w:sz w:val="18"/>
          <w:szCs w:val="18"/>
          <w:lang w:val="en-GB" w:bidi="ar-EG"/>
        </w:rPr>
        <w:t>Holmstr</w:t>
      </w:r>
      <w:r w:rsidRPr="00060630">
        <w:rPr>
          <w:rFonts w:asciiTheme="majorBidi" w:hAnsiTheme="majorBidi" w:cstheme="majorBidi"/>
          <w:sz w:val="18"/>
          <w:szCs w:val="18"/>
        </w:rPr>
        <w:t>ö</w:t>
      </w:r>
      <w:r w:rsidRPr="00060630">
        <w:rPr>
          <w:rFonts w:asciiTheme="majorBidi" w:hAnsiTheme="majorBidi" w:cstheme="majorBidi"/>
          <w:sz w:val="18"/>
          <w:szCs w:val="18"/>
          <w:lang w:val="en-GB" w:bidi="ar-EG"/>
        </w:rPr>
        <w:t>m et al. 2012</w:t>
      </w:r>
      <w:r w:rsidRPr="00060630">
        <w:rPr>
          <w:rFonts w:asciiTheme="majorBidi" w:hAnsiTheme="majorBidi" w:cstheme="majorBidi"/>
          <w:sz w:val="18"/>
          <w:szCs w:val="18"/>
          <w:rtl/>
        </w:rPr>
        <w:t>)</w:t>
      </w:r>
      <w:r w:rsidRPr="00335E4B">
        <w:rPr>
          <w:rFonts w:cs="Traditional Arabic"/>
          <w:sz w:val="20"/>
          <w:szCs w:val="30"/>
          <w:rtl/>
        </w:rPr>
        <w:t xml:space="preserve"> بالظروف التي تجري بها العملية ويمكن توضيح ذلك ببساطة في </w:t>
      </w:r>
      <w:r w:rsidRPr="00335E4B">
        <w:rPr>
          <w:rFonts w:cs="Traditional Arabic" w:hint="cs"/>
          <w:sz w:val="20"/>
          <w:szCs w:val="30"/>
          <w:rtl/>
        </w:rPr>
        <w:t>المخطط</w:t>
      </w:r>
      <w:r w:rsidRPr="00335E4B">
        <w:rPr>
          <w:rFonts w:cs="Traditional Arabic"/>
          <w:sz w:val="20"/>
          <w:szCs w:val="30"/>
          <w:rtl/>
        </w:rPr>
        <w:t xml:space="preserve"> البياني المقدم في الشكل</w:t>
      </w:r>
      <w:r w:rsidRPr="00335E4B">
        <w:rPr>
          <w:rFonts w:cs="Traditional Arabic"/>
          <w:sz w:val="20"/>
          <w:szCs w:val="30"/>
          <w:rtl/>
          <w:lang w:val="en-GB" w:bidi="ar-EG"/>
        </w:rPr>
        <w:t xml:space="preserve"> </w:t>
      </w:r>
      <w:r w:rsidRPr="00335E4B">
        <w:rPr>
          <w:rFonts w:cs="Traditional Arabic" w:hint="cs"/>
          <w:sz w:val="20"/>
          <w:szCs w:val="30"/>
          <w:rtl/>
          <w:lang w:val="en-GB" w:bidi="ar-EG"/>
        </w:rPr>
        <w:t>9</w:t>
      </w:r>
      <w:r w:rsidRPr="00335E4B">
        <w:rPr>
          <w:rFonts w:cs="Traditional Arabic"/>
          <w:sz w:val="20"/>
          <w:szCs w:val="30"/>
          <w:rtl/>
          <w:lang w:val="en-GB"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ويراد من هذا الشكل أن يكون دليلاً عاماً لخيارات التكنولوجيا المحتملة وقد لا يكون مناسباً في كثير من الحالات، على سبيل المثال عندما يوجد السلنيوم في المركَّز</w:t>
      </w:r>
      <w:r w:rsidRPr="00335E4B">
        <w:rPr>
          <w:rFonts w:cs="Traditional Arabic"/>
          <w:sz w:val="20"/>
          <w:szCs w:val="30"/>
          <w:rtl/>
          <w:lang w:val="en-GB" w:bidi="ar-EG"/>
        </w:rPr>
        <w:t>.</w:t>
      </w:r>
      <w:r w:rsidRPr="00335E4B">
        <w:rPr>
          <w:rFonts w:cs="Traditional Arabic"/>
          <w:sz w:val="20"/>
          <w:szCs w:val="30"/>
          <w:rtl/>
        </w:rPr>
        <w:t xml:space="preserve"> وقد لا تكون هذه التكنولوجيات ضرورية عندما يقترن تشغيل معدات تنظيف الغاز مع منشآت تصنيع حمض الكبريتيك على نحو يتحكم بشكل كاف بانبعاثات الزئبق والكبريت</w:t>
      </w:r>
      <w:r w:rsidRPr="00335E4B">
        <w:rPr>
          <w:rFonts w:cs="Traditional Arabic"/>
          <w:sz w:val="20"/>
          <w:szCs w:val="30"/>
          <w:rtl/>
          <w:lang w:val="en-GB"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lang w:val="en-GB" w:bidi="ar-EG"/>
        </w:rPr>
        <w:sectPr w:rsidR="00335E4B" w:rsidRPr="00335E4B" w:rsidSect="00D002D1">
          <w:headerReference w:type="first" r:id="rId43"/>
          <w:footerReference w:type="first" r:id="rId44"/>
          <w:pgSz w:w="11906" w:h="16838" w:code="9"/>
          <w:pgMar w:top="907" w:right="992" w:bottom="1418" w:left="1418" w:header="539" w:footer="975" w:gutter="0"/>
          <w:cols w:space="720"/>
          <w:rtlGutter/>
        </w:sectPr>
      </w:pPr>
    </w:p>
    <w:p w:rsidR="00335E4B" w:rsidRPr="00335E4B" w:rsidRDefault="00335E4B" w:rsidP="00335E4B">
      <w:pPr>
        <w:bidi w:val="0"/>
        <w:rPr>
          <w:rFonts w:cs="Traditional Arabic"/>
          <w:sz w:val="20"/>
          <w:szCs w:val="30"/>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bCs/>
          <w:sz w:val="20"/>
          <w:szCs w:val="30"/>
          <w:rtl/>
        </w:rPr>
      </w:pPr>
      <w:r>
        <w:rPr>
          <w:rFonts w:cs="Traditional Arabic"/>
          <w:noProof/>
          <w:sz w:val="20"/>
          <w:szCs w:val="30"/>
          <w:lang w:val="en-GB" w:eastAsia="zh-CN"/>
        </w:rPr>
        <mc:AlternateContent>
          <mc:Choice Requires="wpg">
            <w:drawing>
              <wp:anchor distT="0" distB="0" distL="114300" distR="114300" simplePos="0" relativeHeight="251689984" behindDoc="0" locked="0" layoutInCell="1" allowOverlap="1" wp14:anchorId="1A6087F8" wp14:editId="044CF53D">
                <wp:simplePos x="0" y="0"/>
                <wp:positionH relativeFrom="column">
                  <wp:posOffset>-403225</wp:posOffset>
                </wp:positionH>
                <wp:positionV relativeFrom="paragraph">
                  <wp:posOffset>4445</wp:posOffset>
                </wp:positionV>
                <wp:extent cx="9601200" cy="4914900"/>
                <wp:effectExtent l="11430" t="12065" r="7620" b="698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0" cy="4914900"/>
                          <a:chOff x="0" y="0"/>
                          <a:chExt cx="9601200" cy="4914900"/>
                        </a:xfrm>
                      </wpg:grpSpPr>
                      <wps:wsp>
                        <wps:cNvPr id="39" name="Text Box 7"/>
                        <wps:cNvSpPr txBox="1">
                          <a:spLocks noChangeArrowheads="1"/>
                        </wps:cNvSpPr>
                        <wps:spPr bwMode="auto">
                          <a:xfrm>
                            <a:off x="7429500" y="3429000"/>
                            <a:ext cx="20574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70B40" w:rsidRPr="008F1516" w:rsidRDefault="00670B40" w:rsidP="00335E4B">
                              <w:pPr>
                                <w:spacing w:line="340" w:lineRule="exact"/>
                                <w:ind w:left="357"/>
                                <w:jc w:val="center"/>
                                <w:rPr>
                                  <w:rFonts w:ascii="Traditional Arabic" w:hAnsi="Traditional Arabic" w:cs="Traditional Arabic"/>
                                  <w:sz w:val="28"/>
                                </w:rPr>
                              </w:pPr>
                              <w:r w:rsidRPr="008F1516">
                                <w:rPr>
                                  <w:rFonts w:ascii="Traditional Arabic" w:hAnsi="Traditional Arabic" w:cs="Traditional Arabic"/>
                                  <w:sz w:val="28"/>
                                  <w:rtl/>
                                </w:rPr>
                                <w:t>رطب</w:t>
                              </w:r>
                            </w:p>
                            <w:p w:rsidR="00670B40" w:rsidRPr="008F1516" w:rsidRDefault="00670B40" w:rsidP="00335E4B">
                              <w:pPr>
                                <w:spacing w:line="340" w:lineRule="exact"/>
                                <w:ind w:left="357"/>
                                <w:jc w:val="center"/>
                                <w:rPr>
                                  <w:rFonts w:ascii="Traditional Arabic" w:hAnsi="Traditional Arabic" w:cs="Traditional Arabic"/>
                                  <w:b/>
                                  <w:sz w:val="32"/>
                                  <w:szCs w:val="32"/>
                                </w:rPr>
                              </w:pPr>
                              <w:r w:rsidRPr="008F1516">
                                <w:rPr>
                                  <w:rFonts w:ascii="Traditional Arabic" w:hAnsi="Traditional Arabic" w:cs="Traditional Arabic"/>
                                  <w:sz w:val="28"/>
                                  <w:rtl/>
                                </w:rPr>
                                <w:t>استخدم مرشح السلنيوم</w:t>
                              </w:r>
                            </w:p>
                          </w:txbxContent>
                        </wps:txbx>
                        <wps:bodyPr rot="0" vert="horz" wrap="square" lIns="91440" tIns="45720" rIns="91440" bIns="45720" anchor="t" anchorCtr="0" upright="1">
                          <a:noAutofit/>
                        </wps:bodyPr>
                      </wps:wsp>
                      <wpg:grpSp>
                        <wpg:cNvPr id="40" name="Group 26"/>
                        <wpg:cNvGrpSpPr>
                          <a:grpSpLocks/>
                        </wpg:cNvGrpSpPr>
                        <wpg:grpSpPr bwMode="auto">
                          <a:xfrm>
                            <a:off x="0" y="0"/>
                            <a:ext cx="9601200" cy="4914900"/>
                            <a:chOff x="0" y="0"/>
                            <a:chExt cx="9601200" cy="4914900"/>
                          </a:xfrm>
                        </wpg:grpSpPr>
                        <wps:wsp>
                          <wps:cNvPr id="41" name="Straight Connector 13"/>
                          <wps:cNvCnPr>
                            <a:cxnSpLocks noChangeShapeType="1"/>
                          </wps:cNvCnPr>
                          <wps:spPr bwMode="auto">
                            <a:xfrm>
                              <a:off x="6629400" y="2628900"/>
                              <a:ext cx="1028700" cy="8001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43" name="Group 25"/>
                          <wpg:cNvGrpSpPr>
                            <a:grpSpLocks/>
                          </wpg:cNvGrpSpPr>
                          <wpg:grpSpPr bwMode="auto">
                            <a:xfrm>
                              <a:off x="0" y="0"/>
                              <a:ext cx="9601200" cy="4914900"/>
                              <a:chOff x="0" y="0"/>
                              <a:chExt cx="9601200" cy="4914900"/>
                            </a:xfrm>
                          </wpg:grpSpPr>
                          <wps:wsp>
                            <wps:cNvPr id="44" name="Straight Connector 12"/>
                            <wps:cNvCnPr>
                              <a:cxnSpLocks noChangeShapeType="1"/>
                            </wps:cNvCnPr>
                            <wps:spPr bwMode="auto">
                              <a:xfrm flipH="1">
                                <a:off x="5943600" y="2628900"/>
                                <a:ext cx="685800" cy="6858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45" name="Group 24"/>
                            <wpg:cNvGrpSpPr>
                              <a:grpSpLocks/>
                            </wpg:cNvGrpSpPr>
                            <wpg:grpSpPr bwMode="auto">
                              <a:xfrm>
                                <a:off x="0" y="0"/>
                                <a:ext cx="9601200" cy="4914900"/>
                                <a:chOff x="0" y="0"/>
                                <a:chExt cx="9601200" cy="4914900"/>
                              </a:xfrm>
                            </wpg:grpSpPr>
                            <wps:wsp>
                              <wps:cNvPr id="46" name="Text Box 6"/>
                              <wps:cNvSpPr txBox="1">
                                <a:spLocks noChangeArrowheads="1"/>
                              </wps:cNvSpPr>
                              <wps:spPr bwMode="auto">
                                <a:xfrm>
                                  <a:off x="4914900" y="3314700"/>
                                  <a:ext cx="2057400"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70B40" w:rsidRPr="008F1516" w:rsidRDefault="00670B40" w:rsidP="00335E4B">
                                    <w:pPr>
                                      <w:spacing w:line="340" w:lineRule="exact"/>
                                      <w:ind w:left="357"/>
                                      <w:jc w:val="center"/>
                                      <w:rPr>
                                        <w:rFonts w:ascii="Traditional Arabic" w:hAnsi="Traditional Arabic" w:cs="Traditional Arabic"/>
                                        <w:sz w:val="28"/>
                                      </w:rPr>
                                    </w:pPr>
                                    <w:r w:rsidRPr="008F1516">
                                      <w:rPr>
                                        <w:rFonts w:ascii="Traditional Arabic" w:hAnsi="Traditional Arabic" w:cs="Traditional Arabic"/>
                                        <w:sz w:val="28"/>
                                        <w:rtl/>
                                      </w:rPr>
                                      <w:t>جاف</w:t>
                                    </w:r>
                                  </w:p>
                                  <w:p w:rsidR="00670B40" w:rsidRPr="008F1516" w:rsidRDefault="00670B40" w:rsidP="00335E4B">
                                    <w:pPr>
                                      <w:spacing w:line="340" w:lineRule="exact"/>
                                      <w:ind w:left="357"/>
                                      <w:jc w:val="center"/>
                                      <w:rPr>
                                        <w:rFonts w:ascii="Traditional Arabic" w:hAnsi="Traditional Arabic" w:cs="Traditional Arabic"/>
                                        <w:sz w:val="32"/>
                                        <w:szCs w:val="32"/>
                                      </w:rPr>
                                    </w:pPr>
                                    <w:r w:rsidRPr="008F1516">
                                      <w:rPr>
                                        <w:rFonts w:ascii="Traditional Arabic" w:hAnsi="Traditional Arabic" w:cs="Traditional Arabic"/>
                                        <w:sz w:val="28"/>
                                        <w:rtl/>
                                      </w:rPr>
                                      <w:t>استخدم الكربون المنشط أو مرشح السلنيوم إذا كان تدفق الغاز منخفضاً</w:t>
                                    </w:r>
                                  </w:p>
                                </w:txbxContent>
                              </wps:txbx>
                              <wps:bodyPr rot="0" vert="horz" wrap="square" lIns="91440" tIns="45720" rIns="91440" bIns="45720" anchor="t" anchorCtr="0" upright="1">
                                <a:noAutofit/>
                              </wps:bodyPr>
                            </wps:wsp>
                            <wpg:grpSp>
                              <wpg:cNvPr id="47" name="Group 23"/>
                              <wpg:cNvGrpSpPr>
                                <a:grpSpLocks/>
                              </wpg:cNvGrpSpPr>
                              <wpg:grpSpPr bwMode="auto">
                                <a:xfrm>
                                  <a:off x="0" y="0"/>
                                  <a:ext cx="9601200" cy="4914900"/>
                                  <a:chOff x="0" y="0"/>
                                  <a:chExt cx="9601200" cy="4914900"/>
                                </a:xfrm>
                              </wpg:grpSpPr>
                              <wps:wsp>
                                <wps:cNvPr id="48" name="Text Box 4"/>
                                <wps:cNvSpPr txBox="1">
                                  <a:spLocks noChangeArrowheads="1"/>
                                </wps:cNvSpPr>
                                <wps:spPr bwMode="auto">
                                  <a:xfrm>
                                    <a:off x="2514600" y="3314700"/>
                                    <a:ext cx="20574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70B40" w:rsidRPr="008F1516" w:rsidRDefault="00670B40" w:rsidP="00335E4B">
                                      <w:pPr>
                                        <w:spacing w:line="340" w:lineRule="exact"/>
                                        <w:jc w:val="center"/>
                                        <w:rPr>
                                          <w:rFonts w:ascii="Traditional Arabic" w:hAnsi="Traditional Arabic" w:cs="Traditional Arabic"/>
                                          <w:sz w:val="18"/>
                                          <w:lang w:val="en-GB" w:bidi="ar-SY"/>
                                        </w:rPr>
                                      </w:pPr>
                                      <w:r w:rsidRPr="008F1516">
                                        <w:rPr>
                                          <w:rFonts w:ascii="Traditional Arabic" w:hAnsi="Traditional Arabic" w:cs="Traditional Arabic"/>
                                          <w:sz w:val="18"/>
                                          <w:rtl/>
                                          <w:lang w:val="en-GB" w:bidi="ar-SY"/>
                                        </w:rPr>
                                        <w:t>هل تدفق الغاز منخفض؟</w:t>
                                      </w:r>
                                    </w:p>
                                    <w:p w:rsidR="00670B40" w:rsidRPr="008F1516" w:rsidRDefault="00670B40" w:rsidP="00335E4B">
                                      <w:pPr>
                                        <w:spacing w:line="340" w:lineRule="exact"/>
                                        <w:jc w:val="center"/>
                                        <w:rPr>
                                          <w:rFonts w:ascii="Traditional Arabic" w:hAnsi="Traditional Arabic" w:cs="Traditional Arabic"/>
                                          <w:sz w:val="32"/>
                                          <w:szCs w:val="32"/>
                                        </w:rPr>
                                      </w:pPr>
                                      <w:r w:rsidRPr="008F1516">
                                        <w:rPr>
                                          <w:rFonts w:ascii="Traditional Arabic" w:hAnsi="Traditional Arabic" w:cs="Traditional Arabic"/>
                                          <w:sz w:val="18"/>
                                          <w:rtl/>
                                          <w:lang w:val="en-GB" w:bidi="ar-SY"/>
                                        </w:rPr>
                                        <w:t>استخدم مرشح السلنيوم</w:t>
                                      </w:r>
                                    </w:p>
                                  </w:txbxContent>
                                </wps:txbx>
                                <wps:bodyPr rot="0" vert="horz" wrap="square" lIns="91440" tIns="45720" rIns="91440" bIns="45720" anchor="t" anchorCtr="0" upright="1">
                                  <a:noAutofit/>
                                </wps:bodyPr>
                              </wps:wsp>
                              <wpg:grpSp>
                                <wpg:cNvPr id="49" name="Group 22"/>
                                <wpg:cNvGrpSpPr>
                                  <a:grpSpLocks/>
                                </wpg:cNvGrpSpPr>
                                <wpg:grpSpPr bwMode="auto">
                                  <a:xfrm>
                                    <a:off x="0" y="0"/>
                                    <a:ext cx="9601200" cy="4914900"/>
                                    <a:chOff x="0" y="0"/>
                                    <a:chExt cx="9601200" cy="4914900"/>
                                  </a:xfrm>
                                </wpg:grpSpPr>
                                <wps:wsp>
                                  <wps:cNvPr id="50" name="Straight Connector 11"/>
                                  <wps:cNvCnPr>
                                    <a:cxnSpLocks noChangeShapeType="1"/>
                                  </wps:cNvCnPr>
                                  <wps:spPr bwMode="auto">
                                    <a:xfrm>
                                      <a:off x="2628900" y="2628900"/>
                                      <a:ext cx="800100" cy="6858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51" name="Group 21"/>
                                  <wpg:cNvGrpSpPr>
                                    <a:grpSpLocks/>
                                  </wpg:cNvGrpSpPr>
                                  <wpg:grpSpPr bwMode="auto">
                                    <a:xfrm>
                                      <a:off x="0" y="0"/>
                                      <a:ext cx="9601200" cy="4914900"/>
                                      <a:chOff x="0" y="0"/>
                                      <a:chExt cx="9601200" cy="4914900"/>
                                    </a:xfrm>
                                  </wpg:grpSpPr>
                                  <wps:wsp>
                                    <wps:cNvPr id="52" name="Text Box 5"/>
                                    <wps:cNvSpPr txBox="1">
                                      <a:spLocks noChangeArrowheads="1"/>
                                    </wps:cNvSpPr>
                                    <wps:spPr bwMode="auto">
                                      <a:xfrm>
                                        <a:off x="0" y="3314700"/>
                                        <a:ext cx="2057400" cy="160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70B40" w:rsidRPr="008F1516" w:rsidRDefault="00670B40" w:rsidP="00335E4B">
                                          <w:pPr>
                                            <w:spacing w:line="320" w:lineRule="exact"/>
                                            <w:jc w:val="center"/>
                                            <w:rPr>
                                              <w:rFonts w:ascii="Traditional Arabic" w:hAnsi="Traditional Arabic" w:cs="Traditional Arabic"/>
                                              <w:sz w:val="18"/>
                                              <w:lang w:val="en-GB" w:bidi="ar-SY"/>
                                            </w:rPr>
                                          </w:pPr>
                                          <w:r w:rsidRPr="008F1516">
                                            <w:rPr>
                                              <w:rFonts w:ascii="Traditional Arabic" w:hAnsi="Traditional Arabic" w:cs="Traditional Arabic"/>
                                              <w:sz w:val="18"/>
                                              <w:rtl/>
                                              <w:lang w:val="en-GB" w:bidi="ar-SY"/>
                                            </w:rPr>
                                            <w:t>هل تدفق الغاز مرتفع؟</w:t>
                                          </w:r>
                                        </w:p>
                                        <w:p w:rsidR="00670B40" w:rsidRPr="008F1516" w:rsidRDefault="00670B40" w:rsidP="00335E4B">
                                          <w:pPr>
                                            <w:spacing w:line="320" w:lineRule="exact"/>
                                            <w:jc w:val="center"/>
                                            <w:rPr>
                                              <w:rFonts w:ascii="Traditional Arabic" w:hAnsi="Traditional Arabic" w:cs="Traditional Arabic"/>
                                              <w:sz w:val="18"/>
                                              <w:lang w:val="en-GB" w:bidi="ar-SY"/>
                                            </w:rPr>
                                          </w:pPr>
                                          <w:r w:rsidRPr="008F1516">
                                            <w:rPr>
                                              <w:rFonts w:ascii="Traditional Arabic" w:hAnsi="Traditional Arabic" w:cs="Traditional Arabic"/>
                                              <w:sz w:val="18"/>
                                              <w:rtl/>
                                              <w:lang w:val="en-GB" w:bidi="ar-SY"/>
                                            </w:rPr>
                                            <w:t>هل تركيز الزئبق مرتفع؟</w:t>
                                          </w:r>
                                        </w:p>
                                        <w:p w:rsidR="00670B40" w:rsidRPr="008F1516" w:rsidRDefault="00670B40" w:rsidP="008F1516">
                                          <w:pPr>
                                            <w:spacing w:line="320" w:lineRule="exact"/>
                                            <w:jc w:val="center"/>
                                            <w:rPr>
                                              <w:rFonts w:ascii="Traditional Arabic" w:hAnsi="Traditional Arabic" w:cs="Traditional Arabic"/>
                                              <w:sz w:val="28"/>
                                            </w:rPr>
                                          </w:pPr>
                                          <w:r w:rsidRPr="008F1516">
                                            <w:rPr>
                                              <w:rFonts w:ascii="Traditional Arabic" w:hAnsi="Traditional Arabic" w:cs="Traditional Arabic"/>
                                              <w:sz w:val="18"/>
                                              <w:rtl/>
                                              <w:lang w:val="en-GB" w:bidi="ar-SY"/>
                                            </w:rPr>
                                            <w:t>استخدم عملية بوليدين-نورزينك (لا</w:t>
                                          </w:r>
                                          <w:r>
                                            <w:rPr>
                                              <w:rFonts w:ascii="Traditional Arabic" w:hAnsi="Traditional Arabic" w:cs="Traditional Arabic" w:hint="cs"/>
                                              <w:sz w:val="18"/>
                                              <w:rtl/>
                                              <w:lang w:val="en-GB" w:bidi="ar-SY"/>
                                            </w:rPr>
                                            <w:t> </w:t>
                                          </w:r>
                                          <w:r w:rsidRPr="008F1516">
                                            <w:rPr>
                                              <w:rFonts w:ascii="Traditional Arabic" w:hAnsi="Traditional Arabic" w:cs="Traditional Arabic"/>
                                              <w:sz w:val="18"/>
                                              <w:rtl/>
                                              <w:lang w:val="en-GB" w:bidi="ar-SY"/>
                                            </w:rPr>
                                            <w:t>تضع التكنولوجيا حدوداً عليا على التركيز</w:t>
                                          </w:r>
                                          <w:r w:rsidRPr="008F1516">
                                            <w:rPr>
                                              <w:rFonts w:ascii="Traditional Arabic" w:hAnsi="Traditional Arabic" w:cs="Traditional Arabic"/>
                                              <w:sz w:val="28"/>
                                              <w:rtl/>
                                            </w:rPr>
                                            <w:t>)</w:t>
                                          </w:r>
                                        </w:p>
                                      </w:txbxContent>
                                    </wps:txbx>
                                    <wps:bodyPr rot="0" vert="horz" wrap="square" lIns="91440" tIns="45720" rIns="91440" bIns="45720" anchor="t" anchorCtr="0" upright="1">
                                      <a:noAutofit/>
                                    </wps:bodyPr>
                                  </wps:wsp>
                                  <wpg:grpSp>
                                    <wpg:cNvPr id="53" name="Group 20"/>
                                    <wpg:cNvGrpSpPr>
                                      <a:grpSpLocks/>
                                    </wpg:cNvGrpSpPr>
                                    <wpg:grpSpPr bwMode="auto">
                                      <a:xfrm>
                                        <a:off x="1028700" y="0"/>
                                        <a:ext cx="8572500" cy="3314700"/>
                                        <a:chOff x="0" y="0"/>
                                        <a:chExt cx="8572500" cy="3314700"/>
                                      </a:xfrm>
                                    </wpg:grpSpPr>
                                    <wps:wsp>
                                      <wps:cNvPr id="54" name="Straight Connector 10"/>
                                      <wps:cNvCnPr>
                                        <a:cxnSpLocks noChangeShapeType="1"/>
                                      </wps:cNvCnPr>
                                      <wps:spPr bwMode="auto">
                                        <a:xfrm flipH="1">
                                          <a:off x="571500" y="2628900"/>
                                          <a:ext cx="1028700" cy="6858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55" name="Group 19"/>
                                      <wpg:cNvGrpSpPr>
                                        <a:grpSpLocks/>
                                      </wpg:cNvGrpSpPr>
                                      <wpg:grpSpPr bwMode="auto">
                                        <a:xfrm>
                                          <a:off x="0" y="0"/>
                                          <a:ext cx="8572500" cy="2628900"/>
                                          <a:chOff x="0" y="0"/>
                                          <a:chExt cx="8572500" cy="2628900"/>
                                        </a:xfrm>
                                      </wpg:grpSpPr>
                                      <wps:wsp>
                                        <wps:cNvPr id="56" name="Text Box 3"/>
                                        <wps:cNvSpPr txBox="1">
                                          <a:spLocks noChangeArrowheads="1"/>
                                        </wps:cNvSpPr>
                                        <wps:spPr bwMode="auto">
                                          <a:xfrm>
                                            <a:off x="4114800" y="1828800"/>
                                            <a:ext cx="30861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70B40" w:rsidRPr="008F1516" w:rsidRDefault="00670B40" w:rsidP="00335E4B">
                                              <w:pPr>
                                                <w:spacing w:line="340" w:lineRule="exact"/>
                                                <w:jc w:val="center"/>
                                                <w:rPr>
                                                  <w:rFonts w:ascii="Traditional Arabic" w:hAnsi="Traditional Arabic" w:cs="Traditional Arabic"/>
                                                  <w:sz w:val="28"/>
                                                </w:rPr>
                                              </w:pPr>
                                              <w:r w:rsidRPr="008F1516">
                                                <w:rPr>
                                                  <w:rFonts w:ascii="Traditional Arabic" w:hAnsi="Traditional Arabic" w:cs="Traditional Arabic"/>
                                                  <w:sz w:val="28"/>
                                                  <w:rtl/>
                                                </w:rPr>
                                                <w:t>لا</w:t>
                                              </w:r>
                                            </w:p>
                                            <w:p w:rsidR="00670B40" w:rsidRPr="008F1516" w:rsidRDefault="00670B40" w:rsidP="00335E4B">
                                              <w:pPr>
                                                <w:spacing w:line="340" w:lineRule="exact"/>
                                                <w:jc w:val="center"/>
                                                <w:rPr>
                                                  <w:rFonts w:ascii="Traditional Arabic" w:hAnsi="Traditional Arabic" w:cs="Traditional Arabic"/>
                                                  <w:sz w:val="28"/>
                                                </w:rPr>
                                              </w:pPr>
                                              <w:r w:rsidRPr="008F1516">
                                                <w:rPr>
                                                  <w:rFonts w:ascii="Traditional Arabic" w:hAnsi="Traditional Arabic" w:cs="Traditional Arabic"/>
                                                  <w:sz w:val="28"/>
                                                  <w:rtl/>
                                                </w:rPr>
                                                <w:t>هل الغاز رطب أم جاف؟</w:t>
                                              </w:r>
                                            </w:p>
                                          </w:txbxContent>
                                        </wps:txbx>
                                        <wps:bodyPr rot="0" vert="horz" wrap="square" lIns="91440" tIns="45720" rIns="91440" bIns="45720" anchor="t" anchorCtr="0" upright="1">
                                          <a:noAutofit/>
                                        </wps:bodyPr>
                                      </wps:wsp>
                                      <wpg:grpSp>
                                        <wpg:cNvPr id="57" name="Group 18"/>
                                        <wpg:cNvGrpSpPr>
                                          <a:grpSpLocks/>
                                        </wpg:cNvGrpSpPr>
                                        <wpg:grpSpPr bwMode="auto">
                                          <a:xfrm>
                                            <a:off x="0" y="0"/>
                                            <a:ext cx="8572500" cy="2628900"/>
                                            <a:chOff x="0" y="0"/>
                                            <a:chExt cx="8572500" cy="2628900"/>
                                          </a:xfrm>
                                        </wpg:grpSpPr>
                                        <wps:wsp>
                                          <wps:cNvPr id="58" name="Text Box 2"/>
                                          <wps:cNvSpPr txBox="1">
                                            <a:spLocks noChangeArrowheads="1"/>
                                          </wps:cNvSpPr>
                                          <wps:spPr bwMode="auto">
                                            <a:xfrm>
                                              <a:off x="0" y="1828800"/>
                                              <a:ext cx="30861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70B40" w:rsidRPr="008F1516" w:rsidRDefault="00670B40" w:rsidP="00335E4B">
                                                <w:pPr>
                                                  <w:spacing w:line="320" w:lineRule="exact"/>
                                                  <w:jc w:val="center"/>
                                                  <w:rPr>
                                                    <w:rFonts w:ascii="Traditional Arabic" w:hAnsi="Traditional Arabic" w:cs="Traditional Arabic"/>
                                                    <w:sz w:val="18"/>
                                                    <w:lang w:val="en-GB" w:bidi="ar-SY"/>
                                                  </w:rPr>
                                                </w:pPr>
                                                <w:r w:rsidRPr="008F1516">
                                                  <w:rPr>
                                                    <w:rFonts w:ascii="Traditional Arabic" w:hAnsi="Traditional Arabic" w:cs="Traditional Arabic"/>
                                                    <w:sz w:val="28"/>
                                                    <w:rtl/>
                                                  </w:rPr>
                                                  <w:t>نعم</w:t>
                                                </w:r>
                                              </w:p>
                                              <w:p w:rsidR="00670B40" w:rsidRPr="008F1516" w:rsidRDefault="00670B40" w:rsidP="00335E4B">
                                                <w:pPr>
                                                  <w:spacing w:line="320" w:lineRule="exact"/>
                                                  <w:jc w:val="center"/>
                                                  <w:rPr>
                                                    <w:rFonts w:ascii="Traditional Arabic" w:hAnsi="Traditional Arabic" w:cs="Traditional Arabic"/>
                                                    <w:sz w:val="28"/>
                                                  </w:rPr>
                                                </w:pPr>
                                                <w:r w:rsidRPr="008F1516">
                                                  <w:rPr>
                                                    <w:rFonts w:ascii="Traditional Arabic" w:hAnsi="Traditional Arabic" w:cs="Traditional Arabic"/>
                                                    <w:sz w:val="18"/>
                                                    <w:rtl/>
                                                    <w:lang w:val="en-GB" w:bidi="ar-SY"/>
                                                  </w:rPr>
                                                  <w:t>استخدم عملية بوليدين-نورزينك أو مرشح السلنيوم</w:t>
                                                </w:r>
                                              </w:p>
                                            </w:txbxContent>
                                          </wps:txbx>
                                          <wps:bodyPr rot="0" vert="horz" wrap="square" lIns="91440" tIns="45720" rIns="91440" bIns="45720" anchor="t" anchorCtr="0" upright="1">
                                            <a:noAutofit/>
                                          </wps:bodyPr>
                                        </wps:wsp>
                                        <wpg:grpSp>
                                          <wpg:cNvPr id="59" name="Group 17"/>
                                          <wpg:cNvGrpSpPr>
                                            <a:grpSpLocks/>
                                          </wpg:cNvGrpSpPr>
                                          <wpg:grpSpPr bwMode="auto">
                                            <a:xfrm>
                                              <a:off x="2057400" y="0"/>
                                              <a:ext cx="6515100" cy="1828800"/>
                                              <a:chOff x="0" y="0"/>
                                              <a:chExt cx="6515100" cy="1828800"/>
                                            </a:xfrm>
                                          </wpg:grpSpPr>
                                          <wps:wsp>
                                            <wps:cNvPr id="60" name="Straight Connector 8"/>
                                            <wps:cNvCnPr>
                                              <a:cxnSpLocks noChangeShapeType="1"/>
                                            </wps:cNvCnPr>
                                            <wps:spPr bwMode="auto">
                                              <a:xfrm flipH="1">
                                                <a:off x="0" y="800100"/>
                                                <a:ext cx="1485900" cy="10287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Straight Connector 9"/>
                                            <wps:cNvCnPr>
                                              <a:cxnSpLocks noChangeShapeType="1"/>
                                            </wps:cNvCnPr>
                                            <wps:spPr bwMode="auto">
                                              <a:xfrm>
                                                <a:off x="1485900" y="800100"/>
                                                <a:ext cx="1485900" cy="10287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2" name="Text Box 14"/>
                                            <wps:cNvSpPr txBox="1">
                                              <a:spLocks noChangeArrowheads="1"/>
                                            </wps:cNvSpPr>
                                            <wps:spPr bwMode="auto">
                                              <a:xfrm>
                                                <a:off x="3429000" y="800100"/>
                                                <a:ext cx="30861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70B40" w:rsidRPr="00AE41EE" w:rsidRDefault="00670B40" w:rsidP="00335E4B">
                                                  <w:pPr>
                                                    <w:spacing w:line="340" w:lineRule="exact"/>
                                                    <w:jc w:val="center"/>
                                                    <w:rPr>
                                                      <w:rFonts w:ascii="Cambria" w:hAnsi="Cambria"/>
                                                      <w:sz w:val="28"/>
                                                      <w:rtl/>
                                                    </w:rPr>
                                                  </w:pPr>
                                                  <w:r w:rsidRPr="008F1516">
                                                    <w:rPr>
                                                      <w:rFonts w:ascii="Traditional Arabic" w:hAnsi="Traditional Arabic" w:cs="Traditional Arabic"/>
                                                      <w:sz w:val="28"/>
                                                      <w:rtl/>
                                                      <w:lang w:bidi="ar-SY"/>
                                                    </w:rPr>
                                                    <w:t>لا ولكن يوجد</w:t>
                                                  </w:r>
                                                  <w:r w:rsidRPr="00AE41EE">
                                                    <w:rPr>
                                                      <w:rFonts w:ascii="Cambria" w:hAnsi="Cambria" w:hint="cs"/>
                                                      <w:sz w:val="28"/>
                                                      <w:rtl/>
                                                      <w:lang w:bidi="ar-SY"/>
                                                    </w:rPr>
                                                    <w:t xml:space="preserve"> </w:t>
                                                  </w:r>
                                                  <w:r w:rsidRPr="00D52D10">
                                                    <w:rPr>
                                                      <w:rFonts w:cs="Times New Roman"/>
                                                      <w:szCs w:val="20"/>
                                                    </w:rPr>
                                                    <w:t>H</w:t>
                                                  </w:r>
                                                  <w:r w:rsidRPr="00D52D10">
                                                    <w:rPr>
                                                      <w:rFonts w:cs="Times New Roman"/>
                                                      <w:szCs w:val="20"/>
                                                      <w:vertAlign w:val="subscript"/>
                                                    </w:rPr>
                                                    <w:t>2</w:t>
                                                  </w:r>
                                                  <w:r w:rsidRPr="00D52D10">
                                                    <w:rPr>
                                                      <w:rFonts w:cs="Times New Roman"/>
                                                      <w:szCs w:val="20"/>
                                                    </w:rPr>
                                                    <w:t>S</w:t>
                                                  </w:r>
                                                </w:p>
                                                <w:p w:rsidR="00670B40" w:rsidRPr="008F1516" w:rsidRDefault="00670B40" w:rsidP="00335E4B">
                                                  <w:pPr>
                                                    <w:spacing w:line="340" w:lineRule="exact"/>
                                                    <w:jc w:val="center"/>
                                                    <w:rPr>
                                                      <w:rFonts w:ascii="Traditional Arabic" w:hAnsi="Traditional Arabic" w:cs="Traditional Arabic"/>
                                                      <w:sz w:val="28"/>
                                                      <w:lang w:bidi="ar-SY"/>
                                                    </w:rPr>
                                                  </w:pPr>
                                                  <w:r w:rsidRPr="008F1516">
                                                    <w:rPr>
                                                      <w:rFonts w:ascii="Traditional Arabic" w:hAnsi="Traditional Arabic" w:cs="Traditional Arabic"/>
                                                      <w:sz w:val="28"/>
                                                      <w:rtl/>
                                                    </w:rPr>
                                                    <w:t>استخدم مرشح السلنيوم</w:t>
                                                  </w:r>
                                                </w:p>
                                              </w:txbxContent>
                                            </wps:txbx>
                                            <wps:bodyPr rot="0" vert="horz" wrap="square" lIns="91440" tIns="45720" rIns="91440" bIns="45720" anchor="t" anchorCtr="0" upright="1">
                                              <a:noAutofit/>
                                            </wps:bodyPr>
                                          </wps:wsp>
                                          <wpg:grpSp>
                                            <wpg:cNvPr id="63" name="Group 16"/>
                                            <wpg:cNvGrpSpPr>
                                              <a:grpSpLocks/>
                                            </wpg:cNvGrpSpPr>
                                            <wpg:grpSpPr bwMode="auto">
                                              <a:xfrm>
                                                <a:off x="0" y="0"/>
                                                <a:ext cx="3429000" cy="1257300"/>
                                                <a:chOff x="0" y="0"/>
                                                <a:chExt cx="3429000" cy="1257300"/>
                                              </a:xfrm>
                                            </wpg:grpSpPr>
                                            <wps:wsp>
                                              <wps:cNvPr id="64" name="Text Box 1"/>
                                              <wps:cNvSpPr txBox="1">
                                                <a:spLocks noChangeArrowheads="1"/>
                                              </wps:cNvSpPr>
                                              <wps:spPr bwMode="auto">
                                                <a:xfrm>
                                                  <a:off x="0" y="0"/>
                                                  <a:ext cx="30861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70B40" w:rsidRPr="008F1516" w:rsidRDefault="00670B40" w:rsidP="00335E4B">
                                                    <w:pPr>
                                                      <w:jc w:val="center"/>
                                                      <w:rPr>
                                                        <w:rFonts w:ascii="Traditional Arabic" w:hAnsi="Traditional Arabic" w:cs="Traditional Arabic"/>
                                                        <w:b/>
                                                        <w:sz w:val="18"/>
                                                        <w:rtl/>
                                                      </w:rPr>
                                                    </w:pPr>
                                                    <w:r w:rsidRPr="008F1516">
                                                      <w:rPr>
                                                        <w:rFonts w:ascii="Traditional Arabic" w:hAnsi="Traditional Arabic" w:cs="Traditional Arabic"/>
                                                        <w:sz w:val="18"/>
                                                        <w:rtl/>
                                                        <w:lang w:val="en-GB" w:bidi="ar-SY"/>
                                                      </w:rPr>
                                                      <w:t>هل ثاني أكسيد الكبريت</w:t>
                                                    </w:r>
                                                    <w:r w:rsidRPr="00AE41EE">
                                                      <w:rPr>
                                                        <w:rFonts w:hint="cs"/>
                                                        <w:sz w:val="18"/>
                                                        <w:rtl/>
                                                        <w:lang w:val="en-GB" w:bidi="ar-SY"/>
                                                      </w:rPr>
                                                      <w:t xml:space="preserve"> </w:t>
                                                    </w:r>
                                                    <w:r w:rsidRPr="00AE41EE">
                                                      <w:rPr>
                                                        <w:sz w:val="18"/>
                                                      </w:rPr>
                                                      <w:t>SO</w:t>
                                                    </w:r>
                                                    <w:r w:rsidRPr="00AE41EE">
                                                      <w:rPr>
                                                        <w:sz w:val="18"/>
                                                        <w:vertAlign w:val="subscript"/>
                                                      </w:rPr>
                                                      <w:t>2</w:t>
                                                    </w:r>
                                                    <w:r>
                                                      <w:rPr>
                                                        <w:rFonts w:hint="cs"/>
                                                        <w:sz w:val="18"/>
                                                        <w:vertAlign w:val="subscript"/>
                                                        <w:rtl/>
                                                      </w:rPr>
                                                      <w:t xml:space="preserve"> </w:t>
                                                    </w:r>
                                                    <w:r w:rsidRPr="008F1516">
                                                      <w:rPr>
                                                        <w:rFonts w:ascii="Traditional Arabic" w:hAnsi="Traditional Arabic" w:cs="Traditional Arabic"/>
                                                        <w:sz w:val="18"/>
                                                        <w:rtl/>
                                                        <w:lang w:val="en-GB" w:bidi="ar-SY"/>
                                                      </w:rPr>
                                                      <w:t>موجود في الغاز الرطب أو الجاف؟</w:t>
                                                    </w:r>
                                                  </w:p>
                                                </w:txbxContent>
                                              </wps:txbx>
                                              <wps:bodyPr rot="0" vert="horz" wrap="square" lIns="91440" tIns="45720" rIns="91440" bIns="45720" anchor="t" anchorCtr="0" upright="1">
                                                <a:noAutofit/>
                                              </wps:bodyPr>
                                            </wps:wsp>
                                            <wps:wsp>
                                              <wps:cNvPr id="65" name="Straight Connector 15"/>
                                              <wps:cNvCnPr>
                                                <a:cxnSpLocks noChangeShapeType="1"/>
                                              </wps:cNvCnPr>
                                              <wps:spPr bwMode="auto">
                                                <a:xfrm>
                                                  <a:off x="1485900" y="800100"/>
                                                  <a:ext cx="1943100" cy="45720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38" o:spid="_x0000_s1566" style="position:absolute;left:0;text-align:left;margin-left:-31.75pt;margin-top:.35pt;width:756pt;height:387pt;z-index:251689984;mso-position-horizontal-relative:text;mso-position-vertical-relative:text" coordsize="96012,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">
                <v:shape id="Text Box 7" o:spid="_x0000_s1567" type="#_x0000_t202" style="position:absolute;left:74295;top:34290;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Lx8QA&#10;AADbAAAADwAAAGRycy9kb3ducmV2LnhtbESPzW7CMBCE70i8g7WVeitOicRPwCAEVOqRhrRcl3hJ&#10;IuJ1FLsQePq6EhLH0ex8szNfdqYWF2pdZVnB+yACQZxbXXGhINt/vE1AOI+ssbZMCm7kYLno9+aY&#10;aHvlL7qkvhABwi5BBaX3TSKly0sy6Aa2IQ7eybYGfZBtIXWL1wA3tRxG0UgarDg0lNjQuqT8nP6a&#10;8MbwkMWbXUrjMR7jzfb+PT391Eq9vnSrGQhPnX8eP9KfWkE8hf8tAQB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C8fEAAAA2wAAAA8AAAAAAAAAAAAAAAAAmAIAAGRycy9k&#10;b3ducmV2LnhtbFBLBQYAAAAABAAEAPUAAACJAwAAAAA=&#10;" filled="f">
                  <v:textbox>
                    <w:txbxContent>
                      <w:p w:rsidR="0093783C" w:rsidRPr="008F1516" w:rsidRDefault="0093783C" w:rsidP="00335E4B">
                        <w:pPr>
                          <w:spacing w:line="340" w:lineRule="exact"/>
                          <w:ind w:left="357"/>
                          <w:jc w:val="center"/>
                          <w:rPr>
                            <w:rFonts w:ascii="Traditional Arabic" w:hAnsi="Traditional Arabic" w:cs="Traditional Arabic"/>
                            <w:sz w:val="28"/>
                          </w:rPr>
                        </w:pPr>
                        <w:r w:rsidRPr="008F1516">
                          <w:rPr>
                            <w:rFonts w:ascii="Traditional Arabic" w:hAnsi="Traditional Arabic" w:cs="Traditional Arabic"/>
                            <w:sz w:val="28"/>
                            <w:rtl/>
                          </w:rPr>
                          <w:t>رطب</w:t>
                        </w:r>
                      </w:p>
                      <w:p w:rsidR="0093783C" w:rsidRPr="008F1516" w:rsidRDefault="0093783C" w:rsidP="00335E4B">
                        <w:pPr>
                          <w:spacing w:line="340" w:lineRule="exact"/>
                          <w:ind w:left="357"/>
                          <w:jc w:val="center"/>
                          <w:rPr>
                            <w:rFonts w:ascii="Traditional Arabic" w:hAnsi="Traditional Arabic" w:cs="Traditional Arabic"/>
                            <w:b/>
                            <w:sz w:val="32"/>
                            <w:szCs w:val="32"/>
                          </w:rPr>
                        </w:pPr>
                        <w:r w:rsidRPr="008F1516">
                          <w:rPr>
                            <w:rFonts w:ascii="Traditional Arabic" w:hAnsi="Traditional Arabic" w:cs="Traditional Arabic"/>
                            <w:sz w:val="28"/>
                            <w:rtl/>
                          </w:rPr>
                          <w:t>استخدم مرشح السلنيوم</w:t>
                        </w:r>
                      </w:p>
                    </w:txbxContent>
                  </v:textbox>
                </v:shape>
                <v:group id="Group 26" o:spid="_x0000_s1568" style="position:absolute;width:96012;height:49149" coordsize="96012,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Straight Connector 13" o:spid="_x0000_s1569" style="position:absolute;visibility:visible;mso-wrap-style:square" from="66294,26289" to="76581,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4sJsMAAADbAAAADwAAAGRycy9kb3ducmV2LnhtbESPQWsCMRSE7wX/Q3iCt5q1liKrUUSQ&#10;Cj2U1T3o7bF5bhY3L0sS1/XfN4VCj8PMfMOsNoNtRU8+NI4VzKYZCOLK6YZrBeVp/7oAESKyxtYx&#10;KXhSgM169LLCXLsHF9QfYy0ShEOOCkyMXS5lqAxZDFPXESfv6rzFmKSvpfb4SHDbyrcs+5AWG04L&#10;BjvaGapux7tVsD2XeDFDLYv79/yzL0rf3vovpSbjYbsEEWmI/+G/9kEreJ/B75f0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uLCbDAAAA2wAAAA8AAAAAAAAAAAAA&#10;AAAAoQIAAGRycy9kb3ducmV2LnhtbFBLBQYAAAAABAAEAPkAAACRAwAAAAA=&#10;" strokecolor="#4f81bd" strokeweight="2pt">
                    <v:shadow on="t" color="black" opacity="24903f" origin=",.5" offset="0,.55556mm"/>
                  </v:line>
                  <v:group id="Group 25" o:spid="_x0000_s1570" style="position:absolute;width:96012;height:49149" coordsize="96012,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Straight Connector 12" o:spid="_x0000_s1571" style="position:absolute;flip:x;visibility:visible;mso-wrap-style:square" from="59436,26289" to="66294,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FGsUAAADbAAAADwAAAGRycy9kb3ducmV2LnhtbESPT2vCQBTE7wW/w/KE3upGK1Wjq0iw&#10;UPBS/1y8PbLPJJp9m+yumn77rlDocZiZ3zCLVWdqcSfnK8sKhoMEBHFudcWFguPh820KwgdkjbVl&#10;UvBDHlbL3ssCU20fvKP7PhQiQtinqKAMoUml9HlJBv3ANsTRO1tnMETpCqkdPiLc1HKUJB/SYMVx&#10;ocSGspLy6/5mFIR1m7XXOjtdhu3te2tnk8P7xin12u/WcxCBuvAf/mt/aQXjMTy/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TFGsUAAADbAAAADwAAAAAAAAAA&#10;AAAAAAChAgAAZHJzL2Rvd25yZXYueG1sUEsFBgAAAAAEAAQA+QAAAJMDAAAAAA==&#10;" strokecolor="#4f81bd" strokeweight="2pt">
                      <v:shadow on="t" color="black" opacity="24903f" origin=",.5" offset="0,.55556mm"/>
                    </v:line>
                    <v:group id="Group 24" o:spid="_x0000_s1572" style="position:absolute;width:96012;height:49149" coordsize="96012,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6" o:spid="_x0000_s1573" type="#_x0000_t202" style="position:absolute;left:49149;top:33147;width:20574;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syMQA&#10;AADbAAAADwAAAGRycy9kb3ducmV2LnhtbESPwW7CMBBE70j8g7VIvREHqKANGIQKlXqkgZbrEi9J&#10;RLyOYgMpX4+RKnEczc6bndmiNZW4UONKywoGUQyCOLO65FzBbvvZfwPhPLLGyjIp+CMHi3m3M8NE&#10;2yt/0yX1uQgQdgkqKLyvEyldVpBBF9maOHhH2xj0QTa51A1eA9xUchjHY2mw5NBQYE0fBWWn9GzC&#10;G8P9brTapDSZ4GG0Wt9+3o+/lVIvvXY5BeGp9c/j//SXVvA6hseWA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7MjEAAAA2wAAAA8AAAAAAAAAAAAAAAAAmAIAAGRycy9k&#10;b3ducmV2LnhtbFBLBQYAAAAABAAEAPUAAACJAwAAAAA=&#10;" filled="f">
                        <v:textbox>
                          <w:txbxContent>
                            <w:p w:rsidR="0093783C" w:rsidRPr="008F1516" w:rsidRDefault="0093783C" w:rsidP="00335E4B">
                              <w:pPr>
                                <w:spacing w:line="340" w:lineRule="exact"/>
                                <w:ind w:left="357"/>
                                <w:jc w:val="center"/>
                                <w:rPr>
                                  <w:rFonts w:ascii="Traditional Arabic" w:hAnsi="Traditional Arabic" w:cs="Traditional Arabic"/>
                                  <w:sz w:val="28"/>
                                </w:rPr>
                              </w:pPr>
                              <w:r w:rsidRPr="008F1516">
                                <w:rPr>
                                  <w:rFonts w:ascii="Traditional Arabic" w:hAnsi="Traditional Arabic" w:cs="Traditional Arabic"/>
                                  <w:sz w:val="28"/>
                                  <w:rtl/>
                                </w:rPr>
                                <w:t>جاف</w:t>
                              </w:r>
                            </w:p>
                            <w:p w:rsidR="0093783C" w:rsidRPr="008F1516" w:rsidRDefault="0093783C" w:rsidP="00335E4B">
                              <w:pPr>
                                <w:spacing w:line="340" w:lineRule="exact"/>
                                <w:ind w:left="357"/>
                                <w:jc w:val="center"/>
                                <w:rPr>
                                  <w:rFonts w:ascii="Traditional Arabic" w:hAnsi="Traditional Arabic" w:cs="Traditional Arabic"/>
                                  <w:sz w:val="32"/>
                                  <w:szCs w:val="32"/>
                                </w:rPr>
                              </w:pPr>
                              <w:r w:rsidRPr="008F1516">
                                <w:rPr>
                                  <w:rFonts w:ascii="Traditional Arabic" w:hAnsi="Traditional Arabic" w:cs="Traditional Arabic"/>
                                  <w:sz w:val="28"/>
                                  <w:rtl/>
                                </w:rPr>
                                <w:t>استخدم الكربون المنشط أو مرشح السلنيوم إذا كان تدفق الغاز منخفضاً</w:t>
                              </w:r>
                            </w:p>
                          </w:txbxContent>
                        </v:textbox>
                      </v:shape>
                      <v:group id="Group 23" o:spid="_x0000_s1574" style="position:absolute;width:96012;height:49149" coordsize="96012,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 Box 4" o:spid="_x0000_s1575" type="#_x0000_t202" style="position:absolute;left:25146;top:33147;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dIcQA&#10;AADbAAAADwAAAGRycy9kb3ducmV2LnhtbESPTW/CMAyG75P4D5En7TbSARpbISDEh8Rx64BdTWPa&#10;isapmgwKv34+TNrRev0+fjydd65WF2pD5dnASz8BRZx7W3FhYPe1eX4DFSKyxdozGbhRgPms9zDF&#10;1Porf9Ili4USCIcUDZQxNqnWIS/JYej7hliyk28dRhnbQtsWrwJ3tR4kyat2WLFcKLGhZUn5Oftx&#10;ojH43g1XHxmNx3gcrtb3/fvpUBvz9NgtJqAidfF/+a+9tQZGIiu/CAD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13SHEAAAA2wAAAA8AAAAAAAAAAAAAAAAAmAIAAGRycy9k&#10;b3ducmV2LnhtbFBLBQYAAAAABAAEAPUAAACJAwAAAAA=&#10;" filled="f">
                          <v:textbox>
                            <w:txbxContent>
                              <w:p w:rsidR="0093783C" w:rsidRPr="008F1516" w:rsidRDefault="0093783C" w:rsidP="00335E4B">
                                <w:pPr>
                                  <w:spacing w:line="340" w:lineRule="exact"/>
                                  <w:jc w:val="center"/>
                                  <w:rPr>
                                    <w:rFonts w:ascii="Traditional Arabic" w:hAnsi="Traditional Arabic" w:cs="Traditional Arabic"/>
                                    <w:sz w:val="18"/>
                                    <w:lang w:val="en-GB" w:bidi="ar-SY"/>
                                  </w:rPr>
                                </w:pPr>
                                <w:r w:rsidRPr="008F1516">
                                  <w:rPr>
                                    <w:rFonts w:ascii="Traditional Arabic" w:hAnsi="Traditional Arabic" w:cs="Traditional Arabic"/>
                                    <w:sz w:val="18"/>
                                    <w:rtl/>
                                    <w:lang w:val="en-GB" w:bidi="ar-SY"/>
                                  </w:rPr>
                                  <w:t>هل تدفق الغاز منخفض؟</w:t>
                                </w:r>
                              </w:p>
                              <w:p w:rsidR="0093783C" w:rsidRPr="008F1516" w:rsidRDefault="0093783C" w:rsidP="00335E4B">
                                <w:pPr>
                                  <w:spacing w:line="340" w:lineRule="exact"/>
                                  <w:jc w:val="center"/>
                                  <w:rPr>
                                    <w:rFonts w:ascii="Traditional Arabic" w:hAnsi="Traditional Arabic" w:cs="Traditional Arabic"/>
                                    <w:sz w:val="32"/>
                                    <w:szCs w:val="32"/>
                                  </w:rPr>
                                </w:pPr>
                                <w:r w:rsidRPr="008F1516">
                                  <w:rPr>
                                    <w:rFonts w:ascii="Traditional Arabic" w:hAnsi="Traditional Arabic" w:cs="Traditional Arabic"/>
                                    <w:sz w:val="18"/>
                                    <w:rtl/>
                                    <w:lang w:val="en-GB" w:bidi="ar-SY"/>
                                  </w:rPr>
                                  <w:t>استخدم مرشح السلنيوم</w:t>
                                </w:r>
                              </w:p>
                            </w:txbxContent>
                          </v:textbox>
                        </v:shape>
                        <v:group id="Group 22" o:spid="_x0000_s1576" style="position:absolute;width:96012;height:49149" coordsize="96012,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Straight Connector 11" o:spid="_x0000_s1577" style="position:absolute;visibility:visible;mso-wrap-style:square" from="26289,26289" to="34290,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fYMEAAADbAAAADwAAAGRycy9kb3ducmV2LnhtbERPPWvDMBDdA/0P4gLdYjkpLcWJYkIh&#10;tNAhOPXQbod1sYytk5EUx/330VDo+Hjfu3K2g5jIh86xgnWWgyBunO64VVB/HVevIEJE1jg4JgW/&#10;FKDcPyx2WGh344qmc2xFCuFQoAIT41hIGRpDFkPmRuLEXZy3GBP0rdQebyncDnKT5y/SYsepweBI&#10;b4aa/ny1Cg7fNf6YuZXV9fT0PlW1H/rpU6nH5XzYgog0x3/xn/tDK3hO69OX9AP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x9gwQAAANsAAAAPAAAAAAAAAAAAAAAA&#10;AKECAABkcnMvZG93bnJldi54bWxQSwUGAAAAAAQABAD5AAAAjwMAAAAA&#10;" strokecolor="#4f81bd" strokeweight="2pt">
                            <v:shadow on="t" color="black" opacity="24903f" origin=",.5" offset="0,.55556mm"/>
                          </v:line>
                          <v:group id="Group 21" o:spid="_x0000_s1578" style="position:absolute;width:96012;height:49149" coordsize="96012,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5" o:spid="_x0000_s1579" type="#_x0000_t202" style="position:absolute;top:33147;width:20574;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8FsUA&#10;AADbAAAADwAAAGRycy9kb3ducmV2LnhtbESPzW7CMBCE70h9B2srcQOnQS1tikGIH4ljSYFet/GS&#10;RI3XUWySlKfHSJV6HM3ONzuzRW8q0VLjSssKnsYRCOLM6pJzBYfP7egVhPPIGivLpOCXHCzmD4MZ&#10;Jtp2vKc29bkIEHYJKii8rxMpXVaQQTe2NXHwzrYx6INscqkb7ALcVDKOohdpsOTQUGBNq4Kyn/Ri&#10;whvx12Gy/khpOsXvyXpzPb6dT5VSw8d++Q7CU+//j//SO63gOYb7lg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HwWxQAAANsAAAAPAAAAAAAAAAAAAAAAAJgCAABkcnMv&#10;ZG93bnJldi54bWxQSwUGAAAAAAQABAD1AAAAigMAAAAA&#10;" filled="f">
                              <v:textbox>
                                <w:txbxContent>
                                  <w:p w:rsidR="0093783C" w:rsidRPr="008F1516" w:rsidRDefault="0093783C" w:rsidP="00335E4B">
                                    <w:pPr>
                                      <w:spacing w:line="320" w:lineRule="exact"/>
                                      <w:jc w:val="center"/>
                                      <w:rPr>
                                        <w:rFonts w:ascii="Traditional Arabic" w:hAnsi="Traditional Arabic" w:cs="Traditional Arabic"/>
                                        <w:sz w:val="18"/>
                                        <w:lang w:val="en-GB" w:bidi="ar-SY"/>
                                      </w:rPr>
                                    </w:pPr>
                                    <w:r w:rsidRPr="008F1516">
                                      <w:rPr>
                                        <w:rFonts w:ascii="Traditional Arabic" w:hAnsi="Traditional Arabic" w:cs="Traditional Arabic"/>
                                        <w:sz w:val="18"/>
                                        <w:rtl/>
                                        <w:lang w:val="en-GB" w:bidi="ar-SY"/>
                                      </w:rPr>
                                      <w:t>هل تدفق الغاز مرتفع؟</w:t>
                                    </w:r>
                                  </w:p>
                                  <w:p w:rsidR="0093783C" w:rsidRPr="008F1516" w:rsidRDefault="0093783C" w:rsidP="00335E4B">
                                    <w:pPr>
                                      <w:spacing w:line="320" w:lineRule="exact"/>
                                      <w:jc w:val="center"/>
                                      <w:rPr>
                                        <w:rFonts w:ascii="Traditional Arabic" w:hAnsi="Traditional Arabic" w:cs="Traditional Arabic"/>
                                        <w:sz w:val="18"/>
                                        <w:lang w:val="en-GB" w:bidi="ar-SY"/>
                                      </w:rPr>
                                    </w:pPr>
                                    <w:r w:rsidRPr="008F1516">
                                      <w:rPr>
                                        <w:rFonts w:ascii="Traditional Arabic" w:hAnsi="Traditional Arabic" w:cs="Traditional Arabic"/>
                                        <w:sz w:val="18"/>
                                        <w:rtl/>
                                        <w:lang w:val="en-GB" w:bidi="ar-SY"/>
                                      </w:rPr>
                                      <w:t>هل تركيز الزئبق مرتفع؟</w:t>
                                    </w:r>
                                  </w:p>
                                  <w:p w:rsidR="0093783C" w:rsidRPr="008F1516" w:rsidRDefault="0093783C" w:rsidP="008F1516">
                                    <w:pPr>
                                      <w:spacing w:line="320" w:lineRule="exact"/>
                                      <w:jc w:val="center"/>
                                      <w:rPr>
                                        <w:rFonts w:ascii="Traditional Arabic" w:hAnsi="Traditional Arabic" w:cs="Traditional Arabic"/>
                                        <w:sz w:val="28"/>
                                      </w:rPr>
                                    </w:pPr>
                                    <w:r w:rsidRPr="008F1516">
                                      <w:rPr>
                                        <w:rFonts w:ascii="Traditional Arabic" w:hAnsi="Traditional Arabic" w:cs="Traditional Arabic"/>
                                        <w:sz w:val="18"/>
                                        <w:rtl/>
                                        <w:lang w:val="en-GB" w:bidi="ar-SY"/>
                                      </w:rPr>
                                      <w:t>استخدم عملية بوليدين-نورزينك (لا</w:t>
                                    </w:r>
                                    <w:r>
                                      <w:rPr>
                                        <w:rFonts w:ascii="Traditional Arabic" w:hAnsi="Traditional Arabic" w:cs="Traditional Arabic" w:hint="cs"/>
                                        <w:sz w:val="18"/>
                                        <w:rtl/>
                                        <w:lang w:val="en-GB" w:bidi="ar-SY"/>
                                      </w:rPr>
                                      <w:t> </w:t>
                                    </w:r>
                                    <w:r w:rsidRPr="008F1516">
                                      <w:rPr>
                                        <w:rFonts w:ascii="Traditional Arabic" w:hAnsi="Traditional Arabic" w:cs="Traditional Arabic"/>
                                        <w:sz w:val="18"/>
                                        <w:rtl/>
                                        <w:lang w:val="en-GB" w:bidi="ar-SY"/>
                                      </w:rPr>
                                      <w:t>تضع التكنولوجيا حدوداً عليا على التركيز</w:t>
                                    </w:r>
                                    <w:r w:rsidRPr="008F1516">
                                      <w:rPr>
                                        <w:rFonts w:ascii="Traditional Arabic" w:hAnsi="Traditional Arabic" w:cs="Traditional Arabic"/>
                                        <w:sz w:val="28"/>
                                        <w:rtl/>
                                      </w:rPr>
                                      <w:t>)</w:t>
                                    </w:r>
                                  </w:p>
                                </w:txbxContent>
                              </v:textbox>
                            </v:shape>
                            <v:group id="Group 20" o:spid="_x0000_s1580" style="position:absolute;left:10287;width:85725;height:33147" coordsize="85725,3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Straight Connector 10" o:spid="_x0000_s1581" style="position:absolute;flip:x;visibility:visible;mso-wrap-style:square" from="5715,26289" to="16002,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1Tx8UAAADbAAAADwAAAGRycy9kb3ducmV2LnhtbESPT2vCQBTE74V+h+UVetON/1pNXUVC&#10;BaEXq714e2SfSWr2bbK7avz2XUHocZiZ3zDzZWdqcSHnK8sKBv0EBHFudcWFgp/9ujcF4QOyxtoy&#10;KbiRh+Xi+WmOqbZX/qbLLhQiQtinqKAMoUml9HlJBn3fNsTRO1pnMETpCqkdXiPc1HKYJG/SYMVx&#10;ocSGspLy0+5sFIRVm7WnOjv8Dtrz9svO3vejT6fU60u3+gARqAv/4Ud7oxVMxnD/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1Tx8UAAADbAAAADwAAAAAAAAAA&#10;AAAAAAChAgAAZHJzL2Rvd25yZXYueG1sUEsFBgAAAAAEAAQA+QAAAJMDAAAAAA==&#10;" strokecolor="#4f81bd" strokeweight="2pt">
                                <v:shadow on="t" color="black" opacity="24903f" origin=",.5" offset="0,.55556mm"/>
                              </v:line>
                              <v:group id="Group 19" o:spid="_x0000_s1582" style="position:absolute;width:85725;height:26289" coordsize="85725,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3" o:spid="_x0000_s1583" type="#_x0000_t202" style="position:absolute;left:41148;top:18288;width:3086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6FcQA&#10;AADbAAAADwAAAGRycy9kb3ducmV2LnhtbESPwW7CMBBE70j8g7VIvREHUKENGIQKlXqkgZbrEi9J&#10;RLyOYgMpX4+RKnEczc6bndmiNZW4UONKywoGUQyCOLO65FzBbvvZfwPhPLLGyjIp+CMHi3m3M8NE&#10;2yt/0yX1uQgQdgkqKLyvEyldVpBBF9maOHhH2xj0QTa51A1eA9xUchjHY2mw5NBQYE0fBWWn9GzC&#10;G8P9brTapDSZ4GG0Wt9+3o+/lVIvvXY5BeGp9c/j//SXVvA6hseWA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hXEAAAA2wAAAA8AAAAAAAAAAAAAAAAAmAIAAGRycy9k&#10;b3ducmV2LnhtbFBLBQYAAAAABAAEAPUAAACJAwAAAAA=&#10;" filled="f">
                                  <v:textbox>
                                    <w:txbxContent>
                                      <w:p w:rsidR="0093783C" w:rsidRPr="008F1516" w:rsidRDefault="0093783C" w:rsidP="00335E4B">
                                        <w:pPr>
                                          <w:spacing w:line="340" w:lineRule="exact"/>
                                          <w:jc w:val="center"/>
                                          <w:rPr>
                                            <w:rFonts w:ascii="Traditional Arabic" w:hAnsi="Traditional Arabic" w:cs="Traditional Arabic"/>
                                            <w:sz w:val="28"/>
                                          </w:rPr>
                                        </w:pPr>
                                        <w:r w:rsidRPr="008F1516">
                                          <w:rPr>
                                            <w:rFonts w:ascii="Traditional Arabic" w:hAnsi="Traditional Arabic" w:cs="Traditional Arabic"/>
                                            <w:sz w:val="28"/>
                                            <w:rtl/>
                                          </w:rPr>
                                          <w:t>لا</w:t>
                                        </w:r>
                                      </w:p>
                                      <w:p w:rsidR="0093783C" w:rsidRPr="008F1516" w:rsidRDefault="0093783C" w:rsidP="00335E4B">
                                        <w:pPr>
                                          <w:spacing w:line="340" w:lineRule="exact"/>
                                          <w:jc w:val="center"/>
                                          <w:rPr>
                                            <w:rFonts w:ascii="Traditional Arabic" w:hAnsi="Traditional Arabic" w:cs="Traditional Arabic"/>
                                            <w:sz w:val="28"/>
                                          </w:rPr>
                                        </w:pPr>
                                        <w:r w:rsidRPr="008F1516">
                                          <w:rPr>
                                            <w:rFonts w:ascii="Traditional Arabic" w:hAnsi="Traditional Arabic" w:cs="Traditional Arabic"/>
                                            <w:sz w:val="28"/>
                                            <w:rtl/>
                                          </w:rPr>
                                          <w:t>هل الغاز رطب أم جاف؟</w:t>
                                        </w:r>
                                      </w:p>
                                    </w:txbxContent>
                                  </v:textbox>
                                </v:shape>
                                <v:group id="Group 18" o:spid="_x0000_s1584" style="position:absolute;width:85725;height:26289" coordsize="85725,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2" o:spid="_x0000_s1585" type="#_x0000_t202" style="position:absolute;top:18288;width:3086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L/MQA&#10;AADbAAAADwAAAGRycy9kb3ducmV2LnhtbESPTW/CMAyG75P4D5En7TbSgRhbISDEh8Rx64BdTWPa&#10;isapmgwKv34+TNrRev0+fjydd65WF2pD5dnASz8BRZx7W3FhYPe1eX4DFSKyxdozGbhRgPms9zDF&#10;1Porf9Ili4USCIcUDZQxNqnWIS/JYej7hliyk28dRhnbQtsWrwJ3tR4kyat2WLFcKLGhZUn5Oftx&#10;ojH43g1XHxmNx3gcrtb3/fvpUBvz9NgtJqAidfF/+a+9tQZGIiu/CAD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S/zEAAAA2wAAAA8AAAAAAAAAAAAAAAAAmAIAAGRycy9k&#10;b3ducmV2LnhtbFBLBQYAAAAABAAEAPUAAACJAwAAAAA=&#10;" filled="f">
                                    <v:textbox>
                                      <w:txbxContent>
                                        <w:p w:rsidR="0093783C" w:rsidRPr="008F1516" w:rsidRDefault="0093783C" w:rsidP="00335E4B">
                                          <w:pPr>
                                            <w:spacing w:line="320" w:lineRule="exact"/>
                                            <w:jc w:val="center"/>
                                            <w:rPr>
                                              <w:rFonts w:ascii="Traditional Arabic" w:hAnsi="Traditional Arabic" w:cs="Traditional Arabic"/>
                                              <w:sz w:val="18"/>
                                              <w:lang w:val="en-GB" w:bidi="ar-SY"/>
                                            </w:rPr>
                                          </w:pPr>
                                          <w:r w:rsidRPr="008F1516">
                                            <w:rPr>
                                              <w:rFonts w:ascii="Traditional Arabic" w:hAnsi="Traditional Arabic" w:cs="Traditional Arabic"/>
                                              <w:sz w:val="28"/>
                                              <w:rtl/>
                                            </w:rPr>
                                            <w:t>نعم</w:t>
                                          </w:r>
                                        </w:p>
                                        <w:p w:rsidR="0093783C" w:rsidRPr="008F1516" w:rsidRDefault="0093783C" w:rsidP="00335E4B">
                                          <w:pPr>
                                            <w:spacing w:line="320" w:lineRule="exact"/>
                                            <w:jc w:val="center"/>
                                            <w:rPr>
                                              <w:rFonts w:ascii="Traditional Arabic" w:hAnsi="Traditional Arabic" w:cs="Traditional Arabic"/>
                                              <w:sz w:val="28"/>
                                            </w:rPr>
                                          </w:pPr>
                                          <w:r w:rsidRPr="008F1516">
                                            <w:rPr>
                                              <w:rFonts w:ascii="Traditional Arabic" w:hAnsi="Traditional Arabic" w:cs="Traditional Arabic"/>
                                              <w:sz w:val="18"/>
                                              <w:rtl/>
                                              <w:lang w:val="en-GB" w:bidi="ar-SY"/>
                                            </w:rPr>
                                            <w:t>استخدم عملية بوليدين-نورزينك أو مرشح السلنيوم</w:t>
                                          </w:r>
                                        </w:p>
                                      </w:txbxContent>
                                    </v:textbox>
                                  </v:shape>
                                  <v:group id="Group 17" o:spid="_x0000_s1586" style="position:absolute;left:20574;width:65151;height:18288" coordsize="65151,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Straight Connector 8" o:spid="_x0000_s1587" style="position:absolute;flip:x;visibility:visible;mso-wrap-style:square" from="0,8001" to="14859,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fecIAAADbAAAADwAAAGRycy9kb3ducmV2LnhtbERPz2vCMBS+D/wfwhN2m2kdONcZSykO&#10;Bl429eLt0by1nc1Lm6Ra//vlMNjx4/u9ySfTiSs531pWkC4SEMSV1S3XCk7H96c1CB+QNXaWScGd&#10;POTb2cMGM21v/EXXQ6hFDGGfoYImhD6T0lcNGfQL2xNH7ts6gyFCV0vt8BbDTSeXSbKSBluODQ32&#10;VDZUXQ6jURCKoRwuXXn+SYfxc29fX47PO6fU43wq3kAEmsK/+M/9oRWs4vr4Jf4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qfecIAAADbAAAADwAAAAAAAAAAAAAA&#10;AAChAgAAZHJzL2Rvd25yZXYueG1sUEsFBgAAAAAEAAQA+QAAAJADAAAAAA==&#10;" strokecolor="#4f81bd" strokeweight="2pt">
                                      <v:shadow on="t" color="black" opacity="24903f" origin=",.5" offset="0,.55556mm"/>
                                    </v:line>
                                    <v:line id="Straight Connector 9" o:spid="_x0000_s1588" style="position:absolute;visibility:visible;mso-wrap-style:square" from="14859,8001" to="2971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wRsMAAADbAAAADwAAAGRycy9kb3ducmV2LnhtbESPQYvCMBSE7wv+h/AEb2uqgizVKCKI&#10;goelbg+7t0fzbIrNS0li7f77zYLgcZiZb5j1drCt6MmHxrGC2TQDQVw53XCtoPw6vH+ACBFZY+uY&#10;FPxSgO1m9LbGXLsHF9RfYi0ShEOOCkyMXS5lqAxZDFPXESfv6rzFmKSvpfb4SHDbynmWLaXFhtOC&#10;wY72hqrb5W4V7L5L/DFDLYv75+LYF6Vvb/1Zqcl42K1ARBriK/xsn7SC5Qz+v6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cEbDAAAA2wAAAA8AAAAAAAAAAAAA&#10;AAAAoQIAAGRycy9kb3ducmV2LnhtbFBLBQYAAAAABAAEAPkAAACRAwAAAAA=&#10;" strokecolor="#4f81bd" strokeweight="2pt">
                                      <v:shadow on="t" color="black" opacity="24903f" origin=",.5" offset="0,.55556mm"/>
                                    </v:line>
                                    <v:shape id="Text Box 14" o:spid="_x0000_s1589" type="#_x0000_t202" style="position:absolute;left:34290;top:8001;width:3086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2q8QA&#10;AADbAAAADwAAAGRycy9kb3ducmV2LnhtbESPzW7CMBCE75X6DtZW6g2cBomfgEFVKRLHEgJcl3hJ&#10;osbrKDYQ+vQYCanH0ex8szNbdKYWF2pdZVnBRz8CQZxbXXGhINuuemMQziNrrC2Tghs5WMxfX2aY&#10;aHvlDV1SX4gAYZeggtL7JpHS5SUZdH3bEAfvZFuDPsi2kLrFa4CbWsZRNJQGKw4NJTb0VVL+m55N&#10;eCM+ZIPlT0qjER4Hy++/3eS0r5V6f+s+pyA8df7/+JleawXDGB5bAg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tqvEAAAA2wAAAA8AAAAAAAAAAAAAAAAAmAIAAGRycy9k&#10;b3ducmV2LnhtbFBLBQYAAAAABAAEAPUAAACJAwAAAAA=&#10;" filled="f">
                                      <v:textbox>
                                        <w:txbxContent>
                                          <w:p w:rsidR="0093783C" w:rsidRPr="00AE41EE" w:rsidRDefault="0093783C" w:rsidP="00335E4B">
                                            <w:pPr>
                                              <w:spacing w:line="340" w:lineRule="exact"/>
                                              <w:jc w:val="center"/>
                                              <w:rPr>
                                                <w:rFonts w:ascii="Cambria" w:hAnsi="Cambria"/>
                                                <w:sz w:val="28"/>
                                                <w:rtl/>
                                              </w:rPr>
                                            </w:pPr>
                                            <w:r w:rsidRPr="008F1516">
                                              <w:rPr>
                                                <w:rFonts w:ascii="Traditional Arabic" w:hAnsi="Traditional Arabic" w:cs="Traditional Arabic"/>
                                                <w:sz w:val="28"/>
                                                <w:rtl/>
                                                <w:lang w:bidi="ar-SY"/>
                                              </w:rPr>
                                              <w:t>لا ولكن يوجد</w:t>
                                            </w:r>
                                            <w:r w:rsidRPr="00AE41EE">
                                              <w:rPr>
                                                <w:rFonts w:ascii="Cambria" w:hAnsi="Cambria" w:hint="cs"/>
                                                <w:sz w:val="28"/>
                                                <w:rtl/>
                                                <w:lang w:bidi="ar-SY"/>
                                              </w:rPr>
                                              <w:t xml:space="preserve"> </w:t>
                                            </w:r>
                                            <w:r w:rsidRPr="00D52D10">
                                              <w:rPr>
                                                <w:rFonts w:cs="Times New Roman"/>
                                                <w:szCs w:val="20"/>
                                              </w:rPr>
                                              <w:t>H</w:t>
                                            </w:r>
                                            <w:r w:rsidRPr="00D52D10">
                                              <w:rPr>
                                                <w:rFonts w:cs="Times New Roman"/>
                                                <w:szCs w:val="20"/>
                                                <w:vertAlign w:val="subscript"/>
                                              </w:rPr>
                                              <w:t>2</w:t>
                                            </w:r>
                                            <w:r w:rsidRPr="00D52D10">
                                              <w:rPr>
                                                <w:rFonts w:cs="Times New Roman"/>
                                                <w:szCs w:val="20"/>
                                              </w:rPr>
                                              <w:t>S</w:t>
                                            </w:r>
                                          </w:p>
                                          <w:p w:rsidR="0093783C" w:rsidRPr="008F1516" w:rsidRDefault="0093783C" w:rsidP="00335E4B">
                                            <w:pPr>
                                              <w:spacing w:line="340" w:lineRule="exact"/>
                                              <w:jc w:val="center"/>
                                              <w:rPr>
                                                <w:rFonts w:ascii="Traditional Arabic" w:hAnsi="Traditional Arabic" w:cs="Traditional Arabic"/>
                                                <w:sz w:val="28"/>
                                                <w:lang w:bidi="ar-SY"/>
                                              </w:rPr>
                                            </w:pPr>
                                            <w:r w:rsidRPr="008F1516">
                                              <w:rPr>
                                                <w:rFonts w:ascii="Traditional Arabic" w:hAnsi="Traditional Arabic" w:cs="Traditional Arabic"/>
                                                <w:sz w:val="28"/>
                                                <w:rtl/>
                                              </w:rPr>
                                              <w:t>استخدم مرشح السلنيوم</w:t>
                                            </w:r>
                                          </w:p>
                                        </w:txbxContent>
                                      </v:textbox>
                                    </v:shape>
                                    <v:group id="Group 16" o:spid="_x0000_s1590" style="position:absolute;width:34290;height:12573" coordsize="34290,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_x0000_s1591" type="#_x0000_t202" style="position:absolute;width:3086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LRMQA&#10;AADbAAAADwAAAGRycy9kb3ducmV2LnhtbESPwW7CMBBE70j8g7VIvREHqKANGIQKlXqkgZbrEi9J&#10;RLyOYgMpX4+RKnEczc6bndmiNZW4UONKywoGUQyCOLO65FzBbvvZfwPhPLLGyjIp+CMHi3m3M8NE&#10;2yt/0yX1uQgQdgkqKLyvEyldVpBBF9maOHhH2xj0QTa51A1eA9xUchjHY2mw5NBQYE0fBWWn9GzC&#10;G8P9brTapDSZ4GG0Wt9+3o+/lVIvvXY5BeGp9c/j//SXVjB+hceWA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i0TEAAAA2wAAAA8AAAAAAAAAAAAAAAAAmAIAAGRycy9k&#10;b3ducmV2LnhtbFBLBQYAAAAABAAEAPUAAACJAwAAAAA=&#10;" filled="f">
                                        <v:textbox>
                                          <w:txbxContent>
                                            <w:p w:rsidR="0093783C" w:rsidRPr="008F1516" w:rsidRDefault="0093783C" w:rsidP="00335E4B">
                                              <w:pPr>
                                                <w:jc w:val="center"/>
                                                <w:rPr>
                                                  <w:rFonts w:ascii="Traditional Arabic" w:hAnsi="Traditional Arabic" w:cs="Traditional Arabic"/>
                                                  <w:b/>
                                                  <w:sz w:val="18"/>
                                                  <w:rtl/>
                                                </w:rPr>
                                              </w:pPr>
                                              <w:r w:rsidRPr="008F1516">
                                                <w:rPr>
                                                  <w:rFonts w:ascii="Traditional Arabic" w:hAnsi="Traditional Arabic" w:cs="Traditional Arabic"/>
                                                  <w:sz w:val="18"/>
                                                  <w:rtl/>
                                                  <w:lang w:val="en-GB" w:bidi="ar-SY"/>
                                                </w:rPr>
                                                <w:t>هل ثاني أكسيد الكبريت</w:t>
                                              </w:r>
                                              <w:r w:rsidRPr="00AE41EE">
                                                <w:rPr>
                                                  <w:rFonts w:hint="cs"/>
                                                  <w:sz w:val="18"/>
                                                  <w:rtl/>
                                                  <w:lang w:val="en-GB" w:bidi="ar-SY"/>
                                                </w:rPr>
                                                <w:t xml:space="preserve"> </w:t>
                                              </w:r>
                                              <w:r w:rsidRPr="00AE41EE">
                                                <w:rPr>
                                                  <w:sz w:val="18"/>
                                                </w:rPr>
                                                <w:t>SO</w:t>
                                              </w:r>
                                              <w:r w:rsidRPr="00AE41EE">
                                                <w:rPr>
                                                  <w:sz w:val="18"/>
                                                  <w:vertAlign w:val="subscript"/>
                                                </w:rPr>
                                                <w:t>2</w:t>
                                              </w:r>
                                              <w:r>
                                                <w:rPr>
                                                  <w:rFonts w:hint="cs"/>
                                                  <w:sz w:val="18"/>
                                                  <w:vertAlign w:val="subscript"/>
                                                  <w:rtl/>
                                                </w:rPr>
                                                <w:t xml:space="preserve"> </w:t>
                                              </w:r>
                                              <w:r w:rsidRPr="008F1516">
                                                <w:rPr>
                                                  <w:rFonts w:ascii="Traditional Arabic" w:hAnsi="Traditional Arabic" w:cs="Traditional Arabic"/>
                                                  <w:sz w:val="18"/>
                                                  <w:rtl/>
                                                  <w:lang w:val="en-GB" w:bidi="ar-SY"/>
                                                </w:rPr>
                                                <w:t>موجود في الغاز الرطب أو الجاف؟</w:t>
                                              </w:r>
                                            </w:p>
                                          </w:txbxContent>
                                        </v:textbox>
                                      </v:shape>
                                      <v:line id="Straight Connector 15" o:spid="_x0000_s1592" style="position:absolute;visibility:visible;mso-wrap-style:square" from="14859,8001" to="3429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2RcMAAADbAAAADwAAAGRycy9kb3ducmV2LnhtbESPQWsCMRSE7wX/Q3iCt5q1opTVKCKU&#10;Fnooa/egt8fmuVncvCxJXLf/vhEEj8PMfMOst4NtRU8+NI4VzKYZCOLK6YZrBeXvx+s7iBCRNbaO&#10;ScEfBdhuRi9rzLW7cUH9IdYiQTjkqMDE2OVShsqQxTB1HXHyzs5bjEn6WmqPtwS3rXzLsqW02HBa&#10;MNjR3lB1OVytgt2xxJMZallcf+affVH69tJ/KzUZD7sViEhDfIYf7S+tYLmA+5f0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gdkXDAAAA2wAAAA8AAAAAAAAAAAAA&#10;AAAAoQIAAGRycy9kb3ducmV2LnhtbFBLBQYAAAAABAAEAPkAAACRAwAAAAA=&#10;" strokecolor="#4f81bd" strokeweight="2pt">
                                        <v:shadow on="t" color="black" opacity="24903f" origin=",.5" offset="0,.55556mm"/>
                                      </v:line>
                                    </v:group>
                                  </v:group>
                                </v:group>
                              </v:group>
                            </v:group>
                          </v:group>
                        </v:group>
                      </v:group>
                    </v:group>
                  </v:group>
                </v:group>
              </v:group>
            </w:pict>
          </mc:Fallback>
        </mc:AlternateConten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bCs/>
          <w:sz w:val="20"/>
          <w:szCs w:val="30"/>
          <w:rtl/>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bCs/>
          <w:sz w:val="20"/>
          <w:szCs w:val="30"/>
          <w:rtl/>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bCs/>
          <w:sz w:val="20"/>
          <w:szCs w:val="30"/>
          <w:rtl/>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bCs/>
          <w:sz w:val="20"/>
          <w:szCs w:val="30"/>
          <w:rtl/>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bCs/>
          <w:sz w:val="20"/>
          <w:szCs w:val="30"/>
          <w:rtl/>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bCs/>
          <w:sz w:val="20"/>
          <w:szCs w:val="30"/>
          <w:rtl/>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bCs/>
          <w:sz w:val="20"/>
          <w:szCs w:val="30"/>
          <w:rtl/>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bCs/>
          <w:sz w:val="20"/>
          <w:szCs w:val="30"/>
          <w:rtl/>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bCs/>
          <w:sz w:val="20"/>
          <w:szCs w:val="30"/>
          <w:rtl/>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bCs/>
          <w:sz w:val="20"/>
          <w:szCs w:val="30"/>
          <w:rtl/>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bCs/>
          <w:sz w:val="20"/>
          <w:szCs w:val="30"/>
          <w:rtl/>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bCs/>
          <w:sz w:val="20"/>
          <w:szCs w:val="30"/>
          <w:rtl/>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i/>
          <w:sz w:val="20"/>
          <w:szCs w:val="30"/>
          <w:rtl/>
          <w:lang w:val="en-GB" w:bidi="ar-EG"/>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i/>
          <w:sz w:val="20"/>
          <w:szCs w:val="30"/>
          <w:rtl/>
          <w:lang w:val="en-GB" w:bidi="ar-EG"/>
        </w:rPr>
      </w:pPr>
    </w:p>
    <w:p w:rsidR="00335E4B" w:rsidRPr="00335E4B" w:rsidRDefault="00335E4B" w:rsidP="00386BEC">
      <w:pPr>
        <w:tabs>
          <w:tab w:val="left" w:pos="663"/>
          <w:tab w:val="left" w:pos="1117"/>
          <w:tab w:val="left" w:pos="2230"/>
          <w:tab w:val="center" w:pos="5468"/>
        </w:tabs>
        <w:spacing w:before="480" w:after="120" w:line="400" w:lineRule="exact"/>
        <w:jc w:val="both"/>
        <w:rPr>
          <w:rFonts w:cs="Traditional Arabic"/>
          <w:b/>
          <w:bCs/>
          <w:sz w:val="20"/>
          <w:szCs w:val="30"/>
          <w:rtl/>
        </w:rPr>
      </w:pPr>
      <w:bookmarkStart w:id="1943" w:name="_Ref289604630"/>
      <w:r w:rsidRPr="00335E4B">
        <w:rPr>
          <w:rFonts w:cs="Traditional Arabic"/>
          <w:b/>
          <w:bCs/>
          <w:sz w:val="20"/>
          <w:szCs w:val="30"/>
          <w:rtl/>
        </w:rPr>
        <w:t>الشكل</w:t>
      </w:r>
      <w:r w:rsidRPr="00335E4B">
        <w:rPr>
          <w:rFonts w:cs="Traditional Arabic"/>
          <w:b/>
          <w:bCs/>
          <w:sz w:val="20"/>
          <w:szCs w:val="30"/>
          <w:rtl/>
          <w:lang w:val="en-GB" w:bidi="ar-EG"/>
        </w:rPr>
        <w:t xml:space="preserve"> </w:t>
      </w:r>
      <w:r w:rsidRPr="00335E4B">
        <w:rPr>
          <w:rFonts w:cs="Traditional Arabic" w:hint="cs"/>
          <w:b/>
          <w:bCs/>
          <w:sz w:val="20"/>
          <w:szCs w:val="30"/>
          <w:rtl/>
          <w:lang w:val="en-GB" w:bidi="ar-EG"/>
        </w:rPr>
        <w:t>9</w:t>
      </w:r>
      <w:r w:rsidR="00386BEC">
        <w:rPr>
          <w:rFonts w:cs="Traditional Arabic" w:hint="cs"/>
          <w:b/>
          <w:bCs/>
          <w:sz w:val="20"/>
          <w:szCs w:val="30"/>
          <w:rtl/>
          <w:lang w:val="en-GB" w:bidi="ar-EG"/>
        </w:rPr>
        <w:t>.</w:t>
      </w:r>
      <w:r w:rsidRPr="00335E4B">
        <w:rPr>
          <w:rFonts w:cs="Traditional Arabic"/>
          <w:b/>
          <w:bCs/>
          <w:sz w:val="20"/>
          <w:szCs w:val="30"/>
          <w:rtl/>
          <w:lang w:val="en-GB" w:bidi="ar-EG"/>
        </w:rPr>
        <w:t xml:space="preserve"> </w:t>
      </w:r>
      <w:r w:rsidRPr="00335E4B">
        <w:rPr>
          <w:rFonts w:cs="Traditional Arabic"/>
          <w:b/>
          <w:bCs/>
          <w:sz w:val="20"/>
          <w:szCs w:val="30"/>
          <w:rtl/>
        </w:rPr>
        <w:t>اعتبارات التحكم بالزئبق عندما يلزم مستوى عال من إزالة الزئبق، وتشمل الخيارات عمليات بوليدين</w:t>
      </w:r>
      <w:r w:rsidRPr="00335E4B">
        <w:rPr>
          <w:rFonts w:cs="Traditional Arabic" w:hint="cs"/>
          <w:b/>
          <w:bCs/>
          <w:sz w:val="20"/>
          <w:szCs w:val="30"/>
          <w:rtl/>
        </w:rPr>
        <w:t xml:space="preserve"> </w:t>
      </w:r>
      <w:r w:rsidRPr="00335E4B">
        <w:rPr>
          <w:rFonts w:cs="Traditional Arabic"/>
          <w:b/>
          <w:bCs/>
          <w:sz w:val="20"/>
          <w:szCs w:val="30"/>
          <w:rtl/>
          <w:lang w:val="en-GB" w:bidi="ar-EG"/>
        </w:rPr>
        <w:t>-</w:t>
      </w:r>
      <w:r w:rsidRPr="00335E4B">
        <w:rPr>
          <w:rFonts w:cs="Traditional Arabic" w:hint="cs"/>
          <w:b/>
          <w:bCs/>
          <w:sz w:val="20"/>
          <w:szCs w:val="30"/>
          <w:rtl/>
          <w:lang w:val="en-GB" w:bidi="ar-EG"/>
        </w:rPr>
        <w:t xml:space="preserve"> </w:t>
      </w:r>
      <w:r w:rsidRPr="00335E4B">
        <w:rPr>
          <w:rFonts w:cs="Traditional Arabic"/>
          <w:b/>
          <w:bCs/>
          <w:sz w:val="20"/>
          <w:szCs w:val="30"/>
          <w:rtl/>
        </w:rPr>
        <w:t>نورزينك ومرشحات السلنيوم والكربون المنشط</w:t>
      </w:r>
      <w:bookmarkEnd w:id="1943"/>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i/>
          <w:sz w:val="20"/>
          <w:szCs w:val="30"/>
          <w:rtl/>
          <w:lang w:val="en-GB" w:bidi="ar-EG"/>
        </w:rPr>
      </w:pPr>
    </w:p>
    <w:p w:rsidR="00335E4B" w:rsidRPr="00335E4B" w:rsidRDefault="00335E4B" w:rsidP="00335E4B">
      <w:pPr>
        <w:tabs>
          <w:tab w:val="left" w:pos="663"/>
          <w:tab w:val="left" w:pos="1117"/>
          <w:tab w:val="left" w:pos="2230"/>
          <w:tab w:val="center" w:pos="5468"/>
        </w:tabs>
        <w:spacing w:after="120" w:line="400" w:lineRule="exact"/>
        <w:jc w:val="both"/>
        <w:rPr>
          <w:rFonts w:cs="Traditional Arabic"/>
          <w:b/>
          <w:i/>
          <w:sz w:val="20"/>
          <w:szCs w:val="30"/>
          <w:rtl/>
          <w:lang w:val="en-GB" w:bidi="ar-EG"/>
        </w:rPr>
        <w:sectPr w:rsidR="00335E4B" w:rsidRPr="00335E4B" w:rsidSect="00D002D1">
          <w:pgSz w:w="16838" w:h="11906" w:orient="landscape" w:code="9"/>
          <w:pgMar w:top="907" w:right="907" w:bottom="1418" w:left="1418" w:header="539" w:footer="975" w:gutter="0"/>
          <w:cols w:space="720"/>
          <w:rtlGutter/>
          <w:docGrid w:linePitch="272"/>
        </w:sectPr>
      </w:pPr>
    </w:p>
    <w:p w:rsidR="00335E4B" w:rsidRPr="00335E4B" w:rsidRDefault="00BC1DB4" w:rsidP="004F5C55">
      <w:pPr>
        <w:keepNext/>
        <w:tabs>
          <w:tab w:val="left" w:pos="707"/>
        </w:tabs>
        <w:spacing w:after="120" w:line="400" w:lineRule="exact"/>
        <w:jc w:val="both"/>
        <w:outlineLvl w:val="0"/>
        <w:rPr>
          <w:rFonts w:cs="Traditional Arabic"/>
          <w:b/>
          <w:bCs/>
          <w:sz w:val="20"/>
          <w:szCs w:val="30"/>
          <w:rtl/>
          <w:lang w:bidi="ar-EG"/>
        </w:rPr>
      </w:pPr>
      <w:r>
        <w:rPr>
          <w:rFonts w:cs="Traditional Arabic" w:hint="cs"/>
          <w:b/>
          <w:bCs/>
          <w:sz w:val="20"/>
          <w:szCs w:val="30"/>
          <w:rtl/>
          <w:lang w:bidi="ar-EG"/>
        </w:rPr>
        <w:t>4</w:t>
      </w:r>
      <w:r w:rsidR="00CC010E">
        <w:rPr>
          <w:rFonts w:cs="Traditional Arabic" w:hint="cs"/>
          <w:b/>
          <w:bCs/>
          <w:sz w:val="20"/>
          <w:szCs w:val="30"/>
          <w:rtl/>
          <w:lang w:bidi="ar-EG"/>
        </w:rPr>
        <w:t>-2</w:t>
      </w:r>
      <w:r w:rsidR="004F5C55">
        <w:rPr>
          <w:rFonts w:cs="Traditional Arabic" w:hint="cs"/>
          <w:b/>
          <w:bCs/>
          <w:sz w:val="20"/>
          <w:szCs w:val="30"/>
          <w:rtl/>
          <w:lang w:bidi="ar-EG"/>
        </w:rPr>
        <w:tab/>
      </w:r>
      <w:r w:rsidR="00CC010E">
        <w:rPr>
          <w:rFonts w:cs="Traditional Arabic" w:hint="cs"/>
          <w:b/>
          <w:bCs/>
          <w:sz w:val="20"/>
          <w:szCs w:val="30"/>
          <w:rtl/>
          <w:lang w:bidi="ar-EG"/>
        </w:rPr>
        <w:t>أفضل الممارسات البيئية</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يصف هذا القسم أفضل الممارسات البيئية المستخدمة بوجه عام من أجل </w:t>
      </w:r>
      <w:r w:rsidRPr="00335E4B">
        <w:rPr>
          <w:rFonts w:cs="Traditional Arabic" w:hint="cs"/>
          <w:sz w:val="20"/>
          <w:szCs w:val="30"/>
          <w:rtl/>
        </w:rPr>
        <w:t>ضبط</w:t>
      </w:r>
      <w:r w:rsidRPr="00335E4B">
        <w:rPr>
          <w:rFonts w:cs="Traditional Arabic"/>
          <w:sz w:val="20"/>
          <w:szCs w:val="30"/>
          <w:rtl/>
        </w:rPr>
        <w:t xml:space="preserve"> انبعاثات الزئبق إلى الجو الناجمة عن عمليات الصهر والتحميص المستخدمة في إنتاج المعادن غير الحديدية، وللتقليل من تلك الانبعاثات حيثما أمكن ذلك</w:t>
      </w:r>
      <w:r w:rsidRPr="00335E4B">
        <w:rPr>
          <w:rFonts w:cs="Traditional Arabic"/>
          <w:sz w:val="20"/>
          <w:szCs w:val="30"/>
          <w:rtl/>
          <w:lang w:val="en-GB" w:bidi="ar-EG"/>
        </w:rPr>
        <w:t>.</w:t>
      </w:r>
    </w:p>
    <w:p w:rsidR="00335E4B" w:rsidRPr="00335E4B" w:rsidRDefault="00335E4B" w:rsidP="00CC010E">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ومن أجل وضع وتنفيذ </w:t>
      </w:r>
      <w:r w:rsidR="00CC010E">
        <w:rPr>
          <w:rFonts w:cs="Traditional Arabic" w:hint="cs"/>
          <w:sz w:val="20"/>
          <w:szCs w:val="30"/>
          <w:rtl/>
        </w:rPr>
        <w:t xml:space="preserve">أفضل </w:t>
      </w:r>
      <w:r w:rsidRPr="00335E4B">
        <w:rPr>
          <w:rFonts w:cs="Traditional Arabic"/>
          <w:sz w:val="20"/>
          <w:szCs w:val="30"/>
          <w:rtl/>
        </w:rPr>
        <w:t xml:space="preserve">ممارسات بيئية محددة يلزم التخطيط الدقيق والالتزام </w:t>
      </w:r>
      <w:r w:rsidRPr="00335E4B">
        <w:rPr>
          <w:rFonts w:cs="Traditional Arabic" w:hint="cs"/>
          <w:sz w:val="20"/>
          <w:szCs w:val="30"/>
          <w:rtl/>
        </w:rPr>
        <w:t>على</w:t>
      </w:r>
      <w:r w:rsidRPr="00335E4B">
        <w:rPr>
          <w:rFonts w:cs="Traditional Arabic"/>
          <w:sz w:val="20"/>
          <w:szCs w:val="30"/>
          <w:rtl/>
        </w:rPr>
        <w:t xml:space="preserve"> جميع المستويات في </w:t>
      </w:r>
      <w:r w:rsidRPr="00335E4B">
        <w:rPr>
          <w:rFonts w:cs="Traditional Arabic" w:hint="cs"/>
          <w:sz w:val="20"/>
          <w:szCs w:val="30"/>
          <w:rtl/>
        </w:rPr>
        <w:t>المؤسسة</w:t>
      </w:r>
      <w:r w:rsidRPr="00335E4B">
        <w:rPr>
          <w:rFonts w:cs="Traditional Arabic"/>
          <w:sz w:val="20"/>
          <w:szCs w:val="30"/>
          <w:rtl/>
          <w:lang w:val="en-GB" w:bidi="ar-EG"/>
        </w:rPr>
        <w:t>.</w:t>
      </w:r>
      <w:r w:rsidRPr="00335E4B">
        <w:rPr>
          <w:rFonts w:cs="Traditional Arabic"/>
          <w:sz w:val="20"/>
          <w:szCs w:val="30"/>
          <w:rtl/>
        </w:rPr>
        <w:t xml:space="preserve"> وقد يتيسر وضع أفضل الممارسات البيئية عن طريق النظر فيما يتوجب تطبيقه من القواعد التنظيمية والممارسات الإدارية لمنشآت التصنيع</w:t>
      </w:r>
      <w:r w:rsidRPr="00335E4B">
        <w:rPr>
          <w:rFonts w:cs="Traditional Arabic"/>
          <w:sz w:val="20"/>
          <w:szCs w:val="30"/>
          <w:rtl/>
          <w:lang w:val="en-GB" w:bidi="ar-EG"/>
        </w:rPr>
        <w:t>.</w:t>
      </w:r>
    </w:p>
    <w:p w:rsidR="00335E4B" w:rsidRPr="00335E4B" w:rsidRDefault="00BC1DB4" w:rsidP="00335E4B">
      <w:pPr>
        <w:keepNext/>
        <w:tabs>
          <w:tab w:val="left" w:pos="991"/>
        </w:tabs>
        <w:spacing w:before="120" w:after="120" w:line="400" w:lineRule="exact"/>
        <w:jc w:val="both"/>
        <w:outlineLvl w:val="0"/>
        <w:rPr>
          <w:rFonts w:cs="Traditional Arabic"/>
          <w:b/>
          <w:bCs/>
          <w:sz w:val="20"/>
          <w:szCs w:val="30"/>
          <w:rtl/>
          <w:lang w:bidi="ar-EG"/>
        </w:rPr>
      </w:pPr>
      <w:bookmarkStart w:id="1944" w:name="_Toc433095450"/>
      <w:bookmarkStart w:id="1945" w:name="_Toc434239985"/>
      <w:bookmarkStart w:id="1946" w:name="_Toc440550588"/>
      <w:bookmarkStart w:id="1947" w:name="_Toc441577838"/>
      <w:bookmarkStart w:id="1948" w:name="_Toc441578017"/>
      <w:bookmarkStart w:id="1949" w:name="_Toc441580851"/>
      <w:bookmarkStart w:id="1950" w:name="_Toc441585982"/>
      <w:bookmarkStart w:id="1951" w:name="_Toc441586318"/>
      <w:bookmarkStart w:id="1952" w:name="_Toc441586768"/>
      <w:bookmarkStart w:id="1953" w:name="_Toc441586947"/>
      <w:bookmarkStart w:id="1954" w:name="_Toc441666796"/>
      <w:bookmarkStart w:id="1955" w:name="_Toc441673857"/>
      <w:r>
        <w:rPr>
          <w:rFonts w:cs="Traditional Arabic" w:hint="cs"/>
          <w:b/>
          <w:bCs/>
          <w:sz w:val="20"/>
          <w:szCs w:val="30"/>
          <w:rtl/>
          <w:lang w:bidi="ar-EG"/>
        </w:rPr>
        <w:t>4</w:t>
      </w:r>
      <w:r w:rsidR="00C416FB">
        <w:rPr>
          <w:rFonts w:cs="Traditional Arabic" w:hint="cs"/>
          <w:b/>
          <w:bCs/>
          <w:sz w:val="20"/>
          <w:szCs w:val="30"/>
          <w:rtl/>
          <w:lang w:bidi="ar-EG"/>
        </w:rPr>
        <w:t>-2-1</w:t>
      </w:r>
      <w:r w:rsidR="00C416FB">
        <w:rPr>
          <w:rFonts w:cs="Traditional Arabic" w:hint="cs"/>
          <w:b/>
          <w:bCs/>
          <w:sz w:val="20"/>
          <w:szCs w:val="30"/>
          <w:rtl/>
          <w:lang w:bidi="ar-EG"/>
        </w:rPr>
        <w:tab/>
      </w:r>
      <w:r w:rsidR="00335E4B" w:rsidRPr="00335E4B">
        <w:rPr>
          <w:rFonts w:cs="Traditional Arabic"/>
          <w:b/>
          <w:bCs/>
          <w:sz w:val="20"/>
          <w:szCs w:val="30"/>
          <w:rtl/>
          <w:lang w:bidi="ar-EG"/>
        </w:rPr>
        <w:t>نظم الإدارة البيئية</w:t>
      </w:r>
      <w:bookmarkEnd w:id="1944"/>
      <w:bookmarkEnd w:id="1945"/>
      <w:bookmarkEnd w:id="1946"/>
      <w:bookmarkEnd w:id="1947"/>
      <w:bookmarkEnd w:id="1948"/>
      <w:bookmarkEnd w:id="1949"/>
      <w:bookmarkEnd w:id="1950"/>
      <w:bookmarkEnd w:id="1951"/>
      <w:bookmarkEnd w:id="1952"/>
      <w:bookmarkEnd w:id="1953"/>
      <w:bookmarkEnd w:id="1954"/>
      <w:bookmarkEnd w:id="1955"/>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نظام الإدارة البيئية هو نهج منظم إزاء إدارة الجوانب البيئية في عملية تشتمل عادة على ما يلي</w:t>
      </w:r>
      <w:r w:rsidRPr="00335E4B">
        <w:rPr>
          <w:rFonts w:cs="Traditional Arabic"/>
          <w:sz w:val="20"/>
          <w:szCs w:val="30"/>
          <w:rtl/>
          <w:lang w:val="en-GB" w:bidi="ar-EG"/>
        </w:rPr>
        <w:t xml:space="preserve">: </w:t>
      </w:r>
      <w:r w:rsidRPr="00335E4B">
        <w:rPr>
          <w:rFonts w:cs="Traditional Arabic"/>
          <w:sz w:val="20"/>
          <w:szCs w:val="30"/>
          <w:rtl/>
        </w:rPr>
        <w:t xml:space="preserve">استعراض الأهداف البيئية </w:t>
      </w:r>
      <w:r w:rsidRPr="00335E4B">
        <w:rPr>
          <w:rFonts w:cs="Traditional Arabic" w:hint="cs"/>
          <w:sz w:val="20"/>
          <w:szCs w:val="30"/>
          <w:rtl/>
        </w:rPr>
        <w:t>للمؤسسة</w:t>
      </w:r>
      <w:r w:rsidRPr="00335E4B">
        <w:rPr>
          <w:rFonts w:cs="Traditional Arabic"/>
          <w:sz w:val="20"/>
          <w:szCs w:val="30"/>
          <w:rtl/>
        </w:rPr>
        <w:t>؛ وتحليل مخاطرها وآثارها البيئية ومتطلباتها القانونية؛ ووضع الغايات البيئية والمقاصد المستهدفة للحد من الآثار البيئية والامتثال للمتطلبات القانونية؛ ووضع برامج يهدف إلى تحقيق هذه الغايات والمقاصد المستهدفة؛ ورصد وقياس التقدم المحرز في تحقيق الغايات؛ وكفالة غرس الوعي البيئي والكفاءة البيئية لدى العاملين؛ واستعراض التقدم المحرز للنظام وتحسينه بشكل متواصل</w:t>
      </w:r>
      <w:r w:rsidRPr="00335E4B">
        <w:rPr>
          <w:rFonts w:cs="Traditional Arabic"/>
          <w:sz w:val="20"/>
          <w:szCs w:val="30"/>
          <w:rtl/>
          <w:lang w:val="en-GB" w:bidi="ar-EG"/>
        </w:rPr>
        <w:t>.</w:t>
      </w:r>
      <w:r w:rsidRPr="00335E4B">
        <w:rPr>
          <w:rFonts w:cs="Traditional Arabic"/>
          <w:sz w:val="20"/>
          <w:szCs w:val="30"/>
          <w:rtl/>
        </w:rPr>
        <w:t xml:space="preserve"> وقد تشمل توصيات التنفيذ ما يلي</w:t>
      </w:r>
      <w:r w:rsidRPr="00335E4B">
        <w:rPr>
          <w:rFonts w:cs="Traditional Arabic"/>
          <w:sz w:val="20"/>
          <w:szCs w:val="30"/>
          <w:rtl/>
          <w:lang w:val="en-GB" w:bidi="ar-EG"/>
        </w:rPr>
        <w:t>:</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وضع وتنفيذ برامج الصيانة الوقائية والتنبؤية والتصحيحية لتشغيل نظم تخفيض التلوث على نحو فعال؛</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وصيانة معدات الإنتاج من أجل تيسير تشغيلها بشكل طبيعي والتقليل إلى أدنى حد ممكن من حالات الخلل في العمليات؛</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 xml:space="preserve">وتحسين الإدارة التشغيلية، ووضع خطط للطوارئ وتدريب القائمين على التشغيل بشكل منتظم؛ </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وتنفيذ برنامج لمنع التسربات وتطبيق نظام جيد لإدارة الشؤون الداخلية في جميع أقسام المنشأة؛</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ووضع خطة رصد لإجراء قياسات للزئبق في المراحل ذات الصلة من العملية؛</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وضع وتعهد سجل عام لانبعاثات الزئبق في كل مستوى معني من مستويات العمليات والمنشأة</w:t>
      </w:r>
      <w:r w:rsidRPr="00335E4B">
        <w:rPr>
          <w:rFonts w:cs="Traditional Arabic"/>
          <w:sz w:val="20"/>
          <w:szCs w:val="30"/>
          <w:rtl/>
          <w:lang w:val="en-GB" w:bidi="ar-EG"/>
        </w:rPr>
        <w:t>.</w:t>
      </w:r>
    </w:p>
    <w:p w:rsidR="00335E4B" w:rsidRPr="00335E4B" w:rsidRDefault="00310FC3" w:rsidP="00310FC3">
      <w:pPr>
        <w:keepNext/>
        <w:tabs>
          <w:tab w:val="left" w:pos="991"/>
        </w:tabs>
        <w:spacing w:before="120" w:after="120" w:line="400" w:lineRule="exact"/>
        <w:jc w:val="both"/>
        <w:outlineLvl w:val="0"/>
        <w:rPr>
          <w:rFonts w:cs="Traditional Arabic"/>
          <w:b/>
          <w:bCs/>
          <w:sz w:val="20"/>
          <w:szCs w:val="30"/>
          <w:rtl/>
          <w:lang w:bidi="ar-EG"/>
        </w:rPr>
      </w:pPr>
      <w:bookmarkStart w:id="1956" w:name="_Toc433095451"/>
      <w:bookmarkStart w:id="1957" w:name="_Toc434239986"/>
      <w:bookmarkStart w:id="1958" w:name="_Toc440550589"/>
      <w:bookmarkStart w:id="1959" w:name="_Toc441577839"/>
      <w:bookmarkStart w:id="1960" w:name="_Toc441578018"/>
      <w:bookmarkStart w:id="1961" w:name="_Toc441580852"/>
      <w:bookmarkStart w:id="1962" w:name="_Toc441585983"/>
      <w:bookmarkStart w:id="1963" w:name="_Toc441586319"/>
      <w:bookmarkStart w:id="1964" w:name="_Toc441586769"/>
      <w:bookmarkStart w:id="1965" w:name="_Toc441586948"/>
      <w:bookmarkStart w:id="1966" w:name="_Toc441666797"/>
      <w:bookmarkStart w:id="1967" w:name="_Toc441673858"/>
      <w:r>
        <w:rPr>
          <w:rFonts w:cs="Traditional Arabic" w:hint="cs"/>
          <w:b/>
          <w:bCs/>
          <w:sz w:val="20"/>
          <w:szCs w:val="30"/>
          <w:rtl/>
          <w:lang w:bidi="ar-EG"/>
        </w:rPr>
        <w:t>4</w:t>
      </w:r>
      <w:r w:rsidR="00C416FB">
        <w:rPr>
          <w:rFonts w:cs="Traditional Arabic" w:hint="cs"/>
          <w:b/>
          <w:bCs/>
          <w:sz w:val="20"/>
          <w:szCs w:val="30"/>
          <w:rtl/>
          <w:lang w:bidi="ar-EG"/>
        </w:rPr>
        <w:t>-2-</w:t>
      </w:r>
      <w:r>
        <w:rPr>
          <w:rFonts w:cs="Traditional Arabic" w:hint="cs"/>
          <w:b/>
          <w:bCs/>
          <w:sz w:val="20"/>
          <w:szCs w:val="30"/>
          <w:rtl/>
          <w:lang w:bidi="ar-EG"/>
        </w:rPr>
        <w:t>2</w:t>
      </w:r>
      <w:r w:rsidR="00C416FB">
        <w:rPr>
          <w:rFonts w:cs="Traditional Arabic" w:hint="cs"/>
          <w:b/>
          <w:bCs/>
          <w:sz w:val="20"/>
          <w:szCs w:val="30"/>
          <w:rtl/>
          <w:lang w:bidi="ar-EG"/>
        </w:rPr>
        <w:tab/>
      </w:r>
      <w:r w:rsidR="00335E4B" w:rsidRPr="00335E4B">
        <w:rPr>
          <w:rFonts w:cs="Traditional Arabic"/>
          <w:b/>
          <w:bCs/>
          <w:sz w:val="20"/>
          <w:szCs w:val="30"/>
          <w:rtl/>
          <w:lang w:bidi="ar-EG"/>
        </w:rPr>
        <w:t xml:space="preserve">مزج المواد الأولية </w:t>
      </w:r>
      <w:r w:rsidR="00335E4B" w:rsidRPr="00335E4B">
        <w:rPr>
          <w:rFonts w:cs="Traditional Arabic" w:hint="cs"/>
          <w:b/>
          <w:bCs/>
          <w:sz w:val="20"/>
          <w:szCs w:val="30"/>
          <w:rtl/>
          <w:lang w:bidi="ar-EG"/>
        </w:rPr>
        <w:t xml:space="preserve">لضبط </w:t>
      </w:r>
      <w:r w:rsidR="00335E4B" w:rsidRPr="00335E4B">
        <w:rPr>
          <w:rFonts w:cs="Traditional Arabic"/>
          <w:b/>
          <w:bCs/>
          <w:sz w:val="20"/>
          <w:szCs w:val="30"/>
          <w:rtl/>
          <w:lang w:bidi="ar-EG"/>
        </w:rPr>
        <w:t>انبعاثات الزئبق</w:t>
      </w:r>
      <w:bookmarkEnd w:id="1956"/>
      <w:bookmarkEnd w:id="1957"/>
      <w:bookmarkEnd w:id="1958"/>
      <w:bookmarkEnd w:id="1959"/>
      <w:bookmarkEnd w:id="1960"/>
      <w:bookmarkEnd w:id="1961"/>
      <w:bookmarkEnd w:id="1962"/>
      <w:bookmarkEnd w:id="1963"/>
      <w:bookmarkEnd w:id="1964"/>
      <w:bookmarkEnd w:id="1965"/>
      <w:bookmarkEnd w:id="1966"/>
      <w:bookmarkEnd w:id="1967"/>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المزج هو عملية تشغيلية تنفذ لإنتاج مادة تلقيم أولية مستقرة ومتجانسة عن طريق مزج الركازات أو الخامات المركزة المتفاوتة في نوعيتها، حيث تمزج الركازات مع الخلائط المركزة والعوامل الصهورة أو تمزج معها مواد ثانوية ومواد أولية أخرى</w:t>
      </w:r>
      <w:r w:rsidRPr="00335E4B">
        <w:rPr>
          <w:rFonts w:cs="Traditional Arabic"/>
          <w:sz w:val="20"/>
          <w:szCs w:val="30"/>
          <w:rtl/>
          <w:lang w:val="en-GB" w:bidi="ar-EG"/>
        </w:rPr>
        <w:t>.</w:t>
      </w:r>
      <w:r w:rsidRPr="00335E4B">
        <w:rPr>
          <w:rFonts w:cs="Traditional Arabic"/>
          <w:sz w:val="20"/>
          <w:szCs w:val="30"/>
          <w:rtl/>
        </w:rPr>
        <w:t xml:space="preserve"> وقد يستخدم المزج </w:t>
      </w:r>
      <w:r w:rsidRPr="00335E4B">
        <w:rPr>
          <w:rFonts w:cs="Traditional Arabic" w:hint="cs"/>
          <w:sz w:val="20"/>
          <w:szCs w:val="30"/>
          <w:rtl/>
        </w:rPr>
        <w:t>لضبط</w:t>
      </w:r>
      <w:r w:rsidRPr="00335E4B">
        <w:rPr>
          <w:rFonts w:cs="Traditional Arabic"/>
          <w:sz w:val="20"/>
          <w:szCs w:val="30"/>
          <w:rtl/>
        </w:rPr>
        <w:t xml:space="preserve"> انبعاثات الزئبق عندما يكون تركيز الزئبق في المواد الأولية للصهر مختلفاً اختلافاً شديداً أو عندما يكون تركيز الزئبق في هذه المواد أعلى مما هو مرغوب</w:t>
      </w:r>
      <w:r w:rsidRPr="00335E4B">
        <w:rPr>
          <w:rFonts w:cs="Traditional Arabic"/>
          <w:sz w:val="20"/>
          <w:szCs w:val="30"/>
          <w:rtl/>
          <w:lang w:val="en-GB" w:bidi="ar-EG"/>
        </w:rPr>
        <w:t>.</w:t>
      </w:r>
      <w:r w:rsidRPr="00335E4B">
        <w:rPr>
          <w:rFonts w:cs="Traditional Arabic"/>
          <w:sz w:val="20"/>
          <w:szCs w:val="30"/>
          <w:rtl/>
        </w:rPr>
        <w:t xml:space="preserve"> ومعالجة مادة تلقيم أولية مستقرة ومتجانسة تيسر ظروف تشغيل مستقرة تعمل فيها ضوابط التلوث بمزيد من الكفاءة</w:t>
      </w:r>
      <w:r w:rsidRPr="00335E4B">
        <w:rPr>
          <w:rFonts w:cs="Traditional Arabic"/>
          <w:sz w:val="20"/>
          <w:szCs w:val="30"/>
          <w:rtl/>
          <w:lang w:val="en-GB" w:bidi="ar-EG"/>
        </w:rPr>
        <w:t>.</w:t>
      </w:r>
      <w:r w:rsidRPr="00335E4B">
        <w:rPr>
          <w:rFonts w:cs="Traditional Arabic"/>
          <w:sz w:val="20"/>
          <w:szCs w:val="30"/>
          <w:rtl/>
        </w:rPr>
        <w:t xml:space="preserve"> وبالإضافة إلى ذلك، فالانخفاض الإجمالي لمحتوى الزئبق في مادة الصهر الأولية سيؤدي إلى انخفاض تركيز الزئبق في الغاز الناتج عن العملية ويقلل من انبعاثات الزئبق من المدخنة النهائية</w:t>
      </w:r>
      <w:r w:rsidRPr="00335E4B">
        <w:rPr>
          <w:rFonts w:cs="Traditional Arabic"/>
          <w:sz w:val="20"/>
          <w:szCs w:val="30"/>
          <w:rtl/>
          <w:lang w:val="en-GB" w:bidi="ar-EG"/>
        </w:rPr>
        <w:t>.</w:t>
      </w:r>
      <w:r w:rsidRPr="00335E4B">
        <w:rPr>
          <w:rFonts w:cs="Traditional Arabic"/>
          <w:sz w:val="20"/>
          <w:szCs w:val="30"/>
          <w:rtl/>
        </w:rPr>
        <w:t xml:space="preserve"> وفي حالات معينة قد يكون محتوى الزئبق في الركاز منخفضاً جداً، وقد لا تلزم تدابير تحكم إضافية لتحقيق انبعاثات منخفضة</w:t>
      </w:r>
      <w:r w:rsidRPr="00335E4B">
        <w:rPr>
          <w:rFonts w:cs="Traditional Arabic"/>
          <w:sz w:val="20"/>
          <w:szCs w:val="30"/>
          <w:rtl/>
          <w:lang w:val="en-GB" w:bidi="ar-EG"/>
        </w:rPr>
        <w:t>.</w:t>
      </w:r>
    </w:p>
    <w:p w:rsidR="00335E4B" w:rsidRPr="00335E4B" w:rsidRDefault="00335E4B" w:rsidP="00060630">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وبالنسبة للمصادر التي تقوم بالمزج، </w:t>
      </w:r>
      <w:r w:rsidR="00060630">
        <w:rPr>
          <w:rFonts w:cs="Traditional Arabic" w:hint="cs"/>
          <w:sz w:val="20"/>
          <w:szCs w:val="30"/>
          <w:rtl/>
        </w:rPr>
        <w:t>ي</w:t>
      </w:r>
      <w:r w:rsidRPr="00335E4B">
        <w:rPr>
          <w:rFonts w:cs="Traditional Arabic"/>
          <w:sz w:val="20"/>
          <w:szCs w:val="30"/>
          <w:rtl/>
        </w:rPr>
        <w:t>نبغي أن مراعاة الاعتبارات التالية</w:t>
      </w:r>
      <w:r w:rsidRPr="00335E4B">
        <w:rPr>
          <w:rFonts w:cs="Traditional Arabic"/>
          <w:sz w:val="20"/>
          <w:szCs w:val="30"/>
          <w:rtl/>
          <w:lang w:val="en-GB" w:bidi="ar-EG"/>
        </w:rPr>
        <w:t>:</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قد يشكل المزج عملية تثير الكثير من الغبار، وينبغي استخدام مستويات مرتفعة للتطويق وانتزاع المواد الجسيمية وإزالة الغبار. وينبغي إعادة الغبار المتجمع إلى العملية.</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 xml:space="preserve">ويمكن استخدام المزج الرطب لتفادي إنتاج الغبار. وفي بعض الحالات، ينتج الملاط الذي يزال منه الماء ويستخدم بعد ذلك في عملية لتشكيل الحبيبات </w:t>
      </w:r>
      <w:r w:rsidRPr="00060630">
        <w:rPr>
          <w:rFonts w:asciiTheme="majorBidi" w:hAnsiTheme="majorBidi" w:cstheme="majorBidi"/>
          <w:sz w:val="18"/>
          <w:szCs w:val="18"/>
          <w:rtl/>
        </w:rPr>
        <w:t>(</w:t>
      </w:r>
      <w:r w:rsidRPr="00060630">
        <w:rPr>
          <w:rFonts w:asciiTheme="majorBidi" w:hAnsiTheme="majorBidi" w:cstheme="majorBidi"/>
          <w:sz w:val="18"/>
          <w:szCs w:val="18"/>
        </w:rPr>
        <w:t>pelletizing process</w:t>
      </w:r>
      <w:r w:rsidRPr="00060630">
        <w:rPr>
          <w:rFonts w:asciiTheme="majorBidi" w:hAnsiTheme="majorBidi" w:cstheme="majorBidi"/>
          <w:sz w:val="18"/>
          <w:szCs w:val="18"/>
          <w:rtl/>
        </w:rPr>
        <w:t>)</w:t>
      </w:r>
      <w:r w:rsidRPr="00335E4B">
        <w:rPr>
          <w:rFonts w:cs="Traditional Arabic"/>
          <w:sz w:val="20"/>
          <w:szCs w:val="30"/>
          <w:rtl/>
        </w:rPr>
        <w:t>.</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 xml:space="preserve">ولتحقيق المزج الدقيق، ينبغي أن تؤخذ قبل ذلك عينات من كل مادة من مواد التلقيم الأولية لتحليل محتوى المعدن في كل مادة، بما في ذلك الشوائب مثل الزئبق. وينبغي التخطيط لعمليات المزج عن طريق الجمع بين نسب </w:t>
      </w:r>
      <w:r w:rsidRPr="00335E4B">
        <w:rPr>
          <w:rFonts w:cs="Traditional Arabic" w:hint="cs"/>
          <w:sz w:val="20"/>
          <w:szCs w:val="30"/>
          <w:rtl/>
        </w:rPr>
        <w:t>ملائمة</w:t>
      </w:r>
      <w:r w:rsidRPr="00335E4B">
        <w:rPr>
          <w:rFonts w:cs="Traditional Arabic"/>
          <w:sz w:val="20"/>
          <w:szCs w:val="30"/>
          <w:rtl/>
        </w:rPr>
        <w:t xml:space="preserve"> من مواد التقليم الأولية بناء على تلك النتائج. ويمكن استخدام منشآت المزج، وأجهزة قياس تدفق الكميات بنظام قياس فقدان الوزن، وأجهزة قياس الوزن على أحزمة النقل، وتتبع الكميات المحملة من أجل التوصل إلى أمزجة دقيقة.</w:t>
      </w:r>
    </w:p>
    <w:p w:rsidR="00335E4B" w:rsidRPr="00335E4B" w:rsidRDefault="00310FC3" w:rsidP="00335E4B">
      <w:pPr>
        <w:keepNext/>
        <w:tabs>
          <w:tab w:val="left" w:pos="991"/>
        </w:tabs>
        <w:spacing w:before="120" w:after="120" w:line="400" w:lineRule="exact"/>
        <w:jc w:val="both"/>
        <w:outlineLvl w:val="0"/>
        <w:rPr>
          <w:rFonts w:cs="Traditional Arabic"/>
          <w:b/>
          <w:bCs/>
          <w:sz w:val="20"/>
          <w:szCs w:val="30"/>
          <w:rtl/>
          <w:lang w:bidi="ar-EG"/>
        </w:rPr>
      </w:pPr>
      <w:bookmarkStart w:id="1968" w:name="_Toc433095452"/>
      <w:bookmarkStart w:id="1969" w:name="_Toc434239987"/>
      <w:bookmarkStart w:id="1970" w:name="_Toc440550590"/>
      <w:bookmarkStart w:id="1971" w:name="_Toc441577840"/>
      <w:bookmarkStart w:id="1972" w:name="_Toc441578019"/>
      <w:bookmarkStart w:id="1973" w:name="_Toc441580853"/>
      <w:bookmarkStart w:id="1974" w:name="_Toc441585984"/>
      <w:bookmarkStart w:id="1975" w:name="_Toc441586320"/>
      <w:bookmarkStart w:id="1976" w:name="_Toc441586770"/>
      <w:bookmarkStart w:id="1977" w:name="_Toc441586949"/>
      <w:bookmarkStart w:id="1978" w:name="_Toc441666798"/>
      <w:bookmarkStart w:id="1979" w:name="_Toc441673859"/>
      <w:r>
        <w:rPr>
          <w:rFonts w:cs="Traditional Arabic" w:hint="cs"/>
          <w:b/>
          <w:bCs/>
          <w:sz w:val="20"/>
          <w:szCs w:val="30"/>
          <w:rtl/>
          <w:lang w:bidi="ar-EG"/>
        </w:rPr>
        <w:t>4</w:t>
      </w:r>
      <w:r w:rsidR="00C416FB">
        <w:rPr>
          <w:rFonts w:cs="Traditional Arabic" w:hint="cs"/>
          <w:b/>
          <w:bCs/>
          <w:sz w:val="20"/>
          <w:szCs w:val="30"/>
          <w:rtl/>
          <w:lang w:bidi="ar-EG"/>
        </w:rPr>
        <w:t>-2-3</w:t>
      </w:r>
      <w:r w:rsidR="00C416FB">
        <w:rPr>
          <w:rFonts w:cs="Traditional Arabic" w:hint="cs"/>
          <w:b/>
          <w:bCs/>
          <w:sz w:val="20"/>
          <w:szCs w:val="30"/>
          <w:rtl/>
          <w:lang w:bidi="ar-EG"/>
        </w:rPr>
        <w:tab/>
      </w:r>
      <w:r w:rsidR="00335E4B" w:rsidRPr="00335E4B">
        <w:rPr>
          <w:rFonts w:cs="Traditional Arabic"/>
          <w:b/>
          <w:bCs/>
          <w:sz w:val="20"/>
          <w:szCs w:val="30"/>
          <w:rtl/>
          <w:lang w:bidi="ar-EG"/>
        </w:rPr>
        <w:t>انبعاثات الزئبق إلى الغلاف الجوي</w:t>
      </w:r>
      <w:bookmarkEnd w:id="1968"/>
      <w:bookmarkEnd w:id="1969"/>
      <w:bookmarkEnd w:id="1970"/>
      <w:bookmarkEnd w:id="1971"/>
      <w:bookmarkEnd w:id="1972"/>
      <w:bookmarkEnd w:id="1973"/>
      <w:bookmarkEnd w:id="1974"/>
      <w:bookmarkEnd w:id="1975"/>
      <w:bookmarkEnd w:id="1976"/>
      <w:bookmarkEnd w:id="1977"/>
      <w:bookmarkEnd w:id="1978"/>
      <w:bookmarkEnd w:id="1979"/>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ينبغي تطبيق تدابير واستراتيجيات </w:t>
      </w:r>
      <w:r w:rsidRPr="00335E4B">
        <w:rPr>
          <w:rFonts w:cs="Traditional Arabic" w:hint="cs"/>
          <w:sz w:val="20"/>
          <w:szCs w:val="30"/>
          <w:rtl/>
        </w:rPr>
        <w:t>الضبط</w:t>
      </w:r>
      <w:r w:rsidRPr="00335E4B">
        <w:rPr>
          <w:rFonts w:cs="Traditional Arabic"/>
          <w:sz w:val="20"/>
          <w:szCs w:val="30"/>
          <w:rtl/>
        </w:rPr>
        <w:t xml:space="preserve"> للتقليل من توليد انبعاثات الزئبق</w:t>
      </w:r>
      <w:r w:rsidRPr="00335E4B">
        <w:rPr>
          <w:rFonts w:cs="Traditional Arabic"/>
          <w:sz w:val="20"/>
          <w:szCs w:val="30"/>
          <w:rtl/>
          <w:lang w:val="en-GB" w:bidi="ar-EG"/>
        </w:rPr>
        <w:t>.</w:t>
      </w:r>
      <w:r w:rsidRPr="00335E4B">
        <w:rPr>
          <w:rFonts w:cs="Traditional Arabic"/>
          <w:sz w:val="20"/>
          <w:szCs w:val="30"/>
          <w:rtl/>
        </w:rPr>
        <w:t xml:space="preserve"> ويجب توخي الحرص في تصميم وحدات تنظيف الغاز، بما في ذلك المداخن، لكي تناسب الظروف الجوية والطبوغرافية والبيئية للمواقع</w:t>
      </w:r>
      <w:r w:rsidRPr="00335E4B">
        <w:rPr>
          <w:rFonts w:cs="Traditional Arabic"/>
          <w:sz w:val="20"/>
          <w:szCs w:val="30"/>
          <w:rtl/>
          <w:lang w:val="en-GB" w:bidi="ar-EG"/>
        </w:rPr>
        <w:t>.</w:t>
      </w:r>
      <w:r w:rsidRPr="00335E4B">
        <w:rPr>
          <w:rFonts w:cs="Traditional Arabic"/>
          <w:sz w:val="20"/>
          <w:szCs w:val="30"/>
          <w:rtl/>
        </w:rPr>
        <w:t xml:space="preserve"> والانبعاثات الهاربة من المصادر الثابتة التي يمكن احتجازها بشكل معقول ب</w:t>
      </w:r>
      <w:r w:rsidRPr="00335E4B">
        <w:rPr>
          <w:rFonts w:cs="Traditional Arabic" w:hint="cs"/>
          <w:sz w:val="20"/>
          <w:szCs w:val="30"/>
          <w:rtl/>
        </w:rPr>
        <w:t xml:space="preserve">استخدام </w:t>
      </w:r>
      <w:r w:rsidRPr="00335E4B">
        <w:rPr>
          <w:rFonts w:cs="Traditional Arabic"/>
          <w:sz w:val="20"/>
          <w:szCs w:val="30"/>
          <w:rtl/>
        </w:rPr>
        <w:t>نظم التغطية والتطويق المناسب للوحدات ينبغي أن تحتجز بهذه الوسائل</w:t>
      </w:r>
      <w:r w:rsidRPr="00335E4B">
        <w:rPr>
          <w:rFonts w:cs="Traditional Arabic"/>
          <w:sz w:val="20"/>
          <w:szCs w:val="30"/>
          <w:rtl/>
          <w:lang w:val="en-GB" w:bidi="ar-EG"/>
        </w:rPr>
        <w:t>.</w:t>
      </w:r>
      <w:r w:rsidRPr="00335E4B">
        <w:rPr>
          <w:rFonts w:cs="Traditional Arabic"/>
          <w:sz w:val="20"/>
          <w:szCs w:val="30"/>
          <w:rtl/>
        </w:rPr>
        <w:t xml:space="preserve"> وتشمل توصيات التنفيذ ما يلي</w:t>
      </w:r>
      <w:r w:rsidRPr="00335E4B">
        <w:rPr>
          <w:rFonts w:cs="Traditional Arabic"/>
          <w:sz w:val="20"/>
          <w:szCs w:val="30"/>
          <w:rtl/>
          <w:lang w:val="en-GB" w:bidi="ar-EG"/>
        </w:rPr>
        <w:t>:</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تحقيق التصميم الأمثل للعملية من أجل تقليل انبعاث الغازات الناجمة ومحتوى الملوثات فيها؛ والتصميم للتشغيل المستمر عندما يكون ذلك مجدياً تقنياً واقتصادياً؛</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وتشغيل الأفران وأجهزة التفاعل تحت ضغط سلبي وتطبيق تقنيات مناسبة لتنظيف الغاز على الغازات المستخرجة؛</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وإحكام إغلاق الأفران وأجهزة التفاعل، والتعديل التحديثي للأفران القائمة بأقصى قدر ممكن من الإغلاق المحكم؛</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وتنفيذ رصد المعايير لمنع تكثف غازات الصرف وتآكل الأنابيب بفعل الرطوبة الزائدة؛</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وتنفيذ برنامج لكشف التسرب وإصلاح التسربات حسب الاقتضاء؛</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وتطبيق الإجراءات التصحيحية على أي معدات تنتج عنها كمية كبيرة من الانبعاثات الهاربة.</w:t>
      </w:r>
    </w:p>
    <w:p w:rsidR="00335E4B" w:rsidRPr="00335E4B" w:rsidRDefault="00310FC3" w:rsidP="00DC48E9">
      <w:pPr>
        <w:keepNext/>
        <w:tabs>
          <w:tab w:val="left" w:pos="991"/>
        </w:tabs>
        <w:spacing w:before="120" w:after="120" w:line="400" w:lineRule="exact"/>
        <w:jc w:val="both"/>
        <w:outlineLvl w:val="0"/>
        <w:rPr>
          <w:rFonts w:cs="Traditional Arabic"/>
          <w:b/>
          <w:bCs/>
          <w:sz w:val="20"/>
          <w:szCs w:val="30"/>
          <w:rtl/>
          <w:lang w:bidi="ar-EG"/>
        </w:rPr>
      </w:pPr>
      <w:bookmarkStart w:id="1980" w:name="_Toc433095453"/>
      <w:bookmarkStart w:id="1981" w:name="_Toc434239988"/>
      <w:bookmarkStart w:id="1982" w:name="_Toc440550591"/>
      <w:bookmarkStart w:id="1983" w:name="_Toc441577841"/>
      <w:bookmarkStart w:id="1984" w:name="_Toc441578020"/>
      <w:bookmarkStart w:id="1985" w:name="_Toc441580854"/>
      <w:bookmarkStart w:id="1986" w:name="_Toc441585985"/>
      <w:bookmarkStart w:id="1987" w:name="_Toc441586321"/>
      <w:bookmarkStart w:id="1988" w:name="_Toc441586771"/>
      <w:bookmarkStart w:id="1989" w:name="_Toc441586950"/>
      <w:bookmarkStart w:id="1990" w:name="_Toc441666799"/>
      <w:bookmarkStart w:id="1991" w:name="_Toc441673860"/>
      <w:r>
        <w:rPr>
          <w:rFonts w:cs="Traditional Arabic" w:hint="cs"/>
          <w:b/>
          <w:bCs/>
          <w:sz w:val="20"/>
          <w:szCs w:val="30"/>
          <w:rtl/>
          <w:lang w:bidi="ar-EG"/>
        </w:rPr>
        <w:t>4-2-4</w:t>
      </w:r>
      <w:r w:rsidR="00DC48E9">
        <w:rPr>
          <w:rFonts w:cs="Traditional Arabic" w:hint="cs"/>
          <w:b/>
          <w:bCs/>
          <w:sz w:val="20"/>
          <w:szCs w:val="30"/>
          <w:rtl/>
          <w:lang w:bidi="ar-EG"/>
        </w:rPr>
        <w:tab/>
      </w:r>
      <w:r w:rsidR="00335E4B" w:rsidRPr="00335E4B">
        <w:rPr>
          <w:rFonts w:cs="Traditional Arabic" w:hint="cs"/>
          <w:b/>
          <w:bCs/>
          <w:sz w:val="20"/>
          <w:szCs w:val="30"/>
          <w:rtl/>
          <w:lang w:bidi="ar-EG"/>
        </w:rPr>
        <w:t>ضبط</w:t>
      </w:r>
      <w:r w:rsidR="00335E4B" w:rsidRPr="00335E4B">
        <w:rPr>
          <w:rFonts w:cs="Traditional Arabic"/>
          <w:b/>
          <w:bCs/>
          <w:sz w:val="20"/>
          <w:szCs w:val="30"/>
          <w:rtl/>
          <w:lang w:bidi="ar-EG"/>
        </w:rPr>
        <w:t xml:space="preserve"> المواد الجسيمية</w:t>
      </w:r>
      <w:bookmarkEnd w:id="1980"/>
      <w:bookmarkEnd w:id="1981"/>
      <w:bookmarkEnd w:id="1982"/>
      <w:bookmarkEnd w:id="1983"/>
      <w:bookmarkEnd w:id="1984"/>
      <w:bookmarkEnd w:id="1985"/>
      <w:bookmarkEnd w:id="1986"/>
      <w:bookmarkEnd w:id="1987"/>
      <w:bookmarkEnd w:id="1988"/>
      <w:bookmarkEnd w:id="1989"/>
      <w:bookmarkEnd w:id="1990"/>
      <w:bookmarkEnd w:id="1991"/>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يعد </w:t>
      </w:r>
      <w:r w:rsidRPr="00335E4B">
        <w:rPr>
          <w:rFonts w:cs="Traditional Arabic" w:hint="cs"/>
          <w:sz w:val="20"/>
          <w:szCs w:val="30"/>
          <w:rtl/>
        </w:rPr>
        <w:t xml:space="preserve">ضبط </w:t>
      </w:r>
      <w:r w:rsidRPr="00335E4B">
        <w:rPr>
          <w:rFonts w:cs="Traditional Arabic"/>
          <w:sz w:val="20"/>
          <w:szCs w:val="30"/>
          <w:rtl/>
        </w:rPr>
        <w:t>المواد الجسيمية مهماً لأن المواد الجسيمية تحمل الزئبق المرتبط بالجسيمات</w:t>
      </w:r>
      <w:r w:rsidRPr="00335E4B">
        <w:rPr>
          <w:rFonts w:cs="Traditional Arabic"/>
          <w:sz w:val="20"/>
          <w:szCs w:val="30"/>
          <w:rtl/>
          <w:lang w:val="en-GB" w:bidi="ar-EG"/>
        </w:rPr>
        <w:t>.</w:t>
      </w:r>
      <w:r w:rsidRPr="00335E4B">
        <w:rPr>
          <w:rFonts w:cs="Traditional Arabic"/>
          <w:sz w:val="20"/>
          <w:szCs w:val="30"/>
          <w:rtl/>
        </w:rPr>
        <w:t xml:space="preserve"> وينبغي النظر في أساليب </w:t>
      </w:r>
      <w:r w:rsidRPr="00335E4B">
        <w:rPr>
          <w:rFonts w:cs="Traditional Arabic" w:hint="cs"/>
          <w:sz w:val="20"/>
          <w:szCs w:val="30"/>
          <w:rtl/>
        </w:rPr>
        <w:t>ضبط</w:t>
      </w:r>
      <w:r w:rsidRPr="00335E4B">
        <w:rPr>
          <w:rFonts w:cs="Traditional Arabic"/>
          <w:sz w:val="20"/>
          <w:szCs w:val="30"/>
          <w:rtl/>
        </w:rPr>
        <w:t xml:space="preserve"> المواد الجسيمية أثناء مرحلة التخطيط، كما ينبغي رصد انبعاثاتها</w:t>
      </w:r>
      <w:r w:rsidRPr="00335E4B">
        <w:rPr>
          <w:rFonts w:cs="Traditional Arabic"/>
          <w:sz w:val="20"/>
          <w:szCs w:val="30"/>
          <w:rtl/>
          <w:lang w:val="en-GB" w:bidi="ar-EG"/>
        </w:rPr>
        <w:t>.</w:t>
      </w:r>
      <w:r w:rsidRPr="00335E4B">
        <w:rPr>
          <w:rFonts w:cs="Traditional Arabic"/>
          <w:sz w:val="20"/>
          <w:szCs w:val="30"/>
          <w:rtl/>
        </w:rPr>
        <w:t xml:space="preserve"> وينبغي للمنشآت الصناعية أن تنفذ تحسينات مستمرة في أساليب </w:t>
      </w:r>
      <w:r w:rsidRPr="00335E4B">
        <w:rPr>
          <w:rFonts w:cs="Traditional Arabic" w:hint="cs"/>
          <w:sz w:val="20"/>
          <w:szCs w:val="30"/>
          <w:rtl/>
        </w:rPr>
        <w:t>ضبط</w:t>
      </w:r>
      <w:r w:rsidRPr="00335E4B">
        <w:rPr>
          <w:rFonts w:cs="Traditional Arabic"/>
          <w:sz w:val="20"/>
          <w:szCs w:val="30"/>
          <w:rtl/>
        </w:rPr>
        <w:t xml:space="preserve"> المواد الجسيمية خلال العمليات بما في ذلك ما يلي</w:t>
      </w:r>
      <w:r w:rsidRPr="00335E4B">
        <w:rPr>
          <w:rFonts w:cs="Traditional Arabic"/>
          <w:sz w:val="20"/>
          <w:szCs w:val="30"/>
          <w:rtl/>
          <w:lang w:val="en-GB" w:bidi="ar-EG"/>
        </w:rPr>
        <w:t>:</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 xml:space="preserve">تحديد المصادر المحتملة للمواد الجسيمية وفحصها بانتظام؛ </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واستخدام نظم انتزاع الغبار المجهزة بضوابط مناسبة للجسيمات من أجل إزالة الجسيمات من مناطق العمل والمباني؛</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واستخدام حيزات الضغط السلبي على الوحدات التي تولد مواد جسيمية من أجل منع فيضان الغازات الحاملة للجسيمات؛</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وتركيب حاويات المرشحات الكيسية المؤلفة من أكثر من حجرة لإتاحة الفحص والصيانة خلال العمليات؛</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وصيانة أداء حاويات المرشحات الكيسية عن طريق الفحص والاستبدال الدوري لأكياس الترشيح.</w:t>
      </w:r>
    </w:p>
    <w:p w:rsidR="00335E4B" w:rsidRPr="00335E4B" w:rsidRDefault="00310FC3" w:rsidP="005800D5">
      <w:pPr>
        <w:keepNext/>
        <w:tabs>
          <w:tab w:val="left" w:pos="991"/>
        </w:tabs>
        <w:spacing w:before="120" w:after="120" w:line="400" w:lineRule="exact"/>
        <w:jc w:val="both"/>
        <w:outlineLvl w:val="0"/>
        <w:rPr>
          <w:rFonts w:cs="Traditional Arabic"/>
          <w:b/>
          <w:bCs/>
          <w:sz w:val="20"/>
          <w:szCs w:val="30"/>
          <w:rtl/>
          <w:lang w:bidi="ar-EG"/>
        </w:rPr>
      </w:pPr>
      <w:bookmarkStart w:id="1992" w:name="_Toc440550592"/>
      <w:bookmarkStart w:id="1993" w:name="_Toc441577842"/>
      <w:bookmarkStart w:id="1994" w:name="_Toc441578021"/>
      <w:bookmarkStart w:id="1995" w:name="_Toc441580855"/>
      <w:bookmarkStart w:id="1996" w:name="_Toc441585986"/>
      <w:bookmarkStart w:id="1997" w:name="_Toc441586322"/>
      <w:bookmarkStart w:id="1998" w:name="_Toc441586772"/>
      <w:bookmarkStart w:id="1999" w:name="_Toc441586951"/>
      <w:bookmarkStart w:id="2000" w:name="_Toc441666800"/>
      <w:bookmarkStart w:id="2001" w:name="_Toc441673861"/>
      <w:bookmarkStart w:id="2002" w:name="_Toc433095454"/>
      <w:bookmarkStart w:id="2003" w:name="_Toc434239989"/>
      <w:r>
        <w:rPr>
          <w:rFonts w:cs="Traditional Arabic" w:hint="cs"/>
          <w:b/>
          <w:bCs/>
          <w:sz w:val="20"/>
          <w:szCs w:val="30"/>
          <w:rtl/>
          <w:lang w:bidi="ar-EG"/>
        </w:rPr>
        <w:t>4</w:t>
      </w:r>
      <w:r w:rsidR="00C416FB">
        <w:rPr>
          <w:rFonts w:cs="Traditional Arabic" w:hint="cs"/>
          <w:b/>
          <w:bCs/>
          <w:sz w:val="20"/>
          <w:szCs w:val="30"/>
          <w:rtl/>
          <w:lang w:bidi="ar-EG"/>
        </w:rPr>
        <w:t>-2-5</w:t>
      </w:r>
      <w:r w:rsidR="00C416FB">
        <w:rPr>
          <w:rFonts w:cs="Traditional Arabic" w:hint="cs"/>
          <w:b/>
          <w:bCs/>
          <w:sz w:val="20"/>
          <w:szCs w:val="30"/>
          <w:rtl/>
          <w:lang w:bidi="ar-EG"/>
        </w:rPr>
        <w:tab/>
      </w:r>
      <w:r w:rsidR="00335E4B" w:rsidRPr="00335E4B">
        <w:rPr>
          <w:rFonts w:cs="Traditional Arabic"/>
          <w:b/>
          <w:bCs/>
          <w:sz w:val="20"/>
          <w:szCs w:val="30"/>
          <w:rtl/>
          <w:lang w:bidi="ar-EG"/>
        </w:rPr>
        <w:t xml:space="preserve">إدارة النفايات الناتجة عن </w:t>
      </w:r>
      <w:r w:rsidR="00335E4B" w:rsidRPr="00335E4B">
        <w:rPr>
          <w:rFonts w:cs="Traditional Arabic" w:hint="cs"/>
          <w:b/>
          <w:bCs/>
          <w:sz w:val="20"/>
          <w:szCs w:val="30"/>
          <w:rtl/>
          <w:lang w:bidi="ar-EG"/>
        </w:rPr>
        <w:t xml:space="preserve">ضبط </w:t>
      </w:r>
      <w:r w:rsidR="00335E4B" w:rsidRPr="00335E4B">
        <w:rPr>
          <w:rFonts w:cs="Traditional Arabic"/>
          <w:b/>
          <w:bCs/>
          <w:sz w:val="20"/>
          <w:szCs w:val="30"/>
          <w:rtl/>
          <w:lang w:bidi="ar-EG"/>
        </w:rPr>
        <w:t>تلوث الهواء والتخلص منها على نحو سليم بيئياً</w:t>
      </w:r>
      <w:bookmarkEnd w:id="1992"/>
      <w:bookmarkEnd w:id="1993"/>
      <w:bookmarkEnd w:id="1994"/>
      <w:bookmarkEnd w:id="1995"/>
      <w:bookmarkEnd w:id="1996"/>
      <w:bookmarkEnd w:id="1997"/>
      <w:bookmarkEnd w:id="1998"/>
      <w:bookmarkEnd w:id="1999"/>
      <w:bookmarkEnd w:id="2000"/>
      <w:bookmarkEnd w:id="2001"/>
      <w:bookmarkEnd w:id="2002"/>
      <w:bookmarkEnd w:id="2003"/>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من أجل منع الانبعاثات غير الضرورية، ينبغي أن تستخدم المنشآت الصناعية النُهج التالية من أجل إدارة البقايا المتولدة من أجهزة </w:t>
      </w:r>
      <w:r w:rsidRPr="00335E4B">
        <w:rPr>
          <w:rFonts w:cs="Traditional Arabic" w:hint="cs"/>
          <w:sz w:val="20"/>
          <w:szCs w:val="30"/>
          <w:rtl/>
        </w:rPr>
        <w:t xml:space="preserve">ضبط </w:t>
      </w:r>
      <w:r w:rsidRPr="00335E4B">
        <w:rPr>
          <w:rFonts w:cs="Traditional Arabic"/>
          <w:sz w:val="20"/>
          <w:szCs w:val="30"/>
          <w:rtl/>
        </w:rPr>
        <w:t>تلوث الهواء والتخلص منها على النحو المناسب</w:t>
      </w:r>
      <w:r w:rsidRPr="00335E4B">
        <w:rPr>
          <w:rFonts w:cs="Traditional Arabic"/>
          <w:sz w:val="20"/>
          <w:szCs w:val="30"/>
          <w:rtl/>
          <w:lang w:val="en-GB" w:bidi="ar-EG"/>
        </w:rPr>
        <w:t>:</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 xml:space="preserve">التخزين والنقل السليم لنفايات الزئبق الناجمة عن أجهزة </w:t>
      </w:r>
      <w:r w:rsidRPr="00335E4B">
        <w:rPr>
          <w:rFonts w:cs="Traditional Arabic" w:hint="cs"/>
          <w:sz w:val="20"/>
          <w:szCs w:val="30"/>
          <w:rtl/>
        </w:rPr>
        <w:t>ضبط</w:t>
      </w:r>
      <w:r w:rsidRPr="00335E4B">
        <w:rPr>
          <w:rFonts w:cs="Traditional Arabic"/>
          <w:sz w:val="20"/>
          <w:szCs w:val="30"/>
          <w:rtl/>
        </w:rPr>
        <w:t xml:space="preserve"> تلوث الهواء (مثلاً الزئبق النقي السائل المستعاد من المعوجات أو كلوريد الزئبق (أحادي التكافؤ) الناتج من عملية بوليدين-نورزينك)؛</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tl/>
        </w:rPr>
      </w:pPr>
      <w:r w:rsidRPr="00335E4B">
        <w:rPr>
          <w:rFonts w:cs="Traditional Arabic"/>
          <w:sz w:val="20"/>
          <w:szCs w:val="30"/>
          <w:rtl/>
        </w:rPr>
        <w:t>وعدم التجارة في الزئبق إلا على نحو يتوافق مع المادة 3 من الاتفاقية؛</w:t>
      </w:r>
    </w:p>
    <w:p w:rsidR="00335E4B" w:rsidRPr="00335E4B" w:rsidRDefault="00335E4B" w:rsidP="00335E4B">
      <w:pPr>
        <w:numPr>
          <w:ilvl w:val="0"/>
          <w:numId w:val="19"/>
        </w:numPr>
        <w:tabs>
          <w:tab w:val="center" w:pos="1132"/>
        </w:tabs>
        <w:spacing w:after="120" w:line="400" w:lineRule="exact"/>
        <w:ind w:left="1132" w:hanging="567"/>
        <w:jc w:val="both"/>
        <w:rPr>
          <w:rFonts w:cs="Traditional Arabic"/>
          <w:sz w:val="20"/>
          <w:szCs w:val="30"/>
        </w:rPr>
      </w:pPr>
      <w:r w:rsidRPr="00335E4B">
        <w:rPr>
          <w:rFonts w:cs="Traditional Arabic"/>
          <w:sz w:val="20"/>
          <w:szCs w:val="30"/>
          <w:rtl/>
        </w:rPr>
        <w:t>والتخلص من نفايات الزئبق على نحو يتفق مع المواد الأخرى ذات الصلة من الاتفاقية</w:t>
      </w:r>
      <w:r w:rsidRPr="00335E4B">
        <w:rPr>
          <w:rFonts w:cs="Traditional Arabic" w:hint="cs"/>
          <w:sz w:val="20"/>
          <w:szCs w:val="30"/>
          <w:rtl/>
        </w:rPr>
        <w:t>.</w:t>
      </w:r>
    </w:p>
    <w:p w:rsidR="00310FC3" w:rsidRDefault="00310FC3">
      <w:pPr>
        <w:bidi w:val="0"/>
        <w:rPr>
          <w:rFonts w:cs="Traditional Arabic"/>
          <w:b/>
          <w:bCs/>
          <w:sz w:val="32"/>
          <w:szCs w:val="32"/>
          <w:rtl/>
          <w:lang w:bidi="ar-EG"/>
        </w:rPr>
      </w:pPr>
      <w:bookmarkStart w:id="2004" w:name="_Toc433095455"/>
      <w:bookmarkStart w:id="2005" w:name="_Toc434239990"/>
      <w:bookmarkStart w:id="2006" w:name="_Toc440550593"/>
      <w:bookmarkStart w:id="2007" w:name="_Toc441577843"/>
      <w:bookmarkStart w:id="2008" w:name="_Toc441578022"/>
      <w:bookmarkStart w:id="2009" w:name="_Toc441580856"/>
      <w:bookmarkStart w:id="2010" w:name="_Toc441585987"/>
      <w:bookmarkStart w:id="2011" w:name="_Toc441586323"/>
      <w:bookmarkStart w:id="2012" w:name="_Toc441586773"/>
      <w:bookmarkStart w:id="2013" w:name="_Toc441586952"/>
      <w:bookmarkStart w:id="2014" w:name="_Toc441666801"/>
      <w:bookmarkStart w:id="2015" w:name="_Toc441673862"/>
      <w:r>
        <w:rPr>
          <w:rFonts w:cs="Traditional Arabic"/>
          <w:b/>
          <w:bCs/>
          <w:sz w:val="32"/>
          <w:szCs w:val="32"/>
          <w:rtl/>
          <w:lang w:bidi="ar-EG"/>
        </w:rPr>
        <w:br w:type="page"/>
      </w:r>
    </w:p>
    <w:p w:rsidR="00335E4B" w:rsidRPr="00335E4B" w:rsidRDefault="00310FC3" w:rsidP="00820974">
      <w:pPr>
        <w:keepNext/>
        <w:tabs>
          <w:tab w:val="left" w:pos="565"/>
        </w:tabs>
        <w:spacing w:after="120" w:line="400" w:lineRule="exact"/>
        <w:jc w:val="both"/>
        <w:outlineLvl w:val="0"/>
        <w:rPr>
          <w:rFonts w:cs="Traditional Arabic"/>
          <w:b/>
          <w:bCs/>
          <w:sz w:val="32"/>
          <w:szCs w:val="32"/>
          <w:rtl/>
          <w:lang w:bidi="ar-EG"/>
        </w:rPr>
      </w:pPr>
      <w:r>
        <w:rPr>
          <w:rFonts w:cs="Traditional Arabic" w:hint="cs"/>
          <w:b/>
          <w:bCs/>
          <w:sz w:val="32"/>
          <w:szCs w:val="32"/>
          <w:rtl/>
          <w:lang w:bidi="ar-EG"/>
        </w:rPr>
        <w:t>5</w:t>
      </w:r>
      <w:r w:rsidR="00F157CD">
        <w:rPr>
          <w:rFonts w:cs="Traditional Arabic" w:hint="cs"/>
          <w:b/>
          <w:bCs/>
          <w:sz w:val="32"/>
          <w:szCs w:val="32"/>
          <w:rtl/>
          <w:lang w:bidi="ar-EG"/>
        </w:rPr>
        <w:t xml:space="preserve"> </w:t>
      </w:r>
      <w:r w:rsidR="00C416FB">
        <w:rPr>
          <w:rFonts w:cs="Traditional Arabic" w:hint="cs"/>
          <w:b/>
          <w:bCs/>
          <w:sz w:val="32"/>
          <w:szCs w:val="32"/>
          <w:rtl/>
          <w:lang w:bidi="ar-EG"/>
        </w:rPr>
        <w:t>-</w:t>
      </w:r>
      <w:r w:rsidR="00C416FB">
        <w:rPr>
          <w:rFonts w:cs="Traditional Arabic" w:hint="cs"/>
          <w:b/>
          <w:bCs/>
          <w:sz w:val="32"/>
          <w:szCs w:val="32"/>
          <w:rtl/>
          <w:lang w:bidi="ar-EG"/>
        </w:rPr>
        <w:tab/>
      </w:r>
      <w:r w:rsidR="00335E4B" w:rsidRPr="00335E4B">
        <w:rPr>
          <w:rFonts w:cs="Traditional Arabic"/>
          <w:b/>
          <w:bCs/>
          <w:sz w:val="32"/>
          <w:szCs w:val="32"/>
          <w:rtl/>
          <w:lang w:bidi="ar-EG"/>
        </w:rPr>
        <w:t>رصد الزئبق في عمليات الصهر والتحميص المستخدمة في إنتاج المعادن غير الحديدية</w:t>
      </w:r>
      <w:bookmarkEnd w:id="2004"/>
      <w:bookmarkEnd w:id="2005"/>
      <w:bookmarkEnd w:id="2006"/>
      <w:bookmarkEnd w:id="2007"/>
      <w:bookmarkEnd w:id="2008"/>
      <w:bookmarkEnd w:id="2009"/>
      <w:bookmarkEnd w:id="2010"/>
      <w:bookmarkEnd w:id="2011"/>
      <w:bookmarkEnd w:id="2012"/>
      <w:bookmarkEnd w:id="2013"/>
      <w:bookmarkEnd w:id="2014"/>
      <w:bookmarkEnd w:id="2015"/>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تناقش الجوانب العامة والشاملة للفحص والرصد والإبلاغ في الفصل التمهيدي من هذه الوثيقة</w:t>
      </w:r>
      <w:r w:rsidRPr="00335E4B">
        <w:rPr>
          <w:rFonts w:cs="Traditional Arabic"/>
          <w:sz w:val="20"/>
          <w:szCs w:val="30"/>
          <w:rtl/>
          <w:lang w:val="en-GB" w:bidi="ar-EG"/>
        </w:rPr>
        <w:t>.</w:t>
      </w:r>
      <w:r w:rsidRPr="00335E4B">
        <w:rPr>
          <w:rFonts w:cs="Traditional Arabic"/>
          <w:sz w:val="20"/>
          <w:szCs w:val="30"/>
          <w:rtl/>
        </w:rPr>
        <w:t xml:space="preserve"> وستجري في هذا القسم مناقشة الجوانب المحددة لرصد انبعاثات الزئبق التي تكون مركزية </w:t>
      </w:r>
      <w:r w:rsidRPr="00335E4B">
        <w:rPr>
          <w:rFonts w:cs="Traditional Arabic" w:hint="cs"/>
          <w:sz w:val="20"/>
          <w:szCs w:val="30"/>
          <w:rtl/>
        </w:rPr>
        <w:t>بالنسبة ل</w:t>
      </w:r>
      <w:r w:rsidRPr="00335E4B">
        <w:rPr>
          <w:rFonts w:cs="Traditional Arabic"/>
          <w:sz w:val="20"/>
          <w:szCs w:val="30"/>
          <w:rtl/>
        </w:rPr>
        <w:t>عمليات تصنيع المعادن غير الحديدية</w:t>
      </w:r>
      <w:r w:rsidRPr="00335E4B">
        <w:rPr>
          <w:rFonts w:cs="Traditional Arabic"/>
          <w:sz w:val="20"/>
          <w:szCs w:val="30"/>
          <w:rtl/>
          <w:lang w:val="en-GB"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وفي قطاع صهر وتحميص المعادن غير الحديدية، تشمل مواد المدخلات التي قد تحتوي على الزئبق المركَّزات والعوامل الصهورة والوقود</w:t>
      </w:r>
      <w:r w:rsidRPr="00335E4B">
        <w:rPr>
          <w:rFonts w:cs="Traditional Arabic"/>
          <w:sz w:val="20"/>
          <w:szCs w:val="30"/>
          <w:rtl/>
          <w:lang w:val="en-GB" w:bidi="ar-EG"/>
        </w:rPr>
        <w:t>.</w:t>
      </w:r>
      <w:r w:rsidRPr="00335E4B">
        <w:rPr>
          <w:rFonts w:cs="Traditional Arabic"/>
          <w:sz w:val="20"/>
          <w:szCs w:val="30"/>
          <w:rtl/>
        </w:rPr>
        <w:t xml:space="preserve"> وبالإضافة إلى المعادن المصنَّعة، قد تشمل مسارات الإنتاج مساحيق المعادن، والمركبات المعدنية، وحمض الكبريتيك، والأسمدة</w:t>
      </w:r>
      <w:r w:rsidRPr="00335E4B">
        <w:rPr>
          <w:rFonts w:cs="Traditional Arabic"/>
          <w:sz w:val="20"/>
          <w:szCs w:val="30"/>
          <w:rtl/>
          <w:lang w:val="en-GB" w:bidi="ar-EG"/>
        </w:rPr>
        <w:t>.</w:t>
      </w:r>
      <w:r w:rsidRPr="00335E4B">
        <w:rPr>
          <w:rFonts w:cs="Traditional Arabic"/>
          <w:sz w:val="20"/>
          <w:szCs w:val="30"/>
          <w:rtl/>
        </w:rPr>
        <w:t xml:space="preserve"> وقد تشمل مسارات الإنتاج الثانوية أنواع الخبث، والكالوميل (كلوريد الزئبق (أحادي التكافؤ)</w:t>
      </w:r>
      <w:r w:rsidRPr="00335E4B">
        <w:rPr>
          <w:rFonts w:cs="Traditional Arabic"/>
          <w:sz w:val="20"/>
          <w:szCs w:val="30"/>
          <w:rtl/>
          <w:lang w:val="en-GB" w:bidi="ar-EG"/>
        </w:rPr>
        <w:t xml:space="preserve"> </w:t>
      </w:r>
      <w:r w:rsidRPr="00335E4B">
        <w:rPr>
          <w:rFonts w:cs="Traditional Arabic"/>
          <w:sz w:val="20"/>
          <w:szCs w:val="30"/>
          <w:lang w:val="en-GB" w:bidi="ar-EG"/>
        </w:rPr>
        <w:t>Hg</w:t>
      </w:r>
      <w:r w:rsidRPr="00335E4B">
        <w:rPr>
          <w:rFonts w:cs="Traditional Arabic"/>
          <w:sz w:val="20"/>
          <w:szCs w:val="30"/>
          <w:vertAlign w:val="subscript"/>
          <w:lang w:val="en-GB" w:bidi="ar-EG"/>
        </w:rPr>
        <w:t>2</w:t>
      </w:r>
      <w:r w:rsidRPr="00335E4B">
        <w:rPr>
          <w:rFonts w:cs="Traditional Arabic"/>
          <w:sz w:val="20"/>
          <w:szCs w:val="30"/>
          <w:lang w:val="en-GB" w:bidi="ar-EG"/>
        </w:rPr>
        <w:t>Cl</w:t>
      </w:r>
      <w:r w:rsidRPr="00335E4B">
        <w:rPr>
          <w:rFonts w:cs="Traditional Arabic"/>
          <w:sz w:val="20"/>
          <w:szCs w:val="30"/>
          <w:vertAlign w:val="subscript"/>
          <w:lang w:val="en-GB" w:bidi="ar-EG"/>
        </w:rPr>
        <w:t>2</w:t>
      </w:r>
      <w:r w:rsidRPr="00335E4B">
        <w:rPr>
          <w:rFonts w:cs="Traditional Arabic"/>
          <w:sz w:val="20"/>
          <w:szCs w:val="30"/>
          <w:rtl/>
        </w:rPr>
        <w:t>)، وقد تشمل مسارات النفايات أنواع الخبث والكالوميل والحمأة والترسبات الناتجة عن معدات التحكم بالتلوث</w:t>
      </w:r>
      <w:r w:rsidRPr="00335E4B">
        <w:rPr>
          <w:rFonts w:cs="Traditional Arabic"/>
          <w:sz w:val="20"/>
          <w:szCs w:val="30"/>
          <w:rtl/>
          <w:lang w:val="en-GB"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ويمكن أن تتفاوت انبعاثات الزئبق بدرجة كبيرة في </w:t>
      </w:r>
      <w:r w:rsidRPr="00335E4B">
        <w:rPr>
          <w:rFonts w:cs="Traditional Arabic" w:hint="cs"/>
          <w:sz w:val="20"/>
          <w:szCs w:val="30"/>
          <w:rtl/>
        </w:rPr>
        <w:t>المنشأة</w:t>
      </w:r>
      <w:r w:rsidRPr="00335E4B">
        <w:rPr>
          <w:rFonts w:cs="Traditional Arabic"/>
          <w:sz w:val="20"/>
          <w:szCs w:val="30"/>
          <w:rtl/>
        </w:rPr>
        <w:t xml:space="preserve"> الواحد</w:t>
      </w:r>
      <w:r w:rsidRPr="00335E4B">
        <w:rPr>
          <w:rFonts w:cs="Traditional Arabic" w:hint="cs"/>
          <w:sz w:val="20"/>
          <w:szCs w:val="30"/>
          <w:rtl/>
        </w:rPr>
        <w:t>ة</w:t>
      </w:r>
      <w:r w:rsidRPr="00335E4B">
        <w:rPr>
          <w:rFonts w:cs="Traditional Arabic"/>
          <w:sz w:val="20"/>
          <w:szCs w:val="30"/>
          <w:rtl/>
        </w:rPr>
        <w:t xml:space="preserve"> بمرور الزمن أو بين </w:t>
      </w:r>
      <w:r w:rsidRPr="00335E4B">
        <w:rPr>
          <w:rFonts w:cs="Traditional Arabic" w:hint="cs"/>
          <w:sz w:val="20"/>
          <w:szCs w:val="30"/>
          <w:rtl/>
        </w:rPr>
        <w:t>المنشآت</w:t>
      </w:r>
      <w:r w:rsidRPr="00335E4B">
        <w:rPr>
          <w:rFonts w:cs="Traditional Arabic"/>
          <w:sz w:val="20"/>
          <w:szCs w:val="30"/>
          <w:rtl/>
        </w:rPr>
        <w:t xml:space="preserve"> المختلفة التي تقوم بعمليات متماثلة، وذلك بسبب تباين محتوى الزئبق في المواد الداخلة في العملية</w:t>
      </w:r>
      <w:r w:rsidRPr="00335E4B">
        <w:rPr>
          <w:rFonts w:cs="Traditional Arabic"/>
          <w:sz w:val="20"/>
          <w:szCs w:val="30"/>
          <w:rtl/>
          <w:lang w:val="en-GB" w:bidi="ar-EG"/>
        </w:rPr>
        <w:t>.</w:t>
      </w:r>
      <w:r w:rsidRPr="00335E4B">
        <w:rPr>
          <w:rFonts w:cs="Traditional Arabic"/>
          <w:sz w:val="20"/>
          <w:szCs w:val="30"/>
          <w:rtl/>
        </w:rPr>
        <w:t xml:space="preserve"> وقد تتغير تركيزات الزئبق بسرعة في المركَّزات أو الوقود أو المدخلات الأخرى مثل الخردة المعدنية</w:t>
      </w:r>
      <w:r w:rsidRPr="00335E4B">
        <w:rPr>
          <w:rFonts w:cs="Traditional Arabic"/>
          <w:sz w:val="20"/>
          <w:szCs w:val="30"/>
          <w:rtl/>
          <w:lang w:val="en-GB" w:bidi="ar-EG"/>
        </w:rPr>
        <w:t>.</w:t>
      </w:r>
      <w:r w:rsidRPr="00335E4B">
        <w:rPr>
          <w:rFonts w:cs="Traditional Arabic"/>
          <w:sz w:val="20"/>
          <w:szCs w:val="30"/>
          <w:rtl/>
        </w:rPr>
        <w:t xml:space="preserve"> وعند إجراء عمليات أخذ العينات، يجب توخي الحرص، قدر الإمكان، من أجل ضمان تنفيذ هذه العملية في حالة مستقرة ممثلة لظروف التشغيل العادية، أن تكون تركيزات الزئبق في مسار المدخلات ممثلة لمدخلات التلقيم العادية، وأنه يجري تقليل الانبعاثات الهاربة إلى أدنى حد ممكن</w:t>
      </w:r>
      <w:r w:rsidRPr="00335E4B">
        <w:rPr>
          <w:rFonts w:cs="Traditional Arabic"/>
          <w:sz w:val="20"/>
          <w:szCs w:val="30"/>
          <w:rtl/>
          <w:lang w:val="en-GB" w:bidi="ar-EG"/>
        </w:rPr>
        <w:t>.</w:t>
      </w:r>
      <w:r w:rsidRPr="00335E4B">
        <w:rPr>
          <w:rFonts w:cs="Traditional Arabic"/>
          <w:sz w:val="20"/>
          <w:szCs w:val="30"/>
          <w:rtl/>
        </w:rPr>
        <w:t xml:space="preserve"> فإذا كانت ظروف التشغيل غير نمطية، قد يعطي استقراء أخذ العينات نتائج تحتوي على هامش خطأ كبير</w:t>
      </w:r>
      <w:r w:rsidRPr="00335E4B">
        <w:rPr>
          <w:rFonts w:cs="Traditional Arabic"/>
          <w:sz w:val="20"/>
          <w:szCs w:val="30"/>
          <w:rtl/>
          <w:lang w:val="en-GB"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ونظراً لتنوع العمليات المستخدمة في قطاع صهر وتحميص الفلزات غير الحديدية، يمكن أن توجد تباينات كبيرة في العمليات، حتى فيما بين المرافق التي تقوم بتصنيع نفس المنتجات المعدنية</w:t>
      </w:r>
      <w:r w:rsidRPr="00335E4B">
        <w:rPr>
          <w:rFonts w:cs="Traditional Arabic"/>
          <w:sz w:val="20"/>
          <w:szCs w:val="30"/>
          <w:rtl/>
          <w:lang w:val="en-GB" w:bidi="ar-EG"/>
        </w:rPr>
        <w:t>.</w:t>
      </w:r>
      <w:r w:rsidRPr="00335E4B">
        <w:rPr>
          <w:rFonts w:cs="Traditional Arabic"/>
          <w:sz w:val="20"/>
          <w:szCs w:val="30"/>
          <w:rtl/>
        </w:rPr>
        <w:t xml:space="preserve"> وينبغي أن تؤخذ الخصائص المحددة لكل موقع في الاعتبار عند اختيار أنسب طريقة للرصد وعند التخطيط لحملة أخذ العينات</w:t>
      </w:r>
      <w:r w:rsidRPr="00335E4B">
        <w:rPr>
          <w:rFonts w:cs="Traditional Arabic"/>
          <w:sz w:val="20"/>
          <w:szCs w:val="30"/>
          <w:rtl/>
          <w:lang w:val="en-GB" w:bidi="ar-EG"/>
        </w:rPr>
        <w:t>.</w:t>
      </w:r>
      <w:r w:rsidRPr="00335E4B">
        <w:rPr>
          <w:rFonts w:cs="Traditional Arabic"/>
          <w:sz w:val="20"/>
          <w:szCs w:val="30"/>
          <w:rtl/>
        </w:rPr>
        <w:t xml:space="preserve"> وبالإضافة إلى جمع البيانات المتعلقة بانبعاثات الزئبق، يوصى أيضاً بتوثيق معدلات إنتاج المعدن لإتاحة حساب انبعاثات الزئبق لكل طن من المعدن</w:t>
      </w:r>
      <w:r w:rsidRPr="00335E4B">
        <w:rPr>
          <w:rFonts w:cs="Traditional Arabic"/>
          <w:sz w:val="20"/>
          <w:szCs w:val="30"/>
          <w:rtl/>
          <w:lang w:val="en-GB" w:bidi="ar-EG"/>
        </w:rPr>
        <w:t>.</w:t>
      </w:r>
    </w:p>
    <w:p w:rsidR="00335E4B" w:rsidRPr="00335E4B" w:rsidRDefault="00310FC3" w:rsidP="009D321A">
      <w:pPr>
        <w:keepNext/>
        <w:tabs>
          <w:tab w:val="left" w:pos="991"/>
        </w:tabs>
        <w:spacing w:before="120" w:after="120" w:line="400" w:lineRule="exact"/>
        <w:ind w:left="-2" w:firstLine="2"/>
        <w:jc w:val="both"/>
        <w:outlineLvl w:val="0"/>
        <w:rPr>
          <w:rFonts w:cs="Traditional Arabic"/>
          <w:b/>
          <w:bCs/>
          <w:sz w:val="20"/>
          <w:szCs w:val="30"/>
          <w:rtl/>
          <w:lang w:bidi="ar-EG"/>
        </w:rPr>
      </w:pPr>
      <w:bookmarkStart w:id="2016" w:name="_Toc440550594"/>
      <w:bookmarkStart w:id="2017" w:name="_Toc441577844"/>
      <w:bookmarkStart w:id="2018" w:name="_Toc441578023"/>
      <w:bookmarkStart w:id="2019" w:name="_Toc441580857"/>
      <w:bookmarkStart w:id="2020" w:name="_Toc441585988"/>
      <w:bookmarkStart w:id="2021" w:name="_Toc441586324"/>
      <w:bookmarkStart w:id="2022" w:name="_Toc441586774"/>
      <w:bookmarkStart w:id="2023" w:name="_Toc441586953"/>
      <w:bookmarkStart w:id="2024" w:name="_Toc441666802"/>
      <w:bookmarkStart w:id="2025" w:name="_Toc441673863"/>
      <w:bookmarkStart w:id="2026" w:name="_Toc433095456"/>
      <w:bookmarkStart w:id="2027" w:name="_Toc434239991"/>
      <w:r>
        <w:rPr>
          <w:rFonts w:cs="Traditional Arabic" w:hint="cs"/>
          <w:b/>
          <w:bCs/>
          <w:sz w:val="20"/>
          <w:szCs w:val="30"/>
          <w:rtl/>
          <w:lang w:bidi="ar-EG"/>
        </w:rPr>
        <w:t>5</w:t>
      </w:r>
      <w:r w:rsidR="009D321A">
        <w:rPr>
          <w:rFonts w:cs="Traditional Arabic" w:hint="cs"/>
          <w:b/>
          <w:bCs/>
          <w:sz w:val="20"/>
          <w:szCs w:val="30"/>
          <w:rtl/>
          <w:lang w:bidi="ar-EG"/>
        </w:rPr>
        <w:t>-1</w:t>
      </w:r>
      <w:r w:rsidR="009D321A">
        <w:rPr>
          <w:rFonts w:cs="Traditional Arabic" w:hint="cs"/>
          <w:b/>
          <w:bCs/>
          <w:sz w:val="20"/>
          <w:szCs w:val="30"/>
          <w:rtl/>
          <w:lang w:bidi="ar-EG"/>
        </w:rPr>
        <w:tab/>
      </w:r>
      <w:r w:rsidR="00335E4B" w:rsidRPr="00335E4B">
        <w:rPr>
          <w:rFonts w:cs="Traditional Arabic"/>
          <w:b/>
          <w:bCs/>
          <w:sz w:val="20"/>
          <w:szCs w:val="30"/>
          <w:rtl/>
          <w:lang w:bidi="ar-EG"/>
        </w:rPr>
        <w:t>أساليب القياس المباشر</w:t>
      </w:r>
      <w:bookmarkEnd w:id="2016"/>
      <w:bookmarkEnd w:id="2017"/>
      <w:bookmarkEnd w:id="2018"/>
      <w:bookmarkEnd w:id="2019"/>
      <w:bookmarkEnd w:id="2020"/>
      <w:bookmarkEnd w:id="2021"/>
      <w:bookmarkEnd w:id="2022"/>
      <w:bookmarkEnd w:id="2023"/>
      <w:bookmarkEnd w:id="2024"/>
      <w:bookmarkEnd w:id="2025"/>
      <w:bookmarkEnd w:id="2026"/>
      <w:bookmarkEnd w:id="2027"/>
    </w:p>
    <w:p w:rsidR="00335E4B" w:rsidRPr="00335E4B" w:rsidRDefault="00310FC3" w:rsidP="00335E4B">
      <w:pPr>
        <w:keepNext/>
        <w:tabs>
          <w:tab w:val="left" w:pos="991"/>
        </w:tabs>
        <w:spacing w:before="120" w:after="120" w:line="400" w:lineRule="exact"/>
        <w:jc w:val="both"/>
        <w:outlineLvl w:val="0"/>
        <w:rPr>
          <w:rFonts w:cs="Traditional Arabic"/>
          <w:b/>
          <w:bCs/>
          <w:sz w:val="20"/>
          <w:szCs w:val="30"/>
          <w:rtl/>
          <w:lang w:bidi="ar-EG"/>
        </w:rPr>
      </w:pPr>
      <w:bookmarkStart w:id="2028" w:name="_Toc433095457"/>
      <w:bookmarkStart w:id="2029" w:name="_Toc434239992"/>
      <w:bookmarkStart w:id="2030" w:name="_Toc440550595"/>
      <w:bookmarkStart w:id="2031" w:name="_Toc441577845"/>
      <w:bookmarkStart w:id="2032" w:name="_Toc441578024"/>
      <w:bookmarkStart w:id="2033" w:name="_Toc441580858"/>
      <w:bookmarkStart w:id="2034" w:name="_Toc441585989"/>
      <w:bookmarkStart w:id="2035" w:name="_Toc441586325"/>
      <w:bookmarkStart w:id="2036" w:name="_Toc441586775"/>
      <w:bookmarkStart w:id="2037" w:name="_Toc441586954"/>
      <w:bookmarkStart w:id="2038" w:name="_Toc441666803"/>
      <w:bookmarkStart w:id="2039" w:name="_Toc441673864"/>
      <w:r>
        <w:rPr>
          <w:rFonts w:cs="Traditional Arabic" w:hint="cs"/>
          <w:b/>
          <w:bCs/>
          <w:sz w:val="20"/>
          <w:szCs w:val="30"/>
          <w:rtl/>
          <w:lang w:bidi="ar-EG"/>
        </w:rPr>
        <w:t>5</w:t>
      </w:r>
      <w:r w:rsidR="009D321A">
        <w:rPr>
          <w:rFonts w:cs="Traditional Arabic" w:hint="cs"/>
          <w:b/>
          <w:bCs/>
          <w:sz w:val="20"/>
          <w:szCs w:val="30"/>
          <w:rtl/>
          <w:lang w:bidi="ar-EG"/>
        </w:rPr>
        <w:t>-1-1</w:t>
      </w:r>
      <w:r w:rsidR="009D321A">
        <w:rPr>
          <w:rFonts w:cs="Traditional Arabic" w:hint="cs"/>
          <w:b/>
          <w:bCs/>
          <w:sz w:val="20"/>
          <w:szCs w:val="30"/>
          <w:rtl/>
          <w:lang w:bidi="ar-EG"/>
        </w:rPr>
        <w:tab/>
      </w:r>
      <w:r w:rsidR="00335E4B" w:rsidRPr="00335E4B">
        <w:rPr>
          <w:rFonts w:cs="Traditional Arabic"/>
          <w:b/>
          <w:bCs/>
          <w:sz w:val="20"/>
          <w:szCs w:val="30"/>
          <w:rtl/>
          <w:lang w:bidi="ar-EG"/>
        </w:rPr>
        <w:t>أخذ العينات بواسطة جهاز الارتطام</w:t>
      </w:r>
      <w:bookmarkEnd w:id="2028"/>
      <w:bookmarkEnd w:id="2029"/>
      <w:bookmarkEnd w:id="2030"/>
      <w:bookmarkEnd w:id="2031"/>
      <w:bookmarkEnd w:id="2032"/>
      <w:bookmarkEnd w:id="2033"/>
      <w:bookmarkEnd w:id="2034"/>
      <w:bookmarkEnd w:id="2035"/>
      <w:bookmarkEnd w:id="2036"/>
      <w:bookmarkEnd w:id="2037"/>
      <w:bookmarkEnd w:id="2038"/>
      <w:bookmarkEnd w:id="2039"/>
    </w:p>
    <w:p w:rsidR="00335E4B" w:rsidRPr="00335E4B" w:rsidRDefault="00335E4B" w:rsidP="005800D5">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كان أخذ العينات بالارتطام مع مواد كيميائية ولا يزال هو أسلوب أخذ العينات التقليدي المستخدم لقياس تركيزات الزئبق في الغاز ضمن قطاع صهر وتحميص المعادن غير الحديدية</w:t>
      </w:r>
      <w:r w:rsidRPr="00335E4B">
        <w:rPr>
          <w:rFonts w:cs="Traditional Arabic"/>
          <w:sz w:val="20"/>
          <w:szCs w:val="30"/>
          <w:rtl/>
          <w:lang w:val="en-GB" w:bidi="ar-EG"/>
        </w:rPr>
        <w:t>.</w:t>
      </w:r>
      <w:r w:rsidRPr="00335E4B">
        <w:rPr>
          <w:rFonts w:cs="Traditional Arabic"/>
          <w:sz w:val="20"/>
          <w:szCs w:val="30"/>
          <w:rtl/>
        </w:rPr>
        <w:t xml:space="preserve"> ونظرا لتعقيد هذه الطريقة وتكلفتها، يستخدم أخذ العينات بالارتطام على نحو أقل تواتراً، مثلاً فصلياً أو سنوياً</w:t>
      </w:r>
      <w:r w:rsidRPr="00335E4B">
        <w:rPr>
          <w:rFonts w:cs="Traditional Arabic"/>
          <w:sz w:val="20"/>
          <w:szCs w:val="30"/>
          <w:rtl/>
          <w:lang w:val="en-GB" w:bidi="ar-EG"/>
        </w:rPr>
        <w:t>.</w:t>
      </w:r>
      <w:r w:rsidRPr="00335E4B">
        <w:rPr>
          <w:rFonts w:cs="Traditional Arabic"/>
          <w:sz w:val="20"/>
          <w:szCs w:val="30"/>
          <w:rtl/>
        </w:rPr>
        <w:t xml:space="preserve"> وبينما يقدم هذا الأسلوب عادة بيانات موثوقة خلال فترة أخذ العينات، فقد لا</w:t>
      </w:r>
      <w:r w:rsidR="005800D5">
        <w:rPr>
          <w:rFonts w:cs="Traditional Arabic" w:hint="cs"/>
          <w:sz w:val="20"/>
          <w:szCs w:val="30"/>
          <w:rtl/>
        </w:rPr>
        <w:t> </w:t>
      </w:r>
      <w:r w:rsidRPr="00335E4B">
        <w:rPr>
          <w:rFonts w:cs="Traditional Arabic"/>
          <w:sz w:val="20"/>
          <w:szCs w:val="30"/>
          <w:rtl/>
        </w:rPr>
        <w:t>تكون النتائج ممثلة للواقع إذا كانت تركيزات الزئبق متباينة خلال فترة زمنية قصيرة</w:t>
      </w:r>
      <w:r w:rsidRPr="00335E4B">
        <w:rPr>
          <w:rFonts w:cs="Traditional Arabic"/>
          <w:sz w:val="20"/>
          <w:szCs w:val="30"/>
          <w:rtl/>
          <w:lang w:val="en-GB" w:bidi="ar-EG"/>
        </w:rPr>
        <w:t>.</w:t>
      </w:r>
    </w:p>
    <w:p w:rsidR="00335E4B" w:rsidRPr="00335E4B" w:rsidRDefault="00310FC3" w:rsidP="005800D5">
      <w:pPr>
        <w:keepNext/>
        <w:tabs>
          <w:tab w:val="left" w:pos="991"/>
        </w:tabs>
        <w:spacing w:before="120" w:after="120" w:line="400" w:lineRule="exact"/>
        <w:jc w:val="both"/>
        <w:outlineLvl w:val="0"/>
        <w:rPr>
          <w:rFonts w:cs="Traditional Arabic"/>
          <w:b/>
          <w:bCs/>
          <w:sz w:val="20"/>
          <w:szCs w:val="30"/>
          <w:rtl/>
          <w:lang w:bidi="ar-EG"/>
        </w:rPr>
      </w:pPr>
      <w:bookmarkStart w:id="2040" w:name="_Toc440550596"/>
      <w:bookmarkStart w:id="2041" w:name="_Toc441577846"/>
      <w:bookmarkStart w:id="2042" w:name="_Toc441578025"/>
      <w:bookmarkStart w:id="2043" w:name="_Toc441580859"/>
      <w:bookmarkStart w:id="2044" w:name="_Toc441585990"/>
      <w:bookmarkStart w:id="2045" w:name="_Toc441586326"/>
      <w:bookmarkStart w:id="2046" w:name="_Toc441586776"/>
      <w:bookmarkStart w:id="2047" w:name="_Toc441586955"/>
      <w:bookmarkStart w:id="2048" w:name="_Toc441666804"/>
      <w:bookmarkStart w:id="2049" w:name="_Toc441673865"/>
      <w:bookmarkStart w:id="2050" w:name="_Toc433095458"/>
      <w:bookmarkStart w:id="2051" w:name="_Toc434239993"/>
      <w:r>
        <w:rPr>
          <w:rFonts w:cs="Traditional Arabic" w:hint="cs"/>
          <w:b/>
          <w:bCs/>
          <w:sz w:val="20"/>
          <w:szCs w:val="30"/>
          <w:rtl/>
          <w:lang w:bidi="ar-EG"/>
        </w:rPr>
        <w:t>5</w:t>
      </w:r>
      <w:r w:rsidR="009D321A">
        <w:rPr>
          <w:rFonts w:cs="Traditional Arabic" w:hint="cs"/>
          <w:b/>
          <w:bCs/>
          <w:sz w:val="20"/>
          <w:szCs w:val="30"/>
          <w:rtl/>
          <w:lang w:bidi="ar-EG"/>
        </w:rPr>
        <w:t>-1-2</w:t>
      </w:r>
      <w:r w:rsidR="009D321A">
        <w:rPr>
          <w:rFonts w:cs="Traditional Arabic" w:hint="cs"/>
          <w:b/>
          <w:bCs/>
          <w:sz w:val="20"/>
          <w:szCs w:val="30"/>
          <w:rtl/>
          <w:lang w:bidi="ar-EG"/>
        </w:rPr>
        <w:tab/>
      </w:r>
      <w:r w:rsidR="00335E4B" w:rsidRPr="00335E4B">
        <w:rPr>
          <w:rFonts w:cs="Traditional Arabic"/>
          <w:b/>
          <w:bCs/>
          <w:sz w:val="20"/>
          <w:szCs w:val="30"/>
          <w:rtl/>
          <w:lang w:bidi="ar-EG"/>
        </w:rPr>
        <w:t>مصائد المواد الماصة ونظم الرصد القائمة عليها</w:t>
      </w:r>
      <w:bookmarkEnd w:id="2040"/>
      <w:bookmarkEnd w:id="2041"/>
      <w:bookmarkEnd w:id="2042"/>
      <w:bookmarkEnd w:id="2043"/>
      <w:bookmarkEnd w:id="2044"/>
      <w:bookmarkEnd w:id="2045"/>
      <w:bookmarkEnd w:id="2046"/>
      <w:bookmarkEnd w:id="2047"/>
      <w:bookmarkEnd w:id="2048"/>
      <w:bookmarkEnd w:id="2049"/>
      <w:bookmarkEnd w:id="2050"/>
      <w:bookmarkEnd w:id="2051"/>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في قطاع صهر المعادن غير الحديدية، يمكن أن يستخدم نظام الرصد القائم على المواد الماصة بشكل فعال من أجل تقديم البيانات عن تركيزات الزئبق في غازات العادم خلال فترة من الزمن</w:t>
      </w:r>
      <w:r w:rsidRPr="00335E4B">
        <w:rPr>
          <w:rFonts w:cs="Traditional Arabic"/>
          <w:sz w:val="20"/>
          <w:szCs w:val="30"/>
          <w:rtl/>
          <w:lang w:val="en-GB" w:bidi="ar-EG"/>
        </w:rPr>
        <w:t>.</w:t>
      </w:r>
      <w:r w:rsidRPr="00335E4B">
        <w:rPr>
          <w:rFonts w:cs="Traditional Arabic"/>
          <w:sz w:val="20"/>
          <w:szCs w:val="30"/>
          <w:rtl/>
        </w:rPr>
        <w:t xml:space="preserve"> وعلى الرغم من أن هذه الطريقة لا تقدم النتائج في الوقت الحقيقي، فالبيانات التي يتم الحصول عليها ستشير إلى الأداء التشغيلي خلال الفترة الزمنية المحددة السابقة</w:t>
      </w:r>
      <w:r w:rsidRPr="00335E4B">
        <w:rPr>
          <w:rFonts w:cs="Traditional Arabic"/>
          <w:sz w:val="20"/>
          <w:szCs w:val="30"/>
          <w:rtl/>
          <w:lang w:val="en-GB" w:bidi="ar-EG"/>
        </w:rPr>
        <w:t>.</w:t>
      </w:r>
      <w:r w:rsidRPr="00335E4B">
        <w:rPr>
          <w:rFonts w:cs="Traditional Arabic"/>
          <w:sz w:val="20"/>
          <w:szCs w:val="30"/>
          <w:rtl/>
        </w:rPr>
        <w:t xml:space="preserve"> وبهذا الأسلوب القائم على حلقة </w:t>
      </w:r>
      <w:r w:rsidRPr="00335E4B">
        <w:rPr>
          <w:rFonts w:cs="Traditional Arabic" w:hint="cs"/>
          <w:sz w:val="20"/>
          <w:szCs w:val="30"/>
          <w:rtl/>
        </w:rPr>
        <w:t>التأثيرات</w:t>
      </w:r>
      <w:r w:rsidRPr="00335E4B">
        <w:rPr>
          <w:rFonts w:cs="Traditional Arabic"/>
          <w:sz w:val="20"/>
          <w:szCs w:val="30"/>
          <w:rtl/>
        </w:rPr>
        <w:t xml:space="preserve"> المرتدة، يمكن إجراء التعديلات على العملية حسب الحاجة</w:t>
      </w:r>
      <w:r w:rsidRPr="00335E4B">
        <w:rPr>
          <w:rFonts w:cs="Traditional Arabic"/>
          <w:sz w:val="20"/>
          <w:szCs w:val="30"/>
          <w:rtl/>
          <w:lang w:val="en-GB"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u w:val="single"/>
          <w:rtl/>
        </w:rPr>
      </w:pPr>
      <w:r w:rsidRPr="00335E4B">
        <w:rPr>
          <w:rFonts w:cs="Traditional Arabic"/>
          <w:sz w:val="20"/>
          <w:szCs w:val="30"/>
          <w:rtl/>
        </w:rPr>
        <w:t>ويكون الرصد القائم على مصيدة المادة الماصة فعالاً في تيارات الغاز التي تحتوي على تركيز منخفض من المواد الجسيمية</w:t>
      </w:r>
      <w:r w:rsidRPr="00335E4B">
        <w:rPr>
          <w:rFonts w:cs="Traditional Arabic"/>
          <w:sz w:val="20"/>
          <w:szCs w:val="30"/>
          <w:rtl/>
          <w:lang w:val="en-GB" w:bidi="ar-EG"/>
        </w:rPr>
        <w:t>.</w:t>
      </w:r>
      <w:r w:rsidRPr="00335E4B">
        <w:rPr>
          <w:rFonts w:cs="Traditional Arabic"/>
          <w:sz w:val="20"/>
          <w:szCs w:val="30"/>
          <w:rtl/>
        </w:rPr>
        <w:t xml:space="preserve"> وفي م</w:t>
      </w:r>
      <w:r w:rsidRPr="00335E4B">
        <w:rPr>
          <w:rFonts w:cs="Traditional Arabic" w:hint="cs"/>
          <w:sz w:val="20"/>
          <w:szCs w:val="30"/>
          <w:rtl/>
        </w:rPr>
        <w:t xml:space="preserve">نشأة </w:t>
      </w:r>
      <w:r w:rsidRPr="00335E4B">
        <w:rPr>
          <w:rFonts w:cs="Traditional Arabic"/>
          <w:sz w:val="20"/>
          <w:szCs w:val="30"/>
          <w:rtl/>
        </w:rPr>
        <w:t>لتصنيع المعادن غير الحديدية، تكون المدخنة النهائية عادة هي المكان المناسب لتركيب نظام الرصد القائم على مصيدة المادة الماصة</w:t>
      </w:r>
      <w:r w:rsidRPr="00335E4B">
        <w:rPr>
          <w:rFonts w:cs="Traditional Arabic"/>
          <w:sz w:val="20"/>
          <w:szCs w:val="30"/>
          <w:rtl/>
          <w:lang w:val="en-GB" w:bidi="ar-EG"/>
        </w:rPr>
        <w:t>.</w:t>
      </w:r>
      <w:r w:rsidRPr="00335E4B">
        <w:rPr>
          <w:rFonts w:cs="Traditional Arabic"/>
          <w:sz w:val="20"/>
          <w:szCs w:val="30"/>
          <w:rtl/>
        </w:rPr>
        <w:t xml:space="preserve"> ففي هذه المرحلة، ينبغي أن يحتوي الغاز المنظف الخارج من المدخنة على مستويات منخفضة من الزئبق والمواد الجسيمية والملوثات الأخرى</w:t>
      </w:r>
      <w:r w:rsidRPr="00335E4B">
        <w:rPr>
          <w:rFonts w:cs="Traditional Arabic"/>
          <w:sz w:val="20"/>
          <w:szCs w:val="30"/>
          <w:rtl/>
          <w:lang w:val="en-GB" w:bidi="ar-EG"/>
        </w:rPr>
        <w:t>.</w:t>
      </w:r>
    </w:p>
    <w:p w:rsidR="00335E4B" w:rsidRPr="009D321A" w:rsidRDefault="00335E4B" w:rsidP="00310FC3">
      <w:pPr>
        <w:keepNext/>
        <w:tabs>
          <w:tab w:val="left" w:pos="991"/>
        </w:tabs>
        <w:spacing w:after="120" w:line="400" w:lineRule="exact"/>
        <w:jc w:val="both"/>
        <w:outlineLvl w:val="0"/>
        <w:rPr>
          <w:rFonts w:cs="Traditional Arabic"/>
          <w:b/>
          <w:bCs/>
          <w:sz w:val="20"/>
          <w:szCs w:val="30"/>
          <w:rtl/>
          <w:lang w:bidi="ar-EG"/>
        </w:rPr>
      </w:pPr>
      <w:bookmarkStart w:id="2052" w:name="_Toc433095459"/>
      <w:bookmarkStart w:id="2053" w:name="_Toc434239994"/>
      <w:r w:rsidRPr="009D321A">
        <w:rPr>
          <w:rFonts w:cs="Traditional Arabic"/>
          <w:bCs/>
          <w:sz w:val="20"/>
          <w:szCs w:val="30"/>
          <w:rtl/>
        </w:rPr>
        <w:br w:type="page"/>
      </w:r>
      <w:bookmarkStart w:id="2054" w:name="_Toc440550597"/>
      <w:bookmarkStart w:id="2055" w:name="_Toc441577847"/>
      <w:bookmarkStart w:id="2056" w:name="_Toc441578026"/>
      <w:bookmarkStart w:id="2057" w:name="_Toc441580860"/>
      <w:bookmarkStart w:id="2058" w:name="_Toc441585991"/>
      <w:bookmarkStart w:id="2059" w:name="_Toc441586327"/>
      <w:bookmarkStart w:id="2060" w:name="_Toc441586777"/>
      <w:bookmarkStart w:id="2061" w:name="_Toc441586956"/>
      <w:bookmarkStart w:id="2062" w:name="_Toc441666805"/>
      <w:bookmarkStart w:id="2063" w:name="_Toc441673866"/>
      <w:r w:rsidR="00310FC3">
        <w:rPr>
          <w:rFonts w:cs="Traditional Arabic" w:hint="cs"/>
          <w:bCs/>
          <w:sz w:val="20"/>
          <w:szCs w:val="30"/>
          <w:rtl/>
        </w:rPr>
        <w:t>5</w:t>
      </w:r>
      <w:r w:rsidR="009D321A" w:rsidRPr="009D321A">
        <w:rPr>
          <w:rFonts w:cs="Traditional Arabic" w:hint="cs"/>
          <w:bCs/>
          <w:sz w:val="20"/>
          <w:szCs w:val="30"/>
          <w:rtl/>
        </w:rPr>
        <w:t>-1-3</w:t>
      </w:r>
      <w:r w:rsidR="009D321A" w:rsidRPr="009D321A">
        <w:rPr>
          <w:rFonts w:cs="Traditional Arabic" w:hint="cs"/>
          <w:bCs/>
          <w:sz w:val="20"/>
          <w:szCs w:val="30"/>
          <w:rtl/>
        </w:rPr>
        <w:tab/>
      </w:r>
      <w:r w:rsidRPr="009D321A">
        <w:rPr>
          <w:rFonts w:cs="Traditional Arabic"/>
          <w:b/>
          <w:bCs/>
          <w:sz w:val="20"/>
          <w:szCs w:val="30"/>
          <w:rtl/>
          <w:lang w:bidi="ar-EG"/>
        </w:rPr>
        <w:t>نظم الرصد المستمر للانبعاثات</w:t>
      </w:r>
      <w:bookmarkEnd w:id="2052"/>
      <w:bookmarkEnd w:id="2053"/>
      <w:bookmarkEnd w:id="2054"/>
      <w:bookmarkEnd w:id="2055"/>
      <w:bookmarkEnd w:id="2056"/>
      <w:bookmarkEnd w:id="2057"/>
      <w:bookmarkEnd w:id="2058"/>
      <w:bookmarkEnd w:id="2059"/>
      <w:bookmarkEnd w:id="2060"/>
      <w:bookmarkEnd w:id="2061"/>
      <w:bookmarkEnd w:id="2062"/>
      <w:bookmarkEnd w:id="2063"/>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hint="cs"/>
          <w:sz w:val="20"/>
          <w:szCs w:val="30"/>
          <w:rtl/>
        </w:rPr>
        <w:t xml:space="preserve">لا يجري بعد استخدام </w:t>
      </w:r>
      <w:r w:rsidRPr="00335E4B">
        <w:rPr>
          <w:rFonts w:cs="Traditional Arabic"/>
          <w:sz w:val="20"/>
          <w:szCs w:val="30"/>
          <w:rtl/>
        </w:rPr>
        <w:t>نظم الرصد المستمر للانبعاثات على نطاق واسع في قطاع صهر وتحميص المعادن غير الحديدية</w:t>
      </w:r>
      <w:r w:rsidRPr="00335E4B">
        <w:rPr>
          <w:rFonts w:cs="Traditional Arabic"/>
          <w:sz w:val="20"/>
          <w:szCs w:val="30"/>
          <w:rtl/>
          <w:lang w:val="en-GB" w:bidi="ar-EG"/>
        </w:rPr>
        <w:t>.</w:t>
      </w:r>
      <w:r w:rsidRPr="00335E4B">
        <w:rPr>
          <w:rFonts w:cs="Traditional Arabic"/>
          <w:sz w:val="20"/>
          <w:szCs w:val="30"/>
          <w:rtl/>
        </w:rPr>
        <w:t xml:space="preserve"> ويشيع استخدامها لقياس المستويات المنخفضة من تركيز الزئبق في معدلات تدفق عالية للعادم، مثلما هو الحال في صناعة الطاقة من احتراق الفحم</w:t>
      </w:r>
      <w:r w:rsidRPr="00335E4B">
        <w:rPr>
          <w:rFonts w:cs="Traditional Arabic"/>
          <w:sz w:val="20"/>
          <w:szCs w:val="30"/>
          <w:rtl/>
          <w:lang w:val="en-GB" w:bidi="ar-EG"/>
        </w:rPr>
        <w:t>.</w:t>
      </w:r>
      <w:r w:rsidRPr="00335E4B">
        <w:rPr>
          <w:rFonts w:cs="Traditional Arabic"/>
          <w:sz w:val="20"/>
          <w:szCs w:val="30"/>
          <w:rtl/>
        </w:rPr>
        <w:t xml:space="preserve"> وبالمقارنة، تصدر الكثير من مرافق صهر المعادن غير الحديدية انبعاثات من غازات أكثر تعقيداً من الناحية الكيميائية، مع معدلات تدفق أقل ومستويات أعلى من تركيز الزئبق في تيارات غازية أكثر تعقيداً</w:t>
      </w:r>
      <w:r w:rsidRPr="00335E4B">
        <w:rPr>
          <w:rFonts w:cs="Traditional Arabic"/>
          <w:sz w:val="20"/>
          <w:szCs w:val="30"/>
          <w:rtl/>
          <w:lang w:val="en-GB"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وفي </w:t>
      </w:r>
      <w:r w:rsidRPr="00335E4B">
        <w:rPr>
          <w:rFonts w:cs="Traditional Arabic" w:hint="cs"/>
          <w:sz w:val="20"/>
          <w:szCs w:val="30"/>
          <w:rtl/>
        </w:rPr>
        <w:t>المنشآت</w:t>
      </w:r>
      <w:r w:rsidRPr="00335E4B">
        <w:rPr>
          <w:rFonts w:cs="Traditional Arabic"/>
          <w:sz w:val="20"/>
          <w:szCs w:val="30"/>
          <w:rtl/>
        </w:rPr>
        <w:t xml:space="preserve"> التي تعمل فيها مداخن متعددة، قد يكون من الأنسب تركيب نظم </w:t>
      </w:r>
      <w:r w:rsidRPr="00335E4B">
        <w:rPr>
          <w:rFonts w:cs="Traditional Arabic" w:hint="cs"/>
          <w:sz w:val="20"/>
          <w:szCs w:val="30"/>
          <w:rtl/>
        </w:rPr>
        <w:t>ال</w:t>
      </w:r>
      <w:r w:rsidRPr="00335E4B">
        <w:rPr>
          <w:rFonts w:cs="Traditional Arabic"/>
          <w:sz w:val="20"/>
          <w:szCs w:val="30"/>
          <w:rtl/>
        </w:rPr>
        <w:t xml:space="preserve">رصد المستمر </w:t>
      </w:r>
      <w:r w:rsidRPr="00335E4B">
        <w:rPr>
          <w:rFonts w:cs="Traditional Arabic" w:hint="cs"/>
          <w:sz w:val="20"/>
          <w:szCs w:val="30"/>
          <w:rtl/>
        </w:rPr>
        <w:t>ل</w:t>
      </w:r>
      <w:r w:rsidRPr="00335E4B">
        <w:rPr>
          <w:rFonts w:cs="Traditional Arabic"/>
          <w:sz w:val="20"/>
          <w:szCs w:val="30"/>
          <w:rtl/>
        </w:rPr>
        <w:t>لانبعاثات على المدخنة النهائية لرصد الانبعاثات في البيئة</w:t>
      </w:r>
      <w:r w:rsidRPr="00335E4B">
        <w:rPr>
          <w:rFonts w:cs="Traditional Arabic"/>
          <w:sz w:val="20"/>
          <w:szCs w:val="30"/>
          <w:rtl/>
          <w:lang w:val="en-GB" w:bidi="ar-EG"/>
        </w:rPr>
        <w:t>.</w:t>
      </w:r>
      <w:r w:rsidRPr="00335E4B">
        <w:rPr>
          <w:rFonts w:cs="Traditional Arabic"/>
          <w:sz w:val="20"/>
          <w:szCs w:val="30"/>
          <w:rtl/>
        </w:rPr>
        <w:t xml:space="preserve"> وفي تلك المرحلة النهائية من العملية، ينبغي أن يكون الغاز قد خضع لعمليات التنظيف فتكون معظم ملوثات الهواء الموجودة في غاز المدخنة قد أزيلت بالفعل، مثلاً عن طريق أجهزة </w:t>
      </w:r>
      <w:r w:rsidRPr="00335E4B">
        <w:rPr>
          <w:rFonts w:cs="Traditional Arabic" w:hint="cs"/>
          <w:sz w:val="20"/>
          <w:szCs w:val="30"/>
          <w:rtl/>
        </w:rPr>
        <w:t xml:space="preserve">ضبط </w:t>
      </w:r>
      <w:r w:rsidRPr="00335E4B">
        <w:rPr>
          <w:rFonts w:cs="Traditional Arabic"/>
          <w:sz w:val="20"/>
          <w:szCs w:val="30"/>
          <w:rtl/>
        </w:rPr>
        <w:t>المواد الجسيمية وفي مراحل إزالة الزئبق وتصنيع الحمض</w:t>
      </w:r>
      <w:r w:rsidRPr="00335E4B">
        <w:rPr>
          <w:rFonts w:cs="Traditional Arabic"/>
          <w:sz w:val="20"/>
          <w:szCs w:val="30"/>
          <w:rtl/>
          <w:lang w:val="en-GB" w:bidi="ar-EG"/>
        </w:rPr>
        <w:t>.</w:t>
      </w:r>
      <w:r w:rsidRPr="00335E4B">
        <w:rPr>
          <w:rFonts w:cs="Traditional Arabic"/>
          <w:sz w:val="20"/>
          <w:szCs w:val="30"/>
          <w:rtl/>
        </w:rPr>
        <w:t xml:space="preserve"> وبالتالي فالبيانات التي يتم الحصول عليها ستقدم بيانات إرشادية في الزمن الحقيقي عن الأداء الفعلي</w:t>
      </w:r>
      <w:r w:rsidRPr="00335E4B">
        <w:rPr>
          <w:rFonts w:cs="Traditional Arabic"/>
          <w:sz w:val="20"/>
          <w:szCs w:val="30"/>
          <w:rtl/>
          <w:lang w:val="en-GB" w:bidi="ar-EG"/>
        </w:rPr>
        <w:t>.</w:t>
      </w:r>
      <w:r w:rsidRPr="00335E4B">
        <w:rPr>
          <w:rFonts w:cs="Traditional Arabic"/>
          <w:sz w:val="20"/>
          <w:szCs w:val="30"/>
          <w:rtl/>
        </w:rPr>
        <w:t xml:space="preserve"> وإذا كانت كمية الزئبق الموجودة في تيار مدخلات المواد الأولية معروفة، يمكن حساب كفاءة إزالة الزئبق باستخدام بيانات الرصد المستمر للانبعاثات</w:t>
      </w:r>
      <w:r w:rsidRPr="00335E4B">
        <w:rPr>
          <w:rFonts w:cs="Traditional Arabic"/>
          <w:sz w:val="20"/>
          <w:szCs w:val="30"/>
          <w:rtl/>
          <w:lang w:val="en-GB" w:bidi="ar-EG"/>
        </w:rPr>
        <w:t>.</w:t>
      </w:r>
    </w:p>
    <w:p w:rsidR="00335E4B" w:rsidRPr="00335E4B" w:rsidRDefault="00310FC3" w:rsidP="00C503B7">
      <w:pPr>
        <w:keepNext/>
        <w:tabs>
          <w:tab w:val="left" w:pos="991"/>
        </w:tabs>
        <w:spacing w:before="120" w:after="120" w:line="400" w:lineRule="exact"/>
        <w:ind w:left="-2"/>
        <w:jc w:val="both"/>
        <w:outlineLvl w:val="0"/>
        <w:rPr>
          <w:rFonts w:cs="Traditional Arabic"/>
          <w:b/>
          <w:bCs/>
          <w:sz w:val="20"/>
          <w:szCs w:val="30"/>
          <w:rtl/>
          <w:lang w:bidi="ar-EG"/>
        </w:rPr>
      </w:pPr>
      <w:bookmarkStart w:id="2064" w:name="_Toc433095460"/>
      <w:bookmarkStart w:id="2065" w:name="_Toc434239995"/>
      <w:bookmarkStart w:id="2066" w:name="_Toc440550598"/>
      <w:bookmarkStart w:id="2067" w:name="_Toc441577848"/>
      <w:bookmarkStart w:id="2068" w:name="_Toc441578027"/>
      <w:bookmarkStart w:id="2069" w:name="_Toc441580861"/>
      <w:bookmarkStart w:id="2070" w:name="_Toc441585992"/>
      <w:bookmarkStart w:id="2071" w:name="_Toc441586328"/>
      <w:bookmarkStart w:id="2072" w:name="_Toc441586778"/>
      <w:bookmarkStart w:id="2073" w:name="_Toc441586957"/>
      <w:bookmarkStart w:id="2074" w:name="_Toc441666806"/>
      <w:bookmarkStart w:id="2075" w:name="_Toc441673867"/>
      <w:r>
        <w:rPr>
          <w:rFonts w:cs="Traditional Arabic" w:hint="cs"/>
          <w:b/>
          <w:bCs/>
          <w:sz w:val="20"/>
          <w:szCs w:val="30"/>
          <w:rtl/>
          <w:lang w:bidi="ar-EG"/>
        </w:rPr>
        <w:t>5</w:t>
      </w:r>
      <w:r w:rsidR="00C503B7">
        <w:rPr>
          <w:rFonts w:cs="Traditional Arabic" w:hint="cs"/>
          <w:b/>
          <w:bCs/>
          <w:sz w:val="20"/>
          <w:szCs w:val="30"/>
          <w:rtl/>
          <w:lang w:bidi="ar-EG"/>
        </w:rPr>
        <w:t>-2</w:t>
      </w:r>
      <w:r w:rsidR="00C503B7">
        <w:rPr>
          <w:rFonts w:cs="Traditional Arabic" w:hint="cs"/>
          <w:b/>
          <w:bCs/>
          <w:sz w:val="20"/>
          <w:szCs w:val="30"/>
          <w:rtl/>
          <w:lang w:bidi="ar-EG"/>
        </w:rPr>
        <w:tab/>
      </w:r>
      <w:r w:rsidR="00335E4B" w:rsidRPr="00335E4B">
        <w:rPr>
          <w:rFonts w:cs="Traditional Arabic"/>
          <w:b/>
          <w:bCs/>
          <w:sz w:val="20"/>
          <w:szCs w:val="30"/>
          <w:rtl/>
          <w:lang w:bidi="ar-EG"/>
        </w:rPr>
        <w:t>الأساليب غير المباشرة للقياس</w:t>
      </w:r>
      <w:bookmarkEnd w:id="2064"/>
      <w:bookmarkEnd w:id="2065"/>
      <w:bookmarkEnd w:id="2066"/>
      <w:bookmarkEnd w:id="2067"/>
      <w:bookmarkEnd w:id="2068"/>
      <w:bookmarkEnd w:id="2069"/>
      <w:bookmarkEnd w:id="2070"/>
      <w:bookmarkEnd w:id="2071"/>
      <w:bookmarkEnd w:id="2072"/>
      <w:bookmarkEnd w:id="2073"/>
      <w:bookmarkEnd w:id="2074"/>
      <w:bookmarkEnd w:id="2075"/>
    </w:p>
    <w:p w:rsidR="00335E4B" w:rsidRPr="00335E4B" w:rsidRDefault="00310FC3" w:rsidP="00335E4B">
      <w:pPr>
        <w:keepNext/>
        <w:tabs>
          <w:tab w:val="left" w:pos="991"/>
        </w:tabs>
        <w:spacing w:before="120" w:after="120" w:line="400" w:lineRule="exact"/>
        <w:jc w:val="both"/>
        <w:outlineLvl w:val="0"/>
        <w:rPr>
          <w:rFonts w:cs="Traditional Arabic"/>
          <w:b/>
          <w:bCs/>
          <w:sz w:val="20"/>
          <w:szCs w:val="30"/>
          <w:rtl/>
          <w:lang w:bidi="ar-EG"/>
        </w:rPr>
      </w:pPr>
      <w:bookmarkStart w:id="2076" w:name="_Toc440550599"/>
      <w:bookmarkStart w:id="2077" w:name="_Toc441577849"/>
      <w:bookmarkStart w:id="2078" w:name="_Toc441578028"/>
      <w:bookmarkStart w:id="2079" w:name="_Toc441580862"/>
      <w:bookmarkStart w:id="2080" w:name="_Toc441585993"/>
      <w:bookmarkStart w:id="2081" w:name="_Toc441586329"/>
      <w:bookmarkStart w:id="2082" w:name="_Toc441586779"/>
      <w:bookmarkStart w:id="2083" w:name="_Toc441586958"/>
      <w:bookmarkStart w:id="2084" w:name="_Toc441666807"/>
      <w:bookmarkStart w:id="2085" w:name="_Toc441673868"/>
      <w:r>
        <w:rPr>
          <w:rFonts w:cs="Traditional Arabic" w:hint="cs"/>
          <w:b/>
          <w:bCs/>
          <w:sz w:val="20"/>
          <w:szCs w:val="30"/>
          <w:rtl/>
          <w:lang w:bidi="ar-EG"/>
        </w:rPr>
        <w:t>5</w:t>
      </w:r>
      <w:r w:rsidR="00C503B7">
        <w:rPr>
          <w:rFonts w:cs="Traditional Arabic" w:hint="cs"/>
          <w:b/>
          <w:bCs/>
          <w:sz w:val="20"/>
          <w:szCs w:val="30"/>
          <w:rtl/>
          <w:lang w:bidi="ar-EG"/>
        </w:rPr>
        <w:t>-2-1</w:t>
      </w:r>
      <w:r w:rsidR="00C503B7">
        <w:rPr>
          <w:rFonts w:cs="Traditional Arabic" w:hint="cs"/>
          <w:b/>
          <w:bCs/>
          <w:sz w:val="20"/>
          <w:szCs w:val="30"/>
          <w:rtl/>
          <w:lang w:bidi="ar-EG"/>
        </w:rPr>
        <w:tab/>
      </w:r>
      <w:r w:rsidR="00335E4B" w:rsidRPr="00335E4B">
        <w:rPr>
          <w:rFonts w:cs="Traditional Arabic" w:hint="cs"/>
          <w:b/>
          <w:bCs/>
          <w:sz w:val="20"/>
          <w:szCs w:val="30"/>
          <w:rtl/>
          <w:lang w:bidi="ar-EG"/>
        </w:rPr>
        <w:t>توازن الكتلة</w:t>
      </w:r>
      <w:bookmarkEnd w:id="2076"/>
      <w:bookmarkEnd w:id="2077"/>
      <w:bookmarkEnd w:id="2078"/>
      <w:bookmarkEnd w:id="2079"/>
      <w:bookmarkEnd w:id="2080"/>
      <w:bookmarkEnd w:id="2081"/>
      <w:bookmarkEnd w:id="2082"/>
      <w:bookmarkEnd w:id="2083"/>
      <w:bookmarkEnd w:id="2084"/>
      <w:bookmarkEnd w:id="2085"/>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على الرغم من أن </w:t>
      </w:r>
      <w:r w:rsidRPr="00335E4B">
        <w:rPr>
          <w:rFonts w:cs="Traditional Arabic" w:hint="cs"/>
          <w:sz w:val="20"/>
          <w:szCs w:val="30"/>
          <w:rtl/>
        </w:rPr>
        <w:t>توازن</w:t>
      </w:r>
      <w:r w:rsidRPr="00335E4B">
        <w:rPr>
          <w:rFonts w:cs="Traditional Arabic"/>
          <w:sz w:val="20"/>
          <w:szCs w:val="30"/>
          <w:rtl/>
        </w:rPr>
        <w:t xml:space="preserve"> </w:t>
      </w:r>
      <w:r w:rsidRPr="00335E4B">
        <w:rPr>
          <w:rFonts w:cs="Traditional Arabic" w:hint="cs"/>
          <w:sz w:val="20"/>
          <w:szCs w:val="30"/>
          <w:rtl/>
        </w:rPr>
        <w:t>الكتلة ي</w:t>
      </w:r>
      <w:r w:rsidRPr="00335E4B">
        <w:rPr>
          <w:rFonts w:cs="Traditional Arabic"/>
          <w:sz w:val="20"/>
          <w:szCs w:val="30"/>
          <w:rtl/>
        </w:rPr>
        <w:t xml:space="preserve">قدم بيانات لفترة زمنية محددة وليس على أساس الوقت الحقيقي، فمن الممكن أن </w:t>
      </w:r>
      <w:r w:rsidRPr="00335E4B">
        <w:rPr>
          <w:rFonts w:cs="Traditional Arabic" w:hint="cs"/>
          <w:sz w:val="20"/>
          <w:szCs w:val="30"/>
          <w:rtl/>
        </w:rPr>
        <w:t>ي</w:t>
      </w:r>
      <w:r w:rsidRPr="00335E4B">
        <w:rPr>
          <w:rFonts w:cs="Traditional Arabic"/>
          <w:sz w:val="20"/>
          <w:szCs w:val="30"/>
          <w:rtl/>
        </w:rPr>
        <w:t>كون مفيد</w:t>
      </w:r>
      <w:r w:rsidRPr="00335E4B">
        <w:rPr>
          <w:rFonts w:cs="Traditional Arabic" w:hint="cs"/>
          <w:sz w:val="20"/>
          <w:szCs w:val="30"/>
          <w:rtl/>
        </w:rPr>
        <w:t>اً</w:t>
      </w:r>
      <w:r w:rsidRPr="00335E4B">
        <w:rPr>
          <w:rFonts w:cs="Traditional Arabic"/>
          <w:sz w:val="20"/>
          <w:szCs w:val="30"/>
          <w:rtl/>
        </w:rPr>
        <w:t xml:space="preserve"> كأداة إرشادية لتتبع كفاءة الأداء التشغيلي وكفاءة إزالة الزئبق، بشرط أن يكون محتوى الزئبق في مواد المدخلات الأولية والمنتجات وغيرها من التيارات الأساسية كافياً لإتاحة الحساب بموثوقية</w:t>
      </w:r>
      <w:r w:rsidRPr="00335E4B">
        <w:rPr>
          <w:rFonts w:cs="Traditional Arabic"/>
          <w:sz w:val="20"/>
          <w:szCs w:val="30"/>
          <w:rtl/>
          <w:lang w:val="en-GB"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وينبغي لممارسة التشغيل العادية في </w:t>
      </w:r>
      <w:r w:rsidRPr="00335E4B">
        <w:rPr>
          <w:rFonts w:cs="Traditional Arabic" w:hint="cs"/>
          <w:sz w:val="20"/>
          <w:szCs w:val="30"/>
          <w:rtl/>
        </w:rPr>
        <w:t>منشأة</w:t>
      </w:r>
      <w:r w:rsidRPr="00335E4B">
        <w:rPr>
          <w:rFonts w:cs="Traditional Arabic"/>
          <w:sz w:val="20"/>
          <w:szCs w:val="30"/>
          <w:rtl/>
        </w:rPr>
        <w:t xml:space="preserve"> لصهر وتنقية المعادن غير الحديدية أن تتضمن بالفعل عمليات منتظمة لأخذ العينات والاختبار (التحليل الكيميائي) لمحتويات المعادن في مواد المدخلات الأولية والمنتجات وغيرها من التيارات الأساسية، من أجل كفالة التحكم الفعال بالعملية</w:t>
      </w:r>
      <w:r w:rsidRPr="00335E4B">
        <w:rPr>
          <w:rFonts w:cs="Traditional Arabic"/>
          <w:sz w:val="20"/>
          <w:szCs w:val="30"/>
          <w:rtl/>
          <w:lang w:val="en-GB" w:bidi="ar-EG"/>
        </w:rPr>
        <w:t>.</w:t>
      </w:r>
      <w:r w:rsidRPr="00335E4B">
        <w:rPr>
          <w:rFonts w:cs="Traditional Arabic"/>
          <w:sz w:val="20"/>
          <w:szCs w:val="30"/>
          <w:rtl/>
        </w:rPr>
        <w:t xml:space="preserve"> وبإدراج الزئبق كمادة يراد تحليلها في هذه التيارات تنتُج بيانات أساسية لاستخدامها في </w:t>
      </w:r>
      <w:r w:rsidRPr="00335E4B">
        <w:rPr>
          <w:rFonts w:cs="Traditional Arabic" w:hint="cs"/>
          <w:sz w:val="20"/>
          <w:szCs w:val="30"/>
          <w:rtl/>
        </w:rPr>
        <w:t>توازن الكتلة</w:t>
      </w:r>
      <w:r w:rsidRPr="00335E4B">
        <w:rPr>
          <w:rFonts w:cs="Traditional Arabic"/>
          <w:sz w:val="20"/>
          <w:szCs w:val="30"/>
          <w:rtl/>
          <w:lang w:val="en-GB" w:bidi="ar-EG"/>
        </w:rPr>
        <w:t>.</w:t>
      </w:r>
      <w:r w:rsidRPr="00335E4B">
        <w:rPr>
          <w:rFonts w:cs="Traditional Arabic"/>
          <w:sz w:val="20"/>
          <w:szCs w:val="30"/>
          <w:rtl/>
        </w:rPr>
        <w:t xml:space="preserve"> ويمكن الحصول من مور</w:t>
      </w:r>
      <w:r w:rsidRPr="00335E4B">
        <w:rPr>
          <w:rFonts w:cs="Traditional Arabic" w:hint="cs"/>
          <w:sz w:val="20"/>
          <w:szCs w:val="30"/>
          <w:rtl/>
        </w:rPr>
        <w:t>ِّ</w:t>
      </w:r>
      <w:r w:rsidRPr="00335E4B">
        <w:rPr>
          <w:rFonts w:cs="Traditional Arabic"/>
          <w:sz w:val="20"/>
          <w:szCs w:val="30"/>
          <w:rtl/>
        </w:rPr>
        <w:t>د الوقود على المعلومات المتعلقة بالمحتوى الكيميائي للوقود الذي تم شراؤه</w:t>
      </w:r>
      <w:r w:rsidRPr="00335E4B">
        <w:rPr>
          <w:rFonts w:cs="Traditional Arabic"/>
          <w:sz w:val="20"/>
          <w:szCs w:val="30"/>
          <w:rtl/>
          <w:lang w:val="en-GB" w:bidi="ar-EG"/>
        </w:rPr>
        <w:t>.</w:t>
      </w:r>
      <w:r w:rsidRPr="00335E4B">
        <w:rPr>
          <w:rFonts w:cs="Traditional Arabic"/>
          <w:sz w:val="20"/>
          <w:szCs w:val="30"/>
          <w:rtl/>
        </w:rPr>
        <w:t xml:space="preserve"> وبالنظر إلى أن منشأة الصهر أو التنقية تنفذ في العادة تحليلاً اختبارياً محلياً لمحتوى المعدن في المدخلات والمخرجات الرئيسية بصفة يومية، ينبغي أن تنظر المنشأة في تنفيذ اختباراتها الخاصة للزئبق بتكلفة إضافية</w:t>
      </w:r>
      <w:r w:rsidRPr="00335E4B">
        <w:rPr>
          <w:rFonts w:cs="Traditional Arabic"/>
          <w:sz w:val="20"/>
          <w:szCs w:val="30"/>
          <w:rtl/>
          <w:lang w:val="en-GB"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ولحساب الانبعاثات السنوية للزئبق الصادرة عن أحد </w:t>
      </w:r>
      <w:r w:rsidRPr="00335E4B">
        <w:rPr>
          <w:rFonts w:cs="Traditional Arabic" w:hint="cs"/>
          <w:sz w:val="20"/>
          <w:szCs w:val="30"/>
          <w:rtl/>
        </w:rPr>
        <w:t>المنشآت</w:t>
      </w:r>
      <w:r w:rsidRPr="00335E4B">
        <w:rPr>
          <w:rFonts w:cs="Traditional Arabic"/>
          <w:sz w:val="20"/>
          <w:szCs w:val="30"/>
          <w:rtl/>
        </w:rPr>
        <w:t xml:space="preserve"> باستخدام </w:t>
      </w:r>
      <w:r w:rsidRPr="00335E4B">
        <w:rPr>
          <w:rFonts w:cs="Traditional Arabic" w:hint="cs"/>
          <w:sz w:val="20"/>
          <w:szCs w:val="30"/>
          <w:rtl/>
        </w:rPr>
        <w:t xml:space="preserve">توازن </w:t>
      </w:r>
      <w:r w:rsidRPr="00335E4B">
        <w:rPr>
          <w:rFonts w:cs="Traditional Arabic"/>
          <w:sz w:val="20"/>
          <w:szCs w:val="30"/>
          <w:rtl/>
        </w:rPr>
        <w:t>الكتلة، ينبغي تتبع وتسجيل معدلات تدفق الكتلة من جميع التيارات على مدى عام كامل، الأمر الذي يستلزم مستويات عالية من الجهد</w:t>
      </w:r>
      <w:r w:rsidRPr="00335E4B">
        <w:rPr>
          <w:rFonts w:cs="Traditional Arabic"/>
          <w:sz w:val="20"/>
          <w:szCs w:val="30"/>
          <w:rtl/>
          <w:lang w:val="en-GB" w:bidi="ar-EG"/>
        </w:rPr>
        <w:t>.</w:t>
      </w:r>
      <w:r w:rsidRPr="00335E4B">
        <w:rPr>
          <w:rFonts w:cs="Traditional Arabic"/>
          <w:sz w:val="20"/>
          <w:szCs w:val="30"/>
          <w:rtl/>
        </w:rPr>
        <w:t xml:space="preserve"> وبالإضافة إلى ذلك، ينبغي تتبع جميع </w:t>
      </w:r>
      <w:r w:rsidRPr="00335E4B">
        <w:rPr>
          <w:rFonts w:cs="Traditional Arabic" w:hint="cs"/>
          <w:sz w:val="20"/>
          <w:szCs w:val="30"/>
          <w:rtl/>
        </w:rPr>
        <w:t>التيارات</w:t>
      </w:r>
      <w:r w:rsidRPr="00335E4B">
        <w:rPr>
          <w:rFonts w:cs="Traditional Arabic"/>
          <w:sz w:val="20"/>
          <w:szCs w:val="30"/>
          <w:rtl/>
        </w:rPr>
        <w:t xml:space="preserve"> التي يمكن أن يتراكم الزئبق فيها</w:t>
      </w:r>
      <w:r w:rsidRPr="00335E4B">
        <w:rPr>
          <w:rFonts w:cs="Traditional Arabic"/>
          <w:sz w:val="20"/>
          <w:szCs w:val="30"/>
          <w:rtl/>
          <w:lang w:val="en-GB" w:bidi="ar-EG"/>
        </w:rPr>
        <w:t>.</w:t>
      </w:r>
      <w:r w:rsidRPr="00335E4B">
        <w:rPr>
          <w:rFonts w:cs="Traditional Arabic"/>
          <w:sz w:val="20"/>
          <w:szCs w:val="30"/>
          <w:rtl/>
        </w:rPr>
        <w:t xml:space="preserve"> ويمكن حساب كتلة الزئبق عن طريق ضرب تركيز الزئبق في معدل تدفق كتلة التيار والفترة الزمنية (سنة واحدة مثلاً)</w:t>
      </w:r>
      <w:r w:rsidRPr="00335E4B">
        <w:rPr>
          <w:rFonts w:cs="Traditional Arabic"/>
          <w:sz w:val="20"/>
          <w:szCs w:val="30"/>
          <w:rtl/>
          <w:lang w:val="en-GB" w:bidi="ar-EG"/>
        </w:rPr>
        <w:t>.</w:t>
      </w:r>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u w:val="single"/>
          <w:rtl/>
        </w:rPr>
      </w:pPr>
      <w:r w:rsidRPr="00335E4B">
        <w:rPr>
          <w:rFonts w:cs="Traditional Arabic"/>
          <w:sz w:val="20"/>
          <w:szCs w:val="30"/>
          <w:rtl/>
        </w:rPr>
        <w:t xml:space="preserve">وبسبب التباين الأساسي في قياسات تدفقات كتلة الزئبق، وقياسات تراكم الزئبق، والتدفقات المتعددة للمدخلات والمخرجات، قد يصعب التوصل إلى رقم نهائي مؤكد </w:t>
      </w:r>
      <w:r w:rsidRPr="00335E4B">
        <w:rPr>
          <w:rFonts w:cs="Traditional Arabic" w:hint="cs"/>
          <w:sz w:val="20"/>
          <w:szCs w:val="30"/>
          <w:rtl/>
        </w:rPr>
        <w:t>لتوازن الكتلة</w:t>
      </w:r>
      <w:r w:rsidRPr="00335E4B">
        <w:rPr>
          <w:rFonts w:cs="Traditional Arabic"/>
          <w:sz w:val="20"/>
          <w:szCs w:val="30"/>
          <w:rtl/>
          <w:lang w:val="en-GB" w:bidi="ar-EG"/>
        </w:rPr>
        <w:t>.</w:t>
      </w:r>
      <w:r w:rsidRPr="00335E4B">
        <w:rPr>
          <w:rFonts w:cs="Traditional Arabic"/>
          <w:sz w:val="20"/>
          <w:szCs w:val="30"/>
          <w:rtl/>
        </w:rPr>
        <w:t xml:space="preserve"> وبالنسبة للعمليات </w:t>
      </w:r>
      <w:r w:rsidRPr="00335E4B">
        <w:rPr>
          <w:rFonts w:cs="Traditional Arabic" w:hint="cs"/>
          <w:sz w:val="20"/>
          <w:szCs w:val="30"/>
          <w:rtl/>
        </w:rPr>
        <w:t>المضبوطة</w:t>
      </w:r>
      <w:r w:rsidRPr="00335E4B">
        <w:rPr>
          <w:rFonts w:cs="Traditional Arabic"/>
          <w:sz w:val="20"/>
          <w:szCs w:val="30"/>
          <w:rtl/>
        </w:rPr>
        <w:t xml:space="preserve"> جيداً حيث لا يمثل معدل انبعاث الزئبق سوى جزءاً بسيطاً من معدل مدخلات الزئبق، تكون القياسات المباشرة لتيارات العادم عن طريق أخذ العينات أنسب من استكمال حساب</w:t>
      </w:r>
      <w:r w:rsidRPr="00335E4B">
        <w:rPr>
          <w:rFonts w:cs="Traditional Arabic" w:hint="cs"/>
          <w:sz w:val="20"/>
          <w:szCs w:val="30"/>
          <w:rtl/>
        </w:rPr>
        <w:t xml:space="preserve"> توازن</w:t>
      </w:r>
      <w:r w:rsidRPr="00335E4B">
        <w:rPr>
          <w:rFonts w:cs="Traditional Arabic"/>
          <w:sz w:val="20"/>
          <w:szCs w:val="30"/>
          <w:rtl/>
        </w:rPr>
        <w:t xml:space="preserve"> الكتلة</w:t>
      </w:r>
      <w:r w:rsidRPr="00335E4B">
        <w:rPr>
          <w:rFonts w:cs="Traditional Arabic"/>
          <w:sz w:val="20"/>
          <w:szCs w:val="30"/>
          <w:rtl/>
          <w:lang w:val="en-GB" w:bidi="ar-EG"/>
        </w:rPr>
        <w:t>.</w:t>
      </w:r>
    </w:p>
    <w:p w:rsidR="00335E4B" w:rsidRPr="00335E4B" w:rsidRDefault="00310FC3" w:rsidP="00335E4B">
      <w:pPr>
        <w:keepNext/>
        <w:tabs>
          <w:tab w:val="left" w:pos="991"/>
        </w:tabs>
        <w:spacing w:before="120" w:after="120" w:line="400" w:lineRule="exact"/>
        <w:jc w:val="both"/>
        <w:outlineLvl w:val="0"/>
        <w:rPr>
          <w:rFonts w:cs="Traditional Arabic"/>
          <w:b/>
          <w:bCs/>
          <w:sz w:val="20"/>
          <w:szCs w:val="30"/>
          <w:rtl/>
          <w:lang w:bidi="ar-EG"/>
        </w:rPr>
      </w:pPr>
      <w:bookmarkStart w:id="2086" w:name="_Toc433095462"/>
      <w:bookmarkStart w:id="2087" w:name="_Toc434239997"/>
      <w:bookmarkStart w:id="2088" w:name="_Toc440550600"/>
      <w:bookmarkStart w:id="2089" w:name="_Toc441577850"/>
      <w:bookmarkStart w:id="2090" w:name="_Toc441578029"/>
      <w:bookmarkStart w:id="2091" w:name="_Toc441580863"/>
      <w:bookmarkStart w:id="2092" w:name="_Toc441585994"/>
      <w:bookmarkStart w:id="2093" w:name="_Toc441586330"/>
      <w:bookmarkStart w:id="2094" w:name="_Toc441586780"/>
      <w:bookmarkStart w:id="2095" w:name="_Toc441586959"/>
      <w:bookmarkStart w:id="2096" w:name="_Toc441666808"/>
      <w:bookmarkStart w:id="2097" w:name="_Toc441673869"/>
      <w:r>
        <w:rPr>
          <w:rFonts w:cs="Traditional Arabic" w:hint="cs"/>
          <w:b/>
          <w:bCs/>
          <w:sz w:val="20"/>
          <w:szCs w:val="30"/>
          <w:rtl/>
          <w:lang w:bidi="ar-EG"/>
        </w:rPr>
        <w:t>5</w:t>
      </w:r>
      <w:r w:rsidR="00C503B7">
        <w:rPr>
          <w:rFonts w:cs="Traditional Arabic" w:hint="cs"/>
          <w:b/>
          <w:bCs/>
          <w:sz w:val="20"/>
          <w:szCs w:val="30"/>
          <w:rtl/>
          <w:lang w:bidi="ar-EG"/>
        </w:rPr>
        <w:t>-2-2</w:t>
      </w:r>
      <w:r w:rsidR="00C503B7">
        <w:rPr>
          <w:rFonts w:cs="Traditional Arabic" w:hint="cs"/>
          <w:b/>
          <w:bCs/>
          <w:sz w:val="20"/>
          <w:szCs w:val="30"/>
          <w:rtl/>
          <w:lang w:bidi="ar-EG"/>
        </w:rPr>
        <w:tab/>
      </w:r>
      <w:r w:rsidR="00335E4B" w:rsidRPr="00335E4B">
        <w:rPr>
          <w:rFonts w:cs="Traditional Arabic"/>
          <w:b/>
          <w:bCs/>
          <w:sz w:val="20"/>
          <w:szCs w:val="30"/>
          <w:rtl/>
          <w:lang w:bidi="ar-EG"/>
        </w:rPr>
        <w:t>النظم التنبؤية لرصد الانبعاثات</w:t>
      </w:r>
      <w:bookmarkEnd w:id="2086"/>
      <w:bookmarkEnd w:id="2087"/>
      <w:bookmarkEnd w:id="2088"/>
      <w:bookmarkEnd w:id="2089"/>
      <w:bookmarkEnd w:id="2090"/>
      <w:bookmarkEnd w:id="2091"/>
      <w:bookmarkEnd w:id="2092"/>
      <w:bookmarkEnd w:id="2093"/>
      <w:bookmarkEnd w:id="2094"/>
      <w:bookmarkEnd w:id="2095"/>
      <w:bookmarkEnd w:id="2096"/>
      <w:bookmarkEnd w:id="2097"/>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u w:val="single"/>
          <w:rtl/>
        </w:rPr>
      </w:pPr>
      <w:r w:rsidRPr="00335E4B">
        <w:rPr>
          <w:rFonts w:cs="Traditional Arabic"/>
          <w:sz w:val="20"/>
          <w:szCs w:val="30"/>
          <w:rtl/>
        </w:rPr>
        <w:t>قد لا تكون النظم التنبؤية لرصد الانبعاثات طريقة موثوقة لرصد انبعاثات الزئبق في قطاع صهر وتنقية المعادن غير الحديدية</w:t>
      </w:r>
      <w:r w:rsidRPr="00335E4B">
        <w:rPr>
          <w:rFonts w:cs="Traditional Arabic"/>
          <w:sz w:val="20"/>
          <w:szCs w:val="30"/>
          <w:rtl/>
          <w:lang w:val="en-GB" w:bidi="ar-EG"/>
        </w:rPr>
        <w:t>.</w:t>
      </w:r>
      <w:r w:rsidRPr="00335E4B">
        <w:rPr>
          <w:rFonts w:cs="Traditional Arabic"/>
          <w:sz w:val="20"/>
          <w:szCs w:val="30"/>
          <w:rtl/>
        </w:rPr>
        <w:t xml:space="preserve"> ففي هذا القطاع قد يتغير محتوى الزئبق في المواد الأولية المدخلة إلى الأفران بشكل كبير خلال فترات زمنية قصيرة، تبعاً للمركَّزات التي تتم معالجتها</w:t>
      </w:r>
      <w:r w:rsidRPr="00335E4B">
        <w:rPr>
          <w:rFonts w:cs="Traditional Arabic"/>
          <w:sz w:val="20"/>
          <w:szCs w:val="30"/>
          <w:rtl/>
          <w:lang w:val="en-GB" w:bidi="ar-EG"/>
        </w:rPr>
        <w:t>.</w:t>
      </w:r>
      <w:r w:rsidRPr="00335E4B">
        <w:rPr>
          <w:rFonts w:cs="Traditional Arabic"/>
          <w:sz w:val="20"/>
          <w:szCs w:val="30"/>
          <w:rtl/>
        </w:rPr>
        <w:t xml:space="preserve"> وحتى في المرافق التي تعالج المركزات الواردة من منجم مخصص، قد يتباين محتوى الزئبق بشكل كبير حسب الموقع الذي يتم تعدينه في كتلة الركاز</w:t>
      </w:r>
      <w:r w:rsidRPr="00335E4B">
        <w:rPr>
          <w:rFonts w:cs="Traditional Arabic"/>
          <w:sz w:val="20"/>
          <w:szCs w:val="30"/>
          <w:rtl/>
          <w:lang w:val="en-GB" w:bidi="ar-EG"/>
        </w:rPr>
        <w:t>.</w:t>
      </w:r>
      <w:r w:rsidRPr="00335E4B">
        <w:rPr>
          <w:rFonts w:cs="Traditional Arabic"/>
          <w:sz w:val="20"/>
          <w:szCs w:val="30"/>
          <w:rtl/>
        </w:rPr>
        <w:t xml:space="preserve"> ونتيجة لذلك، قد لا يمكن الحصول على نتائج ممثلة للواقع بإنشاء الروابط بين البارامترات البديلة وانبعاثات الزئبق</w:t>
      </w:r>
      <w:r w:rsidRPr="00335E4B">
        <w:rPr>
          <w:rFonts w:cs="Traditional Arabic"/>
          <w:sz w:val="20"/>
          <w:szCs w:val="30"/>
          <w:rtl/>
          <w:lang w:val="en-GB" w:bidi="ar-EG"/>
        </w:rPr>
        <w:t>.</w:t>
      </w:r>
      <w:r w:rsidRPr="00335E4B">
        <w:rPr>
          <w:rFonts w:cs="Traditional Arabic"/>
          <w:sz w:val="20"/>
          <w:szCs w:val="30"/>
          <w:rtl/>
        </w:rPr>
        <w:t xml:space="preserve"> ولبحث الأخذ بالنظم التنبؤية لرصد الانبعاثات، ينبغي أولاً إجراء تحليل دقيق للوقوف على مدى عدم </w:t>
      </w:r>
      <w:r w:rsidRPr="00335E4B">
        <w:rPr>
          <w:rFonts w:cs="Traditional Arabic" w:hint="cs"/>
          <w:sz w:val="20"/>
          <w:szCs w:val="30"/>
          <w:rtl/>
        </w:rPr>
        <w:t>الموثوقية</w:t>
      </w:r>
      <w:r w:rsidRPr="00335E4B">
        <w:rPr>
          <w:rFonts w:cs="Traditional Arabic"/>
          <w:sz w:val="20"/>
          <w:szCs w:val="30"/>
          <w:rtl/>
        </w:rPr>
        <w:t xml:space="preserve"> الذي تنطوي عليه هذه الطريقة في كل حالة على حدة</w:t>
      </w:r>
      <w:r w:rsidRPr="00335E4B">
        <w:rPr>
          <w:rFonts w:cs="Traditional Arabic"/>
          <w:sz w:val="20"/>
          <w:szCs w:val="30"/>
          <w:rtl/>
          <w:lang w:val="en-GB" w:bidi="ar-EG"/>
        </w:rPr>
        <w:t>.</w:t>
      </w:r>
    </w:p>
    <w:p w:rsidR="00335E4B" w:rsidRPr="00335E4B" w:rsidRDefault="00310FC3" w:rsidP="00335E4B">
      <w:pPr>
        <w:keepNext/>
        <w:tabs>
          <w:tab w:val="left" w:pos="991"/>
        </w:tabs>
        <w:spacing w:before="120" w:after="120" w:line="400" w:lineRule="exact"/>
        <w:jc w:val="both"/>
        <w:outlineLvl w:val="0"/>
        <w:rPr>
          <w:rFonts w:cs="Traditional Arabic"/>
          <w:b/>
          <w:bCs/>
          <w:sz w:val="20"/>
          <w:szCs w:val="30"/>
          <w:rtl/>
          <w:lang w:bidi="ar-EG"/>
        </w:rPr>
      </w:pPr>
      <w:bookmarkStart w:id="2098" w:name="_Toc433095463"/>
      <w:bookmarkStart w:id="2099" w:name="_Toc434239998"/>
      <w:bookmarkStart w:id="2100" w:name="_Toc440550601"/>
      <w:bookmarkStart w:id="2101" w:name="_Toc441577851"/>
      <w:bookmarkStart w:id="2102" w:name="_Toc441578030"/>
      <w:bookmarkStart w:id="2103" w:name="_Toc441580864"/>
      <w:bookmarkStart w:id="2104" w:name="_Toc441585995"/>
      <w:bookmarkStart w:id="2105" w:name="_Toc441586331"/>
      <w:bookmarkStart w:id="2106" w:name="_Toc441586781"/>
      <w:bookmarkStart w:id="2107" w:name="_Toc441586960"/>
      <w:bookmarkStart w:id="2108" w:name="_Toc441666809"/>
      <w:bookmarkStart w:id="2109" w:name="_Toc441673870"/>
      <w:r>
        <w:rPr>
          <w:rFonts w:cs="Traditional Arabic" w:hint="cs"/>
          <w:b/>
          <w:bCs/>
          <w:sz w:val="20"/>
          <w:szCs w:val="30"/>
          <w:rtl/>
          <w:lang w:bidi="ar-EG"/>
        </w:rPr>
        <w:t>5</w:t>
      </w:r>
      <w:r w:rsidR="00C503B7">
        <w:rPr>
          <w:rFonts w:cs="Traditional Arabic" w:hint="cs"/>
          <w:b/>
          <w:bCs/>
          <w:sz w:val="20"/>
          <w:szCs w:val="30"/>
          <w:rtl/>
          <w:lang w:bidi="ar-EG"/>
        </w:rPr>
        <w:t>-2-3</w:t>
      </w:r>
      <w:r w:rsidR="00C503B7">
        <w:rPr>
          <w:rFonts w:cs="Traditional Arabic" w:hint="cs"/>
          <w:b/>
          <w:bCs/>
          <w:sz w:val="20"/>
          <w:szCs w:val="30"/>
          <w:rtl/>
          <w:lang w:bidi="ar-EG"/>
        </w:rPr>
        <w:tab/>
      </w:r>
      <w:r w:rsidR="00335E4B" w:rsidRPr="00335E4B">
        <w:rPr>
          <w:rFonts w:cs="Traditional Arabic"/>
          <w:b/>
          <w:bCs/>
          <w:sz w:val="20"/>
          <w:szCs w:val="30"/>
          <w:rtl/>
          <w:lang w:bidi="ar-EG"/>
        </w:rPr>
        <w:t>عوامل الانبعاث</w:t>
      </w:r>
      <w:bookmarkEnd w:id="2098"/>
      <w:bookmarkEnd w:id="2099"/>
      <w:bookmarkEnd w:id="2100"/>
      <w:bookmarkEnd w:id="2101"/>
      <w:bookmarkEnd w:id="2102"/>
      <w:bookmarkEnd w:id="2103"/>
      <w:bookmarkEnd w:id="2104"/>
      <w:bookmarkEnd w:id="2105"/>
      <w:bookmarkEnd w:id="2106"/>
      <w:bookmarkEnd w:id="2107"/>
      <w:bookmarkEnd w:id="2108"/>
      <w:bookmarkEnd w:id="2109"/>
    </w:p>
    <w:p w:rsidR="00335E4B" w:rsidRPr="00335E4B" w:rsidRDefault="00335E4B" w:rsidP="00335E4B">
      <w:pPr>
        <w:tabs>
          <w:tab w:val="left" w:pos="663"/>
          <w:tab w:val="left" w:pos="1117"/>
          <w:tab w:val="left" w:pos="2230"/>
          <w:tab w:val="center" w:pos="5468"/>
        </w:tabs>
        <w:spacing w:after="120" w:line="400" w:lineRule="exact"/>
        <w:jc w:val="both"/>
        <w:rPr>
          <w:rFonts w:cs="Traditional Arabic"/>
          <w:sz w:val="20"/>
          <w:szCs w:val="30"/>
          <w:rtl/>
        </w:rPr>
      </w:pPr>
      <w:r w:rsidRPr="00335E4B">
        <w:rPr>
          <w:rFonts w:cs="Traditional Arabic"/>
          <w:sz w:val="20"/>
          <w:szCs w:val="30"/>
          <w:rtl/>
        </w:rPr>
        <w:t xml:space="preserve">بالنسبة لقطاع صهر وتنقية المعادن غير الحديدية، قد تتباين الانبعاثات بدرجة كبيرة في </w:t>
      </w:r>
      <w:r w:rsidRPr="00335E4B">
        <w:rPr>
          <w:rFonts w:cs="Traditional Arabic" w:hint="cs"/>
          <w:sz w:val="20"/>
          <w:szCs w:val="30"/>
          <w:rtl/>
        </w:rPr>
        <w:t>المنشأة</w:t>
      </w:r>
      <w:r w:rsidRPr="00335E4B">
        <w:rPr>
          <w:rFonts w:cs="Traditional Arabic"/>
          <w:sz w:val="20"/>
          <w:szCs w:val="30"/>
          <w:rtl/>
        </w:rPr>
        <w:t xml:space="preserve"> </w:t>
      </w:r>
      <w:r w:rsidRPr="00335E4B">
        <w:rPr>
          <w:rFonts w:cs="Traditional Arabic" w:hint="cs"/>
          <w:sz w:val="20"/>
          <w:szCs w:val="30"/>
          <w:rtl/>
        </w:rPr>
        <w:t>الواحدة</w:t>
      </w:r>
      <w:r w:rsidRPr="00335E4B">
        <w:rPr>
          <w:rFonts w:cs="Traditional Arabic"/>
          <w:sz w:val="20"/>
          <w:szCs w:val="30"/>
          <w:rtl/>
        </w:rPr>
        <w:t xml:space="preserve"> على مر الزمن، أو بين </w:t>
      </w:r>
      <w:r w:rsidRPr="00335E4B">
        <w:rPr>
          <w:rFonts w:cs="Traditional Arabic" w:hint="cs"/>
          <w:sz w:val="20"/>
          <w:szCs w:val="30"/>
          <w:rtl/>
        </w:rPr>
        <w:t>المنشآت</w:t>
      </w:r>
      <w:r w:rsidRPr="00335E4B">
        <w:rPr>
          <w:rFonts w:cs="Traditional Arabic"/>
          <w:sz w:val="20"/>
          <w:szCs w:val="30"/>
          <w:rtl/>
        </w:rPr>
        <w:t xml:space="preserve"> المتعددة التي تقوم بعمليات متماثلة، وذلك بسبب تغير محتوى الزئبق في تيارات المدخلات</w:t>
      </w:r>
      <w:r w:rsidRPr="00335E4B">
        <w:rPr>
          <w:rFonts w:cs="Traditional Arabic"/>
          <w:sz w:val="20"/>
          <w:szCs w:val="30"/>
          <w:rtl/>
          <w:lang w:val="en-GB" w:bidi="ar-EG"/>
        </w:rPr>
        <w:t>.</w:t>
      </w:r>
      <w:r w:rsidRPr="00335E4B">
        <w:rPr>
          <w:rFonts w:cs="Traditional Arabic"/>
          <w:sz w:val="20"/>
          <w:szCs w:val="30"/>
          <w:rtl/>
        </w:rPr>
        <w:t xml:space="preserve"> وبناء على ذلك، فعند استخدام عوامل الانبعاث، قد تتضمن الانبعاثات المقد</w:t>
      </w:r>
      <w:r w:rsidRPr="00335E4B">
        <w:rPr>
          <w:rFonts w:cs="Traditional Arabic" w:hint="cs"/>
          <w:sz w:val="20"/>
          <w:szCs w:val="30"/>
          <w:rtl/>
        </w:rPr>
        <w:t>َّ</w:t>
      </w:r>
      <w:r w:rsidRPr="00335E4B">
        <w:rPr>
          <w:rFonts w:cs="Traditional Arabic"/>
          <w:sz w:val="20"/>
          <w:szCs w:val="30"/>
          <w:rtl/>
        </w:rPr>
        <w:t>رة هامشاً كبيراً للخطأ</w:t>
      </w:r>
      <w:r w:rsidRPr="00335E4B">
        <w:rPr>
          <w:rFonts w:cs="Traditional Arabic"/>
          <w:sz w:val="20"/>
          <w:szCs w:val="30"/>
          <w:rtl/>
          <w:lang w:val="en-GB" w:bidi="ar-EG"/>
        </w:rPr>
        <w:t>.</w:t>
      </w:r>
      <w:r w:rsidRPr="00335E4B">
        <w:rPr>
          <w:rFonts w:cs="Traditional Arabic"/>
          <w:sz w:val="20"/>
          <w:szCs w:val="30"/>
          <w:rtl/>
        </w:rPr>
        <w:t xml:space="preserve"> وبصفة خاصة، بنبغي أن تعتبر التقديرات التي تستخدم عوامل الانبعاث العامة المنشورة إشارة تقديرية إلى مستويات الانبعاثات</w:t>
      </w:r>
      <w:r w:rsidRPr="00335E4B">
        <w:rPr>
          <w:rFonts w:cs="Traditional Arabic"/>
          <w:sz w:val="20"/>
          <w:szCs w:val="30"/>
          <w:rtl/>
          <w:lang w:val="en-GB" w:bidi="ar-EG"/>
        </w:rPr>
        <w:t>.</w:t>
      </w:r>
      <w:r w:rsidRPr="00335E4B">
        <w:rPr>
          <w:rFonts w:cs="Traditional Arabic"/>
          <w:sz w:val="20"/>
          <w:szCs w:val="30"/>
          <w:rtl/>
        </w:rPr>
        <w:t xml:space="preserve"> وسيكون أحد النهج البديلة هو وضع عوامل انبعاث خاصة بموقع محدد بناء على بيانات فعلية من أخذ العينات وعلى المعلومات المتعلقة بنشاط المصدر</w:t>
      </w:r>
      <w:r w:rsidRPr="00335E4B">
        <w:rPr>
          <w:rFonts w:cs="Traditional Arabic"/>
          <w:sz w:val="20"/>
          <w:szCs w:val="30"/>
          <w:rtl/>
          <w:lang w:val="en-GB" w:bidi="ar-EG"/>
        </w:rPr>
        <w:t>.</w:t>
      </w:r>
    </w:p>
    <w:p w:rsidR="00335E4B" w:rsidRPr="00C503B7" w:rsidRDefault="00335E4B" w:rsidP="00310FC3">
      <w:pPr>
        <w:keepNext/>
        <w:spacing w:after="120" w:line="400" w:lineRule="exact"/>
        <w:jc w:val="both"/>
        <w:outlineLvl w:val="0"/>
        <w:rPr>
          <w:rFonts w:cs="Traditional Arabic"/>
          <w:b/>
          <w:bCs/>
          <w:sz w:val="20"/>
          <w:szCs w:val="30"/>
          <w:lang w:bidi="ar-EG"/>
        </w:rPr>
      </w:pPr>
      <w:r w:rsidRPr="00C503B7">
        <w:rPr>
          <w:rFonts w:cs="Traditional Arabic"/>
          <w:bCs/>
          <w:sz w:val="32"/>
          <w:szCs w:val="32"/>
          <w:rtl/>
          <w:lang w:val="de-DE" w:bidi="ar-EG"/>
        </w:rPr>
        <w:br w:type="page"/>
      </w:r>
      <w:bookmarkStart w:id="2110" w:name="_Toc440550602"/>
      <w:bookmarkStart w:id="2111" w:name="_Toc441577852"/>
      <w:bookmarkStart w:id="2112" w:name="_Toc441578031"/>
      <w:bookmarkStart w:id="2113" w:name="_Toc441580865"/>
      <w:bookmarkStart w:id="2114" w:name="_Toc441585996"/>
      <w:bookmarkStart w:id="2115" w:name="_Toc441586332"/>
      <w:bookmarkStart w:id="2116" w:name="_Toc441586782"/>
      <w:bookmarkStart w:id="2117" w:name="_Toc441586961"/>
      <w:bookmarkStart w:id="2118" w:name="_Toc441666810"/>
      <w:bookmarkStart w:id="2119" w:name="_Toc441673871"/>
      <w:r w:rsidR="00310FC3">
        <w:rPr>
          <w:rFonts w:cs="Traditional Arabic" w:hint="cs"/>
          <w:bCs/>
          <w:sz w:val="32"/>
          <w:szCs w:val="32"/>
          <w:rtl/>
          <w:lang w:val="de-DE" w:bidi="ar-EG"/>
        </w:rPr>
        <w:t>6</w:t>
      </w:r>
      <w:r w:rsidR="00F157CD">
        <w:rPr>
          <w:rFonts w:cs="Traditional Arabic" w:hint="cs"/>
          <w:bCs/>
          <w:sz w:val="32"/>
          <w:szCs w:val="32"/>
          <w:rtl/>
          <w:lang w:val="de-DE" w:bidi="ar-EG"/>
        </w:rPr>
        <w:t xml:space="preserve"> </w:t>
      </w:r>
      <w:r w:rsidR="00C503B7" w:rsidRPr="00C503B7">
        <w:rPr>
          <w:rFonts w:cs="Traditional Arabic" w:hint="cs"/>
          <w:bCs/>
          <w:sz w:val="32"/>
          <w:szCs w:val="32"/>
          <w:rtl/>
          <w:lang w:val="de-DE" w:bidi="ar-EG"/>
        </w:rPr>
        <w:t>-</w:t>
      </w:r>
      <w:r w:rsidR="00C503B7" w:rsidRPr="00C503B7">
        <w:rPr>
          <w:rFonts w:cs="Traditional Arabic" w:hint="cs"/>
          <w:bCs/>
          <w:sz w:val="32"/>
          <w:szCs w:val="32"/>
          <w:rtl/>
          <w:lang w:val="de-DE" w:bidi="ar-EG"/>
        </w:rPr>
        <w:tab/>
      </w:r>
      <w:r w:rsidRPr="00C503B7">
        <w:rPr>
          <w:rFonts w:cs="Traditional Arabic" w:hint="cs"/>
          <w:b/>
          <w:bCs/>
          <w:sz w:val="20"/>
          <w:szCs w:val="30"/>
          <w:rtl/>
          <w:lang w:bidi="ar-EG"/>
        </w:rPr>
        <w:t>المراجع</w:t>
      </w:r>
      <w:bookmarkEnd w:id="2110"/>
      <w:bookmarkEnd w:id="2111"/>
      <w:bookmarkEnd w:id="2112"/>
      <w:bookmarkEnd w:id="2113"/>
      <w:bookmarkEnd w:id="2114"/>
      <w:bookmarkEnd w:id="2115"/>
      <w:bookmarkEnd w:id="2116"/>
      <w:bookmarkEnd w:id="2117"/>
      <w:bookmarkEnd w:id="2118"/>
      <w:bookmarkEnd w:id="2119"/>
    </w:p>
    <w:p w:rsidR="00335E4B" w:rsidRPr="00335E4B" w:rsidRDefault="00335E4B" w:rsidP="00335E4B">
      <w:pPr>
        <w:bidi w:val="0"/>
        <w:spacing w:before="120" w:after="120"/>
        <w:ind w:left="142"/>
        <w:jc w:val="both"/>
        <w:rPr>
          <w:rFonts w:eastAsia="SimSun" w:cs="Times New Roman"/>
          <w:noProof/>
          <w:sz w:val="20"/>
          <w:szCs w:val="20"/>
        </w:rPr>
      </w:pPr>
      <w:r w:rsidRPr="00335E4B">
        <w:rPr>
          <w:rFonts w:eastAsia="SimSun" w:cs="Times New Roman"/>
          <w:sz w:val="20"/>
          <w:szCs w:val="20"/>
        </w:rPr>
        <w:fldChar w:fldCharType="begin"/>
      </w:r>
      <w:r w:rsidRPr="00335E4B">
        <w:rPr>
          <w:rFonts w:eastAsia="SimSun" w:cs="Times New Roman"/>
          <w:sz w:val="20"/>
          <w:szCs w:val="20"/>
        </w:rPr>
        <w:instrText xml:space="preserve"> ADDIN EN.REFLIST </w:instrText>
      </w:r>
      <w:r w:rsidRPr="00335E4B">
        <w:rPr>
          <w:rFonts w:eastAsia="SimSun" w:cs="Times New Roman"/>
          <w:sz w:val="20"/>
          <w:szCs w:val="20"/>
        </w:rPr>
        <w:fldChar w:fldCharType="separate"/>
      </w:r>
      <w:bookmarkStart w:id="2120" w:name="_ENREF_1"/>
      <w:r w:rsidRPr="00335E4B">
        <w:rPr>
          <w:rFonts w:eastAsia="SimSun" w:cs="Times New Roman"/>
          <w:noProof/>
          <w:sz w:val="20"/>
          <w:szCs w:val="20"/>
        </w:rPr>
        <w:t>UNEP (2008). Technical Background Report to the Global Atmospheric Mercury Assessment, Arctic Monitoring and Assessment Programme/UNEP Chemicals Branch, 159 pp.</w:t>
      </w:r>
      <w:bookmarkEnd w:id="2120"/>
    </w:p>
    <w:p w:rsidR="00335E4B" w:rsidRPr="005800D5" w:rsidRDefault="00335E4B" w:rsidP="00335E4B">
      <w:pPr>
        <w:bidi w:val="0"/>
        <w:spacing w:before="120" w:after="120"/>
        <w:ind w:left="142"/>
        <w:jc w:val="both"/>
        <w:rPr>
          <w:rFonts w:eastAsia="SimSun" w:cs="Times New Roman"/>
          <w:noProof/>
          <w:sz w:val="20"/>
          <w:szCs w:val="20"/>
        </w:rPr>
      </w:pPr>
      <w:bookmarkStart w:id="2121" w:name="_ENREF_2"/>
      <w:r w:rsidRPr="00335E4B">
        <w:rPr>
          <w:rFonts w:eastAsia="SimSun" w:cs="Times New Roman"/>
          <w:noProof/>
          <w:sz w:val="20"/>
          <w:szCs w:val="20"/>
        </w:rPr>
        <w:t xml:space="preserve">UNEP (2013). Technical Background Report for the Global Mercury Assessment 2013, Arctic Monitoring and Assessment Programme/UNEP Chemicals Branch, vi + 263 </w:t>
      </w:r>
      <w:r w:rsidRPr="005800D5">
        <w:rPr>
          <w:rFonts w:eastAsia="SimSun" w:cs="Times New Roman"/>
          <w:noProof/>
          <w:sz w:val="20"/>
          <w:szCs w:val="20"/>
        </w:rPr>
        <w:t>pp.</w:t>
      </w:r>
      <w:bookmarkEnd w:id="2121"/>
    </w:p>
    <w:p w:rsidR="00335E4B" w:rsidRPr="005800D5" w:rsidRDefault="00335E4B" w:rsidP="00335E4B">
      <w:pPr>
        <w:bidi w:val="0"/>
        <w:spacing w:before="120" w:after="120"/>
        <w:ind w:left="142"/>
        <w:jc w:val="both"/>
        <w:rPr>
          <w:rFonts w:eastAsia="SimSun" w:cs="Times New Roman"/>
          <w:noProof/>
          <w:sz w:val="20"/>
          <w:szCs w:val="20"/>
        </w:rPr>
      </w:pPr>
      <w:bookmarkStart w:id="2122" w:name="_ENREF_3"/>
      <w:r w:rsidRPr="005800D5">
        <w:rPr>
          <w:rFonts w:eastAsia="SimSun" w:cs="Times New Roman"/>
          <w:noProof/>
          <w:sz w:val="20"/>
          <w:szCs w:val="20"/>
        </w:rPr>
        <w:t xml:space="preserve">BREF NFM (2014). Best Available Techniques Reference Document for the Non Ferrous Metals Industries (BREF NFM), available at: </w:t>
      </w:r>
      <w:hyperlink r:id="rId45" w:history="1">
        <w:r w:rsidRPr="005800D5">
          <w:rPr>
            <w:rFonts w:eastAsia="SimSun" w:cs="Times New Roman"/>
            <w:noProof/>
            <w:sz w:val="20"/>
            <w:szCs w:val="20"/>
          </w:rPr>
          <w:t>http://eippcb.jrc.ec.europa.eu/reference/BREF/NFM_Final_Draft_10_2014.pdf</w:t>
        </w:r>
      </w:hyperlink>
      <w:r w:rsidRPr="005800D5">
        <w:rPr>
          <w:rFonts w:eastAsia="SimSun" w:cs="Times New Roman"/>
          <w:noProof/>
          <w:sz w:val="20"/>
          <w:szCs w:val="20"/>
        </w:rPr>
        <w:t>, IPTS, Joint Research Centre (JRC), European Commission, Seville, Spain, 1242 pp.</w:t>
      </w:r>
      <w:bookmarkEnd w:id="2122"/>
    </w:p>
    <w:p w:rsidR="00335E4B" w:rsidRPr="00335E4B" w:rsidRDefault="00335E4B" w:rsidP="00335E4B">
      <w:pPr>
        <w:bidi w:val="0"/>
        <w:spacing w:before="120" w:after="120"/>
        <w:ind w:left="142"/>
        <w:jc w:val="both"/>
        <w:rPr>
          <w:rFonts w:eastAsia="SimSun" w:cs="Times New Roman"/>
          <w:noProof/>
          <w:sz w:val="20"/>
          <w:szCs w:val="20"/>
        </w:rPr>
      </w:pPr>
      <w:bookmarkStart w:id="2123" w:name="_ENREF_4"/>
      <w:r w:rsidRPr="00335E4B">
        <w:rPr>
          <w:rFonts w:eastAsia="SimSun" w:cs="Times New Roman"/>
          <w:noProof/>
          <w:sz w:val="20"/>
          <w:szCs w:val="20"/>
        </w:rPr>
        <w:t xml:space="preserve">Coleman, R.T.J. (1978). Emerging Technology in the Primary Copper Industry. Prepared for the U.S, EPA; data2.collectionscanada.ca/pdf/pdf001/p000001003.pdf; accessed on 7 April 2014, </w:t>
      </w:r>
      <w:bookmarkStart w:id="2124" w:name="_ENREF_5"/>
      <w:bookmarkEnd w:id="2123"/>
      <w:r w:rsidRPr="00335E4B">
        <w:rPr>
          <w:rFonts w:eastAsia="SimSun" w:cs="Times New Roman"/>
          <w:noProof/>
          <w:sz w:val="20"/>
          <w:szCs w:val="20"/>
        </w:rPr>
        <w:t>Habashi, F. (1978). Metallurgical plants: how mercury pollution is abated. Environmental Science &amp; Technology 12, pp. 1372–1376.</w:t>
      </w:r>
      <w:bookmarkEnd w:id="2124"/>
    </w:p>
    <w:p w:rsidR="00335E4B" w:rsidRPr="00335E4B" w:rsidRDefault="00335E4B" w:rsidP="00335E4B">
      <w:pPr>
        <w:bidi w:val="0"/>
        <w:spacing w:before="120" w:after="120"/>
        <w:ind w:left="142"/>
        <w:jc w:val="both"/>
        <w:rPr>
          <w:rFonts w:eastAsia="SimSun" w:cs="Times New Roman"/>
          <w:noProof/>
          <w:sz w:val="20"/>
          <w:szCs w:val="20"/>
        </w:rPr>
      </w:pPr>
      <w:bookmarkStart w:id="2125" w:name="_ENREF_6"/>
      <w:r w:rsidRPr="00335E4B">
        <w:rPr>
          <w:rFonts w:eastAsia="SimSun" w:cs="Times New Roman"/>
          <w:noProof/>
          <w:sz w:val="20"/>
          <w:szCs w:val="20"/>
        </w:rPr>
        <w:t>Holmström, Å., L. Hedström, A. Målsnes (2012). Gas Cleaning Technologies in Metal Smelters with Focus on Mercury. Sino-Swedish Cooperation on Capacity Building for Mercury Control and Management in China (2012–2013). Outotec.</w:t>
      </w:r>
      <w:bookmarkEnd w:id="2125"/>
    </w:p>
    <w:p w:rsidR="00335E4B" w:rsidRPr="00335E4B" w:rsidRDefault="00335E4B" w:rsidP="00335E4B">
      <w:pPr>
        <w:bidi w:val="0"/>
        <w:spacing w:before="120" w:after="120"/>
        <w:ind w:left="142"/>
        <w:jc w:val="both"/>
        <w:rPr>
          <w:rFonts w:eastAsia="SimSun" w:cs="Times New Roman"/>
          <w:noProof/>
          <w:sz w:val="20"/>
          <w:szCs w:val="20"/>
        </w:rPr>
      </w:pPr>
      <w:bookmarkStart w:id="2126" w:name="_ENREF_7"/>
      <w:r w:rsidRPr="00335E4B">
        <w:rPr>
          <w:rFonts w:eastAsia="SimSun" w:cs="Times New Roman"/>
          <w:noProof/>
          <w:sz w:val="20"/>
          <w:szCs w:val="20"/>
        </w:rPr>
        <w:t>Hultbom, K. B. (2003). Industrially proven methods for mercury removal from gases. EPD congress, The Minerals, Metals &amp; Materials Society (TMS).</w:t>
      </w:r>
      <w:bookmarkEnd w:id="2126"/>
    </w:p>
    <w:p w:rsidR="00335E4B" w:rsidRPr="00335E4B" w:rsidRDefault="00335E4B" w:rsidP="00335E4B">
      <w:pPr>
        <w:bidi w:val="0"/>
        <w:spacing w:before="120" w:after="120"/>
        <w:ind w:left="142"/>
        <w:jc w:val="both"/>
        <w:rPr>
          <w:rFonts w:eastAsia="SimSun" w:cs="Times New Roman"/>
          <w:noProof/>
          <w:sz w:val="20"/>
          <w:szCs w:val="20"/>
        </w:rPr>
      </w:pPr>
      <w:r w:rsidRPr="00335E4B">
        <w:rPr>
          <w:rFonts w:eastAsia="SimSun" w:cs="Times New Roman"/>
          <w:noProof/>
          <w:sz w:val="20"/>
          <w:szCs w:val="20"/>
        </w:rPr>
        <w:t>Krumins T. , C. Stunguris, L. Zunti and S Blaskovich (2013). Mercury removeal from pressure oxidation vent gas at Newmont Mining Corporation’s Twin Creek Facility. Proceedings of Materials Science and Technology. Montreal QC; The Minerals, Metals and Materials Society, 129-144</w:t>
      </w:r>
    </w:p>
    <w:p w:rsidR="00335E4B" w:rsidRPr="00335E4B" w:rsidRDefault="00335E4B" w:rsidP="00335E4B">
      <w:pPr>
        <w:bidi w:val="0"/>
        <w:spacing w:before="120" w:after="120"/>
        <w:ind w:left="142"/>
        <w:jc w:val="both"/>
        <w:rPr>
          <w:rFonts w:eastAsia="SimSun" w:cs="Times New Roman"/>
          <w:noProof/>
          <w:sz w:val="20"/>
          <w:szCs w:val="20"/>
        </w:rPr>
      </w:pPr>
      <w:bookmarkStart w:id="2127" w:name="_ENREF_8"/>
      <w:r w:rsidRPr="00335E4B">
        <w:rPr>
          <w:rFonts w:eastAsia="SimSun" w:cs="Times New Roman"/>
          <w:noProof/>
          <w:sz w:val="20"/>
          <w:szCs w:val="20"/>
        </w:rPr>
        <w:t>Morgan, S. (1968). The Place of the Imperial Smelting Process in Non-ferrous Metallurgy.</w:t>
      </w:r>
      <w:bookmarkEnd w:id="2127"/>
    </w:p>
    <w:p w:rsidR="00335E4B" w:rsidRPr="00335E4B" w:rsidRDefault="00335E4B" w:rsidP="00335E4B">
      <w:pPr>
        <w:bidi w:val="0"/>
        <w:spacing w:before="120" w:after="120"/>
        <w:ind w:left="142"/>
        <w:jc w:val="both"/>
        <w:rPr>
          <w:rFonts w:eastAsia="SimSun" w:cs="Times New Roman"/>
          <w:noProof/>
          <w:sz w:val="20"/>
          <w:szCs w:val="20"/>
        </w:rPr>
      </w:pPr>
      <w:bookmarkStart w:id="2128" w:name="_ENREF_9"/>
      <w:r w:rsidRPr="00335E4B">
        <w:rPr>
          <w:rFonts w:eastAsia="SimSun" w:cs="Times New Roman"/>
          <w:noProof/>
          <w:sz w:val="20"/>
          <w:szCs w:val="20"/>
          <w:lang w:val="fr-CH"/>
        </w:rPr>
        <w:t xml:space="preserve">Reimers, J. H., et al. </w:t>
      </w:r>
      <w:r w:rsidRPr="00335E4B">
        <w:rPr>
          <w:rFonts w:eastAsia="SimSun" w:cs="Times New Roman"/>
          <w:noProof/>
          <w:sz w:val="20"/>
          <w:szCs w:val="20"/>
        </w:rPr>
        <w:t>(1976). A review of Process Technology in Gases in the Nonferrous Metallurgical Industry for the Air Pollution Control Directorate, nepis.epa.gov/Exe/ZyPURL.cgi?Dockey=91018I2W.txt; accessed on 7 April 2014, Jan H. Reimers and Associates Limited, Metturlugical Consulting Engineers, Oakville, Ontario, Canada.</w:t>
      </w:r>
      <w:bookmarkEnd w:id="2128"/>
    </w:p>
    <w:p w:rsidR="00335E4B" w:rsidRPr="00335E4B" w:rsidRDefault="00335E4B" w:rsidP="00335E4B">
      <w:pPr>
        <w:bidi w:val="0"/>
        <w:spacing w:before="120" w:after="120"/>
        <w:ind w:left="142"/>
        <w:jc w:val="both"/>
        <w:rPr>
          <w:rFonts w:eastAsia="SimSun" w:cs="Times New Roman"/>
          <w:noProof/>
          <w:sz w:val="20"/>
          <w:szCs w:val="20"/>
        </w:rPr>
      </w:pPr>
      <w:bookmarkStart w:id="2129" w:name="_ENREF_10"/>
      <w:r w:rsidRPr="00335E4B">
        <w:rPr>
          <w:rFonts w:eastAsia="SimSun" w:cs="Times New Roman"/>
          <w:noProof/>
          <w:sz w:val="20"/>
          <w:szCs w:val="20"/>
        </w:rPr>
        <w:t>Schulze, A. (2009). Hugo Petersen – Competence in gas cleaning systems downstream nonferrous metalurgical plants. The Southern African Institute of Mining and Metallurgy – Sulphur and Sulphuric Acid Conference 2009, pp. 59–76.</w:t>
      </w:r>
      <w:bookmarkEnd w:id="2129"/>
      <w:r w:rsidRPr="00335E4B">
        <w:rPr>
          <w:rFonts w:eastAsia="SimSun" w:cs="Times New Roman"/>
          <w:noProof/>
          <w:sz w:val="20"/>
          <w:szCs w:val="20"/>
        </w:rPr>
        <w:t xml:space="preserve"> </w:t>
      </w:r>
    </w:p>
    <w:p w:rsidR="00335E4B" w:rsidRPr="00335E4B" w:rsidRDefault="00335E4B" w:rsidP="00335E4B">
      <w:pPr>
        <w:bidi w:val="0"/>
        <w:spacing w:before="120" w:after="120"/>
        <w:ind w:left="142"/>
        <w:jc w:val="both"/>
        <w:rPr>
          <w:rFonts w:eastAsia="SimSun" w:cs="Times New Roman"/>
          <w:noProof/>
          <w:sz w:val="20"/>
          <w:szCs w:val="20"/>
        </w:rPr>
      </w:pPr>
      <w:bookmarkStart w:id="2130" w:name="_ENREF_11"/>
      <w:r w:rsidRPr="00335E4B">
        <w:rPr>
          <w:rFonts w:eastAsia="SimSun" w:cs="Times New Roman"/>
          <w:noProof/>
          <w:sz w:val="20"/>
          <w:szCs w:val="20"/>
        </w:rPr>
        <w:t>Sundström, O. (1975). Mercury in Sulfuric Acid: Bolden Process Can Control Hg Levels during or after Manufacture. Sulfur No. 116, The British Sulfur Corp., January–February 1975</w:t>
      </w:r>
      <w:r w:rsidRPr="00335E4B">
        <w:rPr>
          <w:rFonts w:eastAsia="SimSun" w:cs="Times New Roman"/>
          <w:b/>
          <w:noProof/>
          <w:sz w:val="20"/>
          <w:szCs w:val="20"/>
        </w:rPr>
        <w:t xml:space="preserve">: </w:t>
      </w:r>
      <w:r w:rsidRPr="00335E4B">
        <w:rPr>
          <w:rFonts w:eastAsia="SimSun" w:cs="Times New Roman"/>
          <w:noProof/>
          <w:sz w:val="20"/>
          <w:szCs w:val="20"/>
        </w:rPr>
        <w:t>pp. 37–43.</w:t>
      </w:r>
      <w:bookmarkEnd w:id="2130"/>
    </w:p>
    <w:p w:rsidR="00335E4B" w:rsidRPr="00335E4B" w:rsidRDefault="00335E4B" w:rsidP="00335E4B">
      <w:pPr>
        <w:bidi w:val="0"/>
        <w:spacing w:before="120" w:after="120"/>
        <w:ind w:left="142"/>
        <w:jc w:val="both"/>
        <w:rPr>
          <w:rFonts w:cs="Times New Roman"/>
          <w:sz w:val="20"/>
          <w:szCs w:val="20"/>
          <w:lang w:bidi="ar-EG"/>
        </w:rPr>
      </w:pPr>
      <w:bookmarkStart w:id="2131" w:name="_ENREF_12"/>
      <w:r w:rsidRPr="00335E4B">
        <w:rPr>
          <w:rFonts w:eastAsia="SimSun" w:cs="Times New Roman"/>
          <w:noProof/>
          <w:sz w:val="20"/>
          <w:szCs w:val="20"/>
        </w:rPr>
        <w:t>Takaoka, M., D. Hamaguchi, R. Shinmura, T. Sekiguchi, H. Tokuichi (2012). Removal of mercury and sulfuric acid production in ISP zinc smelting.</w:t>
      </w:r>
      <w:bookmarkEnd w:id="2131"/>
      <w:r w:rsidRPr="00335E4B">
        <w:rPr>
          <w:rFonts w:eastAsia="SimSun" w:cs="Times New Roman"/>
          <w:noProof/>
          <w:sz w:val="20"/>
          <w:szCs w:val="20"/>
        </w:rPr>
        <w:t xml:space="preserve"> International Conference on Mercury as a Global Pollutant, Abstract 16-PP-107.</w:t>
      </w:r>
      <w:bookmarkStart w:id="2132" w:name="_ENREF_13"/>
    </w:p>
    <w:p w:rsidR="00335E4B" w:rsidRPr="00335E4B" w:rsidRDefault="00335E4B" w:rsidP="00335E4B">
      <w:pPr>
        <w:bidi w:val="0"/>
        <w:spacing w:before="120" w:after="120"/>
        <w:ind w:left="142"/>
        <w:jc w:val="both"/>
        <w:rPr>
          <w:rFonts w:cs="Times New Roman"/>
          <w:sz w:val="20"/>
          <w:szCs w:val="20"/>
          <w:rtl/>
          <w:lang w:bidi="ar-EG"/>
        </w:rPr>
      </w:pPr>
      <w:r w:rsidRPr="00335E4B">
        <w:rPr>
          <w:rFonts w:eastAsia="SimSun" w:cs="Times New Roman"/>
          <w:noProof/>
          <w:sz w:val="20"/>
          <w:szCs w:val="20"/>
        </w:rPr>
        <w:t>UNECE (2013). Guidance document on best available techniques for controlling emissions of heavy metals and their compounds from the source categories listed in annex II to the Protocol on Heavy Metals, UN Economic Commission for Europe: Executive Body for the Convention on Long-range Transboundary Air Pollution, 33 pp.</w:t>
      </w:r>
      <w:bookmarkEnd w:id="2132"/>
      <w:r w:rsidRPr="00335E4B">
        <w:rPr>
          <w:rFonts w:eastAsia="SimSun" w:cs="Times New Roman"/>
          <w:sz w:val="20"/>
          <w:szCs w:val="20"/>
        </w:rPr>
        <w:fldChar w:fldCharType="end"/>
      </w:r>
    </w:p>
    <w:p w:rsidR="00335E4B" w:rsidRPr="00335E4B" w:rsidRDefault="00335E4B" w:rsidP="00F157CD">
      <w:pPr>
        <w:spacing w:after="240" w:line="400" w:lineRule="exact"/>
        <w:ind w:firstLine="720"/>
        <w:jc w:val="both"/>
        <w:rPr>
          <w:rFonts w:cs="Traditional Arabic"/>
          <w:b/>
          <w:bCs/>
          <w:sz w:val="32"/>
          <w:szCs w:val="32"/>
          <w:rtl/>
        </w:rPr>
      </w:pPr>
      <w:r w:rsidRPr="00335E4B">
        <w:rPr>
          <w:rFonts w:cs="Traditional Arabic"/>
          <w:b/>
          <w:bCs/>
          <w:sz w:val="32"/>
          <w:szCs w:val="32"/>
          <w:rtl/>
        </w:rPr>
        <w:br w:type="page"/>
      </w:r>
      <w:r w:rsidR="00310FC3">
        <w:rPr>
          <w:rFonts w:cs="Traditional Arabic" w:hint="cs"/>
          <w:b/>
          <w:bCs/>
          <w:sz w:val="32"/>
          <w:szCs w:val="32"/>
          <w:rtl/>
        </w:rPr>
        <w:t>الفصل</w:t>
      </w:r>
      <w:r w:rsidRPr="00335E4B">
        <w:rPr>
          <w:rFonts w:cs="Traditional Arabic" w:hint="cs"/>
          <w:b/>
          <w:bCs/>
          <w:sz w:val="32"/>
          <w:szCs w:val="32"/>
          <w:rtl/>
        </w:rPr>
        <w:t xml:space="preserve"> السادس</w:t>
      </w:r>
    </w:p>
    <w:p w:rsidR="00335E4B" w:rsidRPr="00335E4B" w:rsidRDefault="00335E4B" w:rsidP="00F157CD">
      <w:pPr>
        <w:spacing w:after="240" w:line="400" w:lineRule="exact"/>
        <w:ind w:firstLine="720"/>
        <w:jc w:val="both"/>
        <w:rPr>
          <w:rFonts w:cs="Traditional Arabic"/>
          <w:b/>
          <w:bCs/>
          <w:sz w:val="32"/>
          <w:szCs w:val="32"/>
          <w:rtl/>
        </w:rPr>
      </w:pPr>
      <w:r w:rsidRPr="00335E4B">
        <w:rPr>
          <w:rFonts w:cs="Traditional Arabic" w:hint="cs"/>
          <w:b/>
          <w:bCs/>
          <w:sz w:val="32"/>
          <w:szCs w:val="32"/>
          <w:rtl/>
        </w:rPr>
        <w:t>مرافق حرق النفايات</w:t>
      </w:r>
    </w:p>
    <w:p w:rsidR="00335E4B" w:rsidRPr="00335E4B" w:rsidRDefault="00335E4B" w:rsidP="00335E4B">
      <w:pPr>
        <w:spacing w:after="120" w:line="400" w:lineRule="exact"/>
        <w:jc w:val="both"/>
        <w:rPr>
          <w:rFonts w:cs="Traditional Arabic"/>
          <w:b/>
          <w:bCs/>
          <w:sz w:val="32"/>
          <w:szCs w:val="32"/>
          <w:rtl/>
        </w:rPr>
      </w:pPr>
      <w:r w:rsidRPr="00335E4B">
        <w:rPr>
          <w:rFonts w:cs="Traditional Arabic" w:hint="cs"/>
          <w:b/>
          <w:bCs/>
          <w:sz w:val="32"/>
          <w:szCs w:val="32"/>
          <w:rtl/>
        </w:rPr>
        <w:t>موجز</w:t>
      </w:r>
    </w:p>
    <w:p w:rsidR="00335E4B" w:rsidRPr="00335E4B" w:rsidRDefault="00335E4B" w:rsidP="00335E4B">
      <w:pPr>
        <w:pBdr>
          <w:top w:val="single" w:sz="4" w:space="8" w:color="auto"/>
          <w:left w:val="single" w:sz="4" w:space="4" w:color="auto"/>
          <w:bottom w:val="single" w:sz="4" w:space="8" w:color="auto"/>
          <w:right w:val="single" w:sz="4" w:space="4" w:color="auto"/>
        </w:pBdr>
        <w:tabs>
          <w:tab w:val="left" w:pos="624"/>
        </w:tabs>
        <w:spacing w:after="120" w:line="360" w:lineRule="exact"/>
        <w:jc w:val="both"/>
        <w:rPr>
          <w:rFonts w:ascii="Traditional Arabic" w:hAnsi="Traditional Arabic" w:cs="Traditional Arabic"/>
          <w:sz w:val="28"/>
          <w:rtl/>
        </w:rPr>
      </w:pPr>
      <w:r w:rsidRPr="00335E4B">
        <w:rPr>
          <w:rFonts w:ascii="Traditional Arabic" w:hAnsi="Traditional Arabic" w:cs="Traditional Arabic" w:hint="cs"/>
          <w:sz w:val="28"/>
          <w:rtl/>
        </w:rPr>
        <w:t xml:space="preserve">حُددت مرافق حرق النفايات في اتفاقية ميناماتا على أنها واحدة من المصادر الصناعية الرئيسية لانبعاثات الزئبق. وأدرجت هذه الفئة في المرفق دال بالاتفاقية. </w:t>
      </w:r>
    </w:p>
    <w:p w:rsidR="00335E4B" w:rsidRPr="00335E4B" w:rsidRDefault="00335E4B" w:rsidP="00335E4B">
      <w:pPr>
        <w:pBdr>
          <w:top w:val="single" w:sz="4" w:space="8" w:color="auto"/>
          <w:left w:val="single" w:sz="4" w:space="4" w:color="auto"/>
          <w:bottom w:val="single" w:sz="4" w:space="8" w:color="auto"/>
          <w:right w:val="single" w:sz="4" w:space="4" w:color="auto"/>
        </w:pBdr>
        <w:tabs>
          <w:tab w:val="left" w:pos="624"/>
        </w:tabs>
        <w:spacing w:after="120" w:line="360" w:lineRule="exact"/>
        <w:jc w:val="both"/>
        <w:rPr>
          <w:rFonts w:ascii="Traditional Arabic" w:hAnsi="Traditional Arabic" w:cs="Traditional Arabic"/>
          <w:sz w:val="28"/>
          <w:rtl/>
        </w:rPr>
      </w:pPr>
      <w:r w:rsidRPr="00335E4B">
        <w:rPr>
          <w:rFonts w:ascii="Traditional Arabic" w:hAnsi="Traditional Arabic" w:cs="Traditional Arabic" w:hint="cs"/>
          <w:sz w:val="28"/>
          <w:rtl/>
        </w:rPr>
        <w:t>وتشمل الأغراض المحتملة لحرق النفايات خفض كمياتها أو استعادة الطاقة منها أو تدميرها أو على الأقل، التقليل إلى أدنى حد ممكن من المكونات الخطرة، والتطهير واستعادة بعض المخلفات.</w:t>
      </w:r>
    </w:p>
    <w:p w:rsidR="00335E4B" w:rsidRPr="00335E4B" w:rsidRDefault="00335E4B" w:rsidP="00335E4B">
      <w:pPr>
        <w:pBdr>
          <w:top w:val="single" w:sz="4" w:space="8" w:color="auto"/>
          <w:left w:val="single" w:sz="4" w:space="4" w:color="auto"/>
          <w:bottom w:val="single" w:sz="4" w:space="8" w:color="auto"/>
          <w:right w:val="single" w:sz="4" w:space="4" w:color="auto"/>
        </w:pBdr>
        <w:tabs>
          <w:tab w:val="left" w:pos="624"/>
        </w:tabs>
        <w:spacing w:after="120" w:line="360" w:lineRule="exact"/>
        <w:jc w:val="both"/>
        <w:rPr>
          <w:rFonts w:ascii="Traditional Arabic" w:hAnsi="Traditional Arabic" w:cs="Traditional Arabic"/>
          <w:sz w:val="28"/>
          <w:rtl/>
        </w:rPr>
      </w:pPr>
      <w:r w:rsidRPr="00335E4B">
        <w:rPr>
          <w:rFonts w:ascii="Traditional Arabic" w:hAnsi="Traditional Arabic" w:cs="Traditional Arabic" w:hint="cs"/>
          <w:sz w:val="28"/>
          <w:rtl/>
        </w:rPr>
        <w:t>ولتحقيق أفضل النتائج لحماية البيئة ككل فإن من الضروري تنسيق عملية حرق النفايات مع أنشطة المراحل الأولى (مثلاً تقنيات إدارة النفايات) وأنشطة المراحل النهائية (مثل التخلص من المخلفات الصلبة لحرق النفايات).</w:t>
      </w:r>
    </w:p>
    <w:p w:rsidR="00335E4B" w:rsidRPr="00335E4B" w:rsidRDefault="00335E4B" w:rsidP="00335E4B">
      <w:pPr>
        <w:pBdr>
          <w:top w:val="single" w:sz="4" w:space="8" w:color="auto"/>
          <w:left w:val="single" w:sz="4" w:space="4" w:color="auto"/>
          <w:bottom w:val="single" w:sz="4" w:space="8" w:color="auto"/>
          <w:right w:val="single" w:sz="4" w:space="4" w:color="auto"/>
        </w:pBdr>
        <w:tabs>
          <w:tab w:val="left" w:pos="624"/>
        </w:tabs>
        <w:spacing w:after="120" w:line="360" w:lineRule="exact"/>
        <w:jc w:val="both"/>
        <w:rPr>
          <w:rFonts w:ascii="Traditional Arabic" w:hAnsi="Traditional Arabic" w:cs="Traditional Arabic"/>
          <w:sz w:val="28"/>
          <w:rtl/>
        </w:rPr>
      </w:pPr>
      <w:r w:rsidRPr="00335E4B">
        <w:rPr>
          <w:rFonts w:ascii="Traditional Arabic" w:hAnsi="Traditional Arabic" w:cs="Traditional Arabic" w:hint="cs"/>
          <w:sz w:val="28"/>
          <w:rtl/>
        </w:rPr>
        <w:t>وعند النظر في مقترحات لإنشاء أفران جديدة لحرق النفايات فإنه يتعين إيلاء الاعتبار لبدائل مثل الأنشطة الرامية للتقليل إلى أدنى حد ممكن من توليد النفايات، بما في ذلك استعادة الموارد وإعادة استخدامها وإعادة تدويرها وفصل النفايات وتعزيز المنتجات التي لا تولد الزئبق أو تساهم بكميات أقل منه في مسارات النفايات. كذلك يتعين إيلاء الاعتبار لنُهُج تمنع دخول الزئبق إلى النفايات التي سيتم حرقها.</w:t>
      </w:r>
    </w:p>
    <w:p w:rsidR="00335E4B" w:rsidRPr="00335E4B" w:rsidRDefault="00335E4B" w:rsidP="00335E4B">
      <w:pPr>
        <w:pBdr>
          <w:top w:val="single" w:sz="4" w:space="8" w:color="auto"/>
          <w:left w:val="single" w:sz="4" w:space="4" w:color="auto"/>
          <w:bottom w:val="single" w:sz="4" w:space="8" w:color="auto"/>
          <w:right w:val="single" w:sz="4" w:space="4" w:color="auto"/>
        </w:pBdr>
        <w:tabs>
          <w:tab w:val="left" w:pos="624"/>
        </w:tabs>
        <w:spacing w:after="120" w:line="360" w:lineRule="exact"/>
        <w:jc w:val="both"/>
        <w:rPr>
          <w:rFonts w:ascii="Traditional Arabic" w:hAnsi="Traditional Arabic" w:cs="Traditional Arabic"/>
          <w:sz w:val="28"/>
          <w:rtl/>
        </w:rPr>
      </w:pPr>
      <w:r w:rsidRPr="00335E4B">
        <w:rPr>
          <w:rFonts w:ascii="Traditional Arabic" w:hAnsi="Traditional Arabic" w:cs="Traditional Arabic" w:hint="cs"/>
          <w:sz w:val="28"/>
          <w:rtl/>
        </w:rPr>
        <w:t>ويتطلب التصميم والتشغيل السليمان بيئياً لأفران حرق النفايات استخدام أفضل التقنيات المتاحة وأفضل الممارسات البيئية معاً، وهما أمران متداخلان إلى حد ما، بهدف منع انبعاثات المواد الضارة مثل الزئبق أو التقليل منها إلى أدنى حد ممكن.</w:t>
      </w:r>
    </w:p>
    <w:p w:rsidR="00335E4B" w:rsidRPr="00335E4B" w:rsidRDefault="00335E4B" w:rsidP="00335E4B">
      <w:pPr>
        <w:pBdr>
          <w:top w:val="single" w:sz="4" w:space="8" w:color="auto"/>
          <w:left w:val="single" w:sz="4" w:space="4" w:color="auto"/>
          <w:bottom w:val="single" w:sz="4" w:space="8" w:color="auto"/>
          <w:right w:val="single" w:sz="4" w:space="4" w:color="auto"/>
        </w:pBdr>
        <w:tabs>
          <w:tab w:val="left" w:pos="624"/>
        </w:tabs>
        <w:spacing w:after="120" w:line="360" w:lineRule="exact"/>
        <w:jc w:val="both"/>
        <w:rPr>
          <w:rFonts w:ascii="Traditional Arabic" w:hAnsi="Traditional Arabic" w:cs="Traditional Arabic"/>
          <w:sz w:val="28"/>
          <w:rtl/>
        </w:rPr>
      </w:pPr>
      <w:r w:rsidRPr="00335E4B">
        <w:rPr>
          <w:rFonts w:ascii="Traditional Arabic" w:hAnsi="Traditional Arabic" w:cs="Traditional Arabic" w:hint="cs"/>
          <w:sz w:val="28"/>
          <w:rtl/>
        </w:rPr>
        <w:t>وتشمل أفضل الممارسات البيئية لحرق النفايات اتخاذ الإجراءات الملائمة خارج الموقع مثل الإدارة العامة للنفايات ودراسة الآثار البيئية لتحديد الموقع واتخاذ الإجراءات في الموقع مثل فحص النفايات والمناولة الجيدة للنفايات وتشغيل الفرن والممارسات المتعلقة بالإدارة ومناولة المخلفات.</w:t>
      </w:r>
    </w:p>
    <w:p w:rsidR="00335E4B" w:rsidRPr="00335E4B" w:rsidRDefault="00335E4B" w:rsidP="005800D5">
      <w:pPr>
        <w:pBdr>
          <w:top w:val="single" w:sz="4" w:space="8" w:color="auto"/>
          <w:left w:val="single" w:sz="4" w:space="4" w:color="auto"/>
          <w:bottom w:val="single" w:sz="4" w:space="8" w:color="auto"/>
          <w:right w:val="single" w:sz="4" w:space="4" w:color="auto"/>
        </w:pBdr>
        <w:tabs>
          <w:tab w:val="left" w:pos="624"/>
        </w:tabs>
        <w:spacing w:after="120" w:line="360" w:lineRule="exact"/>
        <w:jc w:val="both"/>
        <w:rPr>
          <w:rFonts w:ascii="Traditional Arabic" w:hAnsi="Traditional Arabic" w:cs="Traditional Arabic"/>
          <w:sz w:val="28"/>
          <w:rtl/>
        </w:rPr>
      </w:pPr>
      <w:r w:rsidRPr="00335E4B">
        <w:rPr>
          <w:rFonts w:ascii="Traditional Arabic" w:hAnsi="Traditional Arabic" w:cs="Traditional Arabic" w:hint="cs"/>
          <w:sz w:val="28"/>
          <w:rtl/>
        </w:rPr>
        <w:t>أما أفضل التقنيات المتاحة لحرق النفايات فتشمل الاختيار الجيد للموقع وإدخال النفايات والتحكم فيها وتقنيات الحرق ومعالجة غازات المداخن والمخلفات الصلبة والنفايات السائلة. ويمكن أن تشمل أفضل التقنيات المتاحة للتحكم في انبعاثات الزئبق من مرافق حرق النفايات أجهزة الشطف العالية الكفاءة مع إضافة مكونات في محلول جهاز الشطف، وأجهزة الشطف مع حقن المواد الكيميائية المحتوية على البروم داخل غرفة الاحتراق، أو حقن الكربون المنشط مع المرشح النسيجي. ويمكن، في حال وجود مستويات عالية من الزئبق في الغاز الخام، استخدام توليفة من التقنيات المذكورة أعلاه.</w:t>
      </w:r>
    </w:p>
    <w:p w:rsidR="00335E4B" w:rsidRPr="00335E4B" w:rsidRDefault="00335E4B" w:rsidP="00335E4B">
      <w:pPr>
        <w:pBdr>
          <w:top w:val="single" w:sz="4" w:space="8" w:color="auto"/>
          <w:left w:val="single" w:sz="4" w:space="4" w:color="auto"/>
          <w:bottom w:val="single" w:sz="4" w:space="8" w:color="auto"/>
          <w:right w:val="single" w:sz="4" w:space="4" w:color="auto"/>
        </w:pBdr>
        <w:tabs>
          <w:tab w:val="left" w:pos="624"/>
        </w:tabs>
        <w:spacing w:after="120" w:line="360" w:lineRule="exact"/>
        <w:jc w:val="both"/>
        <w:rPr>
          <w:rFonts w:ascii="Traditional Arabic" w:hAnsi="Traditional Arabic" w:cs="Traditional Arabic"/>
          <w:sz w:val="28"/>
          <w:rtl/>
        </w:rPr>
      </w:pPr>
      <w:r w:rsidRPr="00335E4B">
        <w:rPr>
          <w:rFonts w:ascii="Traditional Arabic" w:hAnsi="Traditional Arabic" w:cs="Traditional Arabic" w:hint="cs"/>
          <w:sz w:val="28"/>
          <w:rtl/>
        </w:rPr>
        <w:t>وتحدث إطلاقات الزئبق من أفران حرق النفايات الصلبة البلدية المصممة والمشغلة مع أخذ أفضل الممارسات البيئية وأفضل التقنيات المتاحة في الاعتبار، وذلك بصورة أساسية من خلال الرماد المتطاير ورماد القاع وكسب المرشح الناتج عن معالجة المياه العادمة. وبناءً على ذلك فإن من الأهمية بمكان توفير حيز تصريف آمن لهذه الأنواع من النفايات، وذلك مثلاً من خلال المعالجة المسبقة لها والتخلص النهائي منها في مدافن نفايات مخصصة تُصمَّم وتشغل بأفضل التقنيات المتاحة.</w:t>
      </w:r>
    </w:p>
    <w:p w:rsidR="00335E4B" w:rsidRPr="00335E4B" w:rsidRDefault="00335E4B" w:rsidP="00335E4B">
      <w:pPr>
        <w:pBdr>
          <w:top w:val="single" w:sz="4" w:space="8" w:color="auto"/>
          <w:left w:val="single" w:sz="4" w:space="4" w:color="auto"/>
          <w:bottom w:val="single" w:sz="4" w:space="8" w:color="auto"/>
          <w:right w:val="single" w:sz="4" w:space="4" w:color="auto"/>
        </w:pBdr>
        <w:tabs>
          <w:tab w:val="left" w:pos="624"/>
        </w:tabs>
        <w:spacing w:after="120" w:line="360" w:lineRule="exact"/>
        <w:jc w:val="both"/>
        <w:rPr>
          <w:rFonts w:ascii="Traditional Arabic" w:hAnsi="Traditional Arabic" w:cs="Traditional Arabic"/>
          <w:sz w:val="28"/>
          <w:rtl/>
        </w:rPr>
      </w:pPr>
      <w:r w:rsidRPr="00335E4B">
        <w:rPr>
          <w:rFonts w:ascii="Traditional Arabic" w:hAnsi="Traditional Arabic" w:cs="Traditional Arabic" w:hint="cs"/>
          <w:sz w:val="28"/>
          <w:rtl/>
        </w:rPr>
        <w:t>وباستخدام توليفة مناسبة من التدابير الأولية والثانوية المشار إليها في هذا الفصل يمكن تحقيق انبعاثات الزئبق إلى الهواء بمقادير لا تزيد عن 1 إلى 10 ميكروغرام/م</w:t>
      </w:r>
      <w:r w:rsidRPr="00F233C1">
        <w:rPr>
          <w:rFonts w:ascii="Traditional Arabic" w:hAnsi="Traditional Arabic" w:cs="Traditional Arabic" w:hint="cs"/>
          <w:sz w:val="28"/>
          <w:vertAlign w:val="superscript"/>
          <w:rtl/>
        </w:rPr>
        <w:t>3</w:t>
      </w:r>
      <w:r w:rsidRPr="00335E4B">
        <w:rPr>
          <w:rFonts w:ascii="Traditional Arabic" w:hAnsi="Traditional Arabic" w:cs="Traditional Arabic" w:hint="cs"/>
          <w:sz w:val="28"/>
          <w:rtl/>
        </w:rPr>
        <w:t xml:space="preserve"> (عند أكسجين بنسبة 11 في المائة) وذلك باستخدام أفضل التقنيات المتاحة. وتجدر الإشارة كذلك إلى أنه في ظروف التشغيل الطبيعية يمكن تحقيق انبعاثات أقل من ذلك المستوى باستخدام منشأة حرق نفايات جيدة التصميم.</w:t>
      </w:r>
    </w:p>
    <w:p w:rsidR="00335E4B" w:rsidRPr="00335E4B" w:rsidRDefault="00335E4B" w:rsidP="00335E4B">
      <w:pPr>
        <w:spacing w:after="200" w:line="276" w:lineRule="auto"/>
        <w:jc w:val="both"/>
        <w:rPr>
          <w:rFonts w:eastAsia="SimSun" w:cs="Traditional Arabic"/>
          <w:b/>
          <w:bCs/>
          <w:kern w:val="32"/>
          <w:sz w:val="32"/>
          <w:szCs w:val="32"/>
          <w:rtl/>
        </w:rPr>
      </w:pPr>
    </w:p>
    <w:p w:rsidR="00335E4B" w:rsidRPr="00335E4B" w:rsidRDefault="00335E4B" w:rsidP="00335E4B">
      <w:pPr>
        <w:spacing w:after="240" w:line="400" w:lineRule="exact"/>
        <w:ind w:left="1134" w:hanging="709"/>
        <w:jc w:val="center"/>
        <w:rPr>
          <w:rFonts w:cs="Traditional Arabic"/>
          <w:b/>
          <w:bCs/>
          <w:sz w:val="32"/>
          <w:szCs w:val="32"/>
          <w:rtl/>
        </w:rPr>
      </w:pPr>
      <w:r w:rsidRPr="00335E4B">
        <w:rPr>
          <w:rFonts w:cs="Traditional Arabic"/>
          <w:b/>
          <w:bCs/>
          <w:sz w:val="30"/>
          <w:szCs w:val="30"/>
          <w:rtl/>
        </w:rPr>
        <w:br w:type="page"/>
      </w:r>
      <w:r w:rsidRPr="00335E4B">
        <w:rPr>
          <w:rFonts w:cs="Traditional Arabic" w:hint="cs"/>
          <w:b/>
          <w:bCs/>
          <w:sz w:val="30"/>
          <w:szCs w:val="30"/>
          <w:rtl/>
        </w:rPr>
        <w:t>جدول المحتويات</w:t>
      </w:r>
    </w:p>
    <w:p w:rsidR="00335E4B" w:rsidRPr="00730AE2" w:rsidRDefault="00335E4B" w:rsidP="00C503B7">
      <w:pPr>
        <w:tabs>
          <w:tab w:val="right" w:leader="dot" w:pos="9212"/>
        </w:tabs>
        <w:spacing w:after="120" w:line="340" w:lineRule="exact"/>
        <w:ind w:left="849" w:hanging="851"/>
        <w:jc w:val="both"/>
        <w:rPr>
          <w:rFonts w:cs="Traditional Arabic"/>
          <w:b/>
          <w:bCs/>
          <w:noProof/>
          <w:sz w:val="18"/>
          <w:rtl/>
          <w:lang w:bidi="ar-EG"/>
        </w:rPr>
      </w:pPr>
      <w:r w:rsidRPr="00730AE2">
        <w:rPr>
          <w:rFonts w:cs="Traditional Arabic" w:hint="cs"/>
          <w:b/>
          <w:bCs/>
          <w:noProof/>
          <w:sz w:val="18"/>
          <w:rtl/>
          <w:lang w:bidi="ar-EG"/>
        </w:rPr>
        <w:t>1-</w:t>
      </w:r>
      <w:r w:rsidRPr="00730AE2">
        <w:rPr>
          <w:rFonts w:cs="Traditional Arabic" w:hint="cs"/>
          <w:b/>
          <w:bCs/>
          <w:noProof/>
          <w:sz w:val="18"/>
          <w:rtl/>
          <w:lang w:bidi="ar-EG"/>
        </w:rPr>
        <w:tab/>
        <w:t>مقدمة......</w:t>
      </w:r>
      <w:r w:rsidRPr="00730AE2">
        <w:rPr>
          <w:rFonts w:cs="Traditional Arabic" w:hint="cs"/>
          <w:b/>
          <w:bCs/>
          <w:noProof/>
          <w:sz w:val="18"/>
          <w:rtl/>
          <w:lang w:bidi="ar-EG"/>
        </w:rPr>
        <w:tab/>
        <w:t>126</w:t>
      </w:r>
    </w:p>
    <w:p w:rsidR="00335E4B" w:rsidRPr="00730AE2" w:rsidRDefault="00335E4B" w:rsidP="00B754FF">
      <w:pPr>
        <w:tabs>
          <w:tab w:val="right" w:leader="dot" w:pos="9212"/>
        </w:tabs>
        <w:spacing w:after="120" w:line="340" w:lineRule="exact"/>
        <w:ind w:left="849" w:right="709" w:hanging="851"/>
        <w:jc w:val="both"/>
        <w:rPr>
          <w:rFonts w:cs="Traditional Arabic"/>
          <w:b/>
          <w:bCs/>
          <w:noProof/>
          <w:sz w:val="18"/>
          <w:rtl/>
          <w:lang w:bidi="ar-EG"/>
        </w:rPr>
      </w:pPr>
      <w:r w:rsidRPr="00730AE2">
        <w:rPr>
          <w:rFonts w:cs="Traditional Arabic" w:hint="cs"/>
          <w:b/>
          <w:bCs/>
          <w:noProof/>
          <w:sz w:val="18"/>
          <w:rtl/>
          <w:lang w:bidi="ar-EG"/>
        </w:rPr>
        <w:t>2-</w:t>
      </w:r>
      <w:r w:rsidRPr="00730AE2">
        <w:rPr>
          <w:rFonts w:cs="Traditional Arabic" w:hint="cs"/>
          <w:b/>
          <w:bCs/>
          <w:noProof/>
          <w:sz w:val="18"/>
          <w:rtl/>
          <w:lang w:bidi="ar-EG"/>
        </w:rPr>
        <w:tab/>
        <w:t>العمليات المستخدمة في مرافق حرق النفايات، بما في ذلك النظر في المواد المدخلة</w:t>
      </w:r>
      <w:r w:rsidR="005800D5" w:rsidRPr="00730AE2">
        <w:rPr>
          <w:rFonts w:cs="Traditional Arabic" w:hint="cs"/>
          <w:b/>
          <w:bCs/>
          <w:noProof/>
          <w:sz w:val="18"/>
          <w:rtl/>
          <w:lang w:bidi="ar-EG"/>
        </w:rPr>
        <w:t xml:space="preserve"> </w:t>
      </w:r>
      <w:r w:rsidRPr="00730AE2">
        <w:rPr>
          <w:rFonts w:cs="Traditional Arabic" w:hint="cs"/>
          <w:b/>
          <w:bCs/>
          <w:noProof/>
          <w:sz w:val="18"/>
          <w:rtl/>
          <w:lang w:bidi="ar-EG"/>
        </w:rPr>
        <w:t>وسلوك الزئبق في هذه</w:t>
      </w:r>
      <w:r w:rsidR="00040D1A" w:rsidRPr="00730AE2">
        <w:rPr>
          <w:rFonts w:cs="Traditional Arabic" w:hint="cs"/>
          <w:b/>
          <w:bCs/>
          <w:noProof/>
          <w:sz w:val="18"/>
          <w:rtl/>
          <w:lang w:bidi="ar-EG"/>
        </w:rPr>
        <w:t xml:space="preserve"> </w:t>
      </w:r>
      <w:r w:rsidRPr="00730AE2">
        <w:rPr>
          <w:rFonts w:cs="Traditional Arabic" w:hint="cs"/>
          <w:b/>
          <w:bCs/>
          <w:noProof/>
          <w:sz w:val="18"/>
          <w:rtl/>
          <w:lang w:bidi="ar-EG"/>
        </w:rPr>
        <w:t>العملية............</w:t>
      </w:r>
      <w:r w:rsidRPr="00730AE2">
        <w:rPr>
          <w:rFonts w:cs="Traditional Arabic" w:hint="cs"/>
          <w:b/>
          <w:bCs/>
          <w:noProof/>
          <w:sz w:val="18"/>
          <w:rtl/>
          <w:lang w:bidi="ar-EG"/>
        </w:rPr>
        <w:tab/>
      </w:r>
      <w:r w:rsidR="00B754FF">
        <w:rPr>
          <w:rFonts w:cs="Traditional Arabic" w:hint="cs"/>
          <w:b/>
          <w:bCs/>
          <w:noProof/>
          <w:sz w:val="18"/>
          <w:rtl/>
          <w:lang w:bidi="ar-EG"/>
        </w:rPr>
        <w:t>126</w:t>
      </w:r>
    </w:p>
    <w:p w:rsidR="00335E4B" w:rsidRPr="00730AE2" w:rsidRDefault="00335E4B" w:rsidP="00B754FF">
      <w:pPr>
        <w:tabs>
          <w:tab w:val="right" w:leader="dot" w:pos="9212"/>
        </w:tabs>
        <w:spacing w:after="120" w:line="340" w:lineRule="exact"/>
        <w:ind w:left="849" w:hanging="851"/>
        <w:jc w:val="both"/>
        <w:rPr>
          <w:rFonts w:cs="Traditional Arabic"/>
          <w:b/>
          <w:bCs/>
          <w:noProof/>
          <w:sz w:val="18"/>
          <w:rtl/>
          <w:lang w:bidi="ar-EG"/>
        </w:rPr>
      </w:pPr>
      <w:r w:rsidRPr="00730AE2">
        <w:rPr>
          <w:rFonts w:cs="Traditional Arabic" w:hint="cs"/>
          <w:b/>
          <w:bCs/>
          <w:noProof/>
          <w:sz w:val="18"/>
          <w:rtl/>
          <w:lang w:bidi="ar-EG"/>
        </w:rPr>
        <w:t>2-1</w:t>
      </w:r>
      <w:r w:rsidRPr="00730AE2">
        <w:rPr>
          <w:rFonts w:cs="Traditional Arabic" w:hint="cs"/>
          <w:b/>
          <w:bCs/>
          <w:noProof/>
          <w:sz w:val="18"/>
          <w:rtl/>
          <w:lang w:bidi="ar-EG"/>
        </w:rPr>
        <w:tab/>
        <w:t>توصيف عام للنفايات التي يمكن أن تنتج عنها انبعاثات زئبق أو مركبات زئبق عند حرقها.........</w:t>
      </w:r>
      <w:r w:rsidRPr="00730AE2">
        <w:rPr>
          <w:rFonts w:cs="Traditional Arabic" w:hint="cs"/>
          <w:b/>
          <w:bCs/>
          <w:noProof/>
          <w:sz w:val="18"/>
          <w:rtl/>
          <w:lang w:bidi="ar-EG"/>
        </w:rPr>
        <w:tab/>
        <w:t>12</w:t>
      </w:r>
      <w:r w:rsidR="00B754FF">
        <w:rPr>
          <w:rFonts w:cs="Traditional Arabic" w:hint="cs"/>
          <w:b/>
          <w:bCs/>
          <w:noProof/>
          <w:sz w:val="18"/>
          <w:rtl/>
          <w:lang w:bidi="ar-EG"/>
        </w:rPr>
        <w:t>6</w:t>
      </w:r>
    </w:p>
    <w:p w:rsidR="00335E4B" w:rsidRPr="00C503B7" w:rsidRDefault="00335E4B" w:rsidP="00B754FF">
      <w:pPr>
        <w:tabs>
          <w:tab w:val="left" w:pos="1699"/>
          <w:tab w:val="right" w:leader="dot" w:pos="9212"/>
        </w:tabs>
        <w:spacing w:after="120" w:line="340" w:lineRule="exact"/>
        <w:ind w:left="849"/>
        <w:jc w:val="both"/>
        <w:rPr>
          <w:rFonts w:cs="Traditional Arabic"/>
          <w:noProof/>
          <w:sz w:val="18"/>
          <w:rtl/>
          <w:lang w:bidi="ar-EG"/>
        </w:rPr>
      </w:pPr>
      <w:r w:rsidRPr="00C503B7">
        <w:rPr>
          <w:rFonts w:cs="Traditional Arabic" w:hint="cs"/>
          <w:noProof/>
          <w:sz w:val="18"/>
          <w:rtl/>
          <w:lang w:bidi="ar-EG"/>
        </w:rPr>
        <w:t>2-1-1</w:t>
      </w:r>
      <w:r w:rsidRPr="00C503B7">
        <w:rPr>
          <w:rFonts w:cs="Traditional Arabic" w:hint="cs"/>
          <w:noProof/>
          <w:sz w:val="18"/>
          <w:rtl/>
          <w:lang w:bidi="ar-EG"/>
        </w:rPr>
        <w:tab/>
        <w:t>التسلسل الهرمي للنفايات .......</w:t>
      </w:r>
      <w:r w:rsidRPr="00C503B7">
        <w:rPr>
          <w:rFonts w:cs="Traditional Arabic" w:hint="cs"/>
          <w:noProof/>
          <w:sz w:val="18"/>
          <w:rtl/>
          <w:lang w:bidi="ar-EG"/>
        </w:rPr>
        <w:tab/>
        <w:t>12</w:t>
      </w:r>
      <w:r w:rsidR="00B754FF">
        <w:rPr>
          <w:rFonts w:cs="Traditional Arabic" w:hint="cs"/>
          <w:noProof/>
          <w:sz w:val="18"/>
          <w:rtl/>
          <w:lang w:bidi="ar-EG"/>
        </w:rPr>
        <w:t>6</w:t>
      </w:r>
    </w:p>
    <w:p w:rsidR="00335E4B" w:rsidRPr="00C503B7" w:rsidRDefault="00335E4B" w:rsidP="00B754FF">
      <w:pPr>
        <w:tabs>
          <w:tab w:val="left" w:pos="1699"/>
          <w:tab w:val="right" w:leader="dot" w:pos="9212"/>
        </w:tabs>
        <w:spacing w:after="120" w:line="340" w:lineRule="exact"/>
        <w:ind w:left="849"/>
        <w:jc w:val="both"/>
        <w:rPr>
          <w:rFonts w:cs="Traditional Arabic"/>
          <w:noProof/>
          <w:sz w:val="18"/>
          <w:rtl/>
          <w:lang w:bidi="ar-EG"/>
        </w:rPr>
      </w:pPr>
      <w:r w:rsidRPr="00C503B7">
        <w:rPr>
          <w:rFonts w:cs="Traditional Arabic" w:hint="cs"/>
          <w:noProof/>
          <w:sz w:val="18"/>
          <w:rtl/>
          <w:lang w:bidi="ar-EG"/>
        </w:rPr>
        <w:t>2-1-2</w:t>
      </w:r>
      <w:r w:rsidRPr="00C503B7">
        <w:rPr>
          <w:rFonts w:cs="Traditional Arabic" w:hint="cs"/>
          <w:noProof/>
          <w:sz w:val="18"/>
          <w:rtl/>
          <w:lang w:bidi="ar-EG"/>
        </w:rPr>
        <w:tab/>
        <w:t>مدخل إلى أنواع النفايات المختلفة فيما يتعلق بانبعاثات الزئبق من مرافق حرق النفايات........</w:t>
      </w:r>
      <w:r w:rsidRPr="00C503B7">
        <w:rPr>
          <w:rFonts w:cs="Traditional Arabic" w:hint="cs"/>
          <w:noProof/>
          <w:sz w:val="18"/>
          <w:rtl/>
          <w:lang w:bidi="ar-EG"/>
        </w:rPr>
        <w:tab/>
        <w:t>12</w:t>
      </w:r>
      <w:r w:rsidR="00B754FF">
        <w:rPr>
          <w:rFonts w:cs="Traditional Arabic" w:hint="cs"/>
          <w:noProof/>
          <w:sz w:val="18"/>
          <w:rtl/>
          <w:lang w:bidi="ar-EG"/>
        </w:rPr>
        <w:t>7</w:t>
      </w:r>
    </w:p>
    <w:p w:rsidR="00335E4B" w:rsidRPr="00730AE2" w:rsidRDefault="00335E4B" w:rsidP="00B754FF">
      <w:pPr>
        <w:tabs>
          <w:tab w:val="right" w:leader="dot" w:pos="9212"/>
        </w:tabs>
        <w:spacing w:after="120" w:line="340" w:lineRule="exact"/>
        <w:ind w:left="849" w:hanging="851"/>
        <w:jc w:val="both"/>
        <w:rPr>
          <w:rFonts w:cs="Traditional Arabic"/>
          <w:b/>
          <w:bCs/>
          <w:noProof/>
          <w:sz w:val="18"/>
          <w:rtl/>
          <w:lang w:bidi="ar-EG"/>
        </w:rPr>
      </w:pPr>
      <w:r w:rsidRPr="00730AE2">
        <w:rPr>
          <w:rFonts w:cs="Traditional Arabic" w:hint="cs"/>
          <w:b/>
          <w:bCs/>
          <w:noProof/>
          <w:sz w:val="18"/>
          <w:rtl/>
          <w:lang w:bidi="ar-EG"/>
        </w:rPr>
        <w:t>2-2</w:t>
      </w:r>
      <w:r w:rsidRPr="00730AE2">
        <w:rPr>
          <w:rFonts w:cs="Traditional Arabic" w:hint="cs"/>
          <w:b/>
          <w:bCs/>
          <w:noProof/>
          <w:sz w:val="18"/>
          <w:rtl/>
          <w:lang w:bidi="ar-EG"/>
        </w:rPr>
        <w:tab/>
        <w:t>عملية الحرق.......</w:t>
      </w:r>
      <w:r w:rsidRPr="00730AE2">
        <w:rPr>
          <w:rFonts w:cs="Traditional Arabic" w:hint="cs"/>
          <w:b/>
          <w:bCs/>
          <w:noProof/>
          <w:sz w:val="18"/>
          <w:rtl/>
          <w:lang w:bidi="ar-EG"/>
        </w:rPr>
        <w:tab/>
        <w:t>1</w:t>
      </w:r>
      <w:r w:rsidR="00B754FF">
        <w:rPr>
          <w:rFonts w:cs="Traditional Arabic" w:hint="cs"/>
          <w:b/>
          <w:bCs/>
          <w:noProof/>
          <w:sz w:val="18"/>
          <w:rtl/>
          <w:lang w:bidi="ar-EG"/>
        </w:rPr>
        <w:t>29</w:t>
      </w:r>
    </w:p>
    <w:p w:rsidR="00335E4B" w:rsidRPr="00C503B7" w:rsidRDefault="00335E4B" w:rsidP="00B754FF">
      <w:pPr>
        <w:tabs>
          <w:tab w:val="left" w:pos="1699"/>
          <w:tab w:val="right" w:leader="dot" w:pos="9212"/>
        </w:tabs>
        <w:spacing w:after="120" w:line="340" w:lineRule="exact"/>
        <w:ind w:left="849"/>
        <w:jc w:val="both"/>
        <w:rPr>
          <w:rFonts w:cs="Traditional Arabic"/>
          <w:noProof/>
          <w:sz w:val="18"/>
          <w:rtl/>
          <w:lang w:bidi="ar-EG"/>
        </w:rPr>
      </w:pPr>
      <w:r w:rsidRPr="00C503B7">
        <w:rPr>
          <w:rFonts w:cs="Traditional Arabic" w:hint="cs"/>
          <w:noProof/>
          <w:sz w:val="18"/>
          <w:rtl/>
          <w:lang w:bidi="ar-EG"/>
        </w:rPr>
        <w:t>2-2-1</w:t>
      </w:r>
      <w:r w:rsidRPr="00C503B7">
        <w:rPr>
          <w:rFonts w:cs="Traditional Arabic" w:hint="cs"/>
          <w:noProof/>
          <w:sz w:val="18"/>
          <w:rtl/>
          <w:lang w:bidi="ar-EG"/>
        </w:rPr>
        <w:tab/>
        <w:t>مدخل إلى تقنية الحرق العام..........</w:t>
      </w:r>
      <w:r w:rsidRPr="00C503B7">
        <w:rPr>
          <w:rFonts w:cs="Traditional Arabic" w:hint="cs"/>
          <w:noProof/>
          <w:sz w:val="18"/>
          <w:rtl/>
          <w:lang w:bidi="ar-EG"/>
        </w:rPr>
        <w:tab/>
        <w:t>1</w:t>
      </w:r>
      <w:r w:rsidR="00B754FF">
        <w:rPr>
          <w:rFonts w:cs="Traditional Arabic" w:hint="cs"/>
          <w:noProof/>
          <w:sz w:val="18"/>
          <w:rtl/>
          <w:lang w:bidi="ar-EG"/>
        </w:rPr>
        <w:t>29</w:t>
      </w:r>
    </w:p>
    <w:p w:rsidR="00335E4B" w:rsidRPr="00C503B7" w:rsidRDefault="00335E4B" w:rsidP="00730AE2">
      <w:pPr>
        <w:tabs>
          <w:tab w:val="left" w:pos="1699"/>
          <w:tab w:val="right" w:leader="dot" w:pos="9212"/>
        </w:tabs>
        <w:spacing w:after="120" w:line="340" w:lineRule="exact"/>
        <w:ind w:left="849"/>
        <w:jc w:val="both"/>
        <w:rPr>
          <w:rFonts w:cs="Traditional Arabic"/>
          <w:noProof/>
          <w:sz w:val="18"/>
          <w:rtl/>
          <w:lang w:bidi="ar-EG"/>
        </w:rPr>
      </w:pPr>
      <w:r w:rsidRPr="00C503B7">
        <w:rPr>
          <w:rFonts w:cs="Traditional Arabic" w:hint="cs"/>
          <w:noProof/>
          <w:sz w:val="18"/>
          <w:rtl/>
          <w:lang w:bidi="ar-EG"/>
        </w:rPr>
        <w:t>2-2-2</w:t>
      </w:r>
      <w:r w:rsidRPr="00C503B7">
        <w:rPr>
          <w:rFonts w:cs="Traditional Arabic" w:hint="cs"/>
          <w:noProof/>
          <w:sz w:val="18"/>
          <w:rtl/>
          <w:lang w:bidi="ar-EG"/>
        </w:rPr>
        <w:tab/>
        <w:t>المعالجة المسبقة للنفايات من أجل حرقها........</w:t>
      </w:r>
      <w:r w:rsidRPr="00C503B7">
        <w:rPr>
          <w:rFonts w:cs="Traditional Arabic" w:hint="cs"/>
          <w:noProof/>
          <w:sz w:val="18"/>
          <w:rtl/>
          <w:lang w:bidi="ar-EG"/>
        </w:rPr>
        <w:tab/>
        <w:t>131</w:t>
      </w:r>
    </w:p>
    <w:p w:rsidR="00335E4B" w:rsidRPr="00C503B7" w:rsidRDefault="00335E4B" w:rsidP="00730AE2">
      <w:pPr>
        <w:tabs>
          <w:tab w:val="left" w:pos="1699"/>
          <w:tab w:val="right" w:leader="dot" w:pos="9212"/>
        </w:tabs>
        <w:spacing w:after="120" w:line="340" w:lineRule="exact"/>
        <w:ind w:left="849"/>
        <w:jc w:val="both"/>
        <w:rPr>
          <w:rFonts w:cs="Traditional Arabic"/>
          <w:noProof/>
          <w:sz w:val="18"/>
          <w:rtl/>
          <w:lang w:bidi="ar-EG"/>
        </w:rPr>
      </w:pPr>
      <w:r w:rsidRPr="00C503B7">
        <w:rPr>
          <w:rFonts w:cs="Traditional Arabic" w:hint="cs"/>
          <w:noProof/>
          <w:sz w:val="18"/>
          <w:rtl/>
          <w:lang w:bidi="ar-EG"/>
        </w:rPr>
        <w:t>2-2-3</w:t>
      </w:r>
      <w:r w:rsidRPr="00C503B7">
        <w:rPr>
          <w:rFonts w:cs="Traditional Arabic" w:hint="cs"/>
          <w:noProof/>
          <w:sz w:val="18"/>
          <w:rtl/>
          <w:lang w:bidi="ar-EG"/>
        </w:rPr>
        <w:tab/>
        <w:t>توصيف أنواع أفران حرق النفايات.......</w:t>
      </w:r>
      <w:r w:rsidRPr="00C503B7">
        <w:rPr>
          <w:rFonts w:cs="Traditional Arabic" w:hint="cs"/>
          <w:noProof/>
          <w:sz w:val="18"/>
          <w:rtl/>
          <w:lang w:bidi="ar-EG"/>
        </w:rPr>
        <w:tab/>
        <w:t>132</w:t>
      </w:r>
    </w:p>
    <w:p w:rsidR="00335E4B" w:rsidRPr="00C503B7" w:rsidRDefault="00335E4B" w:rsidP="00730AE2">
      <w:pPr>
        <w:tabs>
          <w:tab w:val="left" w:pos="1699"/>
          <w:tab w:val="right" w:leader="dot" w:pos="9212"/>
        </w:tabs>
        <w:spacing w:after="120" w:line="340" w:lineRule="exact"/>
        <w:ind w:left="849"/>
        <w:jc w:val="both"/>
        <w:rPr>
          <w:rFonts w:cs="Traditional Arabic"/>
          <w:noProof/>
          <w:sz w:val="18"/>
          <w:rtl/>
          <w:lang w:bidi="ar-EG"/>
        </w:rPr>
      </w:pPr>
      <w:r w:rsidRPr="00C503B7">
        <w:rPr>
          <w:rFonts w:cs="Traditional Arabic" w:hint="cs"/>
          <w:noProof/>
          <w:sz w:val="18"/>
          <w:rtl/>
          <w:lang w:bidi="ar-EG"/>
        </w:rPr>
        <w:t>2-2-4</w:t>
      </w:r>
      <w:r w:rsidRPr="00C503B7">
        <w:rPr>
          <w:rFonts w:cs="Traditional Arabic" w:hint="cs"/>
          <w:noProof/>
          <w:sz w:val="18"/>
          <w:rtl/>
          <w:lang w:bidi="ar-EG"/>
        </w:rPr>
        <w:tab/>
        <w:t>حرق مسارات نفايات محددة............</w:t>
      </w:r>
      <w:r w:rsidRPr="00C503B7">
        <w:rPr>
          <w:rFonts w:cs="Traditional Arabic" w:hint="cs"/>
          <w:noProof/>
          <w:sz w:val="18"/>
          <w:rtl/>
          <w:lang w:bidi="ar-EG"/>
        </w:rPr>
        <w:tab/>
        <w:t>136</w:t>
      </w:r>
    </w:p>
    <w:p w:rsidR="00335E4B" w:rsidRPr="00730AE2" w:rsidRDefault="00335E4B" w:rsidP="00C503B7">
      <w:pPr>
        <w:tabs>
          <w:tab w:val="right" w:leader="dot" w:pos="9212"/>
        </w:tabs>
        <w:spacing w:after="120" w:line="340" w:lineRule="exact"/>
        <w:ind w:left="849" w:hanging="851"/>
        <w:jc w:val="both"/>
        <w:rPr>
          <w:rFonts w:cs="Traditional Arabic"/>
          <w:b/>
          <w:bCs/>
          <w:noProof/>
          <w:sz w:val="18"/>
          <w:rtl/>
          <w:lang w:bidi="ar-EG"/>
        </w:rPr>
      </w:pPr>
      <w:r w:rsidRPr="00730AE2">
        <w:rPr>
          <w:rFonts w:cs="Traditional Arabic" w:hint="cs"/>
          <w:b/>
          <w:bCs/>
          <w:noProof/>
          <w:sz w:val="18"/>
          <w:rtl/>
          <w:lang w:bidi="ar-EG"/>
        </w:rPr>
        <w:t>3</w:t>
      </w:r>
      <w:r w:rsidR="00730AE2" w:rsidRPr="00730AE2">
        <w:rPr>
          <w:rFonts w:cs="Traditional Arabic" w:hint="cs"/>
          <w:b/>
          <w:bCs/>
          <w:noProof/>
          <w:sz w:val="18"/>
          <w:rtl/>
          <w:lang w:bidi="ar-EG"/>
        </w:rPr>
        <w:t>-</w:t>
      </w:r>
      <w:r w:rsidRPr="00730AE2">
        <w:rPr>
          <w:rFonts w:cs="Traditional Arabic" w:hint="cs"/>
          <w:b/>
          <w:bCs/>
          <w:noProof/>
          <w:sz w:val="18"/>
          <w:rtl/>
          <w:lang w:bidi="ar-EG"/>
        </w:rPr>
        <w:tab/>
        <w:t>تقنيات التحكم في الانبعاثات............</w:t>
      </w:r>
      <w:r w:rsidRPr="00730AE2">
        <w:rPr>
          <w:rFonts w:cs="Traditional Arabic" w:hint="cs"/>
          <w:b/>
          <w:bCs/>
          <w:noProof/>
          <w:sz w:val="18"/>
          <w:rtl/>
          <w:lang w:bidi="ar-EG"/>
        </w:rPr>
        <w:tab/>
        <w:t>141</w:t>
      </w:r>
    </w:p>
    <w:p w:rsidR="00335E4B" w:rsidRPr="00C503B7" w:rsidRDefault="00335E4B" w:rsidP="00730AE2">
      <w:pPr>
        <w:tabs>
          <w:tab w:val="left" w:pos="1416"/>
          <w:tab w:val="right" w:leader="dot" w:pos="9212"/>
        </w:tabs>
        <w:spacing w:after="120" w:line="340" w:lineRule="exact"/>
        <w:ind w:left="849"/>
        <w:jc w:val="both"/>
        <w:rPr>
          <w:rFonts w:cs="Traditional Arabic"/>
          <w:noProof/>
          <w:sz w:val="18"/>
          <w:rtl/>
          <w:lang w:bidi="ar-EG"/>
        </w:rPr>
      </w:pPr>
      <w:r w:rsidRPr="00C503B7">
        <w:rPr>
          <w:rFonts w:cs="Traditional Arabic" w:hint="cs"/>
          <w:noProof/>
          <w:sz w:val="18"/>
          <w:rtl/>
          <w:lang w:bidi="ar-EG"/>
        </w:rPr>
        <w:t>3-1</w:t>
      </w:r>
      <w:r w:rsidRPr="00C503B7">
        <w:rPr>
          <w:rFonts w:cs="Traditional Arabic" w:hint="cs"/>
          <w:noProof/>
          <w:sz w:val="18"/>
          <w:rtl/>
          <w:lang w:bidi="ar-EG"/>
        </w:rPr>
        <w:tab/>
        <w:t>تقنيات إزالة الغبار (الجسيمات الدقيقة العالقة)...........</w:t>
      </w:r>
      <w:r w:rsidRPr="00C503B7">
        <w:rPr>
          <w:rFonts w:cs="Traditional Arabic" w:hint="cs"/>
          <w:noProof/>
          <w:sz w:val="18"/>
          <w:rtl/>
          <w:lang w:bidi="ar-EG"/>
        </w:rPr>
        <w:tab/>
        <w:t>141</w:t>
      </w:r>
    </w:p>
    <w:p w:rsidR="00335E4B" w:rsidRPr="00C503B7" w:rsidRDefault="00335E4B" w:rsidP="00730AE2">
      <w:pPr>
        <w:tabs>
          <w:tab w:val="left" w:pos="1416"/>
          <w:tab w:val="right" w:leader="dot" w:pos="9212"/>
        </w:tabs>
        <w:spacing w:after="120" w:line="340" w:lineRule="exact"/>
        <w:ind w:left="849"/>
        <w:jc w:val="both"/>
        <w:rPr>
          <w:rFonts w:cs="Traditional Arabic"/>
          <w:noProof/>
          <w:sz w:val="18"/>
          <w:rtl/>
          <w:lang w:bidi="ar-EG"/>
        </w:rPr>
      </w:pPr>
      <w:r w:rsidRPr="00C503B7">
        <w:rPr>
          <w:rFonts w:cs="Traditional Arabic" w:hint="cs"/>
          <w:noProof/>
          <w:sz w:val="18"/>
          <w:rtl/>
          <w:lang w:bidi="ar-EG"/>
        </w:rPr>
        <w:t>3-2</w:t>
      </w:r>
      <w:r w:rsidRPr="00C503B7">
        <w:rPr>
          <w:rFonts w:cs="Traditional Arabic" w:hint="cs"/>
          <w:noProof/>
          <w:sz w:val="18"/>
          <w:rtl/>
          <w:lang w:bidi="ar-EG"/>
        </w:rPr>
        <w:tab/>
        <w:t>تقنيات التنظيف الرطب..............</w:t>
      </w:r>
      <w:r w:rsidRPr="00C503B7">
        <w:rPr>
          <w:rFonts w:cs="Traditional Arabic" w:hint="cs"/>
          <w:noProof/>
          <w:sz w:val="18"/>
          <w:rtl/>
          <w:lang w:bidi="ar-EG"/>
        </w:rPr>
        <w:tab/>
        <w:t>142</w:t>
      </w:r>
    </w:p>
    <w:p w:rsidR="00335E4B" w:rsidRPr="00C503B7" w:rsidRDefault="00335E4B" w:rsidP="00730AE2">
      <w:pPr>
        <w:tabs>
          <w:tab w:val="left" w:pos="1416"/>
          <w:tab w:val="right" w:leader="dot" w:pos="9212"/>
        </w:tabs>
        <w:spacing w:after="120" w:line="340" w:lineRule="exact"/>
        <w:ind w:left="849"/>
        <w:jc w:val="both"/>
        <w:rPr>
          <w:rFonts w:cs="Traditional Arabic"/>
          <w:noProof/>
          <w:sz w:val="18"/>
          <w:rtl/>
          <w:lang w:bidi="ar-EG"/>
        </w:rPr>
      </w:pPr>
      <w:r w:rsidRPr="00C503B7">
        <w:rPr>
          <w:rFonts w:cs="Traditional Arabic" w:hint="cs"/>
          <w:noProof/>
          <w:sz w:val="18"/>
          <w:rtl/>
          <w:lang w:bidi="ar-EG"/>
        </w:rPr>
        <w:t>3-3</w:t>
      </w:r>
      <w:r w:rsidRPr="00C503B7">
        <w:rPr>
          <w:rFonts w:cs="Traditional Arabic" w:hint="cs"/>
          <w:noProof/>
          <w:sz w:val="18"/>
          <w:rtl/>
          <w:lang w:bidi="ar-EG"/>
        </w:rPr>
        <w:tab/>
        <w:t>حقن الكربون المنشط..........</w:t>
      </w:r>
      <w:r w:rsidRPr="00C503B7">
        <w:rPr>
          <w:rFonts w:cs="Traditional Arabic" w:hint="cs"/>
          <w:noProof/>
          <w:sz w:val="18"/>
          <w:rtl/>
          <w:lang w:bidi="ar-EG"/>
        </w:rPr>
        <w:tab/>
        <w:t>143</w:t>
      </w:r>
    </w:p>
    <w:p w:rsidR="00335E4B" w:rsidRPr="00C503B7" w:rsidRDefault="00335E4B" w:rsidP="00B754FF">
      <w:pPr>
        <w:tabs>
          <w:tab w:val="left" w:pos="1416"/>
          <w:tab w:val="right" w:leader="dot" w:pos="9212"/>
        </w:tabs>
        <w:spacing w:after="120" w:line="340" w:lineRule="exact"/>
        <w:ind w:left="849"/>
        <w:jc w:val="both"/>
        <w:rPr>
          <w:rFonts w:cs="Traditional Arabic"/>
          <w:noProof/>
          <w:sz w:val="18"/>
          <w:rtl/>
          <w:lang w:bidi="ar-EG"/>
        </w:rPr>
      </w:pPr>
      <w:r w:rsidRPr="00C503B7">
        <w:rPr>
          <w:rFonts w:cs="Traditional Arabic" w:hint="cs"/>
          <w:noProof/>
          <w:sz w:val="18"/>
          <w:rtl/>
          <w:lang w:bidi="ar-EG"/>
        </w:rPr>
        <w:t>3-4</w:t>
      </w:r>
      <w:r w:rsidRPr="00C503B7">
        <w:rPr>
          <w:rFonts w:cs="Traditional Arabic" w:hint="cs"/>
          <w:noProof/>
          <w:sz w:val="18"/>
          <w:rtl/>
          <w:lang w:bidi="ar-EG"/>
        </w:rPr>
        <w:tab/>
        <w:t xml:space="preserve">إضافة البروم </w:t>
      </w:r>
      <w:r w:rsidR="00B754FF">
        <w:rPr>
          <w:rFonts w:cs="Traditional Arabic" w:hint="cs"/>
          <w:noProof/>
          <w:sz w:val="18"/>
          <w:rtl/>
          <w:lang w:bidi="ar-EG"/>
        </w:rPr>
        <w:t>إلى ا</w:t>
      </w:r>
      <w:r w:rsidRPr="00C503B7">
        <w:rPr>
          <w:rFonts w:cs="Traditional Arabic" w:hint="cs"/>
          <w:noProof/>
          <w:sz w:val="18"/>
          <w:rtl/>
          <w:lang w:bidi="ar-EG"/>
        </w:rPr>
        <w:t>لمرجل........</w:t>
      </w:r>
      <w:r w:rsidRPr="00C503B7">
        <w:rPr>
          <w:rFonts w:cs="Traditional Arabic" w:hint="cs"/>
          <w:noProof/>
          <w:sz w:val="18"/>
          <w:rtl/>
          <w:lang w:bidi="ar-EG"/>
        </w:rPr>
        <w:tab/>
        <w:t>145</w:t>
      </w:r>
    </w:p>
    <w:p w:rsidR="00335E4B" w:rsidRPr="00C503B7" w:rsidRDefault="00335E4B" w:rsidP="00B754FF">
      <w:pPr>
        <w:tabs>
          <w:tab w:val="left" w:pos="1416"/>
          <w:tab w:val="right" w:leader="dot" w:pos="9212"/>
        </w:tabs>
        <w:spacing w:after="120" w:line="340" w:lineRule="exact"/>
        <w:ind w:left="849"/>
        <w:jc w:val="both"/>
        <w:rPr>
          <w:rFonts w:cs="Traditional Arabic"/>
          <w:noProof/>
          <w:sz w:val="18"/>
          <w:rtl/>
          <w:lang w:bidi="ar-EG"/>
        </w:rPr>
      </w:pPr>
      <w:r w:rsidRPr="00C503B7">
        <w:rPr>
          <w:rFonts w:cs="Traditional Arabic" w:hint="cs"/>
          <w:noProof/>
          <w:sz w:val="18"/>
          <w:rtl/>
          <w:lang w:bidi="ar-EG"/>
        </w:rPr>
        <w:t>3-5</w:t>
      </w:r>
      <w:r w:rsidRPr="00C503B7">
        <w:rPr>
          <w:rFonts w:cs="Traditional Arabic" w:hint="cs"/>
          <w:noProof/>
          <w:sz w:val="18"/>
          <w:rtl/>
          <w:lang w:bidi="ar-EG"/>
        </w:rPr>
        <w:tab/>
        <w:t>الم</w:t>
      </w:r>
      <w:r w:rsidR="00B754FF">
        <w:rPr>
          <w:rFonts w:cs="Traditional Arabic" w:hint="cs"/>
          <w:noProof/>
          <w:sz w:val="18"/>
          <w:rtl/>
          <w:lang w:bidi="ar-EG"/>
        </w:rPr>
        <w:t>رشحات</w:t>
      </w:r>
      <w:r w:rsidRPr="00C503B7">
        <w:rPr>
          <w:rFonts w:cs="Traditional Arabic" w:hint="cs"/>
          <w:noProof/>
          <w:sz w:val="18"/>
          <w:rtl/>
          <w:lang w:bidi="ar-EG"/>
        </w:rPr>
        <w:t xml:space="preserve"> </w:t>
      </w:r>
      <w:r w:rsidR="00B754FF">
        <w:rPr>
          <w:rFonts w:cs="Traditional Arabic" w:hint="cs"/>
          <w:noProof/>
          <w:sz w:val="18"/>
          <w:rtl/>
          <w:lang w:bidi="ar-EG"/>
        </w:rPr>
        <w:t xml:space="preserve">ذات </w:t>
      </w:r>
      <w:r w:rsidRPr="00C503B7">
        <w:rPr>
          <w:rFonts w:cs="Traditional Arabic" w:hint="cs"/>
          <w:noProof/>
          <w:sz w:val="18"/>
          <w:rtl/>
          <w:lang w:bidi="ar-EG"/>
        </w:rPr>
        <w:t>القاع</w:t>
      </w:r>
      <w:r w:rsidR="00B754FF">
        <w:rPr>
          <w:rFonts w:cs="Traditional Arabic" w:hint="cs"/>
          <w:noProof/>
          <w:sz w:val="18"/>
          <w:rtl/>
          <w:lang w:bidi="ar-EG"/>
        </w:rPr>
        <w:t>د</w:t>
      </w:r>
      <w:r w:rsidRPr="00C503B7">
        <w:rPr>
          <w:rFonts w:cs="Traditional Arabic" w:hint="cs"/>
          <w:noProof/>
          <w:sz w:val="18"/>
          <w:rtl/>
          <w:lang w:bidi="ar-EG"/>
        </w:rPr>
        <w:t>ة الثابتة........</w:t>
      </w:r>
      <w:r w:rsidRPr="00C503B7">
        <w:rPr>
          <w:rFonts w:cs="Traditional Arabic" w:hint="cs"/>
          <w:noProof/>
          <w:sz w:val="18"/>
          <w:rtl/>
          <w:lang w:bidi="ar-EG"/>
        </w:rPr>
        <w:tab/>
        <w:t>146</w:t>
      </w:r>
    </w:p>
    <w:p w:rsidR="00335E4B" w:rsidRPr="00C503B7" w:rsidRDefault="00335E4B" w:rsidP="00730AE2">
      <w:pPr>
        <w:tabs>
          <w:tab w:val="left" w:pos="1416"/>
          <w:tab w:val="right" w:leader="dot" w:pos="9212"/>
        </w:tabs>
        <w:spacing w:after="120" w:line="340" w:lineRule="exact"/>
        <w:ind w:left="849"/>
        <w:jc w:val="both"/>
        <w:rPr>
          <w:rFonts w:cs="Traditional Arabic"/>
          <w:noProof/>
          <w:sz w:val="18"/>
          <w:rtl/>
          <w:lang w:bidi="ar-EG"/>
        </w:rPr>
      </w:pPr>
      <w:r w:rsidRPr="00C503B7">
        <w:rPr>
          <w:rFonts w:cs="Traditional Arabic" w:hint="cs"/>
          <w:noProof/>
          <w:sz w:val="18"/>
          <w:rtl/>
          <w:lang w:bidi="ar-EG"/>
        </w:rPr>
        <w:t>3-6</w:t>
      </w:r>
      <w:r w:rsidRPr="00C503B7">
        <w:rPr>
          <w:rFonts w:cs="Traditional Arabic" w:hint="cs"/>
          <w:noProof/>
          <w:sz w:val="18"/>
          <w:rtl/>
          <w:lang w:bidi="ar-EG"/>
        </w:rPr>
        <w:tab/>
        <w:t>أمثلة توضيحية لقيم الانبعاثات المنجزة بالتقنيات المبينة أعلاه........</w:t>
      </w:r>
      <w:r w:rsidRPr="00C503B7">
        <w:rPr>
          <w:rFonts w:cs="Traditional Arabic" w:hint="cs"/>
          <w:noProof/>
          <w:sz w:val="18"/>
          <w:rtl/>
          <w:lang w:bidi="ar-EG"/>
        </w:rPr>
        <w:tab/>
        <w:t>147</w:t>
      </w:r>
    </w:p>
    <w:p w:rsidR="00335E4B" w:rsidRPr="00C503B7" w:rsidRDefault="00335E4B" w:rsidP="00730AE2">
      <w:pPr>
        <w:tabs>
          <w:tab w:val="left" w:pos="1416"/>
          <w:tab w:val="right" w:leader="dot" w:pos="9212"/>
        </w:tabs>
        <w:spacing w:after="120" w:line="340" w:lineRule="exact"/>
        <w:ind w:left="849"/>
        <w:jc w:val="both"/>
        <w:rPr>
          <w:rFonts w:cs="Traditional Arabic"/>
          <w:noProof/>
          <w:sz w:val="18"/>
          <w:rtl/>
          <w:lang w:bidi="ar-EG"/>
        </w:rPr>
      </w:pPr>
      <w:r w:rsidRPr="00C503B7">
        <w:rPr>
          <w:rFonts w:cs="Traditional Arabic" w:hint="cs"/>
          <w:noProof/>
          <w:sz w:val="18"/>
          <w:rtl/>
          <w:lang w:bidi="ar-EG"/>
        </w:rPr>
        <w:t>3-7</w:t>
      </w:r>
      <w:r w:rsidRPr="00C503B7">
        <w:rPr>
          <w:rFonts w:cs="Traditional Arabic" w:hint="cs"/>
          <w:noProof/>
          <w:sz w:val="18"/>
          <w:rtl/>
          <w:lang w:bidi="ar-EG"/>
        </w:rPr>
        <w:tab/>
        <w:t>استخدام المخلفات الصلبة لعملية الحرق والتخلص منها.........</w:t>
      </w:r>
      <w:r w:rsidRPr="00C503B7">
        <w:rPr>
          <w:rFonts w:cs="Traditional Arabic" w:hint="cs"/>
          <w:noProof/>
          <w:sz w:val="18"/>
          <w:rtl/>
          <w:lang w:bidi="ar-EG"/>
        </w:rPr>
        <w:tab/>
        <w:t>149</w:t>
      </w:r>
    </w:p>
    <w:p w:rsidR="00335E4B" w:rsidRPr="00C503B7" w:rsidRDefault="00730AE2" w:rsidP="00B754FF">
      <w:pPr>
        <w:tabs>
          <w:tab w:val="left" w:pos="1416"/>
          <w:tab w:val="left" w:pos="2266"/>
          <w:tab w:val="left" w:pos="2975"/>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ab/>
      </w:r>
      <w:r w:rsidR="00335E4B" w:rsidRPr="00C503B7">
        <w:rPr>
          <w:rFonts w:cs="Traditional Arabic" w:hint="cs"/>
          <w:noProof/>
          <w:sz w:val="18"/>
          <w:rtl/>
          <w:lang w:bidi="ar-EG"/>
        </w:rPr>
        <w:t>3-7-1</w:t>
      </w:r>
      <w:r w:rsidR="00335E4B" w:rsidRPr="00C503B7">
        <w:rPr>
          <w:rFonts w:cs="Traditional Arabic" w:hint="cs"/>
          <w:noProof/>
          <w:sz w:val="18"/>
          <w:rtl/>
          <w:lang w:bidi="ar-EG"/>
        </w:rPr>
        <w:tab/>
        <w:t xml:space="preserve">معالجة </w:t>
      </w:r>
      <w:r w:rsidR="00B754FF">
        <w:rPr>
          <w:rFonts w:cs="Traditional Arabic" w:hint="cs"/>
          <w:noProof/>
          <w:sz w:val="18"/>
          <w:rtl/>
          <w:lang w:bidi="ar-EG"/>
        </w:rPr>
        <w:t>ال</w:t>
      </w:r>
      <w:r w:rsidR="00335E4B" w:rsidRPr="00C503B7">
        <w:rPr>
          <w:rFonts w:cs="Traditional Arabic" w:hint="cs"/>
          <w:noProof/>
          <w:sz w:val="18"/>
          <w:rtl/>
          <w:lang w:bidi="ar-EG"/>
        </w:rPr>
        <w:t xml:space="preserve">مخلفات </w:t>
      </w:r>
      <w:r w:rsidR="00B754FF">
        <w:rPr>
          <w:rFonts w:cs="Traditional Arabic" w:hint="cs"/>
          <w:noProof/>
          <w:sz w:val="18"/>
          <w:rtl/>
          <w:lang w:bidi="ar-EG"/>
        </w:rPr>
        <w:t>الصلبة ل</w:t>
      </w:r>
      <w:r w:rsidR="00335E4B" w:rsidRPr="00C503B7">
        <w:rPr>
          <w:rFonts w:cs="Traditional Arabic" w:hint="cs"/>
          <w:noProof/>
          <w:sz w:val="18"/>
          <w:rtl/>
          <w:lang w:bidi="ar-EG"/>
        </w:rPr>
        <w:t>غازات المداخن............</w:t>
      </w:r>
      <w:r w:rsidR="00335E4B" w:rsidRPr="00C503B7">
        <w:rPr>
          <w:rFonts w:cs="Traditional Arabic" w:hint="cs"/>
          <w:noProof/>
          <w:sz w:val="18"/>
          <w:rtl/>
          <w:lang w:bidi="ar-EG"/>
        </w:rPr>
        <w:tab/>
        <w:t>149</w:t>
      </w:r>
    </w:p>
    <w:p w:rsidR="00335E4B" w:rsidRPr="00C503B7" w:rsidRDefault="00730AE2" w:rsidP="00730AE2">
      <w:pPr>
        <w:tabs>
          <w:tab w:val="left" w:pos="1416"/>
          <w:tab w:val="left" w:pos="2266"/>
          <w:tab w:val="left" w:pos="2975"/>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ab/>
      </w:r>
      <w:r w:rsidR="00335E4B" w:rsidRPr="00C503B7">
        <w:rPr>
          <w:rFonts w:cs="Traditional Arabic" w:hint="cs"/>
          <w:noProof/>
          <w:sz w:val="18"/>
          <w:rtl/>
          <w:lang w:bidi="ar-EG"/>
        </w:rPr>
        <w:t>3-7-2</w:t>
      </w:r>
      <w:r w:rsidR="00335E4B" w:rsidRPr="00C503B7">
        <w:rPr>
          <w:rFonts w:cs="Traditional Arabic" w:hint="cs"/>
          <w:noProof/>
          <w:sz w:val="18"/>
          <w:rtl/>
          <w:lang w:bidi="ar-EG"/>
        </w:rPr>
        <w:tab/>
        <w:t>التثبيت والتصليد.........</w:t>
      </w:r>
      <w:r w:rsidR="00335E4B" w:rsidRPr="00C503B7">
        <w:rPr>
          <w:rFonts w:cs="Traditional Arabic" w:hint="cs"/>
          <w:noProof/>
          <w:sz w:val="18"/>
          <w:rtl/>
          <w:lang w:bidi="ar-EG"/>
        </w:rPr>
        <w:tab/>
        <w:t>150</w:t>
      </w:r>
    </w:p>
    <w:p w:rsidR="00335E4B" w:rsidRPr="00C503B7" w:rsidRDefault="00730AE2" w:rsidP="00730AE2">
      <w:pPr>
        <w:tabs>
          <w:tab w:val="left" w:pos="1416"/>
          <w:tab w:val="left" w:pos="2266"/>
          <w:tab w:val="left" w:pos="2975"/>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ab/>
      </w:r>
      <w:r w:rsidR="00335E4B" w:rsidRPr="00C503B7">
        <w:rPr>
          <w:rFonts w:cs="Traditional Arabic" w:hint="cs"/>
          <w:noProof/>
          <w:sz w:val="18"/>
          <w:rtl/>
          <w:lang w:bidi="ar-EG"/>
        </w:rPr>
        <w:t>3-7-3</w:t>
      </w:r>
      <w:r w:rsidR="00335E4B" w:rsidRPr="00C503B7">
        <w:rPr>
          <w:rFonts w:cs="Traditional Arabic" w:hint="cs"/>
          <w:noProof/>
          <w:sz w:val="18"/>
          <w:rtl/>
          <w:lang w:bidi="ar-EG"/>
        </w:rPr>
        <w:tab/>
        <w:t>استخدام رماد القاع والرماد المتطاير.........</w:t>
      </w:r>
      <w:r w:rsidR="00335E4B" w:rsidRPr="00C503B7">
        <w:rPr>
          <w:rFonts w:cs="Traditional Arabic" w:hint="cs"/>
          <w:noProof/>
          <w:sz w:val="18"/>
          <w:rtl/>
          <w:lang w:bidi="ar-EG"/>
        </w:rPr>
        <w:tab/>
        <w:t>150</w:t>
      </w:r>
    </w:p>
    <w:p w:rsidR="00335E4B" w:rsidRPr="00C503B7" w:rsidRDefault="00730AE2" w:rsidP="00730AE2">
      <w:pPr>
        <w:tabs>
          <w:tab w:val="left" w:pos="1416"/>
          <w:tab w:val="left" w:pos="2266"/>
          <w:tab w:val="left" w:pos="2975"/>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ab/>
      </w:r>
      <w:r w:rsidR="00335E4B" w:rsidRPr="00C503B7">
        <w:rPr>
          <w:rFonts w:cs="Traditional Arabic" w:hint="cs"/>
          <w:noProof/>
          <w:sz w:val="18"/>
          <w:rtl/>
          <w:lang w:bidi="ar-EG"/>
        </w:rPr>
        <w:t>3-7-4</w:t>
      </w:r>
      <w:r w:rsidR="00335E4B" w:rsidRPr="00C503B7">
        <w:rPr>
          <w:rFonts w:cs="Traditional Arabic" w:hint="cs"/>
          <w:noProof/>
          <w:sz w:val="18"/>
          <w:rtl/>
          <w:lang w:bidi="ar-EG"/>
        </w:rPr>
        <w:tab/>
        <w:t>التخلص النهائي من المخلفات.........</w:t>
      </w:r>
      <w:r w:rsidR="00335E4B" w:rsidRPr="00C503B7">
        <w:rPr>
          <w:rFonts w:cs="Traditional Arabic" w:hint="cs"/>
          <w:noProof/>
          <w:sz w:val="18"/>
          <w:rtl/>
          <w:lang w:bidi="ar-EG"/>
        </w:rPr>
        <w:tab/>
        <w:t>150</w:t>
      </w:r>
    </w:p>
    <w:p w:rsidR="00335E4B" w:rsidRPr="00C503B7" w:rsidRDefault="00335E4B" w:rsidP="00B754FF">
      <w:pPr>
        <w:tabs>
          <w:tab w:val="left" w:pos="1416"/>
          <w:tab w:val="right" w:leader="dot" w:pos="9212"/>
        </w:tabs>
        <w:spacing w:after="120" w:line="340" w:lineRule="exact"/>
        <w:ind w:left="849"/>
        <w:jc w:val="both"/>
        <w:rPr>
          <w:rFonts w:cs="Traditional Arabic"/>
          <w:noProof/>
          <w:sz w:val="18"/>
          <w:rtl/>
          <w:lang w:bidi="ar-EG"/>
        </w:rPr>
      </w:pPr>
      <w:r w:rsidRPr="00C503B7">
        <w:rPr>
          <w:rFonts w:cs="Traditional Arabic" w:hint="cs"/>
          <w:noProof/>
          <w:sz w:val="18"/>
          <w:rtl/>
          <w:lang w:bidi="ar-EG"/>
        </w:rPr>
        <w:t>3-8</w:t>
      </w:r>
      <w:r w:rsidRPr="00C503B7">
        <w:rPr>
          <w:rFonts w:cs="Traditional Arabic" w:hint="cs"/>
          <w:noProof/>
          <w:sz w:val="18"/>
          <w:rtl/>
          <w:lang w:bidi="ar-EG"/>
        </w:rPr>
        <w:tab/>
        <w:t xml:space="preserve">تقنيات المعالجة البديلة لمسارات النفايات التي يمكن أن تولد </w:t>
      </w:r>
      <w:r w:rsidR="00B754FF">
        <w:rPr>
          <w:rFonts w:cs="Traditional Arabic" w:hint="cs"/>
          <w:noProof/>
          <w:sz w:val="18"/>
          <w:rtl/>
          <w:lang w:bidi="ar-EG"/>
        </w:rPr>
        <w:t xml:space="preserve">عند حرقها </w:t>
      </w:r>
      <w:r w:rsidRPr="00C503B7">
        <w:rPr>
          <w:rFonts w:cs="Traditional Arabic" w:hint="cs"/>
          <w:noProof/>
          <w:sz w:val="18"/>
          <w:rtl/>
          <w:lang w:bidi="ar-EG"/>
        </w:rPr>
        <w:t xml:space="preserve">انبعاثات </w:t>
      </w:r>
      <w:r w:rsidR="00B754FF">
        <w:rPr>
          <w:rFonts w:cs="Traditional Arabic" w:hint="cs"/>
          <w:noProof/>
          <w:sz w:val="18"/>
          <w:rtl/>
          <w:lang w:bidi="ar-EG"/>
        </w:rPr>
        <w:t>لل</w:t>
      </w:r>
      <w:r w:rsidRPr="00C503B7">
        <w:rPr>
          <w:rFonts w:cs="Traditional Arabic" w:hint="cs"/>
          <w:noProof/>
          <w:sz w:val="18"/>
          <w:rtl/>
          <w:lang w:bidi="ar-EG"/>
        </w:rPr>
        <w:t xml:space="preserve">زئبق ومركبات </w:t>
      </w:r>
      <w:r w:rsidR="00B754FF">
        <w:rPr>
          <w:rFonts w:cs="Traditional Arabic" w:hint="cs"/>
          <w:noProof/>
          <w:sz w:val="18"/>
          <w:rtl/>
          <w:lang w:bidi="ar-EG"/>
        </w:rPr>
        <w:t>الزئبق</w:t>
      </w:r>
      <w:r w:rsidRPr="00C503B7">
        <w:rPr>
          <w:rFonts w:cs="Traditional Arabic" w:hint="cs"/>
          <w:noProof/>
          <w:sz w:val="18"/>
          <w:rtl/>
          <w:lang w:bidi="ar-EG"/>
        </w:rPr>
        <w:t>....</w:t>
      </w:r>
      <w:r w:rsidRPr="00C503B7">
        <w:rPr>
          <w:rFonts w:cs="Traditional Arabic" w:hint="cs"/>
          <w:noProof/>
          <w:sz w:val="18"/>
          <w:rtl/>
          <w:lang w:bidi="ar-EG"/>
        </w:rPr>
        <w:tab/>
        <w:t>151</w:t>
      </w:r>
    </w:p>
    <w:p w:rsidR="00335E4B" w:rsidRPr="00730AE2" w:rsidRDefault="00335E4B" w:rsidP="00B754FF">
      <w:pPr>
        <w:tabs>
          <w:tab w:val="right" w:leader="dot" w:pos="9212"/>
        </w:tabs>
        <w:spacing w:after="120" w:line="340" w:lineRule="exact"/>
        <w:ind w:left="849" w:hanging="851"/>
        <w:jc w:val="both"/>
        <w:rPr>
          <w:rFonts w:cs="Traditional Arabic"/>
          <w:b/>
          <w:bCs/>
          <w:noProof/>
          <w:sz w:val="18"/>
          <w:rtl/>
          <w:lang w:bidi="ar-EG"/>
        </w:rPr>
      </w:pPr>
      <w:r w:rsidRPr="00730AE2">
        <w:rPr>
          <w:rFonts w:cs="Traditional Arabic" w:hint="cs"/>
          <w:b/>
          <w:bCs/>
          <w:noProof/>
          <w:sz w:val="18"/>
          <w:rtl/>
          <w:lang w:bidi="ar-EG"/>
        </w:rPr>
        <w:t>أفضل التقنيات المتاحة وأفضل الممارسات البيئية لمرافق حرق النفايات...........</w:t>
      </w:r>
      <w:r w:rsidRPr="00730AE2">
        <w:rPr>
          <w:rFonts w:cs="Traditional Arabic" w:hint="cs"/>
          <w:b/>
          <w:bCs/>
          <w:noProof/>
          <w:sz w:val="18"/>
          <w:rtl/>
          <w:lang w:bidi="ar-EG"/>
        </w:rPr>
        <w:tab/>
        <w:t>15</w:t>
      </w:r>
      <w:r w:rsidR="00B754FF">
        <w:rPr>
          <w:rFonts w:cs="Traditional Arabic" w:hint="cs"/>
          <w:b/>
          <w:bCs/>
          <w:noProof/>
          <w:sz w:val="18"/>
          <w:rtl/>
          <w:lang w:bidi="ar-EG"/>
        </w:rPr>
        <w:t>1</w:t>
      </w:r>
    </w:p>
    <w:p w:rsidR="00335E4B" w:rsidRPr="00C503B7" w:rsidRDefault="00CC010E" w:rsidP="00B754FF">
      <w:pPr>
        <w:tabs>
          <w:tab w:val="left" w:pos="1416"/>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3-9</w:t>
      </w:r>
      <w:r w:rsidR="00335E4B" w:rsidRPr="00C503B7">
        <w:rPr>
          <w:rFonts w:cs="Traditional Arabic" w:hint="cs"/>
          <w:noProof/>
          <w:sz w:val="18"/>
          <w:rtl/>
          <w:lang w:bidi="ar-EG"/>
        </w:rPr>
        <w:tab/>
        <w:t>مدخل إلى أفضل التقنيات المتاحة لحرق النفايات.......</w:t>
      </w:r>
      <w:r w:rsidR="00335E4B" w:rsidRPr="00C503B7">
        <w:rPr>
          <w:rFonts w:cs="Traditional Arabic" w:hint="cs"/>
          <w:noProof/>
          <w:sz w:val="18"/>
          <w:rtl/>
          <w:lang w:bidi="ar-EG"/>
        </w:rPr>
        <w:tab/>
        <w:t>15</w:t>
      </w:r>
      <w:r w:rsidR="00B754FF">
        <w:rPr>
          <w:rFonts w:cs="Traditional Arabic" w:hint="cs"/>
          <w:noProof/>
          <w:sz w:val="18"/>
          <w:rtl/>
          <w:lang w:bidi="ar-EG"/>
        </w:rPr>
        <w:t>1</w:t>
      </w:r>
    </w:p>
    <w:p w:rsidR="00335E4B" w:rsidRPr="00C503B7" w:rsidRDefault="00CC010E" w:rsidP="00B754FF">
      <w:pPr>
        <w:tabs>
          <w:tab w:val="left" w:pos="1416"/>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3-10</w:t>
      </w:r>
      <w:r w:rsidR="00335E4B" w:rsidRPr="00C503B7">
        <w:rPr>
          <w:rFonts w:cs="Traditional Arabic" w:hint="cs"/>
          <w:noProof/>
          <w:sz w:val="18"/>
          <w:rtl/>
          <w:lang w:bidi="ar-EG"/>
        </w:rPr>
        <w:tab/>
        <w:t>المعالجة المسبقة للنفايات قبل حرقها........</w:t>
      </w:r>
      <w:r w:rsidR="00335E4B" w:rsidRPr="00C503B7">
        <w:rPr>
          <w:rFonts w:cs="Traditional Arabic" w:hint="cs"/>
          <w:noProof/>
          <w:sz w:val="18"/>
          <w:rtl/>
          <w:lang w:bidi="ar-EG"/>
        </w:rPr>
        <w:tab/>
        <w:t>15</w:t>
      </w:r>
      <w:r w:rsidR="00B754FF">
        <w:rPr>
          <w:rFonts w:cs="Traditional Arabic" w:hint="cs"/>
          <w:noProof/>
          <w:sz w:val="18"/>
          <w:rtl/>
          <w:lang w:bidi="ar-EG"/>
        </w:rPr>
        <w:t>2</w:t>
      </w:r>
    </w:p>
    <w:p w:rsidR="00335E4B" w:rsidRPr="00C503B7" w:rsidRDefault="00CC010E" w:rsidP="00B754FF">
      <w:pPr>
        <w:tabs>
          <w:tab w:val="left" w:pos="1416"/>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3-11</w:t>
      </w:r>
      <w:r w:rsidR="00335E4B" w:rsidRPr="00C503B7">
        <w:rPr>
          <w:rFonts w:cs="Traditional Arabic" w:hint="cs"/>
          <w:noProof/>
          <w:sz w:val="18"/>
          <w:rtl/>
          <w:lang w:bidi="ar-EG"/>
        </w:rPr>
        <w:tab/>
        <w:t>أفضل التقنيات المتاحة لمدخلات النفايات والتحكم فيها.........</w:t>
      </w:r>
      <w:r w:rsidR="00335E4B" w:rsidRPr="00C503B7">
        <w:rPr>
          <w:rFonts w:cs="Traditional Arabic" w:hint="cs"/>
          <w:noProof/>
          <w:sz w:val="18"/>
          <w:rtl/>
          <w:lang w:bidi="ar-EG"/>
        </w:rPr>
        <w:tab/>
        <w:t>15</w:t>
      </w:r>
      <w:r w:rsidR="00B754FF">
        <w:rPr>
          <w:rFonts w:cs="Traditional Arabic" w:hint="cs"/>
          <w:noProof/>
          <w:sz w:val="18"/>
          <w:rtl/>
          <w:lang w:bidi="ar-EG"/>
        </w:rPr>
        <w:t>2</w:t>
      </w:r>
    </w:p>
    <w:p w:rsidR="00335E4B" w:rsidRPr="00C503B7" w:rsidRDefault="00CC010E" w:rsidP="00B754FF">
      <w:pPr>
        <w:tabs>
          <w:tab w:val="left" w:pos="1416"/>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3-12</w:t>
      </w:r>
      <w:r w:rsidR="00335E4B" w:rsidRPr="00C503B7">
        <w:rPr>
          <w:rFonts w:cs="Traditional Arabic" w:hint="cs"/>
          <w:noProof/>
          <w:sz w:val="18"/>
          <w:rtl/>
          <w:lang w:bidi="ar-EG"/>
        </w:rPr>
        <w:tab/>
        <w:t>أفضل التقنيات المتاحة لحرق النفايات.......</w:t>
      </w:r>
      <w:r w:rsidR="00335E4B" w:rsidRPr="00C503B7">
        <w:rPr>
          <w:rFonts w:cs="Traditional Arabic" w:hint="cs"/>
          <w:noProof/>
          <w:sz w:val="18"/>
          <w:rtl/>
          <w:lang w:bidi="ar-EG"/>
        </w:rPr>
        <w:tab/>
        <w:t>15</w:t>
      </w:r>
      <w:r w:rsidR="00B754FF">
        <w:rPr>
          <w:rFonts w:cs="Traditional Arabic" w:hint="cs"/>
          <w:noProof/>
          <w:sz w:val="18"/>
          <w:rtl/>
          <w:lang w:bidi="ar-EG"/>
        </w:rPr>
        <w:t>2</w:t>
      </w:r>
    </w:p>
    <w:p w:rsidR="00730AE2" w:rsidRDefault="00730AE2" w:rsidP="00B754FF">
      <w:pPr>
        <w:tabs>
          <w:tab w:val="left" w:pos="1416"/>
          <w:tab w:val="left" w:pos="2408"/>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ab/>
      </w:r>
      <w:r w:rsidR="00CC010E">
        <w:rPr>
          <w:rFonts w:cs="Traditional Arabic" w:hint="cs"/>
          <w:noProof/>
          <w:sz w:val="18"/>
          <w:rtl/>
          <w:lang w:bidi="ar-EG"/>
        </w:rPr>
        <w:t>3-12</w:t>
      </w:r>
      <w:r w:rsidR="00335E4B" w:rsidRPr="00C503B7">
        <w:rPr>
          <w:rFonts w:cs="Traditional Arabic" w:hint="cs"/>
          <w:noProof/>
          <w:sz w:val="18"/>
          <w:rtl/>
          <w:lang w:bidi="ar-EG"/>
        </w:rPr>
        <w:t>-1</w:t>
      </w:r>
      <w:r w:rsidR="00335E4B" w:rsidRPr="00C503B7">
        <w:rPr>
          <w:rFonts w:cs="Traditional Arabic" w:hint="cs"/>
          <w:noProof/>
          <w:sz w:val="18"/>
          <w:rtl/>
          <w:lang w:bidi="ar-EG"/>
        </w:rPr>
        <w:tab/>
        <w:t>اشتراطات عامة لتقنيات الحرق..........</w:t>
      </w:r>
      <w:r w:rsidR="00335E4B" w:rsidRPr="00C503B7">
        <w:rPr>
          <w:rFonts w:cs="Traditional Arabic" w:hint="cs"/>
          <w:noProof/>
          <w:sz w:val="18"/>
          <w:rtl/>
          <w:lang w:bidi="ar-EG"/>
        </w:rPr>
        <w:tab/>
        <w:t>15</w:t>
      </w:r>
      <w:r w:rsidR="00B754FF">
        <w:rPr>
          <w:rFonts w:cs="Traditional Arabic" w:hint="cs"/>
          <w:noProof/>
          <w:sz w:val="18"/>
          <w:rtl/>
          <w:lang w:bidi="ar-EG"/>
        </w:rPr>
        <w:t>3</w:t>
      </w:r>
    </w:p>
    <w:p w:rsidR="00730AE2" w:rsidRDefault="00730AE2" w:rsidP="00B754FF">
      <w:pPr>
        <w:tabs>
          <w:tab w:val="left" w:pos="1416"/>
          <w:tab w:val="left" w:pos="2408"/>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ab/>
      </w:r>
      <w:r w:rsidR="00CC010E">
        <w:rPr>
          <w:rFonts w:cs="Traditional Arabic" w:hint="cs"/>
          <w:noProof/>
          <w:sz w:val="18"/>
          <w:rtl/>
          <w:lang w:bidi="ar-EG"/>
        </w:rPr>
        <w:t>3-12</w:t>
      </w:r>
      <w:r w:rsidR="00335E4B" w:rsidRPr="00C503B7">
        <w:rPr>
          <w:rFonts w:cs="Traditional Arabic" w:hint="cs"/>
          <w:noProof/>
          <w:sz w:val="18"/>
          <w:rtl/>
          <w:lang w:bidi="ar-EG"/>
        </w:rPr>
        <w:t>-2</w:t>
      </w:r>
      <w:r w:rsidR="00335E4B" w:rsidRPr="00C503B7">
        <w:rPr>
          <w:rFonts w:cs="Traditional Arabic" w:hint="cs"/>
          <w:noProof/>
          <w:sz w:val="18"/>
          <w:rtl/>
          <w:lang w:bidi="ar-EG"/>
        </w:rPr>
        <w:tab/>
        <w:t>تقنيات حرق النفايات الصلبة البلدية......</w:t>
      </w:r>
      <w:r w:rsidR="00335E4B" w:rsidRPr="00C503B7">
        <w:rPr>
          <w:rFonts w:cs="Traditional Arabic" w:hint="cs"/>
          <w:noProof/>
          <w:sz w:val="18"/>
          <w:rtl/>
          <w:lang w:bidi="ar-EG"/>
        </w:rPr>
        <w:tab/>
        <w:t>15</w:t>
      </w:r>
      <w:r w:rsidR="00B754FF">
        <w:rPr>
          <w:rFonts w:cs="Traditional Arabic" w:hint="cs"/>
          <w:noProof/>
          <w:sz w:val="18"/>
          <w:rtl/>
          <w:lang w:bidi="ar-EG"/>
        </w:rPr>
        <w:t>3</w:t>
      </w:r>
    </w:p>
    <w:p w:rsidR="00730AE2" w:rsidRDefault="00730AE2" w:rsidP="00B754FF">
      <w:pPr>
        <w:tabs>
          <w:tab w:val="left" w:pos="1416"/>
          <w:tab w:val="left" w:pos="2408"/>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ab/>
      </w:r>
      <w:r w:rsidR="00CC010E">
        <w:rPr>
          <w:rFonts w:cs="Traditional Arabic" w:hint="cs"/>
          <w:noProof/>
          <w:sz w:val="18"/>
          <w:rtl/>
          <w:lang w:bidi="ar-EG"/>
        </w:rPr>
        <w:t>3-12</w:t>
      </w:r>
      <w:r w:rsidR="00335E4B" w:rsidRPr="00C503B7">
        <w:rPr>
          <w:rFonts w:cs="Traditional Arabic" w:hint="cs"/>
          <w:noProof/>
          <w:sz w:val="18"/>
          <w:rtl/>
          <w:lang w:bidi="ar-EG"/>
        </w:rPr>
        <w:t>-3</w:t>
      </w:r>
      <w:r w:rsidR="00335E4B" w:rsidRPr="00C503B7">
        <w:rPr>
          <w:rFonts w:cs="Traditional Arabic" w:hint="cs"/>
          <w:noProof/>
          <w:sz w:val="18"/>
          <w:rtl/>
          <w:lang w:bidi="ar-EG"/>
        </w:rPr>
        <w:tab/>
        <w:t>تقنيات حرق النفايات الخطرة..........</w:t>
      </w:r>
      <w:r w:rsidR="00335E4B" w:rsidRPr="00C503B7">
        <w:rPr>
          <w:rFonts w:cs="Traditional Arabic" w:hint="cs"/>
          <w:noProof/>
          <w:sz w:val="18"/>
          <w:rtl/>
          <w:lang w:bidi="ar-EG"/>
        </w:rPr>
        <w:tab/>
        <w:t>15</w:t>
      </w:r>
      <w:r w:rsidR="00B754FF">
        <w:rPr>
          <w:rFonts w:cs="Traditional Arabic" w:hint="cs"/>
          <w:noProof/>
          <w:sz w:val="18"/>
          <w:rtl/>
          <w:lang w:bidi="ar-EG"/>
        </w:rPr>
        <w:t>4</w:t>
      </w:r>
    </w:p>
    <w:p w:rsidR="00730AE2" w:rsidRDefault="00730AE2" w:rsidP="00B754FF">
      <w:pPr>
        <w:tabs>
          <w:tab w:val="left" w:pos="1416"/>
          <w:tab w:val="left" w:pos="2408"/>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ab/>
      </w:r>
      <w:r w:rsidR="00CC010E">
        <w:rPr>
          <w:rFonts w:cs="Traditional Arabic" w:hint="cs"/>
          <w:noProof/>
          <w:sz w:val="18"/>
          <w:rtl/>
          <w:lang w:bidi="ar-EG"/>
        </w:rPr>
        <w:t>3-12</w:t>
      </w:r>
      <w:r w:rsidR="00335E4B" w:rsidRPr="00C503B7">
        <w:rPr>
          <w:rFonts w:cs="Traditional Arabic" w:hint="cs"/>
          <w:noProof/>
          <w:sz w:val="18"/>
          <w:rtl/>
          <w:lang w:bidi="ar-EG"/>
        </w:rPr>
        <w:t>-4</w:t>
      </w:r>
      <w:r w:rsidR="00335E4B" w:rsidRPr="00C503B7">
        <w:rPr>
          <w:rFonts w:cs="Traditional Arabic" w:hint="cs"/>
          <w:noProof/>
          <w:sz w:val="18"/>
          <w:rtl/>
          <w:lang w:bidi="ar-EG"/>
        </w:rPr>
        <w:tab/>
        <w:t>تقنيات حرق حمأة مياه المجارير..........</w:t>
      </w:r>
      <w:r w:rsidR="00335E4B" w:rsidRPr="00C503B7">
        <w:rPr>
          <w:rFonts w:cs="Traditional Arabic" w:hint="cs"/>
          <w:noProof/>
          <w:sz w:val="18"/>
          <w:rtl/>
          <w:lang w:bidi="ar-EG"/>
        </w:rPr>
        <w:tab/>
        <w:t>15</w:t>
      </w:r>
      <w:r w:rsidR="00B754FF">
        <w:rPr>
          <w:rFonts w:cs="Traditional Arabic" w:hint="cs"/>
          <w:noProof/>
          <w:sz w:val="18"/>
          <w:rtl/>
          <w:lang w:bidi="ar-EG"/>
        </w:rPr>
        <w:t>4</w:t>
      </w:r>
    </w:p>
    <w:p w:rsidR="00730AE2" w:rsidRDefault="00730AE2" w:rsidP="00B754FF">
      <w:pPr>
        <w:tabs>
          <w:tab w:val="left" w:pos="1416"/>
          <w:tab w:val="left" w:pos="2408"/>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ab/>
      </w:r>
      <w:r w:rsidR="00CC010E">
        <w:rPr>
          <w:rFonts w:cs="Traditional Arabic" w:hint="cs"/>
          <w:noProof/>
          <w:sz w:val="18"/>
          <w:rtl/>
          <w:lang w:bidi="ar-EG"/>
        </w:rPr>
        <w:t>3-12</w:t>
      </w:r>
      <w:r w:rsidR="00335E4B" w:rsidRPr="00C503B7">
        <w:rPr>
          <w:rFonts w:cs="Traditional Arabic" w:hint="cs"/>
          <w:noProof/>
          <w:sz w:val="18"/>
          <w:rtl/>
          <w:lang w:bidi="ar-EG"/>
        </w:rPr>
        <w:t>-5</w:t>
      </w:r>
      <w:r w:rsidR="00335E4B" w:rsidRPr="00C503B7">
        <w:rPr>
          <w:rFonts w:cs="Traditional Arabic" w:hint="cs"/>
          <w:noProof/>
          <w:sz w:val="18"/>
          <w:rtl/>
          <w:lang w:bidi="ar-EG"/>
        </w:rPr>
        <w:tab/>
        <w:t>حرق النفايات الطبية..........</w:t>
      </w:r>
      <w:r w:rsidR="00335E4B" w:rsidRPr="00C503B7">
        <w:rPr>
          <w:rFonts w:cs="Traditional Arabic" w:hint="cs"/>
          <w:noProof/>
          <w:sz w:val="18"/>
          <w:rtl/>
          <w:lang w:bidi="ar-EG"/>
        </w:rPr>
        <w:tab/>
        <w:t>15</w:t>
      </w:r>
      <w:r w:rsidR="00B754FF">
        <w:rPr>
          <w:rFonts w:cs="Traditional Arabic" w:hint="cs"/>
          <w:noProof/>
          <w:sz w:val="18"/>
          <w:rtl/>
          <w:lang w:bidi="ar-EG"/>
        </w:rPr>
        <w:t>4</w:t>
      </w:r>
    </w:p>
    <w:p w:rsidR="00730AE2" w:rsidRDefault="00666D6B" w:rsidP="00B754FF">
      <w:pPr>
        <w:tabs>
          <w:tab w:val="left" w:pos="1416"/>
          <w:tab w:val="left" w:pos="2408"/>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3-13</w:t>
      </w:r>
      <w:r w:rsidR="00335E4B" w:rsidRPr="00C503B7">
        <w:rPr>
          <w:rFonts w:cs="Traditional Arabic" w:hint="cs"/>
          <w:noProof/>
          <w:sz w:val="18"/>
          <w:rtl/>
          <w:lang w:bidi="ar-EG"/>
        </w:rPr>
        <w:tab/>
        <w:t>أفضل التقنيات المتاحة لمعالجة غازات المداخن..........</w:t>
      </w:r>
      <w:r w:rsidR="00335E4B" w:rsidRPr="00C503B7">
        <w:rPr>
          <w:rFonts w:cs="Traditional Arabic" w:hint="cs"/>
          <w:noProof/>
          <w:sz w:val="18"/>
          <w:rtl/>
          <w:lang w:bidi="ar-EG"/>
        </w:rPr>
        <w:tab/>
        <w:t>15</w:t>
      </w:r>
      <w:r w:rsidR="00B754FF">
        <w:rPr>
          <w:rFonts w:cs="Traditional Arabic" w:hint="cs"/>
          <w:noProof/>
          <w:sz w:val="18"/>
          <w:rtl/>
          <w:lang w:bidi="ar-EG"/>
        </w:rPr>
        <w:t>5</w:t>
      </w:r>
    </w:p>
    <w:p w:rsidR="00730AE2" w:rsidRDefault="00730AE2" w:rsidP="00B754FF">
      <w:pPr>
        <w:tabs>
          <w:tab w:val="left" w:pos="1416"/>
          <w:tab w:val="left" w:pos="2408"/>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ab/>
      </w:r>
      <w:r w:rsidR="00666D6B">
        <w:rPr>
          <w:rFonts w:cs="Traditional Arabic" w:hint="cs"/>
          <w:noProof/>
          <w:sz w:val="18"/>
          <w:rtl/>
          <w:lang w:bidi="ar-EG"/>
        </w:rPr>
        <w:t>3-13</w:t>
      </w:r>
      <w:r w:rsidR="00335E4B" w:rsidRPr="00C503B7">
        <w:rPr>
          <w:rFonts w:cs="Traditional Arabic" w:hint="cs"/>
          <w:noProof/>
          <w:sz w:val="18"/>
          <w:rtl/>
          <w:lang w:bidi="ar-EG"/>
        </w:rPr>
        <w:t>-1</w:t>
      </w:r>
      <w:r w:rsidR="00335E4B" w:rsidRPr="00C503B7">
        <w:rPr>
          <w:rFonts w:cs="Traditional Arabic" w:hint="cs"/>
          <w:noProof/>
          <w:sz w:val="18"/>
          <w:rtl/>
          <w:lang w:bidi="ar-EG"/>
        </w:rPr>
        <w:tab/>
        <w:t>تطوير وتحسين تقنيات المعالجة القائمة............</w:t>
      </w:r>
      <w:r w:rsidR="00335E4B" w:rsidRPr="00C503B7">
        <w:rPr>
          <w:rFonts w:cs="Traditional Arabic" w:hint="cs"/>
          <w:noProof/>
          <w:sz w:val="18"/>
          <w:rtl/>
          <w:lang w:bidi="ar-EG"/>
        </w:rPr>
        <w:tab/>
        <w:t>15</w:t>
      </w:r>
      <w:r w:rsidR="00B754FF">
        <w:rPr>
          <w:rFonts w:cs="Traditional Arabic" w:hint="cs"/>
          <w:noProof/>
          <w:sz w:val="18"/>
          <w:rtl/>
          <w:lang w:bidi="ar-EG"/>
        </w:rPr>
        <w:t>6</w:t>
      </w:r>
    </w:p>
    <w:p w:rsidR="00730AE2" w:rsidRDefault="00730AE2" w:rsidP="00B754FF">
      <w:pPr>
        <w:tabs>
          <w:tab w:val="left" w:pos="1416"/>
          <w:tab w:val="left" w:pos="2408"/>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ab/>
      </w:r>
      <w:r w:rsidR="00666D6B">
        <w:rPr>
          <w:rFonts w:cs="Traditional Arabic" w:hint="cs"/>
          <w:noProof/>
          <w:sz w:val="18"/>
          <w:rtl/>
          <w:lang w:bidi="ar-EG"/>
        </w:rPr>
        <w:t>3-13</w:t>
      </w:r>
      <w:r w:rsidR="00335E4B" w:rsidRPr="00C503B7">
        <w:rPr>
          <w:rFonts w:cs="Traditional Arabic" w:hint="cs"/>
          <w:noProof/>
          <w:sz w:val="18"/>
          <w:rtl/>
          <w:lang w:bidi="ar-EG"/>
        </w:rPr>
        <w:t>-2</w:t>
      </w:r>
      <w:r w:rsidR="00335E4B" w:rsidRPr="00C503B7">
        <w:rPr>
          <w:rFonts w:cs="Traditional Arabic" w:hint="cs"/>
          <w:noProof/>
          <w:sz w:val="18"/>
          <w:rtl/>
          <w:lang w:bidi="ar-EG"/>
        </w:rPr>
        <w:tab/>
        <w:t>مستويات الأداء المرتبطة باستخدام أفضل التقنيات المتاحة...........</w:t>
      </w:r>
      <w:r w:rsidR="00335E4B" w:rsidRPr="00C503B7">
        <w:rPr>
          <w:rFonts w:cs="Traditional Arabic" w:hint="cs"/>
          <w:noProof/>
          <w:sz w:val="18"/>
          <w:rtl/>
          <w:lang w:bidi="ar-EG"/>
        </w:rPr>
        <w:tab/>
        <w:t>15</w:t>
      </w:r>
      <w:r w:rsidR="00B754FF">
        <w:rPr>
          <w:rFonts w:cs="Traditional Arabic" w:hint="cs"/>
          <w:noProof/>
          <w:sz w:val="18"/>
          <w:rtl/>
          <w:lang w:bidi="ar-EG"/>
        </w:rPr>
        <w:t>7</w:t>
      </w:r>
    </w:p>
    <w:p w:rsidR="00730AE2" w:rsidRDefault="009417D3" w:rsidP="00B754FF">
      <w:pPr>
        <w:tabs>
          <w:tab w:val="left" w:pos="1416"/>
          <w:tab w:val="left" w:pos="2408"/>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3-14</w:t>
      </w:r>
      <w:r w:rsidR="00335E4B" w:rsidRPr="00C503B7">
        <w:rPr>
          <w:rFonts w:cs="Traditional Arabic" w:hint="cs"/>
          <w:noProof/>
          <w:sz w:val="18"/>
          <w:rtl/>
          <w:lang w:bidi="ar-EG"/>
        </w:rPr>
        <w:tab/>
        <w:t>مدخل إلى أفضل الممارسات البيئية..........</w:t>
      </w:r>
      <w:r w:rsidR="00335E4B" w:rsidRPr="00C503B7">
        <w:rPr>
          <w:rFonts w:cs="Traditional Arabic" w:hint="cs"/>
          <w:noProof/>
          <w:sz w:val="18"/>
          <w:rtl/>
          <w:lang w:bidi="ar-EG"/>
        </w:rPr>
        <w:tab/>
        <w:t>15</w:t>
      </w:r>
      <w:r w:rsidR="00B754FF">
        <w:rPr>
          <w:rFonts w:cs="Traditional Arabic" w:hint="cs"/>
          <w:noProof/>
          <w:sz w:val="18"/>
          <w:rtl/>
          <w:lang w:bidi="ar-EG"/>
        </w:rPr>
        <w:t>7</w:t>
      </w:r>
    </w:p>
    <w:p w:rsidR="00730AE2" w:rsidRDefault="00730AE2" w:rsidP="00B754FF">
      <w:pPr>
        <w:tabs>
          <w:tab w:val="left" w:pos="1416"/>
          <w:tab w:val="left" w:pos="2408"/>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ab/>
      </w:r>
      <w:r w:rsidR="009417D3">
        <w:rPr>
          <w:rFonts w:cs="Traditional Arabic" w:hint="cs"/>
          <w:noProof/>
          <w:sz w:val="18"/>
          <w:rtl/>
          <w:lang w:bidi="ar-EG"/>
        </w:rPr>
        <w:t>3-14</w:t>
      </w:r>
      <w:r w:rsidR="00335E4B" w:rsidRPr="00C503B7">
        <w:rPr>
          <w:rFonts w:cs="Traditional Arabic" w:hint="cs"/>
          <w:noProof/>
          <w:sz w:val="18"/>
          <w:rtl/>
          <w:lang w:bidi="ar-EG"/>
        </w:rPr>
        <w:t>-1</w:t>
      </w:r>
      <w:r w:rsidR="00335E4B" w:rsidRPr="00C503B7">
        <w:rPr>
          <w:rFonts w:cs="Traditional Arabic" w:hint="cs"/>
          <w:noProof/>
          <w:sz w:val="18"/>
          <w:rtl/>
          <w:lang w:bidi="ar-EG"/>
        </w:rPr>
        <w:tab/>
        <w:t>ممارسات إدارة النفايات..........</w:t>
      </w:r>
      <w:r w:rsidR="00335E4B" w:rsidRPr="00C503B7">
        <w:rPr>
          <w:rFonts w:cs="Traditional Arabic" w:hint="cs"/>
          <w:noProof/>
          <w:sz w:val="18"/>
          <w:rtl/>
          <w:lang w:bidi="ar-EG"/>
        </w:rPr>
        <w:tab/>
        <w:t>1</w:t>
      </w:r>
      <w:r w:rsidR="00B754FF">
        <w:rPr>
          <w:rFonts w:cs="Traditional Arabic" w:hint="cs"/>
          <w:noProof/>
          <w:sz w:val="18"/>
          <w:rtl/>
          <w:lang w:bidi="ar-EG"/>
        </w:rPr>
        <w:t>58</w:t>
      </w:r>
    </w:p>
    <w:p w:rsidR="00335E4B" w:rsidRPr="00C503B7" w:rsidRDefault="00730AE2" w:rsidP="00B754FF">
      <w:pPr>
        <w:tabs>
          <w:tab w:val="left" w:pos="1416"/>
          <w:tab w:val="left" w:pos="2408"/>
          <w:tab w:val="right" w:leader="dot" w:pos="9212"/>
        </w:tabs>
        <w:spacing w:after="120" w:line="340" w:lineRule="exact"/>
        <w:ind w:left="849"/>
        <w:jc w:val="both"/>
        <w:rPr>
          <w:rFonts w:cs="Traditional Arabic"/>
          <w:noProof/>
          <w:sz w:val="18"/>
          <w:rtl/>
          <w:lang w:bidi="ar-EG"/>
        </w:rPr>
      </w:pPr>
      <w:r>
        <w:rPr>
          <w:rFonts w:cs="Traditional Arabic" w:hint="cs"/>
          <w:noProof/>
          <w:sz w:val="18"/>
          <w:rtl/>
          <w:lang w:bidi="ar-EG"/>
        </w:rPr>
        <w:tab/>
      </w:r>
      <w:r w:rsidR="009417D3">
        <w:rPr>
          <w:rFonts w:cs="Traditional Arabic" w:hint="cs"/>
          <w:noProof/>
          <w:sz w:val="18"/>
          <w:rtl/>
          <w:lang w:bidi="ar-EG"/>
        </w:rPr>
        <w:t>3-14</w:t>
      </w:r>
      <w:r w:rsidR="00335E4B" w:rsidRPr="00C503B7">
        <w:rPr>
          <w:rFonts w:cs="Traditional Arabic" w:hint="cs"/>
          <w:noProof/>
          <w:sz w:val="18"/>
          <w:rtl/>
          <w:lang w:bidi="ar-EG"/>
        </w:rPr>
        <w:t>-2</w:t>
      </w:r>
      <w:r w:rsidR="00335E4B" w:rsidRPr="00C503B7">
        <w:rPr>
          <w:rFonts w:cs="Traditional Arabic" w:hint="cs"/>
          <w:noProof/>
          <w:sz w:val="18"/>
          <w:rtl/>
          <w:lang w:bidi="ar-EG"/>
        </w:rPr>
        <w:tab/>
        <w:t>الوقاية من مخاطر الحرائق...........</w:t>
      </w:r>
      <w:r w:rsidR="00335E4B" w:rsidRPr="00C503B7">
        <w:rPr>
          <w:rFonts w:cs="Traditional Arabic" w:hint="cs"/>
          <w:noProof/>
          <w:sz w:val="18"/>
          <w:rtl/>
          <w:lang w:bidi="ar-EG"/>
        </w:rPr>
        <w:tab/>
        <w:t>16</w:t>
      </w:r>
      <w:r w:rsidR="00B754FF">
        <w:rPr>
          <w:rFonts w:cs="Traditional Arabic" w:hint="cs"/>
          <w:noProof/>
          <w:sz w:val="18"/>
          <w:rtl/>
          <w:lang w:bidi="ar-EG"/>
        </w:rPr>
        <w:t>1</w:t>
      </w:r>
    </w:p>
    <w:p w:rsidR="00335E4B" w:rsidRPr="00730AE2" w:rsidRDefault="009417D3" w:rsidP="00B754FF">
      <w:pPr>
        <w:tabs>
          <w:tab w:val="right" w:leader="dot" w:pos="9212"/>
        </w:tabs>
        <w:spacing w:after="120" w:line="340" w:lineRule="exact"/>
        <w:ind w:left="849" w:hanging="851"/>
        <w:jc w:val="both"/>
        <w:rPr>
          <w:rFonts w:cs="Traditional Arabic"/>
          <w:b/>
          <w:bCs/>
          <w:noProof/>
          <w:sz w:val="18"/>
          <w:rtl/>
          <w:lang w:bidi="ar-EG"/>
        </w:rPr>
      </w:pPr>
      <w:r w:rsidRPr="00730AE2">
        <w:rPr>
          <w:rFonts w:cs="Traditional Arabic" w:hint="cs"/>
          <w:b/>
          <w:bCs/>
          <w:noProof/>
          <w:sz w:val="18"/>
          <w:rtl/>
          <w:lang w:bidi="ar-EG"/>
        </w:rPr>
        <w:t>4</w:t>
      </w:r>
      <w:r w:rsidR="00126567" w:rsidRPr="00730AE2">
        <w:rPr>
          <w:rFonts w:cs="Traditional Arabic" w:hint="cs"/>
          <w:b/>
          <w:bCs/>
          <w:noProof/>
          <w:sz w:val="18"/>
          <w:rtl/>
          <w:lang w:bidi="ar-EG"/>
        </w:rPr>
        <w:t>-</w:t>
      </w:r>
      <w:r w:rsidR="00335E4B" w:rsidRPr="00730AE2">
        <w:rPr>
          <w:rFonts w:cs="Traditional Arabic" w:hint="cs"/>
          <w:b/>
          <w:bCs/>
          <w:noProof/>
          <w:sz w:val="18"/>
          <w:rtl/>
          <w:lang w:bidi="ar-EG"/>
        </w:rPr>
        <w:tab/>
        <w:t>تقنيات رصد الزئبق..........</w:t>
      </w:r>
      <w:r w:rsidR="00335E4B" w:rsidRPr="00730AE2">
        <w:rPr>
          <w:rFonts w:cs="Traditional Arabic" w:hint="cs"/>
          <w:b/>
          <w:bCs/>
          <w:noProof/>
          <w:sz w:val="18"/>
          <w:rtl/>
          <w:lang w:bidi="ar-EG"/>
        </w:rPr>
        <w:tab/>
        <w:t>16</w:t>
      </w:r>
      <w:r w:rsidR="00B754FF">
        <w:rPr>
          <w:rFonts w:cs="Traditional Arabic" w:hint="cs"/>
          <w:b/>
          <w:bCs/>
          <w:noProof/>
          <w:sz w:val="18"/>
          <w:rtl/>
          <w:lang w:bidi="ar-EG"/>
        </w:rPr>
        <w:t>3</w:t>
      </w:r>
    </w:p>
    <w:p w:rsidR="00730AE2" w:rsidRDefault="00730AE2" w:rsidP="00B754FF">
      <w:pPr>
        <w:tabs>
          <w:tab w:val="left" w:pos="1416"/>
          <w:tab w:val="right" w:leader="dot" w:pos="9212"/>
        </w:tabs>
        <w:spacing w:after="120" w:line="340" w:lineRule="exact"/>
        <w:ind w:left="849" w:hanging="851"/>
        <w:jc w:val="both"/>
        <w:rPr>
          <w:rFonts w:cs="Traditional Arabic"/>
          <w:noProof/>
          <w:sz w:val="18"/>
          <w:rtl/>
          <w:lang w:bidi="ar-EG"/>
        </w:rPr>
      </w:pPr>
      <w:r>
        <w:rPr>
          <w:rFonts w:cs="Traditional Arabic" w:hint="cs"/>
          <w:noProof/>
          <w:sz w:val="18"/>
          <w:rtl/>
          <w:lang w:bidi="ar-EG"/>
        </w:rPr>
        <w:tab/>
      </w:r>
      <w:r w:rsidR="009417D3">
        <w:rPr>
          <w:rFonts w:cs="Traditional Arabic" w:hint="cs"/>
          <w:noProof/>
          <w:sz w:val="18"/>
          <w:rtl/>
          <w:lang w:bidi="ar-EG"/>
        </w:rPr>
        <w:t>4</w:t>
      </w:r>
      <w:r w:rsidR="00335E4B" w:rsidRPr="00C503B7">
        <w:rPr>
          <w:rFonts w:cs="Traditional Arabic" w:hint="cs"/>
          <w:noProof/>
          <w:sz w:val="18"/>
          <w:rtl/>
          <w:lang w:bidi="ar-EG"/>
        </w:rPr>
        <w:t>-1</w:t>
      </w:r>
      <w:r w:rsidR="00335E4B" w:rsidRPr="00C503B7">
        <w:rPr>
          <w:rFonts w:cs="Traditional Arabic" w:hint="cs"/>
          <w:noProof/>
          <w:sz w:val="18"/>
          <w:rtl/>
          <w:lang w:bidi="ar-EG"/>
        </w:rPr>
        <w:tab/>
        <w:t>الطرق المباشرة........</w:t>
      </w:r>
      <w:r w:rsidR="00335E4B" w:rsidRPr="00C503B7">
        <w:rPr>
          <w:rFonts w:cs="Traditional Arabic" w:hint="cs"/>
          <w:noProof/>
          <w:sz w:val="18"/>
          <w:rtl/>
          <w:lang w:bidi="ar-EG"/>
        </w:rPr>
        <w:tab/>
        <w:t>16</w:t>
      </w:r>
      <w:r w:rsidR="00B754FF">
        <w:rPr>
          <w:rFonts w:cs="Traditional Arabic" w:hint="cs"/>
          <w:noProof/>
          <w:sz w:val="18"/>
          <w:rtl/>
          <w:lang w:bidi="ar-EG"/>
        </w:rPr>
        <w:t>3</w:t>
      </w:r>
    </w:p>
    <w:p w:rsidR="00730AE2" w:rsidRDefault="00730AE2" w:rsidP="00B754FF">
      <w:pPr>
        <w:tabs>
          <w:tab w:val="left" w:pos="1416"/>
          <w:tab w:val="right" w:leader="dot" w:pos="9212"/>
        </w:tabs>
        <w:spacing w:after="120" w:line="340" w:lineRule="exact"/>
        <w:ind w:left="849" w:hanging="851"/>
        <w:jc w:val="both"/>
        <w:rPr>
          <w:rFonts w:cs="Traditional Arabic"/>
          <w:noProof/>
          <w:sz w:val="18"/>
          <w:rtl/>
          <w:lang w:bidi="ar-EG"/>
        </w:rPr>
      </w:pPr>
      <w:r>
        <w:rPr>
          <w:rFonts w:cs="Traditional Arabic" w:hint="cs"/>
          <w:noProof/>
          <w:sz w:val="18"/>
          <w:rtl/>
          <w:lang w:bidi="ar-EG"/>
        </w:rPr>
        <w:tab/>
      </w:r>
      <w:r w:rsidR="009417D3">
        <w:rPr>
          <w:rFonts w:cs="Traditional Arabic" w:hint="cs"/>
          <w:noProof/>
          <w:sz w:val="18"/>
          <w:rtl/>
          <w:lang w:bidi="ar-EG"/>
        </w:rPr>
        <w:t>4</w:t>
      </w:r>
      <w:r w:rsidR="00335E4B" w:rsidRPr="00C503B7">
        <w:rPr>
          <w:rFonts w:cs="Traditional Arabic" w:hint="cs"/>
          <w:noProof/>
          <w:sz w:val="18"/>
          <w:rtl/>
          <w:lang w:bidi="ar-EG"/>
        </w:rPr>
        <w:t>-2</w:t>
      </w:r>
      <w:r w:rsidR="00335E4B" w:rsidRPr="00C503B7">
        <w:rPr>
          <w:rFonts w:cs="Traditional Arabic" w:hint="cs"/>
          <w:noProof/>
          <w:sz w:val="18"/>
          <w:rtl/>
          <w:lang w:bidi="ar-EG"/>
        </w:rPr>
        <w:tab/>
        <w:t>الطرق غير المباشرة.........</w:t>
      </w:r>
      <w:r w:rsidR="00335E4B" w:rsidRPr="00C503B7">
        <w:rPr>
          <w:rFonts w:cs="Traditional Arabic" w:hint="cs"/>
          <w:noProof/>
          <w:sz w:val="18"/>
          <w:rtl/>
          <w:lang w:bidi="ar-EG"/>
        </w:rPr>
        <w:tab/>
        <w:t>16</w:t>
      </w:r>
      <w:r w:rsidR="00B754FF">
        <w:rPr>
          <w:rFonts w:cs="Traditional Arabic" w:hint="cs"/>
          <w:noProof/>
          <w:sz w:val="18"/>
          <w:rtl/>
          <w:lang w:bidi="ar-EG"/>
        </w:rPr>
        <w:t>4</w:t>
      </w:r>
    </w:p>
    <w:p w:rsidR="00335E4B" w:rsidRPr="00C503B7" w:rsidRDefault="00730AE2" w:rsidP="00B754FF">
      <w:pPr>
        <w:tabs>
          <w:tab w:val="left" w:pos="1416"/>
          <w:tab w:val="right" w:leader="dot" w:pos="9212"/>
        </w:tabs>
        <w:spacing w:after="120" w:line="340" w:lineRule="exact"/>
        <w:ind w:left="849" w:hanging="851"/>
        <w:jc w:val="both"/>
        <w:rPr>
          <w:rFonts w:cs="Traditional Arabic"/>
          <w:noProof/>
          <w:sz w:val="18"/>
          <w:rtl/>
          <w:lang w:bidi="ar-EG"/>
        </w:rPr>
      </w:pPr>
      <w:r>
        <w:rPr>
          <w:rFonts w:cs="Traditional Arabic" w:hint="cs"/>
          <w:noProof/>
          <w:sz w:val="18"/>
          <w:rtl/>
          <w:lang w:bidi="ar-EG"/>
        </w:rPr>
        <w:tab/>
      </w:r>
      <w:r w:rsidR="009417D3">
        <w:rPr>
          <w:rFonts w:cs="Traditional Arabic" w:hint="cs"/>
          <w:noProof/>
          <w:sz w:val="18"/>
          <w:rtl/>
          <w:lang w:bidi="ar-EG"/>
        </w:rPr>
        <w:t>4</w:t>
      </w:r>
      <w:r w:rsidR="00335E4B" w:rsidRPr="00C503B7">
        <w:rPr>
          <w:rFonts w:cs="Traditional Arabic" w:hint="cs"/>
          <w:noProof/>
          <w:sz w:val="18"/>
          <w:rtl/>
          <w:lang w:bidi="ar-EG"/>
        </w:rPr>
        <w:t>-3</w:t>
      </w:r>
      <w:r w:rsidR="00335E4B" w:rsidRPr="00C503B7">
        <w:rPr>
          <w:rFonts w:cs="Traditional Arabic" w:hint="cs"/>
          <w:noProof/>
          <w:sz w:val="18"/>
          <w:rtl/>
          <w:lang w:bidi="ar-EG"/>
        </w:rPr>
        <w:tab/>
        <w:t>التقنيات الأكثر ملاءمةً للرصد في قطاع حرق النفايات.......</w:t>
      </w:r>
      <w:r w:rsidR="00335E4B" w:rsidRPr="00C503B7">
        <w:rPr>
          <w:rFonts w:cs="Traditional Arabic" w:hint="cs"/>
          <w:noProof/>
          <w:sz w:val="18"/>
          <w:rtl/>
          <w:lang w:bidi="ar-EG"/>
        </w:rPr>
        <w:tab/>
        <w:t>16</w:t>
      </w:r>
      <w:r w:rsidR="00B754FF">
        <w:rPr>
          <w:rFonts w:cs="Traditional Arabic" w:hint="cs"/>
          <w:noProof/>
          <w:sz w:val="18"/>
          <w:rtl/>
          <w:lang w:bidi="ar-EG"/>
        </w:rPr>
        <w:t>5</w:t>
      </w:r>
    </w:p>
    <w:p w:rsidR="00335E4B" w:rsidRPr="00730AE2" w:rsidRDefault="009417D3" w:rsidP="00B754FF">
      <w:pPr>
        <w:tabs>
          <w:tab w:val="right" w:leader="dot" w:pos="9212"/>
        </w:tabs>
        <w:spacing w:after="120" w:line="340" w:lineRule="exact"/>
        <w:ind w:left="849" w:hanging="851"/>
        <w:jc w:val="both"/>
        <w:rPr>
          <w:rFonts w:cs="Traditional Arabic"/>
          <w:b/>
          <w:bCs/>
          <w:noProof/>
          <w:sz w:val="18"/>
          <w:rtl/>
          <w:lang w:bidi="ar-EG"/>
        </w:rPr>
      </w:pPr>
      <w:r w:rsidRPr="00730AE2">
        <w:rPr>
          <w:rFonts w:cs="Traditional Arabic" w:hint="cs"/>
          <w:b/>
          <w:bCs/>
          <w:noProof/>
          <w:sz w:val="18"/>
          <w:rtl/>
          <w:lang w:bidi="ar-EG"/>
        </w:rPr>
        <w:t>5</w:t>
      </w:r>
      <w:r w:rsidR="00126567" w:rsidRPr="00730AE2">
        <w:rPr>
          <w:rFonts w:cs="Traditional Arabic" w:hint="cs"/>
          <w:b/>
          <w:bCs/>
          <w:noProof/>
          <w:sz w:val="18"/>
          <w:rtl/>
          <w:lang w:bidi="ar-EG"/>
        </w:rPr>
        <w:t>-</w:t>
      </w:r>
      <w:r w:rsidR="00335E4B" w:rsidRPr="00730AE2">
        <w:rPr>
          <w:rFonts w:cs="Traditional Arabic" w:hint="cs"/>
          <w:b/>
          <w:bCs/>
          <w:noProof/>
          <w:sz w:val="18"/>
          <w:rtl/>
          <w:lang w:bidi="ar-EG"/>
        </w:rPr>
        <w:tab/>
        <w:t>المراجع..........</w:t>
      </w:r>
      <w:r w:rsidR="00335E4B" w:rsidRPr="00730AE2">
        <w:rPr>
          <w:rFonts w:cs="Traditional Arabic" w:hint="cs"/>
          <w:b/>
          <w:bCs/>
          <w:noProof/>
          <w:sz w:val="18"/>
          <w:rtl/>
          <w:lang w:bidi="ar-EG"/>
        </w:rPr>
        <w:tab/>
        <w:t>16</w:t>
      </w:r>
      <w:r w:rsidR="00B754FF">
        <w:rPr>
          <w:rFonts w:cs="Traditional Arabic" w:hint="cs"/>
          <w:b/>
          <w:bCs/>
          <w:noProof/>
          <w:sz w:val="18"/>
          <w:rtl/>
          <w:lang w:bidi="ar-EG"/>
        </w:rPr>
        <w:t>7</w:t>
      </w:r>
    </w:p>
    <w:p w:rsidR="00335E4B" w:rsidRPr="00C503B7" w:rsidRDefault="00335E4B" w:rsidP="00C503B7">
      <w:pPr>
        <w:jc w:val="both"/>
        <w:rPr>
          <w:rFonts w:cs="Traditional Arabic"/>
          <w:sz w:val="18"/>
          <w:rtl/>
        </w:rPr>
      </w:pPr>
    </w:p>
    <w:p w:rsidR="00335E4B" w:rsidRPr="00335E4B" w:rsidRDefault="00335E4B" w:rsidP="00335E4B">
      <w:pPr>
        <w:keepNext/>
        <w:pageBreakBefore/>
        <w:suppressAutoHyphens/>
        <w:spacing w:after="120" w:line="400" w:lineRule="exact"/>
        <w:ind w:left="720" w:hanging="720"/>
        <w:outlineLvl w:val="0"/>
        <w:rPr>
          <w:rFonts w:ascii="Traditional Arabic" w:eastAsia="SimSun" w:hAnsi="Traditional Arabic" w:cs="Traditional Arabic"/>
          <w:bCs/>
          <w:sz w:val="32"/>
          <w:szCs w:val="32"/>
          <w:rtl/>
          <w:lang w:eastAsia="ar-SA"/>
        </w:rPr>
      </w:pPr>
      <w:bookmarkStart w:id="2133" w:name="_Toc441577853"/>
      <w:bookmarkStart w:id="2134" w:name="_Toc441578032"/>
      <w:bookmarkStart w:id="2135" w:name="_Toc441580866"/>
      <w:bookmarkStart w:id="2136" w:name="_Toc441585997"/>
      <w:bookmarkStart w:id="2137" w:name="_Toc441586333"/>
      <w:bookmarkStart w:id="2138" w:name="_Toc441586783"/>
      <w:bookmarkStart w:id="2139" w:name="_Toc441586962"/>
      <w:bookmarkStart w:id="2140" w:name="_Toc441666811"/>
      <w:bookmarkStart w:id="2141" w:name="_Toc441673872"/>
      <w:r w:rsidRPr="00335E4B">
        <w:rPr>
          <w:rFonts w:ascii="Traditional Arabic" w:eastAsia="SimSun" w:hAnsi="Traditional Arabic" w:cs="Traditional Arabic" w:hint="cs"/>
          <w:bCs/>
          <w:sz w:val="32"/>
          <w:szCs w:val="32"/>
          <w:rtl/>
          <w:lang w:eastAsia="ar-SA" w:bidi="ar-EG"/>
        </w:rPr>
        <w:t>1</w:t>
      </w:r>
      <w:r w:rsidRPr="00335E4B">
        <w:rPr>
          <w:rFonts w:ascii="Traditional Arabic" w:eastAsia="SimSun" w:hAnsi="Traditional Arabic" w:cs="Traditional Arabic"/>
          <w:bCs/>
          <w:sz w:val="32"/>
          <w:szCs w:val="32"/>
          <w:rtl/>
          <w:lang w:eastAsia="ar-SA" w:bidi="ar-EG"/>
        </w:rPr>
        <w:t xml:space="preserve"> -</w:t>
      </w:r>
      <w:r w:rsidRPr="00335E4B">
        <w:rPr>
          <w:rFonts w:ascii="Traditional Arabic" w:eastAsia="SimSun" w:hAnsi="Traditional Arabic" w:cs="Traditional Arabic"/>
          <w:bCs/>
          <w:sz w:val="32"/>
          <w:szCs w:val="32"/>
          <w:rtl/>
          <w:lang w:eastAsia="ar-SA" w:bidi="ar-EG"/>
        </w:rPr>
        <w:tab/>
      </w:r>
      <w:r w:rsidRPr="00335E4B">
        <w:rPr>
          <w:rFonts w:ascii="Traditional Arabic" w:eastAsia="SimSun" w:hAnsi="Traditional Arabic" w:cs="Traditional Arabic" w:hint="cs"/>
          <w:bCs/>
          <w:sz w:val="32"/>
          <w:szCs w:val="32"/>
          <w:rtl/>
          <w:lang w:eastAsia="ar-SA" w:bidi="ar-EG"/>
        </w:rPr>
        <w:t>مقدمة</w:t>
      </w:r>
      <w:bookmarkEnd w:id="2133"/>
      <w:bookmarkEnd w:id="2134"/>
      <w:bookmarkEnd w:id="2135"/>
      <w:bookmarkEnd w:id="2136"/>
      <w:bookmarkEnd w:id="2137"/>
      <w:bookmarkEnd w:id="2138"/>
      <w:bookmarkEnd w:id="2139"/>
      <w:bookmarkEnd w:id="2140"/>
      <w:bookmarkEnd w:id="2141"/>
    </w:p>
    <w:p w:rsidR="00335E4B" w:rsidRPr="00335E4B" w:rsidRDefault="00335E4B" w:rsidP="00335E4B">
      <w:pPr>
        <w:tabs>
          <w:tab w:val="left" w:pos="1842"/>
          <w:tab w:val="left" w:pos="2693"/>
          <w:tab w:val="left" w:pos="3401"/>
        </w:tabs>
        <w:spacing w:after="120" w:line="400" w:lineRule="exact"/>
        <w:jc w:val="both"/>
        <w:rPr>
          <w:rFonts w:cs="Traditional Arabic"/>
          <w:sz w:val="20"/>
          <w:szCs w:val="30"/>
          <w:rtl/>
        </w:rPr>
      </w:pPr>
      <w:r w:rsidRPr="00335E4B">
        <w:rPr>
          <w:rFonts w:cs="Traditional Arabic" w:hint="cs"/>
          <w:sz w:val="20"/>
          <w:szCs w:val="30"/>
          <w:rtl/>
        </w:rPr>
        <w:t>يتعلق هذا القسم بالحرق المخصص للنفايات فقط ولا يتعلق بالأوضاع الأخرى التي تتم فيها معالجة النفايات حرارياً، مثلاً، عمليات الحرق المشترك في أفران الإسمنت ومنشآت الحرق الكبيرة، التي يتم تناولها في الأقسام المتعلقة بهذه العمليات.</w:t>
      </w:r>
    </w:p>
    <w:p w:rsidR="00335E4B" w:rsidRPr="00335E4B" w:rsidRDefault="00335E4B" w:rsidP="00335E4B">
      <w:pPr>
        <w:tabs>
          <w:tab w:val="left" w:pos="1842"/>
          <w:tab w:val="left" w:pos="2693"/>
          <w:tab w:val="left" w:pos="3401"/>
        </w:tabs>
        <w:spacing w:after="120" w:line="400" w:lineRule="exact"/>
        <w:jc w:val="both"/>
        <w:rPr>
          <w:rFonts w:cs="Traditional Arabic"/>
          <w:sz w:val="20"/>
          <w:szCs w:val="30"/>
          <w:rtl/>
        </w:rPr>
      </w:pPr>
      <w:r w:rsidRPr="00335E4B">
        <w:rPr>
          <w:rFonts w:cs="Traditional Arabic" w:hint="cs"/>
          <w:sz w:val="20"/>
          <w:szCs w:val="30"/>
          <w:rtl/>
        </w:rPr>
        <w:t>ويعرف الحرق المفتوح على أنه حرق أي نوع من النفايات في الهواء الطلق أو في مدافن قمامة مفتوحة، وفي أجهزة حرق تتراوح مما يعرف بـ</w:t>
      </w:r>
      <w:r w:rsidR="00040D1A">
        <w:rPr>
          <w:rFonts w:cs="Traditional Arabic" w:hint="cs"/>
          <w:sz w:val="20"/>
          <w:szCs w:val="30"/>
          <w:rtl/>
        </w:rPr>
        <w:t>ــ </w:t>
      </w:r>
      <w:r w:rsidRPr="00335E4B">
        <w:rPr>
          <w:rFonts w:cs="Traditional Arabic" w:hint="cs"/>
          <w:sz w:val="20"/>
          <w:szCs w:val="30"/>
          <w:rtl/>
        </w:rPr>
        <w:t>’’براميل الحرق‘‘ وأفران الحرق المشيدة محلياً والتي تفتقر للتحكم في الملوثات، إلى الأفران الصغيرة التي تستخدم لحرق النفايات الطبية ولا تسمح بالحرق الكامل. إن الحرق المفتوح لنفايات الزئبق والمنتجات المضاف إليها الزئبق يساهم بصورة كبيرة في حدوث إطلاقات الزئبق من المنتجات.</w:t>
      </w:r>
    </w:p>
    <w:p w:rsidR="00335E4B" w:rsidRPr="00335E4B" w:rsidRDefault="00335E4B" w:rsidP="00335E4B">
      <w:pPr>
        <w:tabs>
          <w:tab w:val="left" w:pos="1842"/>
          <w:tab w:val="left" w:pos="2693"/>
          <w:tab w:val="left" w:pos="3401"/>
        </w:tabs>
        <w:spacing w:after="120" w:line="400" w:lineRule="exact"/>
        <w:jc w:val="both"/>
        <w:rPr>
          <w:rFonts w:cs="Traditional Arabic"/>
          <w:sz w:val="20"/>
          <w:szCs w:val="30"/>
          <w:rtl/>
        </w:rPr>
      </w:pPr>
      <w:r w:rsidRPr="00335E4B">
        <w:rPr>
          <w:rFonts w:cs="Traditional Arabic" w:hint="cs"/>
          <w:sz w:val="20"/>
          <w:szCs w:val="30"/>
          <w:rtl/>
        </w:rPr>
        <w:t>وبناء على ذلك فإن الحرق المفتوح يعتبر ’’ممارسة بيئية سيئة‘‘ ويتعين عدم التشجيع عليه نظراً لأنه يمكن أن يؤدي إلى انبعاث مواد سامة إلى البيئة. ولا تتناول وثيقة التوجيهات هذه مزيداً من التفاصيل عن ممارسات الحرق المفتوح والحرق في أجهزة حرق بسيطة التشييد.</w:t>
      </w:r>
    </w:p>
    <w:p w:rsidR="00335E4B" w:rsidRPr="00335E4B" w:rsidRDefault="00335E4B" w:rsidP="00335E4B">
      <w:pPr>
        <w:tabs>
          <w:tab w:val="left" w:pos="1842"/>
          <w:tab w:val="left" w:pos="2693"/>
          <w:tab w:val="left" w:pos="3401"/>
        </w:tabs>
        <w:spacing w:after="120" w:line="400" w:lineRule="exact"/>
        <w:jc w:val="both"/>
        <w:rPr>
          <w:rFonts w:cs="Traditional Arabic"/>
          <w:sz w:val="20"/>
          <w:szCs w:val="30"/>
          <w:rtl/>
        </w:rPr>
      </w:pPr>
      <w:r w:rsidRPr="00335E4B">
        <w:rPr>
          <w:rFonts w:cs="Traditional Arabic" w:hint="cs"/>
          <w:sz w:val="20"/>
          <w:szCs w:val="30"/>
          <w:rtl/>
        </w:rPr>
        <w:t>ويتطاير الزئبق في عملية الحرق ولذلك يتعين اتخاذ إجراءات معينة قبل الحرق وأثناءه وبعده للتقليل من هذه الانبعاثات. والتقنيات الأساسية الوحيدة ذات الصلة لمنع انبعاثات الزئبق إلى الهواء قبل الحرق هي التقنيات التي تمنع أو تتحكم، إذا أمكن، في إدخال الزئبق في النفايات.</w:t>
      </w:r>
    </w:p>
    <w:p w:rsidR="00335E4B" w:rsidRPr="00335E4B" w:rsidRDefault="00335E4B" w:rsidP="00335E4B">
      <w:pPr>
        <w:tabs>
          <w:tab w:val="left" w:pos="1842"/>
          <w:tab w:val="left" w:pos="2693"/>
          <w:tab w:val="left" w:pos="3401"/>
        </w:tabs>
        <w:spacing w:after="120" w:line="400" w:lineRule="exact"/>
        <w:jc w:val="both"/>
        <w:rPr>
          <w:rFonts w:cs="Traditional Arabic"/>
          <w:sz w:val="20"/>
          <w:szCs w:val="30"/>
          <w:rtl/>
        </w:rPr>
      </w:pPr>
      <w:r w:rsidRPr="00335E4B">
        <w:rPr>
          <w:rFonts w:cs="Traditional Arabic" w:hint="cs"/>
          <w:sz w:val="20"/>
          <w:szCs w:val="30"/>
          <w:rtl/>
        </w:rPr>
        <w:t>وفيما يتعلق بأفران الحرق القائمة فإنه يتعين على الأطراف تنفيذ تدبير أو أكثر من التدابير المدرجة في الفقرة 5 من المادة 8 من الاتفاقية. ويجوز للطرف أن يطبق نفس التدابير على جميع المصادر القائمة ذات الصلة، كما يجوز له أن يعتمد تدابير مختلفة فيما يتعلق بفئات المصادر المختلفة. وينبغي أن يكون هدف التدابير التي يطبقها الطرف تحقيق تقدم معقول على صعيد خفض الانبعاثات مع مرور الوقت. ويمكن أن يشمل ذلك استخدام أفضل التقنيات المتاحة وأفضل الممارسات البيئية واستراتيجية لمكافحة العديد من الملوثات من شأنها أن تحقق منافع مشتركة لضبط الانبعاثات أو تدابير أخرى ممكنة، على أن يكون الهدف هو تحقيق تقدم معقول في خفض الانبعاثات مع مرور الزمن.</w:t>
      </w:r>
    </w:p>
    <w:p w:rsidR="006A53CC" w:rsidRDefault="00335E4B" w:rsidP="006A53CC">
      <w:pPr>
        <w:tabs>
          <w:tab w:val="left" w:pos="1842"/>
          <w:tab w:val="left" w:pos="2693"/>
          <w:tab w:val="left" w:pos="3401"/>
        </w:tabs>
        <w:spacing w:after="120" w:line="400" w:lineRule="exact"/>
        <w:jc w:val="both"/>
        <w:rPr>
          <w:rFonts w:cs="Traditional Arabic"/>
          <w:sz w:val="20"/>
          <w:szCs w:val="30"/>
          <w:rtl/>
        </w:rPr>
      </w:pPr>
      <w:r w:rsidRPr="00335E4B">
        <w:rPr>
          <w:rFonts w:cs="Traditional Arabic" w:hint="cs"/>
          <w:sz w:val="20"/>
          <w:szCs w:val="30"/>
          <w:rtl/>
        </w:rPr>
        <w:t>أما فيما يتعلق بأفران الحرق الجديدة، عندما يبدأ التشييد أو يجري إدخال تعديلات أساسية قبل سنة على الأقل من تاريخ دخول الاتفاقية حيز النفاذ بالنسبة للطرف، فإنه يتعين على الأطراف استخدام أفضل التقنيات المتاحة وأفضل الممارسات البيئية للتحكم في الانبعاثات ومنعها، إذا أمكن.</w:t>
      </w:r>
      <w:bookmarkStart w:id="2142" w:name="_Toc441577854"/>
      <w:bookmarkStart w:id="2143" w:name="_Toc441578033"/>
      <w:bookmarkStart w:id="2144" w:name="_Toc441580867"/>
      <w:bookmarkStart w:id="2145" w:name="_Toc441585998"/>
      <w:bookmarkStart w:id="2146" w:name="_Toc441586334"/>
      <w:bookmarkStart w:id="2147" w:name="_Toc441586784"/>
      <w:bookmarkStart w:id="2148" w:name="_Toc441586963"/>
      <w:bookmarkStart w:id="2149" w:name="_Toc441666812"/>
      <w:bookmarkStart w:id="2150" w:name="_Toc441673873"/>
    </w:p>
    <w:p w:rsidR="00335E4B" w:rsidRPr="00335E4B" w:rsidRDefault="00335E4B" w:rsidP="006A53CC">
      <w:pPr>
        <w:tabs>
          <w:tab w:val="left" w:pos="707"/>
          <w:tab w:val="left" w:pos="1842"/>
          <w:tab w:val="left" w:pos="3401"/>
        </w:tabs>
        <w:spacing w:after="120" w:line="400" w:lineRule="exact"/>
        <w:ind w:left="707" w:hanging="707"/>
        <w:jc w:val="both"/>
        <w:rPr>
          <w:rFonts w:ascii="Traditional Arabic" w:eastAsia="SimSun" w:hAnsi="Traditional Arabic" w:cs="Traditional Arabic"/>
          <w:bCs/>
          <w:sz w:val="32"/>
          <w:szCs w:val="32"/>
          <w:rtl/>
          <w:lang w:eastAsia="ar-SA" w:bidi="ar-EG"/>
        </w:rPr>
      </w:pPr>
      <w:r w:rsidRPr="00335E4B">
        <w:rPr>
          <w:rFonts w:ascii="Traditional Arabic" w:eastAsia="SimSun" w:hAnsi="Traditional Arabic" w:cs="Traditional Arabic" w:hint="cs"/>
          <w:bCs/>
          <w:sz w:val="32"/>
          <w:szCs w:val="32"/>
          <w:rtl/>
          <w:lang w:eastAsia="ar-SA" w:bidi="ar-EG"/>
        </w:rPr>
        <w:t>2-</w:t>
      </w:r>
      <w:r w:rsidRPr="00335E4B">
        <w:rPr>
          <w:rFonts w:ascii="Traditional Arabic" w:eastAsia="SimSun" w:hAnsi="Traditional Arabic" w:cs="Traditional Arabic" w:hint="cs"/>
          <w:bCs/>
          <w:sz w:val="32"/>
          <w:szCs w:val="32"/>
          <w:rtl/>
          <w:lang w:eastAsia="ar-SA" w:bidi="ar-EG"/>
        </w:rPr>
        <w:tab/>
        <w:t>العمليات المستخدمة في مرافق حرق النفايات، بما في ذلك النظر في المواد المدخلة وسلوك الزئبق في هذه العملية</w:t>
      </w:r>
      <w:bookmarkEnd w:id="2142"/>
      <w:bookmarkEnd w:id="2143"/>
      <w:bookmarkEnd w:id="2144"/>
      <w:bookmarkEnd w:id="2145"/>
      <w:bookmarkEnd w:id="2146"/>
      <w:bookmarkEnd w:id="2147"/>
      <w:bookmarkEnd w:id="2148"/>
      <w:bookmarkEnd w:id="2149"/>
      <w:bookmarkEnd w:id="2150"/>
    </w:p>
    <w:p w:rsidR="00335E4B" w:rsidRPr="00335E4B" w:rsidRDefault="00335E4B" w:rsidP="00335E4B">
      <w:pPr>
        <w:keepNext/>
        <w:spacing w:before="120" w:after="120" w:line="400" w:lineRule="exact"/>
        <w:jc w:val="both"/>
        <w:outlineLvl w:val="3"/>
        <w:rPr>
          <w:rFonts w:cs="Traditional Arabic"/>
          <w:b/>
          <w:bCs/>
          <w:sz w:val="20"/>
          <w:szCs w:val="30"/>
          <w:rtl/>
        </w:rPr>
      </w:pPr>
      <w:r w:rsidRPr="00335E4B">
        <w:rPr>
          <w:rFonts w:cs="Traditional Arabic" w:hint="cs"/>
          <w:b/>
          <w:bCs/>
          <w:sz w:val="20"/>
          <w:szCs w:val="30"/>
          <w:rtl/>
        </w:rPr>
        <w:t>2-1</w:t>
      </w:r>
      <w:r w:rsidRPr="00335E4B">
        <w:rPr>
          <w:rFonts w:cs="Traditional Arabic" w:hint="cs"/>
          <w:b/>
          <w:bCs/>
          <w:sz w:val="20"/>
          <w:szCs w:val="30"/>
          <w:rtl/>
        </w:rPr>
        <w:tab/>
        <w:t>توصيف عام للنفايات التي يمكن أن تنتج عنها انبعاثات زئبق أو مركبات زئبق عند حرقها</w:t>
      </w:r>
    </w:p>
    <w:p w:rsidR="00335E4B" w:rsidRPr="00335E4B" w:rsidRDefault="00335E4B" w:rsidP="00335E4B">
      <w:pPr>
        <w:keepNext/>
        <w:spacing w:before="120" w:after="120" w:line="400" w:lineRule="exact"/>
        <w:ind w:left="849" w:hanging="849"/>
        <w:jc w:val="both"/>
        <w:outlineLvl w:val="3"/>
        <w:rPr>
          <w:rFonts w:cs="Traditional Arabic"/>
          <w:b/>
          <w:bCs/>
          <w:sz w:val="20"/>
          <w:szCs w:val="30"/>
          <w:rtl/>
        </w:rPr>
      </w:pPr>
      <w:r w:rsidRPr="00335E4B">
        <w:rPr>
          <w:rFonts w:cs="Traditional Arabic" w:hint="cs"/>
          <w:b/>
          <w:bCs/>
          <w:sz w:val="20"/>
          <w:szCs w:val="30"/>
          <w:rtl/>
        </w:rPr>
        <w:t>2-1-1</w:t>
      </w:r>
      <w:r w:rsidRPr="00335E4B">
        <w:rPr>
          <w:rFonts w:cs="Traditional Arabic" w:hint="cs"/>
          <w:b/>
          <w:bCs/>
          <w:sz w:val="20"/>
          <w:szCs w:val="30"/>
          <w:rtl/>
        </w:rPr>
        <w:tab/>
        <w:t>التسلسل الهرمي للنفايات</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يبين التسلسل الهرمي تطور المادة أو المنتج خلال المراحل المتتابعة لإدارة النفايات، وهو يمثل الجزء الأخير من دورة كل منتج. والهدف الأساسي من التسلسل الهرمي للنفايات هو استخلاص أكبر قدر من المنافع العملية من المواد وتوليد أقل قدر ممكن من النفايات. ومن شأن التطبيق الجيد للتسلسل الهرمي للنفايات أن تكون له العديد من الفوائد: فهو يمكن أن يساعد في منع انبعاثات الزئبق من النفايات التي قد تحتوي على الزئبق أو الملوثة به، وأن يخفض إنتاج غازات الاحتباس الحراري وأن يخفض الملوثات الجوية الأخرى وأن يوفر الطاقة وأن يحفظ الموارد وأن يوجد فرص العمل وأن يحفز تطوير التكنولوجيات الخضراء. ويشتمل التسلسل الهرمي للنفايات على المراحل التالية:</w:t>
      </w:r>
    </w:p>
    <w:p w:rsidR="00335E4B" w:rsidRPr="00335E4B" w:rsidRDefault="00335E4B" w:rsidP="00335E4B">
      <w:pPr>
        <w:numPr>
          <w:ilvl w:val="0"/>
          <w:numId w:val="21"/>
        </w:numPr>
        <w:spacing w:after="120" w:line="400" w:lineRule="exact"/>
        <w:ind w:left="360"/>
        <w:jc w:val="both"/>
        <w:rPr>
          <w:rFonts w:cs="Traditional Arabic"/>
          <w:sz w:val="30"/>
          <w:szCs w:val="30"/>
        </w:rPr>
      </w:pPr>
      <w:r w:rsidRPr="00335E4B">
        <w:rPr>
          <w:rFonts w:cs="Traditional Arabic" w:hint="cs"/>
          <w:b/>
          <w:bCs/>
          <w:sz w:val="30"/>
          <w:szCs w:val="30"/>
          <w:rtl/>
        </w:rPr>
        <w:t>المنع</w:t>
      </w:r>
      <w:r w:rsidRPr="00335E4B">
        <w:rPr>
          <w:rFonts w:cs="Traditional Arabic" w:hint="cs"/>
          <w:sz w:val="30"/>
          <w:szCs w:val="30"/>
          <w:rtl/>
        </w:rPr>
        <w:t>: إن منع تكون النفايات هو أكثر النقاط أهميةً في التسلسل الهرمي للنفايات، فالمنع أو الخفض يقللان إلى أدنى حد ممكن من توليد نواتج النفايات في المقام الأول. ويقود المنع عادةً إلى أدنى قدر من التكاليف البيئية والاقتصادية خلال دورة المادة نظراً لأنه لا يستوجب جمع المواد أو معالجتها. وبذات القدر فإن المنع يؤدي أيضاً إلى تحقيق فوائد كبيرة من حيث كفاءات الإنتاج واستخدام الموارد، حيث ينطوي على استخدام مواد أقل في التصميم والتصنيع ومحاولة المحافظة على المنتجات لفترات أطول واستخدام مواد أقل خطورةً.</w:t>
      </w:r>
    </w:p>
    <w:p w:rsidR="00335E4B" w:rsidRPr="00335E4B" w:rsidRDefault="00335E4B" w:rsidP="00335E4B">
      <w:pPr>
        <w:numPr>
          <w:ilvl w:val="0"/>
          <w:numId w:val="21"/>
        </w:numPr>
        <w:spacing w:after="120" w:line="400" w:lineRule="exact"/>
        <w:ind w:left="360"/>
        <w:jc w:val="both"/>
        <w:rPr>
          <w:rFonts w:cs="Traditional Arabic"/>
          <w:sz w:val="30"/>
          <w:szCs w:val="30"/>
        </w:rPr>
      </w:pPr>
      <w:r w:rsidRPr="00335E4B">
        <w:rPr>
          <w:rFonts w:cs="Traditional Arabic" w:hint="cs"/>
          <w:b/>
          <w:bCs/>
          <w:sz w:val="30"/>
          <w:szCs w:val="30"/>
          <w:rtl/>
        </w:rPr>
        <w:t>إعادة الاستخدام</w:t>
      </w:r>
      <w:r w:rsidRPr="00335E4B">
        <w:rPr>
          <w:rFonts w:cs="Traditional Arabic" w:hint="cs"/>
          <w:sz w:val="30"/>
          <w:szCs w:val="30"/>
          <w:rtl/>
        </w:rPr>
        <w:t>: تمثل إعادة الاستخدام المباشر للاستخدامات البديلة للمواد من مسار النفايات الخيار التالي الأكثر ملاءمةً، وهو أي عملية تستخدم فيها مرة أخرى المنتجات أو المواد التي لا تشكل نفايات لنفس الأغراض المخصصة لها. ويتطلب إعادة استخدام المواد من مسار النفايات في الغالب الجمع مع المعالجة الطفيفة أو بدونها، ويشتمل على فحص وتنظيف وإصلاح وترميم بنود أو قطع غيار كاملة. ويتعين عدم إعادة استخدام المواد الملوثة بالزئبق.</w:t>
      </w:r>
    </w:p>
    <w:p w:rsidR="00335E4B" w:rsidRPr="00335E4B" w:rsidRDefault="00335E4B" w:rsidP="00335E4B">
      <w:pPr>
        <w:numPr>
          <w:ilvl w:val="0"/>
          <w:numId w:val="21"/>
        </w:numPr>
        <w:spacing w:after="120" w:line="400" w:lineRule="exact"/>
        <w:ind w:left="360"/>
        <w:jc w:val="both"/>
        <w:rPr>
          <w:rFonts w:cs="Traditional Arabic"/>
          <w:sz w:val="30"/>
          <w:szCs w:val="30"/>
        </w:rPr>
      </w:pPr>
      <w:r w:rsidRPr="00335E4B">
        <w:rPr>
          <w:rFonts w:cs="Traditional Arabic" w:hint="cs"/>
          <w:b/>
          <w:bCs/>
          <w:sz w:val="30"/>
          <w:szCs w:val="30"/>
          <w:rtl/>
        </w:rPr>
        <w:t>إعادة التدوير</w:t>
      </w:r>
      <w:r w:rsidRPr="00335E4B">
        <w:rPr>
          <w:rFonts w:cs="Traditional Arabic" w:hint="cs"/>
          <w:sz w:val="30"/>
          <w:szCs w:val="30"/>
          <w:rtl/>
        </w:rPr>
        <w:t>: تمثل إعادة التدوير الأولوية التالية، وتنطبق على أي نشاط يتضمن جمع أشياء مستعملة أو معاد استعمالها أو غير مستعملة يمكن اعتبارها ما لم يحدث ذلك نفايات. وتشمل إعادة التدوير فرز ومعالجة المنتجات القابلة لإعادة التدوير وتحويلها إلى مواد أولية ومن ثم إعادة تصنيع هذه المواد الأولية لإنتاج منتجات جديدة.</w:t>
      </w:r>
    </w:p>
    <w:p w:rsidR="00335E4B" w:rsidRPr="00335E4B" w:rsidRDefault="00335E4B" w:rsidP="00335E4B">
      <w:pPr>
        <w:numPr>
          <w:ilvl w:val="0"/>
          <w:numId w:val="21"/>
        </w:numPr>
        <w:spacing w:after="120" w:line="400" w:lineRule="exact"/>
        <w:ind w:left="360"/>
        <w:jc w:val="both"/>
        <w:rPr>
          <w:rFonts w:cs="Traditional Arabic"/>
          <w:sz w:val="30"/>
          <w:szCs w:val="30"/>
        </w:rPr>
      </w:pPr>
      <w:r w:rsidRPr="00335E4B">
        <w:rPr>
          <w:rFonts w:cs="Traditional Arabic" w:hint="cs"/>
          <w:b/>
          <w:bCs/>
          <w:sz w:val="30"/>
          <w:szCs w:val="30"/>
          <w:rtl/>
        </w:rPr>
        <w:t>الاستعادة</w:t>
      </w:r>
      <w:r w:rsidRPr="00335E4B">
        <w:rPr>
          <w:rFonts w:cs="Traditional Arabic" w:hint="cs"/>
          <w:sz w:val="30"/>
          <w:szCs w:val="30"/>
          <w:rtl/>
        </w:rPr>
        <w:t>: تنقسم استعادة النفايات إلى عدة فئات: استعادة المواد واستعادة الطاقة. والخيار المفضل هو الخيار الأفضل للبيئة وصحة الإنسان. إن استعادة المواد هي نشاط مفضل في أغلب الحالات ويشتمل على أنشطة من قبيل إعادة التدوير وإنتاج السماد العضوي. وبوجه عام تتطلب أنشطة الإدارة هذه نظاماً لجمع النفايات وطريقة لمعالجة المواد وتحويلها إلى منتجات جديدة. أما استعادة الطاقة، ومن ذلك الحرق، فهي في العادة الخيار الأقل تفضيلاً. ويمكن تحويل النفايات غير القابلة لإعادة التدوير إلى حرارة وكهرباء ووقود يمكن الاستفادة منه من خلال العديد من العمليات، بما في ذلك التحلل اللاهوائي والتحويل إلى غاز والتحلل الحراري.</w:t>
      </w:r>
    </w:p>
    <w:p w:rsidR="00335E4B" w:rsidRPr="00335E4B" w:rsidRDefault="00335E4B" w:rsidP="00335E4B">
      <w:pPr>
        <w:numPr>
          <w:ilvl w:val="0"/>
          <w:numId w:val="21"/>
        </w:numPr>
        <w:spacing w:after="120" w:line="400" w:lineRule="exact"/>
        <w:ind w:left="360"/>
        <w:jc w:val="both"/>
        <w:rPr>
          <w:rFonts w:cs="Traditional Arabic"/>
          <w:sz w:val="30"/>
          <w:szCs w:val="30"/>
        </w:rPr>
      </w:pPr>
      <w:r w:rsidRPr="00335E4B">
        <w:rPr>
          <w:rFonts w:cs="Traditional Arabic" w:hint="cs"/>
          <w:b/>
          <w:bCs/>
          <w:sz w:val="30"/>
          <w:szCs w:val="30"/>
          <w:rtl/>
        </w:rPr>
        <w:t>التخلص</w:t>
      </w:r>
      <w:r w:rsidRPr="00335E4B">
        <w:rPr>
          <w:rFonts w:cs="Traditional Arabic" w:hint="cs"/>
          <w:sz w:val="30"/>
          <w:szCs w:val="30"/>
          <w:rtl/>
        </w:rPr>
        <w:t>: التخلص هو الملاذ الأخير ولا يُنظر في اللجوء إلى التخلص إلا بعد استكشاف كل الاحتمالات الأخرى. والتخلص هو أي عملية تشتمل على رمي النفايات وحرقها دون استعادة الطاقة. وقد تكون هناك حاجة للمعالجة المسبقة قبل التخلص النهائي من النفايات ويعتمد ذلك على نوع النفايات. ويمثل طمر النفايات الشكل الأكثر شيوعاً للتخلص من النفايات والخيار النهائي للتخلص.</w:t>
      </w:r>
    </w:p>
    <w:p w:rsidR="00335E4B" w:rsidRPr="00335E4B" w:rsidRDefault="00335E4B" w:rsidP="00043573">
      <w:pPr>
        <w:keepNext/>
        <w:tabs>
          <w:tab w:val="left" w:pos="1132"/>
        </w:tabs>
        <w:spacing w:before="120" w:after="120" w:line="400" w:lineRule="exact"/>
        <w:jc w:val="both"/>
        <w:outlineLvl w:val="3"/>
        <w:rPr>
          <w:rFonts w:cs="Traditional Arabic"/>
          <w:b/>
          <w:bCs/>
          <w:sz w:val="20"/>
          <w:szCs w:val="30"/>
          <w:rtl/>
        </w:rPr>
      </w:pPr>
      <w:r w:rsidRPr="00335E4B">
        <w:rPr>
          <w:rFonts w:cs="Traditional Arabic" w:hint="cs"/>
          <w:b/>
          <w:bCs/>
          <w:sz w:val="20"/>
          <w:szCs w:val="30"/>
          <w:rtl/>
        </w:rPr>
        <w:t>2-1-2</w:t>
      </w:r>
      <w:r w:rsidRPr="00335E4B">
        <w:rPr>
          <w:rFonts w:cs="Traditional Arabic" w:hint="cs"/>
          <w:b/>
          <w:bCs/>
          <w:sz w:val="20"/>
          <w:szCs w:val="30"/>
          <w:rtl/>
        </w:rPr>
        <w:tab/>
        <w:t>مدخل إلى أنواع النفايات المختلفة فيما يتعلق بانبعاثات الزئبق من مرافق حرق النفايات</w:t>
      </w:r>
    </w:p>
    <w:p w:rsidR="00335E4B" w:rsidRPr="00335E4B" w:rsidRDefault="00335E4B" w:rsidP="00043573">
      <w:pPr>
        <w:spacing w:before="120" w:after="120" w:line="400" w:lineRule="exact"/>
        <w:ind w:left="1132" w:hanging="1134"/>
        <w:jc w:val="both"/>
        <w:rPr>
          <w:rFonts w:cs="Traditional Arabic"/>
          <w:b/>
          <w:bCs/>
          <w:sz w:val="30"/>
          <w:szCs w:val="30"/>
          <w:rtl/>
        </w:rPr>
      </w:pPr>
      <w:r w:rsidRPr="00335E4B">
        <w:rPr>
          <w:rFonts w:cs="Traditional Arabic" w:hint="cs"/>
          <w:b/>
          <w:bCs/>
          <w:sz w:val="30"/>
          <w:szCs w:val="30"/>
          <w:rtl/>
        </w:rPr>
        <w:t>2-1-2-1</w:t>
      </w:r>
      <w:r w:rsidRPr="00335E4B">
        <w:rPr>
          <w:rFonts w:cs="Traditional Arabic" w:hint="cs"/>
          <w:b/>
          <w:bCs/>
          <w:sz w:val="30"/>
          <w:szCs w:val="30"/>
          <w:rtl/>
        </w:rPr>
        <w:tab/>
        <w:t>النفايات البلدية</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النفايات الصلبة البلدية، التي تعرف على نحو أكثر شيوعاً بالأوساخ أو القمامة، تتكون من الأشياء اليومية التي تستخدم ثم تُرمى مثل مواد تغليف المنتجات وقصاصات الحشائش والأثاث والثياب والقوارير والنفايات الغذائية والصحف والأجهزة والدهانات والبطاريات وأشياء أخرى لا حصر لها. وتأتي هذه الأشياء من المنازل والمدارس والمستشفيات والشركات التجارية والمنشآت الأخرى. ويمكن تقسيم صناعة النفايات الصلبة البلدية إلى أربعة مكونات هي: إعادة التدوير، وإنتاج السماد العضوي، والطمر، وتحويل النفايات إلى طاقة عن طريق الحرق. والخطوات الأولية في دورة النفايات هي التوليد، والجمع، والفرز والفصل، والنقل، والتخلص. ويحتوي عدد من النفايات البلدية على مواد خطرة إضافةً إلى مواد كيميائية عضوية مثل مبيدات الآفات. ويمكن أن تحتوي العقاقير التقليدية ومستحضرات التجميل والأشياء الأخرى على مواد خطرة أيضاً.</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ومن مصادر الزئبق في النفايات الصلبة البلدية ما يلي: البطاريات المنزلية ومصابيح الإنارة الكهربائية ومخلفات الدهانات ومقاييس الحرارة (الثيرمومترات) والثيرموستات والأصباغ واستخدامات طب الأسنان والطلاءات الورقية الخاصة ومفاتيح الإنارة الزئبقية وبطاريات الأفلام وغيرها. وتتراوح تركيزات الزئبق في النفايات الصلبة البلدية عادةً من 0,15 إلى 2 ملغم/كغم (</w:t>
      </w:r>
      <w:r w:rsidRPr="00335E4B">
        <w:rPr>
          <w:rFonts w:cs="Traditional Arabic"/>
          <w:color w:val="403838"/>
          <w:szCs w:val="20"/>
        </w:rPr>
        <w:t>Muenhor et al. 2009</w:t>
      </w:r>
      <w:r w:rsidRPr="00335E4B">
        <w:rPr>
          <w:rFonts w:cs="Traditional Arabic" w:hint="cs"/>
          <w:sz w:val="30"/>
          <w:szCs w:val="30"/>
          <w:rtl/>
        </w:rPr>
        <w:t>).</w:t>
      </w:r>
    </w:p>
    <w:p w:rsidR="00335E4B" w:rsidRPr="00335E4B" w:rsidRDefault="00335E4B" w:rsidP="00335E4B">
      <w:pPr>
        <w:spacing w:before="120" w:after="120" w:line="400" w:lineRule="exact"/>
        <w:ind w:left="709" w:hanging="709"/>
        <w:jc w:val="both"/>
        <w:rPr>
          <w:rFonts w:cs="Traditional Arabic"/>
          <w:b/>
          <w:bCs/>
          <w:sz w:val="30"/>
          <w:szCs w:val="30"/>
          <w:rtl/>
        </w:rPr>
      </w:pPr>
      <w:r w:rsidRPr="00335E4B">
        <w:rPr>
          <w:rFonts w:cs="Traditional Arabic" w:hint="cs"/>
          <w:b/>
          <w:bCs/>
          <w:sz w:val="30"/>
          <w:szCs w:val="30"/>
          <w:rtl/>
        </w:rPr>
        <w:t>2-1-2-2</w:t>
      </w:r>
      <w:r w:rsidRPr="00335E4B">
        <w:rPr>
          <w:rFonts w:cs="Traditional Arabic" w:hint="cs"/>
          <w:b/>
          <w:bCs/>
          <w:sz w:val="30"/>
          <w:szCs w:val="30"/>
          <w:rtl/>
        </w:rPr>
        <w:tab/>
        <w:t>النفايات الخطرة</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النفايات الخطرة هي النفايات التي لها القدرة على الإضرار بصحة الإنسان والبيئة، ولذلك يتعين إدارتها بطريقة سليمة بيئياً. ويمكن أن تكون النفايات الخطرة من السوائل أو المواد الصلبة أو الغازات أو الحمآت. ويمكن رمي هذه النفايات مع منتجات تجارية مثل سوائل التنظيف أو مبيدات الآفات، أو مع المنتجات الثانوية لعمليات التصنيع. ويمكن الحصول من الفصل الثاني من المبادئ التوجيهية التقنية لاتفاقية بازل على توجيهات ومعلومات إضافية عن النفايات التي تعتبر خطرة، إضافةً إلى نطاق نفايات الزئبق التي تشملها تلك الاتفاقية (اتفاقية بازل، 2015).</w:t>
      </w:r>
    </w:p>
    <w:p w:rsidR="00335E4B" w:rsidRPr="00335E4B" w:rsidRDefault="00335E4B" w:rsidP="00335E4B">
      <w:pPr>
        <w:spacing w:before="120" w:after="120" w:line="400" w:lineRule="exact"/>
        <w:ind w:left="709" w:hanging="709"/>
        <w:jc w:val="both"/>
        <w:rPr>
          <w:rFonts w:cs="Traditional Arabic"/>
          <w:b/>
          <w:bCs/>
          <w:sz w:val="30"/>
          <w:szCs w:val="30"/>
          <w:rtl/>
        </w:rPr>
      </w:pPr>
      <w:r w:rsidRPr="00335E4B">
        <w:rPr>
          <w:rFonts w:cs="Traditional Arabic" w:hint="cs"/>
          <w:b/>
          <w:bCs/>
          <w:sz w:val="30"/>
          <w:szCs w:val="30"/>
          <w:rtl/>
        </w:rPr>
        <w:t>2-1-2-3</w:t>
      </w:r>
      <w:r w:rsidRPr="00335E4B">
        <w:rPr>
          <w:rFonts w:cs="Traditional Arabic" w:hint="cs"/>
          <w:b/>
          <w:bCs/>
          <w:sz w:val="30"/>
          <w:szCs w:val="30"/>
          <w:rtl/>
        </w:rPr>
        <w:tab/>
        <w:t>النفايات من المعدات الكهربائية والإلكترونية</w:t>
      </w:r>
    </w:p>
    <w:p w:rsidR="00335E4B" w:rsidRPr="00335E4B" w:rsidRDefault="00335E4B" w:rsidP="00040D1A">
      <w:pPr>
        <w:spacing w:after="120" w:line="400" w:lineRule="exact"/>
        <w:jc w:val="both"/>
        <w:rPr>
          <w:rFonts w:cs="Traditional Arabic"/>
          <w:sz w:val="30"/>
          <w:szCs w:val="30"/>
          <w:rtl/>
        </w:rPr>
      </w:pPr>
      <w:r w:rsidRPr="00335E4B">
        <w:rPr>
          <w:rFonts w:cs="Traditional Arabic" w:hint="cs"/>
          <w:sz w:val="30"/>
          <w:szCs w:val="30"/>
          <w:rtl/>
        </w:rPr>
        <w:t xml:space="preserve">يمكن أن تحتوي المعدات الكهربائية والإلكترونية على الزئبق إضافةً إلى مواد أخرى خطرة. وغالباً ما تُجمع النفايات الكهربائية والإلكترونية بشكل منفصل ولا تُحرق في العادة بل تخضع لعمليات استعادة وإعادة تدوير </w:t>
      </w:r>
      <w:r w:rsidR="00040D1A">
        <w:rPr>
          <w:rFonts w:cs="Traditional Arabic" w:hint="cs"/>
          <w:sz w:val="30"/>
          <w:szCs w:val="30"/>
          <w:rtl/>
        </w:rPr>
        <w:t>-</w:t>
      </w:r>
      <w:r w:rsidRPr="00335E4B">
        <w:rPr>
          <w:rFonts w:cs="Traditional Arabic" w:hint="cs"/>
          <w:sz w:val="30"/>
          <w:szCs w:val="30"/>
          <w:rtl/>
        </w:rPr>
        <w:t xml:space="preserve"> بيد أن هذه التوجيهات لا تتناول العمليات التي تهدف إلى استعادة المواد. ويمكن جمع المعدات الكهربائية والإلكترونية مع النفايات البلدية ، وإذا عُرف أن هذه المعدات تحتوي على زئبق وتدخل في مسارات النفايات فإنه يتعين التعامل معها وفقاً للمادة 11 من اتفاقية ميناماتا. بيد أن المعدات الكهربائية والإلكترونية تُحرق في بعض الأحيان مع النفايات البلدية ومن شأنها أن تطلق انبعاثات الزئبق.</w:t>
      </w:r>
    </w:p>
    <w:p w:rsidR="00335E4B" w:rsidRPr="00335E4B" w:rsidRDefault="00335E4B" w:rsidP="00043573">
      <w:pPr>
        <w:spacing w:before="120" w:after="120" w:line="400" w:lineRule="exact"/>
        <w:ind w:left="709" w:hanging="709"/>
        <w:jc w:val="both"/>
        <w:rPr>
          <w:rFonts w:cs="Traditional Arabic"/>
          <w:b/>
          <w:bCs/>
          <w:sz w:val="30"/>
          <w:szCs w:val="30"/>
          <w:rtl/>
        </w:rPr>
      </w:pPr>
      <w:r w:rsidRPr="00335E4B">
        <w:rPr>
          <w:rFonts w:cs="Traditional Arabic" w:hint="cs"/>
          <w:b/>
          <w:bCs/>
          <w:sz w:val="30"/>
          <w:szCs w:val="30"/>
          <w:rtl/>
        </w:rPr>
        <w:t>2-1-2-4</w:t>
      </w:r>
      <w:r w:rsidR="00043573">
        <w:rPr>
          <w:rFonts w:cs="Traditional Arabic" w:hint="cs"/>
          <w:b/>
          <w:bCs/>
          <w:sz w:val="30"/>
          <w:szCs w:val="30"/>
          <w:rtl/>
        </w:rPr>
        <w:tab/>
      </w:r>
      <w:r w:rsidRPr="00335E4B">
        <w:rPr>
          <w:rFonts w:cs="Traditional Arabic" w:hint="cs"/>
          <w:b/>
          <w:bCs/>
          <w:sz w:val="30"/>
          <w:szCs w:val="30"/>
          <w:rtl/>
        </w:rPr>
        <w:t>النفايات الطبية المحتوية على الزئبق أو الملوثة به</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 xml:space="preserve">تُعرَّف النفايات الطبية عموماً بأنها أي نفايات صلبة تتولد أثناء الفحص أو العلاج أو التلقيح للإنسان أو الحيوان، وفي البحوث المتعلقة بذلك أو عند إنتاج أو اختبار المواد البيولوجية. وتصنف منظمة الصحة العالمية النفايات الطبية ضمن الفئات التالية: النفايات الحادة والمعدية والباثولوجية والمشعة والصيدلانية وغيرها (في الغالب نفايات النظافة الصحية الناتجة في المستشفيات) </w:t>
      </w:r>
      <w:r w:rsidRPr="00040D1A">
        <w:rPr>
          <w:rFonts w:asciiTheme="majorBidi" w:hAnsiTheme="majorBidi" w:cstheme="majorBidi"/>
          <w:sz w:val="20"/>
          <w:szCs w:val="20"/>
          <w:rtl/>
        </w:rPr>
        <w:t>(</w:t>
      </w:r>
      <w:r w:rsidRPr="00040D1A">
        <w:rPr>
          <w:rFonts w:asciiTheme="majorBidi" w:hAnsiTheme="majorBidi" w:cstheme="majorBidi"/>
          <w:color w:val="000000"/>
          <w:sz w:val="20"/>
          <w:szCs w:val="20"/>
        </w:rPr>
        <w:t>WHO, 2014, p. 4</w:t>
      </w:r>
      <w:r w:rsidRPr="00040D1A">
        <w:rPr>
          <w:rFonts w:asciiTheme="majorBidi" w:hAnsiTheme="majorBidi" w:cstheme="majorBidi"/>
          <w:sz w:val="20"/>
          <w:szCs w:val="20"/>
          <w:rtl/>
        </w:rPr>
        <w:t>)</w:t>
      </w:r>
      <w:r w:rsidRPr="00335E4B">
        <w:rPr>
          <w:rFonts w:cs="Traditional Arabic" w:hint="cs"/>
          <w:sz w:val="30"/>
          <w:szCs w:val="30"/>
          <w:rtl/>
        </w:rPr>
        <w:t xml:space="preserve">. ويمكن أن تتفاوت الفئات المحددة التي تصنف ضمنها النفايات الطبية باختلاف البلدان (فمثلاً المواد الحادة لا تصنف على أنها نفايات خطرة في كل البلدان). وكقاعدة عامة فإن ما يتراوح من 75 إلى 90 في المائة من النفايات التي تنتجها مرافق الرعاية الصحية هي نفايات عامة غير خطرة (غير معدية، غير خطرة) مقارنةً بالنفايات البلدية. وهناك فقط جزء صغير من نفايات الرعاية الصحية يعتبر خطراً ومن شأنه أن يقود إلى مخاطر صحية </w:t>
      </w:r>
      <w:r w:rsidRPr="00040D1A">
        <w:rPr>
          <w:rFonts w:asciiTheme="majorBidi" w:hAnsiTheme="majorBidi" w:cstheme="majorBidi"/>
          <w:sz w:val="20"/>
          <w:szCs w:val="20"/>
          <w:rtl/>
        </w:rPr>
        <w:t>(</w:t>
      </w:r>
      <w:r w:rsidRPr="00040D1A">
        <w:rPr>
          <w:rFonts w:asciiTheme="majorBidi" w:hAnsiTheme="majorBidi" w:cstheme="majorBidi"/>
          <w:color w:val="000000"/>
          <w:sz w:val="20"/>
          <w:szCs w:val="20"/>
        </w:rPr>
        <w:t>Emmanuel, 2012</w:t>
      </w:r>
      <w:r w:rsidRPr="00040D1A">
        <w:rPr>
          <w:rFonts w:asciiTheme="majorBidi" w:hAnsiTheme="majorBidi" w:cstheme="majorBidi"/>
          <w:sz w:val="20"/>
          <w:szCs w:val="20"/>
          <w:rtl/>
        </w:rPr>
        <w:t>)</w:t>
      </w:r>
      <w:r w:rsidRPr="00335E4B">
        <w:rPr>
          <w:rFonts w:cs="Traditional Arabic" w:hint="cs"/>
          <w:sz w:val="30"/>
          <w:szCs w:val="30"/>
          <w:rtl/>
        </w:rPr>
        <w:t>.</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ويمكن للنفايات الطبية الخطرة أن توثر على الإنسان بطرق غير معدية. ويشمل هذ النوع من النفايات المواد الحادة التي تُعرف عموماً على أنها الأشياء التي لها القدرة على ثقب الجلد أو تمزيقه ويمكن أن تشمل الإبر والحقن والمعدات الطبية المتخلص منها مثل المباضع والمشارط وأطباق الاستزراع والأجهزة الزجاجية الأخرى. وقد تشمل النفايات الطبية الخطرة أيضاً المواد الكيميائية. ويمكن أيضاً أن تعتبر بعض النفايات الطبية الخطرة نفايات معدية اعتماداً على استخداماتها وتعرضها للأنسجة البشرية أو الحيوانية قبل رميها. وفي بعض الأحيان تكون النفايات الصيدلانية القديمة خطرة وقد تحتوي على الزئبق.</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ويستخدم الزئبق بعدة طرق خاصة بالقطاع الطبي منها:</w:t>
      </w:r>
    </w:p>
    <w:p w:rsidR="00335E4B" w:rsidRPr="00335E4B" w:rsidRDefault="00335E4B" w:rsidP="00335E4B">
      <w:pPr>
        <w:numPr>
          <w:ilvl w:val="0"/>
          <w:numId w:val="22"/>
        </w:numPr>
        <w:spacing w:after="120" w:line="400" w:lineRule="exact"/>
        <w:ind w:left="360"/>
        <w:jc w:val="both"/>
        <w:rPr>
          <w:rFonts w:cs="Traditional Arabic"/>
          <w:sz w:val="30"/>
          <w:szCs w:val="30"/>
        </w:rPr>
      </w:pPr>
      <w:r w:rsidRPr="00335E4B">
        <w:rPr>
          <w:rFonts w:cs="Traditional Arabic" w:hint="cs"/>
          <w:sz w:val="30"/>
          <w:szCs w:val="30"/>
          <w:rtl/>
        </w:rPr>
        <w:t>الزئبق في أجهزة القياس: يوجد الزئبق في الكثير من أجهزة القياس الطبية الشائعة مثل أجهزة قياس ضغط الدم وأجهزة قياس درجة الحرارة (خصوصاً أجهزة قياس درجة حرارة الجسم ولكن أيضاً الأجهزة الأخرى) وفي عدد من الأجهزة المعدية المعوية مثل الأنابيب المعوية ذات الوزن الزائد وأنابيب توسيع المريء وأنابيب التغذية وأنابيب ميلر أبوت. وكما هو الحال في الأنواع الأخرى من الأجهزة فقد استخدم الزئبق بصورة تقليدية في هذه الأجهزة بسبب خواصه الفيزيائية الفريدة، بما في ذلك قدرته على تقديم قياسات عالية الدقة.</w:t>
      </w:r>
    </w:p>
    <w:p w:rsidR="00335E4B" w:rsidRPr="00335E4B" w:rsidRDefault="00335E4B" w:rsidP="00335E4B">
      <w:pPr>
        <w:numPr>
          <w:ilvl w:val="0"/>
          <w:numId w:val="22"/>
        </w:numPr>
        <w:spacing w:after="120" w:line="400" w:lineRule="exact"/>
        <w:ind w:left="360"/>
        <w:jc w:val="both"/>
        <w:rPr>
          <w:rFonts w:cs="Traditional Arabic"/>
          <w:sz w:val="30"/>
          <w:szCs w:val="30"/>
        </w:rPr>
      </w:pPr>
      <w:r w:rsidRPr="00335E4B">
        <w:rPr>
          <w:rFonts w:cs="Traditional Arabic" w:hint="cs"/>
          <w:sz w:val="30"/>
          <w:szCs w:val="30"/>
          <w:rtl/>
        </w:rPr>
        <w:t>الزئبق في بعض أنواع العقاقير التقليدية: قد تحتوي بعض العقاقير التقليدية على الزئبق رغم أن عدداً من الهيئات التنظيمية فرضت ضوابط على ذلك.</w:t>
      </w:r>
    </w:p>
    <w:p w:rsidR="00335E4B" w:rsidRPr="00335E4B" w:rsidRDefault="00335E4B" w:rsidP="00040D1A">
      <w:pPr>
        <w:numPr>
          <w:ilvl w:val="0"/>
          <w:numId w:val="22"/>
        </w:numPr>
        <w:spacing w:after="120" w:line="400" w:lineRule="exact"/>
        <w:ind w:left="360"/>
        <w:jc w:val="both"/>
        <w:rPr>
          <w:rFonts w:cs="Traditional Arabic"/>
          <w:sz w:val="30"/>
          <w:szCs w:val="30"/>
        </w:rPr>
      </w:pPr>
      <w:r w:rsidRPr="00335E4B">
        <w:rPr>
          <w:rFonts w:cs="Traditional Arabic" w:hint="cs"/>
          <w:sz w:val="30"/>
          <w:szCs w:val="30"/>
          <w:rtl/>
        </w:rPr>
        <w:t>الزئبق في ملاغم الأسنان: ملغم الأسنان المعروف باسم ال</w:t>
      </w:r>
      <w:r w:rsidR="00040D1A">
        <w:rPr>
          <w:rFonts w:cs="Traditional Arabic" w:hint="cs"/>
          <w:sz w:val="30"/>
          <w:szCs w:val="30"/>
          <w:rtl/>
        </w:rPr>
        <w:t>ــ </w:t>
      </w:r>
      <w:r w:rsidRPr="00335E4B">
        <w:rPr>
          <w:rFonts w:cs="Traditional Arabic" w:hint="cs"/>
          <w:sz w:val="30"/>
          <w:szCs w:val="30"/>
          <w:rtl/>
        </w:rPr>
        <w:t>’’الحشوة الفضية‘‘ هو مادة فضية اللون تستخدم لحشو الأسنان التي يوجد بها تسوس. ويصنع ملغم الأسنان من جزأين متساويين تقريباً: الزئبق السائل ومسحوق يحتوي على الفضة والقصدير والنحاس والزنك ومعادن أخرى. وظل الملغم هو أحد أكثر حشوات الأسنان شيوعاً في الاستخدام. وفي حالة إحراق ملغم الأسنان يمكن أن ينبعث الزئبق إلى الهواء من مداخن الفرن.</w:t>
      </w:r>
    </w:p>
    <w:p w:rsidR="00335E4B" w:rsidRPr="00335E4B" w:rsidRDefault="00335E4B" w:rsidP="00335E4B">
      <w:pPr>
        <w:numPr>
          <w:ilvl w:val="0"/>
          <w:numId w:val="22"/>
        </w:numPr>
        <w:spacing w:after="120" w:line="400" w:lineRule="exact"/>
        <w:ind w:left="360"/>
        <w:jc w:val="both"/>
        <w:rPr>
          <w:rFonts w:cs="Traditional Arabic"/>
          <w:sz w:val="30"/>
          <w:szCs w:val="30"/>
        </w:rPr>
      </w:pPr>
      <w:r w:rsidRPr="00335E4B">
        <w:rPr>
          <w:rFonts w:cs="Traditional Arabic" w:hint="cs"/>
          <w:sz w:val="30"/>
          <w:szCs w:val="30"/>
          <w:rtl/>
        </w:rPr>
        <w:t>مركبات الزئبق في بعض المواد الحافظة ومواد التثبيت والكواشف المستخدمة في المستشفيات: تستخدم بعض مركبات الزئبق في شكل مواد حافظة في العقاقير والمنتجات الأخرى بما في ذلك اللقاحات.</w:t>
      </w:r>
    </w:p>
    <w:p w:rsidR="00335E4B" w:rsidRPr="00335E4B" w:rsidRDefault="00335E4B" w:rsidP="00335E4B">
      <w:pPr>
        <w:spacing w:before="120" w:after="120" w:line="400" w:lineRule="exact"/>
        <w:ind w:left="709" w:hanging="709"/>
        <w:jc w:val="both"/>
        <w:rPr>
          <w:rFonts w:cs="Traditional Arabic"/>
          <w:b/>
          <w:bCs/>
          <w:sz w:val="30"/>
          <w:szCs w:val="30"/>
          <w:rtl/>
        </w:rPr>
      </w:pPr>
      <w:r w:rsidRPr="00335E4B">
        <w:rPr>
          <w:rFonts w:cs="Traditional Arabic" w:hint="cs"/>
          <w:b/>
          <w:bCs/>
          <w:sz w:val="30"/>
          <w:szCs w:val="30"/>
          <w:rtl/>
        </w:rPr>
        <w:t>2-1-2-5</w:t>
      </w:r>
      <w:r w:rsidRPr="00335E4B">
        <w:rPr>
          <w:rFonts w:cs="Traditional Arabic" w:hint="cs"/>
          <w:b/>
          <w:bCs/>
          <w:sz w:val="30"/>
          <w:szCs w:val="30"/>
          <w:rtl/>
        </w:rPr>
        <w:tab/>
        <w:t>حمأة مياه المجارير</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 xml:space="preserve">حمأة مياه المجارير هي منتج ثانوي مباشر لمعالجة مياه المجاري المنزلية في مرفق معالجة المياه العادمة. ويمكن لملغم الأسنان أن يساهم في زيادة كمية الزئبق في حمأة مياه المجارير في حال وضعت نفايات الملاغم في مسار المياه العادمة بدلاً من فصلها. ونظراً للعمليات الفيزيائية والكيميائية التي تنطوي عليها المعالجة فإن حمأة مياه المجارير تميل إلى تركيز المعادن الثقيلة مثل الزئبق والكادميوم والرصاص وغيرها وكذلك المركبات العضوية النزرة التي لا تتحلل بيولوجياً بسهولة إضافةً إلى الكائنات الحية التي قد تكون مسببة للأمراض (الفيروسات والبكتيريا وغيرها) الموجودة في المياه العادمة. وتتراوح المستويات النموذجية للزئبق في حمأة مياه المجارير من 0,6 إلى 56 ملغم/كغم من الحمأة الجافة </w:t>
      </w:r>
      <w:r w:rsidRPr="00040D1A">
        <w:rPr>
          <w:rFonts w:asciiTheme="majorBidi" w:hAnsiTheme="majorBidi" w:cstheme="majorBidi"/>
          <w:sz w:val="20"/>
          <w:szCs w:val="20"/>
          <w:rtl/>
        </w:rPr>
        <w:t>(</w:t>
      </w:r>
      <w:r w:rsidRPr="00040D1A">
        <w:rPr>
          <w:rFonts w:asciiTheme="majorBidi" w:eastAsia="AdvTimes" w:hAnsiTheme="majorBidi" w:cstheme="majorBidi"/>
          <w:sz w:val="20"/>
          <w:szCs w:val="20"/>
        </w:rPr>
        <w:t>Hisau; Lo, 1998</w:t>
      </w:r>
      <w:r w:rsidRPr="00040D1A">
        <w:rPr>
          <w:rFonts w:asciiTheme="majorBidi" w:hAnsiTheme="majorBidi" w:cstheme="majorBidi"/>
          <w:sz w:val="20"/>
          <w:szCs w:val="20"/>
          <w:rtl/>
        </w:rPr>
        <w:t>)</w:t>
      </w:r>
      <w:r w:rsidRPr="00335E4B">
        <w:rPr>
          <w:rFonts w:cs="Traditional Arabic" w:hint="cs"/>
          <w:sz w:val="30"/>
          <w:szCs w:val="30"/>
          <w:rtl/>
        </w:rPr>
        <w:t xml:space="preserve">. وأبلغ أيضاً عن تركيزات تتراوح من 1 إلى 4 ملغم/كغم من المادة الجافة </w:t>
      </w:r>
      <w:r w:rsidRPr="00040D1A">
        <w:rPr>
          <w:rFonts w:asciiTheme="majorBidi" w:hAnsiTheme="majorBidi" w:cstheme="majorBidi"/>
          <w:sz w:val="20"/>
          <w:szCs w:val="20"/>
          <w:rtl/>
        </w:rPr>
        <w:t>(</w:t>
      </w:r>
      <w:r w:rsidRPr="00040D1A">
        <w:rPr>
          <w:rFonts w:asciiTheme="majorBidi" w:hAnsiTheme="majorBidi" w:cstheme="majorBidi"/>
          <w:sz w:val="20"/>
          <w:szCs w:val="20"/>
        </w:rPr>
        <w:t>Werther; Saenger 2000</w:t>
      </w:r>
      <w:r w:rsidRPr="00040D1A">
        <w:rPr>
          <w:rFonts w:asciiTheme="majorBidi" w:hAnsiTheme="majorBidi" w:cstheme="majorBidi"/>
          <w:sz w:val="20"/>
          <w:szCs w:val="20"/>
          <w:rtl/>
        </w:rPr>
        <w:t>)</w:t>
      </w:r>
      <w:r w:rsidRPr="00335E4B">
        <w:rPr>
          <w:rFonts w:cs="Traditional Arabic" w:hint="cs"/>
          <w:sz w:val="30"/>
          <w:szCs w:val="30"/>
          <w:rtl/>
        </w:rPr>
        <w:t>.</w:t>
      </w:r>
    </w:p>
    <w:p w:rsidR="00335E4B" w:rsidRPr="00335E4B" w:rsidRDefault="00335E4B" w:rsidP="00335E4B">
      <w:pPr>
        <w:spacing w:before="120" w:after="120" w:line="400" w:lineRule="exact"/>
        <w:ind w:left="709" w:hanging="709"/>
        <w:jc w:val="both"/>
        <w:rPr>
          <w:rFonts w:cs="Traditional Arabic"/>
          <w:b/>
          <w:bCs/>
          <w:sz w:val="30"/>
          <w:szCs w:val="30"/>
          <w:rtl/>
        </w:rPr>
      </w:pPr>
      <w:r w:rsidRPr="00335E4B">
        <w:rPr>
          <w:rFonts w:cs="Traditional Arabic" w:hint="cs"/>
          <w:b/>
          <w:bCs/>
          <w:sz w:val="30"/>
          <w:szCs w:val="30"/>
          <w:rtl/>
        </w:rPr>
        <w:t>2-1-2-6</w:t>
      </w:r>
      <w:r w:rsidRPr="00335E4B">
        <w:rPr>
          <w:rFonts w:cs="Traditional Arabic" w:hint="cs"/>
          <w:b/>
          <w:bCs/>
          <w:sz w:val="30"/>
          <w:szCs w:val="30"/>
          <w:rtl/>
        </w:rPr>
        <w:tab/>
        <w:t>الخشب الخردة</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ينتج الخشب الخردة في مواقع إنشاء الهياكل الخشبية السكنية والتجارية وقد يشتمل على أشياء مثل أطر النوافذ المطلية بدهانات محتوية على الزئبق. وتنتج عمليات الهدم في العادة نفايات خشب تُجمع نتيجةً لطبيعتها غير المتناسقة مع المواد الأخرى وهي غير قابلة دوماً لإعادة الاستخدام. وإذا لم تكن الأخشاب ملوثة بمواد خطرة مثل الزئبق (مثل أطر النوافذ المطلية بالدهانات المحتوية على الزئبق) فمن الممكن إعادة استخدامها، مثلاً في ألواح الخشب. أما الأخشاب الملوثة فقد تُحرق في منشأة حرق أو يُتخلص منها في مدافن قمامة مخصصة لهذا الغرض.</w:t>
      </w:r>
    </w:p>
    <w:p w:rsidR="00335E4B" w:rsidRPr="00335E4B" w:rsidRDefault="00335E4B" w:rsidP="00040D1A">
      <w:pPr>
        <w:spacing w:before="120" w:after="120" w:line="400" w:lineRule="exact"/>
        <w:ind w:left="709" w:hanging="709"/>
        <w:jc w:val="both"/>
        <w:rPr>
          <w:rFonts w:cs="Traditional Arabic"/>
          <w:b/>
          <w:bCs/>
          <w:sz w:val="30"/>
          <w:szCs w:val="30"/>
          <w:rtl/>
        </w:rPr>
      </w:pPr>
      <w:r w:rsidRPr="00335E4B">
        <w:rPr>
          <w:rFonts w:cs="Traditional Arabic" w:hint="cs"/>
          <w:b/>
          <w:bCs/>
          <w:sz w:val="30"/>
          <w:szCs w:val="30"/>
          <w:rtl/>
        </w:rPr>
        <w:t>2-1-2-7</w:t>
      </w:r>
      <w:r w:rsidR="00040D1A">
        <w:rPr>
          <w:rFonts w:cs="Traditional Arabic" w:hint="cs"/>
          <w:b/>
          <w:bCs/>
          <w:sz w:val="30"/>
          <w:szCs w:val="30"/>
          <w:rtl/>
        </w:rPr>
        <w:tab/>
      </w:r>
      <w:r w:rsidRPr="00335E4B">
        <w:rPr>
          <w:rFonts w:cs="Traditional Arabic" w:hint="cs"/>
          <w:b/>
          <w:bCs/>
          <w:sz w:val="30"/>
          <w:szCs w:val="30"/>
          <w:rtl/>
        </w:rPr>
        <w:t>النفايات الصناعية الشائعة</w:t>
      </w:r>
    </w:p>
    <w:p w:rsidR="00335E4B" w:rsidRPr="00335E4B" w:rsidRDefault="00335E4B" w:rsidP="00040D1A">
      <w:pPr>
        <w:spacing w:after="120" w:line="400" w:lineRule="exact"/>
        <w:jc w:val="both"/>
        <w:rPr>
          <w:rFonts w:cs="Traditional Arabic"/>
          <w:sz w:val="30"/>
          <w:szCs w:val="30"/>
          <w:rtl/>
        </w:rPr>
      </w:pPr>
      <w:r w:rsidRPr="00335E4B">
        <w:rPr>
          <w:rFonts w:cs="Traditional Arabic" w:hint="cs"/>
          <w:sz w:val="30"/>
          <w:szCs w:val="30"/>
          <w:rtl/>
        </w:rPr>
        <w:t>في بعض الأحيان تحرق النفايات الصناعية المحتوي</w:t>
      </w:r>
      <w:r w:rsidRPr="00335E4B">
        <w:rPr>
          <w:rFonts w:cs="Traditional Arabic" w:hint="eastAsia"/>
          <w:sz w:val="30"/>
          <w:szCs w:val="30"/>
          <w:rtl/>
        </w:rPr>
        <w:t>ة</w:t>
      </w:r>
      <w:r w:rsidRPr="00335E4B">
        <w:rPr>
          <w:rFonts w:cs="Traditional Arabic" w:hint="cs"/>
          <w:sz w:val="30"/>
          <w:szCs w:val="30"/>
          <w:rtl/>
        </w:rPr>
        <w:t xml:space="preserve"> على الزئبق أو الملوثة به، مثل الدهانات والمذيبات والبتروكيماويات والكربون المنشط المستعمل، مع النفايات البلدية ويمكن أن تطلق بالتالي انبعاثات زئبق ومواد خطرة أخرى.</w:t>
      </w:r>
    </w:p>
    <w:p w:rsidR="00335E4B" w:rsidRPr="00335E4B" w:rsidRDefault="00335E4B" w:rsidP="00335E4B">
      <w:pPr>
        <w:keepNext/>
        <w:spacing w:before="120" w:after="120" w:line="400" w:lineRule="exact"/>
        <w:ind w:left="849" w:hanging="849"/>
        <w:jc w:val="both"/>
        <w:outlineLvl w:val="3"/>
        <w:rPr>
          <w:rFonts w:cs="Traditional Arabic"/>
          <w:b/>
          <w:bCs/>
          <w:sz w:val="30"/>
          <w:szCs w:val="30"/>
          <w:rtl/>
        </w:rPr>
      </w:pPr>
      <w:r w:rsidRPr="00335E4B">
        <w:rPr>
          <w:rFonts w:cs="Traditional Arabic" w:hint="cs"/>
          <w:b/>
          <w:bCs/>
          <w:sz w:val="30"/>
          <w:szCs w:val="30"/>
          <w:rtl/>
        </w:rPr>
        <w:t>2-2</w:t>
      </w:r>
      <w:r w:rsidRPr="00335E4B">
        <w:rPr>
          <w:rFonts w:cs="Traditional Arabic" w:hint="cs"/>
          <w:b/>
          <w:bCs/>
          <w:sz w:val="30"/>
          <w:szCs w:val="30"/>
          <w:rtl/>
        </w:rPr>
        <w:tab/>
        <w:t>عملية الحرق</w:t>
      </w:r>
    </w:p>
    <w:p w:rsidR="00335E4B" w:rsidRPr="00335E4B" w:rsidRDefault="00335E4B" w:rsidP="00977BAF">
      <w:pPr>
        <w:keepNext/>
        <w:spacing w:before="120" w:after="120" w:line="400" w:lineRule="exact"/>
        <w:ind w:left="992" w:hanging="992"/>
        <w:jc w:val="both"/>
        <w:outlineLvl w:val="3"/>
        <w:rPr>
          <w:rFonts w:cs="Traditional Arabic"/>
          <w:b/>
          <w:bCs/>
          <w:sz w:val="30"/>
          <w:szCs w:val="30"/>
          <w:rtl/>
        </w:rPr>
      </w:pPr>
      <w:r w:rsidRPr="00335E4B">
        <w:rPr>
          <w:rFonts w:cs="Traditional Arabic" w:hint="cs"/>
          <w:b/>
          <w:bCs/>
          <w:sz w:val="30"/>
          <w:szCs w:val="30"/>
          <w:rtl/>
        </w:rPr>
        <w:t>2-2-1</w:t>
      </w:r>
      <w:r w:rsidRPr="00335E4B">
        <w:rPr>
          <w:rFonts w:cs="Traditional Arabic" w:hint="cs"/>
          <w:b/>
          <w:bCs/>
          <w:sz w:val="30"/>
          <w:szCs w:val="30"/>
          <w:rtl/>
        </w:rPr>
        <w:tab/>
        <w:t xml:space="preserve">مدخل </w:t>
      </w:r>
      <w:r w:rsidRPr="00335E4B">
        <w:rPr>
          <w:rFonts w:cs="Traditional Arabic" w:hint="cs"/>
          <w:b/>
          <w:bCs/>
          <w:sz w:val="20"/>
          <w:szCs w:val="30"/>
          <w:rtl/>
        </w:rPr>
        <w:t>إلى</w:t>
      </w:r>
      <w:r w:rsidRPr="00335E4B">
        <w:rPr>
          <w:rFonts w:cs="Traditional Arabic" w:hint="cs"/>
          <w:b/>
          <w:bCs/>
          <w:sz w:val="30"/>
          <w:szCs w:val="30"/>
          <w:rtl/>
        </w:rPr>
        <w:t xml:space="preserve"> التقنية العامة للحرق</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يستخدم الحرق لمعالجة نطاق واسع جداً من النفايات. وفي العادة يشكل الحرق في حد ذاته جزءاً واحداً فقط من نظام معقد لمعالجة النفايات يسمح في مجموعه بالإدارة الشاملة لمجموعة واسعة من النفايات التي تتشكل في المجتمع. والهدف من حرق النفايات هو معالجة النفايات بطريقة تقلل كميتها ومخاطرها مع احتجاز (وبالتالي تركيز) أو تدمير المواد التي قد تكون خطرة والتي تنطلق أو قد تنطلق أثناء عملية الحرق. ومن شان عملية الحرق أيضاً أن تسهل استعادة الطاقة والمعادن والمواد الكيميائية من النفايات.</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وتوجد أفران الحرق في أشكال متعددة من أنواع الأفران وأحجامها وتوليفات المعالجات المستخدمة فيها ما قبل الحرق وما بعده. ويوجد كذلك تداخل كبير بين التصميمات المختارة لحرق النفايات الصلبة البلدية والنفايات الخطرة وحمأة مياه المجارير.</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وتُصمم أفران الحرق في العادة لتوفير احتراق كامل الأكسدة في درجات حرارة تتراوح عموماً من 850مْ إلى 200 1مْ. ويمكن أن يشمل هذا المدى درجات حرارة يحدث فيها التحمص والذوبان. ويشكل التغويز (التحويل إلى غاز بدون احتراق) والتحلل الحراري معالجات حرارية بديلة تحد من كمية هواء الاحتراق الأولي الضرورية لتحويل النفايات إلى غاز معالجة يمكن استخدامه كمادة وسيطة كيميائية أو حرقه مع استعادة الطاقة. ومقارنةً بالحرق فإن هذين النظامين لا يستخدمان كثيراً وقد أبلغ عن وجود صعوبات في التشغيل في بعض المنشآت. ويمكن أن تتميز منشآت حرق النفايات بالوظائف التالية: نقل النفايات والتخزين والمعالجة المسبقة والحرق واستعادة الطاقة وتنظيف غاز المداخن وإدارة المخلفات الصلبة ومعالجة المياه العادمة. وهناك تأثير كبير لطبيعة النفايات المدخلة على كيفية تصميم وتشغيل كل عنصر فيها.</w:t>
      </w:r>
    </w:p>
    <w:p w:rsidR="00335E4B" w:rsidRPr="00335E4B" w:rsidRDefault="00335E4B" w:rsidP="00AA60A1">
      <w:pPr>
        <w:spacing w:after="120" w:line="400" w:lineRule="exact"/>
        <w:jc w:val="both"/>
        <w:rPr>
          <w:rFonts w:cs="Traditional Arabic"/>
          <w:sz w:val="30"/>
          <w:szCs w:val="30"/>
          <w:rtl/>
        </w:rPr>
      </w:pPr>
      <w:r w:rsidRPr="00335E4B">
        <w:rPr>
          <w:rFonts w:cs="Traditional Arabic" w:hint="cs"/>
          <w:sz w:val="30"/>
          <w:szCs w:val="30"/>
          <w:rtl/>
        </w:rPr>
        <w:t xml:space="preserve">إن النفايات هي بشكل عام مادة غير متجانسة إلى حد كبير وتتكون بصورة أساسية من مواد عضوية ومعادن وفلزات ومياه. وأثناء الحرق تتكون غازات المداخن التي تحتوى على أغلب طاقة الوقود المتاحة في شكل حرارة. وفي الاحتراق الكامل الأكسدة تكون المكونات الرئيسية لغاز المداخن هي بخار الماء والنيتروجين وثاني أكسيد الكربون والأكسجين. واعتماداً على تركيبة المادة المحترقة وظروف الاحتراق ونظام تنظيف غاز المداخن المستخدم تنبعث غازات حمضية (أكاسيد الكبريت وأكاسيد النيتروجين وكلوريد الهيدروجين) والجسيمات الدقيقة العالقة (بما في ذلك الفلزات المرتبطة بهذه الجسيمات) والفلزات المتطايرة، إضافةً إلى مجموعة واسعة من المركبات العضوية المتطايرة. واتضح أيضاً أن حرق النفايات الصلبة البلدية والنفايات الخطرة يشكل مصدراً محتملاً رئيسياً لانبعاثات الزئبق. ويمكن أن تكون الانبعاثات كبيرة جداً في حال عدم التحكم في المدخلات من المصادر المحتملة (النفايات المحتوية على الزئبق مثلاً في المنتجات ونفايات الأخشاب المعالجة) أو عدم إزالتها قبل الحرق. وتجدر الإشارة إلى أن الزئبق يوجد في الشكل العنصري والمتأكسد والجسيمي في غاز المداخن. ويتميز الزئبق الموجود في الشكل المتأكسد </w:t>
      </w:r>
      <w:r w:rsidRPr="00335E4B">
        <w:rPr>
          <w:rFonts w:cs="Traditional Arabic"/>
          <w:sz w:val="30"/>
          <w:szCs w:val="30"/>
          <w:rtl/>
        </w:rPr>
        <w:t>–</w:t>
      </w:r>
      <w:r w:rsidRPr="00335E4B">
        <w:rPr>
          <w:rFonts w:cs="Traditional Arabic" w:hint="cs"/>
          <w:sz w:val="30"/>
          <w:szCs w:val="30"/>
          <w:rtl/>
        </w:rPr>
        <w:t xml:space="preserve"> أساساً في شكل كلوريد زئبقيك في غازات مداخن أفران الحرق </w:t>
      </w:r>
      <w:r w:rsidR="00AA60A1">
        <w:rPr>
          <w:rFonts w:cs="Traditional Arabic" w:hint="cs"/>
          <w:sz w:val="30"/>
          <w:szCs w:val="30"/>
          <w:rtl/>
        </w:rPr>
        <w:t>-</w:t>
      </w:r>
      <w:r w:rsidRPr="00335E4B">
        <w:rPr>
          <w:rFonts w:cs="Traditional Arabic" w:hint="cs"/>
          <w:sz w:val="30"/>
          <w:szCs w:val="30"/>
          <w:rtl/>
        </w:rPr>
        <w:t xml:space="preserve"> بأنه سهل الإزالة عموماً مقارنةً بالزئبق النقي.</w:t>
      </w:r>
    </w:p>
    <w:p w:rsidR="00335E4B" w:rsidRPr="00335E4B" w:rsidRDefault="00335E4B" w:rsidP="00335E4B">
      <w:pPr>
        <w:spacing w:after="120" w:line="400" w:lineRule="exact"/>
        <w:jc w:val="both"/>
        <w:rPr>
          <w:rFonts w:cs="Traditional Arabic"/>
          <w:sz w:val="20"/>
          <w:szCs w:val="22"/>
        </w:rPr>
      </w:pPr>
      <w:r w:rsidRPr="00335E4B">
        <w:rPr>
          <w:rFonts w:cs="Traditional Arabic" w:hint="cs"/>
          <w:sz w:val="30"/>
          <w:szCs w:val="30"/>
          <w:rtl/>
        </w:rPr>
        <w:t>واعتماداً على درجات الحرارة أثناء المراحل الرئيسية لعملية الحرق تتبخر الفلزات المتطايرة والمركبات غير العضوية (مثل الأملاح) بشكل كامل أو جزئي. وتنتقل هذه المواد من النفايات المدخلة إلى غاز المداخن والرماد المتطاير الذي يحتوي عليها. وينتج رماد متطاير متخلف (غبار) ورماد صلب أثقل (رماد القاع). وتتفاوت نسب المخلفات الصلبة إلى حد كبير وفقاً لنوع النفايات وتصميم المعالجة التفصيلي. وهناك إطلاقات أخرى هي المخلفات من معالجة غاز المداخن وتنقيته، وكُسب المرشح من معالجة المياه العادمة، والأملاح وإطلاقات المواد في المياه العادمة. ولذلك فإن من الأهمية بمكان توفير حيز تصريف آمن لهذه الأنواع من النفايات المحتوية على الزئبق (انظر الفرع 3-7). الشكل 1 يبين مخطط تدفق مبسط لفرن حرق النفايات.</w:t>
      </w:r>
    </w:p>
    <w:p w:rsidR="00335E4B" w:rsidRPr="00335E4B" w:rsidRDefault="00335E4B" w:rsidP="00335E4B">
      <w:pPr>
        <w:rPr>
          <w:rFonts w:cs="Traditional Arabic"/>
          <w:sz w:val="20"/>
          <w:szCs w:val="30"/>
        </w:rPr>
      </w:pPr>
      <w:r>
        <w:rPr>
          <w:rFonts w:cs="Traditional Arabic"/>
          <w:noProof/>
          <w:sz w:val="20"/>
          <w:szCs w:val="30"/>
          <w:lang w:val="en-GB" w:eastAsia="zh-CN"/>
        </w:rPr>
        <w:drawing>
          <wp:inline distT="0" distB="0" distL="0" distR="0" wp14:anchorId="1768C4DC" wp14:editId="2954D908">
            <wp:extent cx="5226050" cy="32804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6050" cy="3280410"/>
                    </a:xfrm>
                    <a:prstGeom prst="rect">
                      <a:avLst/>
                    </a:prstGeom>
                    <a:noFill/>
                    <a:ln>
                      <a:noFill/>
                    </a:ln>
                  </pic:spPr>
                </pic:pic>
              </a:graphicData>
            </a:graphic>
          </wp:inline>
        </w:drawing>
      </w:r>
    </w:p>
    <w:p w:rsidR="00335E4B" w:rsidRPr="00977BAF" w:rsidRDefault="00335E4B" w:rsidP="00977BAF">
      <w:pPr>
        <w:spacing w:after="240" w:line="400" w:lineRule="exact"/>
        <w:ind w:left="282"/>
        <w:jc w:val="both"/>
        <w:rPr>
          <w:rFonts w:cs="Traditional Arabic"/>
          <w:b/>
          <w:bCs/>
          <w:sz w:val="30"/>
          <w:szCs w:val="30"/>
          <w:rtl/>
        </w:rPr>
      </w:pPr>
      <w:r w:rsidRPr="00977BAF">
        <w:rPr>
          <w:rFonts w:cs="Traditional Arabic" w:hint="cs"/>
          <w:b/>
          <w:bCs/>
          <w:sz w:val="30"/>
          <w:szCs w:val="30"/>
          <w:rtl/>
        </w:rPr>
        <w:t>الشكل 1</w:t>
      </w:r>
      <w:r w:rsidR="00977BAF">
        <w:rPr>
          <w:rFonts w:cs="Traditional Arabic" w:hint="cs"/>
          <w:b/>
          <w:bCs/>
          <w:sz w:val="30"/>
          <w:szCs w:val="30"/>
          <w:rtl/>
        </w:rPr>
        <w:t>-</w:t>
      </w:r>
      <w:r w:rsidRPr="00977BAF">
        <w:rPr>
          <w:rFonts w:cs="Traditional Arabic" w:hint="cs"/>
          <w:b/>
          <w:bCs/>
          <w:sz w:val="30"/>
          <w:szCs w:val="30"/>
          <w:rtl/>
        </w:rPr>
        <w:tab/>
        <w:t>مخطط تدفق مبسط لفرن حرق النفايات</w:t>
      </w:r>
    </w:p>
    <w:p w:rsidR="00335E4B" w:rsidRPr="00335E4B" w:rsidRDefault="00335E4B" w:rsidP="00335E4B">
      <w:pPr>
        <w:keepNext/>
        <w:spacing w:after="120" w:line="400" w:lineRule="exact"/>
        <w:ind w:left="991" w:hanging="991"/>
        <w:jc w:val="both"/>
        <w:outlineLvl w:val="3"/>
        <w:rPr>
          <w:rFonts w:cs="Traditional Arabic"/>
          <w:b/>
          <w:bCs/>
          <w:sz w:val="30"/>
          <w:szCs w:val="30"/>
          <w:rtl/>
        </w:rPr>
      </w:pPr>
      <w:r w:rsidRPr="00335E4B">
        <w:rPr>
          <w:rFonts w:cs="Traditional Arabic" w:hint="cs"/>
          <w:b/>
          <w:bCs/>
          <w:sz w:val="30"/>
          <w:szCs w:val="30"/>
          <w:rtl/>
        </w:rPr>
        <w:t>2-2-2</w:t>
      </w:r>
      <w:r w:rsidRPr="00335E4B">
        <w:rPr>
          <w:rFonts w:cs="Traditional Arabic" w:hint="cs"/>
          <w:b/>
          <w:bCs/>
          <w:sz w:val="30"/>
          <w:szCs w:val="30"/>
          <w:rtl/>
        </w:rPr>
        <w:tab/>
        <w:t>المعالجة المسبقة للنفايات من أجل حرقها</w:t>
      </w:r>
    </w:p>
    <w:p w:rsidR="00335E4B" w:rsidRPr="00335E4B" w:rsidRDefault="00335E4B" w:rsidP="00335E4B">
      <w:pPr>
        <w:spacing w:after="120" w:line="400" w:lineRule="exact"/>
        <w:ind w:left="709" w:hanging="709"/>
        <w:jc w:val="both"/>
        <w:rPr>
          <w:rFonts w:cs="Traditional Arabic"/>
          <w:b/>
          <w:bCs/>
          <w:sz w:val="30"/>
          <w:szCs w:val="30"/>
          <w:rtl/>
        </w:rPr>
      </w:pPr>
      <w:r w:rsidRPr="00335E4B">
        <w:rPr>
          <w:rFonts w:cs="Traditional Arabic" w:hint="cs"/>
          <w:b/>
          <w:bCs/>
          <w:sz w:val="30"/>
          <w:szCs w:val="30"/>
          <w:rtl/>
        </w:rPr>
        <w:t>خلط النفايات</w:t>
      </w:r>
    </w:p>
    <w:p w:rsidR="00335E4B" w:rsidRPr="00335E4B" w:rsidRDefault="00335E4B" w:rsidP="00335E4B">
      <w:pPr>
        <w:spacing w:after="120" w:line="400" w:lineRule="exact"/>
        <w:ind w:left="709" w:hanging="709"/>
        <w:jc w:val="both"/>
        <w:rPr>
          <w:rFonts w:cs="Traditional Arabic"/>
          <w:sz w:val="30"/>
          <w:szCs w:val="30"/>
          <w:rtl/>
        </w:rPr>
      </w:pPr>
      <w:r w:rsidRPr="00335E4B">
        <w:rPr>
          <w:rFonts w:cs="Traditional Arabic" w:hint="cs"/>
          <w:sz w:val="30"/>
          <w:szCs w:val="30"/>
          <w:rtl/>
        </w:rPr>
        <w:t>يمكن أن تشمل التقنيات المستخدمة لخلط النفايات ما يلي:</w:t>
      </w:r>
    </w:p>
    <w:p w:rsidR="00335E4B" w:rsidRPr="00335E4B" w:rsidRDefault="00335E4B" w:rsidP="00335E4B">
      <w:pPr>
        <w:numPr>
          <w:ilvl w:val="0"/>
          <w:numId w:val="23"/>
        </w:numPr>
        <w:spacing w:after="120" w:line="400" w:lineRule="exact"/>
        <w:ind w:left="714" w:hanging="357"/>
        <w:contextualSpacing/>
        <w:jc w:val="both"/>
        <w:rPr>
          <w:rFonts w:cs="Traditional Arabic"/>
          <w:sz w:val="30"/>
          <w:szCs w:val="30"/>
        </w:rPr>
      </w:pPr>
      <w:r w:rsidRPr="00335E4B">
        <w:rPr>
          <w:rFonts w:cs="Traditional Arabic" w:hint="cs"/>
          <w:sz w:val="30"/>
          <w:szCs w:val="30"/>
          <w:rtl/>
        </w:rPr>
        <w:t>خلط النفايات الخطرة السائلة للوفاء بمتطلبات الإدخال للمنشأة</w:t>
      </w:r>
    </w:p>
    <w:p w:rsidR="00335E4B" w:rsidRPr="00335E4B" w:rsidRDefault="00335E4B" w:rsidP="00040D1A">
      <w:pPr>
        <w:numPr>
          <w:ilvl w:val="0"/>
          <w:numId w:val="23"/>
        </w:numPr>
        <w:spacing w:after="120" w:line="400" w:lineRule="exact"/>
        <w:ind w:left="714" w:hanging="357"/>
        <w:contextualSpacing/>
        <w:jc w:val="both"/>
        <w:rPr>
          <w:rFonts w:cs="Traditional Arabic"/>
          <w:sz w:val="30"/>
          <w:szCs w:val="30"/>
        </w:rPr>
      </w:pPr>
      <w:r w:rsidRPr="00335E4B">
        <w:rPr>
          <w:rFonts w:cs="Traditional Arabic" w:hint="cs"/>
          <w:sz w:val="30"/>
          <w:szCs w:val="30"/>
          <w:rtl/>
        </w:rPr>
        <w:t>خلط النفايات في مستودع باستخدام كُلَّاب أو آلة أخرى.</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 xml:space="preserve">ويمكن أن يساعد خلط النفايات في أغراض تحسين عملية التلقيم وسلوك عملية الاحتراق وتفادي تركيزات الزئبق العالية في النفايات المحترقة. </w:t>
      </w:r>
      <w:r w:rsidRPr="00335E4B">
        <w:rPr>
          <w:rFonts w:ascii="Traditional Arabic" w:hAnsi="Traditional Arabic" w:cs="Traditional Arabic" w:hint="cs"/>
          <w:sz w:val="30"/>
          <w:szCs w:val="30"/>
          <w:rtl/>
        </w:rPr>
        <w:t>وينطوي خلط النفايات الخطرة دون شك على مخاطر، كما أنه يتعين خلط أنواع النفايات المختلفة بناءً على وصفة. أما في المستودعات فإن النفايات تخلط باستخدام الرافعات داخل المستودع نفسه. ويمكن لمشغلي الرافعات تحديد الحمولات التي من المحتمل أن تسبب مشاكل (مثل النفايات المربوطة والأشياء المنفصلة التي لا يمكن أن تُخلط أو التي تسبب مشاكل في التحميل والتلقيم) ومن ثم يتأكدون من إزالتها أو تقطيعها أو خلطها بشكل مباشر (حسب الاقتضاء) مع النفايات الأخرى. بيد أنه يصعب على مشغلي الرافعات أنفسهم تحديد النفايات المحتوية على الزئبق.</w:t>
      </w:r>
    </w:p>
    <w:p w:rsidR="00335E4B" w:rsidRPr="00335E4B" w:rsidRDefault="00335E4B" w:rsidP="00335E4B">
      <w:pPr>
        <w:spacing w:after="120" w:line="400" w:lineRule="exact"/>
        <w:rPr>
          <w:rFonts w:ascii="Traditional Arabic" w:hAnsi="Traditional Arabic" w:cs="Traditional Arabic"/>
          <w:b/>
          <w:bCs/>
          <w:sz w:val="30"/>
          <w:szCs w:val="30"/>
          <w:rtl/>
        </w:rPr>
      </w:pPr>
      <w:r w:rsidRPr="00335E4B">
        <w:rPr>
          <w:rFonts w:ascii="Traditional Arabic" w:hAnsi="Traditional Arabic" w:cs="Traditional Arabic" w:hint="cs"/>
          <w:b/>
          <w:bCs/>
          <w:sz w:val="30"/>
          <w:szCs w:val="30"/>
          <w:rtl/>
        </w:rPr>
        <w:t>تقطيع النفايات البلدية المختلطة</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يمكن تقطيع النفايات البلدية المختلطة غير المعالجة بشكل غير كامل من خلال تمرير النفايات المنقولة عبر المقصات التمساحية أو آلات التقطيع أو الطواحين أو المقصات الدوارة أو المطاحن. ويحسن التقطيع تجانس النفايات مما يؤدي إلى احتراق واختزال أكثر تناسقاً وانبعاثات أكثر ثباتاً من الفرن. ومن شأن ضمان انبعاث غاز أولي ذي تركيب أكثر تناسقاً السماح بزيادة كفاءة عملية تنظيف غاز المداخن. إن الكثير من النفايات تحتوي على كميات ذات قيمة من المعادن الحديدية وغير الحديدية، وهي معادن يمكن أن تكون جزءاً أصيلاً من النفايات نفسها (مثلاً حاويات الطعام والشراب في النفايات الصلبة البلدية) أو يمكن أن تنشأ من عملية تعبئة النفايات في براميل (مثل النفايات الخطرة) أو حاويات معدنية أخرى.</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وعند تقطيع النفايات القادمة فإنه يمكن إزالة المعادن قبل الحرق للسماح بإعادة التدوير. ويمكن فصل المعادن من خلال استخدام ما يلي:</w:t>
      </w:r>
    </w:p>
    <w:p w:rsidR="00335E4B" w:rsidRPr="00335E4B" w:rsidRDefault="00335E4B" w:rsidP="00335E4B">
      <w:pPr>
        <w:numPr>
          <w:ilvl w:val="0"/>
          <w:numId w:val="24"/>
        </w:numPr>
        <w:spacing w:after="120"/>
        <w:rPr>
          <w:rFonts w:ascii="Traditional Arabic" w:hAnsi="Traditional Arabic" w:cs="Traditional Arabic"/>
          <w:sz w:val="30"/>
          <w:szCs w:val="30"/>
        </w:rPr>
      </w:pPr>
      <w:r w:rsidRPr="00335E4B">
        <w:rPr>
          <w:rFonts w:ascii="Traditional Arabic" w:hAnsi="Traditional Arabic" w:cs="Traditional Arabic" w:hint="cs"/>
          <w:sz w:val="30"/>
          <w:szCs w:val="30"/>
          <w:rtl/>
        </w:rPr>
        <w:t>المغناطيسات المعلقة للمواد الحديدية الكبيرة مثل البراميل المقطعة؛</w:t>
      </w:r>
    </w:p>
    <w:p w:rsidR="00335E4B" w:rsidRPr="00335E4B" w:rsidRDefault="00335E4B" w:rsidP="00335E4B">
      <w:pPr>
        <w:numPr>
          <w:ilvl w:val="0"/>
          <w:numId w:val="24"/>
        </w:numPr>
        <w:spacing w:after="120"/>
        <w:rPr>
          <w:rFonts w:ascii="Traditional Arabic" w:hAnsi="Traditional Arabic" w:cs="Traditional Arabic"/>
          <w:sz w:val="30"/>
          <w:szCs w:val="30"/>
        </w:rPr>
      </w:pPr>
      <w:r w:rsidRPr="00335E4B">
        <w:rPr>
          <w:rFonts w:ascii="Traditional Arabic" w:hAnsi="Traditional Arabic" w:cs="Traditional Arabic" w:hint="cs"/>
          <w:sz w:val="30"/>
          <w:szCs w:val="30"/>
          <w:rtl/>
        </w:rPr>
        <w:t>المغناطيسات البرميلية للمواد الحديدية الصغيرة والثقيلة مثل البطاريات والمسامير والقطع المعدنية وغيرها؛</w:t>
      </w:r>
    </w:p>
    <w:p w:rsidR="00335E4B" w:rsidRPr="00335E4B" w:rsidRDefault="00335E4B" w:rsidP="00335E4B">
      <w:pPr>
        <w:numPr>
          <w:ilvl w:val="0"/>
          <w:numId w:val="24"/>
        </w:numPr>
        <w:spacing w:after="120"/>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 xml:space="preserve">آلات الفصل العاملة بالتيارات الدوامية للمعادن غير الحديدية </w:t>
      </w:r>
      <w:r w:rsidRPr="00335E4B">
        <w:rPr>
          <w:rFonts w:ascii="Traditional Arabic" w:hAnsi="Traditional Arabic" w:cs="Traditional Arabic"/>
          <w:sz w:val="30"/>
          <w:szCs w:val="30"/>
          <w:rtl/>
        </w:rPr>
        <w:t>–</w:t>
      </w:r>
      <w:r w:rsidRPr="00335E4B">
        <w:rPr>
          <w:rFonts w:ascii="Traditional Arabic" w:hAnsi="Traditional Arabic" w:cs="Traditional Arabic" w:hint="cs"/>
          <w:sz w:val="30"/>
          <w:szCs w:val="30"/>
          <w:rtl/>
        </w:rPr>
        <w:t xml:space="preserve"> خصوصاً الألمنيوم والنحاس اللذان يستخدمان في التعبئة والمكونات الكهربائية.</w:t>
      </w:r>
    </w:p>
    <w:p w:rsidR="00335E4B" w:rsidRPr="00335E4B" w:rsidRDefault="00335E4B" w:rsidP="00335E4B">
      <w:pPr>
        <w:spacing w:after="120" w:line="400" w:lineRule="exact"/>
        <w:rPr>
          <w:rFonts w:ascii="Traditional Arabic" w:hAnsi="Traditional Arabic" w:cs="Traditional Arabic"/>
          <w:b/>
          <w:bCs/>
          <w:sz w:val="30"/>
          <w:szCs w:val="30"/>
          <w:rtl/>
        </w:rPr>
      </w:pPr>
      <w:r w:rsidRPr="00335E4B">
        <w:rPr>
          <w:rFonts w:ascii="Traditional Arabic" w:hAnsi="Traditional Arabic" w:cs="Traditional Arabic" w:hint="cs"/>
          <w:b/>
          <w:bCs/>
          <w:sz w:val="30"/>
          <w:szCs w:val="30"/>
          <w:rtl/>
        </w:rPr>
        <w:t>تقطيع النفايات الخطرة المطحونة والمعبأة</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يمكن إجراء معالجة مسبقة للنفايات السائلة المعبأة والنفايات الصلبة المعبأة أو السائبة بهدف إنتاج خليط يؤمِّن تلقيماً متواصلاً للفرن. ويمكن معالجة النفايات الملائمة حتى تصبح قابلة للضخ لحقنها عن طريق الضخ في الفرن أو يمكن أن تُقطَّع بهدف إضافتها إلى مستودع الحرق في عملية تنفصل فيها المواد الصلبة عن السوائل ومن ثم تلقم في الفرن بشكل منفصل باستخدام الكُلابات والضخ على التوالي.</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وتُقطَّع المنصات النقالة المحتوية على نفايات سائلة معبأة ذات لزوجة منخفضة إلى متوسطة إلى أطوال تتراوح من 5 إلى 10سم، ومن ثم يمكن فرز النفايات المقطعة قبل نقلها إلى الصهاريج. ويمكن استخدام المواد البلاستيكية التي تعزل عن النفايات كمصدر للطاقة في عملية الحرق كما يمكن إزالة المعادن الحديدية من أجل إعادة التدوير، وذلك باستخدام المغناطيسات. وفي حالات أخرى لا تفرز النفايات مثل الزيوت العادمة بل تُضخ بدلاً من ذلك إلى الفرن في شكل خليط من السوائل والنفايات الصلبة المقطعة مع إضافة سوائل مخفِّفة </w:t>
      </w:r>
      <w:r w:rsidRPr="00040D1A">
        <w:rPr>
          <w:rFonts w:asciiTheme="majorBidi" w:hAnsiTheme="majorBidi" w:cstheme="majorBidi"/>
          <w:sz w:val="20"/>
          <w:szCs w:val="20"/>
          <w:rtl/>
        </w:rPr>
        <w:t>(</w:t>
      </w:r>
      <w:r w:rsidRPr="00040D1A">
        <w:rPr>
          <w:rFonts w:asciiTheme="majorBidi" w:hAnsiTheme="majorBidi" w:cstheme="majorBidi"/>
          <w:sz w:val="20"/>
          <w:szCs w:val="20"/>
        </w:rPr>
        <w:t>European Commission, 2006, Waste Incineration</w:t>
      </w:r>
      <w:r w:rsidRPr="00040D1A">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335E4B">
      <w:pPr>
        <w:keepNext/>
        <w:spacing w:before="120" w:after="120" w:line="400" w:lineRule="exact"/>
        <w:ind w:left="992" w:hanging="992"/>
        <w:jc w:val="both"/>
        <w:outlineLvl w:val="3"/>
        <w:rPr>
          <w:rFonts w:cs="Traditional Arabic"/>
          <w:b/>
          <w:bCs/>
          <w:sz w:val="30"/>
          <w:szCs w:val="30"/>
          <w:rtl/>
        </w:rPr>
      </w:pPr>
      <w:r w:rsidRPr="00335E4B">
        <w:rPr>
          <w:rFonts w:cs="Traditional Arabic" w:hint="cs"/>
          <w:b/>
          <w:bCs/>
          <w:sz w:val="30"/>
          <w:szCs w:val="30"/>
          <w:rtl/>
        </w:rPr>
        <w:t>2-2-3</w:t>
      </w:r>
      <w:r w:rsidRPr="00335E4B">
        <w:rPr>
          <w:rFonts w:cs="Traditional Arabic" w:hint="cs"/>
          <w:b/>
          <w:bCs/>
          <w:sz w:val="30"/>
          <w:szCs w:val="30"/>
          <w:rtl/>
        </w:rPr>
        <w:tab/>
        <w:t>توصيف أنواع أفران حرق النفايات</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تبين الأقسام التالية عمليات الحرق المستمرة. ومن المعروف أن عمليات الحرق على دفعات تستخدم في بعض الأحيان بيد أن هذه العمليات ترتبط في العادة بانطلاق انبعاثات كبيرة في بداية العملية ونهايتها ولن يتم التطرق لها مرة أخرى في هذا الفصل.</w:t>
      </w:r>
    </w:p>
    <w:p w:rsidR="00335E4B" w:rsidRPr="00335E4B" w:rsidRDefault="00335E4B" w:rsidP="00335E4B">
      <w:pPr>
        <w:spacing w:before="120" w:after="120" w:line="400" w:lineRule="exact"/>
        <w:jc w:val="both"/>
        <w:rPr>
          <w:rFonts w:ascii="Traditional Arabic" w:hAnsi="Traditional Arabic" w:cs="Traditional Arabic"/>
          <w:b/>
          <w:bCs/>
          <w:sz w:val="30"/>
          <w:szCs w:val="30"/>
          <w:rtl/>
        </w:rPr>
      </w:pPr>
      <w:r w:rsidRPr="00335E4B">
        <w:rPr>
          <w:rFonts w:ascii="Traditional Arabic" w:hAnsi="Traditional Arabic" w:cs="Traditional Arabic" w:hint="cs"/>
          <w:b/>
          <w:bCs/>
          <w:sz w:val="30"/>
          <w:szCs w:val="30"/>
          <w:rtl/>
        </w:rPr>
        <w:t>2-2-3-1</w:t>
      </w:r>
      <w:r w:rsidRPr="00335E4B">
        <w:rPr>
          <w:rFonts w:ascii="Traditional Arabic" w:hAnsi="Traditional Arabic" w:cs="Traditional Arabic" w:hint="cs"/>
          <w:b/>
          <w:bCs/>
          <w:sz w:val="30"/>
          <w:szCs w:val="30"/>
          <w:rtl/>
        </w:rPr>
        <w:tab/>
        <w:t xml:space="preserve">الأفران الدوارة لحرق النفايات </w:t>
      </w:r>
    </w:p>
    <w:p w:rsidR="00335E4B" w:rsidRPr="00335E4B" w:rsidRDefault="00335E4B" w:rsidP="00040D1A">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تستخدم الأفران الدوارة بصورة أكثر شيوعاً لحرق النفايات الخطرة التي تشتمل على الكثير من أنواع النفايات الطبية (الشكل</w:t>
      </w:r>
      <w:r w:rsidR="00040D1A">
        <w:rPr>
          <w:rFonts w:ascii="Traditional Arabic" w:hAnsi="Traditional Arabic" w:cs="Traditional Arabic" w:hint="eastAsia"/>
          <w:sz w:val="30"/>
          <w:szCs w:val="30"/>
          <w:rtl/>
        </w:rPr>
        <w:t> </w:t>
      </w:r>
      <w:r w:rsidRPr="00335E4B">
        <w:rPr>
          <w:rFonts w:ascii="Traditional Arabic" w:hAnsi="Traditional Arabic" w:cs="Traditional Arabic" w:hint="cs"/>
          <w:sz w:val="30"/>
          <w:szCs w:val="30"/>
          <w:rtl/>
        </w:rPr>
        <w:t>2)، لكن في بعض الأحيان تستخدم أيضاً الأفران الشبكية (بما في ذلك الحرق المشترك مع النفايات الأخرى) لحرق النفايات الصلبة، كما تستخدم الأفران ذات القاعدة المميعة لحرق بعض المواد التي سبق معالجتها. وتستخدم الأفران الثابتة أيضاً بشكل واسع النطاق في المرافق داخل المنشآت الكيميائية.</w:t>
      </w:r>
    </w:p>
    <w:p w:rsidR="00335E4B" w:rsidRPr="00335E4B" w:rsidRDefault="00335E4B" w:rsidP="00335E4B">
      <w:pPr>
        <w:ind w:left="425"/>
        <w:jc w:val="both"/>
        <w:rPr>
          <w:rFonts w:cs="Traditional Arabic"/>
          <w:sz w:val="20"/>
          <w:szCs w:val="30"/>
        </w:rPr>
      </w:pPr>
      <w:r>
        <w:rPr>
          <w:rFonts w:cs="Traditional Arabic"/>
          <w:noProof/>
          <w:sz w:val="20"/>
          <w:szCs w:val="30"/>
          <w:lang w:val="en-GB" w:eastAsia="zh-CN"/>
        </w:rPr>
        <w:drawing>
          <wp:inline distT="0" distB="0" distL="0" distR="0" wp14:anchorId="3716C8B8" wp14:editId="001F1942">
            <wp:extent cx="4991735" cy="2281555"/>
            <wp:effectExtent l="19050" t="19050" r="18415" b="23495"/>
            <wp:docPr id="33" name="Picture 33" descr="Description: Description: Fig 2 Co-Current Rotary Ki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Fig 2 Co-Current Rotary Kil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91735" cy="2281555"/>
                    </a:xfrm>
                    <a:prstGeom prst="rect">
                      <a:avLst/>
                    </a:prstGeom>
                    <a:noFill/>
                    <a:ln w="6350" cmpd="sng">
                      <a:solidFill>
                        <a:srgbClr val="000000"/>
                      </a:solidFill>
                      <a:miter lim="800000"/>
                      <a:headEnd/>
                      <a:tailEnd/>
                    </a:ln>
                    <a:effectLst/>
                  </pic:spPr>
                </pic:pic>
              </a:graphicData>
            </a:graphic>
          </wp:inline>
        </w:drawing>
      </w:r>
    </w:p>
    <w:p w:rsidR="00335E4B" w:rsidRPr="00335E4B" w:rsidRDefault="00335E4B" w:rsidP="00040D1A">
      <w:pPr>
        <w:tabs>
          <w:tab w:val="left" w:pos="991"/>
        </w:tabs>
        <w:spacing w:before="240" w:line="255" w:lineRule="exact"/>
        <w:ind w:left="-2"/>
        <w:rPr>
          <w:rFonts w:ascii="Traditional Arabic" w:hAnsi="Traditional Arabic" w:cs="Traditional Arabic"/>
          <w:b/>
          <w:sz w:val="20"/>
        </w:rPr>
      </w:pPr>
      <w:r w:rsidRPr="00335E4B">
        <w:rPr>
          <w:rFonts w:ascii="Traditional Arabic" w:hAnsi="Traditional Arabic" w:cs="Traditional Arabic" w:hint="cs"/>
          <w:bCs/>
          <w:sz w:val="20"/>
          <w:rtl/>
        </w:rPr>
        <w:t>الشكل 2</w:t>
      </w:r>
      <w:r w:rsidR="00040D1A">
        <w:rPr>
          <w:rFonts w:ascii="Traditional Arabic" w:hAnsi="Traditional Arabic" w:cs="Traditional Arabic" w:hint="cs"/>
          <w:bCs/>
          <w:sz w:val="20"/>
          <w:rtl/>
        </w:rPr>
        <w:t>-</w:t>
      </w:r>
      <w:r w:rsidRPr="00335E4B">
        <w:rPr>
          <w:rFonts w:ascii="Traditional Arabic" w:hAnsi="Traditional Arabic" w:cs="Traditional Arabic" w:hint="cs"/>
          <w:bCs/>
          <w:sz w:val="20"/>
          <w:rtl/>
        </w:rPr>
        <w:tab/>
        <w:t xml:space="preserve">نظام الفرن الدوار لحرق النفايات </w:t>
      </w:r>
      <w:r w:rsidRPr="00040D1A">
        <w:rPr>
          <w:rFonts w:asciiTheme="majorBidi" w:hAnsiTheme="majorBidi" w:cstheme="majorBidi"/>
          <w:b/>
          <w:sz w:val="18"/>
          <w:szCs w:val="18"/>
          <w:rtl/>
        </w:rPr>
        <w:t>(</w:t>
      </w:r>
      <w:hyperlink r:id="rId48" w:history="1">
        <w:r w:rsidRPr="00040D1A">
          <w:rPr>
            <w:rFonts w:asciiTheme="majorBidi" w:hAnsiTheme="majorBidi" w:cstheme="majorBidi"/>
            <w:b/>
            <w:sz w:val="18"/>
            <w:szCs w:val="18"/>
          </w:rPr>
          <w:t>www.hitemptech.com</w:t>
        </w:r>
      </w:hyperlink>
      <w:r w:rsidRPr="00040D1A">
        <w:rPr>
          <w:rFonts w:asciiTheme="majorBidi" w:hAnsiTheme="majorBidi" w:cstheme="majorBidi"/>
          <w:b/>
          <w:sz w:val="18"/>
          <w:szCs w:val="18"/>
          <w:rtl/>
        </w:rPr>
        <w:t>)</w:t>
      </w:r>
    </w:p>
    <w:p w:rsidR="00335E4B" w:rsidRPr="00335E4B" w:rsidRDefault="00335E4B" w:rsidP="00335E4B">
      <w:pPr>
        <w:spacing w:before="240"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ونظراً للتركيبة الخطرة (وغير الموثوق بها في الغالب) لمسارات النفايات القادمة، يجري التركيز بصورة أكبر على معايير القبول، والتخزين، والمناولة والمعالجة المسبقة مقارنةً بما عليه الحال في النفايات الصلبة البلدية. وفي حالة النفايات المنخفضة الطاقة قد تكون هناك حاجة لاستخدام وقود مساعد.</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وفي الأفران الدوارة تُدخل النفايات الصلبة أو الحمأة أو النفايات المعبأة في حاويات أو النفايات القابلة للضخ في النهاية العلوية للبرميل المائل. وتتراوح درجات الحرارة في الفرن عادةً من 850مْ (500مْ عند استخدام الفرن كجهاز تغويز) إلى 1200مْ (كفرن عالي الحرارة لصهر الرماد). ويسمح الدوران البطيء للبرميل بوقت مكوث يتراوح من 30 إلى 90 دقيقة، كما تسمح غرفة الاحتراق الثانوي التي تلي الفرن بأكسدة غازات الاحتراق. وهنا يمكن حقن النفايات السائلة أو أنواع الوقود المساعد مع الهواء الثانوي للحفاظ على فترة مكوث دنيا قدرها ثانيتان ودرجات حرارة تتراوح من 850مْ إلى 1100مْ مما يسمح عملياً </w:t>
      </w:r>
      <w:r w:rsidRPr="00335E4B">
        <w:rPr>
          <w:rFonts w:ascii="Traditional Arabic" w:hAnsi="Traditional Arabic" w:cs="Traditional Arabic" w:hint="cs"/>
          <w:sz w:val="30"/>
          <w:szCs w:val="30"/>
          <w:rtl/>
          <w:lang w:val="en-GB" w:bidi="ar-SY"/>
        </w:rPr>
        <w:t>بتفكيك</w:t>
      </w:r>
      <w:r w:rsidRPr="00335E4B">
        <w:rPr>
          <w:rFonts w:ascii="Traditional Arabic" w:hAnsi="Traditional Arabic" w:cs="Traditional Arabic" w:hint="cs"/>
          <w:sz w:val="30"/>
          <w:szCs w:val="30"/>
          <w:rtl/>
        </w:rPr>
        <w:t xml:space="preserve"> معظم المركبات العضوية المتبقية. ويمكن أن تحدد مسبقاً متطلبات ظروف الاحتراق، كما هو وارد في الأمر التوجيهي </w:t>
      </w:r>
      <w:r w:rsidRPr="00040D1A">
        <w:rPr>
          <w:rFonts w:asciiTheme="majorBidi" w:hAnsiTheme="majorBidi" w:cstheme="majorBidi"/>
          <w:sz w:val="20"/>
          <w:szCs w:val="20"/>
          <w:rtl/>
        </w:rPr>
        <w:t>(</w:t>
      </w:r>
      <w:r w:rsidRPr="00040D1A">
        <w:rPr>
          <w:rFonts w:asciiTheme="majorBidi" w:hAnsiTheme="majorBidi" w:cstheme="majorBidi"/>
          <w:sz w:val="20"/>
          <w:szCs w:val="20"/>
        </w:rPr>
        <w:t>2010/75/EU</w:t>
      </w:r>
      <w:r w:rsidRPr="00040D1A">
        <w:rPr>
          <w:rFonts w:asciiTheme="majorBidi" w:hAnsiTheme="majorBidi" w:cstheme="majorBidi"/>
          <w:sz w:val="20"/>
          <w:szCs w:val="20"/>
          <w:rtl/>
        </w:rPr>
        <w:t>)</w:t>
      </w:r>
      <w:r w:rsidRPr="00335E4B">
        <w:rPr>
          <w:rFonts w:ascii="Traditional Arabic" w:hAnsi="Traditional Arabic" w:cs="Traditional Arabic" w:hint="cs"/>
          <w:sz w:val="30"/>
          <w:szCs w:val="30"/>
          <w:rtl/>
        </w:rPr>
        <w:t xml:space="preserve"> الصادر عن الاتحاد الأوروبي بشأن حرق النفايات. وفي معظم الحالات تشيد الأفران الدوارة وغرف ما بعد الاحتراق في شكل غرف ثابتة الحرارة مبطنة بالسيراميك. وبعد غرفة الاحتراق تمر غازات المداخن عبر منطقة فراغية حتى الوصول إلى درجة حرارة قدرها زهاء 700مْ. بعد ذلك تُرتب حزم الحرق مثل المبخرات والمسخنات الفوقية والسخانات الأولية لمياه التلقيم. ونظام مرجل حرارة النفايات والإمداد بالطاقة يشبه نظم الحرق الشبكية. وتتراوح طاق فرن الحرق من 0,5 إلى 3 طن في الساعة (لأفران حرق نفايات الرعاية الصحية).</w:t>
      </w:r>
    </w:p>
    <w:p w:rsidR="00335E4B" w:rsidRPr="00335E4B" w:rsidRDefault="00335E4B" w:rsidP="00335E4B">
      <w:pPr>
        <w:spacing w:before="120" w:after="120" w:line="400" w:lineRule="exact"/>
        <w:rPr>
          <w:rFonts w:ascii="Traditional Arabic" w:hAnsi="Traditional Arabic" w:cs="Traditional Arabic"/>
          <w:b/>
          <w:bCs/>
          <w:sz w:val="30"/>
          <w:szCs w:val="30"/>
          <w:rtl/>
        </w:rPr>
      </w:pPr>
      <w:r w:rsidRPr="00335E4B">
        <w:rPr>
          <w:rFonts w:ascii="Traditional Arabic" w:hAnsi="Traditional Arabic" w:cs="Traditional Arabic" w:hint="cs"/>
          <w:b/>
          <w:bCs/>
          <w:sz w:val="30"/>
          <w:szCs w:val="30"/>
          <w:rtl/>
        </w:rPr>
        <w:t>2-2-3-2</w:t>
      </w:r>
      <w:r w:rsidRPr="00335E4B">
        <w:rPr>
          <w:rFonts w:ascii="Traditional Arabic" w:hAnsi="Traditional Arabic" w:cs="Traditional Arabic" w:hint="cs"/>
          <w:b/>
          <w:bCs/>
          <w:sz w:val="30"/>
          <w:szCs w:val="30"/>
          <w:rtl/>
        </w:rPr>
        <w:tab/>
        <w:t>أفران الحرق بحقن السوائل</w:t>
      </w:r>
    </w:p>
    <w:p w:rsidR="00335E4B" w:rsidRPr="00335E4B" w:rsidRDefault="00335E4B" w:rsidP="00040D1A">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تستخدم أفران الحرق بحقن السوائل، كما هو الحال في الأفران الدو</w:t>
      </w:r>
      <w:r w:rsidR="00040D1A">
        <w:rPr>
          <w:rFonts w:ascii="Traditional Arabic" w:hAnsi="Traditional Arabic" w:cs="Traditional Arabic" w:hint="cs"/>
          <w:sz w:val="30"/>
          <w:szCs w:val="30"/>
          <w:rtl/>
        </w:rPr>
        <w:t>ا</w:t>
      </w:r>
      <w:r w:rsidRPr="00335E4B">
        <w:rPr>
          <w:rFonts w:ascii="Traditional Arabic" w:hAnsi="Traditional Arabic" w:cs="Traditional Arabic" w:hint="cs"/>
          <w:sz w:val="30"/>
          <w:szCs w:val="30"/>
          <w:rtl/>
        </w:rPr>
        <w:t>رة، لحرق النفايات الخطرة عادةً. وعملياً يمكن أن تستخدم أفران الحرق بحقن السوائل للتخلص من أي نفايات سائلة أو شبه سائلة قابلة للاحتراق (مثل السوائل والملاط والحمأة). وعادةً ما تشمل نظم الأفران التي تعمل بحقن السوائل، التي قد تكون أبسط أنواع أجهزة الحرق، نظاماً لحرق النفايات ونظاماً للوقود المساعد ونظاماً للإمداد بالهواء، وغرفة احتراق، ونظاماً لضبط تلوث الهواء، كما هو مبين في الشكل 3. وتلقم النفايات السائلة وتُبخ في غرفة الاحتراق عبر فوهات فرن النفايات. وتبخ هذه الفوهات النفايات وتمزجها مع هواء الاحتراق. ويحدث البخ عادةً بوسائل ميكانيكية مثل كأس دوارة أو نظم بخ تعمل بالضغط، أو من خلال فوهات ثنائية المائع تستخدم الهواء عالي الضغط أو البخار. ومع وجود مساحة سطحية كبيرة نسبياً تتبخر الجسميات المبخوخة بسرعة مشكلةً مزيجاً من أبخرة النفايات شديدة القابلية للاحتراق مع هواء الاحتراق. وعادةً تتراوح فترة المكوث في غرفة الاحتراق من 0,5 إلى 2 ثانية، وتتراوح درجات الحرارة من 700مْ إلى 1600مْ، وذلك من أجل ضمان الاحتراق الكامل للنفايات السائلة. ويمكن أن تتجاوز معدلات تلقيم النفايات السائلة 2000 ل/الساعة. وإذا كان محتوى الطاقة في النفايات غير كافٍ للحفاظ على احتراق كافي ودرجات حرارة ملائمة للاحتراق يتم استخدام وقود إضافي مثل زيت الوقود أو الغاز الطبيعي. وفي بعض الحالات يتم ترشيح النفايات المحتوية على كميات كبيرة من المواد الصلبة قبل الحرق لتفادي انسداد الفوهات (</w:t>
      </w:r>
      <w:r w:rsidRPr="00335E4B">
        <w:rPr>
          <w:rFonts w:cs="Traditional Arabic"/>
          <w:sz w:val="20"/>
          <w:szCs w:val="30"/>
        </w:rPr>
        <w:t>US EPA 2005</w:t>
      </w:r>
      <w:r w:rsidRPr="00335E4B">
        <w:rPr>
          <w:rFonts w:ascii="Traditional Arabic" w:hAnsi="Traditional Arabic" w:cs="Traditional Arabic" w:hint="cs"/>
          <w:sz w:val="30"/>
          <w:szCs w:val="30"/>
          <w:rtl/>
        </w:rPr>
        <w:t>).</w:t>
      </w:r>
    </w:p>
    <w:p w:rsidR="00335E4B" w:rsidRPr="00335E4B" w:rsidRDefault="00335E4B" w:rsidP="00335E4B">
      <w:pPr>
        <w:spacing w:line="240" w:lineRule="atLeast"/>
        <w:ind w:left="425"/>
        <w:rPr>
          <w:rFonts w:cs="Traditional Arabic"/>
          <w:b/>
          <w:bCs/>
          <w:sz w:val="20"/>
          <w:szCs w:val="30"/>
          <w:lang w:eastAsia="de-DE"/>
        </w:rPr>
      </w:pPr>
      <w:r>
        <w:rPr>
          <w:rFonts w:cs="Traditional Arabic"/>
          <w:noProof/>
          <w:sz w:val="20"/>
          <w:szCs w:val="30"/>
          <w:lang w:val="en-GB" w:eastAsia="zh-CN"/>
        </w:rPr>
        <w:drawing>
          <wp:inline distT="0" distB="0" distL="0" distR="0" wp14:anchorId="4418A75B" wp14:editId="00D9389D">
            <wp:extent cx="5637530" cy="3192145"/>
            <wp:effectExtent l="0" t="0" r="127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7530" cy="3192145"/>
                    </a:xfrm>
                    <a:prstGeom prst="rect">
                      <a:avLst/>
                    </a:prstGeom>
                    <a:noFill/>
                    <a:ln>
                      <a:noFill/>
                    </a:ln>
                  </pic:spPr>
                </pic:pic>
              </a:graphicData>
            </a:graphic>
          </wp:inline>
        </w:drawing>
      </w:r>
    </w:p>
    <w:p w:rsidR="00335E4B" w:rsidRPr="00335E4B" w:rsidRDefault="00335E4B" w:rsidP="00335E4B">
      <w:pPr>
        <w:spacing w:line="240" w:lineRule="atLeast"/>
        <w:ind w:left="425" w:firstLine="720"/>
        <w:rPr>
          <w:rFonts w:ascii="Traditional Arabic" w:hAnsi="Traditional Arabic" w:cs="Traditional Arabic"/>
          <w:b/>
          <w:bCs/>
          <w:sz w:val="28"/>
          <w:rtl/>
          <w:lang w:eastAsia="de-DE"/>
        </w:rPr>
      </w:pPr>
      <w:r w:rsidRPr="00335E4B">
        <w:rPr>
          <w:rFonts w:ascii="Traditional Arabic" w:hAnsi="Traditional Arabic" w:cs="Traditional Arabic"/>
          <w:b/>
          <w:bCs/>
          <w:sz w:val="28"/>
          <w:rtl/>
          <w:lang w:eastAsia="de-DE"/>
        </w:rPr>
        <w:t>الشكل 3</w:t>
      </w:r>
      <w:r w:rsidR="00040D1A">
        <w:rPr>
          <w:rFonts w:ascii="Traditional Arabic" w:hAnsi="Traditional Arabic" w:cs="Traditional Arabic" w:hint="cs"/>
          <w:b/>
          <w:bCs/>
          <w:sz w:val="28"/>
          <w:rtl/>
          <w:lang w:eastAsia="de-DE"/>
        </w:rPr>
        <w:t>-</w:t>
      </w:r>
      <w:r w:rsidRPr="00335E4B">
        <w:rPr>
          <w:rFonts w:ascii="Traditional Arabic" w:hAnsi="Traditional Arabic" w:cs="Traditional Arabic"/>
          <w:b/>
          <w:bCs/>
          <w:sz w:val="28"/>
          <w:rtl/>
          <w:lang w:eastAsia="de-DE"/>
        </w:rPr>
        <w:tab/>
        <w:t>فرن نموذجي يعمل بحقن السوائل</w:t>
      </w:r>
    </w:p>
    <w:p w:rsidR="00335E4B" w:rsidRPr="00335E4B" w:rsidRDefault="00335E4B" w:rsidP="00335E4B">
      <w:pPr>
        <w:spacing w:line="255" w:lineRule="exact"/>
        <w:ind w:left="425"/>
        <w:rPr>
          <w:rFonts w:cs="Traditional Arabic"/>
          <w:noProof/>
          <w:sz w:val="20"/>
          <w:szCs w:val="30"/>
        </w:rPr>
      </w:pPr>
      <w:r>
        <w:rPr>
          <w:rFonts w:cs="Traditional Arabic"/>
          <w:noProof/>
          <w:sz w:val="20"/>
          <w:szCs w:val="30"/>
          <w:lang w:val="en-GB" w:eastAsia="zh-CN"/>
        </w:rPr>
        <w:drawing>
          <wp:inline distT="0" distB="0" distL="0" distR="0" wp14:anchorId="285D85C6" wp14:editId="26E1D340">
            <wp:extent cx="5637530" cy="3192145"/>
            <wp:effectExtent l="0" t="0" r="127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7530" cy="3192145"/>
                    </a:xfrm>
                    <a:prstGeom prst="rect">
                      <a:avLst/>
                    </a:prstGeom>
                    <a:noFill/>
                    <a:ln>
                      <a:noFill/>
                    </a:ln>
                  </pic:spPr>
                </pic:pic>
              </a:graphicData>
            </a:graphic>
          </wp:inline>
        </w:drawing>
      </w:r>
      <w:bookmarkStart w:id="2151" w:name="_Ref411763087"/>
    </w:p>
    <w:bookmarkEnd w:id="2151"/>
    <w:p w:rsidR="00335E4B" w:rsidRPr="00335E4B" w:rsidRDefault="00335E4B" w:rsidP="00335E4B">
      <w:pPr>
        <w:spacing w:after="120" w:line="400" w:lineRule="exact"/>
        <w:rPr>
          <w:rFonts w:ascii="Traditional Arabic" w:hAnsi="Traditional Arabic" w:cs="Traditional Arabic"/>
          <w:b/>
          <w:sz w:val="30"/>
          <w:szCs w:val="30"/>
          <w:rtl/>
          <w:lang w:eastAsia="de-DE"/>
        </w:rPr>
      </w:pPr>
      <w:r w:rsidRPr="00335E4B">
        <w:rPr>
          <w:rFonts w:ascii="Traditional Arabic" w:hAnsi="Traditional Arabic" w:cs="Traditional Arabic" w:hint="cs"/>
          <w:b/>
          <w:sz w:val="30"/>
          <w:szCs w:val="30"/>
          <w:rtl/>
          <w:lang w:eastAsia="de-DE"/>
        </w:rPr>
        <w:t>فرن الحرق الشبكي</w:t>
      </w:r>
    </w:p>
    <w:p w:rsidR="00335E4B" w:rsidRPr="00335E4B" w:rsidRDefault="00335E4B" w:rsidP="00335E4B">
      <w:pPr>
        <w:spacing w:after="120" w:line="400" w:lineRule="exact"/>
        <w:rPr>
          <w:rFonts w:ascii="Traditional Arabic" w:hAnsi="Traditional Arabic" w:cs="Traditional Arabic"/>
          <w:b/>
          <w:sz w:val="30"/>
          <w:szCs w:val="30"/>
          <w:rtl/>
          <w:lang w:eastAsia="de-DE"/>
        </w:rPr>
      </w:pPr>
      <w:r w:rsidRPr="00335E4B">
        <w:rPr>
          <w:rFonts w:ascii="Traditional Arabic" w:hAnsi="Traditional Arabic" w:cs="Traditional Arabic" w:hint="cs"/>
          <w:b/>
          <w:sz w:val="30"/>
          <w:szCs w:val="30"/>
          <w:rtl/>
          <w:lang w:eastAsia="de-DE"/>
        </w:rPr>
        <w:t xml:space="preserve">هناك أنواع مختلفة من أفران الحرق الشبكي وتحديداً: الأفران الشبكية المتحركة والثابتة </w:t>
      </w:r>
    </w:p>
    <w:p w:rsidR="00335E4B" w:rsidRPr="00335E4B" w:rsidRDefault="00335E4B" w:rsidP="00335E4B">
      <w:pPr>
        <w:spacing w:after="120" w:line="400" w:lineRule="exact"/>
        <w:rPr>
          <w:rFonts w:ascii="Traditional Arabic" w:hAnsi="Traditional Arabic" w:cs="Traditional Arabic"/>
          <w:i/>
          <w:iCs/>
          <w:sz w:val="30"/>
          <w:szCs w:val="30"/>
          <w:rtl/>
        </w:rPr>
      </w:pPr>
      <w:r w:rsidRPr="00335E4B">
        <w:rPr>
          <w:rFonts w:ascii="Traditional Arabic" w:hAnsi="Traditional Arabic" w:cs="Traditional Arabic" w:hint="cs"/>
          <w:i/>
          <w:iCs/>
          <w:sz w:val="30"/>
          <w:szCs w:val="30"/>
          <w:rtl/>
        </w:rPr>
        <w:t>الأفران الشبكية المتحركة</w:t>
      </w:r>
    </w:p>
    <w:p w:rsidR="00335E4B" w:rsidRPr="00335E4B" w:rsidRDefault="00335E4B" w:rsidP="00335E4B">
      <w:pPr>
        <w:spacing w:after="120" w:line="400" w:lineRule="exact"/>
        <w:rPr>
          <w:rFonts w:ascii="Traditional Arabic" w:hAnsi="Traditional Arabic" w:cs="Traditional Arabic"/>
          <w:sz w:val="30"/>
          <w:szCs w:val="30"/>
          <w:rtl/>
        </w:rPr>
      </w:pPr>
      <w:r w:rsidRPr="00335E4B">
        <w:rPr>
          <w:rFonts w:ascii="Traditional Arabic" w:hAnsi="Traditional Arabic" w:cs="Traditional Arabic" w:hint="cs"/>
          <w:sz w:val="30"/>
          <w:szCs w:val="30"/>
          <w:rtl/>
        </w:rPr>
        <w:t>منشأة الحرق النموذجية للنفايات الصلبة البلدية هي الفرن الشبكي المتحرك. وفي هذا الفرن تتحرك النفايات عبر غرفة الاحتراق وهذه الحركة تسمح بعملية احتراق كاملة وأكثر كفاءةً.</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ويمكن تصميم الوحدات لتكون ذات قدرات متفاوتة. وأحد الأمثلة على ذلك هو مرجل شبكي متحرك مفرد يمكنه معالجة ما يصل إلى 35 طناً من النفايات في الساعة، كما يمكنه أن يعمل لمدة 8000 ساعة في السنة بفترة توقف مقررة واحدة فقط من أجل الفحص والصيانة وتستمر شهراً واحداً تقريباً. وتُدخل النفايات عن طريق رافعة نفايات عبر ما يعرف بـ"الحلق" في أحد طرفي الشبكة ومن هناك تنتقل نحو الأسفل عبر الشبكة الهابطة إلى حفرة الرماد في الطرف الآخر، وهنا يزال الرماد باستخدام محبس مائي. ويرد جزء من هواء الاحتراق (هواء الاحتراق الأولي) عبر الشبكة من الأسفل.</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هذا التدفق الهوائي يهدف أيضاً إلى تبريد الفرن الشبكي نفسه، فالتبريد مهم من أجل القوة الميكانيكية للشبكة، وهناك الكثير من الأفران الشبكية المتحركة تبرد داخلياً عن طريق المياه أيضاً. ويُدخل هواء الاحتراق الثانوي إلى داخل المرجل بسرعة عالية عبر فوهات فوق الفرن الشبكي حيث يسهل الاحتراق الكامل لغازات المداخن من خلال إحداث اضطراب يحسن عملية المزج، ومن خلال ضمان كمية زائدة من الأكسجين. وفي الأفران ذات المواقد المتعددة أو المتدرجة يُدخل هواء الاحتراق الثانوي في غرفة منفصلة أسفل غرفة الاحتراق الأولي.</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وفي بلدان الاتحاد الأوروبي (المفوضية الأوروبية، 2000) يتعين تصميم منشآت الحرق بحيث تضمن وصول غازات المداخن إلى درجة حرارة قدرها 850مْ على الأقل لمدة ثانيتين بهدف ضمان التفكك الجيد للمواد العضوية السامة. ومن أجل الامتثال لهذا الشرط في كل الأوقات فإنه يتعين تركيب أفران مساعدة احتياطية (تزود بالزيت غالباً كمصدر للوقود) وتشعل هذه الأفران داخل المرجل عندما تصبح درجة حرارة النفايات منخفضة جداً بحيث لا يمكنها الوصول إلى درجة الحرارة المشار إليها من دون دعم. بعد ذلك تبرد غازات المداخن في السخانات الفوقية حيث تتحول الحرارة إلى بخار يؤدي إلى تسخين النظام عادةً إلى درجة 400مْ عند ضغط قدره 4000 كيلوباسكال لتوليد الكهرباء في التوربين.</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وعند هذه النقطة تصبح درجة حرارة غاز المداخن في حدود 200مْ ويمرر إلى نظام تنقية غازات المداخن. وفي الغالب تتكون منشآت الحرق من العديد من خطوط المراجل المنفصلة (مراجل ومنشآت لمعالجة غازات المداخن)، وذلك بحيث يستمر إدخال النفايات إلى أحد خطوط المرجل بينما تجري صيانة الخطوط الأخرى أو إصلاحها أو تطويرها.</w:t>
      </w:r>
    </w:p>
    <w:p w:rsidR="00335E4B" w:rsidRPr="00335E4B" w:rsidRDefault="00335E4B" w:rsidP="00335E4B">
      <w:pPr>
        <w:spacing w:after="120" w:line="400" w:lineRule="exact"/>
        <w:jc w:val="both"/>
        <w:rPr>
          <w:rFonts w:ascii="Traditional Arabic" w:hAnsi="Traditional Arabic" w:cs="Traditional Arabic"/>
          <w:i/>
          <w:iCs/>
          <w:sz w:val="30"/>
          <w:szCs w:val="30"/>
          <w:rtl/>
        </w:rPr>
      </w:pPr>
      <w:r w:rsidRPr="00335E4B">
        <w:rPr>
          <w:rFonts w:ascii="Traditional Arabic" w:hAnsi="Traditional Arabic" w:cs="Traditional Arabic" w:hint="cs"/>
          <w:i/>
          <w:iCs/>
          <w:sz w:val="30"/>
          <w:szCs w:val="30"/>
          <w:rtl/>
        </w:rPr>
        <w:t>الأفران الشبكية الثابتة</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أقدم وأبسط أنواع أفران الحرق كانت عبارة عن خلية مبطنة بالطوب مع شبكة معدنية ثابتة فوق حفرة رماد سفلية، وتوجد بها أيضاً فتحة علوية أو جانبية للتعبئة وفتحة أخرى جانبية لإزالة المواد الصلبة غير القابلة للاحتراق التي تسمى المخلفات الصلبة. وحالياً استبدلت الكثير من الأفران الصغيرة التي كانت توجد سابقاً في مباني الشقق السكنية بمطاحن لدك النفايات.</w:t>
      </w:r>
    </w:p>
    <w:p w:rsidR="00335E4B" w:rsidRPr="00335E4B" w:rsidRDefault="00335E4B" w:rsidP="00335E4B">
      <w:pPr>
        <w:spacing w:before="120" w:after="120" w:line="400" w:lineRule="exact"/>
        <w:jc w:val="both"/>
        <w:rPr>
          <w:rFonts w:ascii="Traditional Arabic" w:hAnsi="Traditional Arabic" w:cs="Traditional Arabic"/>
          <w:b/>
          <w:bCs/>
          <w:sz w:val="30"/>
          <w:szCs w:val="30"/>
          <w:rtl/>
        </w:rPr>
      </w:pPr>
      <w:r w:rsidRPr="00335E4B">
        <w:rPr>
          <w:rFonts w:ascii="Traditional Arabic" w:hAnsi="Traditional Arabic" w:cs="Traditional Arabic" w:hint="cs"/>
          <w:b/>
          <w:bCs/>
          <w:sz w:val="30"/>
          <w:szCs w:val="30"/>
          <w:rtl/>
        </w:rPr>
        <w:t>2-2-3-3</w:t>
      </w:r>
      <w:r w:rsidRPr="00335E4B">
        <w:rPr>
          <w:rFonts w:ascii="Traditional Arabic" w:hAnsi="Traditional Arabic" w:cs="Traditional Arabic" w:hint="cs"/>
          <w:b/>
          <w:bCs/>
          <w:sz w:val="30"/>
          <w:szCs w:val="30"/>
          <w:rtl/>
        </w:rPr>
        <w:tab/>
        <w:t>أفران الحرق ذات القاعدة المميعة</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تستخدم الأفران ذات القاعدة المميعة على نطاق واسع لحرق النفايات الناعمة المكونات مثل الوقود المستخرج من النفايات وحمأة مياه المجارير. واستخدمت هذه الطريقة لعقود وبصورة رئيسية لحرق أنواع الوقود المتجانسة. إن الفرن ذا القاعدة المميعة هو غرفة احتراق مبطنة في شكل أسطوانة رأسية. وفي القسم السفلي يستخدم الهواء لتمييع طبقة قاعدية من مادة خاملة (مثل الرمل أو الرماد) موضوعة فوق شبكة معدنية أو لوحة توزيع. ويجري باستمرار تلقيم النفايات المراد حرقها في القاعدة الرملية المميعة من الأعلى أو من الجانب. ويُدخل هواء مسخن مسبقاً في غرفة الاحتراق من خلال فتحات في لوحة القاعدة مشكلاً قاعدة مميعة مع الرمل الموجود في غرفة الاحتراق.</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بعد ذلك تضخ النفايات في المفاعل من خلال مضخة أو ملقم نجمي أو حامل أنبوبي لولبي. ويحدث التجفيف والتطاير والاشتعال والاحتراق في القاعدة المميعة. وتتراوح درجة الحرارة في الحيز الخالي فوق القاعدة (المساحة العلوية) عادةً من 850مْ إلى 950مْ. وفوق المادة القاعدية المميعة تُصمم المساحة العلوية بحيث تسمح باحتجاز الغازات ضمن نطاق احتراق. أما في طبقة القاعدة نفسها فإن درجة الحرارة تكون أقل وقد تصل إلى زهاء 650مْ.</w:t>
      </w:r>
    </w:p>
    <w:p w:rsidR="00335E4B" w:rsidRPr="00335E4B" w:rsidRDefault="00335E4B" w:rsidP="00335E4B">
      <w:pPr>
        <w:tabs>
          <w:tab w:val="right" w:pos="6950"/>
        </w:tabs>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ونظراً لطبيعة المفاعل الجيدة المزج فإن نظم الحرق ذات القاعدة المميعة تتميز عموماً بتوزيع متناسق لدرجات الحرارة والأكسجين مما يفضي إلى تشغيل مستقر. وفي حالة النفايات غير المتجانسة يتطلب الاحتراق ذي القاعدة المميعة إجراء عملية تحضير للنفايات لكي تستوفي مواصفات الحجم. وفي بعض أنواع النفايات يمكن إنجاز ذلك عن طريق توليف بين الجمع الانتقائي للنفايات أو المعالجة المسبقة مثل التقطيع. ويمكن لبعض أنواع القواعد المميعة (مثل القاعدة المميعة الدوارة) استقبال نفايات ذات جسيمات أكبر حجماً مقارنةً بغيرها، وفي هذه الحالة لا يلزم إلا تخفيض تقريبي لكمية النفايات أو لا يلزم القيام بأي إجراء.</w:t>
      </w:r>
    </w:p>
    <w:p w:rsidR="00335E4B" w:rsidRPr="00335E4B" w:rsidRDefault="00335E4B" w:rsidP="00335E4B">
      <w:pPr>
        <w:spacing w:before="120" w:after="120" w:line="400" w:lineRule="exact"/>
        <w:jc w:val="both"/>
        <w:rPr>
          <w:rFonts w:ascii="Traditional Arabic" w:hAnsi="Traditional Arabic" w:cs="Traditional Arabic"/>
          <w:b/>
          <w:bCs/>
          <w:sz w:val="30"/>
          <w:szCs w:val="30"/>
          <w:rtl/>
        </w:rPr>
      </w:pPr>
      <w:r w:rsidRPr="00335E4B">
        <w:rPr>
          <w:rFonts w:ascii="Traditional Arabic" w:hAnsi="Traditional Arabic" w:cs="Traditional Arabic" w:hint="cs"/>
          <w:b/>
          <w:bCs/>
          <w:sz w:val="30"/>
          <w:szCs w:val="30"/>
          <w:rtl/>
        </w:rPr>
        <w:t>2-2-3-4</w:t>
      </w:r>
      <w:r w:rsidRPr="00335E4B">
        <w:rPr>
          <w:rFonts w:ascii="Traditional Arabic" w:hAnsi="Traditional Arabic" w:cs="Traditional Arabic" w:hint="cs"/>
          <w:b/>
          <w:bCs/>
          <w:sz w:val="30"/>
          <w:szCs w:val="30"/>
          <w:rtl/>
        </w:rPr>
        <w:tab/>
        <w:t>النظم ذات الوحدات التجميعية</w:t>
      </w:r>
    </w:p>
    <w:p w:rsidR="00335E4B" w:rsidRPr="00335E4B" w:rsidRDefault="00335E4B" w:rsidP="00040D1A">
      <w:pPr>
        <w:tabs>
          <w:tab w:val="right" w:pos="6950"/>
        </w:tabs>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نظم الحرق ذات الوحدات التجميعية هي نوع شائع من أفران حرق النفايات البلدية تستخدم على نطاق واسع في الولايات المتحدة الأمريكية وأوروبا وآسيا. وتتكون أفران الحرق ذات الوحدات التجميعية من غرفتي احتراق مركبتين عمودياً (غرفة أولية وغرفة ثانوية). وعادةً تتراوح طاقة الحرق في النظم ذات الوحدات التجميعية من 1 إلى 270 طن في اليوم. وهناك نوعان رئيسيان من أنواع النظم ذات الوحدات التجميعية، النظم ذات الهواء الزائد والنظم ذات الهواء الناقص.</w:t>
      </w:r>
    </w:p>
    <w:p w:rsidR="00335E4B" w:rsidRPr="00335E4B" w:rsidRDefault="00335E4B" w:rsidP="00040D1A">
      <w:pPr>
        <w:tabs>
          <w:tab w:val="right" w:pos="6950"/>
        </w:tabs>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وتتكون نظم الوحدات التجميعية ذات الهواء الزائد من غرفتي احتراق أولية وثانوية تعمل كل منهما بمستويات هواء تزيد عن متطلبات الاحتراق النظيف (أي هواء زائد بنسبة 100 إلى 250 في المائة). أما في نظم الوحدات التجميعية ذات الهواء الناقص (أو الخاضع للتحكم) فإن الهواء يصل إلى الغرفة الأولية بمستويات لا تكفي للاحتراق النظيف. وتدخل نواتج الاحتراق غير الكامل في غازات الاحتراق التي تتكون في غرفة الاحتراق الأولية ومن ثم تمر إلى غرفة احتراق ثانوية. ويضاف الهواء الزائد إلى الغرفة الثانوية ويكتمل الاحتراق من خلال درجات الحرارة العالية التي يتم الوصول إليها بإضافة وقود مساعد (الغاز الطبيعي في العادة). وتعطي درجة الحرارة العالية والمتناسقة في الغرفة الثانوية، مضافاً إليها المزج القوي لغازات الاحتراق، أفضلية لتشكيل وانبعا</w:t>
      </w:r>
      <w:r w:rsidR="00040D1A">
        <w:rPr>
          <w:rFonts w:ascii="Traditional Arabic" w:hAnsi="Traditional Arabic" w:cs="Traditional Arabic" w:hint="cs"/>
          <w:sz w:val="30"/>
          <w:szCs w:val="30"/>
          <w:rtl/>
        </w:rPr>
        <w:t>ث</w:t>
      </w:r>
      <w:r w:rsidRPr="00335E4B">
        <w:rPr>
          <w:rFonts w:ascii="Traditional Arabic" w:hAnsi="Traditional Arabic" w:cs="Traditional Arabic" w:hint="cs"/>
          <w:sz w:val="30"/>
          <w:szCs w:val="30"/>
          <w:rtl/>
        </w:rPr>
        <w:t xml:space="preserve"> المستويات المنخفضة من الجسيمات الدقيقة العالقة والملوثات العضوية.</w:t>
      </w:r>
    </w:p>
    <w:p w:rsidR="00335E4B" w:rsidRPr="00335E4B" w:rsidRDefault="00335E4B" w:rsidP="00335E4B">
      <w:pPr>
        <w:keepNext/>
        <w:spacing w:before="120" w:after="120" w:line="400" w:lineRule="exact"/>
        <w:ind w:left="991" w:hanging="991"/>
        <w:jc w:val="both"/>
        <w:outlineLvl w:val="3"/>
        <w:rPr>
          <w:rFonts w:cs="Traditional Arabic"/>
          <w:b/>
          <w:bCs/>
          <w:sz w:val="30"/>
          <w:szCs w:val="30"/>
          <w:rtl/>
        </w:rPr>
      </w:pPr>
      <w:r w:rsidRPr="00335E4B">
        <w:rPr>
          <w:rFonts w:cs="Traditional Arabic" w:hint="cs"/>
          <w:b/>
          <w:bCs/>
          <w:sz w:val="30"/>
          <w:szCs w:val="30"/>
          <w:rtl/>
        </w:rPr>
        <w:t>2-2-4</w:t>
      </w:r>
      <w:r w:rsidRPr="00335E4B">
        <w:rPr>
          <w:rFonts w:cs="Traditional Arabic" w:hint="cs"/>
          <w:b/>
          <w:bCs/>
          <w:sz w:val="30"/>
          <w:szCs w:val="30"/>
          <w:rtl/>
        </w:rPr>
        <w:tab/>
        <w:t>حرق مسارات نفايات محددة</w:t>
      </w:r>
    </w:p>
    <w:p w:rsidR="00335E4B" w:rsidRPr="00335E4B" w:rsidRDefault="00335E4B" w:rsidP="00335E4B">
      <w:pPr>
        <w:spacing w:before="120" w:after="120" w:line="400" w:lineRule="exact"/>
        <w:jc w:val="both"/>
        <w:rPr>
          <w:rFonts w:ascii="Traditional Arabic" w:hAnsi="Traditional Arabic" w:cs="Traditional Arabic"/>
          <w:b/>
          <w:bCs/>
          <w:sz w:val="30"/>
          <w:szCs w:val="30"/>
          <w:rtl/>
        </w:rPr>
      </w:pPr>
      <w:r w:rsidRPr="00335E4B">
        <w:rPr>
          <w:rFonts w:ascii="Traditional Arabic" w:hAnsi="Traditional Arabic" w:cs="Traditional Arabic" w:hint="cs"/>
          <w:b/>
          <w:bCs/>
          <w:sz w:val="30"/>
          <w:szCs w:val="30"/>
          <w:rtl/>
        </w:rPr>
        <w:t>2-2-4-1</w:t>
      </w:r>
      <w:r w:rsidRPr="00335E4B">
        <w:rPr>
          <w:rFonts w:ascii="Traditional Arabic" w:hAnsi="Traditional Arabic" w:cs="Traditional Arabic" w:hint="cs"/>
          <w:b/>
          <w:bCs/>
          <w:sz w:val="30"/>
          <w:szCs w:val="30"/>
          <w:rtl/>
        </w:rPr>
        <w:tab/>
        <w:t>حرق النفايات البلدية</w:t>
      </w:r>
    </w:p>
    <w:p w:rsidR="00335E4B" w:rsidRPr="00335E4B" w:rsidRDefault="00335E4B" w:rsidP="00335E4B">
      <w:pPr>
        <w:tabs>
          <w:tab w:val="right" w:pos="6950"/>
        </w:tabs>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رغم أنه في الكثير من المناطق يظل طمر بقايا النفايات غير المعاد تدويرها الوسيلة الرئيسية للتخلص من حرق النفايات الصلبة البلدية، إلا أن إحراق المخلفات وطمرها لاحقاً أصبح ممارسةً شائعةً في الكثير من البلدان المتقدمة والصناعية.</w:t>
      </w:r>
    </w:p>
    <w:p w:rsidR="00335E4B" w:rsidRPr="00335E4B" w:rsidRDefault="00335E4B" w:rsidP="00335E4B">
      <w:pPr>
        <w:tabs>
          <w:tab w:val="right" w:pos="6950"/>
        </w:tabs>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ويكون حرق النفايات الصلبة البلدية مصحوباً في العادة باستعادة بعض الطاقة المولدة للحرارة (”نفايات إلى طاقة“) في شكل بخار و/أو توليد الكهرباء. كذلك يمكن تصميم أفران الحرق بحيث تتقبل الأنواع المعالجة من الوقود المشتق من النفايات الصلبة البلدية إضافةً إلى الحرق المشترك مع أنواع الوقود الأحفورى. ويمكن أن يتفاوت حجم أفران حرق النفايات البلدية من وحدات صغيرة الحجم تعالج دفعات فردية تصل إلى بضعة أطنان في اليوم إلى وحدات كبيرة جداً تتميز بقدرات تلقيم يومي مستمر بما يزيد عن ألف طن.</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وتتمثل الفوائد الأساسية لحرق النفايات الصلبة البلدية في تدمير المواد العضوية (بما في ذلك المواد السامة) وخفض كمية النفايات وتركيز الملوثات (مثل المعادن الثقيلة) وتحويلها إلى كميات صغيرة نسبياً من الرماد، وبالتالي إيجاد حيزات تصريف آمنة في حال التخلص من هذه المواد بطريقة جيدة. أما الطاقة المستعادة فيمكن أن تشكل فائدة إضافية مهمة.</w:t>
      </w:r>
    </w:p>
    <w:p w:rsidR="00335E4B" w:rsidRPr="00335E4B" w:rsidRDefault="00335E4B" w:rsidP="00335E4B">
      <w:pPr>
        <w:spacing w:before="120" w:after="120" w:line="400" w:lineRule="exact"/>
        <w:ind w:left="1558" w:hanging="1558"/>
        <w:jc w:val="both"/>
        <w:rPr>
          <w:rFonts w:ascii="Traditional Arabic" w:hAnsi="Traditional Arabic" w:cs="Traditional Arabic"/>
          <w:b/>
          <w:bCs/>
          <w:sz w:val="30"/>
          <w:szCs w:val="30"/>
          <w:rtl/>
        </w:rPr>
      </w:pPr>
      <w:r w:rsidRPr="00335E4B">
        <w:rPr>
          <w:rFonts w:ascii="Traditional Arabic" w:hAnsi="Traditional Arabic" w:cs="Traditional Arabic" w:hint="cs"/>
          <w:b/>
          <w:bCs/>
          <w:sz w:val="30"/>
          <w:szCs w:val="30"/>
          <w:rtl/>
        </w:rPr>
        <w:t>2-2-4-1-1</w:t>
      </w:r>
      <w:r w:rsidRPr="00335E4B">
        <w:rPr>
          <w:rFonts w:ascii="Traditional Arabic" w:hAnsi="Traditional Arabic" w:cs="Traditional Arabic" w:hint="cs"/>
          <w:b/>
          <w:bCs/>
          <w:sz w:val="30"/>
          <w:szCs w:val="30"/>
          <w:rtl/>
        </w:rPr>
        <w:tab/>
        <w:t>اعتبارات تشغيل أفران حرق النفايات الصلبة البلدية</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في الكثير من أفران حرق النفايات الصلبة البلدية يجري أيضاً حرق أجزاء أخرى من النفايات مثل النفايات السائبة (مثلاً من منشآت فرز النفايات) أو حمأة مياه المجارير أو النفايات الطبية أو الجزء المولد لحرارة عالية الناتج عن المعالجة المسبقة للنفايات (مثلاً من منشآت التقطيع). وهذه النفايات يتعين تقييمها بعناية قبل حرقها للتأكد مما إذا كانت منشأة حرق النفايات (بما في ذلك معالجة غاز المداخن ومعالجة المياه العادمة والمخلفات) مصممة لمعالجة هذه الأنواع من النفايات وما إذا كانت المنشأة قادرة على إنجاز المعالجة دون الإضرار بصحة الإنسان أو البيئة. ومن الباراميترات المهمة محتوى الكلور والبروم والكبريت، ومحتوى المعادن الثقيلة، ومحتوى المواد المولدة للحرارة (القيمة الحرارية المنخفضة) وسلوك الاحتراق.</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 xml:space="preserve">ويمكن أن يقود التركيز العالي للبروم إلى تكوين مركبات مبرومة مثل الديوكسينات الثنائية البنزين المتعددة البروم والفيورانات الثنائية البنزين المتعددة البروم </w:t>
      </w:r>
      <w:r w:rsidRPr="00040D1A">
        <w:rPr>
          <w:rFonts w:asciiTheme="majorBidi" w:hAnsiTheme="majorBidi" w:cstheme="majorBidi"/>
          <w:sz w:val="20"/>
          <w:szCs w:val="20"/>
          <w:rtl/>
        </w:rPr>
        <w:t>(</w:t>
      </w:r>
      <w:r w:rsidRPr="00040D1A">
        <w:rPr>
          <w:rFonts w:asciiTheme="majorBidi" w:hAnsiTheme="majorBidi" w:cstheme="majorBidi"/>
          <w:sz w:val="20"/>
          <w:szCs w:val="20"/>
        </w:rPr>
        <w:t>CSTEE, 2002</w:t>
      </w:r>
      <w:r w:rsidRPr="00040D1A">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cs="Traditional Arabic"/>
          <w:sz w:val="20"/>
          <w:szCs w:val="30"/>
          <w:rtl/>
        </w:rPr>
      </w:pPr>
      <w:r w:rsidRPr="00335E4B">
        <w:rPr>
          <w:rFonts w:ascii="Traditional Arabic" w:hAnsi="Traditional Arabic" w:cs="Traditional Arabic" w:hint="cs"/>
          <w:sz w:val="30"/>
          <w:szCs w:val="30"/>
          <w:rtl/>
        </w:rPr>
        <w:t>ويتطاير الزئبق أثناء عملية الحرق ولذلك يتعين اتخاذ إجراءات محددة قبل عملية الحرق وبعدها لخفض هذه الانبعاثات. ومن شأن تجاهل الحدود القصوى لمنشأة الحرق أن يفضي إلى مشاكل في التشغيل (مثل الحاجة للإغلاق المتكرر لتنظيف الشبكة المعدنية أو المبدلات الحرارية) أو يؤدي إلى أداء بيئي سيئ (مثلاً انبعاثات كبيرة إلى المياه، ارتفاع قابلية الرماد المتطاير على الارتشاح). ويبين الشكل 4 المخطط النموذجي لفرن حرق نفايات صلبة بلدية كبير.</w:t>
      </w:r>
    </w:p>
    <w:p w:rsidR="00335E4B" w:rsidRPr="00335E4B" w:rsidRDefault="00335E4B" w:rsidP="00335E4B">
      <w:pPr>
        <w:tabs>
          <w:tab w:val="left" w:pos="426"/>
        </w:tabs>
        <w:ind w:left="425"/>
        <w:rPr>
          <w:rFonts w:cs="Traditional Arabic"/>
          <w:sz w:val="20"/>
          <w:szCs w:val="22"/>
          <w:lang w:eastAsia="fr-FR"/>
        </w:rPr>
      </w:pPr>
      <w:r>
        <w:rPr>
          <w:rFonts w:cs="Traditional Arabic"/>
          <w:b/>
          <w:noProof/>
          <w:sz w:val="20"/>
          <w:szCs w:val="22"/>
          <w:lang w:val="en-GB" w:eastAsia="zh-CN"/>
        </w:rPr>
        <w:drawing>
          <wp:inline distT="0" distB="0" distL="0" distR="0" wp14:anchorId="407206D1" wp14:editId="717C69D6">
            <wp:extent cx="4937125" cy="1908810"/>
            <wp:effectExtent l="0" t="0" r="0" b="0"/>
            <wp:docPr id="30" name="Picture 30" descr="Description: Descriptio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3-1"/>
                    <pic:cNvPicPr>
                      <a:picLocks noChangeAspect="1" noChangeArrowheads="1"/>
                    </pic:cNvPicPr>
                  </pic:nvPicPr>
                  <pic:blipFill>
                    <a:blip r:embed="rId50">
                      <a:extLst>
                        <a:ext uri="{28A0092B-C50C-407E-A947-70E740481C1C}">
                          <a14:useLocalDpi xmlns:a14="http://schemas.microsoft.com/office/drawing/2010/main" val="0"/>
                        </a:ext>
                      </a:extLst>
                    </a:blip>
                    <a:srcRect l="1950" t="3757" r="1950" b="3548"/>
                    <a:stretch>
                      <a:fillRect/>
                    </a:stretch>
                  </pic:blipFill>
                  <pic:spPr bwMode="auto">
                    <a:xfrm>
                      <a:off x="0" y="0"/>
                      <a:ext cx="4937125" cy="1908810"/>
                    </a:xfrm>
                    <a:prstGeom prst="rect">
                      <a:avLst/>
                    </a:prstGeom>
                    <a:noFill/>
                    <a:ln>
                      <a:noFill/>
                    </a:ln>
                  </pic:spPr>
                </pic:pic>
              </a:graphicData>
            </a:graphic>
          </wp:inline>
        </w:drawing>
      </w:r>
    </w:p>
    <w:p w:rsidR="00335E4B" w:rsidRPr="00977BAF" w:rsidRDefault="00335E4B" w:rsidP="00FE3C31">
      <w:pPr>
        <w:keepNext/>
        <w:tabs>
          <w:tab w:val="left" w:pos="1132"/>
        </w:tabs>
        <w:spacing w:before="240" w:line="360" w:lineRule="exact"/>
        <w:rPr>
          <w:rFonts w:ascii="Traditional Arabic" w:hAnsi="Traditional Arabic" w:cs="Traditional Arabic"/>
          <w:b/>
          <w:bCs/>
          <w:sz w:val="30"/>
          <w:szCs w:val="30"/>
          <w:rtl/>
          <w:lang w:eastAsia="de-DE"/>
        </w:rPr>
      </w:pPr>
      <w:r w:rsidRPr="00977BAF">
        <w:rPr>
          <w:rFonts w:ascii="Traditional Arabic" w:hAnsi="Traditional Arabic" w:cs="Traditional Arabic" w:hint="cs"/>
          <w:b/>
          <w:bCs/>
          <w:sz w:val="30"/>
          <w:szCs w:val="30"/>
          <w:rtl/>
          <w:lang w:eastAsia="de-DE"/>
        </w:rPr>
        <w:t>الشكل 4</w:t>
      </w:r>
      <w:r w:rsidR="00FE3C31" w:rsidRPr="00977BAF">
        <w:rPr>
          <w:rFonts w:ascii="Traditional Arabic" w:hAnsi="Traditional Arabic" w:cs="Traditional Arabic" w:hint="cs"/>
          <w:b/>
          <w:bCs/>
          <w:sz w:val="30"/>
          <w:szCs w:val="30"/>
          <w:rtl/>
          <w:lang w:eastAsia="de-DE"/>
        </w:rPr>
        <w:t>-</w:t>
      </w:r>
      <w:r w:rsidRPr="00977BAF">
        <w:rPr>
          <w:rFonts w:ascii="Traditional Arabic" w:hAnsi="Traditional Arabic" w:cs="Traditional Arabic" w:hint="cs"/>
          <w:b/>
          <w:bCs/>
          <w:sz w:val="30"/>
          <w:szCs w:val="30"/>
          <w:rtl/>
          <w:lang w:eastAsia="de-DE"/>
        </w:rPr>
        <w:tab/>
      </w:r>
      <w:r w:rsidRPr="00977BAF">
        <w:rPr>
          <w:rFonts w:ascii="Traditional Arabic" w:hAnsi="Traditional Arabic" w:cs="Traditional Arabic" w:hint="cs"/>
          <w:b/>
          <w:bCs/>
          <w:sz w:val="30"/>
          <w:szCs w:val="30"/>
          <w:rtl/>
        </w:rPr>
        <w:t>فرن حرق نفايات صلبة بلدية نموذجي (المصدر: المفوضية الأوروبية 2006)</w:t>
      </w:r>
    </w:p>
    <w:p w:rsidR="00335E4B" w:rsidRPr="00335E4B" w:rsidRDefault="00335E4B" w:rsidP="00335E4B">
      <w:pPr>
        <w:spacing w:before="120" w:after="120" w:line="400" w:lineRule="exact"/>
        <w:ind w:left="1558" w:hanging="1558"/>
        <w:rPr>
          <w:rFonts w:ascii="Traditional Arabic" w:hAnsi="Traditional Arabic" w:cs="Traditional Arabic"/>
          <w:b/>
          <w:bCs/>
          <w:sz w:val="30"/>
          <w:szCs w:val="30"/>
          <w:rtl/>
        </w:rPr>
      </w:pPr>
      <w:r w:rsidRPr="00335E4B">
        <w:rPr>
          <w:rFonts w:ascii="Traditional Arabic" w:hAnsi="Traditional Arabic" w:cs="Traditional Arabic" w:hint="cs"/>
          <w:b/>
          <w:bCs/>
          <w:sz w:val="30"/>
          <w:szCs w:val="30"/>
          <w:rtl/>
        </w:rPr>
        <w:t>2-2-4-1-2</w:t>
      </w:r>
      <w:r w:rsidRPr="00335E4B">
        <w:rPr>
          <w:rFonts w:ascii="Traditional Arabic" w:hAnsi="Traditional Arabic" w:cs="Traditional Arabic" w:hint="cs"/>
          <w:b/>
          <w:bCs/>
          <w:sz w:val="30"/>
          <w:szCs w:val="30"/>
          <w:rtl/>
        </w:rPr>
        <w:tab/>
        <w:t>تصاميم أفران حرق النفايات الصلبة البلدية</w:t>
      </w:r>
    </w:p>
    <w:p w:rsidR="00335E4B" w:rsidRPr="00335E4B" w:rsidRDefault="00335E4B" w:rsidP="00FE3C31">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 xml:space="preserve">يمكن حرق النفايات الصلبة البلدية في العديد من أنظمة حرق النفايات، بما في ذلك الأفران الشبكية النقالة والأفران الدوارة والأفران ذات القاعدة المميعة. وتتطلب تكنولوجيا الأفران ذات القاعدة المميعة (انظر القسم الفرعي 2-2-3-4) أن تكون أحجام جسيمات النفايات الصلبة البلدية ضمن مدى معين </w:t>
      </w:r>
      <w:r w:rsidR="00FE3C31">
        <w:rPr>
          <w:rFonts w:ascii="Traditional Arabic" w:hAnsi="Traditional Arabic" w:cs="Traditional Arabic" w:hint="cs"/>
          <w:sz w:val="30"/>
          <w:szCs w:val="30"/>
          <w:rtl/>
        </w:rPr>
        <w:t>-</w:t>
      </w:r>
      <w:r w:rsidRPr="00335E4B">
        <w:rPr>
          <w:rFonts w:ascii="Traditional Arabic" w:hAnsi="Traditional Arabic" w:cs="Traditional Arabic" w:hint="cs"/>
          <w:sz w:val="30"/>
          <w:szCs w:val="30"/>
          <w:rtl/>
        </w:rPr>
        <w:t xml:space="preserve"> وهذا يتطلب عادةً درجة من المعالجة المسبقة مع الجمع الانتقائي للنفايات. وتتراوح طاقات الاحتراق في أفران حرق النفايات الصلبة البلدية في العادة من 90 إلى 700</w:t>
      </w:r>
      <w:r w:rsidR="00FE3C31">
        <w:rPr>
          <w:rFonts w:ascii="Traditional Arabic" w:hAnsi="Traditional Arabic" w:cs="Traditional Arabic" w:hint="eastAsia"/>
          <w:sz w:val="30"/>
          <w:szCs w:val="30"/>
          <w:rtl/>
        </w:rPr>
        <w:t> </w:t>
      </w:r>
      <w:r w:rsidRPr="00335E4B">
        <w:rPr>
          <w:rFonts w:ascii="Traditional Arabic" w:hAnsi="Traditional Arabic" w:cs="Traditional Arabic" w:hint="cs"/>
          <w:sz w:val="30"/>
          <w:szCs w:val="30"/>
          <w:rtl/>
        </w:rPr>
        <w:t>2 طن من النفايات الصلبة البلدية في اليوم (نظم الوحدات التجميعية: من 4 إلى 270 طن في اليوم).</w:t>
      </w:r>
    </w:p>
    <w:p w:rsidR="00335E4B" w:rsidRPr="00335E4B" w:rsidRDefault="00335E4B" w:rsidP="00FE3C31">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وقد جرى تطوير عمليات أخرى وتستند إلى فصل الأطوار التي تحدث أيضاً في فرن الحرق: تجفيف النفايات، وتطايرها، وتحللها الحراري، وتكربنها، وتأكسدها. ويجري كذلك اللجوء للتغويز باستخدام عوامل تغويز مثل البخار والهواء وأكاسيد الكربون أو الأكسجين. وتهدف هذه العمليات إلى خفض كميات غازات المداخن وتكاليف معالجة غازات المداخن ذات الصلة. والكثير من هذه التطورات لم يعد يُطبَّق</w:t>
      </w:r>
      <w:r w:rsidRPr="00335E4B" w:rsidDel="00847F7F">
        <w:rPr>
          <w:rFonts w:ascii="Traditional Arabic" w:hAnsi="Traditional Arabic" w:cs="Traditional Arabic" w:hint="cs"/>
          <w:sz w:val="30"/>
          <w:szCs w:val="30"/>
          <w:rtl/>
        </w:rPr>
        <w:t xml:space="preserve"> </w:t>
      </w:r>
      <w:r w:rsidRPr="00335E4B">
        <w:rPr>
          <w:rFonts w:ascii="Traditional Arabic" w:hAnsi="Traditional Arabic" w:cs="Traditional Arabic" w:hint="cs"/>
          <w:sz w:val="30"/>
          <w:szCs w:val="30"/>
          <w:rtl/>
        </w:rPr>
        <w:t>لتعرضه للمشاكل التقنية والاقتصادية عند التوسيع على نطاقات تجارية وصناعية. وتستخدم بعض هذه العمليات على أساس تجاري (مثلاً في اليابان) بينما يجري اختبار عمليات أخرى في المنشآت الإرشادية في أوروبا لكنها تظل تساهم بقدر ضئيل من قدرات المعالجة الكلية مقارنةً بالحرق.</w:t>
      </w:r>
    </w:p>
    <w:p w:rsidR="00335E4B" w:rsidRPr="00335E4B" w:rsidRDefault="00335E4B" w:rsidP="00335E4B">
      <w:pPr>
        <w:spacing w:before="120" w:after="120" w:line="400" w:lineRule="exact"/>
        <w:ind w:left="1276" w:hanging="1276"/>
        <w:jc w:val="both"/>
        <w:rPr>
          <w:rFonts w:ascii="Traditional Arabic" w:hAnsi="Traditional Arabic" w:cs="Traditional Arabic"/>
          <w:b/>
          <w:bCs/>
          <w:sz w:val="30"/>
          <w:szCs w:val="30"/>
          <w:rtl/>
        </w:rPr>
      </w:pPr>
      <w:r w:rsidRPr="00335E4B">
        <w:rPr>
          <w:rFonts w:ascii="Traditional Arabic" w:hAnsi="Traditional Arabic" w:cs="Traditional Arabic" w:hint="cs"/>
          <w:b/>
          <w:bCs/>
          <w:sz w:val="30"/>
          <w:szCs w:val="30"/>
          <w:rtl/>
        </w:rPr>
        <w:t>2-2-4-2</w:t>
      </w:r>
      <w:r w:rsidRPr="00335E4B">
        <w:rPr>
          <w:rFonts w:ascii="Traditional Arabic" w:hAnsi="Traditional Arabic" w:cs="Traditional Arabic" w:hint="cs"/>
          <w:b/>
          <w:bCs/>
          <w:sz w:val="30"/>
          <w:szCs w:val="30"/>
          <w:rtl/>
        </w:rPr>
        <w:tab/>
        <w:t>حرق النفايات الخطرة</w:t>
      </w:r>
    </w:p>
    <w:p w:rsidR="00335E4B" w:rsidRPr="00335E4B" w:rsidRDefault="00335E4B" w:rsidP="00335E4B">
      <w:pPr>
        <w:spacing w:after="120" w:line="36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تحرق النفايات الخطرة عادةً في الأفران الدوارة أو في الأفران الشبكية. وهناك أنواع أخرى من أفران الحرق المستخدمة لحرق النفايات الخطرة منها الأفران ذات القاعدة المميعة، والوحدات العاملة بحقن السوائل، ووحدات الحرق الثابتة. وقبل قبول النفايات الخطرة لمعالجتها يتعين أن تقيِّم أفران الحرق التجارية المادة وأن تحدد خصائصها. وفي العادة يتعين على الجهة المنتجة تقديم الوثائق ذات الصلة، بما في ذلك منشأ النفايات، ورمزها أو توصيفاتها الأخرى، وتحديد الأشخاص المسؤولين عنها، ووجود مواد خطرة معينة فيها. كذلك يتعين تعبئة النفايات بشكل جيد لتفادي احتمالات التفاعل والانبعاثات أثناء النقل.</w:t>
      </w:r>
    </w:p>
    <w:p w:rsidR="00335E4B" w:rsidRPr="00335E4B" w:rsidRDefault="00335E4B" w:rsidP="00335E4B">
      <w:pPr>
        <w:spacing w:after="120" w:line="36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ويعتمد التخزين في موقع الفرن على طبيعة النفايات وخواصها الفيزيائية. وتخزن النفايات الخطرة الصلبة في العادة في مستودعات تُنشأ بحيث تمنع التسرب إلى أي وسط بيئي وتغلق بإحكام للسماح بإزالة هواء المستودع وتوجيهه إلى عملية الاحتراق. أما النفايات السائلة فتخزن في حقول صهاريج وغالباً في جو من الغازات الخاملة (مثل النيتروجين) وتنقل إلى فرن الحرق عن طريق الأنابيب. ويمكن تلقيم بعض أنواع النفايات مباشرةً إلى الفرن في الحاويات التي تنقل بها. ويجب أن تكون المضخات والأنابيب والمعدات الأخرى التي قد تلامس النفايات غير قابلة للتآكل وقابلة للتنظيف ولأخذ العينات منها. ويمكن أن تشمل عمليات المعالجة المسبقة معادلة النفايات أو تجفيفها أو تصليدها. ويمكن أن تستخدم آلات التقطيع وآلات الخلط الميكانيكية لمعالجة الحاويات أو لخلط النفايات لضمان احتراق أكثر كفاءةً.</w:t>
      </w:r>
    </w:p>
    <w:p w:rsidR="00335E4B" w:rsidRPr="00335E4B" w:rsidRDefault="00335E4B" w:rsidP="00335E4B">
      <w:pPr>
        <w:spacing w:after="120" w:line="400" w:lineRule="exact"/>
        <w:rPr>
          <w:rFonts w:ascii="Traditional Arabic" w:hAnsi="Traditional Arabic" w:cs="Traditional Arabic"/>
          <w:sz w:val="30"/>
          <w:szCs w:val="30"/>
          <w:rtl/>
        </w:rPr>
      </w:pPr>
      <w:r w:rsidRPr="00335E4B">
        <w:rPr>
          <w:rFonts w:ascii="Traditional Arabic" w:hAnsi="Traditional Arabic" w:cs="Traditional Arabic" w:hint="cs"/>
          <w:sz w:val="30"/>
          <w:szCs w:val="30"/>
          <w:rtl/>
        </w:rPr>
        <w:t>وتحرق النفايات الخطرة أيضاً في الأفران الإسمنتية. ويجري تناول هذا التطبيق في الفصل المتعلق بالإسمنت في وثيقة التوجيهات.</w:t>
      </w:r>
    </w:p>
    <w:p w:rsidR="00335E4B" w:rsidRPr="00335E4B" w:rsidRDefault="00335E4B" w:rsidP="00335E4B">
      <w:pPr>
        <w:spacing w:before="120" w:after="120" w:line="400" w:lineRule="exact"/>
        <w:rPr>
          <w:rFonts w:ascii="Traditional Arabic" w:hAnsi="Traditional Arabic" w:cs="Traditional Arabic"/>
          <w:b/>
          <w:bCs/>
          <w:sz w:val="30"/>
          <w:szCs w:val="30"/>
          <w:rtl/>
        </w:rPr>
      </w:pPr>
      <w:r w:rsidRPr="00335E4B">
        <w:rPr>
          <w:rFonts w:ascii="Traditional Arabic" w:hAnsi="Traditional Arabic" w:cs="Traditional Arabic" w:hint="cs"/>
          <w:b/>
          <w:bCs/>
          <w:sz w:val="30"/>
          <w:szCs w:val="30"/>
          <w:rtl/>
        </w:rPr>
        <w:t>2-2-4-3</w:t>
      </w:r>
      <w:r w:rsidRPr="00335E4B">
        <w:rPr>
          <w:rFonts w:ascii="Traditional Arabic" w:hAnsi="Traditional Arabic" w:cs="Traditional Arabic" w:hint="cs"/>
          <w:b/>
          <w:bCs/>
          <w:sz w:val="30"/>
          <w:szCs w:val="30"/>
          <w:rtl/>
        </w:rPr>
        <w:tab/>
        <w:t>حرق حمأة مياه المجارير</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يجري التخلص من حمأة مياه المجارير المنزلية بعدة طرق، بما في ذلك استخدامها في الأراضي الزراعية بعد المعالجة المسبقة لها، والتخلص السطحي منها (مثلاً في المساحات الخضراء وعن طريق الطمر)، وبإحراقها، والتخلص منها مع النفايات الصلبة البلدية، والحرق المشترك. ويمارس حرق حمأة مياه المجارير في عدة بلدان، إما لوحده أو عن طريق الحرق المشترك في أفران حرق النفايات الصلبة البلدية أو في منشآت الحرق الأخرى (مثل منشآت توليد الطاقة العاملة بالفحم الحجري، أفران الإسمنت). ويعتمد التخلص الفعال من حمأة مياه المجارير عن طريق هذه العملية على عدد من العوامل من بينها مزج أو عدم مزج الحمأة مع مسارات النفايات الصناعية (فالمزج من شأنه أن يزيد من كميات المعادن الثقيلة)، والموقع (المواقع الساحلية يمكن أن تسمح بوصول المياه المالحة)، والمعالجة المسبقة (أو عدمها)، والمناخ (خفض التركيز عن طريق مياه الأمطار) </w:t>
      </w:r>
      <w:r w:rsidRPr="00FE3C31">
        <w:rPr>
          <w:rFonts w:asciiTheme="majorBidi" w:hAnsiTheme="majorBidi" w:cstheme="majorBidi"/>
          <w:sz w:val="20"/>
          <w:szCs w:val="20"/>
          <w:rtl/>
        </w:rPr>
        <w:t>(</w:t>
      </w:r>
      <w:r w:rsidRPr="00FE3C31">
        <w:rPr>
          <w:rFonts w:asciiTheme="majorBidi" w:hAnsiTheme="majorBidi" w:cstheme="majorBidi"/>
          <w:spacing w:val="-2"/>
          <w:sz w:val="20"/>
          <w:szCs w:val="20"/>
        </w:rPr>
        <w:t>EU IED, 2010</w:t>
      </w:r>
      <w:r w:rsidRPr="00FE3C31">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وينطوي حرق حمأة مياه المجارير على بعض الاختلافات مقارنةً بحرق النفايات الصلبة </w:t>
      </w:r>
      <w:r w:rsidRPr="00335E4B">
        <w:rPr>
          <w:rFonts w:cs="Traditional Arabic" w:hint="cs"/>
          <w:sz w:val="30"/>
          <w:szCs w:val="30"/>
          <w:rtl/>
        </w:rPr>
        <w:t xml:space="preserve">البلدية </w:t>
      </w:r>
      <w:r w:rsidRPr="00335E4B">
        <w:rPr>
          <w:rFonts w:ascii="Traditional Arabic" w:hAnsi="Traditional Arabic" w:cs="Traditional Arabic" w:hint="cs"/>
          <w:sz w:val="30"/>
          <w:szCs w:val="30"/>
          <w:rtl/>
        </w:rPr>
        <w:t>والنفايات الخطرة، فقابلية تغير محتوى الرطوبة وقيمة الطاقة والامتزاج المحتمل مع النفايات الأخرى (مثل النفايات الصناعية في حال كانت نظم المجارير مترابطة) هي عوامل تحتاج إلى اعتبارات خاصة في المناولة والمعالجة المسبقة.</w:t>
      </w:r>
    </w:p>
    <w:p w:rsidR="00335E4B" w:rsidRPr="00335E4B" w:rsidRDefault="00335E4B" w:rsidP="00FE3C31">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وتتكون المخلفات الصلبة لعملية حرق حمأة مياه المجارير بصورة رئيسية من الرماد المتطاير ورماد القعر (من الحرق في الأفران ذات القاعدة المميعة) ومخلفات معالجة غازات المداخن (انظر توصيف حرق النفايات الصلبة البلدية في الفرع 2-2-4-1 أعلاه). ويتعين الجمع بطريقة ملائمة بين التدابير المناسبة لتنقية غازات المداخن لضمان تطبيق أفضل التقنيات المتاحة (انظر الفرع 5-5 أدناه).</w:t>
      </w:r>
    </w:p>
    <w:p w:rsidR="00335E4B" w:rsidRPr="00335E4B" w:rsidRDefault="00335E4B" w:rsidP="00977BAF">
      <w:pPr>
        <w:spacing w:before="120" w:after="120" w:line="400" w:lineRule="exact"/>
        <w:rPr>
          <w:rFonts w:ascii="Traditional Arabic" w:hAnsi="Traditional Arabic" w:cs="Traditional Arabic"/>
          <w:b/>
          <w:bCs/>
          <w:sz w:val="30"/>
          <w:szCs w:val="30"/>
          <w:rtl/>
        </w:rPr>
      </w:pPr>
      <w:r w:rsidRPr="00335E4B">
        <w:rPr>
          <w:rFonts w:ascii="Traditional Arabic" w:hAnsi="Traditional Arabic" w:cs="Traditional Arabic" w:hint="cs"/>
          <w:b/>
          <w:bCs/>
          <w:sz w:val="30"/>
          <w:szCs w:val="30"/>
          <w:rtl/>
        </w:rPr>
        <w:t>2-2-4-4</w:t>
      </w:r>
      <w:r w:rsidRPr="00335E4B">
        <w:rPr>
          <w:rFonts w:ascii="Traditional Arabic" w:hAnsi="Traditional Arabic" w:cs="Traditional Arabic" w:hint="cs"/>
          <w:b/>
          <w:bCs/>
          <w:sz w:val="30"/>
          <w:szCs w:val="30"/>
          <w:rtl/>
        </w:rPr>
        <w:tab/>
        <w:t>تصميم وتشغيل أفران حرق حمأة مياه المجارير</w:t>
      </w:r>
    </w:p>
    <w:p w:rsidR="00335E4B" w:rsidRPr="00335E4B" w:rsidRDefault="00335E4B" w:rsidP="00FE3C31">
      <w:pPr>
        <w:spacing w:after="120" w:line="400" w:lineRule="exact"/>
        <w:jc w:val="both"/>
        <w:rPr>
          <w:rFonts w:ascii="Traditional Arabic" w:hAnsi="Traditional Arabic" w:cs="Traditional Arabic"/>
          <w:sz w:val="30"/>
          <w:szCs w:val="30"/>
        </w:rPr>
      </w:pPr>
      <w:bookmarkStart w:id="2152" w:name="_Toc142875899"/>
      <w:bookmarkStart w:id="2153" w:name="_Toc133289184"/>
      <w:r w:rsidRPr="00335E4B">
        <w:rPr>
          <w:rFonts w:ascii="Traditional Arabic" w:hAnsi="Traditional Arabic" w:cs="Traditional Arabic" w:hint="cs"/>
          <w:sz w:val="30"/>
          <w:szCs w:val="30"/>
          <w:rtl/>
        </w:rPr>
        <w:t>يمكن لفرن حرق حمأة مياه المجارير النموذجي أن يعالج ما يصل إلى 000</w:t>
      </w:r>
      <w:r w:rsidR="00FE3C31">
        <w:rPr>
          <w:rFonts w:ascii="Traditional Arabic" w:hAnsi="Traditional Arabic" w:cs="Traditional Arabic" w:hint="eastAsia"/>
          <w:sz w:val="30"/>
          <w:szCs w:val="30"/>
          <w:rtl/>
        </w:rPr>
        <w:t> </w:t>
      </w:r>
      <w:r w:rsidRPr="00335E4B">
        <w:rPr>
          <w:rFonts w:ascii="Traditional Arabic" w:hAnsi="Traditional Arabic" w:cs="Traditional Arabic" w:hint="cs"/>
          <w:sz w:val="30"/>
          <w:szCs w:val="30"/>
          <w:rtl/>
        </w:rPr>
        <w:t>80 طن من الحمأة (35 في المائة مواد صلبة جافة) في السنة. وتتمثل تكنولوجيات الحرق المفضلة فيما يخص حمأة مياه المجارير في الفرن ذي المواقد المتعددة (الشكل 5) ونظم الأفران ذات القاعدة المميعة، رغم أن الأفران الدوارة تستخدم أيضاً في تطبيقات أصغر حجماً.</w:t>
      </w:r>
    </w:p>
    <w:p w:rsidR="00335E4B" w:rsidRPr="00335E4B" w:rsidRDefault="00335E4B" w:rsidP="00335E4B">
      <w:pPr>
        <w:spacing w:after="240"/>
        <w:ind w:left="425"/>
        <w:rPr>
          <w:rFonts w:cs="Traditional Arabic"/>
          <w:sz w:val="20"/>
          <w:szCs w:val="30"/>
        </w:rPr>
      </w:pPr>
      <w:r>
        <w:rPr>
          <w:rFonts w:cs="Traditional Arabic"/>
          <w:noProof/>
          <w:sz w:val="20"/>
          <w:szCs w:val="30"/>
          <w:lang w:val="en-GB" w:eastAsia="zh-CN"/>
        </w:rPr>
        <w:drawing>
          <wp:inline distT="0" distB="0" distL="0" distR="0" wp14:anchorId="4CF51A2C" wp14:editId="71F9E552">
            <wp:extent cx="5293360" cy="2286000"/>
            <wp:effectExtent l="0" t="0" r="2540" b="0"/>
            <wp:docPr id="29" name="Picture 29" descr="Description: Description: 3-11 SS Mult H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3-11 SS Mult Hearth"/>
                    <pic:cNvPicPr>
                      <a:picLocks noChangeAspect="1" noChangeArrowheads="1"/>
                    </pic:cNvPicPr>
                  </pic:nvPicPr>
                  <pic:blipFill>
                    <a:blip r:embed="rId51">
                      <a:extLst>
                        <a:ext uri="{28A0092B-C50C-407E-A947-70E740481C1C}">
                          <a14:useLocalDpi xmlns:a14="http://schemas.microsoft.com/office/drawing/2010/main" val="0"/>
                        </a:ext>
                      </a:extLst>
                    </a:blip>
                    <a:srcRect l="792" t="1682" r="1019" b="1869"/>
                    <a:stretch>
                      <a:fillRect/>
                    </a:stretch>
                  </pic:blipFill>
                  <pic:spPr bwMode="auto">
                    <a:xfrm>
                      <a:off x="0" y="0"/>
                      <a:ext cx="5293360" cy="2286000"/>
                    </a:xfrm>
                    <a:prstGeom prst="rect">
                      <a:avLst/>
                    </a:prstGeom>
                    <a:noFill/>
                    <a:ln>
                      <a:noFill/>
                    </a:ln>
                  </pic:spPr>
                </pic:pic>
              </a:graphicData>
            </a:graphic>
          </wp:inline>
        </w:drawing>
      </w:r>
    </w:p>
    <w:p w:rsidR="00335E4B" w:rsidRPr="00335E4B" w:rsidRDefault="00335E4B" w:rsidP="00335E4B">
      <w:pPr>
        <w:spacing w:after="240" w:line="255" w:lineRule="exact"/>
        <w:ind w:left="425"/>
        <w:rPr>
          <w:rFonts w:ascii="Traditional Arabic" w:hAnsi="Traditional Arabic" w:cs="Traditional Arabic"/>
          <w:b/>
          <w:bCs/>
          <w:sz w:val="20"/>
          <w:szCs w:val="30"/>
          <w:rtl/>
        </w:rPr>
      </w:pPr>
      <w:r w:rsidRPr="00335E4B">
        <w:rPr>
          <w:rFonts w:ascii="Traditional Arabic" w:hAnsi="Traditional Arabic" w:cs="Traditional Arabic" w:hint="cs"/>
          <w:b/>
          <w:bCs/>
          <w:sz w:val="20"/>
          <w:szCs w:val="30"/>
          <w:rtl/>
        </w:rPr>
        <w:t>الشكل 5</w:t>
      </w:r>
      <w:r w:rsidRPr="00335E4B">
        <w:rPr>
          <w:rFonts w:ascii="Traditional Arabic" w:hAnsi="Traditional Arabic" w:cs="Traditional Arabic" w:hint="cs"/>
          <w:b/>
          <w:bCs/>
          <w:sz w:val="20"/>
          <w:szCs w:val="30"/>
          <w:rtl/>
        </w:rPr>
        <w:tab/>
        <w:t>نموذج لفرن حرق حمأة مياه المجارير المتعدد المواقد (المفوضية الأوروبية، 2006)</w:t>
      </w:r>
    </w:p>
    <w:bookmarkEnd w:id="2152"/>
    <w:bookmarkEnd w:id="2153"/>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واعتماداً على نسبة المواد الصلبة الجافة (الجفاف) يتم توفير وقود مساعد، هو في العادة زيت التدفئة أو الغاز الطبيعي. وتتراوح درجات حرارة التشغيل المفضلة من 850مْ إلى 950مْ مع فترة مكوث قدرها ثانيتان، رغم أن بعض المرافق ذات القاعدة المميعة قادرة على العمل عند </w:t>
      </w:r>
      <w:r w:rsidR="00FE3C31">
        <w:rPr>
          <w:rFonts w:ascii="Traditional Arabic" w:hAnsi="Traditional Arabic" w:cs="Traditional Arabic" w:hint="cs"/>
          <w:sz w:val="30"/>
          <w:szCs w:val="30"/>
          <w:rtl/>
        </w:rPr>
        <w:t>د</w:t>
      </w:r>
      <w:r w:rsidRPr="00335E4B">
        <w:rPr>
          <w:rFonts w:ascii="Traditional Arabic" w:hAnsi="Traditional Arabic" w:cs="Traditional Arabic" w:hint="cs"/>
          <w:sz w:val="30"/>
          <w:szCs w:val="30"/>
          <w:rtl/>
        </w:rPr>
        <w:t xml:space="preserve">رجات حرارة تصل إلى 820مْ دون حدوث انخفاض في مستوى أدائها. ومن شأن التشغيل عند درجة حرارة أعلى من 980مْ أن يؤدي إلى انتشار الرماد </w:t>
      </w:r>
      <w:r w:rsidRPr="00FE3C31">
        <w:rPr>
          <w:rFonts w:asciiTheme="majorBidi" w:hAnsiTheme="majorBidi" w:cstheme="majorBidi"/>
          <w:sz w:val="20"/>
          <w:szCs w:val="20"/>
          <w:rtl/>
        </w:rPr>
        <w:t>(</w:t>
      </w:r>
      <w:r w:rsidRPr="00FE3C31">
        <w:rPr>
          <w:rFonts w:asciiTheme="majorBidi" w:hAnsiTheme="majorBidi" w:cstheme="majorBidi"/>
          <w:sz w:val="20"/>
          <w:szCs w:val="20"/>
        </w:rPr>
        <w:t>European Commission 2006</w:t>
      </w:r>
      <w:r w:rsidRPr="00FE3C31">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وتحرق حمأة مياه المجارير مع النفايات الصلبة البلدية في الأفران ذات القاعدة المميعة وفي أفران الحرق (الشبكية) الضخمة. وفي الحالة الثانية تكون النسبة النموذجية هي نسبة 3:1 (حمأة إلى نفايات)، حيث تُدخل الحمأة المجففة إلى داخل غرفة الحرق في شكل غبار أو تُمرر الحمأة الجافة إلى الفرن الشبكي عن طريق رشاشات. وفي بعض الحالات قد تخلط الحمأة الجافة أو المجففة مع النفايات الصلبة البلدية في المستودع أو المخزن القمعي المؤقت قبل وصولها إلى فرن الحرق. وتمثل طرق التلقيم نسبةً كبيرةً من الاستثمار الرأسمالي الإضافي المطلوب للحرق المشترك.</w:t>
      </w:r>
    </w:p>
    <w:p w:rsidR="00335E4B" w:rsidRPr="00335E4B" w:rsidRDefault="00335E4B" w:rsidP="00335E4B">
      <w:pPr>
        <w:spacing w:before="120" w:after="120" w:line="400" w:lineRule="exact"/>
        <w:ind w:left="1558" w:hanging="1558"/>
        <w:jc w:val="both"/>
        <w:rPr>
          <w:rFonts w:ascii="Traditional Arabic" w:hAnsi="Traditional Arabic" w:cs="Traditional Arabic"/>
          <w:b/>
          <w:bCs/>
          <w:sz w:val="30"/>
          <w:szCs w:val="30"/>
          <w:rtl/>
        </w:rPr>
      </w:pPr>
      <w:r w:rsidRPr="00335E4B">
        <w:rPr>
          <w:rFonts w:ascii="Traditional Arabic" w:hAnsi="Traditional Arabic" w:cs="Traditional Arabic" w:hint="cs"/>
          <w:b/>
          <w:bCs/>
          <w:sz w:val="30"/>
          <w:szCs w:val="30"/>
          <w:rtl/>
        </w:rPr>
        <w:t>2-2-4-4-1</w:t>
      </w:r>
      <w:r w:rsidRPr="00335E4B">
        <w:rPr>
          <w:rFonts w:ascii="Traditional Arabic" w:hAnsi="Traditional Arabic" w:cs="Traditional Arabic" w:hint="cs"/>
          <w:b/>
          <w:bCs/>
          <w:sz w:val="30"/>
          <w:szCs w:val="30"/>
          <w:rtl/>
        </w:rPr>
        <w:tab/>
        <w:t>المعالجة المسبقة لحمأة مياه المجارير</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تكتسب المعالجة المسبقة، خصوصاً عملية إزالة المياه والتجفيف، أهميةً خاصة في تحضير الحمأة للحرق، فالتجفيف يخفض كمية الحمأة ويزيد من الطاقة الحرارية للمنتج. وفي العادة تلزم إزالة الرطوبة لتصل إلى 35 في المائة على الأقل في المواد الصلبة الجافة من أجل توفير الطاقة الحرارية اللازمة للحرق الذاتي. وقد تكون هناك حاجة لتجفيف إضافي إذا كان من المخطط حرق الحمأة مع النفايات الصلبة </w:t>
      </w:r>
      <w:r w:rsidRPr="00335E4B">
        <w:rPr>
          <w:rFonts w:cs="Traditional Arabic" w:hint="cs"/>
          <w:sz w:val="30"/>
          <w:szCs w:val="30"/>
          <w:rtl/>
        </w:rPr>
        <w:t>البلدية</w:t>
      </w:r>
      <w:r w:rsidRPr="00335E4B">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وقد تجرى بعض المعالجات المسبقة للحمأة قبل نقلها إلى مرفق الحرق، وهذه قد تشمل الفرز والاهتضام اللاهوائي والهوائي وكذلك إضافة المواد الكيميائية اللازمة للمعالجة.</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وتخفض الإزالة الفيزيائية للماء حجم الحمأة وتزيد من قيمتها الحرارية. وتشمل عمليات الإزالة الميكانيكية للماء دوارق الترشيح وأجهزة الطرد المركزي والمرشحات الحزامية وحجرات المرشحات العاصرة. وكثيراً ما تضاف المواد المحسنة (مثل عوامل التجميع) قبل إزالة المياه لتيسير التجفيف. وتنتج الإزالة الميكانيكية للماء عادة نفايات صلبة جافة بنسبة 20 إلى 35 في المائة </w:t>
      </w:r>
      <w:r w:rsidRPr="00FE3C31">
        <w:rPr>
          <w:rFonts w:asciiTheme="majorBidi" w:hAnsiTheme="majorBidi" w:cstheme="majorBidi"/>
          <w:sz w:val="20"/>
          <w:szCs w:val="20"/>
          <w:rtl/>
        </w:rPr>
        <w:t>(</w:t>
      </w:r>
      <w:r w:rsidRPr="00FE3C31">
        <w:rPr>
          <w:rFonts w:asciiTheme="majorBidi" w:hAnsiTheme="majorBidi" w:cstheme="majorBidi"/>
          <w:sz w:val="20"/>
          <w:szCs w:val="20"/>
          <w:lang w:val="en-GB"/>
        </w:rPr>
        <w:t>European Commission, 2006</w:t>
      </w:r>
      <w:r w:rsidRPr="00FE3C31">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وينتج التجفيف طاقة حرارية تعزز إزالة المياه وتحسن حالة الحمأة. وتنتج الحرارة اللازمة للتجفيف في مرفق الحرق في الغالب من عملية الحرق نفسها. ويمكن أن تكون عمليات التجفيف مباشرة (عن طريق ملامسة الحمأة لحامل حراري) أو غير مباشرة (مثلاً عن طريق حرارة ناتجة من منشأة لتوليد البخار). وفي التجفيف المباشر يتعين تنظيف مزيج الأبخرة والغازات لاحقاً.</w:t>
      </w:r>
    </w:p>
    <w:p w:rsidR="00335E4B" w:rsidRPr="00335E4B" w:rsidRDefault="00335E4B" w:rsidP="00335E4B">
      <w:pPr>
        <w:spacing w:after="120" w:line="400" w:lineRule="exact"/>
        <w:jc w:val="both"/>
        <w:rPr>
          <w:rFonts w:ascii="Traditional Arabic" w:hAnsi="Traditional Arabic" w:cs="Traditional Arabic"/>
          <w:sz w:val="30"/>
          <w:szCs w:val="30"/>
          <w:rtl/>
          <w:lang w:val="en-GB"/>
        </w:rPr>
      </w:pPr>
      <w:r w:rsidRPr="00335E4B">
        <w:rPr>
          <w:rFonts w:ascii="Traditional Arabic" w:hAnsi="Traditional Arabic" w:cs="Traditional Arabic" w:hint="cs"/>
          <w:sz w:val="30"/>
          <w:szCs w:val="30"/>
          <w:rtl/>
          <w:lang w:val="en-GB"/>
        </w:rPr>
        <w:t>ويتطلب الحرق الذاتي للحمأة توفر نفايات صلبة جافة بنسبة 35 في المائة. ورغم أن الإزالة الميكانيكية للماء يمكن أن تصل إلى هذه العتبة إلا أنه قد يستخدم التجفيف الإضافي للحمأة حتى الوصول إلى نفايات صلبة جافة بنسبة 80 إلى 95 في المائة من أجل زيادة القيمة الحرارية. أما الحرق المشترك مع النفايات الصلبة البلدية فهو يتطلب عادةً تجفيفاً إضافياً للحمأة.</w:t>
      </w:r>
    </w:p>
    <w:p w:rsidR="00335E4B" w:rsidRPr="00335E4B" w:rsidRDefault="00335E4B" w:rsidP="00335E4B">
      <w:pPr>
        <w:spacing w:before="120" w:after="120" w:line="400" w:lineRule="exact"/>
        <w:jc w:val="both"/>
        <w:rPr>
          <w:rFonts w:ascii="Traditional Arabic" w:hAnsi="Traditional Arabic" w:cs="Traditional Arabic"/>
          <w:b/>
          <w:bCs/>
          <w:sz w:val="30"/>
          <w:szCs w:val="30"/>
          <w:rtl/>
          <w:lang w:val="en-GB"/>
        </w:rPr>
      </w:pPr>
      <w:r w:rsidRPr="00335E4B">
        <w:rPr>
          <w:rFonts w:ascii="Traditional Arabic" w:hAnsi="Traditional Arabic" w:cs="Traditional Arabic" w:hint="cs"/>
          <w:b/>
          <w:bCs/>
          <w:sz w:val="30"/>
          <w:szCs w:val="30"/>
          <w:rtl/>
          <w:lang w:val="en-GB"/>
        </w:rPr>
        <w:t>2-2-4-5</w:t>
      </w:r>
      <w:r w:rsidRPr="00335E4B">
        <w:rPr>
          <w:rFonts w:ascii="Traditional Arabic" w:hAnsi="Traditional Arabic" w:cs="Traditional Arabic" w:hint="cs"/>
          <w:b/>
          <w:bCs/>
          <w:sz w:val="30"/>
          <w:szCs w:val="30"/>
          <w:rtl/>
          <w:lang w:val="en-GB"/>
        </w:rPr>
        <w:tab/>
        <w:t>حرق نفايات الأخشاب</w:t>
      </w:r>
    </w:p>
    <w:p w:rsidR="00335E4B" w:rsidRPr="00335E4B" w:rsidRDefault="00335E4B" w:rsidP="00335E4B">
      <w:pPr>
        <w:spacing w:after="120" w:line="400" w:lineRule="exact"/>
        <w:jc w:val="both"/>
        <w:rPr>
          <w:rFonts w:ascii="Traditional Arabic" w:hAnsi="Traditional Arabic" w:cs="Traditional Arabic"/>
          <w:sz w:val="30"/>
          <w:szCs w:val="30"/>
          <w:lang w:val="en-GB"/>
        </w:rPr>
      </w:pPr>
      <w:r w:rsidRPr="00335E4B">
        <w:rPr>
          <w:rFonts w:ascii="Traditional Arabic" w:hAnsi="Traditional Arabic" w:cs="Traditional Arabic" w:hint="cs"/>
          <w:sz w:val="30"/>
          <w:szCs w:val="30"/>
          <w:rtl/>
          <w:lang w:val="en-GB"/>
        </w:rPr>
        <w:t>يمكن حرق نفايات الأخشاب المحتوية على الزئبق أو الملوثة به في أفران الحرق الشبكية أو في الأفران ذات القاعدة المميعة عند درجات حرارة مشابهة لدرجات حرارة حرق النفايات البلدية.</w:t>
      </w:r>
    </w:p>
    <w:p w:rsidR="00335E4B" w:rsidRPr="00335E4B" w:rsidRDefault="00335E4B" w:rsidP="00335E4B">
      <w:pPr>
        <w:spacing w:after="120" w:line="400" w:lineRule="exact"/>
        <w:jc w:val="both"/>
        <w:rPr>
          <w:rFonts w:ascii="Traditional Arabic" w:hAnsi="Traditional Arabic" w:cs="Traditional Arabic"/>
          <w:sz w:val="30"/>
          <w:szCs w:val="30"/>
          <w:rtl/>
          <w:lang w:val="en-GB"/>
        </w:rPr>
      </w:pPr>
      <w:r w:rsidRPr="00335E4B">
        <w:rPr>
          <w:rFonts w:ascii="Traditional Arabic" w:hAnsi="Traditional Arabic" w:cs="Traditional Arabic" w:hint="cs"/>
          <w:sz w:val="30"/>
          <w:szCs w:val="30"/>
          <w:rtl/>
          <w:lang w:val="en-GB"/>
        </w:rPr>
        <w:t>وهناك تقنية أخرى مستخدمة هي التحليل الحراري، وتنتج في هذه الحالة عادة ثلاثة نواتج: الغازات وزيت التحليل الحراري والفحم، وتعتمد نسب هذه النواتج إلى حد كبير على طريقة التحليل الحراري وخصائص الكتلة الحيوية وباراميترات التفاعل. ويستخدم التحليل الحراري السريع أو الومضي لزيادة كمية الغازات أو النواتج السائلة إلى أقصى حد ممكن بحسب درجة الحرارة المستخدمة.</w:t>
      </w:r>
    </w:p>
    <w:p w:rsidR="00335E4B" w:rsidRPr="00335E4B" w:rsidRDefault="00335E4B" w:rsidP="00335E4B">
      <w:pPr>
        <w:spacing w:before="120" w:after="120" w:line="400" w:lineRule="exact"/>
        <w:jc w:val="both"/>
        <w:rPr>
          <w:rFonts w:ascii="Traditional Arabic" w:hAnsi="Traditional Arabic" w:cs="Traditional Arabic"/>
          <w:b/>
          <w:bCs/>
          <w:sz w:val="30"/>
          <w:szCs w:val="30"/>
          <w:rtl/>
          <w:lang w:val="en-GB"/>
        </w:rPr>
      </w:pPr>
      <w:r w:rsidRPr="00335E4B">
        <w:rPr>
          <w:rFonts w:ascii="Traditional Arabic" w:hAnsi="Traditional Arabic" w:cs="Traditional Arabic" w:hint="cs"/>
          <w:b/>
          <w:bCs/>
          <w:sz w:val="30"/>
          <w:szCs w:val="30"/>
          <w:rtl/>
          <w:lang w:val="en-GB"/>
        </w:rPr>
        <w:t>2-2-4-6</w:t>
      </w:r>
      <w:r w:rsidRPr="00335E4B">
        <w:rPr>
          <w:rFonts w:ascii="Traditional Arabic" w:hAnsi="Traditional Arabic" w:cs="Traditional Arabic" w:hint="cs"/>
          <w:b/>
          <w:bCs/>
          <w:sz w:val="30"/>
          <w:szCs w:val="30"/>
          <w:rtl/>
          <w:lang w:val="en-GB"/>
        </w:rPr>
        <w:tab/>
        <w:t>سلوك الزئبق أثناء عملية الحرق</w:t>
      </w:r>
    </w:p>
    <w:p w:rsidR="00335E4B" w:rsidRPr="00335E4B" w:rsidRDefault="00335E4B" w:rsidP="00335E4B">
      <w:pPr>
        <w:spacing w:after="120" w:line="400" w:lineRule="exact"/>
        <w:jc w:val="both"/>
        <w:rPr>
          <w:rFonts w:ascii="Traditional Arabic" w:hAnsi="Traditional Arabic" w:cs="Traditional Arabic"/>
          <w:sz w:val="30"/>
          <w:szCs w:val="30"/>
          <w:rtl/>
          <w:lang w:val="en-GB"/>
        </w:rPr>
      </w:pPr>
      <w:r w:rsidRPr="00335E4B">
        <w:rPr>
          <w:rFonts w:ascii="Traditional Arabic" w:hAnsi="Traditional Arabic" w:cs="Traditional Arabic" w:hint="cs"/>
          <w:sz w:val="30"/>
          <w:szCs w:val="30"/>
          <w:rtl/>
          <w:lang w:val="en-GB"/>
        </w:rPr>
        <w:t>يناقش هذا القسم سلوك الزئبق أثناء عملية الحرق. ووفق ما هو مبين في القسم 3 فإن قدرة الضوابط المختلفة على احتجاز الانبعاثات ترتبط بتكون الزئبق في غازات المداخن.</w:t>
      </w:r>
    </w:p>
    <w:p w:rsidR="00335E4B" w:rsidRPr="00335E4B" w:rsidRDefault="00335E4B" w:rsidP="00335E4B">
      <w:pPr>
        <w:spacing w:after="120" w:line="400" w:lineRule="exact"/>
        <w:jc w:val="both"/>
        <w:rPr>
          <w:rFonts w:ascii="Traditional Arabic" w:hAnsi="Traditional Arabic" w:cs="Traditional Arabic"/>
          <w:sz w:val="30"/>
          <w:szCs w:val="30"/>
          <w:rtl/>
          <w:lang w:val="en-GB"/>
        </w:rPr>
      </w:pPr>
      <w:r w:rsidRPr="00335E4B">
        <w:rPr>
          <w:rFonts w:ascii="Traditional Arabic" w:hAnsi="Traditional Arabic" w:cs="Traditional Arabic" w:hint="cs"/>
          <w:sz w:val="30"/>
          <w:szCs w:val="30"/>
          <w:rtl/>
          <w:lang w:val="en-GB"/>
        </w:rPr>
        <w:t xml:space="preserve">ونظراً لانعدام الثبات الحراري والكيميائي لمركبات الزئبق فإنه عندما تزيد درجة الحرارة عن 700مْ إلى 800مْ لا يتبقى سوى الزئبق النقي، وهذا يعني أن الزئبق يوجد داخل غرفة الاحتراق في فرن حرق النفايات بشكله الأولي فقط. والزئبق هو عنصر شديد التطاير ولذلك فهو يكاد لا يوجد إلا في الطور الغازي ضمن غازات المداخن. وعند مرور غازات المداخن عبر قسم استعادة الحرارة تبرد هذه الغازات ومن ثم يتفاعل الزئبق النقي اعتماداً على وجود المكونات الأخرى لغازات المداخن ودرجة الحرارة وتركيبة الرماد ليتحول إلى زئبق مؤكسد. وتتميز مركبات الزئبق المؤكسد عموماً بعدم الثبات في غازات المداخن وفي الظروف الجوية </w:t>
      </w:r>
      <w:r w:rsidRPr="00FE3C31">
        <w:rPr>
          <w:rFonts w:asciiTheme="majorBidi" w:hAnsiTheme="majorBidi" w:cstheme="majorBidi"/>
          <w:sz w:val="20"/>
          <w:szCs w:val="20"/>
          <w:rtl/>
          <w:lang w:val="en-GB"/>
        </w:rPr>
        <w:t>(</w:t>
      </w:r>
      <w:r w:rsidRPr="00FE3C31">
        <w:rPr>
          <w:rFonts w:asciiTheme="majorBidi" w:hAnsiTheme="majorBidi" w:cstheme="majorBidi"/>
          <w:sz w:val="20"/>
          <w:szCs w:val="20"/>
        </w:rPr>
        <w:t>Galbareth, Zygarlicke 1996</w:t>
      </w:r>
      <w:r w:rsidRPr="00FE3C31">
        <w:rPr>
          <w:rFonts w:asciiTheme="majorBidi" w:hAnsiTheme="majorBidi" w:cstheme="majorBidi"/>
          <w:sz w:val="20"/>
          <w:szCs w:val="20"/>
          <w:rtl/>
          <w:lang w:val="en-GB"/>
        </w:rPr>
        <w:t>)</w:t>
      </w:r>
      <w:r w:rsidRPr="00335E4B">
        <w:rPr>
          <w:rFonts w:ascii="Traditional Arabic" w:hAnsi="Traditional Arabic" w:cs="Traditional Arabic" w:hint="cs"/>
          <w:sz w:val="30"/>
          <w:szCs w:val="30"/>
          <w:rtl/>
          <w:lang w:val="en-GB"/>
        </w:rPr>
        <w:t>.</w:t>
      </w:r>
    </w:p>
    <w:p w:rsidR="00335E4B" w:rsidRPr="00335E4B" w:rsidRDefault="00335E4B" w:rsidP="00335E4B">
      <w:pPr>
        <w:spacing w:after="120" w:line="400" w:lineRule="exact"/>
        <w:contextualSpacing/>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وفي ظل ظروف معينة يمكن للزئبق الأولي أن يتأكسد، إلا أن حجم تحوله يعتمد على درجة الحرارة وفترة المكوث والرماد والكربون غير المحترق إضافةً إلى وجود مكونات في الطور الغازي بما في ذلك الكلور أو ثاني أكسيد الكبريت. ويعتمد توزيع الزئبق النقي والزئبق المتأكسد في شكل كلوريد الزئبقيك، بشكل كبير، على كمية كلوريد الهيدروجين في غازات المداخن، حيث تميل نسبة الزئبق المتأكسد والزئبق الكلي إلى الازدياد مع زيادة تركيز كلوريد الهيدروجين (</w:t>
      </w:r>
      <w:r w:rsidRPr="00335E4B">
        <w:rPr>
          <w:rFonts w:cs="Traditional Arabic"/>
          <w:sz w:val="20"/>
          <w:szCs w:val="22"/>
        </w:rPr>
        <w:t>Nishitani et al., 1999</w:t>
      </w:r>
      <w:r w:rsidRPr="00335E4B">
        <w:rPr>
          <w:rFonts w:ascii="Traditional Arabic" w:hAnsi="Traditional Arabic" w:cs="Traditional Arabic" w:hint="cs"/>
          <w:sz w:val="30"/>
          <w:szCs w:val="30"/>
          <w:rtl/>
        </w:rPr>
        <w:t>). ونظراً للمحتوى المنخفض من كلوريد الهيدروجين في منشآت حرق حمأة مياه المجارير فإن كمية الزئبق النقي تكون كبيرة جداً.</w:t>
      </w:r>
    </w:p>
    <w:p w:rsidR="00335E4B" w:rsidRPr="00335E4B" w:rsidRDefault="00335E4B" w:rsidP="00335E4B">
      <w:pPr>
        <w:keepNext/>
        <w:spacing w:after="120" w:line="400" w:lineRule="exact"/>
        <w:ind w:left="565" w:hanging="565"/>
        <w:jc w:val="both"/>
        <w:outlineLvl w:val="3"/>
        <w:rPr>
          <w:rFonts w:cs="Traditional Arabic"/>
          <w:b/>
          <w:bCs/>
          <w:sz w:val="32"/>
          <w:szCs w:val="32"/>
          <w:rtl/>
        </w:rPr>
      </w:pPr>
      <w:r w:rsidRPr="00335E4B">
        <w:rPr>
          <w:rFonts w:cs="Traditional Arabic"/>
          <w:b/>
          <w:bCs/>
          <w:sz w:val="32"/>
          <w:szCs w:val="32"/>
          <w:rtl/>
        </w:rPr>
        <w:br w:type="page"/>
      </w:r>
      <w:r w:rsidRPr="00335E4B">
        <w:rPr>
          <w:rFonts w:cs="Traditional Arabic" w:hint="cs"/>
          <w:b/>
          <w:bCs/>
          <w:sz w:val="32"/>
          <w:szCs w:val="32"/>
          <w:rtl/>
        </w:rPr>
        <w:t>3-</w:t>
      </w:r>
      <w:r w:rsidRPr="00335E4B">
        <w:rPr>
          <w:rFonts w:cs="Traditional Arabic" w:hint="cs"/>
          <w:b/>
          <w:bCs/>
          <w:sz w:val="32"/>
          <w:szCs w:val="32"/>
          <w:rtl/>
        </w:rPr>
        <w:tab/>
        <w:t>تقنيات التحكم في الانبعاثات</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إن نوع عمليات المعالجة المطبقة على غازات المداخن بمجرد خروجها من غرفة الاحتراق وترتيب هذه العمليات هما عاملان مهمان على صعيد التشغيل الأمثل للأجهزة ولفعالية الكلفة العامة للمنشأة. وتشمل باراميترات حرق النفايات التي تؤثر على اختيار التقنيات: نوع النفايات، وتركيبها، وقابليتها للتغير، ونوع عملية الاحتراق، وتدفق غازات المداخن ودرجات حرارتها، والحاجة إلى معالجة المياه العادمة وتوفر هذه المعالجة. ولتقنيات المعالجة التالية تأثيرات مباشرة أو غير مباشرة على منع انبعاثات الزئبق أو تخفيضها. وتشمل أفضل التقنيات المتاحة تطبيق أنسب توليفة من نظم تنظيف غازات المداخن. ويرد بيان عام لعدد من التقنيات في مقدمة هذه الوثيقة التوجيهية (الفرع 1)، أما المعلومات التي تعتبر خاصة بحرق النفايات فترد في الفروع التالية.</w:t>
      </w:r>
    </w:p>
    <w:p w:rsidR="00335E4B" w:rsidRPr="00335E4B" w:rsidRDefault="00335E4B" w:rsidP="00335E4B">
      <w:pPr>
        <w:keepNext/>
        <w:spacing w:before="120" w:after="120" w:line="400" w:lineRule="exact"/>
        <w:ind w:left="851" w:hanging="851"/>
        <w:jc w:val="both"/>
        <w:outlineLvl w:val="3"/>
        <w:rPr>
          <w:rFonts w:cs="Traditional Arabic"/>
          <w:b/>
          <w:bCs/>
          <w:sz w:val="30"/>
          <w:szCs w:val="30"/>
          <w:rtl/>
        </w:rPr>
      </w:pPr>
      <w:r w:rsidRPr="00335E4B">
        <w:rPr>
          <w:rFonts w:cs="Traditional Arabic" w:hint="cs"/>
          <w:b/>
          <w:bCs/>
          <w:sz w:val="30"/>
          <w:szCs w:val="30"/>
          <w:rtl/>
        </w:rPr>
        <w:t>3-1</w:t>
      </w:r>
      <w:r w:rsidRPr="00335E4B">
        <w:rPr>
          <w:rFonts w:cs="Traditional Arabic" w:hint="cs"/>
          <w:b/>
          <w:bCs/>
          <w:sz w:val="30"/>
          <w:szCs w:val="30"/>
          <w:rtl/>
        </w:rPr>
        <w:tab/>
        <w:t>تقنيات إزالة الغبار (الجسيمات الدقيقة العالقة)</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إزالة الغبار من غازات المداخن ضرورية لجميع العمليات في فرن حرق النفايات. وقد أظهرت أجهزة الترسيب الكهروستاتيكية والمرشحات النسيجية فعاليةً كتقنيات احتجاز للجسيمات الدقيقة العالقة في غازات مداخن أفران الحرق. وللاطلاع على المبادئ العامة لهذه التقنيات انظر مقدمة هذه الوثيقة.</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ومن أجل إزالة الزئبق بكفاءة أكبر من غاز المداخن تستخدم أجهزة الترسيب الكهروستاتيكية والمرشحات النسيجية معاً جنباً إلى جنب مع التقنيات الأخرى (انظر الفروع 3-4 إلى 3-5 أدناه).</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ويتعين رصد عملية انخفاض الضغط في المرشحات النسيجية ودرجة حرارة غاز المداخن (في حال استخدام نظام تنظيف في المراحل العليا) لضمان وجود كُسب المرشح وعدم وجود تسرب أو بلل في الأكياس.</w:t>
      </w:r>
    </w:p>
    <w:p w:rsidR="00335E4B" w:rsidRPr="00335E4B" w:rsidRDefault="00335E4B" w:rsidP="00977BAF">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 xml:space="preserve">إن المرشحات النسيجية عرضة للتلف بالمياه والتآكل، ويتعين الإبقاء على تدفقات الغازات عند نقطة أعلى من نقطة تشكل الندى (130مْ </w:t>
      </w:r>
      <w:r w:rsidR="00977BAF">
        <w:rPr>
          <w:rFonts w:ascii="Traditional Arabic" w:hAnsi="Traditional Arabic" w:cs="Traditional Arabic" w:hint="cs"/>
          <w:sz w:val="30"/>
          <w:szCs w:val="30"/>
          <w:rtl/>
        </w:rPr>
        <w:t>-</w:t>
      </w:r>
      <w:r w:rsidRPr="00335E4B">
        <w:rPr>
          <w:rFonts w:ascii="Traditional Arabic" w:hAnsi="Traditional Arabic" w:cs="Traditional Arabic" w:hint="cs"/>
          <w:sz w:val="30"/>
          <w:szCs w:val="30"/>
          <w:rtl/>
        </w:rPr>
        <w:t xml:space="preserve"> 140مْ) لمنع هذه التأثيرات. وتتسم بعض مواد المرشحات بمقاومة أكبر للتلف.</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i/>
          <w:iCs/>
          <w:sz w:val="30"/>
          <w:szCs w:val="30"/>
          <w:rtl/>
        </w:rPr>
        <w:t>التأثيرات الشاملة لوسائط متعددة على ارتشاح الزئبق من الرماد المتطاير</w:t>
      </w:r>
      <w:r w:rsidRPr="00335E4B">
        <w:rPr>
          <w:rFonts w:ascii="Traditional Arabic" w:hAnsi="Traditional Arabic" w:cs="Traditional Arabic" w:hint="cs"/>
          <w:sz w:val="30"/>
          <w:szCs w:val="30"/>
          <w:rtl/>
        </w:rPr>
        <w:t xml:space="preserve"> </w:t>
      </w:r>
      <w:r w:rsidRPr="00FE3C31">
        <w:rPr>
          <w:rFonts w:asciiTheme="majorBidi" w:hAnsiTheme="majorBidi" w:cstheme="majorBidi"/>
          <w:sz w:val="20"/>
          <w:szCs w:val="20"/>
          <w:rtl/>
        </w:rPr>
        <w:t>(</w:t>
      </w:r>
      <w:r w:rsidRPr="00FE3C31">
        <w:rPr>
          <w:rFonts w:asciiTheme="majorBidi" w:hAnsiTheme="majorBidi" w:cstheme="majorBidi"/>
          <w:sz w:val="20"/>
          <w:szCs w:val="20"/>
        </w:rPr>
        <w:t>EC, 2006, Waste Incineration</w:t>
      </w:r>
      <w:r w:rsidR="00FE3C31" w:rsidRPr="00FE3C31">
        <w:rPr>
          <w:rFonts w:asciiTheme="majorBidi" w:hAnsiTheme="majorBidi" w:cstheme="majorBidi"/>
          <w:sz w:val="20"/>
          <w:szCs w:val="20"/>
          <w:rtl/>
        </w:rPr>
        <w:t>)</w:t>
      </w:r>
      <w:r w:rsidR="00FE3C31">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يتعين معالجة الرماد المتطاير المتولد من نظم تنظيف غاز المداخن بعناية نظراً لقابليته لرشح الزئبق في الأرض والمياه الجوفية.</w:t>
      </w:r>
    </w:p>
    <w:p w:rsidR="00335E4B" w:rsidRPr="00335E4B" w:rsidRDefault="00335E4B" w:rsidP="00335E4B">
      <w:pPr>
        <w:spacing w:after="120" w:line="400" w:lineRule="exact"/>
        <w:jc w:val="both"/>
        <w:rPr>
          <w:rFonts w:ascii="Traditional Arabic" w:hAnsi="Traditional Arabic" w:cs="Traditional Arabic"/>
          <w:i/>
          <w:iCs/>
          <w:sz w:val="30"/>
          <w:szCs w:val="30"/>
          <w:rtl/>
        </w:rPr>
      </w:pPr>
      <w:r w:rsidRPr="00335E4B">
        <w:rPr>
          <w:rFonts w:ascii="Traditional Arabic" w:hAnsi="Traditional Arabic" w:cs="Traditional Arabic" w:hint="cs"/>
          <w:i/>
          <w:iCs/>
          <w:sz w:val="30"/>
          <w:szCs w:val="30"/>
          <w:rtl/>
        </w:rPr>
        <w:t>التأثيرات الشاملة لوسائط متعددة (بخلاف تلك المرتبطة بالزئبق)</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تتسم أجهزة الترسيب الكهروستاتيكية والمرشحات النسيجية المستخدمة في إزالة الغبار بالاستهلاك العالي للطاقة نتيجةً للتحميل الكهروستاتيكي والانخفاض الكبير في الضغط وتنقية الهواء النبضية العالية الضغط. وتبلغ كمية المخلفات من 12 إلى 20 كغم/طن من النفايات المدخلة.</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i/>
          <w:iCs/>
          <w:sz w:val="30"/>
          <w:szCs w:val="30"/>
          <w:rtl/>
        </w:rPr>
        <w:t>تكاليف التركيب والتشغيل</w:t>
      </w:r>
      <w:r w:rsidRPr="00335E4B">
        <w:rPr>
          <w:rFonts w:ascii="Traditional Arabic" w:hAnsi="Traditional Arabic" w:cs="Traditional Arabic" w:hint="cs"/>
          <w:sz w:val="30"/>
          <w:szCs w:val="30"/>
          <w:rtl/>
        </w:rPr>
        <w:t xml:space="preserve"> </w:t>
      </w:r>
      <w:r w:rsidRPr="00FE3C31">
        <w:rPr>
          <w:rFonts w:asciiTheme="majorBidi" w:hAnsiTheme="majorBidi" w:cstheme="majorBidi"/>
          <w:sz w:val="20"/>
          <w:szCs w:val="20"/>
          <w:rtl/>
        </w:rPr>
        <w:t>(</w:t>
      </w:r>
      <w:r w:rsidRPr="00FE3C31">
        <w:rPr>
          <w:rFonts w:asciiTheme="majorBidi" w:hAnsiTheme="majorBidi" w:cstheme="majorBidi"/>
          <w:sz w:val="20"/>
          <w:szCs w:val="20"/>
        </w:rPr>
        <w:t>EC, 2006, Waste Incineration</w:t>
      </w:r>
      <w:r w:rsidRPr="00FE3C31">
        <w:rPr>
          <w:rFonts w:asciiTheme="majorBidi" w:hAnsiTheme="majorBidi" w:cstheme="majorBidi"/>
          <w:sz w:val="20"/>
          <w:szCs w:val="20"/>
          <w:rtl/>
        </w:rPr>
        <w:t>)</w:t>
      </w:r>
    </w:p>
    <w:p w:rsidR="00335E4B" w:rsidRPr="00335E4B" w:rsidRDefault="00335E4B" w:rsidP="00FE3C31">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تقدر تكاليف الاستثمار في فرن حرق نفايات صلبة بلدية ذي خطين بطاقة كلية قدرها 000</w:t>
      </w:r>
      <w:r w:rsidR="00FE3C31">
        <w:rPr>
          <w:rFonts w:ascii="Traditional Arabic" w:hAnsi="Traditional Arabic" w:cs="Traditional Arabic" w:hint="eastAsia"/>
          <w:sz w:val="30"/>
          <w:szCs w:val="30"/>
          <w:rtl/>
        </w:rPr>
        <w:t> </w:t>
      </w:r>
      <w:r w:rsidRPr="00335E4B">
        <w:rPr>
          <w:rFonts w:ascii="Traditional Arabic" w:hAnsi="Traditional Arabic" w:cs="Traditional Arabic" w:hint="cs"/>
          <w:sz w:val="30"/>
          <w:szCs w:val="30"/>
          <w:rtl/>
        </w:rPr>
        <w:t>200 طن/السنة كما يلي:</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أجهزة الترسيب الكهروستاتيكية (ثلاثية المجال): 2,2 مليون يورو</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أجهزة الترسيب الكهروستاتيكية (ثنائية المجال): 1,6 مليون يورو</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المرشحات النسيجية: 2,2 مليون يورو (من غير الواضح ما إذا كان هذا المبلغ يشمل مبرد غاز المداخن في المراحل الأولى)</w:t>
      </w:r>
    </w:p>
    <w:p w:rsidR="00335E4B" w:rsidRPr="00FE3C31"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i/>
          <w:iCs/>
          <w:sz w:val="30"/>
          <w:szCs w:val="30"/>
          <w:rtl/>
        </w:rPr>
        <w:t>الفوائد المشتركة لاستخدام المصافي النسيجية بالاقتران مع التجفيف عن طريق الرش أو حقن مادة ماصة شبه جافة</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فيما يخص فصل الملوثات الأخرى مثل الغبار والمعادن الثقيلة الأخرى والمركبات العضوية المرتبطة بالغبار تتميز المرشحات النسيجية بميزة إضافية عند اقترانها بحقن مادة ماصة جافة أو شبه جافة (التجفيف بالرش) وهي توفير ترشيح إضافي وسطح تفاعلي على كُسب المرشح.</w:t>
      </w:r>
    </w:p>
    <w:p w:rsidR="00335E4B" w:rsidRPr="00335E4B" w:rsidRDefault="00335E4B" w:rsidP="00335E4B">
      <w:pPr>
        <w:keepNext/>
        <w:spacing w:before="120" w:after="120" w:line="400" w:lineRule="exact"/>
        <w:ind w:left="849" w:hanging="849"/>
        <w:jc w:val="both"/>
        <w:outlineLvl w:val="3"/>
        <w:rPr>
          <w:rFonts w:cs="Traditional Arabic"/>
          <w:b/>
          <w:bCs/>
          <w:sz w:val="30"/>
          <w:szCs w:val="30"/>
          <w:rtl/>
        </w:rPr>
      </w:pPr>
      <w:r w:rsidRPr="00335E4B">
        <w:rPr>
          <w:rFonts w:cs="Traditional Arabic" w:hint="cs"/>
          <w:b/>
          <w:bCs/>
          <w:sz w:val="30"/>
          <w:szCs w:val="30"/>
          <w:rtl/>
        </w:rPr>
        <w:t>3-2</w:t>
      </w:r>
      <w:r w:rsidRPr="00335E4B">
        <w:rPr>
          <w:rFonts w:cs="Traditional Arabic" w:hint="cs"/>
          <w:b/>
          <w:bCs/>
          <w:sz w:val="30"/>
          <w:szCs w:val="30"/>
          <w:rtl/>
        </w:rPr>
        <w:tab/>
        <w:t>تقنيات التنظيف الرطب</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يمكن احتجاز الزئبق الغازي عن طريق الامتزاز في جهاز تنظيف رطب. وفي المرحلة الأولى تزيد كفاءة إزالة الزئبق المؤكسد في شكل كلوريد الزئبق (الذي يمثل بشكل عام مركب الزئبق الرئيسي بعد حرق النفايات) عن 95 في المائة </w:t>
      </w:r>
      <w:r w:rsidRPr="00FE3C31">
        <w:rPr>
          <w:rFonts w:asciiTheme="majorBidi" w:hAnsiTheme="majorBidi" w:cstheme="majorBidi"/>
          <w:sz w:val="20"/>
          <w:szCs w:val="20"/>
          <w:rtl/>
        </w:rPr>
        <w:t>(</w:t>
      </w:r>
      <w:r w:rsidRPr="00FE3C31">
        <w:rPr>
          <w:rFonts w:asciiTheme="majorBidi" w:hAnsiTheme="majorBidi" w:cstheme="majorBidi"/>
          <w:sz w:val="20"/>
          <w:szCs w:val="20"/>
        </w:rPr>
        <w:t>EC, 2006, Waste Incineration</w:t>
      </w:r>
      <w:r w:rsidRPr="00FE3C31">
        <w:rPr>
          <w:rFonts w:asciiTheme="majorBidi" w:hAnsiTheme="majorBidi" w:cstheme="majorBidi"/>
          <w:sz w:val="20"/>
          <w:szCs w:val="20"/>
          <w:rtl/>
        </w:rPr>
        <w:t>)</w:t>
      </w:r>
      <w:r w:rsidRPr="00335E4B">
        <w:rPr>
          <w:rFonts w:ascii="Traditional Arabic" w:hAnsi="Traditional Arabic" w:cs="Traditional Arabic" w:hint="cs"/>
          <w:sz w:val="30"/>
          <w:szCs w:val="30"/>
          <w:rtl/>
        </w:rPr>
        <w:t>. أما معدل إزالة الزئبق النقي فتتراوح فقط من صفر إلى 10 في المائة، ويعود ذلك بصورة رئيسية إلى التكثيف عند درجة حرارة تشغيل جهاز التنظيف التي تتراوح من 60 إلى 70مْ.</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ويشكل الترسيب أحد التدابير الأخرى التي كثيراً ما تستخدم للتقليل إلى أدنى حد ممكن من تركيز الزئبق المؤكسد في مياه التنظيف. ويضاف عامل تثفل (غالباً مركب كبريتي) إلى مياه الشطف ويحول الزئبق الذائب إلى مركب غير قابل للذوبان بدرجة كفاءة معقولة، خصوصاً في المرحلة الثانية. ولربط الزئبق مباشرةً بعد تحويله إلى الطور الغازي توجد طريقة أخرى ممكنة وهي إضافة الكربون المنشط إلى مياه الشطف </w:t>
      </w:r>
      <w:r w:rsidRPr="00FE3C31">
        <w:rPr>
          <w:rFonts w:asciiTheme="majorBidi" w:hAnsiTheme="majorBidi" w:cstheme="majorBidi"/>
          <w:sz w:val="20"/>
          <w:szCs w:val="20"/>
          <w:rtl/>
        </w:rPr>
        <w:t>(</w:t>
      </w:r>
      <w:r w:rsidRPr="00FE3C31">
        <w:rPr>
          <w:rFonts w:asciiTheme="majorBidi" w:hAnsiTheme="majorBidi" w:cstheme="majorBidi"/>
          <w:sz w:val="20"/>
          <w:szCs w:val="20"/>
        </w:rPr>
        <w:t>Bittig 2014</w:t>
      </w:r>
      <w:r w:rsidRPr="00FE3C31">
        <w:rPr>
          <w:rFonts w:asciiTheme="majorBidi" w:hAnsiTheme="majorBidi" w:cstheme="majorBidi"/>
          <w:sz w:val="20"/>
          <w:szCs w:val="20"/>
          <w:rtl/>
        </w:rPr>
        <w:t>)</w:t>
      </w:r>
      <w:r w:rsidRPr="00335E4B">
        <w:rPr>
          <w:rFonts w:ascii="Traditional Arabic" w:hAnsi="Traditional Arabic" w:cs="Traditional Arabic" w:hint="cs"/>
          <w:sz w:val="30"/>
          <w:szCs w:val="30"/>
          <w:rtl/>
        </w:rPr>
        <w:t xml:space="preserve">. ويمكن تفادي انبعاث الزئبق الذائب مرة أخرى إلى غاز المداخن من خلال مزج الزئبق الذائب مع عوامل العزل مثل الكبريتيدات العضوية </w:t>
      </w:r>
      <w:r w:rsidRPr="00FE3C31">
        <w:rPr>
          <w:rFonts w:asciiTheme="majorBidi" w:hAnsiTheme="majorBidi" w:cstheme="majorBidi"/>
          <w:sz w:val="20"/>
          <w:szCs w:val="20"/>
          <w:rtl/>
        </w:rPr>
        <w:t>(</w:t>
      </w:r>
      <w:r w:rsidRPr="00FE3C31">
        <w:rPr>
          <w:rFonts w:asciiTheme="majorBidi" w:hAnsiTheme="majorBidi" w:cstheme="majorBidi"/>
          <w:sz w:val="20"/>
          <w:szCs w:val="20"/>
        </w:rPr>
        <w:t>Keiser et al., 2014</w:t>
      </w:r>
      <w:r w:rsidRPr="00FE3C31">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ومن خلال تطبيق التدابير المذكورة أعلاه يمكن تحسين امتزاز الزئبق النقي وزيادته من 20 في المائة إلى حد أقصى قدره 30 في المائة. وتبلغ كفاءة الإزالة الكلية للزئبق (المعدني والمتأكسد) زهاء 85 في المائة </w:t>
      </w:r>
      <w:r w:rsidRPr="00FE3C31">
        <w:rPr>
          <w:rFonts w:asciiTheme="majorBidi" w:hAnsiTheme="majorBidi" w:cstheme="majorBidi"/>
          <w:sz w:val="20"/>
          <w:szCs w:val="20"/>
          <w:rtl/>
        </w:rPr>
        <w:t>(</w:t>
      </w:r>
      <w:r w:rsidRPr="00FE3C31">
        <w:rPr>
          <w:rFonts w:asciiTheme="majorBidi" w:hAnsiTheme="majorBidi" w:cstheme="majorBidi"/>
          <w:sz w:val="20"/>
          <w:szCs w:val="20"/>
        </w:rPr>
        <w:t>EC, 2006, Waste Incineration</w:t>
      </w:r>
      <w:r w:rsidRPr="00FE3C31">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FE3C31"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i/>
          <w:iCs/>
          <w:sz w:val="30"/>
          <w:szCs w:val="30"/>
          <w:rtl/>
        </w:rPr>
        <w:t>التأثيرات الشاملة لوسائط متعددة</w:t>
      </w:r>
    </w:p>
    <w:p w:rsidR="00335E4B" w:rsidRPr="00335E4B" w:rsidRDefault="00335E4B" w:rsidP="00977BAF">
      <w:pPr>
        <w:spacing w:after="120" w:line="400" w:lineRule="exact"/>
        <w:ind w:left="-2"/>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الجدول 1 يبين التأثيرات غير المتعلقة بالزئبق</w:t>
      </w:r>
      <w:r w:rsidRPr="00335E4B" w:rsidDel="006E276C">
        <w:rPr>
          <w:rFonts w:ascii="Traditional Arabic" w:hAnsi="Traditional Arabic" w:cs="Traditional Arabic" w:hint="cs"/>
          <w:sz w:val="30"/>
          <w:szCs w:val="30"/>
          <w:rtl/>
        </w:rPr>
        <w:t xml:space="preserve"> </w:t>
      </w:r>
      <w:r w:rsidRPr="00335E4B">
        <w:rPr>
          <w:rFonts w:ascii="Traditional Arabic" w:hAnsi="Traditional Arabic" w:cs="Traditional Arabic" w:hint="cs"/>
          <w:sz w:val="30"/>
          <w:szCs w:val="30"/>
          <w:rtl/>
        </w:rPr>
        <w:t>الشاملة لوسائط متعددة</w:t>
      </w:r>
    </w:p>
    <w:p w:rsidR="00335E4B" w:rsidRPr="00335E4B" w:rsidRDefault="00335E4B" w:rsidP="00977BAF">
      <w:pPr>
        <w:ind w:left="-2"/>
        <w:jc w:val="both"/>
        <w:rPr>
          <w:rFonts w:ascii="Traditional Arabic" w:hAnsi="Traditional Arabic" w:cs="Traditional Arabic"/>
          <w:b/>
          <w:bCs/>
          <w:sz w:val="30"/>
          <w:szCs w:val="30"/>
          <w:rtl/>
        </w:rPr>
      </w:pPr>
      <w:r w:rsidRPr="00335E4B">
        <w:rPr>
          <w:rFonts w:ascii="Traditional Arabic" w:hAnsi="Traditional Arabic" w:cs="Traditional Arabic" w:hint="cs"/>
          <w:b/>
          <w:bCs/>
          <w:sz w:val="30"/>
          <w:szCs w:val="30"/>
          <w:rtl/>
        </w:rPr>
        <w:tab/>
        <w:t>الجدول 1</w:t>
      </w:r>
    </w:p>
    <w:p w:rsidR="00335E4B" w:rsidRPr="00335E4B" w:rsidRDefault="00335E4B" w:rsidP="00977BAF">
      <w:pPr>
        <w:ind w:left="-2"/>
        <w:jc w:val="both"/>
        <w:rPr>
          <w:rFonts w:ascii="Traditional Arabic" w:hAnsi="Traditional Arabic" w:cs="Traditional Arabic"/>
          <w:b/>
          <w:bCs/>
          <w:sz w:val="30"/>
          <w:szCs w:val="30"/>
        </w:rPr>
      </w:pPr>
      <w:r w:rsidRPr="00335E4B">
        <w:rPr>
          <w:rFonts w:ascii="Traditional Arabic" w:hAnsi="Traditional Arabic" w:cs="Traditional Arabic" w:hint="cs"/>
          <w:sz w:val="30"/>
          <w:szCs w:val="30"/>
          <w:rtl/>
        </w:rPr>
        <w:tab/>
        <w:t>التأثيرات غير المتعلقة بالزئبق والشاملة لوسائط متعددة</w:t>
      </w:r>
    </w:p>
    <w:tbl>
      <w:tblPr>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430"/>
      </w:tblGrid>
      <w:tr w:rsidR="00335E4B" w:rsidRPr="00335E4B" w:rsidTr="00977BAF">
        <w:tc>
          <w:tcPr>
            <w:tcW w:w="3544" w:type="dxa"/>
            <w:shd w:val="clear" w:color="auto" w:fill="auto"/>
          </w:tcPr>
          <w:p w:rsidR="00335E4B" w:rsidRPr="00977BAF" w:rsidRDefault="00335E4B" w:rsidP="00AA60A1">
            <w:pPr>
              <w:spacing w:line="300" w:lineRule="exact"/>
              <w:rPr>
                <w:rFonts w:ascii="Traditional Arabic" w:hAnsi="Traditional Arabic" w:cs="Traditional Arabic"/>
                <w:sz w:val="27"/>
                <w:szCs w:val="27"/>
                <w:rtl/>
              </w:rPr>
            </w:pPr>
            <w:r w:rsidRPr="00977BAF">
              <w:rPr>
                <w:rFonts w:ascii="Traditional Arabic" w:hAnsi="Traditional Arabic" w:cs="Traditional Arabic" w:hint="cs"/>
                <w:sz w:val="27"/>
                <w:szCs w:val="27"/>
                <w:rtl/>
              </w:rPr>
              <w:t>استهلاك الكاشف</w:t>
            </w:r>
          </w:p>
        </w:tc>
        <w:tc>
          <w:tcPr>
            <w:tcW w:w="5430" w:type="dxa"/>
            <w:shd w:val="clear" w:color="auto" w:fill="auto"/>
          </w:tcPr>
          <w:p w:rsidR="00335E4B" w:rsidRPr="00977BAF" w:rsidRDefault="00335E4B" w:rsidP="00AA60A1">
            <w:pPr>
              <w:spacing w:line="300" w:lineRule="exact"/>
              <w:rPr>
                <w:rFonts w:ascii="Traditional Arabic" w:hAnsi="Traditional Arabic" w:cs="Traditional Arabic"/>
                <w:sz w:val="27"/>
                <w:szCs w:val="27"/>
              </w:rPr>
            </w:pPr>
            <w:r w:rsidRPr="00977BAF">
              <w:rPr>
                <w:rFonts w:ascii="Traditional Arabic" w:hAnsi="Traditional Arabic" w:cs="Traditional Arabic" w:hint="cs"/>
                <w:sz w:val="27"/>
                <w:szCs w:val="27"/>
                <w:rtl/>
              </w:rPr>
              <w:t xml:space="preserve">2 </w:t>
            </w:r>
            <w:r w:rsidR="00FE3C31" w:rsidRPr="00977BAF">
              <w:rPr>
                <w:rFonts w:ascii="Traditional Arabic" w:hAnsi="Traditional Arabic" w:cs="Traditional Arabic" w:hint="cs"/>
                <w:sz w:val="27"/>
                <w:szCs w:val="27"/>
                <w:rtl/>
              </w:rPr>
              <w:t>-</w:t>
            </w:r>
            <w:r w:rsidRPr="00977BAF">
              <w:rPr>
                <w:rFonts w:ascii="Traditional Arabic" w:hAnsi="Traditional Arabic" w:cs="Traditional Arabic" w:hint="cs"/>
                <w:sz w:val="27"/>
                <w:szCs w:val="27"/>
                <w:rtl/>
              </w:rPr>
              <w:t xml:space="preserve"> 3 كغم (هيدروكسيد الصوديوم) أو 10 كغم أكسيد الكالسيوم أو 5 </w:t>
            </w:r>
            <w:r w:rsidR="00FE3C31" w:rsidRPr="00977BAF">
              <w:rPr>
                <w:rFonts w:ascii="Traditional Arabic" w:hAnsi="Traditional Arabic" w:cs="Traditional Arabic" w:hint="cs"/>
                <w:sz w:val="27"/>
                <w:szCs w:val="27"/>
                <w:rtl/>
              </w:rPr>
              <w:t>-</w:t>
            </w:r>
            <w:r w:rsidRPr="00977BAF">
              <w:rPr>
                <w:rFonts w:ascii="Traditional Arabic" w:hAnsi="Traditional Arabic" w:cs="Traditional Arabic" w:hint="cs"/>
                <w:sz w:val="27"/>
                <w:szCs w:val="27"/>
                <w:rtl/>
              </w:rPr>
              <w:t xml:space="preserve"> 10 كغم حجر جيري لكل طن من مدخلات النفايات</w:t>
            </w:r>
          </w:p>
        </w:tc>
      </w:tr>
      <w:tr w:rsidR="00335E4B" w:rsidRPr="00335E4B" w:rsidTr="00977BAF">
        <w:tc>
          <w:tcPr>
            <w:tcW w:w="3544" w:type="dxa"/>
            <w:shd w:val="clear" w:color="auto" w:fill="auto"/>
          </w:tcPr>
          <w:p w:rsidR="00335E4B" w:rsidRPr="00977BAF" w:rsidRDefault="00335E4B" w:rsidP="00AA60A1">
            <w:pPr>
              <w:spacing w:line="300" w:lineRule="exact"/>
              <w:rPr>
                <w:rFonts w:ascii="Traditional Arabic" w:hAnsi="Traditional Arabic" w:cs="Traditional Arabic"/>
                <w:sz w:val="27"/>
                <w:szCs w:val="27"/>
              </w:rPr>
            </w:pPr>
            <w:r w:rsidRPr="00977BAF">
              <w:rPr>
                <w:rFonts w:ascii="Traditional Arabic" w:hAnsi="Traditional Arabic" w:cs="Traditional Arabic" w:hint="cs"/>
                <w:sz w:val="27"/>
                <w:szCs w:val="27"/>
                <w:rtl/>
              </w:rPr>
              <w:t>كمية المخلفات:</w:t>
            </w:r>
          </w:p>
        </w:tc>
        <w:tc>
          <w:tcPr>
            <w:tcW w:w="5430" w:type="dxa"/>
            <w:shd w:val="clear" w:color="auto" w:fill="auto"/>
          </w:tcPr>
          <w:p w:rsidR="00335E4B" w:rsidRPr="00977BAF" w:rsidRDefault="00335E4B" w:rsidP="00AA60A1">
            <w:pPr>
              <w:spacing w:line="300" w:lineRule="exact"/>
              <w:rPr>
                <w:rFonts w:ascii="Traditional Arabic" w:hAnsi="Traditional Arabic" w:cs="Traditional Arabic"/>
                <w:sz w:val="27"/>
                <w:szCs w:val="27"/>
              </w:rPr>
            </w:pPr>
            <w:r w:rsidRPr="00977BAF">
              <w:rPr>
                <w:rFonts w:ascii="Traditional Arabic" w:hAnsi="Traditional Arabic" w:cs="Traditional Arabic" w:hint="cs"/>
                <w:sz w:val="27"/>
                <w:szCs w:val="27"/>
                <w:rtl/>
              </w:rPr>
              <w:t xml:space="preserve">10 </w:t>
            </w:r>
            <w:r w:rsidR="00FE3C31" w:rsidRPr="00977BAF">
              <w:rPr>
                <w:rFonts w:ascii="Traditional Arabic" w:hAnsi="Traditional Arabic" w:cs="Traditional Arabic" w:hint="cs"/>
                <w:sz w:val="27"/>
                <w:szCs w:val="27"/>
                <w:rtl/>
              </w:rPr>
              <w:t>-</w:t>
            </w:r>
            <w:r w:rsidRPr="00977BAF">
              <w:rPr>
                <w:rFonts w:ascii="Traditional Arabic" w:hAnsi="Traditional Arabic" w:cs="Traditional Arabic" w:hint="cs"/>
                <w:sz w:val="27"/>
                <w:szCs w:val="27"/>
                <w:rtl/>
              </w:rPr>
              <w:t xml:space="preserve"> 15 ل/طن من مدخلات النفايات</w:t>
            </w:r>
          </w:p>
        </w:tc>
      </w:tr>
      <w:tr w:rsidR="00335E4B" w:rsidRPr="00335E4B" w:rsidTr="00977BAF">
        <w:tc>
          <w:tcPr>
            <w:tcW w:w="3544" w:type="dxa"/>
            <w:shd w:val="clear" w:color="auto" w:fill="auto"/>
          </w:tcPr>
          <w:p w:rsidR="00335E4B" w:rsidRPr="00977BAF" w:rsidRDefault="00335E4B" w:rsidP="00AA60A1">
            <w:pPr>
              <w:spacing w:line="300" w:lineRule="exact"/>
              <w:rPr>
                <w:rFonts w:ascii="Traditional Arabic" w:hAnsi="Traditional Arabic" w:cs="Traditional Arabic"/>
                <w:sz w:val="27"/>
                <w:szCs w:val="27"/>
              </w:rPr>
            </w:pPr>
            <w:r w:rsidRPr="00977BAF">
              <w:rPr>
                <w:rFonts w:ascii="Traditional Arabic" w:hAnsi="Traditional Arabic" w:cs="Traditional Arabic" w:hint="cs"/>
                <w:sz w:val="27"/>
                <w:szCs w:val="27"/>
                <w:rtl/>
              </w:rPr>
              <w:t>استهلاك المياه:</w:t>
            </w:r>
          </w:p>
        </w:tc>
        <w:tc>
          <w:tcPr>
            <w:tcW w:w="5430" w:type="dxa"/>
            <w:shd w:val="clear" w:color="auto" w:fill="auto"/>
          </w:tcPr>
          <w:p w:rsidR="00335E4B" w:rsidRPr="00977BAF" w:rsidRDefault="00335E4B" w:rsidP="00AA60A1">
            <w:pPr>
              <w:spacing w:line="300" w:lineRule="exact"/>
              <w:rPr>
                <w:rFonts w:ascii="Traditional Arabic" w:hAnsi="Traditional Arabic" w:cs="Traditional Arabic"/>
                <w:sz w:val="27"/>
                <w:szCs w:val="27"/>
              </w:rPr>
            </w:pPr>
            <w:r w:rsidRPr="00977BAF">
              <w:rPr>
                <w:rFonts w:ascii="Traditional Arabic" w:hAnsi="Traditional Arabic" w:cs="Traditional Arabic" w:hint="cs"/>
                <w:sz w:val="27"/>
                <w:szCs w:val="27"/>
                <w:rtl/>
              </w:rPr>
              <w:t xml:space="preserve">100 </w:t>
            </w:r>
            <w:r w:rsidR="00FE3C31" w:rsidRPr="00977BAF">
              <w:rPr>
                <w:rFonts w:ascii="Traditional Arabic" w:hAnsi="Traditional Arabic" w:cs="Traditional Arabic" w:hint="cs"/>
                <w:sz w:val="27"/>
                <w:szCs w:val="27"/>
                <w:rtl/>
              </w:rPr>
              <w:t>-</w:t>
            </w:r>
            <w:r w:rsidRPr="00977BAF">
              <w:rPr>
                <w:rFonts w:ascii="Traditional Arabic" w:hAnsi="Traditional Arabic" w:cs="Traditional Arabic" w:hint="cs"/>
                <w:sz w:val="27"/>
                <w:szCs w:val="27"/>
                <w:rtl/>
              </w:rPr>
              <w:t xml:space="preserve"> 500 ل/طن من مدخلات النفايات</w:t>
            </w:r>
          </w:p>
        </w:tc>
      </w:tr>
      <w:tr w:rsidR="00335E4B" w:rsidRPr="00335E4B" w:rsidTr="00977BAF">
        <w:tc>
          <w:tcPr>
            <w:tcW w:w="3544" w:type="dxa"/>
            <w:shd w:val="clear" w:color="auto" w:fill="auto"/>
          </w:tcPr>
          <w:p w:rsidR="00335E4B" w:rsidRPr="00977BAF" w:rsidRDefault="00335E4B" w:rsidP="00AA60A1">
            <w:pPr>
              <w:spacing w:line="300" w:lineRule="exact"/>
              <w:rPr>
                <w:rFonts w:ascii="Traditional Arabic" w:hAnsi="Traditional Arabic" w:cs="Traditional Arabic"/>
                <w:sz w:val="27"/>
                <w:szCs w:val="27"/>
              </w:rPr>
            </w:pPr>
            <w:r w:rsidRPr="00977BAF">
              <w:rPr>
                <w:rFonts w:ascii="Traditional Arabic" w:hAnsi="Traditional Arabic" w:cs="Traditional Arabic" w:hint="cs"/>
                <w:sz w:val="27"/>
                <w:szCs w:val="27"/>
                <w:rtl/>
              </w:rPr>
              <w:t>الانبعاثات إلى المياه:</w:t>
            </w:r>
          </w:p>
        </w:tc>
        <w:tc>
          <w:tcPr>
            <w:tcW w:w="5430" w:type="dxa"/>
            <w:shd w:val="clear" w:color="auto" w:fill="auto"/>
          </w:tcPr>
          <w:p w:rsidR="00335E4B" w:rsidRPr="00977BAF" w:rsidRDefault="00335E4B" w:rsidP="00AA60A1">
            <w:pPr>
              <w:spacing w:line="300" w:lineRule="exact"/>
              <w:rPr>
                <w:rFonts w:ascii="Traditional Arabic" w:hAnsi="Traditional Arabic" w:cs="Traditional Arabic"/>
                <w:sz w:val="27"/>
                <w:szCs w:val="27"/>
              </w:rPr>
            </w:pPr>
            <w:r w:rsidRPr="00977BAF">
              <w:rPr>
                <w:rFonts w:ascii="Traditional Arabic" w:hAnsi="Traditional Arabic" w:cs="Traditional Arabic" w:hint="cs"/>
                <w:sz w:val="27"/>
                <w:szCs w:val="27"/>
                <w:rtl/>
              </w:rPr>
              <w:t xml:space="preserve">250 </w:t>
            </w:r>
            <w:r w:rsidR="00FE3C31" w:rsidRPr="00977BAF">
              <w:rPr>
                <w:rFonts w:ascii="Traditional Arabic" w:hAnsi="Traditional Arabic" w:cs="Traditional Arabic" w:hint="cs"/>
                <w:sz w:val="27"/>
                <w:szCs w:val="27"/>
                <w:rtl/>
              </w:rPr>
              <w:t>-</w:t>
            </w:r>
            <w:r w:rsidRPr="00977BAF">
              <w:rPr>
                <w:rFonts w:ascii="Traditional Arabic" w:hAnsi="Traditional Arabic" w:cs="Traditional Arabic" w:hint="cs"/>
                <w:sz w:val="27"/>
                <w:szCs w:val="27"/>
                <w:rtl/>
              </w:rPr>
              <w:t xml:space="preserve"> 500 ل/طن من مدخلات النفايات</w:t>
            </w:r>
          </w:p>
        </w:tc>
      </w:tr>
    </w:tbl>
    <w:p w:rsidR="00335E4B" w:rsidRPr="00335E4B" w:rsidRDefault="00335E4B" w:rsidP="00977BAF">
      <w:pPr>
        <w:spacing w:before="120" w:after="240" w:line="400" w:lineRule="exact"/>
        <w:jc w:val="both"/>
        <w:rPr>
          <w:rFonts w:ascii="Traditional Arabic" w:hAnsi="Traditional Arabic" w:cs="Traditional Arabic"/>
          <w:sz w:val="30"/>
          <w:szCs w:val="30"/>
        </w:rPr>
      </w:pPr>
      <w:r w:rsidRPr="00AA60A1">
        <w:rPr>
          <w:rFonts w:ascii="Traditional Arabic" w:hAnsi="Traditional Arabic" w:cs="Traditional Arabic" w:hint="cs"/>
          <w:i/>
          <w:iCs/>
          <w:sz w:val="26"/>
          <w:szCs w:val="26"/>
          <w:rtl/>
        </w:rPr>
        <w:t>المصدر</w:t>
      </w:r>
      <w:r w:rsidRPr="00AA60A1">
        <w:rPr>
          <w:rFonts w:ascii="Traditional Arabic" w:hAnsi="Traditional Arabic" w:cs="Traditional Arabic" w:hint="cs"/>
          <w:sz w:val="26"/>
          <w:szCs w:val="26"/>
          <w:rtl/>
        </w:rPr>
        <w:t>:</w:t>
      </w:r>
      <w:r w:rsidRPr="00335E4B">
        <w:rPr>
          <w:rFonts w:ascii="Traditional Arabic" w:hAnsi="Traditional Arabic" w:cs="Traditional Arabic" w:hint="cs"/>
          <w:sz w:val="30"/>
          <w:szCs w:val="30"/>
          <w:rtl/>
        </w:rPr>
        <w:t xml:space="preserve"> </w:t>
      </w:r>
      <w:r w:rsidRPr="00AA60A1">
        <w:rPr>
          <w:rFonts w:cs="Traditional Arabic"/>
          <w:sz w:val="18"/>
          <w:szCs w:val="18"/>
        </w:rPr>
        <w:t>WT BREF 2005</w:t>
      </w:r>
    </w:p>
    <w:p w:rsidR="00335E4B" w:rsidRPr="00335E4B" w:rsidRDefault="00335E4B" w:rsidP="00977BAF">
      <w:pPr>
        <w:spacing w:after="120" w:line="400" w:lineRule="exact"/>
        <w:ind w:left="-2"/>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وتتكون المياه العادمة الناجمة عن المعالجة في عملية الحرق بصورة رئيسية من استخدام تقنيات التنظيف الرطب. ويمكن تفادي إطلاقات المياه العادمة من خلال حقنها في غاز المداخن باستخدام جهاز ماص رشاش أو نظام مشابه. وعلى سبيل المثال في ألمانيا لا يوجد سوى عدد قليل من منشآت الحرق التي تحدث فيها إطلاقات من المياه العادمة الناتجة عن معالجة غاز المداخن.</w:t>
      </w:r>
    </w:p>
    <w:p w:rsidR="00335E4B" w:rsidRPr="00335E4B" w:rsidRDefault="00335E4B" w:rsidP="00977BAF">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 xml:space="preserve">وفي حال عدم حقن المياه العادمة في غاز المداخن يتعين معالجة النفايات السائلة لجهاز التنظيف في منشأة معالجة فيزيائية-كيميائية. ولإزالة الزئبق يتعين تطبيق ترسيب من مرحلتين. ويمكن، من خلال توليفة من الترسيب ذي المرحلتين والترشيح الفائق أو جهاز التبادل الأيوني الخاص بالزئبق، الوصول إلى تركيزات تقل عن 1 ميكروغرام/ل </w:t>
      </w:r>
      <w:r w:rsidRPr="00FE3C31">
        <w:rPr>
          <w:rFonts w:asciiTheme="majorBidi" w:hAnsiTheme="majorBidi" w:cstheme="majorBidi"/>
          <w:sz w:val="20"/>
          <w:szCs w:val="20"/>
          <w:rtl/>
        </w:rPr>
        <w:t>(</w:t>
      </w:r>
      <w:r w:rsidRPr="00FE3C31">
        <w:rPr>
          <w:rFonts w:asciiTheme="majorBidi" w:hAnsiTheme="majorBidi" w:cstheme="majorBidi"/>
          <w:sz w:val="20"/>
          <w:szCs w:val="20"/>
        </w:rPr>
        <w:t>Marson et al, 2013, Riethman, 2013, Owens et al, 2013, Scheidereit 2014</w:t>
      </w:r>
      <w:r w:rsidRPr="00FE3C31">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501B34">
      <w:pPr>
        <w:spacing w:after="120" w:line="400" w:lineRule="exact"/>
        <w:ind w:left="-2"/>
        <w:jc w:val="both"/>
        <w:rPr>
          <w:rFonts w:ascii="Traditional Arabic" w:hAnsi="Traditional Arabic" w:cs="Traditional Arabic"/>
          <w:sz w:val="30"/>
          <w:szCs w:val="30"/>
          <w:rtl/>
        </w:rPr>
      </w:pPr>
      <w:bookmarkStart w:id="2154" w:name="_Toc395685616"/>
      <w:r w:rsidRPr="00335E4B">
        <w:rPr>
          <w:rFonts w:ascii="Traditional Arabic" w:hAnsi="Traditional Arabic" w:cs="Traditional Arabic"/>
          <w:i/>
          <w:iCs/>
          <w:sz w:val="30"/>
          <w:szCs w:val="30"/>
          <w:rtl/>
        </w:rPr>
        <w:br w:type="page"/>
      </w:r>
      <w:r w:rsidRPr="00335E4B">
        <w:rPr>
          <w:rFonts w:ascii="Traditional Arabic" w:hAnsi="Traditional Arabic" w:cs="Traditional Arabic" w:hint="cs"/>
          <w:i/>
          <w:iCs/>
          <w:sz w:val="30"/>
          <w:szCs w:val="30"/>
          <w:rtl/>
        </w:rPr>
        <w:t>التكاليف</w:t>
      </w:r>
    </w:p>
    <w:p w:rsidR="00335E4B" w:rsidRPr="00335E4B" w:rsidRDefault="00335E4B" w:rsidP="00501B34">
      <w:pPr>
        <w:spacing w:after="120" w:line="400" w:lineRule="exact"/>
        <w:ind w:left="-2"/>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الجدول 2 يبين تكاليف التركيب والتشغيل</w:t>
      </w:r>
    </w:p>
    <w:p w:rsidR="00335E4B" w:rsidRPr="00335E4B" w:rsidRDefault="00335E4B" w:rsidP="00501B34">
      <w:pPr>
        <w:ind w:left="-2"/>
        <w:jc w:val="both"/>
        <w:rPr>
          <w:rFonts w:ascii="Traditional Arabic" w:hAnsi="Traditional Arabic" w:cs="Traditional Arabic"/>
          <w:b/>
          <w:bCs/>
          <w:sz w:val="30"/>
          <w:szCs w:val="30"/>
          <w:rtl/>
        </w:rPr>
      </w:pPr>
      <w:r w:rsidRPr="00335E4B">
        <w:rPr>
          <w:rFonts w:ascii="Traditional Arabic" w:hAnsi="Traditional Arabic" w:cs="Traditional Arabic" w:hint="cs"/>
          <w:b/>
          <w:bCs/>
          <w:sz w:val="30"/>
          <w:szCs w:val="30"/>
          <w:rtl/>
        </w:rPr>
        <w:t>الجدول 2</w:t>
      </w:r>
    </w:p>
    <w:p w:rsidR="00335E4B" w:rsidRPr="00335E4B" w:rsidRDefault="00335E4B" w:rsidP="00501B34">
      <w:pPr>
        <w:ind w:left="-2"/>
        <w:jc w:val="both"/>
        <w:rPr>
          <w:rFonts w:ascii="Traditional Arabic" w:hAnsi="Traditional Arabic" w:cs="Traditional Arabic"/>
          <w:b/>
          <w:bCs/>
          <w:sz w:val="30"/>
          <w:szCs w:val="30"/>
          <w:rtl/>
        </w:rPr>
      </w:pPr>
      <w:r w:rsidRPr="00335E4B">
        <w:rPr>
          <w:rFonts w:ascii="Traditional Arabic" w:hAnsi="Traditional Arabic" w:cs="Traditional Arabic" w:hint="cs"/>
          <w:sz w:val="30"/>
          <w:szCs w:val="30"/>
          <w:rtl/>
        </w:rPr>
        <w:t>تكاليف التركيب والتشغيل</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643"/>
        <w:gridCol w:w="2580"/>
      </w:tblGrid>
      <w:tr w:rsidR="00335E4B" w:rsidRPr="00335E4B" w:rsidTr="00501B34">
        <w:tc>
          <w:tcPr>
            <w:tcW w:w="3828" w:type="dxa"/>
            <w:shd w:val="clear" w:color="auto" w:fill="auto"/>
          </w:tcPr>
          <w:bookmarkEnd w:id="2154"/>
          <w:p w:rsidR="00335E4B" w:rsidRPr="00501B34" w:rsidRDefault="00335E4B" w:rsidP="00501B34">
            <w:pPr>
              <w:spacing w:line="320" w:lineRule="exact"/>
              <w:rPr>
                <w:rFonts w:ascii="Traditional Arabic" w:hAnsi="Traditional Arabic" w:cs="Traditional Arabic"/>
                <w:sz w:val="27"/>
                <w:szCs w:val="27"/>
              </w:rPr>
            </w:pPr>
            <w:r w:rsidRPr="00501B34">
              <w:rPr>
                <w:rFonts w:ascii="Traditional Arabic" w:hAnsi="Traditional Arabic" w:cs="Traditional Arabic" w:hint="cs"/>
                <w:sz w:val="27"/>
                <w:szCs w:val="27"/>
                <w:rtl/>
              </w:rPr>
              <w:t>عنصر</w:t>
            </w:r>
            <w:r w:rsidRPr="00501B34">
              <w:rPr>
                <w:rFonts w:ascii="Traditional Arabic" w:hAnsi="Traditional Arabic" w:cs="Traditional Arabic"/>
                <w:sz w:val="27"/>
                <w:szCs w:val="27"/>
                <w:rtl/>
              </w:rPr>
              <w:t xml:space="preserve"> </w:t>
            </w:r>
            <w:r w:rsidRPr="00501B34">
              <w:rPr>
                <w:rFonts w:ascii="Traditional Arabic" w:hAnsi="Traditional Arabic" w:cs="Traditional Arabic" w:hint="cs"/>
                <w:sz w:val="27"/>
                <w:szCs w:val="27"/>
                <w:rtl/>
              </w:rPr>
              <w:t>معالجة غاز المداخن</w:t>
            </w:r>
          </w:p>
        </w:tc>
        <w:tc>
          <w:tcPr>
            <w:tcW w:w="2643" w:type="dxa"/>
            <w:shd w:val="clear" w:color="auto" w:fill="auto"/>
          </w:tcPr>
          <w:p w:rsidR="00335E4B" w:rsidRPr="00501B34" w:rsidRDefault="00335E4B" w:rsidP="00501B34">
            <w:pPr>
              <w:spacing w:line="320" w:lineRule="exact"/>
              <w:rPr>
                <w:rFonts w:ascii="Traditional Arabic" w:hAnsi="Traditional Arabic" w:cs="Traditional Arabic"/>
                <w:sz w:val="27"/>
                <w:szCs w:val="27"/>
              </w:rPr>
            </w:pPr>
            <w:r w:rsidRPr="00501B34">
              <w:rPr>
                <w:rFonts w:ascii="Traditional Arabic" w:hAnsi="Traditional Arabic" w:cs="Traditional Arabic" w:hint="cs"/>
                <w:sz w:val="27"/>
                <w:szCs w:val="27"/>
                <w:rtl/>
              </w:rPr>
              <w:t>تكاليف الاستثمار التقديرية</w:t>
            </w:r>
          </w:p>
        </w:tc>
        <w:tc>
          <w:tcPr>
            <w:tcW w:w="2580" w:type="dxa"/>
            <w:shd w:val="clear" w:color="auto" w:fill="auto"/>
          </w:tcPr>
          <w:p w:rsidR="00335E4B" w:rsidRPr="00501B34" w:rsidRDefault="00335E4B" w:rsidP="00501B34">
            <w:pPr>
              <w:spacing w:line="320" w:lineRule="exact"/>
              <w:rPr>
                <w:rFonts w:ascii="Traditional Arabic" w:hAnsi="Traditional Arabic" w:cs="Traditional Arabic"/>
                <w:sz w:val="27"/>
                <w:szCs w:val="27"/>
              </w:rPr>
            </w:pPr>
            <w:r w:rsidRPr="00501B34">
              <w:rPr>
                <w:rFonts w:ascii="Traditional Arabic" w:hAnsi="Traditional Arabic" w:cs="Traditional Arabic" w:hint="cs"/>
                <w:sz w:val="27"/>
                <w:szCs w:val="27"/>
                <w:rtl/>
              </w:rPr>
              <w:t>التعليقات</w:t>
            </w:r>
          </w:p>
        </w:tc>
      </w:tr>
      <w:tr w:rsidR="00335E4B" w:rsidRPr="00335E4B" w:rsidTr="00501B34">
        <w:tc>
          <w:tcPr>
            <w:tcW w:w="3828" w:type="dxa"/>
            <w:shd w:val="clear" w:color="auto" w:fill="auto"/>
          </w:tcPr>
          <w:p w:rsidR="00335E4B" w:rsidRPr="00501B34" w:rsidRDefault="00335E4B" w:rsidP="00501B34">
            <w:pPr>
              <w:spacing w:line="320" w:lineRule="exact"/>
              <w:rPr>
                <w:rFonts w:ascii="Traditional Arabic" w:hAnsi="Traditional Arabic" w:cs="Traditional Arabic"/>
                <w:sz w:val="27"/>
                <w:szCs w:val="27"/>
              </w:rPr>
            </w:pPr>
            <w:r w:rsidRPr="00501B34">
              <w:rPr>
                <w:rFonts w:ascii="Traditional Arabic" w:hAnsi="Traditional Arabic" w:cs="Traditional Arabic" w:hint="cs"/>
                <w:sz w:val="27"/>
                <w:szCs w:val="27"/>
                <w:rtl/>
              </w:rPr>
              <w:t>جهاز تنظيف رطب من مرحلتين</w:t>
            </w:r>
          </w:p>
        </w:tc>
        <w:tc>
          <w:tcPr>
            <w:tcW w:w="2643" w:type="dxa"/>
            <w:shd w:val="clear" w:color="auto" w:fill="auto"/>
          </w:tcPr>
          <w:p w:rsidR="00335E4B" w:rsidRPr="00501B34" w:rsidRDefault="00335E4B" w:rsidP="00501B34">
            <w:pPr>
              <w:spacing w:line="320" w:lineRule="exact"/>
              <w:rPr>
                <w:rFonts w:ascii="Traditional Arabic" w:hAnsi="Traditional Arabic" w:cs="Traditional Arabic"/>
                <w:sz w:val="27"/>
                <w:szCs w:val="27"/>
              </w:rPr>
            </w:pPr>
            <w:r w:rsidRPr="00501B34">
              <w:rPr>
                <w:rFonts w:ascii="Traditional Arabic" w:hAnsi="Traditional Arabic" w:cs="Traditional Arabic" w:hint="cs"/>
                <w:sz w:val="27"/>
                <w:szCs w:val="27"/>
                <w:rtl/>
              </w:rPr>
              <w:t>5 مليون يورو</w:t>
            </w:r>
          </w:p>
        </w:tc>
        <w:tc>
          <w:tcPr>
            <w:tcW w:w="2580" w:type="dxa"/>
            <w:shd w:val="clear" w:color="auto" w:fill="auto"/>
          </w:tcPr>
          <w:p w:rsidR="00335E4B" w:rsidRPr="00501B34" w:rsidRDefault="00335E4B" w:rsidP="00501B34">
            <w:pPr>
              <w:spacing w:line="320" w:lineRule="exact"/>
              <w:rPr>
                <w:rFonts w:ascii="Traditional Arabic" w:hAnsi="Traditional Arabic" w:cs="Traditional Arabic"/>
                <w:sz w:val="27"/>
                <w:szCs w:val="27"/>
              </w:rPr>
            </w:pPr>
            <w:r w:rsidRPr="00501B34">
              <w:rPr>
                <w:rFonts w:ascii="Traditional Arabic" w:hAnsi="Traditional Arabic" w:cs="Traditional Arabic" w:hint="cs"/>
                <w:sz w:val="27"/>
                <w:szCs w:val="27"/>
                <w:rtl/>
              </w:rPr>
              <w:t>يشمل معالجة المياه العادمة</w:t>
            </w:r>
          </w:p>
        </w:tc>
      </w:tr>
      <w:tr w:rsidR="00335E4B" w:rsidRPr="00335E4B" w:rsidTr="00501B34">
        <w:tc>
          <w:tcPr>
            <w:tcW w:w="3828" w:type="dxa"/>
            <w:shd w:val="clear" w:color="auto" w:fill="auto"/>
          </w:tcPr>
          <w:p w:rsidR="00335E4B" w:rsidRPr="00501B34" w:rsidRDefault="00335E4B" w:rsidP="00501B34">
            <w:pPr>
              <w:spacing w:line="320" w:lineRule="exact"/>
              <w:rPr>
                <w:rFonts w:ascii="Traditional Arabic" w:hAnsi="Traditional Arabic" w:cs="Traditional Arabic"/>
                <w:sz w:val="27"/>
                <w:szCs w:val="27"/>
              </w:rPr>
            </w:pPr>
            <w:r w:rsidRPr="00501B34">
              <w:rPr>
                <w:rFonts w:ascii="Traditional Arabic" w:hAnsi="Traditional Arabic" w:cs="Traditional Arabic" w:hint="cs"/>
                <w:sz w:val="27"/>
                <w:szCs w:val="27"/>
                <w:rtl/>
              </w:rPr>
              <w:t>جهاز تنظيف رطب من ثلاث مراحل</w:t>
            </w:r>
          </w:p>
        </w:tc>
        <w:tc>
          <w:tcPr>
            <w:tcW w:w="2643" w:type="dxa"/>
            <w:shd w:val="clear" w:color="auto" w:fill="auto"/>
          </w:tcPr>
          <w:p w:rsidR="00335E4B" w:rsidRPr="00501B34" w:rsidRDefault="00335E4B" w:rsidP="00501B34">
            <w:pPr>
              <w:spacing w:line="320" w:lineRule="exact"/>
              <w:rPr>
                <w:rFonts w:ascii="Traditional Arabic" w:hAnsi="Traditional Arabic" w:cs="Traditional Arabic"/>
                <w:sz w:val="27"/>
                <w:szCs w:val="27"/>
              </w:rPr>
            </w:pPr>
            <w:r w:rsidRPr="00501B34">
              <w:rPr>
                <w:rFonts w:ascii="Traditional Arabic" w:hAnsi="Traditional Arabic" w:cs="Traditional Arabic" w:hint="cs"/>
                <w:sz w:val="27"/>
                <w:szCs w:val="27"/>
                <w:rtl/>
              </w:rPr>
              <w:t>7 مليون يورو</w:t>
            </w:r>
          </w:p>
        </w:tc>
        <w:tc>
          <w:tcPr>
            <w:tcW w:w="2580" w:type="dxa"/>
            <w:shd w:val="clear" w:color="auto" w:fill="auto"/>
          </w:tcPr>
          <w:p w:rsidR="00335E4B" w:rsidRPr="00501B34" w:rsidRDefault="00335E4B" w:rsidP="00501B34">
            <w:pPr>
              <w:spacing w:line="320" w:lineRule="exact"/>
              <w:rPr>
                <w:rFonts w:ascii="Traditional Arabic" w:hAnsi="Traditional Arabic" w:cs="Traditional Arabic"/>
                <w:sz w:val="27"/>
                <w:szCs w:val="27"/>
              </w:rPr>
            </w:pPr>
            <w:r w:rsidRPr="00501B34">
              <w:rPr>
                <w:rFonts w:ascii="Traditional Arabic" w:hAnsi="Traditional Arabic" w:cs="Traditional Arabic" w:hint="cs"/>
                <w:sz w:val="27"/>
                <w:szCs w:val="27"/>
                <w:rtl/>
              </w:rPr>
              <w:t>يشمل معالجة المياه العادمة</w:t>
            </w:r>
          </w:p>
        </w:tc>
      </w:tr>
      <w:tr w:rsidR="00335E4B" w:rsidRPr="00335E4B" w:rsidTr="00501B34">
        <w:tc>
          <w:tcPr>
            <w:tcW w:w="3828" w:type="dxa"/>
            <w:shd w:val="clear" w:color="auto" w:fill="auto"/>
          </w:tcPr>
          <w:p w:rsidR="00335E4B" w:rsidRPr="00501B34" w:rsidRDefault="00335E4B" w:rsidP="00501B34">
            <w:pPr>
              <w:spacing w:line="320" w:lineRule="exact"/>
              <w:rPr>
                <w:rFonts w:ascii="Traditional Arabic" w:hAnsi="Traditional Arabic" w:cs="Traditional Arabic"/>
                <w:sz w:val="27"/>
                <w:szCs w:val="27"/>
              </w:rPr>
            </w:pPr>
            <w:r w:rsidRPr="00501B34">
              <w:rPr>
                <w:rFonts w:ascii="Traditional Arabic" w:hAnsi="Traditional Arabic" w:cs="Traditional Arabic" w:hint="cs"/>
                <w:sz w:val="27"/>
                <w:szCs w:val="27"/>
                <w:rtl/>
              </w:rPr>
              <w:t>منشأة تبخير خارجية لنفايات الشطف السائلة</w:t>
            </w:r>
          </w:p>
        </w:tc>
        <w:tc>
          <w:tcPr>
            <w:tcW w:w="2643" w:type="dxa"/>
            <w:shd w:val="clear" w:color="auto" w:fill="auto"/>
          </w:tcPr>
          <w:p w:rsidR="00335E4B" w:rsidRPr="00501B34" w:rsidRDefault="00335E4B" w:rsidP="00501B34">
            <w:pPr>
              <w:spacing w:line="320" w:lineRule="exact"/>
              <w:rPr>
                <w:rFonts w:ascii="Traditional Arabic" w:hAnsi="Traditional Arabic" w:cs="Traditional Arabic"/>
                <w:sz w:val="27"/>
                <w:szCs w:val="27"/>
              </w:rPr>
            </w:pPr>
            <w:r w:rsidRPr="00501B34">
              <w:rPr>
                <w:rFonts w:ascii="Traditional Arabic" w:hAnsi="Traditional Arabic" w:cs="Traditional Arabic" w:hint="cs"/>
                <w:sz w:val="27"/>
                <w:szCs w:val="27"/>
                <w:rtl/>
              </w:rPr>
              <w:t>1,5 مليون يورو - 2 مليون يورو</w:t>
            </w:r>
          </w:p>
        </w:tc>
        <w:tc>
          <w:tcPr>
            <w:tcW w:w="2580" w:type="dxa"/>
            <w:shd w:val="clear" w:color="auto" w:fill="auto"/>
          </w:tcPr>
          <w:p w:rsidR="00335E4B" w:rsidRPr="00501B34" w:rsidRDefault="00335E4B" w:rsidP="00501B34">
            <w:pPr>
              <w:spacing w:line="320" w:lineRule="exact"/>
              <w:rPr>
                <w:rFonts w:ascii="Traditional Arabic" w:hAnsi="Traditional Arabic" w:cs="Traditional Arabic"/>
                <w:sz w:val="27"/>
                <w:szCs w:val="27"/>
              </w:rPr>
            </w:pPr>
          </w:p>
        </w:tc>
      </w:tr>
      <w:tr w:rsidR="00335E4B" w:rsidRPr="00335E4B" w:rsidTr="00501B34">
        <w:tc>
          <w:tcPr>
            <w:tcW w:w="3828" w:type="dxa"/>
            <w:shd w:val="clear" w:color="auto" w:fill="auto"/>
          </w:tcPr>
          <w:p w:rsidR="00335E4B" w:rsidRPr="00501B34" w:rsidRDefault="00335E4B" w:rsidP="00501B34">
            <w:pPr>
              <w:spacing w:line="320" w:lineRule="exact"/>
              <w:rPr>
                <w:rFonts w:ascii="Traditional Arabic" w:hAnsi="Traditional Arabic" w:cs="Traditional Arabic"/>
                <w:sz w:val="27"/>
                <w:szCs w:val="27"/>
              </w:rPr>
            </w:pPr>
            <w:r w:rsidRPr="00501B34">
              <w:rPr>
                <w:rFonts w:ascii="Traditional Arabic" w:hAnsi="Traditional Arabic" w:cs="Traditional Arabic" w:hint="cs"/>
                <w:sz w:val="27"/>
                <w:szCs w:val="27"/>
                <w:rtl/>
              </w:rPr>
              <w:t>جهاز ماص رشاش للتبخير الداخلي للنفايات السائلة</w:t>
            </w:r>
          </w:p>
        </w:tc>
        <w:tc>
          <w:tcPr>
            <w:tcW w:w="2643" w:type="dxa"/>
            <w:shd w:val="clear" w:color="auto" w:fill="auto"/>
          </w:tcPr>
          <w:p w:rsidR="00335E4B" w:rsidRPr="00501B34" w:rsidRDefault="00335E4B" w:rsidP="00501B34">
            <w:pPr>
              <w:spacing w:line="320" w:lineRule="exact"/>
              <w:rPr>
                <w:rFonts w:ascii="Traditional Arabic" w:hAnsi="Traditional Arabic" w:cs="Traditional Arabic"/>
                <w:sz w:val="27"/>
                <w:szCs w:val="27"/>
              </w:rPr>
            </w:pPr>
            <w:r w:rsidRPr="00501B34">
              <w:rPr>
                <w:rFonts w:ascii="Traditional Arabic" w:hAnsi="Traditional Arabic" w:cs="Traditional Arabic" w:hint="cs"/>
                <w:sz w:val="27"/>
                <w:szCs w:val="27"/>
                <w:rtl/>
              </w:rPr>
              <w:t>1,5 مليون يورو</w:t>
            </w:r>
          </w:p>
        </w:tc>
        <w:tc>
          <w:tcPr>
            <w:tcW w:w="2580" w:type="dxa"/>
            <w:shd w:val="clear" w:color="auto" w:fill="auto"/>
          </w:tcPr>
          <w:p w:rsidR="00335E4B" w:rsidRPr="00501B34" w:rsidRDefault="00335E4B" w:rsidP="00501B34">
            <w:pPr>
              <w:spacing w:line="320" w:lineRule="exact"/>
              <w:rPr>
                <w:rFonts w:ascii="Traditional Arabic" w:hAnsi="Traditional Arabic" w:cs="Traditional Arabic"/>
                <w:sz w:val="27"/>
                <w:szCs w:val="27"/>
              </w:rPr>
            </w:pPr>
            <w:r w:rsidRPr="00501B34">
              <w:rPr>
                <w:rFonts w:ascii="Traditional Arabic" w:hAnsi="Traditional Arabic" w:cs="Traditional Arabic" w:hint="cs"/>
                <w:sz w:val="27"/>
                <w:szCs w:val="27"/>
                <w:rtl/>
              </w:rPr>
              <w:t>يعتقد أن تقديرات التكاليف منخفضة</w:t>
            </w:r>
          </w:p>
        </w:tc>
      </w:tr>
    </w:tbl>
    <w:p w:rsidR="00335E4B" w:rsidRPr="00335E4B" w:rsidRDefault="00335E4B" w:rsidP="00501B34">
      <w:pPr>
        <w:ind w:left="-2"/>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ab/>
      </w:r>
      <w:r w:rsidRPr="00335E4B">
        <w:rPr>
          <w:rFonts w:ascii="Traditional Arabic" w:hAnsi="Traditional Arabic" w:cs="Traditional Arabic" w:hint="cs"/>
          <w:i/>
          <w:iCs/>
          <w:sz w:val="30"/>
          <w:szCs w:val="30"/>
          <w:rtl/>
        </w:rPr>
        <w:t>المصدر</w:t>
      </w:r>
      <w:r w:rsidRPr="00335E4B">
        <w:rPr>
          <w:rFonts w:ascii="Traditional Arabic" w:hAnsi="Traditional Arabic" w:cs="Traditional Arabic" w:hint="cs"/>
          <w:sz w:val="30"/>
          <w:szCs w:val="30"/>
          <w:rtl/>
        </w:rPr>
        <w:t xml:space="preserve">: </w:t>
      </w:r>
      <w:r w:rsidRPr="00335E4B">
        <w:rPr>
          <w:rFonts w:cs="Traditional Arabic"/>
          <w:sz w:val="20"/>
          <w:szCs w:val="22"/>
        </w:rPr>
        <w:t>EC, 2006, Waste Incineration</w:t>
      </w:r>
    </w:p>
    <w:p w:rsidR="00335E4B" w:rsidRPr="00335E4B" w:rsidRDefault="00335E4B" w:rsidP="00501B34">
      <w:pPr>
        <w:spacing w:after="120" w:line="400" w:lineRule="exact"/>
        <w:ind w:left="-2"/>
        <w:jc w:val="both"/>
        <w:rPr>
          <w:rFonts w:ascii="Traditional Arabic" w:hAnsi="Traditional Arabic" w:cs="Traditional Arabic"/>
          <w:i/>
          <w:iCs/>
          <w:sz w:val="30"/>
          <w:szCs w:val="30"/>
          <w:rtl/>
        </w:rPr>
      </w:pPr>
      <w:r w:rsidRPr="00335E4B">
        <w:rPr>
          <w:rFonts w:ascii="Traditional Arabic" w:hAnsi="Traditional Arabic" w:cs="Traditional Arabic" w:hint="cs"/>
          <w:i/>
          <w:iCs/>
          <w:sz w:val="30"/>
          <w:szCs w:val="30"/>
          <w:rtl/>
        </w:rPr>
        <w:t>معلومات من جهة مصنعة لمنشآت الحرق لعام 2014</w:t>
      </w:r>
    </w:p>
    <w:p w:rsidR="00335E4B" w:rsidRPr="00335E4B" w:rsidRDefault="00335E4B" w:rsidP="0011347E">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منشأة تعالج 000</w:t>
      </w:r>
      <w:r w:rsidR="0011347E">
        <w:rPr>
          <w:rFonts w:ascii="Traditional Arabic" w:hAnsi="Traditional Arabic" w:cs="Traditional Arabic" w:hint="eastAsia"/>
          <w:sz w:val="30"/>
          <w:szCs w:val="30"/>
          <w:rtl/>
        </w:rPr>
        <w:t> </w:t>
      </w:r>
      <w:r w:rsidRPr="00335E4B">
        <w:rPr>
          <w:rFonts w:ascii="Traditional Arabic" w:hAnsi="Traditional Arabic" w:cs="Traditional Arabic" w:hint="cs"/>
          <w:sz w:val="30"/>
          <w:szCs w:val="30"/>
          <w:rtl/>
        </w:rPr>
        <w:t xml:space="preserve">200 طن بخطين للحرق ومعالجة غاز المداخن: مرشح نسيجي + جهاز تنظيف ذي مرحلتين: 16 مليون يورو </w:t>
      </w:r>
      <w:r w:rsidR="0011347E">
        <w:rPr>
          <w:rFonts w:ascii="Traditional Arabic" w:hAnsi="Traditional Arabic" w:cs="Traditional Arabic" w:hint="cs"/>
          <w:sz w:val="30"/>
          <w:szCs w:val="30"/>
          <w:rtl/>
        </w:rPr>
        <w:t>-</w:t>
      </w:r>
      <w:r w:rsidRPr="00335E4B">
        <w:rPr>
          <w:rFonts w:ascii="Traditional Arabic" w:hAnsi="Traditional Arabic" w:cs="Traditional Arabic" w:hint="cs"/>
          <w:sz w:val="30"/>
          <w:szCs w:val="30"/>
          <w:rtl/>
        </w:rPr>
        <w:t xml:space="preserve"> 18 مليون يورو</w:t>
      </w:r>
    </w:p>
    <w:p w:rsidR="00335E4B" w:rsidRPr="00335E4B" w:rsidRDefault="00335E4B" w:rsidP="00335E4B">
      <w:pPr>
        <w:spacing w:after="120" w:line="400" w:lineRule="exact"/>
        <w:jc w:val="both"/>
        <w:rPr>
          <w:rFonts w:ascii="Traditional Arabic" w:hAnsi="Traditional Arabic" w:cs="Traditional Arabic"/>
          <w:i/>
          <w:iCs/>
          <w:sz w:val="30"/>
          <w:szCs w:val="30"/>
          <w:rtl/>
        </w:rPr>
      </w:pPr>
      <w:r w:rsidRPr="00335E4B">
        <w:rPr>
          <w:rFonts w:ascii="Traditional Arabic" w:hAnsi="Traditional Arabic" w:cs="Traditional Arabic" w:hint="cs"/>
          <w:i/>
          <w:iCs/>
          <w:sz w:val="30"/>
          <w:szCs w:val="30"/>
          <w:rtl/>
        </w:rPr>
        <w:t>المنافع المشتركة لاستخدام المواد المشربة بالكربون</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 xml:space="preserve">من أجل فصل الغازات الحمضية والغبار والمكونات المرتبطة بالغبار يمكن أن يحقق استخدام المواد المشربة بالكربون، أو الكربون المنشط، أو فحم الكوك في مواد التعبئة لجهاز التنظيف تخفيضاً بنسبة 70 في المائة لكمية الديوكسينات الثنائية البنزين المتعددة الكلور والفيورانات الثنائية البنزين المتعددة الكلور في جهاز التنظيف بيد أن ذلك قد لا يظهر في الإطلاقات الكلية </w:t>
      </w:r>
      <w:r w:rsidRPr="0011347E">
        <w:rPr>
          <w:rFonts w:asciiTheme="majorBidi" w:hAnsiTheme="majorBidi" w:cstheme="majorBidi"/>
          <w:sz w:val="20"/>
          <w:szCs w:val="20"/>
          <w:rtl/>
        </w:rPr>
        <w:t>(</w:t>
      </w:r>
      <w:r w:rsidRPr="0011347E">
        <w:rPr>
          <w:rFonts w:asciiTheme="majorBidi" w:hAnsiTheme="majorBidi" w:cstheme="majorBidi"/>
          <w:sz w:val="20"/>
          <w:szCs w:val="20"/>
        </w:rPr>
        <w:t>European Commission, 2006</w:t>
      </w:r>
      <w:r w:rsidRPr="0011347E">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11347E">
      <w:pPr>
        <w:keepNext/>
        <w:spacing w:before="120" w:after="120" w:line="400" w:lineRule="exact"/>
        <w:ind w:left="849" w:hanging="849"/>
        <w:jc w:val="both"/>
        <w:outlineLvl w:val="3"/>
        <w:rPr>
          <w:rFonts w:cs="Traditional Arabic"/>
          <w:b/>
          <w:bCs/>
          <w:sz w:val="30"/>
          <w:szCs w:val="30"/>
          <w:rtl/>
        </w:rPr>
      </w:pPr>
      <w:r w:rsidRPr="00335E4B">
        <w:rPr>
          <w:rFonts w:cs="Traditional Arabic" w:hint="cs"/>
          <w:b/>
          <w:bCs/>
          <w:sz w:val="30"/>
          <w:szCs w:val="30"/>
          <w:rtl/>
        </w:rPr>
        <w:t>3-3</w:t>
      </w:r>
      <w:r w:rsidRPr="00335E4B">
        <w:rPr>
          <w:rFonts w:cs="Traditional Arabic" w:hint="cs"/>
          <w:b/>
          <w:bCs/>
          <w:sz w:val="30"/>
          <w:szCs w:val="30"/>
          <w:rtl/>
        </w:rPr>
        <w:tab/>
        <w:t>حقن الكربون المنشط</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ورد في الفصل التمهيدي لهذه الوثيقة وصف عام لاستخدام الكربون المنشط لتحسين إزالة الزئبق. وتنطوي تقنية الكربون المنشط على حقن هذا الكربون أو فحم الكوك في موقد الفرن قبل الدخول إلى مرشح كيسي (انظر الفرع 3-1 أعلاه) أو جهاز آخر لإزالة الغبار. ونتيجةً لذلك يُمتز معظم الزئبق في طبقة المرشح، وبناءً على ذلك تُغلف المرشحات النسيجية عادةً مسبقاً بكواشف قبل بدء التشغيل لضمان تحقيق أداء يفضي إلى خفض كبير بالفعل عند البدء في تلقيم النفايات.</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ومن المهم وجود مزيج جيد من المواد الممتزة مع غاز المداخن ومدة تلامس كافية بهدف تحقيق ترسيب ناجح. ويشكل تحديد جرعة المواد الممتزة القائمة على الكربون في غاز المداخن قبل دخول المرشح النسيجي في المراحل التالية، أي بعد جهاز التنظيف، خطوةً أخيرةً راسخة في عملية تنظيف الغاز.</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إن دراسة المزيج المكون لغاز المداخن مهمة للغاية في تقييم كفاءة الكربون المنشط في ضبط انبعاثات الزئبق. وبصورة عامة يعتبر ضبط مركبات الزئبق المؤكسدة أكثر سهولة من ضبط الزئبق النقي. ويكتسب المحتوى الهالوجيني للنفايات أهميةً في تحديد حجم الأكسدة التي تحدث. وكثيراً ما يوجد المحتوى الهالوجيني العالي في غازات المداخن، وبالتالي النسب العالية من الزئبق المؤكسد، في أفران حرق النفايات البلدية. ويمكن أن تصل كفاءة الإزالة عند حقن الكربون المنشط مع استخدام المرشحات النسيجية إلى 95 في المائة.</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 xml:space="preserve">وقد اتضح أن الحقن المنفصل للكربون المنشط، المتحكم فيه من خلال الرصد المستمر للزئبق في الغاز الأولي، فعال للغاية في عملية حرق النفايات. وبهذه الطريقة يمكن تكييف الكمية المضافة من الكربون المنشط مع تركيزات الزئبق في الغاز الأولي. إضافةً إلى ذلك فإنه في حالة حدوث زيادات حادة في تركيزات الزئبق في الغاز الأولي يمكن حقن كربون منشط عالي الفعالية مشرَّب بنسبة قدرها 25 في المائة تقريباً من الكبريت. وتجمع هذه بين الطريقة التخفيض الفعال للزئبق وتخفيض تكاليف التشغيل الناتج عن خفض استخدام المواد الممتزة. وتجدر الإشارة إلى أن تكاليف الاستثمار في جهاز لقياس غازات الزئبق يمكن أن تكون أقل كثيراً مقارنةً بتكاليف جهاز الغازات النظيفة نظراً لعدم ضرورة أجهزة القياس المختَبَرة من حيث الملاءمة </w:t>
      </w:r>
      <w:r w:rsidRPr="0011347E">
        <w:rPr>
          <w:rFonts w:asciiTheme="majorBidi" w:hAnsiTheme="majorBidi" w:cstheme="majorBidi"/>
          <w:sz w:val="20"/>
          <w:szCs w:val="20"/>
          <w:rtl/>
        </w:rPr>
        <w:t>(</w:t>
      </w:r>
      <w:r w:rsidRPr="0011347E">
        <w:rPr>
          <w:rFonts w:asciiTheme="majorBidi" w:hAnsiTheme="majorBidi" w:cstheme="majorBidi"/>
          <w:sz w:val="20"/>
          <w:szCs w:val="20"/>
          <w:lang w:val="en-GB"/>
        </w:rPr>
        <w:t>Esser-Schmittmann 2012</w:t>
      </w:r>
      <w:r w:rsidRPr="0011347E">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وعلى وجه الخصوص فإنه في الحالات التي تنطوي على تركيزات عالية نسبياً من الزئبق النقي في غاز المداخن، مثلاً في منشآت حرق حمأة مياه المجارير، لا يمكن تحقيق كفاءات حرق مرضية إلا عند استخدام كربون منشط مشرب بحامض الكبريتيك أو بهالوجين (مثل البروم).</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 xml:space="preserve">وأظهرت الاختبارات أن معدل خفض الزئبق يزداد مع انخفاض درجة حرارة غاز المداخن وأن كفاءة الخفض تكون أعلى بكثير عندما تكون تركيزات الزئبق عالية في الغاز الأولي </w:t>
      </w:r>
      <w:r w:rsidRPr="0011347E">
        <w:rPr>
          <w:rFonts w:asciiTheme="majorBidi" w:hAnsiTheme="majorBidi" w:cstheme="majorBidi"/>
          <w:sz w:val="20"/>
          <w:szCs w:val="20"/>
          <w:rtl/>
        </w:rPr>
        <w:t>(</w:t>
      </w:r>
      <w:r w:rsidRPr="0011347E">
        <w:rPr>
          <w:rFonts w:asciiTheme="majorBidi" w:hAnsiTheme="majorBidi" w:cstheme="majorBidi"/>
          <w:sz w:val="20"/>
          <w:szCs w:val="20"/>
          <w:lang w:val="en-GB"/>
        </w:rPr>
        <w:t>Takaoka et al. 2002</w:t>
      </w:r>
      <w:r w:rsidRPr="0011347E">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 xml:space="preserve">وتزداد كفاءة الإزالة للممتزات الكربونية عند استخدام مرشح نسيجي بدلاً من جهاز ترسيب كهروستاتيكي، وذلك بسبب فترة المكوث الأطول التي تسمح بتلامس أكبر بين المادة الممتزة وغاز المدخنة المحمل بالزئبق. ونتيجةً لذلك لا تكون هناك حاجة إلا لثلث كمية المادة الممتزة لاحتجاز نفس الكمية من الزئبق مقارنةً بجهاز الترسيب الكهروستاتيكي </w:t>
      </w:r>
      <w:r w:rsidRPr="0011347E">
        <w:rPr>
          <w:rFonts w:asciiTheme="majorBidi" w:hAnsiTheme="majorBidi" w:cstheme="majorBidi"/>
          <w:sz w:val="20"/>
          <w:szCs w:val="20"/>
          <w:rtl/>
        </w:rPr>
        <w:t>(</w:t>
      </w:r>
      <w:r w:rsidRPr="0011347E">
        <w:rPr>
          <w:rFonts w:asciiTheme="majorBidi" w:hAnsiTheme="majorBidi" w:cstheme="majorBidi"/>
          <w:sz w:val="20"/>
          <w:szCs w:val="20"/>
          <w:lang w:val="en-GB"/>
        </w:rPr>
        <w:t>LCP BREF Draft 2013</w:t>
      </w:r>
      <w:r w:rsidRPr="0011347E">
        <w:rPr>
          <w:rFonts w:asciiTheme="majorBidi" w:hAnsiTheme="majorBidi" w:cstheme="majorBidi"/>
          <w:sz w:val="20"/>
          <w:szCs w:val="20"/>
          <w:rtl/>
        </w:rPr>
        <w:t>)</w:t>
      </w:r>
      <w:r w:rsidR="0011347E">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ولزيادة فعالية إزالة الزئبق من غازات المداخن يستخدم كربون منشط مطور خصيصاً وهو مشرب بحامض الكبريتيك أو الكبريت العنصري أو البروم. وفي هذه الحالة فإن إزالة الزئبق مدفوعة بالامتزاز الكيميائي، وكذلك بالامتزاز الفيزيائي. وقد أظهرت الاختبارات أن كفاءة خفض الزئبق يمكن أن تزداد إلى 99 في المائة.</w:t>
      </w:r>
    </w:p>
    <w:p w:rsidR="00335E4B" w:rsidRPr="00335E4B" w:rsidRDefault="00335E4B" w:rsidP="00335E4B">
      <w:pPr>
        <w:spacing w:after="120" w:line="400" w:lineRule="exact"/>
        <w:jc w:val="both"/>
        <w:rPr>
          <w:rFonts w:ascii="Traditional Arabic" w:hAnsi="Traditional Arabic" w:cs="Traditional Arabic"/>
          <w:i/>
          <w:iCs/>
          <w:sz w:val="30"/>
          <w:szCs w:val="30"/>
          <w:rtl/>
        </w:rPr>
      </w:pPr>
      <w:r w:rsidRPr="00335E4B">
        <w:rPr>
          <w:rFonts w:ascii="Traditional Arabic" w:hAnsi="Traditional Arabic" w:cs="Traditional Arabic" w:hint="cs"/>
          <w:i/>
          <w:iCs/>
          <w:sz w:val="30"/>
          <w:szCs w:val="30"/>
          <w:rtl/>
        </w:rPr>
        <w:t>التأثيرات الشاملة لوسائط متعددة (غير المتعلقة بالزئبق)</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تبلغ المعدلات النموذجية لاستهلاك الكربون 3 كغم/طن من النفايات عند حرق النفايات الصلبة البلدية. وقد أبلغ عن مستويات تتراوح من 0,3 إلى 20 كغم/طن من النفايات الخطرة </w:t>
      </w:r>
      <w:r w:rsidRPr="0011347E">
        <w:rPr>
          <w:rFonts w:asciiTheme="majorBidi" w:hAnsiTheme="majorBidi" w:cstheme="majorBidi"/>
          <w:sz w:val="20"/>
          <w:szCs w:val="20"/>
          <w:rtl/>
        </w:rPr>
        <w:t>(</w:t>
      </w:r>
      <w:r w:rsidRPr="0011347E">
        <w:rPr>
          <w:rFonts w:asciiTheme="majorBidi" w:hAnsiTheme="majorBidi" w:cstheme="majorBidi"/>
          <w:sz w:val="20"/>
          <w:szCs w:val="20"/>
          <w:lang w:val="en-GB"/>
        </w:rPr>
        <w:t>EC, 2006, Waste Incineration</w:t>
      </w:r>
      <w:r w:rsidRPr="0011347E">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11347E">
      <w:pPr>
        <w:spacing w:after="120" w:line="400" w:lineRule="exact"/>
        <w:jc w:val="both"/>
        <w:rPr>
          <w:rFonts w:ascii="Traditional Arabic" w:hAnsi="Traditional Arabic" w:cs="Traditional Arabic"/>
          <w:i/>
          <w:iCs/>
          <w:sz w:val="30"/>
          <w:szCs w:val="30"/>
          <w:rtl/>
        </w:rPr>
      </w:pPr>
      <w:r w:rsidRPr="00335E4B">
        <w:rPr>
          <w:rFonts w:ascii="Traditional Arabic" w:hAnsi="Traditional Arabic" w:cs="Traditional Arabic" w:hint="cs"/>
          <w:i/>
          <w:iCs/>
          <w:sz w:val="30"/>
          <w:szCs w:val="30"/>
          <w:rtl/>
        </w:rPr>
        <w:t>تكاليف التركيب والتشغيل</w:t>
      </w:r>
    </w:p>
    <w:p w:rsidR="00335E4B" w:rsidRPr="00335E4B" w:rsidRDefault="00335E4B" w:rsidP="0011347E">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بالنسبة لمنشأة تعالج 000</w:t>
      </w:r>
      <w:r w:rsidR="0011347E">
        <w:rPr>
          <w:rFonts w:ascii="Traditional Arabic" w:hAnsi="Traditional Arabic" w:cs="Traditional Arabic" w:hint="eastAsia"/>
          <w:sz w:val="30"/>
          <w:szCs w:val="30"/>
          <w:rtl/>
        </w:rPr>
        <w:t> </w:t>
      </w:r>
      <w:r w:rsidRPr="00335E4B">
        <w:rPr>
          <w:rFonts w:ascii="Traditional Arabic" w:hAnsi="Traditional Arabic" w:cs="Traditional Arabic" w:hint="cs"/>
          <w:sz w:val="30"/>
          <w:szCs w:val="30"/>
          <w:rtl/>
        </w:rPr>
        <w:t>200 طن من النفايات بخطين للحرق ومعالجة غاز المداخن: تتراوح تكاليف معالجة غاز المداخن الجاف، بما في ذلك تخزين المواد الممتزة، ونظم تحديد الجرعات، والتحكم في حقن المواد الممتزة، والمرشح النسيجي، وتصريف الرماد، بين 5,5 مليون يورو و6 مليون يورو كتكاليف تركيب.</w:t>
      </w:r>
    </w:p>
    <w:p w:rsidR="00335E4B" w:rsidRPr="00335E4B" w:rsidRDefault="00335E4B" w:rsidP="0011347E">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وتبلغ تكاليف تركيب منشآت تخزين الكربون المنشط زهاء 000</w:t>
      </w:r>
      <w:r w:rsidR="0011347E">
        <w:rPr>
          <w:rFonts w:ascii="Traditional Arabic" w:hAnsi="Traditional Arabic" w:cs="Traditional Arabic" w:hint="eastAsia"/>
          <w:sz w:val="30"/>
          <w:szCs w:val="30"/>
          <w:rtl/>
        </w:rPr>
        <w:t> </w:t>
      </w:r>
      <w:r w:rsidRPr="00335E4B">
        <w:rPr>
          <w:rFonts w:ascii="Traditional Arabic" w:hAnsi="Traditional Arabic" w:cs="Traditional Arabic" w:hint="cs"/>
          <w:sz w:val="30"/>
          <w:szCs w:val="30"/>
          <w:rtl/>
        </w:rPr>
        <w:t>50 يورو للمنشآت الصغيرة (التخزين في حاويات) وزهاء 000</w:t>
      </w:r>
      <w:r w:rsidR="0011347E">
        <w:rPr>
          <w:rFonts w:ascii="Traditional Arabic" w:hAnsi="Traditional Arabic" w:cs="Traditional Arabic" w:hint="eastAsia"/>
          <w:sz w:val="30"/>
          <w:szCs w:val="30"/>
          <w:rtl/>
        </w:rPr>
        <w:t> </w:t>
      </w:r>
      <w:r w:rsidRPr="00335E4B">
        <w:rPr>
          <w:rFonts w:ascii="Traditional Arabic" w:hAnsi="Traditional Arabic" w:cs="Traditional Arabic" w:hint="cs"/>
          <w:sz w:val="30"/>
          <w:szCs w:val="30"/>
          <w:rtl/>
        </w:rPr>
        <w:t>100 يورو لمنشآت أكبر حجماً (التخزين في صوامع) (بيانات من ألمانيا، 2014).</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وتعتمد تكاليف التشغيل على نوع الكربون المستخدم. ففي حالة فحم الكوك المستخدم في المواقد تبلغ التكلفة نحو 300 يورو للطن، وفي حالة الكربون المشرب بحامض الكبريتيك المخفف (5 في المائة) تبلغ التكلفة نحو 400 يورو للطن، وفي حالة الكربون المشرب بكمية كبيرة من الكبريت تبلغ التكلفة نحو 2000 يورو للطن، وفي حالة الكربون المنشط المبروم تبلغ التكلفة نحو 1500 يورو للطن.</w:t>
      </w:r>
    </w:p>
    <w:p w:rsidR="00335E4B" w:rsidRPr="00335E4B" w:rsidRDefault="00335E4B" w:rsidP="0011347E">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ويُقدَّر استخدام الكربون المشرب بكميات منخفضة من حامض الكبريتيك لمنشأة حرق تعالج 000</w:t>
      </w:r>
      <w:r w:rsidR="0011347E">
        <w:rPr>
          <w:rFonts w:ascii="Traditional Arabic" w:hAnsi="Traditional Arabic" w:cs="Traditional Arabic" w:hint="eastAsia"/>
          <w:sz w:val="30"/>
          <w:szCs w:val="30"/>
          <w:rtl/>
        </w:rPr>
        <w:t> </w:t>
      </w:r>
      <w:r w:rsidRPr="00335E4B">
        <w:rPr>
          <w:rFonts w:ascii="Traditional Arabic" w:hAnsi="Traditional Arabic" w:cs="Traditional Arabic" w:hint="cs"/>
          <w:sz w:val="30"/>
          <w:szCs w:val="30"/>
          <w:rtl/>
        </w:rPr>
        <w:t>300 طن من النفايات الصلبة البلدية بـ</w:t>
      </w:r>
      <w:r w:rsidR="0011347E">
        <w:rPr>
          <w:rFonts w:ascii="Traditional Arabic" w:hAnsi="Traditional Arabic" w:cs="Traditional Arabic" w:hint="cs"/>
          <w:sz w:val="30"/>
          <w:szCs w:val="30"/>
          <w:rtl/>
        </w:rPr>
        <w:t>ـــ </w:t>
      </w:r>
      <w:r w:rsidRPr="00335E4B">
        <w:rPr>
          <w:rFonts w:ascii="Traditional Arabic" w:hAnsi="Traditional Arabic" w:cs="Traditional Arabic" w:hint="cs"/>
          <w:sz w:val="30"/>
          <w:szCs w:val="30"/>
          <w:rtl/>
        </w:rPr>
        <w:t>30 طن/السنة لمنشأة تستخدم مرشح بوليسي وبـ</w:t>
      </w:r>
      <w:r w:rsidR="0011347E">
        <w:rPr>
          <w:rFonts w:ascii="Traditional Arabic" w:hAnsi="Traditional Arabic" w:cs="Traditional Arabic" w:hint="cs"/>
          <w:sz w:val="30"/>
          <w:szCs w:val="30"/>
          <w:rtl/>
        </w:rPr>
        <w:t>ـــ </w:t>
      </w:r>
      <w:r w:rsidRPr="00335E4B">
        <w:rPr>
          <w:rFonts w:ascii="Traditional Arabic" w:hAnsi="Traditional Arabic" w:cs="Traditional Arabic" w:hint="cs"/>
          <w:sz w:val="30"/>
          <w:szCs w:val="30"/>
          <w:rtl/>
        </w:rPr>
        <w:t>200 طن/السنة لمنشأة مجهزة بنظام جاف لمعالجة غازات المداخن (بيانات من ألمانيا، 2014).</w:t>
      </w:r>
    </w:p>
    <w:p w:rsidR="00335E4B" w:rsidRPr="00335E4B" w:rsidRDefault="00335E4B" w:rsidP="00335E4B">
      <w:pPr>
        <w:spacing w:after="120" w:line="400" w:lineRule="exact"/>
        <w:jc w:val="both"/>
        <w:rPr>
          <w:rFonts w:ascii="Traditional Arabic" w:hAnsi="Traditional Arabic" w:cs="Traditional Arabic"/>
          <w:i/>
          <w:iCs/>
          <w:sz w:val="30"/>
          <w:szCs w:val="30"/>
        </w:rPr>
      </w:pPr>
      <w:r w:rsidRPr="00335E4B">
        <w:rPr>
          <w:rFonts w:ascii="Traditional Arabic" w:hAnsi="Traditional Arabic" w:cs="Traditional Arabic" w:hint="cs"/>
          <w:i/>
          <w:iCs/>
          <w:sz w:val="30"/>
          <w:szCs w:val="30"/>
          <w:rtl/>
        </w:rPr>
        <w:t>المنافع المشتركة</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يمكن أيضاً تحقيق فصل المركبات العضوية المتطايرة مثل الديوكسينات في غاز المداخن. ومن المعتاد إضافة الكواشف القلوية مع الكربون، وهذا يسمح بخفض الغازات الحمضية في نفس الخطوة من العملية، بمثابة جهاز متعدد الوظائف.</w:t>
      </w:r>
    </w:p>
    <w:p w:rsidR="00335E4B" w:rsidRPr="00335E4B" w:rsidRDefault="00335E4B" w:rsidP="00335E4B">
      <w:pPr>
        <w:keepNext/>
        <w:spacing w:before="120" w:after="120" w:line="400" w:lineRule="exact"/>
        <w:ind w:left="851" w:hanging="851"/>
        <w:jc w:val="both"/>
        <w:outlineLvl w:val="3"/>
        <w:rPr>
          <w:rFonts w:cs="Traditional Arabic"/>
          <w:b/>
          <w:bCs/>
          <w:sz w:val="30"/>
          <w:szCs w:val="30"/>
          <w:rtl/>
        </w:rPr>
      </w:pPr>
      <w:r w:rsidRPr="00335E4B">
        <w:rPr>
          <w:rFonts w:cs="Traditional Arabic" w:hint="cs"/>
          <w:b/>
          <w:bCs/>
          <w:sz w:val="30"/>
          <w:szCs w:val="30"/>
          <w:rtl/>
        </w:rPr>
        <w:t>3-4</w:t>
      </w:r>
      <w:r w:rsidRPr="00335E4B">
        <w:rPr>
          <w:rFonts w:cs="Traditional Arabic" w:hint="cs"/>
          <w:b/>
          <w:bCs/>
          <w:sz w:val="30"/>
          <w:szCs w:val="30"/>
          <w:rtl/>
        </w:rPr>
        <w:tab/>
        <w:t>إضافة البروم إلى المرجل</w:t>
      </w:r>
    </w:p>
    <w:p w:rsidR="00335E4B" w:rsidRPr="00335E4B" w:rsidRDefault="00335E4B" w:rsidP="0011347E">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 xml:space="preserve">من شأن إضافة البروم داخل الفرن أن تحسن تأكسد الزئبق أثناء مروره بمرجل غاز المدخنة، الأمر الذي يشجع بالتالي تحول الزئبق الغازي الأولي غير القابل للذوبان إلى بروميد زئبقيك قابل للذوبان في الماء، وكذلك إلى مركبات زئبق قابلة للامتزاز. وعلى ذلك يمكن تحسين إزالة الزئبق بواسطة أجهزة الضبط الموجودة في المراحل النهائية، مثل أجهزة التنظيف الرطبة. وهناك خيار على صعيد إضافة الهالوجينات وهو إضافة البروم أو المركبات الهالوجينية الأخرى إلى النفايات </w:t>
      </w:r>
      <w:r w:rsidRPr="0011347E">
        <w:rPr>
          <w:rFonts w:asciiTheme="majorBidi" w:hAnsiTheme="majorBidi" w:cstheme="majorBidi"/>
          <w:sz w:val="20"/>
          <w:szCs w:val="20"/>
          <w:rtl/>
        </w:rPr>
        <w:t>(</w:t>
      </w:r>
      <w:r w:rsidRPr="0011347E">
        <w:rPr>
          <w:rFonts w:asciiTheme="majorBidi" w:eastAsia="Calibri" w:hAnsiTheme="majorBidi" w:cstheme="majorBidi"/>
          <w:sz w:val="20"/>
          <w:szCs w:val="20"/>
          <w:lang w:val="en-GB"/>
        </w:rPr>
        <w:t>Vosteen 2006</w:t>
      </w:r>
      <w:r w:rsidRPr="0011347E">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وتجدر الإشارة إلى أن عملية إضافة البروم إلى المرجل وحدها لا تخفض انبعاثات الزئبق في حد ذاتها، أي باحتجاز الزئبق النقي في شكل بروميد زئبقيك. إن إضافة البروم للمرجل تعزز عملية تأكسد الزئبق وبالتالي تخفض بصورة غير مباشرة انبعاثات الزئبق في النظم الرطبة القائمة لضبط تلوث الهواء مثل أجهزة التنظيف الرطب لإزالة الكبريت أو أجهزة التنظيف الجاف لإزالة الكبريت؛ وبالتالي فإضافة البروم للمرجل تحسن كفاءة الكربون المنشط المحقون في الوحدات المحتوية على أجهزة تنظيف الجسيمات الدقيقة العالقة (أجهزة الترسيب الكهروستاتيكية، المرشحات النسيجية) </w:t>
      </w:r>
      <w:r w:rsidRPr="0011347E">
        <w:rPr>
          <w:rFonts w:asciiTheme="majorBidi" w:hAnsiTheme="majorBidi" w:cstheme="majorBidi"/>
          <w:sz w:val="20"/>
          <w:szCs w:val="20"/>
          <w:rtl/>
        </w:rPr>
        <w:t>(</w:t>
      </w:r>
      <w:r w:rsidRPr="0011347E">
        <w:rPr>
          <w:rFonts w:asciiTheme="majorBidi" w:hAnsiTheme="majorBidi" w:cstheme="majorBidi"/>
          <w:sz w:val="20"/>
          <w:szCs w:val="20"/>
          <w:lang w:val="en-GB"/>
        </w:rPr>
        <w:t>LCP BREF Draft Version 2013</w:t>
      </w:r>
      <w:r w:rsidRPr="0011347E">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وفي منشآت حرق النفايات تكون هذه التقنية مفيدة عندما تحتوي النفايات على مستويات قليلة من الهالوجينات، ولذلك فإنها تستخدم بصورة رئيسية في منشآت حرق حمأة مياه المجارير ومنشآت حرق النفايات الخطرة التي تحرق النفايات عند مستويات منخفضة من الهالوجينات. وعلى سبيل المثال في منشأة إحراق ألمانية لمعالجة النفايات الخطرة يجري رصد غاز المداخن بصورة مستمرة. ويتم الرصد بعد جهاز التنظيف الرطب ولكن قبل الاختزال الحفزي الانتقائي في المرحلة التالية نظراً لأن الأجهزة التي تقوم بهذا الاختزال تحتجز الزئبق الذي ينطلق ببطء مرة أخرى بعد ذلك. وفي حال اكتشاف زيادة كبيرة في كمية الزئبق بعد جهاز التنظيف الرطب فإنه يتعين حقن مركبات برومية في المرجل، وهذا يؤدي إلى تقليل انبعاثات الزئبق بدرجة كبيرة في غاز المدخنة المنظَّف </w:t>
      </w:r>
      <w:r w:rsidRPr="0011347E">
        <w:rPr>
          <w:rFonts w:asciiTheme="majorBidi" w:hAnsiTheme="majorBidi" w:cstheme="majorBidi"/>
          <w:sz w:val="20"/>
          <w:szCs w:val="20"/>
          <w:rtl/>
        </w:rPr>
        <w:t>(</w:t>
      </w:r>
      <w:r w:rsidRPr="0011347E">
        <w:rPr>
          <w:rFonts w:asciiTheme="majorBidi" w:hAnsiTheme="majorBidi" w:cstheme="majorBidi"/>
          <w:sz w:val="20"/>
          <w:szCs w:val="20"/>
          <w:lang w:val="en-GB"/>
        </w:rPr>
        <w:t>Vosteen, 2006</w:t>
      </w:r>
      <w:r w:rsidRPr="0011347E">
        <w:rPr>
          <w:rFonts w:asciiTheme="majorBidi" w:hAnsiTheme="majorBidi" w:cstheme="majorBidi"/>
          <w:sz w:val="20"/>
          <w:szCs w:val="20"/>
          <w:rtl/>
        </w:rPr>
        <w:t>)</w:t>
      </w:r>
      <w:r w:rsidRPr="00335E4B">
        <w:rPr>
          <w:rFonts w:ascii="Traditional Arabic" w:hAnsi="Traditional Arabic" w:cs="Traditional Arabic" w:hint="cs"/>
          <w:sz w:val="30"/>
          <w:szCs w:val="30"/>
          <w:rtl/>
        </w:rPr>
        <w:t>. بيد أن هذه التقنية غير فعالة في حال حدوث زيادات حادة قصيرة جداً للزئبق في غازات المدخنة نظراً لأن هذه الزيادات تتجاوز نظام معالجة غازات المدخنة قبل أن تتاح إمكانية لحدوث تفاعل.</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وأبلغ بشكل عام عن أنه عند استخدام البروم/الزئبق بنسب كتلية تزيد عن 300 فإنه يمكن تحقيق أكسدة الزئبق بشكل كامل. وقد اتضح مؤخراً في منشأتين فرنسيتين لحرق النفايات الخطرة، تستخدمان بصورة رئيسية التنظيف الجاف لغاز المدخنة، أن كفاءة إزالة الزئبق عند استخدام الكربون المنشط بلغت 100 في المائة تقريباً، واتضحت هذه الكفاءة في وجود الزئبق المؤكسد فقط تقريباً </w:t>
      </w:r>
      <w:r w:rsidRPr="0011347E">
        <w:rPr>
          <w:rFonts w:asciiTheme="majorBidi" w:hAnsiTheme="majorBidi" w:cstheme="majorBidi"/>
          <w:sz w:val="20"/>
          <w:szCs w:val="20"/>
          <w:rtl/>
        </w:rPr>
        <w:t>(</w:t>
      </w:r>
      <w:r w:rsidRPr="0011347E">
        <w:rPr>
          <w:rFonts w:asciiTheme="majorBidi" w:hAnsiTheme="majorBidi" w:cstheme="majorBidi"/>
          <w:sz w:val="20"/>
          <w:szCs w:val="20"/>
          <w:lang w:val="en-GB"/>
        </w:rPr>
        <w:t>Chaucherie et al., 2015</w:t>
      </w:r>
      <w:r w:rsidRPr="0011347E">
        <w:rPr>
          <w:rFonts w:asciiTheme="majorBidi" w:hAnsiTheme="majorBidi" w:cstheme="majorBidi"/>
          <w:sz w:val="20"/>
          <w:szCs w:val="20"/>
          <w:rtl/>
        </w:rPr>
        <w:t>)</w:t>
      </w:r>
      <w:r w:rsidRPr="00335E4B">
        <w:rPr>
          <w:rFonts w:ascii="Traditional Arabic" w:hAnsi="Traditional Arabic" w:cs="Traditional Arabic" w:hint="cs"/>
          <w:sz w:val="30"/>
          <w:szCs w:val="30"/>
          <w:rtl/>
        </w:rPr>
        <w:t>. كذلك تم الوصول إلى كفاءة إزالة مشابهة قدرها 99,8 في المائة باستخدام نظام تنظيف متعدد المراحل.</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وقد يؤدي استخدام البروم في هذه العملية إلى تكون الديوكسينات المتعددة البروم أو الديوكسينات والفيورانات المتعددة الهالوجينات وهي مركبات غير مرغوب فيها. وتجدر الإشارة إلى أنه يتعين التحكم في انبعاثات هذه المواد، إذا حدثت.</w:t>
      </w:r>
    </w:p>
    <w:p w:rsidR="00501B34" w:rsidRDefault="00501B34">
      <w:pPr>
        <w:bidi w:val="0"/>
        <w:rPr>
          <w:rFonts w:ascii="Traditional Arabic" w:hAnsi="Traditional Arabic" w:cs="Traditional Arabic"/>
          <w:i/>
          <w:iCs/>
          <w:sz w:val="30"/>
          <w:szCs w:val="30"/>
        </w:rPr>
      </w:pPr>
      <w:r>
        <w:rPr>
          <w:rFonts w:ascii="Traditional Arabic" w:hAnsi="Traditional Arabic" w:cs="Traditional Arabic"/>
          <w:i/>
          <w:iCs/>
          <w:sz w:val="30"/>
          <w:szCs w:val="30"/>
          <w:rtl/>
        </w:rPr>
        <w:br w:type="page"/>
      </w:r>
    </w:p>
    <w:p w:rsidR="00335E4B" w:rsidRPr="00335E4B" w:rsidRDefault="00335E4B" w:rsidP="00335E4B">
      <w:pPr>
        <w:spacing w:after="120" w:line="400" w:lineRule="exact"/>
        <w:jc w:val="both"/>
        <w:rPr>
          <w:rFonts w:ascii="Traditional Arabic" w:hAnsi="Traditional Arabic" w:cs="Traditional Arabic"/>
          <w:i/>
          <w:iCs/>
          <w:sz w:val="30"/>
          <w:szCs w:val="30"/>
          <w:rtl/>
        </w:rPr>
      </w:pPr>
      <w:r w:rsidRPr="00335E4B">
        <w:rPr>
          <w:rFonts w:ascii="Traditional Arabic" w:hAnsi="Traditional Arabic" w:cs="Traditional Arabic" w:hint="cs"/>
          <w:i/>
          <w:iCs/>
          <w:sz w:val="30"/>
          <w:szCs w:val="30"/>
          <w:rtl/>
        </w:rPr>
        <w:t>التأثيرات الشاملة لوسائط متعددة</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ويمكن أن تصبح قياسات الزئبق صعبة للغاية في حال وجود البروم في غاز المداخن. وقد يحدث البروم تآكلاً في شبكة الأنابيب ونظام تسخين الهواء ونظام إزالة الكبريت من غاز المداخن. ويتزايد التآكل الناتج عن وجود البروم بشكل عام مع زيادة محتوى البروم والزئبق في الرماد المتطاير </w:t>
      </w:r>
      <w:r w:rsidRPr="0011347E">
        <w:rPr>
          <w:rFonts w:asciiTheme="majorBidi" w:hAnsiTheme="majorBidi" w:cstheme="majorBidi"/>
          <w:sz w:val="20"/>
          <w:szCs w:val="20"/>
          <w:rtl/>
        </w:rPr>
        <w:t>(</w:t>
      </w:r>
      <w:r w:rsidRPr="0011347E">
        <w:rPr>
          <w:rFonts w:asciiTheme="majorBidi" w:hAnsiTheme="majorBidi" w:cstheme="majorBidi"/>
          <w:sz w:val="20"/>
          <w:szCs w:val="20"/>
          <w:lang w:val="en-GB"/>
        </w:rPr>
        <w:t>LCP BREF Draft Version, 2013</w:t>
      </w:r>
      <w:r w:rsidRPr="0011347E">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ascii="Traditional Arabic" w:hAnsi="Traditional Arabic" w:cs="Traditional Arabic"/>
          <w:i/>
          <w:iCs/>
          <w:sz w:val="30"/>
          <w:szCs w:val="30"/>
          <w:rtl/>
        </w:rPr>
      </w:pPr>
      <w:r w:rsidRPr="00335E4B">
        <w:rPr>
          <w:rFonts w:ascii="Traditional Arabic" w:hAnsi="Traditional Arabic" w:cs="Traditional Arabic" w:hint="cs"/>
          <w:i/>
          <w:iCs/>
          <w:sz w:val="30"/>
          <w:szCs w:val="30"/>
          <w:rtl/>
        </w:rPr>
        <w:t>تكاليف التركيب والتشغيل</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يمكن أن يكون استخدام عملية حقن الكربون المنشط بالاقتران مع إضافة البروم إلى المرجل أكثر فعاليةً من حيث الكلفة بالمقارنة مع استخدام إحدى الطريقتين بشكل منفرد بهدف تحقيق نفس مستوى الأداء.</w:t>
      </w:r>
    </w:p>
    <w:p w:rsidR="00335E4B" w:rsidRPr="00335E4B" w:rsidRDefault="00335E4B" w:rsidP="00335E4B">
      <w:pPr>
        <w:keepNext/>
        <w:spacing w:before="120" w:after="120" w:line="400" w:lineRule="exact"/>
        <w:ind w:left="849" w:hanging="849"/>
        <w:jc w:val="both"/>
        <w:outlineLvl w:val="3"/>
        <w:rPr>
          <w:rFonts w:cs="Traditional Arabic"/>
          <w:b/>
          <w:bCs/>
          <w:sz w:val="30"/>
          <w:szCs w:val="30"/>
          <w:rtl/>
        </w:rPr>
      </w:pPr>
      <w:r w:rsidRPr="00335E4B">
        <w:rPr>
          <w:rFonts w:cs="Traditional Arabic" w:hint="cs"/>
          <w:b/>
          <w:bCs/>
          <w:sz w:val="30"/>
          <w:szCs w:val="30"/>
          <w:rtl/>
        </w:rPr>
        <w:t>3-5</w:t>
      </w:r>
      <w:r w:rsidRPr="00335E4B">
        <w:rPr>
          <w:rFonts w:cs="Traditional Arabic" w:hint="cs"/>
          <w:b/>
          <w:bCs/>
          <w:sz w:val="30"/>
          <w:szCs w:val="30"/>
          <w:rtl/>
        </w:rPr>
        <w:tab/>
        <w:t>المرشحات ذات القاعدة الثابتة</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تستخدم المرشحات ذات القاعدة المتحركة العاملة بفحم الكوك المنشط كعملية تنظيف ثانوية في غازات مداخن منشآت حرق النفايات البلدية والخطرة. وباستخدام نظام الامتزاز هذا يمكن ترسيب مواد تدخل في تركيب غاز المداخن بتركيزات منخفضة بكفاءة تبلغ 99 في المائة. ويستخدم فحم اللغنيت، المنتج في عملية فحم الكوك بالفرن ذي الموقد، في أجهزة الامتصاص ذات القاعدة المتحركة. </w:t>
      </w:r>
    </w:p>
    <w:p w:rsidR="00335E4B" w:rsidRPr="00335E4B" w:rsidRDefault="00335E4B" w:rsidP="0011347E">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ويمر غاز المداخن عبر حشوة من كوك الفرن الحبيبي </w:t>
      </w:r>
      <w:r w:rsidRPr="00335E4B">
        <w:rPr>
          <w:rFonts w:ascii="Traditional Arabic" w:hAnsi="Traditional Arabic" w:cs="Traditional Arabic"/>
          <w:sz w:val="30"/>
          <w:szCs w:val="30"/>
          <w:rtl/>
        </w:rPr>
        <w:t>–</w:t>
      </w:r>
      <w:r w:rsidRPr="00335E4B">
        <w:rPr>
          <w:rFonts w:ascii="Traditional Arabic" w:hAnsi="Traditional Arabic" w:cs="Traditional Arabic" w:hint="cs"/>
          <w:sz w:val="30"/>
          <w:szCs w:val="30"/>
          <w:rtl/>
        </w:rPr>
        <w:t xml:space="preserve"> وهو فحم كوك ناعم بقطر 1,25 مم </w:t>
      </w:r>
      <w:r w:rsidR="0011347E">
        <w:rPr>
          <w:rFonts w:ascii="Traditional Arabic" w:hAnsi="Traditional Arabic" w:cs="Traditional Arabic" w:hint="cs"/>
          <w:sz w:val="30"/>
          <w:szCs w:val="30"/>
          <w:rtl/>
        </w:rPr>
        <w:t>-</w:t>
      </w:r>
      <w:r w:rsidRPr="00335E4B">
        <w:rPr>
          <w:rFonts w:ascii="Traditional Arabic" w:hAnsi="Traditional Arabic" w:cs="Traditional Arabic" w:hint="cs"/>
          <w:sz w:val="30"/>
          <w:szCs w:val="30"/>
          <w:rtl/>
        </w:rPr>
        <w:t xml:space="preserve"> 5 مم. ويستند الأثر الترسبي لكوك الفرن بصورة رئيسية إلى آليتي الامتزاز والترشيح. وعليه فإن من الممكن تقريباً ترسيب جميع مكونات غاز المداخن ذات الصلة بالانبعاثات، وعلى وجه الخصوص المحتويات المتخلفة من حامض الهيدروكلوريك، وحامض الهيدروفلوريك، وأكاسيد الكبريت، والمعادن الثقيلة (بما في ذلك الزئبق)، إلى مستويات تصل في بعض الأحيان إلى ما دون المستوى الذي يمكن كشفه.</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ويوجه غاز المداخن إلى حشوة فحم الكوك المنشط فوق طبقة توزيع مجهزة بمجموعة من الأقماع المزدوجة حيث يتدفق الغاز عبرها من القاعدة</w:t>
      </w:r>
      <w:r w:rsidR="0011347E">
        <w:rPr>
          <w:rFonts w:ascii="Traditional Arabic" w:hAnsi="Traditional Arabic" w:cs="Traditional Arabic" w:hint="cs"/>
          <w:sz w:val="30"/>
          <w:szCs w:val="30"/>
          <w:rtl/>
        </w:rPr>
        <w:t xml:space="preserve"> </w:t>
      </w:r>
      <w:r w:rsidRPr="00335E4B">
        <w:rPr>
          <w:rFonts w:ascii="Traditional Arabic" w:hAnsi="Traditional Arabic" w:cs="Traditional Arabic" w:hint="cs"/>
          <w:sz w:val="30"/>
          <w:szCs w:val="30"/>
          <w:rtl/>
        </w:rPr>
        <w:t>إلى القمة بينما يمر كوك الموقد عبر جهاز الامتصاص من القمة إلى القاعدة، وهذا يجعل من الممكن توفر توزيع مثالي لغاز المداخن في كامل المقطع العرضي لجهاز الامتصاص، مع الاستخدام الأمثل لطاقة جهاز الامتصاص وبأقل استهلاك ممكن لفحم الكوك المنشط.</w:t>
      </w:r>
    </w:p>
    <w:p w:rsidR="00335E4B" w:rsidRPr="00335E4B" w:rsidRDefault="00335E4B" w:rsidP="0011347E">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وهناك ميزة أساسية لنظام القاعدة المتحركة وهي كفاءته العالية مع كل أنواع الانبعاثات نظراً للكمية الضخمة من فحم الكوك المنشط، حيث لا تكون للتباينات الناتجة عن الحرق وعمليات تنقية غاز المداخن في المراحل الأولية والمرتبطة بالتشغيل أي آثار ضارة.</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وبسبب احتواء مرشحات القاعدة الثابتة على الكربون ينشأ احتمال لاندلاع حرائق. ونتيجةً لمخاطر اندلاع الحرائق والتكاليف العالية المرتبطة بذلك فإن هذه النظم لا تُركب إلا في القليل من المنشآت. ويتعين توخي الحذر لتفادي اندلاع أي حريق، بما في ذلك من خلال تركيب نظام ترطيب.</w:t>
      </w:r>
    </w:p>
    <w:p w:rsidR="00335E4B" w:rsidRPr="0011347E" w:rsidRDefault="00335E4B" w:rsidP="00335E4B">
      <w:pPr>
        <w:spacing w:after="120" w:line="400" w:lineRule="exact"/>
        <w:jc w:val="both"/>
        <w:rPr>
          <w:rFonts w:asciiTheme="majorBidi" w:hAnsiTheme="majorBidi" w:cstheme="majorBidi"/>
          <w:sz w:val="20"/>
          <w:szCs w:val="20"/>
          <w:rtl/>
        </w:rPr>
      </w:pPr>
      <w:r w:rsidRPr="00335E4B">
        <w:rPr>
          <w:rFonts w:ascii="Traditional Arabic" w:hAnsi="Traditional Arabic" w:cs="Traditional Arabic" w:hint="cs"/>
          <w:i/>
          <w:iCs/>
          <w:sz w:val="30"/>
          <w:szCs w:val="30"/>
          <w:rtl/>
        </w:rPr>
        <w:t>الآثار الشاملة لوسائط متعددة (بخلاف تلك المرتبطة بالزئبق)</w:t>
      </w:r>
      <w:r w:rsidRPr="00335E4B">
        <w:rPr>
          <w:rFonts w:ascii="Traditional Arabic" w:hAnsi="Traditional Arabic" w:cs="Traditional Arabic" w:hint="cs"/>
          <w:sz w:val="30"/>
          <w:szCs w:val="30"/>
          <w:rtl/>
        </w:rPr>
        <w:t xml:space="preserve"> </w:t>
      </w:r>
      <w:r w:rsidRPr="0011347E">
        <w:rPr>
          <w:rFonts w:asciiTheme="majorBidi" w:hAnsiTheme="majorBidi" w:cstheme="majorBidi"/>
          <w:sz w:val="20"/>
          <w:szCs w:val="20"/>
          <w:rtl/>
        </w:rPr>
        <w:t>(</w:t>
      </w:r>
      <w:r w:rsidRPr="0011347E">
        <w:rPr>
          <w:rFonts w:asciiTheme="majorBidi" w:hAnsiTheme="majorBidi" w:cstheme="majorBidi"/>
          <w:sz w:val="20"/>
          <w:szCs w:val="20"/>
          <w:lang w:val="en-GB"/>
        </w:rPr>
        <w:t>WT BREF 2005</w:t>
      </w:r>
      <w:r w:rsidRPr="0011347E">
        <w:rPr>
          <w:rFonts w:asciiTheme="majorBidi" w:hAnsiTheme="majorBidi" w:cstheme="majorBidi"/>
          <w:sz w:val="20"/>
          <w:szCs w:val="20"/>
          <w:rtl/>
        </w:rPr>
        <w:t>)</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تشمل الآثار الشاملة لوسائط متعددة بخلاف تلك المرتبطة بالزئبق ما يلي:</w:t>
      </w:r>
    </w:p>
    <w:p w:rsidR="00335E4B" w:rsidRPr="00335E4B" w:rsidRDefault="00335E4B" w:rsidP="0011347E">
      <w:pPr>
        <w:numPr>
          <w:ilvl w:val="0"/>
          <w:numId w:val="25"/>
        </w:numPr>
        <w:spacing w:line="400" w:lineRule="exact"/>
        <w:ind w:left="709"/>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 xml:space="preserve">استهلاك الطاقة: 30 </w:t>
      </w:r>
      <w:r w:rsidR="0011347E">
        <w:rPr>
          <w:rFonts w:ascii="Traditional Arabic" w:hAnsi="Traditional Arabic" w:cs="Traditional Arabic" w:hint="cs"/>
          <w:sz w:val="30"/>
          <w:szCs w:val="30"/>
          <w:rtl/>
        </w:rPr>
        <w:t>-</w:t>
      </w:r>
      <w:r w:rsidRPr="00335E4B">
        <w:rPr>
          <w:rFonts w:ascii="Traditional Arabic" w:hAnsi="Traditional Arabic" w:cs="Traditional Arabic" w:hint="cs"/>
          <w:sz w:val="30"/>
          <w:szCs w:val="30"/>
          <w:rtl/>
        </w:rPr>
        <w:t xml:space="preserve"> 35 كيلوواط ساعة/طن من مدخلات النفايات </w:t>
      </w:r>
    </w:p>
    <w:p w:rsidR="00335E4B" w:rsidRPr="00335E4B" w:rsidRDefault="00335E4B" w:rsidP="00335E4B">
      <w:pPr>
        <w:numPr>
          <w:ilvl w:val="0"/>
          <w:numId w:val="25"/>
        </w:numPr>
        <w:spacing w:line="400" w:lineRule="exact"/>
        <w:ind w:left="707"/>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 xml:space="preserve">استهلاك الكواشف: 1 كغم/طن من مدخلات النفايات </w:t>
      </w:r>
    </w:p>
    <w:p w:rsidR="00335E4B" w:rsidRPr="00335E4B" w:rsidRDefault="00335E4B" w:rsidP="00335E4B">
      <w:pPr>
        <w:numPr>
          <w:ilvl w:val="0"/>
          <w:numId w:val="25"/>
        </w:numPr>
        <w:spacing w:after="120" w:line="400" w:lineRule="exact"/>
        <w:ind w:left="707"/>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كمية المخلفات: 0 -1 كغم/طن من مدخلات النفايات </w:t>
      </w:r>
    </w:p>
    <w:p w:rsidR="00501B34" w:rsidRDefault="00501B34">
      <w:pPr>
        <w:bidi w:val="0"/>
        <w:rPr>
          <w:rFonts w:ascii="Traditional Arabic" w:hAnsi="Traditional Arabic" w:cs="Traditional Arabic"/>
          <w:i/>
          <w:iCs/>
          <w:sz w:val="30"/>
          <w:szCs w:val="30"/>
        </w:rPr>
      </w:pPr>
      <w:r>
        <w:rPr>
          <w:rFonts w:ascii="Traditional Arabic" w:hAnsi="Traditional Arabic" w:cs="Traditional Arabic"/>
          <w:i/>
          <w:iCs/>
          <w:sz w:val="30"/>
          <w:szCs w:val="30"/>
          <w:rtl/>
        </w:rPr>
        <w:br w:type="page"/>
      </w:r>
    </w:p>
    <w:p w:rsidR="00335E4B" w:rsidRPr="00335E4B" w:rsidRDefault="00335E4B" w:rsidP="00335E4B">
      <w:pPr>
        <w:spacing w:after="120" w:line="400" w:lineRule="exact"/>
        <w:jc w:val="both"/>
        <w:rPr>
          <w:rFonts w:ascii="Traditional Arabic" w:hAnsi="Traditional Arabic" w:cs="Traditional Arabic"/>
          <w:i/>
          <w:iCs/>
          <w:sz w:val="30"/>
          <w:szCs w:val="30"/>
          <w:rtl/>
        </w:rPr>
      </w:pPr>
      <w:r w:rsidRPr="00335E4B">
        <w:rPr>
          <w:rFonts w:ascii="Traditional Arabic" w:hAnsi="Traditional Arabic" w:cs="Traditional Arabic" w:hint="cs"/>
          <w:i/>
          <w:iCs/>
          <w:sz w:val="30"/>
          <w:szCs w:val="30"/>
          <w:rtl/>
        </w:rPr>
        <w:t>تكاليف تركيب وتشغيل مرشح الكوك</w:t>
      </w:r>
    </w:p>
    <w:p w:rsidR="00335E4B" w:rsidRPr="00335E4B" w:rsidRDefault="00335E4B" w:rsidP="0011347E">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تقدر تكاليف الاستثمار في مرشح الكوك بفرن لحرق النفايات الصلبة البلدية بطاقة 000</w:t>
      </w:r>
      <w:r w:rsidR="0011347E">
        <w:rPr>
          <w:rFonts w:ascii="Traditional Arabic" w:hAnsi="Traditional Arabic" w:cs="Traditional Arabic" w:hint="eastAsia"/>
          <w:sz w:val="30"/>
          <w:szCs w:val="30"/>
          <w:rtl/>
        </w:rPr>
        <w:t> </w:t>
      </w:r>
      <w:r w:rsidRPr="00335E4B">
        <w:rPr>
          <w:rFonts w:ascii="Traditional Arabic" w:hAnsi="Traditional Arabic" w:cs="Traditional Arabic" w:hint="cs"/>
          <w:sz w:val="30"/>
          <w:szCs w:val="30"/>
          <w:rtl/>
        </w:rPr>
        <w:t>100 طن/السنة بـ</w:t>
      </w:r>
      <w:r w:rsidR="0011347E">
        <w:rPr>
          <w:rFonts w:ascii="Traditional Arabic" w:hAnsi="Traditional Arabic" w:cs="Traditional Arabic" w:hint="cs"/>
          <w:sz w:val="30"/>
          <w:szCs w:val="30"/>
          <w:rtl/>
        </w:rPr>
        <w:t>ــ </w:t>
      </w:r>
      <w:r w:rsidRPr="00335E4B">
        <w:rPr>
          <w:rFonts w:ascii="Traditional Arabic" w:hAnsi="Traditional Arabic" w:cs="Traditional Arabic" w:hint="cs"/>
          <w:sz w:val="30"/>
          <w:szCs w:val="30"/>
          <w:rtl/>
        </w:rPr>
        <w:t>1,2 مليون يورو. وتبلغ تكاليف الاستثمار في مرشح رطب واحد ذي قاعدة ثابتة (خالية) (بخط حرق قدره 000</w:t>
      </w:r>
      <w:r w:rsidR="0011347E">
        <w:rPr>
          <w:rFonts w:ascii="Traditional Arabic" w:hAnsi="Traditional Arabic" w:cs="Traditional Arabic" w:hint="eastAsia"/>
          <w:sz w:val="30"/>
          <w:szCs w:val="30"/>
          <w:rtl/>
        </w:rPr>
        <w:t> </w:t>
      </w:r>
      <w:r w:rsidRPr="00335E4B">
        <w:rPr>
          <w:rFonts w:ascii="Traditional Arabic" w:hAnsi="Traditional Arabic" w:cs="Traditional Arabic" w:hint="cs"/>
          <w:sz w:val="30"/>
          <w:szCs w:val="30"/>
          <w:rtl/>
        </w:rPr>
        <w:t xml:space="preserve">50 طن/السنة) زهاء مليون يورو </w:t>
      </w:r>
      <w:r w:rsidRPr="0011347E">
        <w:rPr>
          <w:rFonts w:asciiTheme="majorBidi" w:hAnsiTheme="majorBidi" w:cstheme="majorBidi"/>
          <w:sz w:val="20"/>
          <w:szCs w:val="20"/>
          <w:rtl/>
        </w:rPr>
        <w:t>(</w:t>
      </w:r>
      <w:r w:rsidRPr="0011347E">
        <w:rPr>
          <w:rFonts w:asciiTheme="majorBidi" w:hAnsiTheme="majorBidi" w:cstheme="majorBidi"/>
          <w:sz w:val="20"/>
          <w:szCs w:val="20"/>
          <w:lang w:val="en-GB"/>
        </w:rPr>
        <w:t>EC, 2006, Waste Incineration</w:t>
      </w:r>
      <w:r w:rsidRPr="0011347E">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ascii="Traditional Arabic" w:hAnsi="Traditional Arabic" w:cs="Traditional Arabic"/>
          <w:i/>
          <w:iCs/>
          <w:sz w:val="30"/>
          <w:szCs w:val="30"/>
          <w:rtl/>
        </w:rPr>
      </w:pPr>
      <w:r w:rsidRPr="00335E4B">
        <w:rPr>
          <w:rFonts w:ascii="Traditional Arabic" w:hAnsi="Traditional Arabic" w:cs="Traditional Arabic" w:hint="cs"/>
          <w:i/>
          <w:iCs/>
          <w:sz w:val="30"/>
          <w:szCs w:val="30"/>
          <w:rtl/>
        </w:rPr>
        <w:t>المنافع المشتركة</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تشمل المنافع المشتركة لاستخدام مرشح ذي قاعدة متحركة يعمل بفحم الكوك المنشط فصل المركبات العضوية المتطايرة، مثل الديوكسينات، في غاز المداخن.</w:t>
      </w:r>
    </w:p>
    <w:p w:rsidR="00335E4B" w:rsidRPr="00335E4B" w:rsidRDefault="00335E4B" w:rsidP="00335E4B">
      <w:pPr>
        <w:keepNext/>
        <w:spacing w:before="120" w:after="120" w:line="400" w:lineRule="exact"/>
        <w:ind w:left="849" w:hanging="851"/>
        <w:jc w:val="both"/>
        <w:outlineLvl w:val="3"/>
        <w:rPr>
          <w:rFonts w:cs="Traditional Arabic"/>
          <w:b/>
          <w:bCs/>
          <w:sz w:val="30"/>
          <w:szCs w:val="30"/>
          <w:rtl/>
        </w:rPr>
      </w:pPr>
      <w:r w:rsidRPr="00335E4B">
        <w:rPr>
          <w:rFonts w:cs="Traditional Arabic" w:hint="cs"/>
          <w:b/>
          <w:bCs/>
          <w:sz w:val="30"/>
          <w:szCs w:val="30"/>
          <w:rtl/>
        </w:rPr>
        <w:t>3-6</w:t>
      </w:r>
      <w:r w:rsidRPr="00335E4B">
        <w:rPr>
          <w:rFonts w:cs="Traditional Arabic" w:hint="cs"/>
          <w:b/>
          <w:bCs/>
          <w:sz w:val="30"/>
          <w:szCs w:val="30"/>
          <w:rtl/>
        </w:rPr>
        <w:tab/>
        <w:t>أمثلة توضيحية لقيم الانبعاثات المنجزة بالتقنيات المبينة أعلاه</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توضح الجداول والأشكال التالية الأداء المنجز من خلال تطبيق التقنيات المشار إليها أعلاه. ويبين الشكل 6 القيم المتوسطة السنوية لانبعاثات الزئبق لمختلف التقنيات التجميعية أو ذات الخطوة الواحدة الرامية للتحكم في غازات النفايات في 51 منشأة في ألمانيا تستخدم لحرق النفايات البلدية والطبية والخطرة. وجميع هذه المنشآت مجهزة بقياسات مستمرة للزئبق. ولكل توليفة تقنيات يرد متوسط جميع القيم المبلغ عنها (الخط متوسط) جنباً إلى جنب مع الانحراف المعياري (باللون البرتقالي) والقيم الدنيا والقصوى (باللون الرمادي).</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وتبلغ القيمة المتوسطة السنوية للانبعاثات زهاء 2,5 ميكروغرام/نانومتر</w:t>
      </w:r>
      <w:r w:rsidRPr="00335E4B">
        <w:rPr>
          <w:rFonts w:ascii="Traditional Arabic" w:hAnsi="Traditional Arabic" w:cs="Traditional Arabic" w:hint="cs"/>
          <w:sz w:val="30"/>
          <w:szCs w:val="30"/>
          <w:vertAlign w:val="superscript"/>
          <w:rtl/>
        </w:rPr>
        <w:t xml:space="preserve">3 </w:t>
      </w:r>
      <w:r w:rsidRPr="00335E4B">
        <w:rPr>
          <w:rFonts w:ascii="Traditional Arabic" w:hAnsi="Traditional Arabic" w:cs="Traditional Arabic" w:hint="cs"/>
          <w:sz w:val="30"/>
          <w:szCs w:val="30"/>
          <w:rtl/>
        </w:rPr>
        <w:t>(المتوسط السنوي استناداً إلى المتوسطات اليومية)، وهي متشابهة لكل توليفات تقنيات التحكم المركبة, وتطلق أكثر من 90 في المائة من المنشآت أقل من 10 ميكروغرام/م</w:t>
      </w:r>
      <w:r w:rsidRPr="00335E4B">
        <w:rPr>
          <w:rFonts w:ascii="Traditional Arabic" w:hAnsi="Traditional Arabic" w:cs="Traditional Arabic" w:hint="cs"/>
          <w:sz w:val="30"/>
          <w:szCs w:val="30"/>
          <w:vertAlign w:val="superscript"/>
          <w:rtl/>
        </w:rPr>
        <w:t>3</w:t>
      </w:r>
      <w:r w:rsidRPr="00335E4B">
        <w:rPr>
          <w:rFonts w:ascii="Traditional Arabic" w:hAnsi="Traditional Arabic" w:cs="Traditional Arabic" w:hint="cs"/>
          <w:sz w:val="30"/>
          <w:szCs w:val="30"/>
          <w:rtl/>
        </w:rPr>
        <w:t>. وجميع توليفات التقنيات المستعملة ملائمة لخفض الزئبق وفق ما تشير إليه النطاقات الضئيلة لقيم الانبعاثات السنوية المبلغ عنها لكل توليفة.</w:t>
      </w:r>
    </w:p>
    <w:p w:rsidR="00335E4B" w:rsidRPr="00335E4B" w:rsidRDefault="00335E4B" w:rsidP="00335E4B">
      <w:pPr>
        <w:tabs>
          <w:tab w:val="left" w:pos="1247"/>
          <w:tab w:val="left" w:pos="1814"/>
          <w:tab w:val="left" w:pos="2381"/>
          <w:tab w:val="left" w:pos="2948"/>
          <w:tab w:val="left" w:pos="3515"/>
        </w:tabs>
        <w:spacing w:after="120"/>
        <w:ind w:left="1996" w:hanging="1276"/>
        <w:rPr>
          <w:rFonts w:cs="Times New Roman"/>
          <w:b/>
          <w:bCs/>
          <w:sz w:val="20"/>
          <w:szCs w:val="24"/>
        </w:rPr>
      </w:pPr>
      <w:r>
        <w:rPr>
          <w:rFonts w:cs="Times New Roman"/>
          <w:b/>
          <w:bCs/>
          <w:noProof/>
          <w:sz w:val="20"/>
          <w:szCs w:val="24"/>
          <w:lang w:val="en-GB" w:eastAsia="zh-CN"/>
        </w:rPr>
        <w:drawing>
          <wp:inline distT="0" distB="0" distL="0" distR="0" wp14:anchorId="1ADF64BE" wp14:editId="07287A5C">
            <wp:extent cx="5259705" cy="2546350"/>
            <wp:effectExtent l="19050" t="19050" r="17145"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9705" cy="2546350"/>
                    </a:xfrm>
                    <a:prstGeom prst="rect">
                      <a:avLst/>
                    </a:prstGeom>
                    <a:noFill/>
                    <a:ln w="9525" cmpd="sng">
                      <a:solidFill>
                        <a:srgbClr val="000000"/>
                      </a:solidFill>
                      <a:miter lim="800000"/>
                      <a:headEnd/>
                      <a:tailEnd/>
                    </a:ln>
                    <a:effectLst/>
                  </pic:spPr>
                </pic:pic>
              </a:graphicData>
            </a:graphic>
          </wp:inline>
        </w:drawing>
      </w:r>
    </w:p>
    <w:p w:rsidR="00335E4B" w:rsidRPr="00335E4B" w:rsidRDefault="00335E4B" w:rsidP="00501B34">
      <w:pPr>
        <w:keepNext/>
        <w:spacing w:before="120" w:after="120" w:line="340" w:lineRule="exact"/>
        <w:rPr>
          <w:rFonts w:ascii="Traditional Arabic" w:hAnsi="Traditional Arabic" w:cs="Traditional Arabic"/>
          <w:b/>
          <w:bCs/>
          <w:sz w:val="20"/>
          <w:szCs w:val="24"/>
          <w:rtl/>
          <w:lang w:eastAsia="de-DE"/>
        </w:rPr>
      </w:pPr>
      <w:bookmarkStart w:id="2155" w:name="_Ref429546310"/>
      <w:r w:rsidRPr="0011347E">
        <w:rPr>
          <w:rFonts w:ascii="Traditional Arabic" w:hAnsi="Traditional Arabic" w:cs="Traditional Arabic"/>
          <w:b/>
          <w:bCs/>
          <w:sz w:val="26"/>
          <w:szCs w:val="26"/>
          <w:rtl/>
          <w:lang w:eastAsia="de-DE"/>
        </w:rPr>
        <w:t>الشكل 6</w:t>
      </w:r>
      <w:r w:rsidR="00AA60A1">
        <w:rPr>
          <w:rFonts w:ascii="Traditional Arabic" w:hAnsi="Traditional Arabic" w:cs="Traditional Arabic" w:hint="cs"/>
          <w:b/>
          <w:bCs/>
          <w:sz w:val="26"/>
          <w:szCs w:val="26"/>
          <w:rtl/>
          <w:lang w:eastAsia="de-DE"/>
        </w:rPr>
        <w:t>-</w:t>
      </w:r>
      <w:r w:rsidRPr="0011347E">
        <w:rPr>
          <w:rFonts w:ascii="Traditional Arabic" w:hAnsi="Traditional Arabic" w:cs="Traditional Arabic"/>
          <w:b/>
          <w:bCs/>
          <w:sz w:val="26"/>
          <w:szCs w:val="26"/>
          <w:rtl/>
          <w:lang w:eastAsia="de-DE"/>
        </w:rPr>
        <w:t xml:space="preserve"> </w:t>
      </w:r>
      <w:r w:rsidRPr="0011347E">
        <w:rPr>
          <w:rFonts w:ascii="Traditional Arabic" w:hAnsi="Traditional Arabic" w:cs="Traditional Arabic" w:hint="cs"/>
          <w:b/>
          <w:bCs/>
          <w:sz w:val="26"/>
          <w:szCs w:val="26"/>
          <w:rtl/>
          <w:lang w:eastAsia="de-DE"/>
        </w:rPr>
        <w:t xml:space="preserve">مقارنة بين تقنيات التحكم في غازات النفايات الرامية لخفض الزئبق (عدد المنشآت بين قوسين) </w:t>
      </w:r>
      <w:r w:rsidRPr="0011347E">
        <w:rPr>
          <w:rFonts w:asciiTheme="majorBidi" w:hAnsiTheme="majorBidi" w:cstheme="majorBidi"/>
          <w:b/>
          <w:bCs/>
          <w:sz w:val="18"/>
          <w:szCs w:val="18"/>
          <w:rtl/>
          <w:lang w:eastAsia="de-DE"/>
        </w:rPr>
        <w:t>(</w:t>
      </w:r>
      <w:r w:rsidRPr="0011347E">
        <w:rPr>
          <w:rFonts w:asciiTheme="majorBidi" w:hAnsiTheme="majorBidi" w:cstheme="majorBidi"/>
          <w:b/>
          <w:bCs/>
          <w:sz w:val="18"/>
          <w:szCs w:val="18"/>
          <w:lang w:eastAsia="de-DE"/>
        </w:rPr>
        <w:t>Daschner et al., 2011</w:t>
      </w:r>
      <w:r w:rsidRPr="0011347E">
        <w:rPr>
          <w:rFonts w:asciiTheme="majorBidi" w:hAnsiTheme="majorBidi" w:cstheme="majorBidi"/>
          <w:b/>
          <w:bCs/>
          <w:sz w:val="18"/>
          <w:szCs w:val="18"/>
          <w:rtl/>
          <w:lang w:eastAsia="de-DE"/>
        </w:rPr>
        <w:t>)</w:t>
      </w:r>
    </w:p>
    <w:bookmarkEnd w:id="2155"/>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ويظهر الجدولان 3 و4 بيانات القياس الفعلية من أفران حرق النفايات الصناعية والبلدية في اليابان. بيد أنه في حالة أفران حرق النفايات الصناعية يوجد انحراف كبير في تركيزات الزئبق في غاز المداخن. وتجدر الإشارة إلى أن الكربون المنشط لا يستخدم في كل هذه المنشآت، منشآت حرق النفايات البلدية ومنشآت حرق النفايات الخطرة. وعادةً ما يكون الأداء أفضل في المنشآت التي يجري فيها حقن الكربون المنشط.</w:t>
      </w:r>
    </w:p>
    <w:p w:rsidR="00335E4B" w:rsidRPr="0011347E" w:rsidRDefault="00335E4B" w:rsidP="0011347E">
      <w:pPr>
        <w:spacing w:line="360" w:lineRule="exact"/>
        <w:ind w:left="-2"/>
        <w:jc w:val="both"/>
        <w:rPr>
          <w:rFonts w:ascii="Traditional Arabic" w:hAnsi="Traditional Arabic" w:cs="Traditional Arabic"/>
          <w:b/>
          <w:bCs/>
          <w:sz w:val="30"/>
          <w:szCs w:val="30"/>
          <w:rtl/>
        </w:rPr>
      </w:pPr>
      <w:bookmarkStart w:id="2156" w:name="_Ref429547172"/>
      <w:r w:rsidRPr="00335E4B">
        <w:rPr>
          <w:rFonts w:ascii="Traditional Arabic" w:hAnsi="Traditional Arabic" w:cs="Traditional Arabic"/>
          <w:b/>
          <w:bCs/>
          <w:sz w:val="26"/>
          <w:szCs w:val="26"/>
          <w:rtl/>
        </w:rPr>
        <w:br w:type="page"/>
      </w:r>
      <w:r w:rsidRPr="00335E4B">
        <w:rPr>
          <w:rFonts w:ascii="Traditional Arabic" w:hAnsi="Traditional Arabic" w:cs="Traditional Arabic" w:hint="cs"/>
          <w:b/>
          <w:bCs/>
          <w:sz w:val="26"/>
          <w:szCs w:val="26"/>
          <w:rtl/>
        </w:rPr>
        <w:t>الجدو</w:t>
      </w:r>
      <w:r w:rsidR="0011347E">
        <w:rPr>
          <w:rFonts w:ascii="Traditional Arabic" w:hAnsi="Traditional Arabic" w:cs="Traditional Arabic" w:hint="cs"/>
          <w:b/>
          <w:bCs/>
          <w:sz w:val="30"/>
          <w:szCs w:val="30"/>
          <w:rtl/>
        </w:rPr>
        <w:t>ل 3</w:t>
      </w:r>
    </w:p>
    <w:p w:rsidR="00335E4B" w:rsidRPr="0011347E" w:rsidRDefault="00335E4B" w:rsidP="0011347E">
      <w:pPr>
        <w:spacing w:after="120" w:line="360" w:lineRule="exact"/>
        <w:jc w:val="both"/>
        <w:rPr>
          <w:rFonts w:ascii="Traditional Arabic" w:hAnsi="Traditional Arabic" w:cs="Traditional Arabic"/>
          <w:sz w:val="30"/>
          <w:szCs w:val="30"/>
          <w:rtl/>
        </w:rPr>
      </w:pPr>
      <w:r w:rsidRPr="0011347E">
        <w:rPr>
          <w:rFonts w:ascii="Traditional Arabic" w:hAnsi="Traditional Arabic" w:cs="Traditional Arabic" w:hint="cs"/>
          <w:sz w:val="30"/>
          <w:szCs w:val="30"/>
          <w:rtl/>
        </w:rPr>
        <w:t>توزيع تركيز الزئبق (ملغرام/متر</w:t>
      </w:r>
      <w:r w:rsidRPr="0011347E">
        <w:rPr>
          <w:rFonts w:ascii="Traditional Arabic" w:hAnsi="Traditional Arabic" w:cs="Traditional Arabic" w:hint="cs"/>
          <w:sz w:val="30"/>
          <w:szCs w:val="30"/>
          <w:vertAlign w:val="superscript"/>
          <w:rtl/>
        </w:rPr>
        <w:t xml:space="preserve">3 </w:t>
      </w:r>
      <w:r w:rsidRPr="0011347E">
        <w:rPr>
          <w:rFonts w:ascii="Traditional Arabic" w:hAnsi="Traditional Arabic" w:cs="Traditional Arabic" w:hint="cs"/>
          <w:sz w:val="30"/>
          <w:szCs w:val="30"/>
          <w:rtl/>
        </w:rPr>
        <w:t>عادي) في غاز المداخن عن طريق تكنولوجيا معالجة غاز المداخن (فرن لحرق النفايات البلدية)</w:t>
      </w:r>
    </w:p>
    <w:tbl>
      <w:tblPr>
        <w:bidiVisual/>
        <w:tblW w:w="9356" w:type="dxa"/>
        <w:tblInd w:w="98" w:type="dxa"/>
        <w:tblCellMar>
          <w:left w:w="99" w:type="dxa"/>
          <w:right w:w="99" w:type="dxa"/>
        </w:tblCellMar>
        <w:tblLook w:val="04A0" w:firstRow="1" w:lastRow="0" w:firstColumn="1" w:lastColumn="0" w:noHBand="0" w:noVBand="1"/>
      </w:tblPr>
      <w:tblGrid>
        <w:gridCol w:w="4497"/>
        <w:gridCol w:w="1000"/>
        <w:gridCol w:w="1378"/>
        <w:gridCol w:w="1000"/>
        <w:gridCol w:w="1481"/>
      </w:tblGrid>
      <w:tr w:rsidR="00335E4B" w:rsidRPr="00335E4B" w:rsidTr="002A4EF2">
        <w:trPr>
          <w:trHeight w:val="240"/>
        </w:trPr>
        <w:tc>
          <w:tcPr>
            <w:tcW w:w="4497" w:type="dxa"/>
            <w:tcBorders>
              <w:top w:val="single" w:sz="4" w:space="0" w:color="auto"/>
              <w:left w:val="single" w:sz="4" w:space="0" w:color="auto"/>
              <w:bottom w:val="single" w:sz="4" w:space="0" w:color="auto"/>
              <w:right w:val="nil"/>
            </w:tcBorders>
            <w:shd w:val="clear" w:color="auto" w:fill="D9D9D9"/>
            <w:noWrap/>
            <w:vAlign w:val="center"/>
          </w:tcPr>
          <w:bookmarkEnd w:id="2156"/>
          <w:p w:rsidR="00335E4B" w:rsidRPr="00335E4B" w:rsidRDefault="00335E4B" w:rsidP="00335E4B">
            <w:pPr>
              <w:keepNext/>
              <w:keepLines/>
              <w:tabs>
                <w:tab w:val="left" w:pos="1247"/>
                <w:tab w:val="left" w:pos="1814"/>
                <w:tab w:val="left" w:pos="2381"/>
                <w:tab w:val="left" w:pos="2948"/>
                <w:tab w:val="left" w:pos="3515"/>
              </w:tabs>
              <w:spacing w:line="280" w:lineRule="exact"/>
              <w:rPr>
                <w:rFonts w:ascii="Traditional Arabic" w:hAnsi="Traditional Arabic" w:cs="Traditional Arabic"/>
                <w:b/>
                <w:bCs/>
                <w:sz w:val="20"/>
                <w:szCs w:val="24"/>
                <w:lang w:eastAsia="ja-JP"/>
              </w:rPr>
            </w:pPr>
            <w:r w:rsidRPr="00335E4B">
              <w:rPr>
                <w:rFonts w:ascii="Traditional Arabic" w:hAnsi="Traditional Arabic" w:cs="Traditional Arabic" w:hint="cs"/>
                <w:b/>
                <w:bCs/>
                <w:sz w:val="20"/>
                <w:szCs w:val="24"/>
                <w:rtl/>
                <w:lang w:eastAsia="ja-JP"/>
              </w:rPr>
              <w:t>نوع معالجة غاز المداخن</w:t>
            </w:r>
          </w:p>
        </w:tc>
        <w:tc>
          <w:tcPr>
            <w:tcW w:w="10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5E4B" w:rsidRPr="00335E4B" w:rsidRDefault="00335E4B" w:rsidP="00335E4B">
            <w:pPr>
              <w:keepNext/>
              <w:keepLines/>
              <w:tabs>
                <w:tab w:val="left" w:pos="1247"/>
                <w:tab w:val="left" w:pos="1814"/>
                <w:tab w:val="left" w:pos="2381"/>
                <w:tab w:val="left" w:pos="2948"/>
                <w:tab w:val="left" w:pos="3515"/>
              </w:tabs>
              <w:spacing w:line="280" w:lineRule="exact"/>
              <w:rPr>
                <w:rFonts w:ascii="Traditional Arabic" w:hAnsi="Traditional Arabic" w:cs="Traditional Arabic"/>
                <w:b/>
                <w:bCs/>
                <w:sz w:val="20"/>
                <w:szCs w:val="24"/>
                <w:lang w:eastAsia="ja-JP"/>
              </w:rPr>
            </w:pPr>
            <w:r w:rsidRPr="00335E4B">
              <w:rPr>
                <w:rFonts w:ascii="Traditional Arabic" w:hAnsi="Traditional Arabic" w:cs="Traditional Arabic" w:hint="cs"/>
                <w:b/>
                <w:bCs/>
                <w:sz w:val="20"/>
                <w:szCs w:val="24"/>
                <w:rtl/>
                <w:lang w:eastAsia="ja-JP"/>
              </w:rPr>
              <w:t>القيم الدنيا</w:t>
            </w:r>
          </w:p>
        </w:tc>
        <w:tc>
          <w:tcPr>
            <w:tcW w:w="1378" w:type="dxa"/>
            <w:tcBorders>
              <w:top w:val="single" w:sz="4" w:space="0" w:color="auto"/>
              <w:left w:val="nil"/>
              <w:bottom w:val="single" w:sz="4" w:space="0" w:color="auto"/>
              <w:right w:val="single" w:sz="4" w:space="0" w:color="auto"/>
            </w:tcBorders>
            <w:shd w:val="clear" w:color="auto" w:fill="D9D9D9"/>
            <w:noWrap/>
            <w:vAlign w:val="center"/>
          </w:tcPr>
          <w:p w:rsidR="00335E4B" w:rsidRPr="00335E4B" w:rsidRDefault="00335E4B" w:rsidP="00335E4B">
            <w:pPr>
              <w:keepNext/>
              <w:keepLines/>
              <w:tabs>
                <w:tab w:val="left" w:pos="1247"/>
                <w:tab w:val="left" w:pos="1814"/>
                <w:tab w:val="left" w:pos="2381"/>
                <w:tab w:val="left" w:pos="2948"/>
                <w:tab w:val="left" w:pos="3515"/>
              </w:tabs>
              <w:spacing w:line="280" w:lineRule="exact"/>
              <w:rPr>
                <w:rFonts w:ascii="Traditional Arabic" w:hAnsi="Traditional Arabic" w:cs="Traditional Arabic"/>
                <w:b/>
                <w:bCs/>
                <w:sz w:val="20"/>
                <w:szCs w:val="24"/>
                <w:lang w:eastAsia="ja-JP"/>
              </w:rPr>
            </w:pPr>
            <w:r w:rsidRPr="00335E4B">
              <w:rPr>
                <w:rFonts w:ascii="Traditional Arabic" w:hAnsi="Traditional Arabic" w:cs="Traditional Arabic" w:hint="cs"/>
                <w:b/>
                <w:bCs/>
                <w:sz w:val="20"/>
                <w:szCs w:val="24"/>
                <w:rtl/>
                <w:lang w:eastAsia="ja-JP"/>
              </w:rPr>
              <w:t>الوسط الحسابي</w:t>
            </w:r>
          </w:p>
        </w:tc>
        <w:tc>
          <w:tcPr>
            <w:tcW w:w="1000" w:type="dxa"/>
            <w:tcBorders>
              <w:top w:val="single" w:sz="4" w:space="0" w:color="auto"/>
              <w:left w:val="nil"/>
              <w:bottom w:val="single" w:sz="4" w:space="0" w:color="auto"/>
              <w:right w:val="single" w:sz="4" w:space="0" w:color="auto"/>
            </w:tcBorders>
            <w:shd w:val="clear" w:color="auto" w:fill="D9D9D9"/>
            <w:noWrap/>
            <w:vAlign w:val="center"/>
          </w:tcPr>
          <w:p w:rsidR="00335E4B" w:rsidRPr="00335E4B" w:rsidRDefault="00335E4B" w:rsidP="00335E4B">
            <w:pPr>
              <w:keepNext/>
              <w:keepLines/>
              <w:tabs>
                <w:tab w:val="left" w:pos="1247"/>
                <w:tab w:val="left" w:pos="1814"/>
                <w:tab w:val="left" w:pos="2381"/>
                <w:tab w:val="left" w:pos="2948"/>
                <w:tab w:val="left" w:pos="3515"/>
              </w:tabs>
              <w:spacing w:line="280" w:lineRule="exact"/>
              <w:rPr>
                <w:rFonts w:ascii="Traditional Arabic" w:hAnsi="Traditional Arabic" w:cs="Traditional Arabic"/>
                <w:b/>
                <w:bCs/>
                <w:sz w:val="20"/>
                <w:szCs w:val="24"/>
                <w:lang w:eastAsia="ja-JP"/>
              </w:rPr>
            </w:pPr>
            <w:r w:rsidRPr="00335E4B">
              <w:rPr>
                <w:rFonts w:ascii="Traditional Arabic" w:hAnsi="Traditional Arabic" w:cs="Traditional Arabic" w:hint="cs"/>
                <w:b/>
                <w:bCs/>
                <w:sz w:val="20"/>
                <w:szCs w:val="24"/>
                <w:rtl/>
                <w:lang w:eastAsia="ja-JP"/>
              </w:rPr>
              <w:t>القيم القصوى</w:t>
            </w:r>
          </w:p>
        </w:tc>
        <w:tc>
          <w:tcPr>
            <w:tcW w:w="1481" w:type="dxa"/>
            <w:tcBorders>
              <w:top w:val="single" w:sz="4" w:space="0" w:color="auto"/>
              <w:left w:val="nil"/>
              <w:bottom w:val="single" w:sz="4" w:space="0" w:color="auto"/>
              <w:right w:val="single" w:sz="4" w:space="0" w:color="auto"/>
            </w:tcBorders>
            <w:shd w:val="clear" w:color="auto" w:fill="D9D9D9"/>
            <w:noWrap/>
            <w:vAlign w:val="center"/>
          </w:tcPr>
          <w:p w:rsidR="00335E4B" w:rsidRPr="00335E4B" w:rsidRDefault="00335E4B" w:rsidP="00335E4B">
            <w:pPr>
              <w:keepNext/>
              <w:keepLines/>
              <w:tabs>
                <w:tab w:val="left" w:pos="1247"/>
                <w:tab w:val="left" w:pos="1814"/>
                <w:tab w:val="left" w:pos="2381"/>
                <w:tab w:val="left" w:pos="2948"/>
                <w:tab w:val="left" w:pos="3515"/>
              </w:tabs>
              <w:spacing w:line="280" w:lineRule="exact"/>
              <w:rPr>
                <w:rFonts w:ascii="Traditional Arabic" w:hAnsi="Traditional Arabic" w:cs="Traditional Arabic"/>
                <w:b/>
                <w:bCs/>
                <w:sz w:val="20"/>
                <w:szCs w:val="24"/>
                <w:lang w:eastAsia="ja-JP"/>
              </w:rPr>
            </w:pPr>
            <w:r w:rsidRPr="00335E4B">
              <w:rPr>
                <w:rFonts w:ascii="Traditional Arabic" w:hAnsi="Traditional Arabic" w:cs="Traditional Arabic" w:hint="cs"/>
                <w:b/>
                <w:bCs/>
                <w:sz w:val="20"/>
                <w:szCs w:val="24"/>
                <w:rtl/>
                <w:lang w:eastAsia="ja-JP"/>
              </w:rPr>
              <w:t>الانحراف المعياري</w:t>
            </w:r>
          </w:p>
        </w:tc>
      </w:tr>
      <w:tr w:rsidR="00335E4B" w:rsidRPr="00335E4B" w:rsidTr="002A4EF2">
        <w:trPr>
          <w:trHeight w:val="480"/>
        </w:trPr>
        <w:tc>
          <w:tcPr>
            <w:tcW w:w="4497" w:type="dxa"/>
            <w:tcBorders>
              <w:top w:val="nil"/>
              <w:left w:val="single" w:sz="4" w:space="0" w:color="auto"/>
              <w:bottom w:val="single" w:sz="4" w:space="0" w:color="auto"/>
              <w:right w:val="single" w:sz="4" w:space="0" w:color="auto"/>
            </w:tcBorders>
            <w:vAlign w:val="center"/>
          </w:tcPr>
          <w:p w:rsidR="00335E4B" w:rsidRPr="00335E4B" w:rsidRDefault="00335E4B" w:rsidP="00335E4B">
            <w:pPr>
              <w:tabs>
                <w:tab w:val="left" w:pos="1247"/>
                <w:tab w:val="left" w:pos="1814"/>
                <w:tab w:val="left" w:pos="2381"/>
                <w:tab w:val="left" w:pos="2948"/>
                <w:tab w:val="left" w:pos="3515"/>
              </w:tabs>
              <w:spacing w:line="280" w:lineRule="exact"/>
              <w:rPr>
                <w:rFonts w:ascii="Traditional Arabic" w:hAnsi="Traditional Arabic" w:cs="Traditional Arabic"/>
                <w:color w:val="000000"/>
                <w:sz w:val="20"/>
                <w:szCs w:val="24"/>
                <w:lang w:eastAsia="ja-JP"/>
              </w:rPr>
            </w:pPr>
            <w:r w:rsidRPr="00335E4B">
              <w:rPr>
                <w:rFonts w:ascii="Traditional Arabic" w:hAnsi="Traditional Arabic" w:cs="Traditional Arabic" w:hint="cs"/>
                <w:color w:val="000000"/>
                <w:sz w:val="20"/>
                <w:szCs w:val="24"/>
                <w:rtl/>
                <w:lang w:eastAsia="ja-JP"/>
              </w:rPr>
              <w:t>مرشح نسيجي + حقن الجير المطفأ (جاف) (86 فرناً)</w:t>
            </w:r>
          </w:p>
        </w:tc>
        <w:tc>
          <w:tcPr>
            <w:tcW w:w="1000" w:type="dxa"/>
            <w:tcBorders>
              <w:top w:val="nil"/>
              <w:left w:val="single" w:sz="4" w:space="0" w:color="auto"/>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w:t>
            </w:r>
            <w:r w:rsidRPr="00335E4B">
              <w:rPr>
                <w:rFonts w:cs="Times New Roman" w:hint="cs"/>
                <w:color w:val="000000"/>
                <w:sz w:val="20"/>
                <w:szCs w:val="20"/>
                <w:rtl/>
                <w:lang w:val="en-GB"/>
              </w:rPr>
              <w:t>,</w:t>
            </w:r>
            <w:r w:rsidRPr="00335E4B">
              <w:rPr>
                <w:rFonts w:cs="Times New Roman"/>
                <w:color w:val="000000"/>
                <w:sz w:val="20"/>
                <w:szCs w:val="20"/>
                <w:rtl/>
                <w:lang w:val="en-GB"/>
              </w:rPr>
              <w:t>0005</w:t>
            </w:r>
          </w:p>
        </w:tc>
        <w:tc>
          <w:tcPr>
            <w:tcW w:w="1378" w:type="dxa"/>
            <w:tcBorders>
              <w:top w:val="nil"/>
              <w:left w:val="nil"/>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0,0176</w:t>
            </w:r>
          </w:p>
        </w:tc>
        <w:tc>
          <w:tcPr>
            <w:tcW w:w="1000" w:type="dxa"/>
            <w:tcBorders>
              <w:top w:val="nil"/>
              <w:left w:val="nil"/>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0,165</w:t>
            </w:r>
          </w:p>
        </w:tc>
        <w:tc>
          <w:tcPr>
            <w:tcW w:w="1481" w:type="dxa"/>
            <w:tcBorders>
              <w:top w:val="nil"/>
              <w:left w:val="nil"/>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0,022</w:t>
            </w:r>
          </w:p>
        </w:tc>
      </w:tr>
      <w:tr w:rsidR="00335E4B" w:rsidRPr="00335E4B" w:rsidTr="002A4EF2">
        <w:trPr>
          <w:trHeight w:val="480"/>
        </w:trPr>
        <w:tc>
          <w:tcPr>
            <w:tcW w:w="4497" w:type="dxa"/>
            <w:tcBorders>
              <w:top w:val="nil"/>
              <w:left w:val="single" w:sz="4" w:space="0" w:color="auto"/>
              <w:bottom w:val="single" w:sz="4" w:space="0" w:color="auto"/>
              <w:right w:val="single" w:sz="4" w:space="0" w:color="auto"/>
            </w:tcBorders>
            <w:vAlign w:val="center"/>
          </w:tcPr>
          <w:p w:rsidR="00335E4B" w:rsidRPr="00335E4B" w:rsidRDefault="00335E4B" w:rsidP="00335E4B">
            <w:pPr>
              <w:tabs>
                <w:tab w:val="left" w:pos="1247"/>
                <w:tab w:val="left" w:pos="1814"/>
                <w:tab w:val="left" w:pos="2381"/>
                <w:tab w:val="left" w:pos="2948"/>
                <w:tab w:val="left" w:pos="3515"/>
              </w:tabs>
              <w:spacing w:line="280" w:lineRule="exact"/>
              <w:rPr>
                <w:rFonts w:ascii="Traditional Arabic" w:hAnsi="Traditional Arabic" w:cs="Traditional Arabic"/>
                <w:color w:val="000000"/>
                <w:sz w:val="20"/>
                <w:szCs w:val="24"/>
                <w:rtl/>
                <w:lang w:eastAsia="ja-JP"/>
              </w:rPr>
            </w:pPr>
            <w:r w:rsidRPr="00335E4B">
              <w:rPr>
                <w:rFonts w:ascii="Traditional Arabic" w:hAnsi="Traditional Arabic" w:cs="Traditional Arabic" w:hint="cs"/>
                <w:color w:val="000000"/>
                <w:sz w:val="20"/>
                <w:szCs w:val="24"/>
                <w:rtl/>
                <w:lang w:eastAsia="ja-JP"/>
              </w:rPr>
              <w:t>مرشح نسيجي + جهاز تنظيف (32 فرناً)</w:t>
            </w:r>
          </w:p>
        </w:tc>
        <w:tc>
          <w:tcPr>
            <w:tcW w:w="1000" w:type="dxa"/>
            <w:tcBorders>
              <w:top w:val="nil"/>
              <w:left w:val="single" w:sz="4" w:space="0" w:color="auto"/>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w:t>
            </w:r>
            <w:r w:rsidRPr="00335E4B">
              <w:rPr>
                <w:rFonts w:cs="Times New Roman" w:hint="cs"/>
                <w:color w:val="000000"/>
                <w:sz w:val="20"/>
                <w:szCs w:val="20"/>
                <w:rtl/>
                <w:lang w:val="en-GB"/>
              </w:rPr>
              <w:t>,</w:t>
            </w:r>
            <w:r w:rsidRPr="00335E4B">
              <w:rPr>
                <w:rFonts w:cs="Times New Roman"/>
                <w:color w:val="000000"/>
                <w:sz w:val="20"/>
                <w:szCs w:val="20"/>
                <w:rtl/>
                <w:lang w:val="en-GB"/>
              </w:rPr>
              <w:t>0002</w:t>
            </w:r>
          </w:p>
        </w:tc>
        <w:tc>
          <w:tcPr>
            <w:tcW w:w="1378" w:type="dxa"/>
            <w:tcBorders>
              <w:top w:val="nil"/>
              <w:left w:val="nil"/>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0,0114</w:t>
            </w:r>
          </w:p>
        </w:tc>
        <w:tc>
          <w:tcPr>
            <w:tcW w:w="1000" w:type="dxa"/>
            <w:tcBorders>
              <w:top w:val="nil"/>
              <w:left w:val="nil"/>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0,074</w:t>
            </w:r>
          </w:p>
        </w:tc>
        <w:tc>
          <w:tcPr>
            <w:tcW w:w="1481" w:type="dxa"/>
            <w:tcBorders>
              <w:top w:val="nil"/>
              <w:left w:val="nil"/>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0,015</w:t>
            </w:r>
          </w:p>
        </w:tc>
      </w:tr>
      <w:tr w:rsidR="00335E4B" w:rsidRPr="00335E4B" w:rsidTr="002A4EF2">
        <w:trPr>
          <w:trHeight w:val="480"/>
        </w:trPr>
        <w:tc>
          <w:tcPr>
            <w:tcW w:w="4497" w:type="dxa"/>
            <w:tcBorders>
              <w:top w:val="nil"/>
              <w:left w:val="single" w:sz="4" w:space="0" w:color="auto"/>
              <w:bottom w:val="single" w:sz="4" w:space="0" w:color="auto"/>
              <w:right w:val="single" w:sz="4" w:space="0" w:color="auto"/>
            </w:tcBorders>
            <w:vAlign w:val="center"/>
          </w:tcPr>
          <w:p w:rsidR="00335E4B" w:rsidRPr="00335E4B" w:rsidRDefault="00335E4B" w:rsidP="00335E4B">
            <w:pPr>
              <w:tabs>
                <w:tab w:val="left" w:pos="1247"/>
                <w:tab w:val="left" w:pos="1814"/>
                <w:tab w:val="left" w:pos="2381"/>
                <w:tab w:val="left" w:pos="2948"/>
                <w:tab w:val="left" w:pos="3515"/>
              </w:tabs>
              <w:spacing w:line="280" w:lineRule="exact"/>
              <w:rPr>
                <w:rFonts w:ascii="Traditional Arabic" w:hAnsi="Traditional Arabic" w:cs="Traditional Arabic"/>
                <w:color w:val="000000"/>
                <w:sz w:val="20"/>
                <w:szCs w:val="24"/>
                <w:rtl/>
                <w:lang w:eastAsia="ja-JP"/>
              </w:rPr>
            </w:pPr>
            <w:r w:rsidRPr="00335E4B">
              <w:rPr>
                <w:rFonts w:ascii="Traditional Arabic" w:hAnsi="Traditional Arabic" w:cs="Traditional Arabic" w:hint="cs"/>
                <w:color w:val="000000"/>
                <w:sz w:val="20"/>
                <w:szCs w:val="24"/>
                <w:rtl/>
                <w:lang w:eastAsia="ja-JP"/>
              </w:rPr>
              <w:t>مرشح نسيجي + (جير مطفأ أو جهاز تنظيف) + المعالجة بالكربون المنشط (229 فرناً)</w:t>
            </w:r>
          </w:p>
        </w:tc>
        <w:tc>
          <w:tcPr>
            <w:tcW w:w="1000" w:type="dxa"/>
            <w:tcBorders>
              <w:top w:val="nil"/>
              <w:left w:val="single" w:sz="4" w:space="0" w:color="auto"/>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w:t>
            </w:r>
            <w:r w:rsidRPr="00335E4B">
              <w:rPr>
                <w:rFonts w:cs="Times New Roman" w:hint="cs"/>
                <w:color w:val="000000"/>
                <w:sz w:val="20"/>
                <w:szCs w:val="20"/>
                <w:rtl/>
                <w:lang w:val="en-GB"/>
              </w:rPr>
              <w:t>,</w:t>
            </w:r>
            <w:r w:rsidRPr="00335E4B">
              <w:rPr>
                <w:rFonts w:cs="Times New Roman"/>
                <w:color w:val="000000"/>
                <w:sz w:val="20"/>
                <w:szCs w:val="20"/>
                <w:rtl/>
                <w:lang w:val="en-GB"/>
              </w:rPr>
              <w:t>0002</w:t>
            </w:r>
          </w:p>
        </w:tc>
        <w:tc>
          <w:tcPr>
            <w:tcW w:w="1378" w:type="dxa"/>
            <w:tcBorders>
              <w:top w:val="nil"/>
              <w:left w:val="nil"/>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0,0081</w:t>
            </w:r>
          </w:p>
        </w:tc>
        <w:tc>
          <w:tcPr>
            <w:tcW w:w="1000" w:type="dxa"/>
            <w:tcBorders>
              <w:top w:val="nil"/>
              <w:left w:val="nil"/>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0,249</w:t>
            </w:r>
          </w:p>
        </w:tc>
        <w:tc>
          <w:tcPr>
            <w:tcW w:w="1481" w:type="dxa"/>
            <w:tcBorders>
              <w:top w:val="nil"/>
              <w:left w:val="nil"/>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0,020</w:t>
            </w:r>
          </w:p>
        </w:tc>
      </w:tr>
      <w:tr w:rsidR="00335E4B" w:rsidRPr="00335E4B" w:rsidTr="002A4EF2">
        <w:trPr>
          <w:trHeight w:val="480"/>
        </w:trPr>
        <w:tc>
          <w:tcPr>
            <w:tcW w:w="4497" w:type="dxa"/>
            <w:tcBorders>
              <w:top w:val="nil"/>
              <w:left w:val="single" w:sz="4" w:space="0" w:color="auto"/>
              <w:bottom w:val="single" w:sz="4" w:space="0" w:color="auto"/>
              <w:right w:val="single" w:sz="4" w:space="0" w:color="auto"/>
            </w:tcBorders>
            <w:vAlign w:val="center"/>
          </w:tcPr>
          <w:p w:rsidR="00335E4B" w:rsidRPr="00335E4B" w:rsidRDefault="00335E4B" w:rsidP="00335E4B">
            <w:pPr>
              <w:tabs>
                <w:tab w:val="left" w:pos="1247"/>
                <w:tab w:val="left" w:pos="1814"/>
                <w:tab w:val="left" w:pos="2381"/>
                <w:tab w:val="left" w:pos="2948"/>
                <w:tab w:val="left" w:pos="3515"/>
              </w:tabs>
              <w:spacing w:line="280" w:lineRule="exact"/>
              <w:rPr>
                <w:rFonts w:ascii="Traditional Arabic" w:hAnsi="Traditional Arabic" w:cs="Traditional Arabic"/>
                <w:color w:val="000000"/>
                <w:sz w:val="20"/>
                <w:szCs w:val="24"/>
                <w:lang w:eastAsia="ja-JP"/>
              </w:rPr>
            </w:pPr>
            <w:r w:rsidRPr="00335E4B">
              <w:rPr>
                <w:rFonts w:ascii="Traditional Arabic" w:hAnsi="Traditional Arabic" w:cs="Traditional Arabic" w:hint="cs"/>
                <w:color w:val="000000"/>
                <w:sz w:val="20"/>
                <w:szCs w:val="24"/>
                <w:rtl/>
                <w:lang w:eastAsia="ja-JP"/>
              </w:rPr>
              <w:t>جهاز ترسيب كهروستاتيكي + جهاز تنظيف (9 أفران حرق)</w:t>
            </w:r>
          </w:p>
        </w:tc>
        <w:tc>
          <w:tcPr>
            <w:tcW w:w="1000" w:type="dxa"/>
            <w:tcBorders>
              <w:top w:val="nil"/>
              <w:left w:val="single" w:sz="4" w:space="0" w:color="auto"/>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w:t>
            </w:r>
            <w:r w:rsidRPr="00335E4B">
              <w:rPr>
                <w:rFonts w:cs="Times New Roman" w:hint="cs"/>
                <w:color w:val="000000"/>
                <w:sz w:val="20"/>
                <w:szCs w:val="20"/>
                <w:rtl/>
                <w:lang w:val="en-GB"/>
              </w:rPr>
              <w:t>,</w:t>
            </w:r>
            <w:r w:rsidRPr="00335E4B">
              <w:rPr>
                <w:rFonts w:cs="Times New Roman"/>
                <w:color w:val="000000"/>
                <w:sz w:val="20"/>
                <w:szCs w:val="20"/>
                <w:rtl/>
                <w:lang w:val="en-GB"/>
              </w:rPr>
              <w:t>004</w:t>
            </w:r>
          </w:p>
        </w:tc>
        <w:tc>
          <w:tcPr>
            <w:tcW w:w="1378" w:type="dxa"/>
            <w:tcBorders>
              <w:top w:val="nil"/>
              <w:left w:val="nil"/>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0,0154</w:t>
            </w:r>
          </w:p>
        </w:tc>
        <w:tc>
          <w:tcPr>
            <w:tcW w:w="1000" w:type="dxa"/>
            <w:tcBorders>
              <w:top w:val="nil"/>
              <w:left w:val="nil"/>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0,047</w:t>
            </w:r>
          </w:p>
        </w:tc>
        <w:tc>
          <w:tcPr>
            <w:tcW w:w="1481" w:type="dxa"/>
            <w:tcBorders>
              <w:top w:val="nil"/>
              <w:left w:val="nil"/>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0,014</w:t>
            </w:r>
          </w:p>
        </w:tc>
      </w:tr>
      <w:tr w:rsidR="00335E4B" w:rsidRPr="00335E4B" w:rsidTr="002A4EF2">
        <w:trPr>
          <w:trHeight w:val="495"/>
        </w:trPr>
        <w:tc>
          <w:tcPr>
            <w:tcW w:w="4497" w:type="dxa"/>
            <w:tcBorders>
              <w:top w:val="nil"/>
              <w:left w:val="single" w:sz="4" w:space="0" w:color="auto"/>
              <w:bottom w:val="single" w:sz="4" w:space="0" w:color="auto"/>
              <w:right w:val="single" w:sz="4" w:space="0" w:color="auto"/>
            </w:tcBorders>
            <w:vAlign w:val="center"/>
          </w:tcPr>
          <w:p w:rsidR="00335E4B" w:rsidRPr="00335E4B" w:rsidRDefault="00335E4B" w:rsidP="00335E4B">
            <w:pPr>
              <w:tabs>
                <w:tab w:val="left" w:pos="1247"/>
                <w:tab w:val="left" w:pos="1814"/>
                <w:tab w:val="left" w:pos="2381"/>
                <w:tab w:val="left" w:pos="2948"/>
                <w:tab w:val="left" w:pos="3515"/>
              </w:tabs>
              <w:spacing w:line="280" w:lineRule="exact"/>
              <w:rPr>
                <w:rFonts w:ascii="Traditional Arabic" w:hAnsi="Traditional Arabic" w:cs="Traditional Arabic"/>
                <w:color w:val="000000"/>
                <w:sz w:val="20"/>
                <w:szCs w:val="24"/>
                <w:lang w:eastAsia="ja-JP"/>
              </w:rPr>
            </w:pPr>
            <w:r w:rsidRPr="00335E4B">
              <w:rPr>
                <w:rFonts w:ascii="Traditional Arabic" w:hAnsi="Traditional Arabic" w:cs="Traditional Arabic" w:hint="cs"/>
                <w:color w:val="000000"/>
                <w:sz w:val="20"/>
                <w:szCs w:val="24"/>
                <w:rtl/>
                <w:lang w:eastAsia="ja-JP"/>
              </w:rPr>
              <w:t>جهاز ترسيب كهروستاتيكي + جهاز تنظيف + المعالجة بالكربون المنشط (11 فرناً)</w:t>
            </w:r>
          </w:p>
        </w:tc>
        <w:tc>
          <w:tcPr>
            <w:tcW w:w="1000" w:type="dxa"/>
            <w:tcBorders>
              <w:top w:val="nil"/>
              <w:left w:val="single" w:sz="4" w:space="0" w:color="auto"/>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w:t>
            </w:r>
            <w:r w:rsidRPr="00335E4B">
              <w:rPr>
                <w:rFonts w:cs="Times New Roman" w:hint="cs"/>
                <w:color w:val="000000"/>
                <w:sz w:val="20"/>
                <w:szCs w:val="20"/>
                <w:rtl/>
                <w:lang w:val="en-GB"/>
              </w:rPr>
              <w:t>,</w:t>
            </w:r>
            <w:r w:rsidRPr="00335E4B">
              <w:rPr>
                <w:rFonts w:cs="Times New Roman"/>
                <w:color w:val="000000"/>
                <w:sz w:val="20"/>
                <w:szCs w:val="20"/>
                <w:rtl/>
                <w:lang w:val="en-GB"/>
              </w:rPr>
              <w:t>0005</w:t>
            </w:r>
          </w:p>
        </w:tc>
        <w:tc>
          <w:tcPr>
            <w:tcW w:w="1378" w:type="dxa"/>
            <w:tcBorders>
              <w:top w:val="nil"/>
              <w:left w:val="nil"/>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0,0043</w:t>
            </w:r>
          </w:p>
        </w:tc>
        <w:tc>
          <w:tcPr>
            <w:tcW w:w="1000" w:type="dxa"/>
            <w:tcBorders>
              <w:top w:val="nil"/>
              <w:left w:val="nil"/>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0,014</w:t>
            </w:r>
          </w:p>
        </w:tc>
        <w:tc>
          <w:tcPr>
            <w:tcW w:w="1481" w:type="dxa"/>
            <w:tcBorders>
              <w:top w:val="nil"/>
              <w:left w:val="nil"/>
              <w:bottom w:val="single" w:sz="4" w:space="0" w:color="auto"/>
              <w:right w:val="single" w:sz="4" w:space="0" w:color="auto"/>
            </w:tcBorders>
            <w:noWrap/>
            <w:vAlign w:val="center"/>
          </w:tcPr>
          <w:p w:rsidR="00335E4B" w:rsidRPr="00335E4B" w:rsidRDefault="00335E4B" w:rsidP="00335E4B">
            <w:pPr>
              <w:tabs>
                <w:tab w:val="left" w:pos="1247"/>
                <w:tab w:val="left" w:pos="1814"/>
                <w:tab w:val="left" w:pos="2381"/>
                <w:tab w:val="left" w:pos="2948"/>
                <w:tab w:val="left" w:pos="3515"/>
              </w:tabs>
              <w:spacing w:line="280" w:lineRule="exact"/>
              <w:rPr>
                <w:rFonts w:cs="Times New Roman"/>
                <w:color w:val="000000"/>
                <w:sz w:val="20"/>
                <w:szCs w:val="20"/>
                <w:rtl/>
                <w:lang w:eastAsia="ja-JP"/>
              </w:rPr>
            </w:pPr>
            <w:r w:rsidRPr="00335E4B">
              <w:rPr>
                <w:rFonts w:cs="Times New Roman"/>
                <w:color w:val="000000"/>
                <w:sz w:val="20"/>
                <w:szCs w:val="20"/>
                <w:rtl/>
                <w:lang w:val="en-GB"/>
              </w:rPr>
              <w:t>0,004</w:t>
            </w:r>
          </w:p>
        </w:tc>
      </w:tr>
    </w:tbl>
    <w:p w:rsidR="00335E4B" w:rsidRPr="002A4EF2" w:rsidRDefault="00335E4B" w:rsidP="002A4EF2">
      <w:pPr>
        <w:tabs>
          <w:tab w:val="left" w:pos="1247"/>
          <w:tab w:val="left" w:pos="1814"/>
          <w:tab w:val="left" w:pos="2381"/>
          <w:tab w:val="left" w:pos="2948"/>
          <w:tab w:val="left" w:pos="3515"/>
        </w:tabs>
        <w:spacing w:before="120" w:after="240" w:line="360" w:lineRule="exact"/>
        <w:rPr>
          <w:rFonts w:ascii="Traditional Arabic" w:hAnsi="Traditional Arabic" w:cs="Traditional Arabic"/>
          <w:sz w:val="26"/>
          <w:szCs w:val="26"/>
          <w:rtl/>
        </w:rPr>
      </w:pPr>
      <w:r w:rsidRPr="002A4EF2">
        <w:rPr>
          <w:rFonts w:ascii="Traditional Arabic" w:hAnsi="Traditional Arabic" w:cs="Traditional Arabic"/>
          <w:sz w:val="26"/>
          <w:szCs w:val="26"/>
          <w:rtl/>
        </w:rPr>
        <w:t xml:space="preserve">المعالجة بالكربون المنشط: </w:t>
      </w:r>
      <w:r w:rsidRPr="002A4EF2">
        <w:rPr>
          <w:rFonts w:ascii="Traditional Arabic" w:hAnsi="Traditional Arabic" w:cs="Traditional Arabic" w:hint="cs"/>
          <w:sz w:val="26"/>
          <w:szCs w:val="26"/>
          <w:rtl/>
        </w:rPr>
        <w:t>حقن الكربون المنشط، برج امتزاز الكربون المنشط أو امتزاز فحم الكوك المنشط</w:t>
      </w:r>
    </w:p>
    <w:p w:rsidR="00335E4B" w:rsidRDefault="00335E4B" w:rsidP="002A4EF2">
      <w:pPr>
        <w:spacing w:after="120" w:line="380" w:lineRule="exact"/>
        <w:jc w:val="both"/>
        <w:rPr>
          <w:rFonts w:ascii="Traditional Arabic" w:hAnsi="Traditional Arabic" w:cs="Traditional Arabic"/>
          <w:b/>
          <w:bCs/>
          <w:sz w:val="30"/>
          <w:szCs w:val="30"/>
          <w:rtl/>
        </w:rPr>
      </w:pPr>
      <w:bookmarkStart w:id="2157" w:name="_Ref429547183"/>
      <w:r w:rsidRPr="002A4EF2">
        <w:rPr>
          <w:rFonts w:ascii="Traditional Arabic" w:hAnsi="Traditional Arabic" w:cs="Traditional Arabic" w:hint="cs"/>
          <w:b/>
          <w:bCs/>
          <w:sz w:val="30"/>
          <w:szCs w:val="30"/>
          <w:rtl/>
        </w:rPr>
        <w:t>الجدول 4</w:t>
      </w:r>
    </w:p>
    <w:p w:rsidR="00501B34" w:rsidRPr="002A4EF2" w:rsidRDefault="00501B34" w:rsidP="00501B34">
      <w:pPr>
        <w:spacing w:after="120" w:line="380" w:lineRule="exact"/>
        <w:jc w:val="both"/>
        <w:rPr>
          <w:rFonts w:ascii="Traditional Arabic" w:hAnsi="Traditional Arabic" w:cs="Traditional Arabic"/>
          <w:sz w:val="30"/>
          <w:szCs w:val="30"/>
          <w:rtl/>
        </w:rPr>
      </w:pPr>
      <w:r w:rsidRPr="002A4EF2">
        <w:rPr>
          <w:rFonts w:ascii="Traditional Arabic" w:hAnsi="Traditional Arabic" w:cs="Traditional Arabic" w:hint="cs"/>
          <w:sz w:val="30"/>
          <w:szCs w:val="30"/>
          <w:rtl/>
        </w:rPr>
        <w:t>توزيع تركيز الزئبق (ملغم/متر</w:t>
      </w:r>
      <w:r w:rsidRPr="002A4EF2">
        <w:rPr>
          <w:rFonts w:ascii="Traditional Arabic" w:hAnsi="Traditional Arabic" w:cs="Traditional Arabic" w:hint="cs"/>
          <w:sz w:val="30"/>
          <w:szCs w:val="30"/>
          <w:vertAlign w:val="superscript"/>
          <w:rtl/>
        </w:rPr>
        <w:t xml:space="preserve">3 </w:t>
      </w:r>
      <w:r w:rsidRPr="002A4EF2">
        <w:rPr>
          <w:rFonts w:ascii="Traditional Arabic" w:hAnsi="Traditional Arabic" w:cs="Traditional Arabic" w:hint="cs"/>
          <w:sz w:val="30"/>
          <w:szCs w:val="30"/>
          <w:rtl/>
        </w:rPr>
        <w:t>عادي) في غاز المداخن عن طريق تكنولوجيا معالجة غاز المداخن (فرن لحرق النفايات الصناعية)</w:t>
      </w:r>
    </w:p>
    <w:tbl>
      <w:tblPr>
        <w:bidiVisual/>
        <w:tblW w:w="9356" w:type="dxa"/>
        <w:tblInd w:w="98" w:type="dxa"/>
        <w:tblCellMar>
          <w:left w:w="99" w:type="dxa"/>
          <w:right w:w="99" w:type="dxa"/>
        </w:tblCellMar>
        <w:tblLook w:val="04A0" w:firstRow="1" w:lastRow="0" w:firstColumn="1" w:lastColumn="0" w:noHBand="0" w:noVBand="1"/>
      </w:tblPr>
      <w:tblGrid>
        <w:gridCol w:w="4122"/>
        <w:gridCol w:w="528"/>
        <w:gridCol w:w="978"/>
        <w:gridCol w:w="1246"/>
        <w:gridCol w:w="978"/>
        <w:gridCol w:w="1504"/>
      </w:tblGrid>
      <w:tr w:rsidR="00501B34" w:rsidRPr="00335E4B" w:rsidTr="00501B34">
        <w:trPr>
          <w:trHeight w:val="240"/>
          <w:tblHeader/>
        </w:trPr>
        <w:tc>
          <w:tcPr>
            <w:tcW w:w="4122" w:type="dxa"/>
            <w:tcBorders>
              <w:top w:val="single" w:sz="4" w:space="0" w:color="auto"/>
              <w:left w:val="single" w:sz="4" w:space="0" w:color="auto"/>
              <w:bottom w:val="single" w:sz="4" w:space="0" w:color="auto"/>
              <w:right w:val="nil"/>
            </w:tcBorders>
            <w:shd w:val="clear" w:color="auto" w:fill="D9D9D9"/>
            <w:noWrap/>
            <w:vAlign w:val="center"/>
          </w:tcPr>
          <w:p w:rsidR="00501B34" w:rsidRPr="00335E4B" w:rsidRDefault="00501B34" w:rsidP="00501B34">
            <w:pPr>
              <w:keepNext/>
              <w:keepLines/>
              <w:tabs>
                <w:tab w:val="left" w:pos="1247"/>
                <w:tab w:val="left" w:pos="1814"/>
                <w:tab w:val="left" w:pos="2381"/>
                <w:tab w:val="left" w:pos="2948"/>
                <w:tab w:val="left" w:pos="3515"/>
              </w:tabs>
              <w:spacing w:line="320" w:lineRule="exact"/>
              <w:rPr>
                <w:rFonts w:ascii="Traditional Arabic" w:hAnsi="Traditional Arabic" w:cs="Traditional Arabic"/>
                <w:b/>
                <w:bCs/>
                <w:sz w:val="20"/>
                <w:szCs w:val="24"/>
                <w:lang w:eastAsia="ja-JP"/>
              </w:rPr>
            </w:pPr>
            <w:r w:rsidRPr="00335E4B">
              <w:rPr>
                <w:rFonts w:ascii="Traditional Arabic" w:hAnsi="Traditional Arabic" w:cs="Traditional Arabic" w:hint="cs"/>
                <w:b/>
                <w:bCs/>
                <w:sz w:val="20"/>
                <w:szCs w:val="24"/>
                <w:rtl/>
                <w:lang w:eastAsia="ja-JP"/>
              </w:rPr>
              <w:t>نوع معالجة غاز المداخن، رخصة الشركة</w:t>
            </w:r>
          </w:p>
        </w:tc>
        <w:tc>
          <w:tcPr>
            <w:tcW w:w="528" w:type="dxa"/>
            <w:tcBorders>
              <w:top w:val="single" w:sz="4" w:space="0" w:color="auto"/>
              <w:left w:val="nil"/>
              <w:bottom w:val="single" w:sz="4" w:space="0" w:color="auto"/>
              <w:right w:val="single" w:sz="4" w:space="0" w:color="auto"/>
            </w:tcBorders>
            <w:shd w:val="clear" w:color="auto" w:fill="D9D9D9"/>
            <w:vAlign w:val="center"/>
          </w:tcPr>
          <w:p w:rsidR="00501B34" w:rsidRPr="00335E4B" w:rsidRDefault="00501B34" w:rsidP="00501B34">
            <w:pPr>
              <w:keepNext/>
              <w:keepLines/>
              <w:tabs>
                <w:tab w:val="left" w:pos="1247"/>
                <w:tab w:val="left" w:pos="1814"/>
                <w:tab w:val="left" w:pos="2381"/>
                <w:tab w:val="left" w:pos="2948"/>
                <w:tab w:val="left" w:pos="3515"/>
              </w:tabs>
              <w:spacing w:line="320" w:lineRule="exact"/>
              <w:rPr>
                <w:rFonts w:ascii="Traditional Arabic" w:hAnsi="Traditional Arabic" w:cs="Traditional Arabic"/>
                <w:b/>
                <w:bCs/>
                <w:sz w:val="20"/>
                <w:szCs w:val="24"/>
                <w:lang w:eastAsia="ja-JP"/>
              </w:rPr>
            </w:pPr>
          </w:p>
        </w:tc>
        <w:tc>
          <w:tcPr>
            <w:tcW w:w="97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01B34" w:rsidRPr="00335E4B" w:rsidRDefault="00501B34" w:rsidP="00501B34">
            <w:pPr>
              <w:keepNext/>
              <w:keepLines/>
              <w:tabs>
                <w:tab w:val="left" w:pos="1247"/>
                <w:tab w:val="left" w:pos="1814"/>
                <w:tab w:val="left" w:pos="2381"/>
                <w:tab w:val="left" w:pos="2948"/>
                <w:tab w:val="left" w:pos="3515"/>
              </w:tabs>
              <w:spacing w:line="320" w:lineRule="exact"/>
              <w:rPr>
                <w:rFonts w:ascii="Traditional Arabic" w:hAnsi="Traditional Arabic" w:cs="Traditional Arabic"/>
                <w:b/>
                <w:bCs/>
                <w:sz w:val="20"/>
                <w:szCs w:val="24"/>
                <w:lang w:eastAsia="ja-JP"/>
              </w:rPr>
            </w:pPr>
            <w:r w:rsidRPr="00335E4B">
              <w:rPr>
                <w:rFonts w:ascii="Traditional Arabic" w:hAnsi="Traditional Arabic" w:cs="Traditional Arabic" w:hint="cs"/>
                <w:b/>
                <w:bCs/>
                <w:sz w:val="20"/>
                <w:szCs w:val="24"/>
                <w:rtl/>
                <w:lang w:eastAsia="ja-JP"/>
              </w:rPr>
              <w:t>القيم الدنيا</w:t>
            </w:r>
          </w:p>
        </w:tc>
        <w:tc>
          <w:tcPr>
            <w:tcW w:w="1246" w:type="dxa"/>
            <w:tcBorders>
              <w:top w:val="single" w:sz="4" w:space="0" w:color="auto"/>
              <w:left w:val="nil"/>
              <w:bottom w:val="single" w:sz="4" w:space="0" w:color="auto"/>
              <w:right w:val="single" w:sz="4" w:space="0" w:color="auto"/>
            </w:tcBorders>
            <w:shd w:val="clear" w:color="auto" w:fill="D9D9D9"/>
            <w:noWrap/>
            <w:vAlign w:val="center"/>
          </w:tcPr>
          <w:p w:rsidR="00501B34" w:rsidRPr="00335E4B" w:rsidRDefault="00501B34" w:rsidP="00501B34">
            <w:pPr>
              <w:keepNext/>
              <w:keepLines/>
              <w:tabs>
                <w:tab w:val="left" w:pos="1247"/>
                <w:tab w:val="left" w:pos="1814"/>
                <w:tab w:val="left" w:pos="2381"/>
                <w:tab w:val="left" w:pos="2948"/>
                <w:tab w:val="left" w:pos="3515"/>
              </w:tabs>
              <w:spacing w:line="320" w:lineRule="exact"/>
              <w:rPr>
                <w:rFonts w:ascii="Traditional Arabic" w:hAnsi="Traditional Arabic" w:cs="Traditional Arabic"/>
                <w:b/>
                <w:bCs/>
                <w:sz w:val="20"/>
                <w:szCs w:val="24"/>
                <w:lang w:eastAsia="ja-JP"/>
              </w:rPr>
            </w:pPr>
            <w:r w:rsidRPr="00335E4B">
              <w:rPr>
                <w:rFonts w:ascii="Traditional Arabic" w:hAnsi="Traditional Arabic" w:cs="Traditional Arabic" w:hint="cs"/>
                <w:b/>
                <w:bCs/>
                <w:sz w:val="20"/>
                <w:szCs w:val="24"/>
                <w:rtl/>
                <w:lang w:eastAsia="ja-JP"/>
              </w:rPr>
              <w:t>المتوسط الحسابي</w:t>
            </w:r>
          </w:p>
        </w:tc>
        <w:tc>
          <w:tcPr>
            <w:tcW w:w="978" w:type="dxa"/>
            <w:tcBorders>
              <w:top w:val="single" w:sz="4" w:space="0" w:color="auto"/>
              <w:left w:val="nil"/>
              <w:bottom w:val="single" w:sz="4" w:space="0" w:color="auto"/>
              <w:right w:val="single" w:sz="4" w:space="0" w:color="auto"/>
            </w:tcBorders>
            <w:shd w:val="clear" w:color="auto" w:fill="D9D9D9"/>
            <w:noWrap/>
            <w:vAlign w:val="center"/>
          </w:tcPr>
          <w:p w:rsidR="00501B34" w:rsidRPr="00335E4B" w:rsidRDefault="00501B34" w:rsidP="00501B34">
            <w:pPr>
              <w:keepNext/>
              <w:keepLines/>
              <w:tabs>
                <w:tab w:val="left" w:pos="1247"/>
                <w:tab w:val="left" w:pos="1814"/>
                <w:tab w:val="left" w:pos="2381"/>
                <w:tab w:val="left" w:pos="2948"/>
                <w:tab w:val="left" w:pos="3515"/>
              </w:tabs>
              <w:spacing w:line="320" w:lineRule="exact"/>
              <w:rPr>
                <w:rFonts w:ascii="Traditional Arabic" w:hAnsi="Traditional Arabic" w:cs="Traditional Arabic"/>
                <w:b/>
                <w:bCs/>
                <w:sz w:val="20"/>
                <w:szCs w:val="24"/>
                <w:lang w:eastAsia="ja-JP"/>
              </w:rPr>
            </w:pPr>
            <w:r w:rsidRPr="00335E4B">
              <w:rPr>
                <w:rFonts w:ascii="Traditional Arabic" w:hAnsi="Traditional Arabic" w:cs="Traditional Arabic" w:hint="cs"/>
                <w:b/>
                <w:bCs/>
                <w:sz w:val="20"/>
                <w:szCs w:val="24"/>
                <w:rtl/>
                <w:lang w:eastAsia="ja-JP"/>
              </w:rPr>
              <w:t>القيم القصوى</w:t>
            </w:r>
          </w:p>
        </w:tc>
        <w:tc>
          <w:tcPr>
            <w:tcW w:w="1504" w:type="dxa"/>
            <w:tcBorders>
              <w:top w:val="single" w:sz="4" w:space="0" w:color="auto"/>
              <w:left w:val="nil"/>
              <w:bottom w:val="single" w:sz="4" w:space="0" w:color="auto"/>
              <w:right w:val="single" w:sz="4" w:space="0" w:color="auto"/>
            </w:tcBorders>
            <w:shd w:val="clear" w:color="auto" w:fill="D9D9D9"/>
            <w:noWrap/>
            <w:vAlign w:val="center"/>
          </w:tcPr>
          <w:p w:rsidR="00501B34" w:rsidRPr="00335E4B" w:rsidRDefault="00501B34" w:rsidP="00501B34">
            <w:pPr>
              <w:keepNext/>
              <w:keepLines/>
              <w:tabs>
                <w:tab w:val="left" w:pos="1247"/>
                <w:tab w:val="left" w:pos="1814"/>
                <w:tab w:val="left" w:pos="2381"/>
                <w:tab w:val="left" w:pos="2948"/>
                <w:tab w:val="left" w:pos="3515"/>
              </w:tabs>
              <w:spacing w:line="320" w:lineRule="exact"/>
              <w:rPr>
                <w:rFonts w:ascii="Traditional Arabic" w:hAnsi="Traditional Arabic" w:cs="Traditional Arabic"/>
                <w:b/>
                <w:bCs/>
                <w:sz w:val="20"/>
                <w:szCs w:val="24"/>
                <w:lang w:eastAsia="ja-JP"/>
              </w:rPr>
            </w:pPr>
            <w:r w:rsidRPr="00335E4B">
              <w:rPr>
                <w:rFonts w:ascii="Traditional Arabic" w:hAnsi="Traditional Arabic" w:cs="Traditional Arabic" w:hint="cs"/>
                <w:b/>
                <w:bCs/>
                <w:sz w:val="20"/>
                <w:szCs w:val="24"/>
                <w:rtl/>
                <w:lang w:eastAsia="ja-JP"/>
              </w:rPr>
              <w:t>الانحراف المعياري</w:t>
            </w:r>
          </w:p>
        </w:tc>
      </w:tr>
      <w:tr w:rsidR="00501B34" w:rsidRPr="00335E4B" w:rsidTr="00501B34">
        <w:trPr>
          <w:trHeight w:val="480"/>
        </w:trPr>
        <w:tc>
          <w:tcPr>
            <w:tcW w:w="4122" w:type="dxa"/>
            <w:tcBorders>
              <w:top w:val="nil"/>
              <w:left w:val="single" w:sz="4" w:space="0" w:color="auto"/>
              <w:bottom w:val="single" w:sz="4" w:space="0" w:color="auto"/>
              <w:right w:val="single" w:sz="4" w:space="0" w:color="auto"/>
            </w:tcBorders>
            <w:vAlign w:val="center"/>
          </w:tcPr>
          <w:p w:rsidR="00501B34" w:rsidRPr="00335E4B" w:rsidRDefault="00501B34" w:rsidP="00501B34">
            <w:pPr>
              <w:tabs>
                <w:tab w:val="left" w:pos="1247"/>
                <w:tab w:val="left" w:pos="1814"/>
                <w:tab w:val="left" w:pos="2381"/>
                <w:tab w:val="left" w:pos="2948"/>
                <w:tab w:val="left" w:pos="3515"/>
              </w:tabs>
              <w:spacing w:line="320" w:lineRule="exact"/>
              <w:rPr>
                <w:rFonts w:ascii="Traditional Arabic" w:hAnsi="Traditional Arabic" w:cs="Traditional Arabic"/>
                <w:b/>
                <w:bCs/>
                <w:color w:val="000000"/>
                <w:sz w:val="20"/>
                <w:szCs w:val="24"/>
                <w:rtl/>
                <w:lang w:eastAsia="ja-JP"/>
              </w:rPr>
            </w:pPr>
            <w:r w:rsidRPr="00335E4B">
              <w:rPr>
                <w:rFonts w:ascii="Traditional Arabic" w:hAnsi="Traditional Arabic" w:cs="Traditional Arabic" w:hint="cs"/>
                <w:b/>
                <w:bCs/>
                <w:color w:val="000000"/>
                <w:sz w:val="20"/>
                <w:szCs w:val="24"/>
                <w:rtl/>
                <w:lang w:eastAsia="ja-JP"/>
              </w:rPr>
              <w:t>مرشح نسيجي (بنظام جاف أو رطب)</w:t>
            </w:r>
          </w:p>
          <w:p w:rsidR="00501B34" w:rsidRPr="00335E4B" w:rsidRDefault="00501B34" w:rsidP="00501B34">
            <w:pPr>
              <w:tabs>
                <w:tab w:val="left" w:pos="1247"/>
                <w:tab w:val="left" w:pos="1814"/>
                <w:tab w:val="left" w:pos="2381"/>
                <w:tab w:val="left" w:pos="2948"/>
                <w:tab w:val="left" w:pos="3515"/>
              </w:tabs>
              <w:spacing w:line="320" w:lineRule="exact"/>
              <w:rPr>
                <w:rFonts w:ascii="Traditional Arabic" w:hAnsi="Traditional Arabic" w:cs="Traditional Arabic"/>
                <w:color w:val="000000"/>
                <w:sz w:val="20"/>
                <w:szCs w:val="24"/>
                <w:lang w:eastAsia="ja-JP"/>
              </w:rPr>
            </w:pPr>
            <w:r w:rsidRPr="00335E4B">
              <w:rPr>
                <w:rFonts w:ascii="Traditional Arabic" w:hAnsi="Traditional Arabic" w:cs="Traditional Arabic" w:hint="cs"/>
                <w:color w:val="000000"/>
                <w:sz w:val="20"/>
                <w:szCs w:val="24"/>
                <w:rtl/>
                <w:lang w:eastAsia="ja-JP"/>
              </w:rPr>
              <w:t>نفايات صناعية</w:t>
            </w:r>
            <w:r w:rsidRPr="00501B34">
              <w:rPr>
                <w:rFonts w:ascii="Traditional Arabic" w:hAnsi="Traditional Arabic" w:cs="Traditional Arabic" w:hint="cs"/>
                <w:b/>
                <w:bCs/>
                <w:color w:val="000000"/>
                <w:sz w:val="20"/>
                <w:szCs w:val="24"/>
                <w:vertAlign w:val="superscript"/>
                <w:rtl/>
                <w:lang w:eastAsia="ja-JP"/>
              </w:rPr>
              <w:t>أ</w:t>
            </w:r>
            <w:r w:rsidRPr="00335E4B">
              <w:rPr>
                <w:rFonts w:ascii="Traditional Arabic" w:hAnsi="Traditional Arabic" w:cs="Traditional Arabic" w:hint="cs"/>
                <w:color w:val="000000"/>
                <w:sz w:val="20"/>
                <w:szCs w:val="24"/>
                <w:rtl/>
                <w:lang w:eastAsia="ja-JP"/>
              </w:rPr>
              <w:t xml:space="preserve"> (18 فرناً)</w:t>
            </w:r>
          </w:p>
        </w:tc>
        <w:tc>
          <w:tcPr>
            <w:tcW w:w="528" w:type="dxa"/>
            <w:tcBorders>
              <w:top w:val="single" w:sz="4" w:space="0" w:color="auto"/>
              <w:left w:val="nil"/>
              <w:bottom w:val="single" w:sz="4" w:space="0" w:color="auto"/>
              <w:right w:val="single" w:sz="4" w:space="0" w:color="auto"/>
            </w:tcBorders>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color w:val="000000"/>
                <w:sz w:val="20"/>
                <w:szCs w:val="20"/>
                <w:rtl/>
                <w:lang w:eastAsia="ja-JP"/>
              </w:rPr>
            </w:pPr>
            <w:r w:rsidRPr="00335E4B">
              <w:rPr>
                <w:rFonts w:cs="Times New Roman" w:hint="cs"/>
                <w:color w:val="000000"/>
                <w:sz w:val="20"/>
                <w:szCs w:val="20"/>
                <w:rtl/>
              </w:rPr>
              <w:t>1*</w:t>
            </w:r>
          </w:p>
        </w:tc>
        <w:tc>
          <w:tcPr>
            <w:tcW w:w="978" w:type="dxa"/>
            <w:tcBorders>
              <w:top w:val="single" w:sz="4" w:space="0" w:color="auto"/>
              <w:left w:val="single" w:sz="4" w:space="0" w:color="auto"/>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0001</w:t>
            </w:r>
          </w:p>
        </w:tc>
        <w:tc>
          <w:tcPr>
            <w:tcW w:w="1246" w:type="dxa"/>
            <w:tcBorders>
              <w:top w:val="single" w:sz="4" w:space="0" w:color="auto"/>
              <w:left w:val="nil"/>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0057</w:t>
            </w:r>
          </w:p>
        </w:tc>
        <w:tc>
          <w:tcPr>
            <w:tcW w:w="978" w:type="dxa"/>
            <w:tcBorders>
              <w:top w:val="single" w:sz="4" w:space="0" w:color="auto"/>
              <w:left w:val="nil"/>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046</w:t>
            </w:r>
          </w:p>
        </w:tc>
        <w:tc>
          <w:tcPr>
            <w:tcW w:w="1504" w:type="dxa"/>
            <w:tcBorders>
              <w:top w:val="single" w:sz="4" w:space="0" w:color="auto"/>
              <w:left w:val="nil"/>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010</w:t>
            </w:r>
          </w:p>
        </w:tc>
      </w:tr>
      <w:tr w:rsidR="00501B34" w:rsidRPr="00335E4B" w:rsidTr="00501B34">
        <w:trPr>
          <w:trHeight w:val="480"/>
        </w:trPr>
        <w:tc>
          <w:tcPr>
            <w:tcW w:w="4122" w:type="dxa"/>
            <w:tcBorders>
              <w:top w:val="nil"/>
              <w:left w:val="single" w:sz="4" w:space="0" w:color="auto"/>
              <w:bottom w:val="single" w:sz="4" w:space="0" w:color="auto"/>
              <w:right w:val="single" w:sz="4" w:space="0" w:color="auto"/>
            </w:tcBorders>
            <w:vAlign w:val="center"/>
          </w:tcPr>
          <w:p w:rsidR="00501B34" w:rsidRPr="00335E4B" w:rsidRDefault="00501B34" w:rsidP="00501B34">
            <w:pPr>
              <w:tabs>
                <w:tab w:val="left" w:pos="1247"/>
                <w:tab w:val="left" w:pos="1814"/>
                <w:tab w:val="left" w:pos="2381"/>
                <w:tab w:val="left" w:pos="2948"/>
                <w:tab w:val="left" w:pos="3515"/>
              </w:tabs>
              <w:spacing w:line="320" w:lineRule="exact"/>
              <w:rPr>
                <w:rFonts w:ascii="Traditional Arabic" w:hAnsi="Traditional Arabic" w:cs="Traditional Arabic"/>
                <w:b/>
                <w:bCs/>
                <w:color w:val="000000"/>
                <w:sz w:val="20"/>
                <w:szCs w:val="24"/>
                <w:rtl/>
                <w:lang w:eastAsia="ja-JP"/>
              </w:rPr>
            </w:pPr>
            <w:r w:rsidRPr="00335E4B">
              <w:rPr>
                <w:rFonts w:ascii="Traditional Arabic" w:hAnsi="Traditional Arabic" w:cs="Traditional Arabic" w:hint="cs"/>
                <w:b/>
                <w:bCs/>
                <w:color w:val="000000"/>
                <w:sz w:val="20"/>
                <w:szCs w:val="24"/>
                <w:rtl/>
                <w:lang w:eastAsia="ja-JP"/>
              </w:rPr>
              <w:t>مرشح نسيجي (بنظام جاف أو رطب)</w:t>
            </w:r>
          </w:p>
          <w:p w:rsidR="00501B34" w:rsidRPr="00335E4B" w:rsidRDefault="00501B34" w:rsidP="00501B34">
            <w:pPr>
              <w:tabs>
                <w:tab w:val="left" w:pos="1247"/>
                <w:tab w:val="left" w:pos="1814"/>
                <w:tab w:val="left" w:pos="2381"/>
                <w:tab w:val="left" w:pos="2948"/>
                <w:tab w:val="left" w:pos="3515"/>
              </w:tabs>
              <w:spacing w:line="320" w:lineRule="exact"/>
              <w:rPr>
                <w:rFonts w:ascii="Traditional Arabic" w:hAnsi="Traditional Arabic" w:cs="Traditional Arabic"/>
                <w:color w:val="000000"/>
                <w:sz w:val="20"/>
                <w:szCs w:val="24"/>
                <w:rtl/>
                <w:lang w:eastAsia="ja-JP"/>
              </w:rPr>
            </w:pPr>
            <w:r w:rsidRPr="00335E4B">
              <w:rPr>
                <w:rFonts w:ascii="Traditional Arabic" w:hAnsi="Traditional Arabic" w:cs="Traditional Arabic" w:hint="cs"/>
                <w:color w:val="000000"/>
                <w:sz w:val="20"/>
                <w:szCs w:val="24"/>
                <w:rtl/>
                <w:lang w:eastAsia="ja-JP"/>
              </w:rPr>
              <w:t>نفايات مُعدِية أو نفايات صناعية خطرة (15 فرناً)</w:t>
            </w:r>
          </w:p>
        </w:tc>
        <w:tc>
          <w:tcPr>
            <w:tcW w:w="528" w:type="dxa"/>
            <w:tcBorders>
              <w:top w:val="single" w:sz="4" w:space="0" w:color="auto"/>
              <w:left w:val="nil"/>
              <w:bottom w:val="single" w:sz="4" w:space="0" w:color="auto"/>
              <w:right w:val="single" w:sz="4" w:space="0" w:color="auto"/>
            </w:tcBorders>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color w:val="000000"/>
                <w:sz w:val="20"/>
                <w:szCs w:val="20"/>
                <w:lang w:eastAsia="ja-JP"/>
              </w:rPr>
            </w:pPr>
            <w:r w:rsidRPr="00335E4B">
              <w:rPr>
                <w:rFonts w:cs="Times New Roman" w:hint="cs"/>
                <w:color w:val="000000"/>
                <w:sz w:val="20"/>
                <w:szCs w:val="20"/>
                <w:rtl/>
                <w:lang w:val="en-GB"/>
              </w:rPr>
              <w:t>1</w:t>
            </w:r>
            <w:r w:rsidRPr="00335E4B">
              <w:rPr>
                <w:rFonts w:cs="Times New Roman"/>
                <w:color w:val="000000"/>
                <w:sz w:val="20"/>
                <w:szCs w:val="20"/>
                <w:lang w:val="en-GB"/>
              </w:rPr>
              <w:t>*</w:t>
            </w:r>
          </w:p>
        </w:tc>
        <w:tc>
          <w:tcPr>
            <w:tcW w:w="978" w:type="dxa"/>
            <w:tcBorders>
              <w:top w:val="nil"/>
              <w:left w:val="single" w:sz="4" w:space="0" w:color="auto"/>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0002</w:t>
            </w:r>
          </w:p>
        </w:tc>
        <w:tc>
          <w:tcPr>
            <w:tcW w:w="1246" w:type="dxa"/>
            <w:tcBorders>
              <w:top w:val="nil"/>
              <w:left w:val="nil"/>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0062</w:t>
            </w:r>
          </w:p>
        </w:tc>
        <w:tc>
          <w:tcPr>
            <w:tcW w:w="978" w:type="dxa"/>
            <w:tcBorders>
              <w:top w:val="nil"/>
              <w:left w:val="nil"/>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039</w:t>
            </w:r>
          </w:p>
        </w:tc>
        <w:tc>
          <w:tcPr>
            <w:tcW w:w="1504" w:type="dxa"/>
            <w:tcBorders>
              <w:top w:val="nil"/>
              <w:left w:val="nil"/>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0084</w:t>
            </w:r>
          </w:p>
        </w:tc>
      </w:tr>
      <w:tr w:rsidR="00501B34" w:rsidRPr="00335E4B" w:rsidTr="00501B34">
        <w:trPr>
          <w:trHeight w:val="480"/>
        </w:trPr>
        <w:tc>
          <w:tcPr>
            <w:tcW w:w="4122" w:type="dxa"/>
            <w:tcBorders>
              <w:top w:val="nil"/>
              <w:left w:val="single" w:sz="4" w:space="0" w:color="auto"/>
              <w:bottom w:val="single" w:sz="4" w:space="0" w:color="auto"/>
              <w:right w:val="single" w:sz="4" w:space="0" w:color="auto"/>
            </w:tcBorders>
            <w:vAlign w:val="center"/>
          </w:tcPr>
          <w:p w:rsidR="00501B34" w:rsidRPr="00335E4B" w:rsidRDefault="00501B34" w:rsidP="00501B34">
            <w:pPr>
              <w:tabs>
                <w:tab w:val="left" w:pos="1247"/>
                <w:tab w:val="left" w:pos="1814"/>
                <w:tab w:val="left" w:pos="2381"/>
                <w:tab w:val="left" w:pos="2948"/>
                <w:tab w:val="left" w:pos="3515"/>
              </w:tabs>
              <w:spacing w:line="320" w:lineRule="exact"/>
              <w:rPr>
                <w:rFonts w:ascii="Traditional Arabic" w:hAnsi="Traditional Arabic" w:cs="Traditional Arabic"/>
                <w:b/>
                <w:bCs/>
                <w:color w:val="000000"/>
                <w:sz w:val="20"/>
                <w:szCs w:val="24"/>
                <w:rtl/>
                <w:lang w:eastAsia="ja-JP"/>
              </w:rPr>
            </w:pPr>
            <w:r w:rsidRPr="00335E4B">
              <w:rPr>
                <w:rFonts w:ascii="Traditional Arabic" w:hAnsi="Traditional Arabic" w:cs="Traditional Arabic" w:hint="cs"/>
                <w:b/>
                <w:bCs/>
                <w:color w:val="000000"/>
                <w:sz w:val="20"/>
                <w:szCs w:val="24"/>
                <w:rtl/>
                <w:lang w:eastAsia="ja-JP"/>
              </w:rPr>
              <w:t>مرشح نسيجي + جهاز تنظيف (مع إضافة عامل خلابي سائل)</w:t>
            </w:r>
          </w:p>
          <w:p w:rsidR="00501B34" w:rsidRPr="00335E4B" w:rsidRDefault="00501B34" w:rsidP="00501B34">
            <w:pPr>
              <w:tabs>
                <w:tab w:val="left" w:pos="1247"/>
                <w:tab w:val="left" w:pos="1814"/>
                <w:tab w:val="left" w:pos="2381"/>
                <w:tab w:val="left" w:pos="2948"/>
                <w:tab w:val="left" w:pos="3515"/>
              </w:tabs>
              <w:spacing w:line="320" w:lineRule="exact"/>
              <w:rPr>
                <w:rFonts w:ascii="Traditional Arabic" w:hAnsi="Traditional Arabic" w:cs="Traditional Arabic"/>
                <w:color w:val="000000"/>
                <w:sz w:val="20"/>
                <w:szCs w:val="24"/>
                <w:rtl/>
                <w:lang w:eastAsia="ja-JP"/>
              </w:rPr>
            </w:pPr>
            <w:r w:rsidRPr="00335E4B">
              <w:rPr>
                <w:rFonts w:ascii="Traditional Arabic" w:hAnsi="Traditional Arabic" w:cs="Traditional Arabic" w:hint="cs"/>
                <w:color w:val="000000"/>
                <w:sz w:val="20"/>
                <w:szCs w:val="24"/>
                <w:rtl/>
                <w:lang w:eastAsia="ja-JP"/>
              </w:rPr>
              <w:t>نفايات صناعية</w:t>
            </w:r>
            <w:r w:rsidRPr="00335E4B">
              <w:rPr>
                <w:rFonts w:ascii="Traditional Arabic" w:hAnsi="Traditional Arabic" w:cs="Traditional Arabic" w:hint="cs"/>
                <w:color w:val="000000"/>
                <w:sz w:val="20"/>
                <w:szCs w:val="24"/>
                <w:vertAlign w:val="superscript"/>
                <w:rtl/>
                <w:lang w:eastAsia="ja-JP"/>
              </w:rPr>
              <w:t xml:space="preserve"> </w:t>
            </w:r>
            <w:r w:rsidRPr="00335E4B">
              <w:rPr>
                <w:rFonts w:ascii="Traditional Arabic" w:hAnsi="Traditional Arabic" w:cs="Traditional Arabic" w:hint="cs"/>
                <w:color w:val="000000"/>
                <w:sz w:val="20"/>
                <w:szCs w:val="24"/>
                <w:rtl/>
                <w:lang w:eastAsia="ja-JP"/>
              </w:rPr>
              <w:t>أو نفايات معدية أو نفايات صناعية خطرة (5 أفران)</w:t>
            </w:r>
          </w:p>
        </w:tc>
        <w:tc>
          <w:tcPr>
            <w:tcW w:w="528" w:type="dxa"/>
            <w:tcBorders>
              <w:top w:val="single" w:sz="4" w:space="0" w:color="auto"/>
              <w:left w:val="nil"/>
              <w:bottom w:val="single" w:sz="4" w:space="0" w:color="auto"/>
              <w:right w:val="single" w:sz="4" w:space="0" w:color="auto"/>
            </w:tcBorders>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color w:val="000000"/>
                <w:sz w:val="20"/>
                <w:szCs w:val="20"/>
                <w:lang w:eastAsia="ja-JP"/>
              </w:rPr>
            </w:pPr>
            <w:r w:rsidRPr="00335E4B">
              <w:rPr>
                <w:rFonts w:cs="Times New Roman" w:hint="cs"/>
                <w:color w:val="000000"/>
                <w:sz w:val="20"/>
                <w:szCs w:val="20"/>
                <w:rtl/>
                <w:lang w:val="en-GB"/>
              </w:rPr>
              <w:t>2</w:t>
            </w:r>
            <w:r w:rsidRPr="00335E4B">
              <w:rPr>
                <w:rFonts w:cs="Times New Roman"/>
                <w:color w:val="000000"/>
                <w:sz w:val="20"/>
                <w:szCs w:val="20"/>
                <w:lang w:val="en-GB"/>
              </w:rPr>
              <w:t>*</w:t>
            </w:r>
          </w:p>
        </w:tc>
        <w:tc>
          <w:tcPr>
            <w:tcW w:w="978" w:type="dxa"/>
            <w:tcBorders>
              <w:top w:val="nil"/>
              <w:left w:val="single" w:sz="4" w:space="0" w:color="auto"/>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0004</w:t>
            </w:r>
          </w:p>
        </w:tc>
        <w:tc>
          <w:tcPr>
            <w:tcW w:w="1246" w:type="dxa"/>
            <w:tcBorders>
              <w:top w:val="nil"/>
              <w:left w:val="nil"/>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0064</w:t>
            </w:r>
          </w:p>
        </w:tc>
        <w:tc>
          <w:tcPr>
            <w:tcW w:w="978" w:type="dxa"/>
            <w:tcBorders>
              <w:top w:val="nil"/>
              <w:left w:val="nil"/>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035</w:t>
            </w:r>
          </w:p>
        </w:tc>
        <w:tc>
          <w:tcPr>
            <w:tcW w:w="1504" w:type="dxa"/>
            <w:tcBorders>
              <w:top w:val="nil"/>
              <w:left w:val="nil"/>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0077</w:t>
            </w:r>
          </w:p>
        </w:tc>
      </w:tr>
      <w:tr w:rsidR="00501B34" w:rsidRPr="00335E4B" w:rsidTr="00501B34">
        <w:trPr>
          <w:trHeight w:val="480"/>
        </w:trPr>
        <w:tc>
          <w:tcPr>
            <w:tcW w:w="4122" w:type="dxa"/>
            <w:tcBorders>
              <w:top w:val="nil"/>
              <w:left w:val="single" w:sz="4" w:space="0" w:color="auto"/>
              <w:bottom w:val="single" w:sz="4" w:space="0" w:color="auto"/>
              <w:right w:val="single" w:sz="4" w:space="0" w:color="auto"/>
            </w:tcBorders>
            <w:vAlign w:val="center"/>
          </w:tcPr>
          <w:p w:rsidR="00501B34" w:rsidRPr="00335E4B" w:rsidRDefault="00501B34" w:rsidP="00501B34">
            <w:pPr>
              <w:tabs>
                <w:tab w:val="left" w:pos="1247"/>
                <w:tab w:val="left" w:pos="1814"/>
                <w:tab w:val="left" w:pos="2381"/>
                <w:tab w:val="left" w:pos="2948"/>
                <w:tab w:val="left" w:pos="3515"/>
              </w:tabs>
              <w:spacing w:line="320" w:lineRule="exact"/>
              <w:rPr>
                <w:rFonts w:ascii="Traditional Arabic" w:hAnsi="Traditional Arabic" w:cs="Traditional Arabic"/>
                <w:b/>
                <w:bCs/>
                <w:color w:val="000000"/>
                <w:sz w:val="20"/>
                <w:szCs w:val="24"/>
                <w:rtl/>
                <w:lang w:eastAsia="ja-JP"/>
              </w:rPr>
            </w:pPr>
            <w:r w:rsidRPr="00335E4B">
              <w:rPr>
                <w:rFonts w:ascii="Traditional Arabic" w:hAnsi="Traditional Arabic" w:cs="Traditional Arabic" w:hint="cs"/>
                <w:b/>
                <w:bCs/>
                <w:color w:val="000000"/>
                <w:sz w:val="20"/>
                <w:szCs w:val="24"/>
                <w:rtl/>
                <w:lang w:eastAsia="ja-JP"/>
              </w:rPr>
              <w:t>جهاز ترسيب كهروستاتيكي + جهاز تنظيف</w:t>
            </w:r>
          </w:p>
          <w:p w:rsidR="00501B34" w:rsidRPr="00335E4B" w:rsidRDefault="00501B34" w:rsidP="00501B34">
            <w:pPr>
              <w:tabs>
                <w:tab w:val="left" w:pos="1247"/>
                <w:tab w:val="left" w:pos="1814"/>
                <w:tab w:val="left" w:pos="2381"/>
                <w:tab w:val="left" w:pos="2948"/>
                <w:tab w:val="left" w:pos="3515"/>
              </w:tabs>
              <w:spacing w:line="320" w:lineRule="exact"/>
              <w:rPr>
                <w:rFonts w:ascii="Traditional Arabic" w:hAnsi="Traditional Arabic" w:cs="Traditional Arabic"/>
                <w:color w:val="000000"/>
                <w:sz w:val="20"/>
                <w:szCs w:val="24"/>
                <w:lang w:eastAsia="ja-JP"/>
              </w:rPr>
            </w:pPr>
            <w:r w:rsidRPr="00335E4B">
              <w:rPr>
                <w:rFonts w:ascii="Traditional Arabic" w:hAnsi="Traditional Arabic" w:cs="Traditional Arabic" w:hint="cs"/>
                <w:color w:val="000000"/>
                <w:sz w:val="20"/>
                <w:szCs w:val="24"/>
                <w:rtl/>
                <w:lang w:eastAsia="ja-JP"/>
              </w:rPr>
              <w:t>نفايات صناعية</w:t>
            </w:r>
            <w:r w:rsidRPr="00335E4B">
              <w:rPr>
                <w:rFonts w:ascii="Traditional Arabic" w:hAnsi="Traditional Arabic" w:cs="Traditional Arabic" w:hint="cs"/>
                <w:color w:val="000000"/>
                <w:sz w:val="20"/>
                <w:szCs w:val="24"/>
                <w:vertAlign w:val="superscript"/>
                <w:rtl/>
                <w:lang w:eastAsia="ja-JP"/>
              </w:rPr>
              <w:t xml:space="preserve"> </w:t>
            </w:r>
            <w:r w:rsidRPr="00335E4B">
              <w:rPr>
                <w:rFonts w:ascii="Traditional Arabic" w:hAnsi="Traditional Arabic" w:cs="Traditional Arabic" w:hint="cs"/>
                <w:color w:val="000000"/>
                <w:sz w:val="20"/>
                <w:szCs w:val="24"/>
                <w:rtl/>
                <w:lang w:eastAsia="ja-JP"/>
              </w:rPr>
              <w:t>أو نفايات معدية أو نفايات صناعية خطرة (7 أفران)</w:t>
            </w:r>
          </w:p>
        </w:tc>
        <w:tc>
          <w:tcPr>
            <w:tcW w:w="528" w:type="dxa"/>
            <w:tcBorders>
              <w:top w:val="single" w:sz="4" w:space="0" w:color="auto"/>
              <w:left w:val="nil"/>
              <w:bottom w:val="single" w:sz="4" w:space="0" w:color="auto"/>
              <w:right w:val="single" w:sz="4" w:space="0" w:color="auto"/>
            </w:tcBorders>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color w:val="000000"/>
                <w:sz w:val="20"/>
                <w:szCs w:val="20"/>
                <w:lang w:eastAsia="ja-JP"/>
              </w:rPr>
            </w:pPr>
            <w:r w:rsidRPr="00335E4B">
              <w:rPr>
                <w:rFonts w:cs="Times New Roman" w:hint="cs"/>
                <w:color w:val="000000"/>
                <w:sz w:val="20"/>
                <w:szCs w:val="20"/>
                <w:rtl/>
                <w:lang w:val="en-GB"/>
              </w:rPr>
              <w:t>3</w:t>
            </w:r>
            <w:r w:rsidRPr="00335E4B">
              <w:rPr>
                <w:rFonts w:cs="Times New Roman"/>
                <w:color w:val="000000"/>
                <w:sz w:val="20"/>
                <w:szCs w:val="20"/>
                <w:lang w:val="en-GB"/>
              </w:rPr>
              <w:t>*</w:t>
            </w:r>
          </w:p>
        </w:tc>
        <w:tc>
          <w:tcPr>
            <w:tcW w:w="978" w:type="dxa"/>
            <w:tcBorders>
              <w:top w:val="nil"/>
              <w:left w:val="single" w:sz="4" w:space="0" w:color="auto"/>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0001</w:t>
            </w:r>
          </w:p>
        </w:tc>
        <w:tc>
          <w:tcPr>
            <w:tcW w:w="1246" w:type="dxa"/>
            <w:tcBorders>
              <w:top w:val="nil"/>
              <w:left w:val="nil"/>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035</w:t>
            </w:r>
          </w:p>
        </w:tc>
        <w:tc>
          <w:tcPr>
            <w:tcW w:w="978" w:type="dxa"/>
            <w:tcBorders>
              <w:top w:val="nil"/>
              <w:left w:val="nil"/>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210</w:t>
            </w:r>
          </w:p>
        </w:tc>
        <w:tc>
          <w:tcPr>
            <w:tcW w:w="1504" w:type="dxa"/>
            <w:tcBorders>
              <w:top w:val="nil"/>
              <w:left w:val="nil"/>
              <w:bottom w:val="single" w:sz="4" w:space="0" w:color="auto"/>
              <w:right w:val="single" w:sz="4" w:space="0" w:color="auto"/>
            </w:tcBorders>
            <w:noWrap/>
            <w:vAlign w:val="center"/>
          </w:tcPr>
          <w:p w:rsidR="00501B34" w:rsidRPr="00335E4B" w:rsidRDefault="00501B34" w:rsidP="00501B34">
            <w:pPr>
              <w:keepNext/>
              <w:tabs>
                <w:tab w:val="left" w:pos="1247"/>
                <w:tab w:val="left" w:pos="1814"/>
                <w:tab w:val="left" w:pos="2381"/>
                <w:tab w:val="left" w:pos="2948"/>
                <w:tab w:val="left" w:pos="3515"/>
              </w:tabs>
              <w:spacing w:line="320" w:lineRule="exact"/>
              <w:rPr>
                <w:rFonts w:cs="Times New Roman"/>
                <w:kern w:val="2"/>
                <w:sz w:val="20"/>
                <w:szCs w:val="20"/>
                <w:rtl/>
                <w:lang w:eastAsia="ja-JP"/>
              </w:rPr>
            </w:pPr>
            <w:r w:rsidRPr="00335E4B">
              <w:rPr>
                <w:rFonts w:cs="Times New Roman"/>
                <w:sz w:val="20"/>
                <w:szCs w:val="20"/>
                <w:rtl/>
                <w:lang w:val="en-GB"/>
              </w:rPr>
              <w:t>0</w:t>
            </w:r>
            <w:r w:rsidRPr="00335E4B">
              <w:rPr>
                <w:rFonts w:cs="Times New Roman" w:hint="cs"/>
                <w:sz w:val="20"/>
                <w:szCs w:val="20"/>
                <w:rtl/>
                <w:lang w:val="en-GB"/>
              </w:rPr>
              <w:t>,</w:t>
            </w:r>
            <w:r w:rsidRPr="00335E4B">
              <w:rPr>
                <w:rFonts w:cs="Times New Roman"/>
                <w:sz w:val="20"/>
                <w:szCs w:val="20"/>
                <w:rtl/>
                <w:lang w:val="en-GB"/>
              </w:rPr>
              <w:t>051</w:t>
            </w:r>
          </w:p>
        </w:tc>
      </w:tr>
    </w:tbl>
    <w:p w:rsidR="00501B34" w:rsidRPr="002A4EF2" w:rsidRDefault="00501B34" w:rsidP="00501B34">
      <w:pPr>
        <w:keepNext/>
        <w:tabs>
          <w:tab w:val="left" w:pos="1247"/>
          <w:tab w:val="left" w:pos="1814"/>
          <w:tab w:val="left" w:pos="2381"/>
          <w:tab w:val="left" w:pos="2948"/>
          <w:tab w:val="left" w:pos="3515"/>
        </w:tabs>
        <w:spacing w:before="120" w:after="120" w:line="320" w:lineRule="exact"/>
        <w:ind w:leftChars="220" w:left="484" w:firstLineChars="121" w:firstLine="315"/>
        <w:jc w:val="both"/>
        <w:rPr>
          <w:rFonts w:ascii="Traditional Arabic" w:hAnsi="Traditional Arabic" w:cs="Traditional Arabic"/>
          <w:sz w:val="26"/>
          <w:szCs w:val="26"/>
          <w:rtl/>
          <w:lang w:val="en-GB"/>
        </w:rPr>
      </w:pPr>
      <w:r>
        <w:rPr>
          <w:rFonts w:ascii="Traditional Arabic" w:hAnsi="Traditional Arabic" w:cs="Traditional Arabic" w:hint="cs"/>
          <w:sz w:val="26"/>
          <w:szCs w:val="26"/>
          <w:rtl/>
          <w:lang w:val="en-GB"/>
        </w:rPr>
        <w:t>أ-</w:t>
      </w:r>
      <w:r>
        <w:rPr>
          <w:rFonts w:ascii="Traditional Arabic" w:hAnsi="Traditional Arabic" w:cs="Traditional Arabic" w:hint="cs"/>
          <w:sz w:val="26"/>
          <w:szCs w:val="26"/>
          <w:rtl/>
          <w:lang w:val="en-GB"/>
        </w:rPr>
        <w:tab/>
      </w:r>
      <w:r w:rsidRPr="002A4EF2">
        <w:rPr>
          <w:rFonts w:ascii="Traditional Arabic" w:hAnsi="Traditional Arabic" w:cs="Traditional Arabic"/>
          <w:sz w:val="26"/>
          <w:szCs w:val="26"/>
          <w:rtl/>
          <w:lang w:val="en-GB"/>
        </w:rPr>
        <w:t>مصطلح ’’النفايات الصناعية‘‘ هنا لا يشمل النفايات الصناعية الخطرة</w:t>
      </w:r>
    </w:p>
    <w:p w:rsidR="00501B34" w:rsidRDefault="00AA60A1" w:rsidP="00501B34">
      <w:pPr>
        <w:keepNext/>
        <w:tabs>
          <w:tab w:val="left" w:pos="713"/>
          <w:tab w:val="left" w:pos="1814"/>
          <w:tab w:val="left" w:pos="2381"/>
          <w:tab w:val="left" w:pos="2948"/>
          <w:tab w:val="left" w:pos="3515"/>
        </w:tabs>
        <w:spacing w:after="80" w:line="320" w:lineRule="exact"/>
        <w:ind w:leftChars="297" w:left="1274" w:hanging="621"/>
        <w:jc w:val="both"/>
        <w:rPr>
          <w:rFonts w:ascii="Traditional Arabic" w:hAnsi="Traditional Arabic" w:cs="Traditional Arabic"/>
          <w:sz w:val="26"/>
          <w:szCs w:val="26"/>
          <w:rtl/>
        </w:rPr>
      </w:pPr>
      <w:r w:rsidRPr="00335E4B">
        <w:rPr>
          <w:rFonts w:cs="Times New Roman"/>
          <w:color w:val="000000"/>
          <w:sz w:val="20"/>
          <w:szCs w:val="20"/>
          <w:lang w:val="en-GB"/>
        </w:rPr>
        <w:t>*</w:t>
      </w:r>
      <w:r w:rsidR="00501B34" w:rsidRPr="002A4EF2">
        <w:rPr>
          <w:rFonts w:ascii="Traditional Arabic" w:hAnsi="Traditional Arabic" w:cs="Traditional Arabic" w:hint="cs"/>
          <w:sz w:val="26"/>
          <w:szCs w:val="26"/>
          <w:rtl/>
        </w:rPr>
        <w:t>1 :</w:t>
      </w:r>
      <w:r w:rsidR="00501B34">
        <w:rPr>
          <w:rFonts w:ascii="Traditional Arabic" w:hAnsi="Traditional Arabic" w:cs="Traditional Arabic" w:hint="cs"/>
          <w:sz w:val="26"/>
          <w:szCs w:val="26"/>
          <w:rtl/>
        </w:rPr>
        <w:tab/>
      </w:r>
      <w:r w:rsidR="00501B34" w:rsidRPr="002A4EF2">
        <w:rPr>
          <w:rFonts w:ascii="Traditional Arabic" w:hAnsi="Traditional Arabic" w:cs="Traditional Arabic" w:hint="cs"/>
          <w:sz w:val="26"/>
          <w:szCs w:val="26"/>
          <w:rtl/>
        </w:rPr>
        <w:t>أفران حرق مع معالجة لغاز المداخن عن طريق المرشحات النسيجية وواحد أو أكثر مما يلي: أجهزة تنظيف (غسل بالمياه أو بالمواد القلوية)، أو حقن الكربون المنشط، أو برج لامتزاز الكربون المنشط، أو مفاعل حفاز</w:t>
      </w:r>
    </w:p>
    <w:p w:rsidR="00501B34" w:rsidRDefault="00AA60A1" w:rsidP="00AA60A1">
      <w:pPr>
        <w:keepNext/>
        <w:tabs>
          <w:tab w:val="left" w:pos="713"/>
          <w:tab w:val="left" w:pos="1814"/>
          <w:tab w:val="left" w:pos="2381"/>
          <w:tab w:val="left" w:pos="2948"/>
          <w:tab w:val="left" w:pos="3515"/>
        </w:tabs>
        <w:spacing w:after="80" w:line="320" w:lineRule="exact"/>
        <w:ind w:leftChars="297" w:left="1274" w:hanging="621"/>
        <w:jc w:val="both"/>
        <w:rPr>
          <w:rFonts w:ascii="Traditional Arabic" w:hAnsi="Traditional Arabic" w:cs="Traditional Arabic"/>
          <w:sz w:val="26"/>
          <w:szCs w:val="26"/>
          <w:rtl/>
        </w:rPr>
      </w:pPr>
      <w:r w:rsidRPr="00335E4B">
        <w:rPr>
          <w:rFonts w:cs="Times New Roman"/>
          <w:color w:val="000000"/>
          <w:sz w:val="20"/>
          <w:szCs w:val="20"/>
          <w:lang w:val="en-GB"/>
        </w:rPr>
        <w:t>*</w:t>
      </w:r>
      <w:r w:rsidR="00501B34" w:rsidRPr="002A4EF2">
        <w:rPr>
          <w:rFonts w:ascii="Traditional Arabic" w:hAnsi="Traditional Arabic" w:cs="Traditional Arabic" w:hint="cs"/>
          <w:sz w:val="26"/>
          <w:szCs w:val="26"/>
          <w:rtl/>
        </w:rPr>
        <w:t>2:</w:t>
      </w:r>
      <w:r w:rsidR="00501B34">
        <w:rPr>
          <w:rFonts w:ascii="Traditional Arabic" w:hAnsi="Traditional Arabic" w:cs="Traditional Arabic" w:hint="cs"/>
          <w:sz w:val="26"/>
          <w:szCs w:val="26"/>
          <w:rtl/>
        </w:rPr>
        <w:tab/>
      </w:r>
      <w:r w:rsidR="00501B34" w:rsidRPr="002A4EF2">
        <w:rPr>
          <w:rFonts w:ascii="Traditional Arabic" w:hAnsi="Traditional Arabic" w:cs="Traditional Arabic" w:hint="cs"/>
          <w:sz w:val="26"/>
          <w:szCs w:val="26"/>
          <w:rtl/>
        </w:rPr>
        <w:t>أفران حرق مع معالجة لغاز المداخن عن طريق توليفة من المرشحات النسيجية ومحلول تنظيف يضاف مع عامل خلابي سائل بهدف إزالة الزئبق.</w:t>
      </w:r>
    </w:p>
    <w:p w:rsidR="00501B34" w:rsidRPr="002A4EF2" w:rsidRDefault="00AA60A1" w:rsidP="00AA60A1">
      <w:pPr>
        <w:keepNext/>
        <w:tabs>
          <w:tab w:val="left" w:pos="713"/>
          <w:tab w:val="left" w:pos="1814"/>
          <w:tab w:val="left" w:pos="2381"/>
          <w:tab w:val="left" w:pos="2948"/>
          <w:tab w:val="left" w:pos="3515"/>
        </w:tabs>
        <w:spacing w:after="80" w:line="320" w:lineRule="exact"/>
        <w:ind w:leftChars="297" w:left="1274" w:hanging="621"/>
        <w:jc w:val="both"/>
        <w:rPr>
          <w:rFonts w:ascii="Traditional Arabic" w:hAnsi="Traditional Arabic" w:cs="Traditional Arabic"/>
          <w:sz w:val="26"/>
          <w:szCs w:val="26"/>
          <w:rtl/>
        </w:rPr>
      </w:pPr>
      <w:r w:rsidRPr="00335E4B">
        <w:rPr>
          <w:rFonts w:cs="Times New Roman"/>
          <w:color w:val="000000"/>
          <w:sz w:val="20"/>
          <w:szCs w:val="20"/>
          <w:lang w:val="en-GB"/>
        </w:rPr>
        <w:t>*</w:t>
      </w:r>
      <w:r w:rsidR="00501B34" w:rsidRPr="002A4EF2">
        <w:rPr>
          <w:rFonts w:ascii="Traditional Arabic" w:hAnsi="Traditional Arabic" w:cs="Traditional Arabic" w:hint="cs"/>
          <w:sz w:val="26"/>
          <w:szCs w:val="26"/>
          <w:rtl/>
        </w:rPr>
        <w:t>3:</w:t>
      </w:r>
      <w:r w:rsidR="00501B34">
        <w:rPr>
          <w:rFonts w:ascii="Traditional Arabic" w:hAnsi="Traditional Arabic" w:cs="Traditional Arabic" w:hint="cs"/>
          <w:sz w:val="26"/>
          <w:szCs w:val="26"/>
          <w:rtl/>
        </w:rPr>
        <w:tab/>
      </w:r>
      <w:r w:rsidR="00501B34" w:rsidRPr="002A4EF2">
        <w:rPr>
          <w:rFonts w:ascii="Traditional Arabic" w:hAnsi="Traditional Arabic" w:cs="Traditional Arabic" w:hint="cs"/>
          <w:sz w:val="26"/>
          <w:szCs w:val="26"/>
          <w:rtl/>
        </w:rPr>
        <w:t>أفران حرق مع معالجة لغاز المداخن عن طريق توليفة من أجهزة الترسيب الكهروستاتيكي (الجافة أو الرطبة) وأجهزة التنظيف. ويوجد في بعض أفران الحرق أيضاً حقن للكربون المنشط (متواصل) أو أبراج لامتزاز الكربون المنشط.</w:t>
      </w:r>
    </w:p>
    <w:p w:rsidR="00501B34" w:rsidRPr="00501B34" w:rsidRDefault="00501B34" w:rsidP="00501B34">
      <w:pPr>
        <w:spacing w:after="80" w:line="320" w:lineRule="exact"/>
        <w:jc w:val="both"/>
        <w:rPr>
          <w:rFonts w:ascii="Traditional Arabic" w:hAnsi="Traditional Arabic" w:cs="Traditional Arabic"/>
          <w:sz w:val="30"/>
          <w:szCs w:val="30"/>
          <w:rtl/>
        </w:rPr>
      </w:pPr>
      <w:r w:rsidRPr="00335E4B">
        <w:rPr>
          <w:rFonts w:ascii="Traditional Arabic" w:hAnsi="Traditional Arabic" w:cs="Traditional Arabic" w:hint="cs"/>
          <w:sz w:val="26"/>
          <w:szCs w:val="26"/>
          <w:rtl/>
        </w:rPr>
        <w:t>أظهرت التجارب في منشأة يابانية لحرق النفايات بوقاد آلي تعالج النفايات البلدية ومزودة ببرج رش وتتبع حقن هيدروكسيد الكالسيوم والكربون المنشط قبل المرشح النسيجي، مستويات انبعاثات تتراوح من 0,4 إلى 11,3 ميكروغرام/م</w:t>
      </w:r>
      <w:r w:rsidRPr="00F233C1">
        <w:rPr>
          <w:rFonts w:ascii="Traditional Arabic" w:hAnsi="Traditional Arabic" w:cs="Traditional Arabic" w:hint="cs"/>
          <w:sz w:val="26"/>
          <w:szCs w:val="26"/>
          <w:vertAlign w:val="superscript"/>
          <w:rtl/>
        </w:rPr>
        <w:t>3</w:t>
      </w:r>
      <w:r w:rsidRPr="00335E4B">
        <w:rPr>
          <w:rFonts w:ascii="Traditional Arabic" w:hAnsi="Traditional Arabic" w:cs="Traditional Arabic" w:hint="cs"/>
          <w:sz w:val="26"/>
          <w:szCs w:val="26"/>
          <w:rtl/>
        </w:rPr>
        <w:t xml:space="preserve"> (</w:t>
      </w:r>
      <w:r w:rsidRPr="00335E4B">
        <w:rPr>
          <w:rFonts w:cs="Times New Roman"/>
          <w:sz w:val="20"/>
          <w:szCs w:val="24"/>
        </w:rPr>
        <w:t>Takaoka 2002</w:t>
      </w:r>
      <w:r w:rsidRPr="00335E4B">
        <w:rPr>
          <w:rFonts w:ascii="Traditional Arabic" w:hAnsi="Traditional Arabic" w:cs="Traditional Arabic" w:hint="cs"/>
          <w:sz w:val="26"/>
          <w:szCs w:val="26"/>
          <w:rtl/>
        </w:rPr>
        <w:t>).</w:t>
      </w:r>
    </w:p>
    <w:bookmarkEnd w:id="2157"/>
    <w:p w:rsidR="00335E4B" w:rsidRPr="00335E4B" w:rsidRDefault="00335E4B" w:rsidP="00501B34">
      <w:pPr>
        <w:spacing w:after="80" w:line="32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ويظهر الشكل والجدولان في الفرع 3-6 أنه يمكن في جميع المنشآت تقريباً الوصول إلى تركيزات أقل من 10 ميكروغرامات/م</w:t>
      </w:r>
      <w:r w:rsidRPr="00501B34">
        <w:rPr>
          <w:rFonts w:ascii="Traditional Arabic" w:hAnsi="Traditional Arabic" w:cs="Traditional Arabic" w:hint="cs"/>
          <w:sz w:val="30"/>
          <w:szCs w:val="30"/>
          <w:vertAlign w:val="superscript"/>
          <w:rtl/>
        </w:rPr>
        <w:t>3</w:t>
      </w:r>
      <w:r w:rsidRPr="00335E4B">
        <w:rPr>
          <w:rFonts w:ascii="Traditional Arabic" w:hAnsi="Traditional Arabic" w:cs="Traditional Arabic" w:hint="cs"/>
          <w:sz w:val="30"/>
          <w:szCs w:val="30"/>
          <w:rtl/>
        </w:rPr>
        <w:t>، خصوصاً عند استخدام الكربون المنشط إضافةً إلى التقنيات الأخرى. وأظهرت بعض المنشآت في أوروبا واليابان تركيزات لانبعاثات الزئبق أقل من 1 ميكروغرام/م</w:t>
      </w:r>
      <w:r w:rsidRPr="00501B34">
        <w:rPr>
          <w:rFonts w:ascii="Traditional Arabic" w:hAnsi="Traditional Arabic" w:cs="Traditional Arabic" w:hint="cs"/>
          <w:sz w:val="30"/>
          <w:szCs w:val="30"/>
          <w:vertAlign w:val="superscript"/>
          <w:rtl/>
        </w:rPr>
        <w:t>3</w:t>
      </w:r>
      <w:r w:rsidRPr="00335E4B">
        <w:rPr>
          <w:rFonts w:ascii="Traditional Arabic" w:hAnsi="Traditional Arabic" w:cs="Traditional Arabic" w:hint="cs"/>
          <w:sz w:val="30"/>
          <w:szCs w:val="30"/>
          <w:rtl/>
        </w:rPr>
        <w:t>.</w:t>
      </w:r>
    </w:p>
    <w:p w:rsidR="00335E4B" w:rsidRPr="00335E4B" w:rsidRDefault="00335E4B" w:rsidP="00335E4B">
      <w:pPr>
        <w:keepNext/>
        <w:spacing w:after="120" w:line="400" w:lineRule="exact"/>
        <w:ind w:left="707" w:hanging="707"/>
        <w:jc w:val="both"/>
        <w:outlineLvl w:val="3"/>
        <w:rPr>
          <w:rFonts w:cs="Traditional Arabic"/>
          <w:b/>
          <w:bCs/>
          <w:sz w:val="30"/>
          <w:szCs w:val="30"/>
          <w:rtl/>
        </w:rPr>
      </w:pPr>
      <w:r w:rsidRPr="00335E4B">
        <w:rPr>
          <w:rFonts w:cs="Traditional Arabic" w:hint="cs"/>
          <w:b/>
          <w:bCs/>
          <w:sz w:val="30"/>
          <w:szCs w:val="30"/>
          <w:rtl/>
        </w:rPr>
        <w:t>3-7</w:t>
      </w:r>
      <w:r w:rsidRPr="00335E4B">
        <w:rPr>
          <w:rFonts w:cs="Traditional Arabic" w:hint="cs"/>
          <w:b/>
          <w:bCs/>
          <w:sz w:val="30"/>
          <w:szCs w:val="30"/>
          <w:rtl/>
        </w:rPr>
        <w:tab/>
        <w:t>استخدام المخلفات الصلبة لعملية الحرق والتخلص منها</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رغم أن هذه التوجيهات معنية أساساً بالانبعاثات إلى الهواء إلا أنه يتعين إيلاء الاعتبار أيضاً للتأثيرات عبر الوسائط. ووفقاً لذلك فإن الفرع التالي يقدم معلومات عن إدارة النفايات المتخلفة من عملية الحرق، بما في ذلك منع مخاطر الارتشاح أو التوزع عبر البيئة من خلال عدد من المسارات، أو التقليل إلى أدنى حد ممكن من هذه المخاطر.</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وتشمل النفايات والمخلفات من عملية الحرق العديد من أنواع الرماد (مثلاً رماد القعر، رماد المرجل، الرماد المتطاير) والمخلفات من عمليات معالجة غاز المداخن الأخرى (مثل الجبس من أجهزة التنظيف الرطب)، بما في ذلك النفايات السائلة في حالة نظم التنظيف الرطبة.</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ونظراً لأن المكونات موضع الاهتمام قد تتفاوت إلى حد كبير فإنه يوصى بشكل عام بالإبقاء على فصل المخلفات من أجل معالجتها وإدارتها والتخلص منها. إن وجود وتركيز الزئبق ومركباته في هذه المخلفات (عند معالجتها بشكل منفصل) هو تابع لوجودها في النفايات الواردة ولاحتجازها أثناء معالجة غاز المداخن. ويتعين معالجة مخلفات عملية ضبط تلوث الهواء على وجه الخصوص بطريقة تهدف إلى تفادي حدوث تبخر إضافي أو تسرب للزئبق ومركباته.</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ويمكن أن يحدث إطلاق للملوثات من هذه المواد الجافة إلى البيئة من خلال عدد من المسارات، بما في ذلك: الغبار الذي تذروه الرياح، أو الارتشاح إلى المياه الجوفية، أو الامتصاص من جانب النباتات، أو الابتلاع المباشر من جانب الإنسان والحيوانات الأليفة والبرية. ويتعين إدارة هذه المواد مع إيلاء الاعتبار الواجب لهذه الإطلاقات المحتملة.</w:t>
      </w:r>
    </w:p>
    <w:p w:rsidR="00335E4B" w:rsidRPr="00335E4B" w:rsidRDefault="00335E4B" w:rsidP="0038338B">
      <w:pPr>
        <w:keepNext/>
        <w:spacing w:before="120" w:after="120" w:line="400" w:lineRule="exact"/>
        <w:ind w:left="1134" w:hanging="1134"/>
        <w:jc w:val="both"/>
        <w:outlineLvl w:val="3"/>
        <w:rPr>
          <w:rFonts w:cs="Traditional Arabic"/>
          <w:b/>
          <w:bCs/>
          <w:sz w:val="30"/>
          <w:szCs w:val="30"/>
          <w:rtl/>
        </w:rPr>
      </w:pPr>
      <w:r w:rsidRPr="00335E4B">
        <w:rPr>
          <w:rFonts w:cs="Traditional Arabic" w:hint="cs"/>
          <w:b/>
          <w:bCs/>
          <w:sz w:val="30"/>
          <w:szCs w:val="30"/>
          <w:rtl/>
        </w:rPr>
        <w:t>3-7-1</w:t>
      </w:r>
      <w:r w:rsidRPr="00335E4B">
        <w:rPr>
          <w:rFonts w:cs="Traditional Arabic" w:hint="cs"/>
          <w:b/>
          <w:bCs/>
          <w:sz w:val="30"/>
          <w:szCs w:val="30"/>
          <w:rtl/>
        </w:rPr>
        <w:tab/>
        <w:t>معالجة المخلفات الصلبة لغاز المداخن</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أحد المخلفات الرئيسية لمعالجة غاز المداخن (أو مخلفات ضبط تلوث الهواء) هو الرماد المتطاير. وتؤدي إزالة الرماد المتطاير من غاز المداخن، عن طريق استخدام أجهزة التنظيف الجافة أو أجهزة الفرز الدوّامية أو المرشحات النسيجية في أفران حرق النفايات، إلى تكون مواد جسيمية صلبة جافة ودقيقة تكتسب مجموعة من الخواص والملوثات اعتماداً على مصدر الاحتراق الذي أنتجها. وعلى عكس رماد القعر تحتوي مخلفات أجهزة ضبط تلوث الهواء، بما في ذلك الرماد المتطاير وحمآت أجهزة التنظيف، على تركيزات عالية نسبياً من المعادن الثقيلة والملوثات العضوية الثابتة والكلوريدات والكبريتيدات. وتؤدي الإزالة المنفصلة للرماد المتطاير والمخلفات من مراحل تنظيف غاز المداخن (مثلاً مراحل إزالة الغازات الحمضية والديوكسينات) إلى منع امتزاج أجزاء النفايات ذات التلوث المنخفض مع الأجزاء الشديدة التلوث. ويصل معظم الزئبق الموجود في مسارات النفايات في النهاية إلى المخلفات عند تطبيق تدابير لخفض التلوث </w:t>
      </w:r>
      <w:r w:rsidRPr="002A4EF2">
        <w:rPr>
          <w:rFonts w:asciiTheme="majorBidi" w:hAnsiTheme="majorBidi" w:cstheme="majorBidi"/>
          <w:sz w:val="20"/>
          <w:szCs w:val="20"/>
          <w:rtl/>
        </w:rPr>
        <w:t>(</w:t>
      </w:r>
      <w:r w:rsidRPr="002A4EF2">
        <w:rPr>
          <w:rFonts w:asciiTheme="majorBidi" w:hAnsiTheme="majorBidi" w:cstheme="majorBidi"/>
          <w:sz w:val="20"/>
          <w:szCs w:val="20"/>
        </w:rPr>
        <w:t>European Commission 2006, Song, Kim et al. 2004</w:t>
      </w:r>
      <w:r w:rsidRPr="002A4EF2">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ascii="Traditional Arabic" w:hAnsi="Traditional Arabic" w:cs="Traditional Arabic"/>
          <w:sz w:val="30"/>
          <w:szCs w:val="30"/>
          <w:rtl/>
        </w:rPr>
      </w:pPr>
      <w:r w:rsidRPr="00335E4B">
        <w:rPr>
          <w:rFonts w:ascii="Traditional Arabic" w:hAnsi="Traditional Arabic" w:cs="Traditional Arabic" w:hint="cs"/>
          <w:sz w:val="30"/>
          <w:szCs w:val="30"/>
          <w:rtl/>
        </w:rPr>
        <w:t xml:space="preserve">وفي سويسرا تنتشر على نطاق واسع معالجة الرماد المتطاير بالمياه العادمة الحمضية الواردة من جهاز التنظيف. ولتفادي تلويث الزئبق للرماد المعالج يجري في البداية تنظيف المياه العادمة الحمضية بمرشح ذي عناصر أسطوانية </w:t>
      </w:r>
      <w:r w:rsidRPr="002A4EF2">
        <w:rPr>
          <w:rFonts w:asciiTheme="majorBidi" w:hAnsiTheme="majorBidi" w:cstheme="majorBidi"/>
          <w:sz w:val="20"/>
          <w:szCs w:val="20"/>
          <w:rtl/>
        </w:rPr>
        <w:t>(</w:t>
      </w:r>
      <w:r w:rsidRPr="002A4EF2">
        <w:rPr>
          <w:rFonts w:asciiTheme="majorBidi" w:hAnsiTheme="majorBidi" w:cstheme="majorBidi"/>
          <w:sz w:val="20"/>
          <w:szCs w:val="20"/>
        </w:rPr>
        <w:t>candle filter</w:t>
      </w:r>
      <w:r w:rsidRPr="002A4EF2">
        <w:rPr>
          <w:rFonts w:asciiTheme="majorBidi" w:hAnsiTheme="majorBidi" w:cstheme="majorBidi"/>
          <w:sz w:val="20"/>
          <w:szCs w:val="20"/>
          <w:rtl/>
        </w:rPr>
        <w:t>)</w:t>
      </w:r>
      <w:r w:rsidRPr="00335E4B">
        <w:rPr>
          <w:rFonts w:ascii="Traditional Arabic" w:hAnsi="Traditional Arabic" w:cs="Traditional Arabic" w:hint="cs"/>
          <w:sz w:val="30"/>
          <w:szCs w:val="30"/>
          <w:rtl/>
        </w:rPr>
        <w:t xml:space="preserve"> تليه وحدة تبادل أيوني خاصة بالزئبق. ويمكن استخدام هذه المياه، التي أزيل منها الزئبق، لغسل المعادن الثقيلة من الرماد المتطاير. بعد ذلك تعالج مياه الغسل في وحدة تثفيل وترسيب تقليدية. ويجري استخدام جهاز تبادل أيوني ثاني بهدف التنظيف النهائي للمياه العادمة.</w:t>
      </w:r>
    </w:p>
    <w:p w:rsidR="00335E4B" w:rsidRPr="00335E4B" w:rsidRDefault="00335E4B" w:rsidP="00335E4B">
      <w:pPr>
        <w:spacing w:after="120" w:line="400" w:lineRule="exact"/>
        <w:jc w:val="both"/>
        <w:rPr>
          <w:rFonts w:ascii="Traditional Arabic" w:hAnsi="Traditional Arabic" w:cs="Traditional Arabic"/>
          <w:sz w:val="30"/>
          <w:szCs w:val="30"/>
        </w:rPr>
      </w:pPr>
      <w:r w:rsidRPr="00335E4B">
        <w:rPr>
          <w:rFonts w:ascii="Traditional Arabic" w:hAnsi="Traditional Arabic" w:cs="Traditional Arabic" w:hint="cs"/>
          <w:sz w:val="30"/>
          <w:szCs w:val="30"/>
          <w:rtl/>
        </w:rPr>
        <w:t xml:space="preserve">ويمكن إضافة الرماد المتطاير المنظَّف إلى النفايات في منشأة حرق النفايات لتدمير المكونات العضوية في الرماد المتطاير </w:t>
      </w:r>
      <w:r w:rsidRPr="002A4EF2">
        <w:rPr>
          <w:rFonts w:asciiTheme="majorBidi" w:hAnsiTheme="majorBidi" w:cstheme="majorBidi"/>
          <w:sz w:val="20"/>
          <w:szCs w:val="20"/>
          <w:rtl/>
        </w:rPr>
        <w:t>(</w:t>
      </w:r>
      <w:r w:rsidRPr="002A4EF2">
        <w:rPr>
          <w:rFonts w:asciiTheme="majorBidi" w:hAnsiTheme="majorBidi" w:cstheme="majorBidi"/>
          <w:sz w:val="20"/>
          <w:szCs w:val="20"/>
          <w:lang w:val="en-GB"/>
        </w:rPr>
        <w:t>Bühler et al. 2015, Adam et al. 2010, BSH 2015</w:t>
      </w:r>
      <w:r w:rsidRPr="002A4EF2">
        <w:rPr>
          <w:rFonts w:asciiTheme="majorBidi" w:hAnsiTheme="majorBidi" w:cstheme="majorBidi"/>
          <w:sz w:val="20"/>
          <w:szCs w:val="20"/>
          <w:rtl/>
        </w:rPr>
        <w:t>)</w:t>
      </w:r>
      <w:r w:rsidRPr="00335E4B">
        <w:rPr>
          <w:rFonts w:ascii="Traditional Arabic" w:hAnsi="Traditional Arabic" w:cs="Traditional Arabic" w:hint="cs"/>
          <w:sz w:val="30"/>
          <w:szCs w:val="30"/>
          <w:rtl/>
        </w:rPr>
        <w:t>.</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وفي الكثير من البلدان يجري التخلص من الرماد المتطاير في مدافن قمامة مخصصة. بيد أنه لاستيفاء معايير أفضل التقنيات المتاحة فقد يتعين على الأرجح إجراء معالجة مسبقة لهذا الغرض (انظر مثلاً </w:t>
      </w:r>
      <w:r w:rsidRPr="002A4EF2">
        <w:rPr>
          <w:rFonts w:asciiTheme="majorBidi" w:hAnsiTheme="majorBidi" w:cstheme="majorBidi"/>
          <w:sz w:val="20"/>
          <w:szCs w:val="20"/>
        </w:rPr>
        <w:t>Song, Kim et al. 2004</w:t>
      </w:r>
      <w:r w:rsidRPr="002A4EF2">
        <w:rPr>
          <w:rFonts w:asciiTheme="majorBidi" w:hAnsiTheme="majorBidi" w:cstheme="majorBidi"/>
          <w:sz w:val="20"/>
          <w:szCs w:val="20"/>
          <w:rtl/>
          <w:lang w:val="en-GB"/>
        </w:rPr>
        <w:t>)</w:t>
      </w:r>
      <w:r w:rsidRPr="00335E4B">
        <w:rPr>
          <w:rFonts w:cs="Traditional Arabic" w:hint="cs"/>
          <w:sz w:val="30"/>
          <w:szCs w:val="30"/>
          <w:rtl/>
          <w:lang w:val="en-GB"/>
        </w:rPr>
        <w:t>، حسب معايير القبول الوطنية المتعلقة بمدافن القمامة. ويمكن الاطلاع على معلومات أكثر تفصيلاً عن إدارة مخلفات أفران حرق النفايات المحتوية على الزئبق في التوجيهات التقنية للإدارة السليمة بيئياً لنفايات الزئبق في اتفاقية بازل (أمانة اتفاقية بازل 2015).</w:t>
      </w:r>
    </w:p>
    <w:p w:rsidR="00335E4B" w:rsidRPr="00335E4B" w:rsidRDefault="00335E4B" w:rsidP="00335E4B">
      <w:pPr>
        <w:keepNext/>
        <w:spacing w:after="120" w:line="400" w:lineRule="exact"/>
        <w:ind w:left="991" w:hanging="991"/>
        <w:jc w:val="both"/>
        <w:outlineLvl w:val="3"/>
        <w:rPr>
          <w:rFonts w:cs="Traditional Arabic"/>
          <w:b/>
          <w:bCs/>
          <w:sz w:val="30"/>
          <w:szCs w:val="30"/>
          <w:rtl/>
        </w:rPr>
      </w:pPr>
      <w:r w:rsidRPr="00335E4B">
        <w:rPr>
          <w:rFonts w:cs="Traditional Arabic" w:hint="cs"/>
          <w:b/>
          <w:bCs/>
          <w:sz w:val="30"/>
          <w:szCs w:val="30"/>
          <w:rtl/>
        </w:rPr>
        <w:t>3-7-2</w:t>
      </w:r>
      <w:r w:rsidRPr="00335E4B">
        <w:rPr>
          <w:rFonts w:cs="Traditional Arabic" w:hint="cs"/>
          <w:b/>
          <w:bCs/>
          <w:sz w:val="30"/>
          <w:szCs w:val="30"/>
          <w:rtl/>
        </w:rPr>
        <w:tab/>
        <w:t>التثبيت والتصليد</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تشمل خيارات المعالجة والتخلص فيما يخص المخلفات الصلبة من نظم التحكم في غاز المداخن التصليد أو التثبيت بالإسمنت البورتلاندي (أو المواد الأخرى البوزولانية) وحده أو بمواد مضافة أخرى أو عدد من المعالجات الحرارية، يليها التخلص الملائم الذي يتوافق مع معايير القبول الوطنية المتعلقة بمدافن القمامة (استناداً إلى الإطلاقات المتوقعة من المخلفات المعالجة). ويمكن تحديد مدى الحاجة إلى هذا النوع من المعالجة استناداً إلى تقييم احتمال إصدار إطلاقات من هذه المخلفات. ويمكن الاطلاع على معلومات أكثر تفصيلاً عن طرائق المعالجة في التوجيهات التقنية للإدارة السليمة بيئياً لنفايات الزئبق في اتفاقية بازل (أمانة اتفاقية بازل 2015).</w:t>
      </w:r>
    </w:p>
    <w:p w:rsidR="00335E4B" w:rsidRPr="00335E4B" w:rsidRDefault="00335E4B" w:rsidP="0038338B">
      <w:pPr>
        <w:keepNext/>
        <w:spacing w:before="120" w:after="120" w:line="400" w:lineRule="exact"/>
        <w:ind w:left="992" w:hanging="992"/>
        <w:jc w:val="both"/>
        <w:outlineLvl w:val="3"/>
        <w:rPr>
          <w:rFonts w:cs="Traditional Arabic"/>
          <w:b/>
          <w:bCs/>
          <w:sz w:val="30"/>
          <w:szCs w:val="30"/>
          <w:rtl/>
        </w:rPr>
      </w:pPr>
      <w:r w:rsidRPr="00335E4B">
        <w:rPr>
          <w:rFonts w:cs="Traditional Arabic" w:hint="cs"/>
          <w:b/>
          <w:bCs/>
          <w:sz w:val="30"/>
          <w:szCs w:val="30"/>
          <w:rtl/>
        </w:rPr>
        <w:t>3-7-3</w:t>
      </w:r>
      <w:r w:rsidRPr="00335E4B">
        <w:rPr>
          <w:rFonts w:cs="Traditional Arabic" w:hint="cs"/>
          <w:b/>
          <w:bCs/>
          <w:sz w:val="30"/>
          <w:szCs w:val="30"/>
          <w:rtl/>
        </w:rPr>
        <w:tab/>
        <w:t>استخدام رماد القع والرماد المتطاير</w:t>
      </w:r>
    </w:p>
    <w:p w:rsidR="00335E4B" w:rsidRPr="00335E4B" w:rsidRDefault="00335E4B" w:rsidP="002A4EF2">
      <w:pPr>
        <w:spacing w:after="120" w:line="400" w:lineRule="exact"/>
        <w:jc w:val="both"/>
        <w:rPr>
          <w:rFonts w:cs="Traditional Arabic"/>
          <w:sz w:val="30"/>
          <w:szCs w:val="30"/>
          <w:rtl/>
          <w:lang w:val="en-GB"/>
        </w:rPr>
      </w:pPr>
      <w:r w:rsidRPr="00335E4B">
        <w:rPr>
          <w:rFonts w:cs="Traditional Arabic" w:hint="cs"/>
          <w:sz w:val="30"/>
          <w:szCs w:val="30"/>
          <w:rtl/>
          <w:lang w:val="en-GB"/>
        </w:rPr>
        <w:t>نظراً للاختلافات في تركيز الملوثات فإن خلط رماد القعر مع الرماد المتطاير سيؤدي إلى تلويث رماد القعر ولذلك يمنع خلطهما في الكثير من البلدان, ويمكن للجمع والتخزين المنفصلين لهذه المخلفات أن يوفرا للمشغلين عدداً أكبر من خيارات التخلص منها, وعندما يراد استخدام رماد القعر مرة أخرى (كمادة بناء مثلاً) فإن الخلط مع المخلفات الأخرى لمعالجة غاز المداخن لا</w:t>
      </w:r>
      <w:r w:rsidR="002A4EF2">
        <w:rPr>
          <w:rFonts w:cs="Traditional Arabic" w:hint="eastAsia"/>
          <w:sz w:val="30"/>
          <w:szCs w:val="30"/>
          <w:rtl/>
          <w:lang w:val="en-GB"/>
        </w:rPr>
        <w:t> </w:t>
      </w:r>
      <w:r w:rsidRPr="00335E4B">
        <w:rPr>
          <w:rFonts w:cs="Traditional Arabic" w:hint="cs"/>
          <w:sz w:val="30"/>
          <w:szCs w:val="30"/>
          <w:rtl/>
          <w:lang w:val="en-GB"/>
        </w:rPr>
        <w:t>يشكل عادةً واحداً من أفضل التقنيات المتاحة. ويجري التخلص من رماد القعر (خبث أفران الحرق ذات القاعدة المميعة) في مدافن قمامة في الكثير من البلدان ولكن يمكن إعادة استخدامه في البناء ومواد تشييد الطرق بعد إجراء معالجة مسبقة. بيد أنه قبل الشروع في هذا الاستخدام يتعين إجراء تقييم للمحتوى وقابلية الارتشاح كما يتعين تحديد المستويات العليا للمعادن الثقيلة والملوثات العضوية الثابتة. وتشمل تقنيات المعالجة المسبقة المعالجة الجافة والرطبة والحرارية، كذلك الفرز والسحق والفصل للمعادن.</w:t>
      </w:r>
    </w:p>
    <w:p w:rsidR="00335E4B" w:rsidRPr="00335E4B" w:rsidRDefault="00335E4B" w:rsidP="002A4EF2">
      <w:pPr>
        <w:spacing w:after="120" w:line="400" w:lineRule="exact"/>
        <w:jc w:val="both"/>
        <w:rPr>
          <w:rFonts w:cs="Traditional Arabic"/>
          <w:sz w:val="30"/>
          <w:szCs w:val="30"/>
          <w:lang w:val="en-GB"/>
        </w:rPr>
      </w:pPr>
      <w:r w:rsidRPr="00335E4B">
        <w:rPr>
          <w:rFonts w:cs="Traditional Arabic" w:hint="cs"/>
          <w:sz w:val="30"/>
          <w:szCs w:val="30"/>
          <w:rtl/>
          <w:lang w:val="en-GB"/>
        </w:rPr>
        <w:t>وينطوي استخدام الرماد المتطاير وخليط مخلفات حرق النفايات لأغراض البناء على مخاطر بيئية محتملة بسبب تلوثهما بالمعادن الثقيلة. وهناك أمثلة تبين أن مثل هذه الممارسة يمكن أن ينتج عنها تلوث بيئي خطير</w:t>
      </w:r>
      <w:r w:rsidR="002A4EF2">
        <w:rPr>
          <w:rFonts w:cs="Traditional Arabic" w:hint="cs"/>
          <w:sz w:val="30"/>
          <w:szCs w:val="30"/>
          <w:rtl/>
          <w:lang w:val="en-GB"/>
        </w:rPr>
        <w:t xml:space="preserve"> </w:t>
      </w:r>
      <w:r w:rsidRPr="00AA60A1">
        <w:rPr>
          <w:rFonts w:asciiTheme="majorBidi" w:hAnsiTheme="majorBidi" w:cstheme="majorBidi"/>
          <w:sz w:val="18"/>
          <w:szCs w:val="18"/>
          <w:rtl/>
          <w:lang w:val="en-GB"/>
        </w:rPr>
        <w:t>(</w:t>
      </w:r>
      <w:r w:rsidRPr="00AA60A1">
        <w:rPr>
          <w:rFonts w:asciiTheme="majorBidi" w:hAnsiTheme="majorBidi" w:cstheme="majorBidi"/>
          <w:spacing w:val="-2"/>
          <w:sz w:val="18"/>
          <w:szCs w:val="18"/>
          <w:lang w:val="en-GB"/>
        </w:rPr>
        <w:t>Pless-Mulloli, Edwards et al. 2001; Watson 2001; Petrlik and Ryder 2005; Shaheen et al. 2014</w:t>
      </w:r>
      <w:r w:rsidRPr="00AA60A1">
        <w:rPr>
          <w:rFonts w:asciiTheme="majorBidi" w:hAnsiTheme="majorBidi" w:cstheme="majorBidi"/>
          <w:sz w:val="18"/>
          <w:szCs w:val="18"/>
          <w:rtl/>
          <w:lang w:val="en-GB"/>
        </w:rPr>
        <w:t>)</w:t>
      </w:r>
      <w:r w:rsidRPr="00335E4B">
        <w:rPr>
          <w:rFonts w:cs="Traditional Arabic" w:hint="cs"/>
          <w:sz w:val="30"/>
          <w:szCs w:val="30"/>
          <w:rtl/>
          <w:lang w:val="en-GB"/>
        </w:rPr>
        <w:t>.</w:t>
      </w:r>
    </w:p>
    <w:p w:rsidR="00335E4B" w:rsidRPr="00335E4B" w:rsidRDefault="00335E4B" w:rsidP="00AA60A1">
      <w:pPr>
        <w:tabs>
          <w:tab w:val="left" w:pos="1274"/>
        </w:tabs>
        <w:spacing w:after="120" w:line="400" w:lineRule="exact"/>
        <w:jc w:val="both"/>
        <w:rPr>
          <w:rFonts w:cs="Traditional Arabic"/>
          <w:sz w:val="30"/>
          <w:szCs w:val="30"/>
          <w:rtl/>
          <w:lang w:val="en-GB"/>
        </w:rPr>
      </w:pPr>
      <w:r w:rsidRPr="00335E4B">
        <w:rPr>
          <w:rFonts w:cs="Traditional Arabic" w:hint="cs"/>
          <w:sz w:val="30"/>
          <w:szCs w:val="30"/>
          <w:rtl/>
          <w:lang w:val="en-GB"/>
        </w:rPr>
        <w:t xml:space="preserve">ويجب عدم استخدام رماد القعر أو الرماد المتطاير من أفران حرق النفايات كمادة محسنة للتربة مطلقاً في التطبيقات الزراعية أو ما شابهها في حال تعدى تركيز الزئبق في الرماد المستويات المثيرة للقلق لأن إضافة الرماد إلى التربة قد تؤدي لاحقاً إلى انتشاره في التربة مع أي ملوثات موجودة فيه. وفي الاستخدامات الزراعية يمكن للنباتات أن تمتص الملوثات مما يؤدي إلى تعرض الإنسان والحيوانات التي تستهلك هذه النباتات للملوثات </w:t>
      </w:r>
      <w:r w:rsidRPr="002A4EF2">
        <w:rPr>
          <w:rFonts w:asciiTheme="majorBidi" w:hAnsiTheme="majorBidi" w:cstheme="majorBidi"/>
          <w:sz w:val="20"/>
          <w:szCs w:val="20"/>
          <w:rtl/>
          <w:lang w:val="en-GB"/>
        </w:rPr>
        <w:t>(</w:t>
      </w:r>
      <w:r w:rsidRPr="002A4EF2">
        <w:rPr>
          <w:rFonts w:asciiTheme="majorBidi" w:hAnsiTheme="majorBidi" w:cstheme="majorBidi"/>
          <w:spacing w:val="-2"/>
          <w:sz w:val="20"/>
          <w:szCs w:val="20"/>
          <w:lang w:val="en-GB"/>
        </w:rPr>
        <w:t>Skinner et al, 2007</w:t>
      </w:r>
      <w:r w:rsidRPr="002A4EF2">
        <w:rPr>
          <w:rFonts w:asciiTheme="majorBidi" w:hAnsiTheme="majorBidi" w:cstheme="majorBidi"/>
          <w:sz w:val="20"/>
          <w:szCs w:val="20"/>
          <w:rtl/>
          <w:lang w:val="en-GB"/>
        </w:rPr>
        <w:t>)</w:t>
      </w:r>
      <w:r w:rsidRPr="00335E4B">
        <w:rPr>
          <w:rFonts w:cs="Traditional Arabic" w:hint="cs"/>
          <w:sz w:val="30"/>
          <w:szCs w:val="30"/>
          <w:rtl/>
          <w:lang w:val="en-GB"/>
        </w:rPr>
        <w:t xml:space="preserve">. ويمكن للحيوانات التي تنقر الحب أو ترعى العشب أن تبتلع الملوثات بصورة مباشرة مما يؤدي لاحقاً إلى تعرض الإنسان لها عند استهلاكه لهذه الحيوانات أو منتجاتها (مثل الحليب والبيض) </w:t>
      </w:r>
      <w:r w:rsidRPr="002A4EF2">
        <w:rPr>
          <w:rFonts w:asciiTheme="majorBidi" w:hAnsiTheme="majorBidi" w:cstheme="majorBidi"/>
          <w:sz w:val="20"/>
          <w:szCs w:val="20"/>
          <w:rtl/>
          <w:lang w:val="en-GB"/>
        </w:rPr>
        <w:t>(</w:t>
      </w:r>
      <w:r w:rsidRPr="002A4EF2">
        <w:rPr>
          <w:rFonts w:asciiTheme="majorBidi" w:hAnsiTheme="majorBidi" w:cstheme="majorBidi"/>
          <w:spacing w:val="-2"/>
          <w:sz w:val="20"/>
          <w:szCs w:val="20"/>
          <w:lang w:val="en-GB"/>
        </w:rPr>
        <w:t>de Vries et al., 2007</w:t>
      </w:r>
      <w:r w:rsidRPr="002A4EF2">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335E4B" w:rsidP="00335E4B">
      <w:pPr>
        <w:keepNext/>
        <w:spacing w:before="120" w:after="120" w:line="400" w:lineRule="exact"/>
        <w:ind w:left="992" w:hanging="992"/>
        <w:jc w:val="both"/>
        <w:outlineLvl w:val="3"/>
        <w:rPr>
          <w:rFonts w:cs="Traditional Arabic"/>
          <w:b/>
          <w:bCs/>
          <w:sz w:val="30"/>
          <w:szCs w:val="30"/>
          <w:rtl/>
        </w:rPr>
      </w:pPr>
      <w:r w:rsidRPr="00335E4B">
        <w:rPr>
          <w:rFonts w:cs="Traditional Arabic" w:hint="cs"/>
          <w:b/>
          <w:bCs/>
          <w:sz w:val="30"/>
          <w:szCs w:val="30"/>
          <w:rtl/>
        </w:rPr>
        <w:t>3-7-4</w:t>
      </w:r>
      <w:r w:rsidRPr="00335E4B">
        <w:rPr>
          <w:rFonts w:cs="Traditional Arabic" w:hint="cs"/>
          <w:b/>
          <w:bCs/>
          <w:sz w:val="30"/>
          <w:szCs w:val="30"/>
          <w:rtl/>
        </w:rPr>
        <w:tab/>
        <w:t>التخلص النهائي من المخلفات</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في حال وجود عملية إعادة تدوير للمواد بخلاف الزئبق في النفايات فإنه يتعين اتخاذ تحوطات ملائمة لمنع انبعاثات الزئبق من هذه العملية. وعند التخلص من هذا النوع من المواد في مدافن قمامة فإنه يتعين الأخذ في الاعتبار إجراء تقييم لاحتمال إصدار إطلاقات ومدى ملاءمة مدفن القمامة للمواد. ويمكن الاطلاع على معلومات أكثر تفصيلاً في المبادئ التوجيهية التقنية للإدارة السليمة بيئياً للنفايات التي تتكون من الزئبق النقي والنفايات التي تكون محتوية على أو ملوثة بالزئبق أو مركباته (اتفاقية بازل، 2015).</w:t>
      </w:r>
    </w:p>
    <w:p w:rsidR="00335E4B" w:rsidRPr="00335E4B" w:rsidRDefault="00335E4B" w:rsidP="00AA60A1">
      <w:pPr>
        <w:keepNext/>
        <w:spacing w:after="120" w:line="400" w:lineRule="exact"/>
        <w:ind w:left="849" w:hanging="992"/>
        <w:jc w:val="both"/>
        <w:outlineLvl w:val="3"/>
        <w:rPr>
          <w:rFonts w:cs="Traditional Arabic"/>
          <w:b/>
          <w:bCs/>
          <w:sz w:val="30"/>
          <w:szCs w:val="30"/>
          <w:rtl/>
        </w:rPr>
      </w:pPr>
      <w:r w:rsidRPr="00335E4B">
        <w:rPr>
          <w:rFonts w:cs="Traditional Arabic" w:hint="cs"/>
          <w:b/>
          <w:bCs/>
          <w:sz w:val="30"/>
          <w:szCs w:val="30"/>
          <w:rtl/>
        </w:rPr>
        <w:t>3-8</w:t>
      </w:r>
      <w:r w:rsidRPr="00335E4B">
        <w:rPr>
          <w:rFonts w:cs="Traditional Arabic" w:hint="cs"/>
          <w:b/>
          <w:bCs/>
          <w:sz w:val="30"/>
          <w:szCs w:val="30"/>
          <w:rtl/>
        </w:rPr>
        <w:tab/>
        <w:t>تقنيات المعالجة البديلة لمسارات النفايات التي يمكن أن تولد عند حرقها</w:t>
      </w:r>
      <w:r w:rsidR="0038338B">
        <w:rPr>
          <w:rFonts w:cs="Traditional Arabic" w:hint="cs"/>
          <w:b/>
          <w:bCs/>
          <w:sz w:val="30"/>
          <w:szCs w:val="30"/>
          <w:rtl/>
        </w:rPr>
        <w:t xml:space="preserve"> انبعاثات للزئبق ومركبات الزئبق</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يبين هذا الفرع بعض تكنولوجيات المعالجة البديلة المتوفرة تجارياً في الوقت الحالي. والهدف من أي تكنولوجيا معالجة بديلة هو إنجاز نفس القدر من التدمير للمركبات العضوية مع التحكم في الإطلاقات المحتملة للزئبق المتخلف.</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وفيما يخص النفايات البلدية تتمثل البدائل الممكنة للحرق فيما يلي:</w:t>
      </w:r>
    </w:p>
    <w:p w:rsidR="00335E4B" w:rsidRPr="00335E4B" w:rsidRDefault="00335E4B" w:rsidP="00335E4B">
      <w:pPr>
        <w:numPr>
          <w:ilvl w:val="0"/>
          <w:numId w:val="26"/>
        </w:numPr>
        <w:tabs>
          <w:tab w:val="left" w:pos="991"/>
        </w:tabs>
        <w:spacing w:line="400" w:lineRule="exact"/>
        <w:ind w:left="991" w:hanging="426"/>
        <w:jc w:val="both"/>
        <w:rPr>
          <w:rFonts w:cs="Traditional Arabic"/>
          <w:sz w:val="30"/>
          <w:szCs w:val="30"/>
          <w:lang w:val="en-GB"/>
        </w:rPr>
      </w:pPr>
      <w:r w:rsidRPr="00335E4B">
        <w:rPr>
          <w:rFonts w:cs="Traditional Arabic" w:hint="cs"/>
          <w:sz w:val="30"/>
          <w:szCs w:val="30"/>
          <w:rtl/>
          <w:lang w:val="en-GB"/>
        </w:rPr>
        <w:t xml:space="preserve">استراتيجيات إدارة النفايات الصفرية التي تهدف إلى القضاء على توليد النفايات من خلال تطبيق العديد من التدابير، بما في ذلك الصكوك التشريعية والاقتصادية (سياسات الاقتصاد الدائري والتأمين على إعادة التدوير) </w:t>
      </w:r>
      <w:r w:rsidRPr="002A4EF2">
        <w:rPr>
          <w:rFonts w:asciiTheme="majorBidi" w:hAnsiTheme="majorBidi" w:cstheme="majorBidi"/>
          <w:sz w:val="20"/>
          <w:szCs w:val="20"/>
          <w:rtl/>
          <w:lang w:val="en-GB"/>
        </w:rPr>
        <w:t>(</w:t>
      </w:r>
      <w:r w:rsidRPr="002A4EF2">
        <w:rPr>
          <w:rFonts w:asciiTheme="majorBidi" w:hAnsiTheme="majorBidi" w:cstheme="majorBidi"/>
          <w:sz w:val="20"/>
          <w:szCs w:val="20"/>
          <w:lang w:val="en-GB"/>
        </w:rPr>
        <w:t>Greyson, 2007; Matete and Trois, 200; Allen, Gokaldas et al, 2012</w:t>
      </w:r>
      <w:r w:rsidRPr="002A4EF2">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335E4B" w:rsidP="00335E4B">
      <w:pPr>
        <w:numPr>
          <w:ilvl w:val="0"/>
          <w:numId w:val="26"/>
        </w:numPr>
        <w:tabs>
          <w:tab w:val="left" w:pos="991"/>
        </w:tabs>
        <w:spacing w:line="400" w:lineRule="exact"/>
        <w:ind w:left="991" w:hanging="426"/>
        <w:jc w:val="both"/>
        <w:rPr>
          <w:rFonts w:cs="Traditional Arabic"/>
          <w:sz w:val="30"/>
          <w:szCs w:val="30"/>
          <w:lang w:val="en-GB"/>
        </w:rPr>
      </w:pPr>
      <w:r w:rsidRPr="00335E4B">
        <w:rPr>
          <w:rFonts w:cs="Traditional Arabic" w:hint="cs"/>
          <w:sz w:val="30"/>
          <w:szCs w:val="30"/>
          <w:rtl/>
          <w:lang w:val="en-GB"/>
        </w:rPr>
        <w:t>التقليل إلى أدنى حد ممكن من النفايات والفصل وإعادة التدوير في المصدر لخفض كمية النفايات التي تحتاج إلى التخلص النهائي منها؛</w:t>
      </w:r>
    </w:p>
    <w:p w:rsidR="00335E4B" w:rsidRPr="00335E4B" w:rsidRDefault="00335E4B" w:rsidP="002A4EF2">
      <w:pPr>
        <w:numPr>
          <w:ilvl w:val="0"/>
          <w:numId w:val="26"/>
        </w:numPr>
        <w:tabs>
          <w:tab w:val="left" w:pos="991"/>
        </w:tabs>
        <w:spacing w:after="120" w:line="400" w:lineRule="exact"/>
        <w:ind w:left="992" w:hanging="425"/>
        <w:jc w:val="both"/>
        <w:rPr>
          <w:rFonts w:cs="Traditional Arabic"/>
          <w:sz w:val="30"/>
          <w:szCs w:val="30"/>
          <w:lang w:val="en-GB"/>
        </w:rPr>
      </w:pPr>
      <w:r w:rsidRPr="00335E4B">
        <w:rPr>
          <w:rFonts w:cs="Traditional Arabic" w:hint="cs"/>
          <w:sz w:val="30"/>
          <w:szCs w:val="30"/>
          <w:rtl/>
          <w:lang w:val="en-GB"/>
        </w:rPr>
        <w:t xml:space="preserve">المعالجة الميكانيكية البيولوجية التي تخفض كمية النفايات بطرق ميكانيكية وبيولوجية وتولد مخلفات تحتاج إلى المزيد من الإدارة </w:t>
      </w:r>
      <w:r w:rsidRPr="002A4EF2">
        <w:rPr>
          <w:rFonts w:asciiTheme="majorBidi" w:hAnsiTheme="majorBidi" w:cstheme="majorBidi"/>
          <w:sz w:val="20"/>
          <w:szCs w:val="20"/>
          <w:rtl/>
          <w:lang w:val="en-GB"/>
        </w:rPr>
        <w:t>(</w:t>
      </w:r>
      <w:r w:rsidRPr="002A4EF2">
        <w:rPr>
          <w:rFonts w:asciiTheme="majorBidi" w:hAnsiTheme="majorBidi" w:cstheme="majorBidi"/>
          <w:sz w:val="20"/>
          <w:szCs w:val="20"/>
          <w:lang w:val="en-GB"/>
        </w:rPr>
        <w:t>Bilitewski,</w:t>
      </w:r>
      <w:r w:rsidRPr="002A4EF2">
        <w:rPr>
          <w:rFonts w:asciiTheme="majorBidi" w:hAnsiTheme="majorBidi" w:cstheme="majorBidi"/>
          <w:sz w:val="20"/>
          <w:szCs w:val="20"/>
          <w:lang w:val="en-GB" w:eastAsia="fr-FR"/>
        </w:rPr>
        <w:t xml:space="preserve"> </w:t>
      </w:r>
      <w:r w:rsidRPr="002A4EF2">
        <w:rPr>
          <w:rFonts w:asciiTheme="majorBidi" w:hAnsiTheme="majorBidi" w:cstheme="majorBidi"/>
          <w:sz w:val="20"/>
          <w:szCs w:val="20"/>
          <w:lang w:val="en-GB"/>
        </w:rPr>
        <w:t>Oros et al. 2010</w:t>
      </w:r>
      <w:r w:rsidRPr="002A4EF2">
        <w:rPr>
          <w:rFonts w:asciiTheme="majorBidi" w:hAnsiTheme="majorBidi" w:cstheme="majorBidi"/>
          <w:sz w:val="20"/>
          <w:szCs w:val="20"/>
          <w:rtl/>
          <w:lang w:val="en-GB"/>
        </w:rPr>
        <w:t>)</w:t>
      </w:r>
      <w:r w:rsidRPr="00335E4B">
        <w:rPr>
          <w:rFonts w:cs="Traditional Arabic" w:hint="cs"/>
          <w:sz w:val="30"/>
          <w:szCs w:val="30"/>
          <w:rtl/>
          <w:lang w:val="en-GB"/>
        </w:rPr>
        <w:t xml:space="preserve">؛ </w:t>
      </w:r>
      <w:r w:rsidRPr="002A4EF2">
        <w:rPr>
          <w:rFonts w:asciiTheme="majorBidi" w:hAnsiTheme="majorBidi" w:cstheme="majorBidi"/>
          <w:sz w:val="20"/>
          <w:szCs w:val="20"/>
          <w:rtl/>
          <w:lang w:val="en-GB"/>
        </w:rPr>
        <w:t>(</w:t>
      </w:r>
      <w:r w:rsidRPr="002A4EF2">
        <w:rPr>
          <w:rFonts w:asciiTheme="majorBidi" w:hAnsiTheme="majorBidi" w:cstheme="majorBidi"/>
          <w:sz w:val="20"/>
          <w:szCs w:val="20"/>
          <w:lang w:val="en-GB"/>
        </w:rPr>
        <w:t>Velis,</w:t>
      </w:r>
      <w:r w:rsidRPr="002A4EF2">
        <w:rPr>
          <w:rFonts w:asciiTheme="majorBidi" w:hAnsiTheme="majorBidi" w:cstheme="majorBidi"/>
          <w:sz w:val="20"/>
          <w:szCs w:val="20"/>
          <w:lang w:val="en-GB" w:eastAsia="fr-FR"/>
        </w:rPr>
        <w:t xml:space="preserve"> </w:t>
      </w:r>
      <w:r w:rsidRPr="002A4EF2">
        <w:rPr>
          <w:rFonts w:asciiTheme="majorBidi" w:hAnsiTheme="majorBidi" w:cstheme="majorBidi"/>
          <w:sz w:val="20"/>
          <w:szCs w:val="20"/>
          <w:lang w:val="en-GB"/>
        </w:rPr>
        <w:t>Longhurst et al. 2009</w:t>
      </w:r>
      <w:r w:rsidRPr="002A4EF2">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335E4B" w:rsidP="00335E4B">
      <w:pPr>
        <w:jc w:val="both"/>
        <w:rPr>
          <w:rFonts w:cs="Traditional Arabic"/>
          <w:sz w:val="30"/>
          <w:szCs w:val="30"/>
          <w:rtl/>
          <w:lang w:val="en-GB"/>
        </w:rPr>
      </w:pPr>
      <w:r w:rsidRPr="00335E4B">
        <w:rPr>
          <w:rFonts w:cs="Traditional Arabic" w:hint="cs"/>
          <w:sz w:val="30"/>
          <w:szCs w:val="30"/>
          <w:rtl/>
          <w:lang w:val="en-GB"/>
        </w:rPr>
        <w:t>أما فيما يخص النفايات الطبية فإن البدائل الممكنة لاستخدام الحرق هي:</w:t>
      </w:r>
    </w:p>
    <w:p w:rsidR="00335E4B" w:rsidRPr="00335E4B" w:rsidRDefault="00335E4B" w:rsidP="00335E4B">
      <w:pPr>
        <w:numPr>
          <w:ilvl w:val="0"/>
          <w:numId w:val="26"/>
        </w:numPr>
        <w:tabs>
          <w:tab w:val="left" w:pos="991"/>
        </w:tabs>
        <w:spacing w:line="400" w:lineRule="exact"/>
        <w:ind w:left="991" w:hanging="426"/>
        <w:jc w:val="both"/>
        <w:rPr>
          <w:rFonts w:cs="Traditional Arabic"/>
          <w:sz w:val="30"/>
          <w:szCs w:val="30"/>
          <w:lang w:val="en-GB"/>
        </w:rPr>
      </w:pPr>
      <w:r w:rsidRPr="00335E4B">
        <w:rPr>
          <w:rFonts w:cs="Traditional Arabic" w:hint="cs"/>
          <w:sz w:val="30"/>
          <w:szCs w:val="30"/>
          <w:rtl/>
          <w:lang w:val="en-GB"/>
        </w:rPr>
        <w:t>تعريض النفايات لبخار مشبع تحت ضغط في وعاء ضغط أو جهاز تعقيم؛</w:t>
      </w:r>
    </w:p>
    <w:p w:rsidR="00335E4B" w:rsidRPr="00335E4B" w:rsidRDefault="00335E4B" w:rsidP="00335E4B">
      <w:pPr>
        <w:numPr>
          <w:ilvl w:val="0"/>
          <w:numId w:val="26"/>
        </w:numPr>
        <w:tabs>
          <w:tab w:val="left" w:pos="991"/>
        </w:tabs>
        <w:spacing w:line="400" w:lineRule="exact"/>
        <w:ind w:left="991" w:hanging="426"/>
        <w:jc w:val="both"/>
        <w:rPr>
          <w:rFonts w:cs="Traditional Arabic"/>
          <w:sz w:val="30"/>
          <w:szCs w:val="30"/>
          <w:lang w:val="en-GB"/>
        </w:rPr>
      </w:pPr>
      <w:r w:rsidRPr="00335E4B">
        <w:rPr>
          <w:rFonts w:cs="Traditional Arabic" w:hint="cs"/>
          <w:sz w:val="30"/>
          <w:szCs w:val="30"/>
          <w:rtl/>
          <w:lang w:val="en-GB"/>
        </w:rPr>
        <w:t>نظم متقدمة للتعقيم بالبخار. وتجمع أجهزة التعقيم المتطورة أو نظم التعقيم المتقدمة بالبخار بين المعالجة بالبخار بعمليات ما قبل التنظيف بالمكنسة الكهربائية ومختلف أنواع المعالجة الميكانيكية قبل وأثناء وبعد المعالجة بالبخار؛</w:t>
      </w:r>
    </w:p>
    <w:p w:rsidR="00335E4B" w:rsidRPr="00335E4B" w:rsidRDefault="00335E4B" w:rsidP="00335E4B">
      <w:pPr>
        <w:numPr>
          <w:ilvl w:val="0"/>
          <w:numId w:val="26"/>
        </w:numPr>
        <w:tabs>
          <w:tab w:val="left" w:pos="991"/>
        </w:tabs>
        <w:spacing w:line="400" w:lineRule="exact"/>
        <w:ind w:left="991" w:hanging="426"/>
        <w:jc w:val="both"/>
        <w:rPr>
          <w:rFonts w:cs="Traditional Arabic"/>
          <w:sz w:val="30"/>
          <w:szCs w:val="30"/>
          <w:lang w:val="en-GB"/>
        </w:rPr>
      </w:pPr>
      <w:r w:rsidRPr="00335E4B">
        <w:rPr>
          <w:rFonts w:cs="Traditional Arabic" w:hint="cs"/>
          <w:sz w:val="30"/>
          <w:szCs w:val="30"/>
          <w:rtl/>
          <w:lang w:val="en-GB"/>
        </w:rPr>
        <w:t>المعالجة بالموجات الميكروية؛</w:t>
      </w:r>
    </w:p>
    <w:p w:rsidR="00335E4B" w:rsidRPr="00335E4B" w:rsidRDefault="00335E4B" w:rsidP="00335E4B">
      <w:pPr>
        <w:numPr>
          <w:ilvl w:val="0"/>
          <w:numId w:val="26"/>
        </w:numPr>
        <w:tabs>
          <w:tab w:val="left" w:pos="991"/>
        </w:tabs>
        <w:spacing w:after="120" w:line="400" w:lineRule="exact"/>
        <w:ind w:left="992" w:hanging="425"/>
        <w:jc w:val="both"/>
        <w:rPr>
          <w:rFonts w:cs="Traditional Arabic"/>
          <w:sz w:val="30"/>
          <w:szCs w:val="30"/>
          <w:lang w:val="en-GB"/>
        </w:rPr>
      </w:pPr>
      <w:r w:rsidRPr="00335E4B">
        <w:rPr>
          <w:rFonts w:cs="Traditional Arabic" w:hint="cs"/>
          <w:sz w:val="30"/>
          <w:szCs w:val="30"/>
          <w:rtl/>
          <w:lang w:val="en-GB"/>
        </w:rPr>
        <w:t>التعقيم الحراري الجاف</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ويرد وصف جيد لهذه البدائل في المبادئ التوجيهية المتعلقة بأفضل التقنيات المتاحة/أفضل الممارسات البيئية في اتفاقية استكهولم (اتفاقية استكهولم، 2008) وفي خلاصة تكنولوجيات معالجة/تدمير نفايات الرعاية الصحية الصادرة عن برنامج الأمم المتحدة للبيئة </w:t>
      </w:r>
      <w:r w:rsidRPr="002A4EF2">
        <w:rPr>
          <w:rFonts w:asciiTheme="majorBidi" w:hAnsiTheme="majorBidi" w:cstheme="majorBidi"/>
          <w:sz w:val="20"/>
          <w:szCs w:val="20"/>
          <w:rtl/>
          <w:lang w:val="en-GB"/>
        </w:rPr>
        <w:t>(</w:t>
      </w:r>
      <w:r w:rsidRPr="002A4EF2">
        <w:rPr>
          <w:rFonts w:asciiTheme="majorBidi" w:hAnsiTheme="majorBidi" w:cstheme="majorBidi"/>
          <w:sz w:val="20"/>
          <w:szCs w:val="20"/>
          <w:lang w:val="cs-CZ" w:eastAsia="fr-FR"/>
        </w:rPr>
        <w:t>Emmanuel, 2012</w:t>
      </w:r>
      <w:r w:rsidRPr="002A4EF2">
        <w:rPr>
          <w:rFonts w:asciiTheme="majorBidi" w:hAnsiTheme="majorBidi" w:cstheme="majorBidi"/>
          <w:sz w:val="20"/>
          <w:szCs w:val="20"/>
          <w:rtl/>
          <w:lang w:val="en-GB"/>
        </w:rPr>
        <w:t>)</w:t>
      </w:r>
      <w:r w:rsidRPr="00335E4B">
        <w:rPr>
          <w:rFonts w:cs="Traditional Arabic" w:hint="cs"/>
          <w:sz w:val="30"/>
          <w:szCs w:val="30"/>
          <w:rtl/>
          <w:lang w:val="en-GB"/>
        </w:rPr>
        <w:t xml:space="preserve">. وطور برنامج الأمم المتحدة للبيئة أيضاً برنامجاً تفاعلياً قائماً على برنامج إكسل، ييسر استخدام التقييم المستدام لمنهجية التكنولوجيات من أجل اختيار تكنولوجيات معالجة نفايات الرعاية الصحية </w:t>
      </w:r>
      <w:r w:rsidRPr="002A4EF2">
        <w:rPr>
          <w:rFonts w:asciiTheme="majorBidi" w:hAnsiTheme="majorBidi" w:cstheme="majorBidi"/>
          <w:sz w:val="20"/>
          <w:szCs w:val="20"/>
          <w:rtl/>
          <w:lang w:val="en-GB"/>
        </w:rPr>
        <w:t>(</w:t>
      </w:r>
      <w:r w:rsidRPr="002A4EF2">
        <w:rPr>
          <w:rFonts w:asciiTheme="majorBidi" w:hAnsiTheme="majorBidi" w:cstheme="majorBidi"/>
          <w:sz w:val="20"/>
          <w:szCs w:val="20"/>
          <w:lang w:val="en-GB" w:eastAsia="fr-FR"/>
        </w:rPr>
        <w:t>Emmanuel, 2012</w:t>
      </w:r>
      <w:r w:rsidRPr="002A4EF2">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وفيما يتعلق بالنفايات الخطرة ترد بعض البدائل الممكنة في الفصل الثالث الخاص بالمبادئ التوجيهية التقنية بشأن نفايات الزئبق في اتفاقية بازل (اتفاقية بازل، 2015) وعلى وجه الخصوص فيما يتعلق بالتربة الملوثة بالزئبق وأيضاً في الدراسة التي أجراها بيل للمواقع الملوثة في كازاخستان </w:t>
      </w:r>
      <w:r w:rsidRPr="00064142">
        <w:rPr>
          <w:rFonts w:asciiTheme="majorBidi" w:hAnsiTheme="majorBidi" w:cstheme="majorBidi"/>
          <w:sz w:val="20"/>
          <w:szCs w:val="20"/>
          <w:rtl/>
          <w:lang w:val="en-GB"/>
        </w:rPr>
        <w:t>(</w:t>
      </w:r>
      <w:r w:rsidRPr="00064142">
        <w:rPr>
          <w:rFonts w:asciiTheme="majorBidi" w:eastAsia="MS Mincho" w:hAnsiTheme="majorBidi" w:cstheme="majorBidi"/>
          <w:color w:val="000000"/>
          <w:spacing w:val="2"/>
          <w:sz w:val="20"/>
          <w:szCs w:val="20"/>
          <w:lang w:eastAsia="ja-JP"/>
        </w:rPr>
        <w:t>Bell, 2015</w:t>
      </w:r>
      <w:r w:rsidRPr="00064142">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335E4B" w:rsidP="005E686E">
      <w:pPr>
        <w:keepNext/>
        <w:spacing w:before="120" w:after="120" w:line="400" w:lineRule="exact"/>
        <w:ind w:left="709" w:hanging="709"/>
        <w:jc w:val="both"/>
        <w:outlineLvl w:val="3"/>
        <w:rPr>
          <w:rFonts w:cs="Traditional Arabic"/>
          <w:b/>
          <w:bCs/>
          <w:sz w:val="32"/>
          <w:szCs w:val="32"/>
          <w:rtl/>
        </w:rPr>
      </w:pPr>
      <w:r w:rsidRPr="00335E4B">
        <w:rPr>
          <w:rFonts w:cs="Traditional Arabic" w:hint="cs"/>
          <w:b/>
          <w:bCs/>
          <w:sz w:val="32"/>
          <w:szCs w:val="32"/>
          <w:rtl/>
        </w:rPr>
        <w:t>أفضل التقنيات المتاحة وأفضل الممارسات البيئية لمرافق حرق النفايات</w:t>
      </w:r>
    </w:p>
    <w:p w:rsidR="00335E4B" w:rsidRPr="00335E4B" w:rsidRDefault="005E686E" w:rsidP="00335E4B">
      <w:pPr>
        <w:keepNext/>
        <w:spacing w:before="120" w:after="120" w:line="400" w:lineRule="exact"/>
        <w:ind w:left="709" w:hanging="709"/>
        <w:jc w:val="both"/>
        <w:outlineLvl w:val="3"/>
        <w:rPr>
          <w:rFonts w:cs="Traditional Arabic"/>
          <w:b/>
          <w:bCs/>
          <w:sz w:val="30"/>
          <w:szCs w:val="30"/>
          <w:rtl/>
        </w:rPr>
      </w:pPr>
      <w:r>
        <w:rPr>
          <w:rFonts w:cs="Traditional Arabic" w:hint="cs"/>
          <w:b/>
          <w:bCs/>
          <w:sz w:val="30"/>
          <w:szCs w:val="30"/>
          <w:rtl/>
        </w:rPr>
        <w:t>3-9</w:t>
      </w:r>
      <w:r>
        <w:rPr>
          <w:rFonts w:cs="Traditional Arabic" w:hint="cs"/>
          <w:b/>
          <w:bCs/>
          <w:sz w:val="30"/>
          <w:szCs w:val="30"/>
          <w:rtl/>
        </w:rPr>
        <w:tab/>
      </w:r>
      <w:r w:rsidR="00335E4B" w:rsidRPr="00335E4B">
        <w:rPr>
          <w:rFonts w:cs="Traditional Arabic" w:hint="cs"/>
          <w:b/>
          <w:bCs/>
          <w:sz w:val="30"/>
          <w:szCs w:val="30"/>
          <w:rtl/>
        </w:rPr>
        <w:t>مدخل إلى أفضل التقنيات المتاحة لحرق النفايات</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يهدف هذا الفرع إلى المساعدة في تحديد أفضل التقنيات التي تنطبق على عملية حرق النفايات. وتشمل أفضل التقنيات المتاحة لحرق النفايات تصميم وتشغيل وصيانة منشأة حرق النفايات على نحو يقلل عملياً إلى أدنى حد ممكن من انبعاثات الزئبق.</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 xml:space="preserve">وعند النظر في أفضل التقنيات المتاحة لحرق النفايات فإن من المهم الأخذ في الاعتبار أن الحل الأمثل لنوع محدد من منشآت حرق النفايات يتفاوت وفقاً للظروف المحلية. ولا يقصد من التقنيات الواردة هنا أن تكون بمثابة قائمة مرجعية تشير إلى أفضل الحلول على المستوى المحلي نظراً لأن ذلك سيتطلب دراسة الظروف المحلية لدرجة لا يمكن بيانها في وثيقة تتناول بشكل عام أفضل التقنيات المتاحة. وبناءً على ذلك فإن مجرد الجمع بين فرادى العناصر المبينة هنا بوصفها أفضل التقنيات المتاحة، دون أخذ الظروف المحلية في الاعتبار، لن يفضي على الأرجح إلى تقديم حل أمثل على النطاق المحلي فيما يتعلق بالبيئة ككل </w:t>
      </w:r>
      <w:r w:rsidRPr="00064142">
        <w:rPr>
          <w:rFonts w:asciiTheme="majorBidi" w:hAnsiTheme="majorBidi" w:cstheme="majorBidi"/>
          <w:sz w:val="20"/>
          <w:szCs w:val="20"/>
          <w:rtl/>
          <w:lang w:val="en-GB"/>
        </w:rPr>
        <w:t>(</w:t>
      </w:r>
      <w:r w:rsidRPr="00064142">
        <w:rPr>
          <w:rFonts w:asciiTheme="majorBidi" w:hAnsiTheme="majorBidi" w:cstheme="majorBidi"/>
          <w:sz w:val="20"/>
          <w:szCs w:val="20"/>
          <w:lang w:val="en-GB"/>
        </w:rPr>
        <w:t>European Commission</w:t>
      </w:r>
      <w:r w:rsidRPr="00064142">
        <w:rPr>
          <w:rFonts w:asciiTheme="majorBidi" w:hAnsiTheme="majorBidi" w:cstheme="majorBidi"/>
          <w:sz w:val="20"/>
          <w:szCs w:val="20"/>
        </w:rPr>
        <w:t>,</w:t>
      </w:r>
      <w:r w:rsidRPr="00064142">
        <w:rPr>
          <w:rFonts w:asciiTheme="majorBidi" w:hAnsiTheme="majorBidi" w:cstheme="majorBidi"/>
          <w:sz w:val="20"/>
          <w:szCs w:val="20"/>
          <w:lang w:val="en-GB"/>
        </w:rPr>
        <w:t xml:space="preserve"> 2006</w:t>
      </w:r>
      <w:r w:rsidRPr="00064142">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335E4B" w:rsidP="00064142">
      <w:pPr>
        <w:spacing w:after="120" w:line="400" w:lineRule="exact"/>
        <w:jc w:val="both"/>
        <w:rPr>
          <w:rFonts w:cs="Traditional Arabic"/>
          <w:sz w:val="30"/>
          <w:szCs w:val="30"/>
          <w:rtl/>
          <w:lang w:val="en-GB"/>
        </w:rPr>
      </w:pPr>
      <w:r w:rsidRPr="00335E4B">
        <w:rPr>
          <w:rFonts w:cs="Traditional Arabic" w:hint="cs"/>
          <w:sz w:val="30"/>
          <w:szCs w:val="30"/>
          <w:rtl/>
          <w:lang w:val="en-GB"/>
        </w:rPr>
        <w:t>وعند الجمع بطريقة مثلى بين التدابير الأولية والثانوية المرتبطة بأفضل التقنيات المتاحة أُبلِغ عن مستويات لانبعاثات الزئبق لا</w:t>
      </w:r>
      <w:r w:rsidR="00064142">
        <w:rPr>
          <w:rFonts w:cs="Traditional Arabic" w:hint="eastAsia"/>
          <w:sz w:val="30"/>
          <w:szCs w:val="30"/>
          <w:rtl/>
          <w:lang w:val="en-GB"/>
        </w:rPr>
        <w:t> </w:t>
      </w:r>
      <w:r w:rsidRPr="00335E4B">
        <w:rPr>
          <w:rFonts w:cs="Traditional Arabic" w:hint="cs"/>
          <w:sz w:val="30"/>
          <w:szCs w:val="30"/>
          <w:rtl/>
          <w:lang w:val="en-GB"/>
        </w:rPr>
        <w:t>تزيد عن 10 ميكروغرام/م</w:t>
      </w:r>
      <w:r w:rsidR="00064142" w:rsidRPr="00064142">
        <w:rPr>
          <w:rFonts w:cs="Traditional Arabic" w:hint="cs"/>
          <w:sz w:val="30"/>
          <w:szCs w:val="30"/>
          <w:vertAlign w:val="superscript"/>
          <w:rtl/>
          <w:lang w:val="en-GB"/>
        </w:rPr>
        <w:t>3</w:t>
      </w:r>
      <w:r w:rsidRPr="00335E4B">
        <w:rPr>
          <w:rFonts w:cs="Traditional Arabic" w:hint="cs"/>
          <w:sz w:val="30"/>
          <w:szCs w:val="30"/>
          <w:rtl/>
          <w:lang w:val="en-GB"/>
        </w:rPr>
        <w:t xml:space="preserve"> (عند أكسجين بنسبة 11 في المائة) (</w:t>
      </w:r>
      <w:r w:rsidRPr="00335E4B">
        <w:rPr>
          <w:rFonts w:cs="Times New Roman"/>
          <w:spacing w:val="-2"/>
          <w:sz w:val="20"/>
          <w:szCs w:val="24"/>
          <w:lang w:val="en-GB"/>
        </w:rPr>
        <w:t>Daschner et al., 2011</w:t>
      </w:r>
      <w:r w:rsidRPr="00335E4B">
        <w:rPr>
          <w:rFonts w:cs="Traditional Arabic" w:hint="cs"/>
          <w:sz w:val="30"/>
          <w:szCs w:val="30"/>
          <w:rtl/>
          <w:lang w:val="en-GB"/>
        </w:rPr>
        <w:t>). ولوحظ كذلك أنه في ظروف التشغيل العادية يمكن تحقيق انبعاثات تقل عن 1 ميكروغرام/م</w:t>
      </w:r>
      <w:r w:rsidRPr="00064142">
        <w:rPr>
          <w:rFonts w:cs="Traditional Arabic" w:hint="cs"/>
          <w:sz w:val="30"/>
          <w:szCs w:val="30"/>
          <w:vertAlign w:val="superscript"/>
          <w:rtl/>
          <w:lang w:val="en-GB"/>
        </w:rPr>
        <w:t>3</w:t>
      </w:r>
      <w:r w:rsidRPr="00335E4B">
        <w:rPr>
          <w:rFonts w:cs="Traditional Arabic" w:hint="cs"/>
          <w:sz w:val="30"/>
          <w:szCs w:val="30"/>
          <w:rtl/>
          <w:lang w:val="en-GB"/>
        </w:rPr>
        <w:t xml:space="preserve"> في منشأة حرق نفايات جيدة التصميم (انظر الفرع 5-5-2 أدناه). وتوجد في جميع أنحاء العالم الكثير من منشآت حرق النفايات يتم تصميمها وتشغيلها وفقاً لمعظم الباراميترات التي تحدد أفضل التقنيات المتاحة وتلبي مستويات الانبعاثات المتعلقة بها. ومن المنتظر أن تحقق المنشآت الجديدة هذه المستويات.</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ويمكن أن تنطوي منشآت حرق النفايات الصغيرة، بما في ذلك أفران حرق النفايات الطبية، على مشاكل في تطبيق أفضل التقنيات المتاحة. ويمكن أن تشكل بعض التقنيات غير المتعلقة بحرق النفايات بدائل مجدية وسليمة بيئياً لعملية الحرق، وفق ما هو مبين في المبادئ التوجيهية التقنية للإدارة السليمة بيئياً لنفايات الزئبق في اتفاقية بازل (انظر الفرع 3-7 من هذه الوثيقة) وفي الفرع الثاني من المبادئ التوجيهية لاتفاقية استكهولم بشأن أفضل التقنيات المتاحة وأفضل الممارسات البيئية.</w:t>
      </w:r>
    </w:p>
    <w:p w:rsidR="00335E4B" w:rsidRPr="00335E4B" w:rsidRDefault="005E686E" w:rsidP="00335E4B">
      <w:pPr>
        <w:keepNext/>
        <w:spacing w:before="120" w:after="120" w:line="400" w:lineRule="exact"/>
        <w:ind w:left="709" w:hanging="709"/>
        <w:jc w:val="both"/>
        <w:outlineLvl w:val="3"/>
        <w:rPr>
          <w:rFonts w:cs="Traditional Arabic"/>
          <w:b/>
          <w:bCs/>
          <w:sz w:val="30"/>
          <w:szCs w:val="30"/>
          <w:rtl/>
        </w:rPr>
      </w:pPr>
      <w:r>
        <w:rPr>
          <w:rFonts w:cs="Traditional Arabic" w:hint="cs"/>
          <w:b/>
          <w:bCs/>
          <w:sz w:val="30"/>
          <w:szCs w:val="30"/>
          <w:rtl/>
        </w:rPr>
        <w:t>3-10</w:t>
      </w:r>
      <w:r w:rsidR="00335E4B" w:rsidRPr="00335E4B">
        <w:rPr>
          <w:rFonts w:cs="Traditional Arabic" w:hint="cs"/>
          <w:b/>
          <w:bCs/>
          <w:sz w:val="30"/>
          <w:szCs w:val="30"/>
          <w:rtl/>
        </w:rPr>
        <w:tab/>
        <w:t>المعالجة المسبقة للنفايات قبل حرقها</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يشكل الخلط (مثلاً الخلط باستخدام الرافعة) أو المعالجة المسبقة الإضافية (مثلاً مزج بعض السوائل والنفايات ذات القوام المعجوني، أو تقطيع بعض النفايات الصلبة) للنفايات غير المتجانسة إلى الدرجة المطلوبة للوفاء بمواصفات تصميم المنشأة المستقبِلة، خطوةً مهمة. وتشترط المعالجة المسبقة على الأرجح عندما تكون المنشأة مصممة لنفايات متجانسة بمواصفات محددة على نطاق ضيق.</w:t>
      </w:r>
    </w:p>
    <w:p w:rsidR="00335E4B" w:rsidRPr="00335E4B" w:rsidRDefault="005E686E" w:rsidP="00335E4B">
      <w:pPr>
        <w:keepNext/>
        <w:spacing w:before="120" w:after="120" w:line="400" w:lineRule="exact"/>
        <w:ind w:left="709" w:hanging="709"/>
        <w:jc w:val="both"/>
        <w:outlineLvl w:val="3"/>
        <w:rPr>
          <w:rFonts w:cs="Traditional Arabic"/>
          <w:b/>
          <w:bCs/>
          <w:sz w:val="30"/>
          <w:szCs w:val="30"/>
          <w:rtl/>
        </w:rPr>
      </w:pPr>
      <w:r>
        <w:rPr>
          <w:rFonts w:cs="Traditional Arabic" w:hint="cs"/>
          <w:b/>
          <w:bCs/>
          <w:sz w:val="30"/>
          <w:szCs w:val="30"/>
          <w:rtl/>
        </w:rPr>
        <w:t>3-11</w:t>
      </w:r>
      <w:r w:rsidR="00335E4B" w:rsidRPr="00335E4B">
        <w:rPr>
          <w:rFonts w:cs="Traditional Arabic" w:hint="cs"/>
          <w:b/>
          <w:bCs/>
          <w:sz w:val="30"/>
          <w:szCs w:val="30"/>
          <w:rtl/>
        </w:rPr>
        <w:tab/>
        <w:t>أفضل التقنيات المتاحة للنفايات المدخلة والتحكم فيها</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يتعين الأخذ في الاعتبار الممارسات العامة التالية لمدخلات النفايات والتحكم فيها عند التعامل مع أفضل التقنيات المتاحة لمناولة النفايات المحتوية على الزئبق أو الملوثة به:</w:t>
      </w:r>
    </w:p>
    <w:p w:rsidR="00335E4B" w:rsidRPr="00335E4B" w:rsidRDefault="00335E4B" w:rsidP="00335E4B">
      <w:pPr>
        <w:numPr>
          <w:ilvl w:val="0"/>
          <w:numId w:val="27"/>
        </w:numPr>
        <w:ind w:left="720"/>
        <w:jc w:val="both"/>
        <w:rPr>
          <w:rFonts w:cs="Traditional Arabic"/>
          <w:sz w:val="30"/>
          <w:szCs w:val="30"/>
          <w:lang w:val="en-GB"/>
        </w:rPr>
      </w:pPr>
      <w:r w:rsidRPr="00335E4B">
        <w:rPr>
          <w:rFonts w:cs="Traditional Arabic" w:hint="cs"/>
          <w:sz w:val="30"/>
          <w:szCs w:val="30"/>
          <w:rtl/>
          <w:lang w:val="en-GB"/>
        </w:rPr>
        <w:t>الإبقاء على الموقع في حالة مرتبة ونظيفة عموماً؛</w:t>
      </w:r>
    </w:p>
    <w:p w:rsidR="00335E4B" w:rsidRPr="00335E4B" w:rsidRDefault="00335E4B" w:rsidP="00335E4B">
      <w:pPr>
        <w:numPr>
          <w:ilvl w:val="0"/>
          <w:numId w:val="27"/>
        </w:numPr>
        <w:ind w:left="720"/>
        <w:jc w:val="both"/>
        <w:rPr>
          <w:rFonts w:cs="Traditional Arabic"/>
          <w:sz w:val="30"/>
          <w:szCs w:val="30"/>
          <w:lang w:val="en-GB"/>
        </w:rPr>
      </w:pPr>
      <w:r w:rsidRPr="00335E4B">
        <w:rPr>
          <w:rFonts w:cs="Traditional Arabic" w:hint="cs"/>
          <w:sz w:val="30"/>
          <w:szCs w:val="30"/>
          <w:rtl/>
          <w:lang w:val="en-GB"/>
        </w:rPr>
        <w:t>تحديد ضوابط للتحكم في النفايات المدخلة والالتزام بها، وفقاً لأنواع النفايات التي يمكن أن ترد إلى المنشأة. وهذا يمكن أن يشمل:</w:t>
      </w:r>
    </w:p>
    <w:p w:rsidR="00335E4B" w:rsidRPr="00335E4B" w:rsidRDefault="00335E4B" w:rsidP="00335E4B">
      <w:pPr>
        <w:numPr>
          <w:ilvl w:val="0"/>
          <w:numId w:val="28"/>
        </w:numPr>
        <w:ind w:left="1080"/>
        <w:jc w:val="both"/>
        <w:rPr>
          <w:rFonts w:cs="Traditional Arabic"/>
          <w:sz w:val="30"/>
          <w:szCs w:val="30"/>
          <w:lang w:val="en-GB"/>
        </w:rPr>
      </w:pPr>
      <w:r w:rsidRPr="00335E4B">
        <w:rPr>
          <w:rFonts w:cs="Traditional Arabic" w:hint="cs"/>
          <w:sz w:val="30"/>
          <w:szCs w:val="30"/>
          <w:rtl/>
          <w:lang w:val="en-GB"/>
        </w:rPr>
        <w:t>وضع قيود على المدخلات المراد معالجتها وتحديد المخاطر الرئيسية؛</w:t>
      </w:r>
    </w:p>
    <w:p w:rsidR="00335E4B" w:rsidRPr="00335E4B" w:rsidRDefault="00335E4B" w:rsidP="00335E4B">
      <w:pPr>
        <w:numPr>
          <w:ilvl w:val="0"/>
          <w:numId w:val="28"/>
        </w:numPr>
        <w:ind w:left="1080"/>
        <w:jc w:val="both"/>
        <w:rPr>
          <w:rFonts w:cs="Traditional Arabic"/>
          <w:sz w:val="30"/>
          <w:szCs w:val="30"/>
          <w:lang w:val="en-GB"/>
        </w:rPr>
      </w:pPr>
      <w:r w:rsidRPr="00335E4B">
        <w:rPr>
          <w:rFonts w:cs="Traditional Arabic" w:hint="cs"/>
          <w:sz w:val="30"/>
          <w:szCs w:val="30"/>
          <w:rtl/>
          <w:lang w:val="en-GB"/>
        </w:rPr>
        <w:t>التواصل مع موردي النفايات لتعزيز ضبط جودة النفايات الواردة؛</w:t>
      </w:r>
    </w:p>
    <w:p w:rsidR="00335E4B" w:rsidRPr="00335E4B" w:rsidRDefault="00335E4B" w:rsidP="00335E4B">
      <w:pPr>
        <w:numPr>
          <w:ilvl w:val="0"/>
          <w:numId w:val="28"/>
        </w:numPr>
        <w:ind w:left="1080"/>
        <w:jc w:val="both"/>
        <w:rPr>
          <w:rFonts w:cs="Traditional Arabic"/>
          <w:sz w:val="30"/>
          <w:szCs w:val="30"/>
          <w:lang w:val="en-GB"/>
        </w:rPr>
      </w:pPr>
      <w:r w:rsidRPr="00335E4B">
        <w:rPr>
          <w:rFonts w:cs="Traditional Arabic" w:hint="cs"/>
          <w:sz w:val="30"/>
          <w:szCs w:val="30"/>
          <w:rtl/>
          <w:lang w:val="en-GB"/>
        </w:rPr>
        <w:t>التحكم في نوعية النفايات الملقمة في موقع الحرق؛</w:t>
      </w:r>
    </w:p>
    <w:p w:rsidR="00335E4B" w:rsidRPr="00335E4B" w:rsidRDefault="00335E4B" w:rsidP="00335E4B">
      <w:pPr>
        <w:numPr>
          <w:ilvl w:val="0"/>
          <w:numId w:val="28"/>
        </w:numPr>
        <w:ind w:left="1080"/>
        <w:jc w:val="both"/>
        <w:rPr>
          <w:rFonts w:cs="Traditional Arabic"/>
          <w:sz w:val="30"/>
          <w:szCs w:val="30"/>
          <w:lang w:val="en-GB"/>
        </w:rPr>
      </w:pPr>
      <w:r w:rsidRPr="00335E4B">
        <w:rPr>
          <w:rFonts w:cs="Traditional Arabic" w:hint="cs"/>
          <w:sz w:val="30"/>
          <w:szCs w:val="30"/>
          <w:rtl/>
          <w:lang w:val="en-GB"/>
        </w:rPr>
        <w:t>فحص النفايات الواردة وأخذ عينات منها واختبارها.</w:t>
      </w:r>
    </w:p>
    <w:p w:rsidR="00335E4B" w:rsidRPr="00335E4B" w:rsidRDefault="005E686E" w:rsidP="00335E4B">
      <w:pPr>
        <w:keepNext/>
        <w:spacing w:before="120" w:after="120" w:line="400" w:lineRule="exact"/>
        <w:ind w:left="709" w:hanging="709"/>
        <w:jc w:val="both"/>
        <w:outlineLvl w:val="3"/>
        <w:rPr>
          <w:rFonts w:cs="Traditional Arabic"/>
          <w:b/>
          <w:bCs/>
          <w:sz w:val="30"/>
          <w:szCs w:val="30"/>
          <w:rtl/>
        </w:rPr>
      </w:pPr>
      <w:r>
        <w:rPr>
          <w:rFonts w:cs="Traditional Arabic" w:hint="cs"/>
          <w:b/>
          <w:bCs/>
          <w:sz w:val="30"/>
          <w:szCs w:val="30"/>
          <w:rtl/>
        </w:rPr>
        <w:t>3-12</w:t>
      </w:r>
      <w:r w:rsidR="00335E4B" w:rsidRPr="00335E4B">
        <w:rPr>
          <w:rFonts w:cs="Traditional Arabic" w:hint="cs"/>
          <w:b/>
          <w:bCs/>
          <w:sz w:val="30"/>
          <w:szCs w:val="30"/>
          <w:rtl/>
        </w:rPr>
        <w:tab/>
        <w:t>أفضل التقنيات المتاحة لحرق النفايات</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هناك معاوضة محتملة يمكن إجراؤها على صعيد تشغيل أفران حرق النفايات. ومن أجل تحقيق أكبر قدر من التدمير يتعين أن يكون الاحتراق كاملاً. وتبين الفروع التالية، أولاً، الاعتبارات العامة التي تقود على الأرجح إلى إنجاز أكبر قدر ممكن من الاحتراق. ويرد بعد ذلك وصف لاعتبارات معينة لفرادى مسارات النفايات. ويعتمد اختيار تقنية حرق ما على نوع النفايات المراد حرقها.</w:t>
      </w:r>
    </w:p>
    <w:p w:rsidR="00335E4B" w:rsidRPr="00335E4B" w:rsidRDefault="005E686E" w:rsidP="00335E4B">
      <w:pPr>
        <w:keepNext/>
        <w:spacing w:before="120" w:after="120" w:line="400" w:lineRule="exact"/>
        <w:ind w:left="1132" w:hanging="1132"/>
        <w:jc w:val="both"/>
        <w:outlineLvl w:val="3"/>
        <w:rPr>
          <w:rFonts w:cs="Traditional Arabic"/>
          <w:b/>
          <w:bCs/>
          <w:sz w:val="30"/>
          <w:szCs w:val="30"/>
          <w:rtl/>
        </w:rPr>
      </w:pPr>
      <w:r>
        <w:rPr>
          <w:rFonts w:cs="Traditional Arabic" w:hint="cs"/>
          <w:b/>
          <w:bCs/>
          <w:sz w:val="30"/>
          <w:szCs w:val="30"/>
          <w:rtl/>
        </w:rPr>
        <w:t>3-12</w:t>
      </w:r>
      <w:r w:rsidR="00335E4B" w:rsidRPr="00335E4B">
        <w:rPr>
          <w:rFonts w:cs="Traditional Arabic" w:hint="cs"/>
          <w:b/>
          <w:bCs/>
          <w:sz w:val="30"/>
          <w:szCs w:val="30"/>
          <w:rtl/>
        </w:rPr>
        <w:t>-1</w:t>
      </w:r>
      <w:r w:rsidR="00335E4B" w:rsidRPr="00335E4B">
        <w:rPr>
          <w:rFonts w:cs="Traditional Arabic" w:hint="cs"/>
          <w:b/>
          <w:bCs/>
          <w:sz w:val="30"/>
          <w:szCs w:val="30"/>
          <w:rtl/>
        </w:rPr>
        <w:tab/>
        <w:t>اشتراطات عامة لتقنيات الحرق</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الشروط التالية مهمة لتحقيق أفضل احتراق:</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التأكد من أن تصميم الفرن ملائم بصورة جيدة لخصائص النفايات المراد معالجتها؛</w:t>
      </w:r>
    </w:p>
    <w:p w:rsidR="00335E4B" w:rsidRPr="00335E4B" w:rsidRDefault="00335E4B" w:rsidP="00064142">
      <w:pPr>
        <w:numPr>
          <w:ilvl w:val="0"/>
          <w:numId w:val="29"/>
        </w:numPr>
        <w:jc w:val="both"/>
        <w:rPr>
          <w:rFonts w:cs="Traditional Arabic"/>
          <w:sz w:val="30"/>
          <w:szCs w:val="30"/>
          <w:lang w:val="en-GB"/>
        </w:rPr>
      </w:pPr>
      <w:r w:rsidRPr="00335E4B">
        <w:rPr>
          <w:rFonts w:cs="Traditional Arabic" w:hint="cs"/>
          <w:sz w:val="30"/>
          <w:szCs w:val="30"/>
          <w:rtl/>
          <w:lang w:val="en-GB"/>
        </w:rPr>
        <w:t xml:space="preserve">الإبقاء على درجات الحرارة في مناطق احتراق الطور الغازي ضمن المدى الأفضل بهدف إنجاز التأكسد الكامل للنفايات (مثلاً 850مْ </w:t>
      </w:r>
      <w:r w:rsidRPr="00335E4B">
        <w:rPr>
          <w:rFonts w:cs="Traditional Arabic"/>
          <w:sz w:val="30"/>
          <w:szCs w:val="30"/>
          <w:rtl/>
          <w:lang w:val="en-GB"/>
        </w:rPr>
        <w:t>–</w:t>
      </w:r>
      <w:r w:rsidRPr="00335E4B">
        <w:rPr>
          <w:rFonts w:cs="Traditional Arabic" w:hint="cs"/>
          <w:sz w:val="30"/>
          <w:szCs w:val="30"/>
          <w:rtl/>
          <w:lang w:val="en-GB"/>
        </w:rPr>
        <w:t xml:space="preserve"> 950مْ في الأفران الشبكية لحرق النفايات الصلبة البلدية، 100 1مْ </w:t>
      </w:r>
      <w:r w:rsidR="00064142">
        <w:rPr>
          <w:rFonts w:cs="Traditional Arabic" w:hint="cs"/>
          <w:sz w:val="30"/>
          <w:szCs w:val="30"/>
          <w:rtl/>
          <w:lang w:val="en-GB"/>
        </w:rPr>
        <w:t>-</w:t>
      </w:r>
      <w:r w:rsidRPr="00335E4B">
        <w:rPr>
          <w:rFonts w:cs="Traditional Arabic" w:hint="cs"/>
          <w:sz w:val="30"/>
          <w:szCs w:val="30"/>
          <w:rtl/>
          <w:lang w:val="en-GB"/>
        </w:rPr>
        <w:t xml:space="preserve"> 200 1مْ عندما يكون محتوى الكلور في النفايات عالياً)؛</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السماح بفترة مكوث كافية (مثلاً ثانيتان على الأقل) مع المزج الشديد في غرف الاحتراق بهدف إكمال عملية الحرق؛</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التسخين المسبق للهواء الأولي والثانوي للمساعدة في الاحتراق عند الضرورة؛</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المعالجة المستمرة وليس على دفعات ما أمكن، للتقليل إلى أدنى حد ممكن من الإطلاقات عند بدء التشغيل وعند الإغلاق؛</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تركيب نظم لرصد باراميترات الاحتراق المهمة مثل الحرارة وانخفاض الضغط ومستويات أول أكسيد الكربون والأكسجين، وكذلك سرعة الشبكة المعدنية، عند الاقتضاء؛</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السماح بتدخلات التحكم لتعديل النفايات الملقمة وسرعة الفرن الشبكي ودرجة الحرارة وحجم وتوزيع الهواء الأولي والثانوي؛</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تركيب أفران حرق أوتوماتيكية مساعدة للحفاظ على درجة الحرارة المثلى في غرف الاحتراق؛</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استخدام الهواء في المستودعات ومرافق التخزين كهواء احتراق؛</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تركيب نظام يوقف أوتوماتيكياً تلقيم النفايات عندما تكون باراميترات الاحتراق غير ملائمة.</w:t>
      </w:r>
    </w:p>
    <w:p w:rsidR="00335E4B" w:rsidRPr="00335E4B" w:rsidRDefault="005E686E" w:rsidP="00310FC3">
      <w:pPr>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12</w:t>
      </w:r>
      <w:r w:rsidR="00335E4B" w:rsidRPr="00335E4B">
        <w:rPr>
          <w:rFonts w:cs="Traditional Arabic" w:hint="cs"/>
          <w:b/>
          <w:bCs/>
          <w:sz w:val="30"/>
          <w:szCs w:val="30"/>
          <w:rtl/>
        </w:rPr>
        <w:t>-2</w:t>
      </w:r>
      <w:r w:rsidR="00335E4B" w:rsidRPr="00335E4B">
        <w:rPr>
          <w:rFonts w:cs="Traditional Arabic" w:hint="cs"/>
          <w:b/>
          <w:bCs/>
          <w:sz w:val="30"/>
          <w:szCs w:val="30"/>
          <w:rtl/>
        </w:rPr>
        <w:tab/>
        <w:t>تقنيات حرق النفايات الصلبة البلدية</w:t>
      </w:r>
    </w:p>
    <w:p w:rsidR="00335E4B" w:rsidRPr="00335E4B" w:rsidRDefault="00335E4B" w:rsidP="00335E4B">
      <w:pPr>
        <w:spacing w:after="120" w:line="400" w:lineRule="exact"/>
        <w:ind w:left="-2"/>
        <w:jc w:val="both"/>
        <w:rPr>
          <w:rFonts w:cs="Traditional Arabic"/>
          <w:sz w:val="30"/>
          <w:szCs w:val="30"/>
          <w:rtl/>
          <w:lang w:val="en-GB"/>
        </w:rPr>
      </w:pPr>
      <w:r w:rsidRPr="00335E4B">
        <w:rPr>
          <w:rFonts w:cs="Traditional Arabic" w:hint="cs"/>
          <w:sz w:val="30"/>
          <w:szCs w:val="30"/>
          <w:rtl/>
          <w:lang w:val="en-GB"/>
        </w:rPr>
        <w:t>ترد فيما يلي اعتبارات خاصة بحرق النفايات الصلبة البلدية:</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ثبت بشكل جيد ملاءمة أفران الحرق (ذات الشبكة المعدنية المتحركة) لحرق النفايات الصلبة البلدية غير المتجانسة وهي تتمتع بتاريخ تشغيلي طويل؛</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تتمتع الأفران الشبكية المبردة بالمياه بميزات إضافية تتمثل في التحكم الأفضل في عملية الاحتراق والقدرة على معالجة النفايات الصلبة البلدية ذات المحتوى الحراري العالي؛</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يمكن للأفران الدوارة الشبكية أن تعالج النفايات الصلبة البلدية غير المتجانسة لكن بكميات أقل مقارنةً بأفران الحرق الضخمة أو الأفران الشبكية المتحركة؛</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تتميز الأفران الشبكية الثابتة المزودة بنظم ناقلة (مثل المكابس) بعدد أقل من الأجزاء المتحركة إلا أن النفايات قد تكون بحاجة إلى المزيد من المعالجات المسبقة (مثل التقطيع والفصل)؛</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تستخدم التصميمات ذات الوحدات التجميعية المحتوية على غرف احتراق ثانوي على نطاق واسع في التطبيقات الصغيرة. واعتماداً على الحجم فإن بعض هذه الوحدات قد تحتاج إلى التشغيل على دفعات.</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تستخدم الأفران ذات القاعدة المميعة والأفران المزودة بجهاز ناشر أو ذات الوقاد الآلي على نطاق واسع للنفايات الناعمة المتناسقة مثل الوقود المشتق من النفايات.</w:t>
      </w:r>
    </w:p>
    <w:p w:rsidR="00335E4B" w:rsidRPr="00335E4B" w:rsidRDefault="005E686E" w:rsidP="005E686E">
      <w:pPr>
        <w:keepNext/>
        <w:spacing w:before="120" w:after="120" w:line="400" w:lineRule="exact"/>
        <w:ind w:left="1132" w:hanging="1132"/>
        <w:jc w:val="both"/>
        <w:outlineLvl w:val="3"/>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12</w:t>
      </w:r>
      <w:r w:rsidR="00335E4B" w:rsidRPr="00335E4B">
        <w:rPr>
          <w:rFonts w:cs="Traditional Arabic" w:hint="cs"/>
          <w:b/>
          <w:bCs/>
          <w:sz w:val="30"/>
          <w:szCs w:val="30"/>
          <w:rtl/>
        </w:rPr>
        <w:t>-3</w:t>
      </w:r>
      <w:r w:rsidR="00335E4B" w:rsidRPr="00335E4B">
        <w:rPr>
          <w:rFonts w:cs="Traditional Arabic" w:hint="cs"/>
          <w:b/>
          <w:bCs/>
          <w:sz w:val="30"/>
          <w:szCs w:val="30"/>
          <w:rtl/>
        </w:rPr>
        <w:tab/>
        <w:t>تقنيات حرق النفايات الخطرة</w:t>
      </w:r>
    </w:p>
    <w:p w:rsidR="00335E4B" w:rsidRPr="00335E4B" w:rsidRDefault="00335E4B" w:rsidP="00335E4B">
      <w:pPr>
        <w:spacing w:after="120" w:line="400" w:lineRule="exact"/>
        <w:ind w:left="425"/>
        <w:jc w:val="both"/>
        <w:rPr>
          <w:rFonts w:cs="Traditional Arabic"/>
          <w:sz w:val="30"/>
          <w:szCs w:val="30"/>
          <w:rtl/>
          <w:lang w:val="en-GB"/>
        </w:rPr>
      </w:pPr>
      <w:r w:rsidRPr="00335E4B">
        <w:rPr>
          <w:rFonts w:cs="Traditional Arabic" w:hint="cs"/>
          <w:sz w:val="30"/>
          <w:szCs w:val="30"/>
          <w:rtl/>
          <w:lang w:val="en-GB"/>
        </w:rPr>
        <w:t>ترد فيما يلي اعتبارات خاصة بحرق النفايات الخطرة:</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تستخدم الأفران الدوارة على نطاق واسع لحرق النفايات الخطرة وبمقدورها معالجة المواد السائلة وذات القوام المعجوني وكذلك المواد الصلبة (انظر الأقسام الفرعية 2-2-3-1 إلى 2-2-3-5)؛</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ويشيع استخدام أفران الحرق التي تعمل بضخ السوائل لحرق النفايات الخطرة؛</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ويمكن تشغيل الأفران المبردة بالمياه عند درجات حرارة عالية ويمكنها معالجة نفايات ذات قيم طاقة عالية؛</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ويمكن تحسين تناسق (واحتراق) النفايات من خلال استخدام براميل التقطيع وغيرها من النفايات الخطرة المعبأة؛</w:t>
      </w:r>
    </w:p>
    <w:p w:rsidR="00335E4B" w:rsidRPr="00335E4B" w:rsidRDefault="00335E4B" w:rsidP="00064142">
      <w:pPr>
        <w:numPr>
          <w:ilvl w:val="0"/>
          <w:numId w:val="29"/>
        </w:numPr>
        <w:jc w:val="both"/>
        <w:rPr>
          <w:rFonts w:cs="Traditional Arabic"/>
          <w:sz w:val="30"/>
          <w:szCs w:val="30"/>
          <w:lang w:val="en-GB"/>
        </w:rPr>
      </w:pPr>
      <w:r w:rsidRPr="00335E4B">
        <w:rPr>
          <w:rFonts w:cs="Traditional Arabic" w:hint="cs"/>
          <w:sz w:val="30"/>
          <w:szCs w:val="30"/>
          <w:rtl/>
          <w:lang w:val="en-GB"/>
        </w:rPr>
        <w:t>ويساعد نظام التلقيم المتساوي (مثلاً أجهزة النقل اللولبية التي تسحق وتوفر كمية ثابتة من النفايات الخطرة الصلبة للفرن) في ضمان توفير تلقيم مستمر ومتحَكم فيه للفرن وكذلك ضمان المحافظة على ظروف احتراق موحدة.</w:t>
      </w:r>
    </w:p>
    <w:p w:rsidR="00335E4B" w:rsidRPr="00335E4B" w:rsidRDefault="005E686E" w:rsidP="005E686E">
      <w:pPr>
        <w:keepNext/>
        <w:spacing w:before="120" w:after="120" w:line="400" w:lineRule="exact"/>
        <w:ind w:left="1132" w:hanging="1132"/>
        <w:jc w:val="both"/>
        <w:outlineLvl w:val="3"/>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12</w:t>
      </w:r>
      <w:r w:rsidR="00335E4B" w:rsidRPr="00335E4B">
        <w:rPr>
          <w:rFonts w:cs="Traditional Arabic" w:hint="cs"/>
          <w:b/>
          <w:bCs/>
          <w:sz w:val="30"/>
          <w:szCs w:val="30"/>
          <w:rtl/>
        </w:rPr>
        <w:t>-4</w:t>
      </w:r>
      <w:r w:rsidR="00335E4B" w:rsidRPr="00335E4B">
        <w:rPr>
          <w:rFonts w:cs="Traditional Arabic" w:hint="cs"/>
          <w:b/>
          <w:bCs/>
          <w:sz w:val="30"/>
          <w:szCs w:val="30"/>
          <w:rtl/>
        </w:rPr>
        <w:tab/>
        <w:t>تقنيات حرق حمأة مياه المجارير</w:t>
      </w:r>
    </w:p>
    <w:p w:rsidR="00335E4B" w:rsidRPr="00335E4B" w:rsidRDefault="00335E4B" w:rsidP="00335E4B">
      <w:pPr>
        <w:spacing w:after="120" w:line="400" w:lineRule="exact"/>
        <w:ind w:left="-2"/>
        <w:jc w:val="both"/>
        <w:rPr>
          <w:rFonts w:cs="Traditional Arabic"/>
          <w:sz w:val="30"/>
          <w:szCs w:val="30"/>
          <w:rtl/>
          <w:lang w:val="en-GB"/>
        </w:rPr>
      </w:pPr>
      <w:r w:rsidRPr="00335E4B">
        <w:rPr>
          <w:rFonts w:cs="Traditional Arabic" w:hint="cs"/>
          <w:sz w:val="30"/>
          <w:szCs w:val="30"/>
          <w:rtl/>
          <w:lang w:val="en-GB"/>
        </w:rPr>
        <w:t>ترد فيما يلي اعتبارات خاصة بحرق حمأة مياه المجارير:</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تستخدم على نطاق واسع الأفران ذات القاعدة المميعة والأفران ذات المواقد المتعددة في المعالجة الحرارية لحمأة مياه المجارير؛</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وتسمح الأفران الدوارة ذات القاعدة المميعة بمرونة أكبر للوقود مقارنةً بذات القاعدة الفوارة إلا أنها تحتاج إلى فرازات دوامية للحفاظ على مواد طبقة القاعدة؛</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يتعين اتخاذ الحذر عند استخدام الوحدات ذات القاعدة الفوارة لتفادي الانسداد؛</w:t>
      </w:r>
    </w:p>
    <w:p w:rsidR="00335E4B" w:rsidRPr="00335E4B" w:rsidRDefault="00335E4B" w:rsidP="00335E4B">
      <w:pPr>
        <w:numPr>
          <w:ilvl w:val="0"/>
          <w:numId w:val="29"/>
        </w:numPr>
        <w:jc w:val="both"/>
        <w:rPr>
          <w:rFonts w:cs="Traditional Arabic"/>
          <w:sz w:val="30"/>
          <w:szCs w:val="30"/>
          <w:lang w:val="en-GB"/>
        </w:rPr>
      </w:pPr>
      <w:r w:rsidRPr="00335E4B">
        <w:rPr>
          <w:rFonts w:cs="Traditional Arabic" w:hint="cs"/>
          <w:sz w:val="30"/>
          <w:szCs w:val="30"/>
          <w:rtl/>
          <w:lang w:val="en-GB"/>
        </w:rPr>
        <w:t>من شأن استخدام الحرارة المستعادة من العملية للمساعدة في تجفيف الحمأة أن يقلل من الحاجة إلى استخدام وقود إضافي؛</w:t>
      </w:r>
    </w:p>
    <w:p w:rsidR="00335E4B" w:rsidRPr="00335E4B" w:rsidRDefault="00335E4B" w:rsidP="00335E4B">
      <w:pPr>
        <w:numPr>
          <w:ilvl w:val="0"/>
          <w:numId w:val="29"/>
        </w:numPr>
        <w:spacing w:after="120" w:line="400" w:lineRule="exact"/>
        <w:ind w:left="1139" w:hanging="357"/>
        <w:jc w:val="both"/>
        <w:rPr>
          <w:rFonts w:cs="Traditional Arabic"/>
          <w:sz w:val="30"/>
          <w:szCs w:val="30"/>
          <w:rtl/>
          <w:lang w:val="en-GB"/>
        </w:rPr>
      </w:pPr>
      <w:r w:rsidRPr="00335E4B">
        <w:rPr>
          <w:rFonts w:cs="Traditional Arabic" w:hint="cs"/>
          <w:sz w:val="30"/>
          <w:szCs w:val="30"/>
          <w:rtl/>
          <w:lang w:val="en-GB"/>
        </w:rPr>
        <w:t xml:space="preserve">تكنولوجيات الإمداد مهمة عند الحرق المشترك لحمأة مياه المجارير في أفران حرق النفايات الصلبة البلدية. ومن التقنيات التي ثبتت ملاءمتها: نفخ الحمأة المجففة في الفرن في شكل غبار؛ والتزويد بالحمأة المسحوبة عن طريق الرشاشات وتوزيعها ومزجها على الفرن الشبكي؛ ومزج الحمأة المسحوبة أو المجففة مع النفايات الصلبة البلدية وتلقيمهما معاً </w:t>
      </w:r>
      <w:r w:rsidRPr="00064142">
        <w:rPr>
          <w:rFonts w:asciiTheme="majorBidi" w:hAnsiTheme="majorBidi" w:cstheme="majorBidi"/>
          <w:sz w:val="20"/>
          <w:szCs w:val="20"/>
          <w:rtl/>
          <w:lang w:val="en-GB"/>
        </w:rPr>
        <w:t>(</w:t>
      </w:r>
      <w:r w:rsidRPr="00064142">
        <w:rPr>
          <w:rFonts w:asciiTheme="majorBidi" w:hAnsiTheme="majorBidi" w:cstheme="majorBidi"/>
          <w:sz w:val="20"/>
          <w:szCs w:val="20"/>
          <w:lang w:val="en-GB"/>
        </w:rPr>
        <w:t>European Commission 2006</w:t>
      </w:r>
      <w:r w:rsidRPr="00064142">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5E686E" w:rsidP="005E686E">
      <w:pPr>
        <w:keepNext/>
        <w:spacing w:before="120" w:after="120" w:line="400" w:lineRule="exact"/>
        <w:ind w:left="1132" w:hanging="1132"/>
        <w:jc w:val="both"/>
        <w:outlineLvl w:val="3"/>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12</w:t>
      </w:r>
      <w:r w:rsidR="00335E4B" w:rsidRPr="00335E4B">
        <w:rPr>
          <w:rFonts w:cs="Traditional Arabic" w:hint="cs"/>
          <w:b/>
          <w:bCs/>
          <w:sz w:val="30"/>
          <w:szCs w:val="30"/>
          <w:rtl/>
        </w:rPr>
        <w:t>-5</w:t>
      </w:r>
      <w:r w:rsidR="00335E4B" w:rsidRPr="00335E4B">
        <w:rPr>
          <w:rFonts w:cs="Traditional Arabic" w:hint="cs"/>
          <w:b/>
          <w:bCs/>
          <w:sz w:val="30"/>
          <w:szCs w:val="30"/>
          <w:rtl/>
        </w:rPr>
        <w:tab/>
        <w:t>حرق النفايات الطبية</w:t>
      </w:r>
    </w:p>
    <w:p w:rsidR="00335E4B" w:rsidRPr="00335E4B" w:rsidRDefault="00335E4B" w:rsidP="00335E4B">
      <w:pPr>
        <w:spacing w:after="120" w:line="400" w:lineRule="exact"/>
        <w:ind w:left="-2"/>
        <w:jc w:val="both"/>
        <w:rPr>
          <w:rFonts w:cs="Traditional Arabic"/>
          <w:sz w:val="30"/>
          <w:szCs w:val="30"/>
          <w:rtl/>
          <w:lang w:val="en-GB"/>
        </w:rPr>
      </w:pPr>
      <w:r w:rsidRPr="00335E4B">
        <w:rPr>
          <w:rFonts w:cs="Traditional Arabic" w:hint="cs"/>
          <w:sz w:val="30"/>
          <w:szCs w:val="30"/>
          <w:rtl/>
          <w:lang w:val="en-GB"/>
        </w:rPr>
        <w:t>ترد فيما يلي اعتبارات خاصة بحرق النفايات الطبية:</w:t>
      </w:r>
    </w:p>
    <w:p w:rsidR="00335E4B" w:rsidRPr="00335E4B" w:rsidRDefault="00335E4B" w:rsidP="00AA60A1">
      <w:pPr>
        <w:numPr>
          <w:ilvl w:val="0"/>
          <w:numId w:val="29"/>
        </w:numPr>
        <w:spacing w:line="400" w:lineRule="exact"/>
        <w:ind w:leftChars="141" w:left="733" w:hangingChars="141" w:hanging="423"/>
        <w:jc w:val="both"/>
        <w:rPr>
          <w:rFonts w:cs="Traditional Arabic"/>
          <w:sz w:val="30"/>
          <w:szCs w:val="30"/>
          <w:lang w:val="en-GB"/>
        </w:rPr>
      </w:pPr>
      <w:r w:rsidRPr="00335E4B">
        <w:rPr>
          <w:rFonts w:cs="Traditional Arabic" w:hint="cs"/>
          <w:sz w:val="30"/>
          <w:szCs w:val="30"/>
          <w:rtl/>
          <w:lang w:val="en-GB"/>
        </w:rPr>
        <w:t>عند استخدام الشبكات المعدنية يجب أن يُراعَى في تصميم هذه الشبكات ضمان التبريد الكافي من خلال السماح بتغيير إمدادات الهواء الأولي، والهدف الرئيسي من ذلك هو التحكم في عملية الاحتراق وليس تبريد الشبكة نفسها. وبشكل عام تكون الشبكات المعدنية المبردة هوائياً التي تتميز بحسن توزيع تيار تبريد الهواء مناسبة للنفايات التي يصل صافي القيمة الحرارية فيها إلى زهاء 18 ميغاجول/كغ. أما النفايات ذات المحتوى الحراري الأعلى (مثلاً أكثر من زهاء</w:t>
      </w:r>
      <w:r w:rsidR="00AA60A1">
        <w:rPr>
          <w:rFonts w:cs="Traditional Arabic" w:hint="eastAsia"/>
          <w:sz w:val="30"/>
          <w:szCs w:val="30"/>
          <w:rtl/>
          <w:lang w:val="en-GB"/>
        </w:rPr>
        <w:t> </w:t>
      </w:r>
      <w:r w:rsidRPr="00335E4B">
        <w:rPr>
          <w:rFonts w:cs="Traditional Arabic" w:hint="cs"/>
          <w:sz w:val="30"/>
          <w:szCs w:val="30"/>
          <w:rtl/>
          <w:lang w:val="en-GB"/>
        </w:rPr>
        <w:t xml:space="preserve">18 ميغاجول/كغ) فقد تحتاج إلى تبريد بالمياه (أو بسائل آخر) بهدف تفادي الحاجة إلى مستويات زائدة من الهواء الأولي للتحكم في درجة حرارة الشبكة </w:t>
      </w:r>
      <w:r w:rsidR="00064142">
        <w:rPr>
          <w:rFonts w:cs="Traditional Arabic" w:hint="cs"/>
          <w:sz w:val="30"/>
          <w:szCs w:val="30"/>
          <w:rtl/>
          <w:lang w:val="en-GB"/>
        </w:rPr>
        <w:t>-</w:t>
      </w:r>
      <w:r w:rsidRPr="00335E4B">
        <w:rPr>
          <w:rFonts w:cs="Traditional Arabic" w:hint="cs"/>
          <w:sz w:val="30"/>
          <w:szCs w:val="30"/>
          <w:rtl/>
          <w:lang w:val="en-GB"/>
        </w:rPr>
        <w:t xml:space="preserve"> أي المستويات التي تنتج عنها إمدادات هوائية أكبر من المستويات المثلى للتحكم في الاحتراق؛</w:t>
      </w:r>
    </w:p>
    <w:p w:rsidR="00335E4B" w:rsidRPr="00335E4B" w:rsidRDefault="00335E4B" w:rsidP="00064142">
      <w:pPr>
        <w:numPr>
          <w:ilvl w:val="0"/>
          <w:numId w:val="29"/>
        </w:numPr>
        <w:spacing w:line="400" w:lineRule="exact"/>
        <w:ind w:leftChars="141" w:left="733" w:hangingChars="141" w:hanging="423"/>
        <w:jc w:val="both"/>
        <w:rPr>
          <w:rFonts w:cs="Traditional Arabic"/>
          <w:sz w:val="30"/>
          <w:szCs w:val="30"/>
          <w:lang w:val="en-GB"/>
        </w:rPr>
      </w:pPr>
      <w:r w:rsidRPr="00335E4B">
        <w:rPr>
          <w:rFonts w:cs="Traditional Arabic" w:hint="cs"/>
          <w:sz w:val="30"/>
          <w:szCs w:val="30"/>
          <w:rtl/>
          <w:lang w:val="en-GB"/>
        </w:rPr>
        <w:t xml:space="preserve">ويتعين استخدام تصاميم لغرف الاحتراق تسمح باحتواء النفايات ورجها ونقلها، مثل الأفران الدوارة </w:t>
      </w:r>
      <w:r w:rsidR="00064142">
        <w:rPr>
          <w:rFonts w:cs="Traditional Arabic" w:hint="cs"/>
          <w:sz w:val="30"/>
          <w:szCs w:val="30"/>
          <w:rtl/>
          <w:lang w:val="en-GB"/>
        </w:rPr>
        <w:t>-</w:t>
      </w:r>
      <w:r w:rsidRPr="00335E4B">
        <w:rPr>
          <w:rFonts w:cs="Traditional Arabic" w:hint="cs"/>
          <w:sz w:val="30"/>
          <w:szCs w:val="30"/>
          <w:rtl/>
          <w:lang w:val="en-GB"/>
        </w:rPr>
        <w:t xml:space="preserve"> المزودة أو غير المزودة بالتبريد بالماء. ويمكن أن يكون التبريد بالماء في الأفران الدوارة ملائماً في الأوضاع التالية:</w:t>
      </w:r>
    </w:p>
    <w:p w:rsidR="00335E4B" w:rsidRPr="00335E4B" w:rsidRDefault="00335E4B" w:rsidP="00064142">
      <w:pPr>
        <w:numPr>
          <w:ilvl w:val="0"/>
          <w:numId w:val="30"/>
        </w:numPr>
        <w:spacing w:line="400" w:lineRule="exact"/>
        <w:ind w:leftChars="425" w:left="1499" w:hangingChars="188" w:hanging="564"/>
        <w:jc w:val="both"/>
        <w:rPr>
          <w:rFonts w:cs="Traditional Arabic"/>
          <w:sz w:val="30"/>
          <w:szCs w:val="30"/>
          <w:lang w:val="en-GB"/>
        </w:rPr>
      </w:pPr>
      <w:r w:rsidRPr="00335E4B">
        <w:rPr>
          <w:rFonts w:cs="Traditional Arabic" w:hint="cs"/>
          <w:sz w:val="30"/>
          <w:szCs w:val="30"/>
          <w:rtl/>
          <w:lang w:val="en-GB"/>
        </w:rPr>
        <w:t xml:space="preserve">عندما يكون صافي القيمة الحرارية للنفايات الملقمة عالياً (أي أكبر من 15 </w:t>
      </w:r>
      <w:r w:rsidR="00064142">
        <w:rPr>
          <w:rFonts w:cs="Traditional Arabic" w:hint="cs"/>
          <w:sz w:val="30"/>
          <w:szCs w:val="30"/>
          <w:rtl/>
          <w:lang w:val="en-GB"/>
        </w:rPr>
        <w:t>-</w:t>
      </w:r>
      <w:r w:rsidRPr="00335E4B">
        <w:rPr>
          <w:rFonts w:cs="Traditional Arabic" w:hint="cs"/>
          <w:sz w:val="30"/>
          <w:szCs w:val="30"/>
          <w:rtl/>
          <w:lang w:val="en-GB"/>
        </w:rPr>
        <w:t xml:space="preserve"> 17 غيغاجول/طن)؛</w:t>
      </w:r>
    </w:p>
    <w:p w:rsidR="00335E4B" w:rsidRPr="00335E4B" w:rsidRDefault="00335E4B" w:rsidP="00064142">
      <w:pPr>
        <w:numPr>
          <w:ilvl w:val="0"/>
          <w:numId w:val="30"/>
        </w:numPr>
        <w:spacing w:line="400" w:lineRule="exact"/>
        <w:ind w:leftChars="425" w:left="1499" w:hangingChars="188" w:hanging="564"/>
        <w:jc w:val="both"/>
        <w:rPr>
          <w:rFonts w:cs="Traditional Arabic"/>
          <w:sz w:val="30"/>
          <w:szCs w:val="30"/>
          <w:lang w:val="en-GB"/>
        </w:rPr>
      </w:pPr>
      <w:r w:rsidRPr="00335E4B">
        <w:rPr>
          <w:rFonts w:cs="Traditional Arabic" w:hint="cs"/>
          <w:sz w:val="30"/>
          <w:szCs w:val="30"/>
          <w:rtl/>
          <w:lang w:val="en-GB"/>
        </w:rPr>
        <w:t>عند استخدام درجات الحرارة العالية - أي أعلى من 100</w:t>
      </w:r>
      <w:r w:rsidR="00064142">
        <w:rPr>
          <w:rFonts w:cs="Traditional Arabic" w:hint="eastAsia"/>
          <w:sz w:val="30"/>
          <w:szCs w:val="30"/>
          <w:rtl/>
          <w:lang w:val="en-GB"/>
        </w:rPr>
        <w:t> </w:t>
      </w:r>
      <w:r w:rsidRPr="00335E4B">
        <w:rPr>
          <w:rFonts w:cs="Traditional Arabic" w:hint="cs"/>
          <w:sz w:val="30"/>
          <w:szCs w:val="30"/>
          <w:rtl/>
          <w:lang w:val="en-GB"/>
        </w:rPr>
        <w:t>1مْ (مثلاً لتحويل نفايات معينة إلى خبث أو تدميرها)؛</w:t>
      </w:r>
    </w:p>
    <w:p w:rsidR="00335E4B" w:rsidRPr="00335E4B" w:rsidRDefault="00335E4B" w:rsidP="00335E4B">
      <w:pPr>
        <w:numPr>
          <w:ilvl w:val="0"/>
          <w:numId w:val="29"/>
        </w:numPr>
        <w:spacing w:after="120" w:line="400" w:lineRule="exact"/>
        <w:ind w:leftChars="141" w:left="733" w:hangingChars="141" w:hanging="423"/>
        <w:jc w:val="both"/>
        <w:rPr>
          <w:rFonts w:cs="Traditional Arabic"/>
          <w:sz w:val="30"/>
          <w:szCs w:val="30"/>
          <w:lang w:val="en-GB"/>
        </w:rPr>
      </w:pPr>
      <w:r w:rsidRPr="00335E4B">
        <w:rPr>
          <w:rFonts w:cs="Traditional Arabic" w:hint="cs"/>
          <w:sz w:val="30"/>
          <w:szCs w:val="30"/>
          <w:rtl/>
          <w:lang w:val="en-GB"/>
        </w:rPr>
        <w:t>ويمكن حرق النفايات الطبية في أفران حرق النفايات الصلبة البلدية من خلال استخدام الأفران ذات الشبكات المعدنية، بيد أنه يتعين إجراء بعض التعديلات الخاصة. وفي حالة حرق النفايات الطبية المعدية في فرن حرق النفايات البلدية فإنه يتعين تعقيم هذه النفايات أولاً أو تلقيمها في الفرن داخل حاويات ملائمة عن طريق التحميل الأوتوماتيكي (اتفاقية استكهولم، 2008). ويجب تفادي الخلط السابق للنفايات الطبية المحتوية على الزئبق أو الملوثة به مع أنواع النفايات الأخرى، كما يجب تفادي المناولة المباشرة لها.</w:t>
      </w:r>
    </w:p>
    <w:p w:rsidR="00335E4B" w:rsidRPr="00335E4B" w:rsidRDefault="005E686E" w:rsidP="005E686E">
      <w:pPr>
        <w:keepNext/>
        <w:spacing w:before="120" w:after="120" w:line="400" w:lineRule="exact"/>
        <w:ind w:left="849" w:hanging="849"/>
        <w:jc w:val="both"/>
        <w:outlineLvl w:val="3"/>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13</w:t>
      </w:r>
      <w:r w:rsidR="00335E4B" w:rsidRPr="00335E4B">
        <w:rPr>
          <w:rFonts w:cs="Traditional Arabic" w:hint="cs"/>
          <w:b/>
          <w:bCs/>
          <w:sz w:val="30"/>
          <w:szCs w:val="30"/>
          <w:rtl/>
        </w:rPr>
        <w:tab/>
        <w:t>أفضل التقنيات المتاحة لمعالجة غاز المداخن</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يبين هذا القسم الفرعي التقنيات التي يمكن النظر في استخدامها عند اختيار أفضل التقنيات المتاحة لمعالجة غاز المداخن في منشآت حرق النفايات. وتنطبق هذه التقنيات بشكل عام على المرافق الجديدة والقائمة، ما لم يذكر خلاف ذلك. ويشتمل هذا القسم أيضاً على توجيهات بشأن تطوير المرافق القائمة.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ويشيع استخدام المرشحات النسيجية التي تكتسب أفضلية عندما تكون مقترنة بحقن المواد الممتزة شبه الجافة أو الجافة حيث توفر هذه المرشحات ترشيحاً إضافياً وسطحاً تفاعلياً على كُسب المرشح. وعند اقترانها مع النظم الرطبة يمكن تصميم أجهزة الترسيب الكهروستاتيكية وتشغيلها أيضاً لتحقيق انبعاثات زئبق منخفضة. وللمرشحات النسيجية مزايا مقارنةً بأجهزة الترسيب الكهروستاتيكية، خصوصاً عند تغليفها مسبقاً بغلاف من الكربون المنشط بهدف امتصاص الملوثات المتطايرة، كما أن هناك ميزة إضافية وهي تحقيق تخفيض جيد مباشرةً بعد مرحلة بدء التشغيل. وتتميز النظم الجافة وشبه الجافة بعدم حاجتها إلى معالجة النفايات السائلة لاحقاً، بيد أن درجة حرارة المنفذ إلى المرشحات النسيجية في هذه التوليفة مهمة. وتلزم عادةً درجات حرارة تزيد عن 130مْ إلى 140مْ لمنع التكثف والتآكل في الأكياس.</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وعند استخدام نظام جاف يمكن خفض انبعاثات الزئبق بما يزيد عن 95 في المائة عن طريق حقن الكربون المنشط (الذي يمكن أيضاً تشريبه بمواد ممتزة مثل الكبريت أو البروم أو غيرها) الممزوج بكربونات هيدروجين الصوديوم أو هيدروكسيد الكالسيوم في المراحل التي تسبق المرشح النسيجي. ومن الضروري إجراء صيانة مستمرة وفعالة لنظم ضبط الغبار.</w:t>
      </w:r>
    </w:p>
    <w:p w:rsidR="00335E4B" w:rsidRPr="00335E4B" w:rsidRDefault="00335E4B" w:rsidP="00064142">
      <w:pPr>
        <w:spacing w:after="120" w:line="400" w:lineRule="exact"/>
        <w:jc w:val="both"/>
        <w:rPr>
          <w:rFonts w:cs="Traditional Arabic"/>
          <w:sz w:val="30"/>
          <w:szCs w:val="30"/>
          <w:lang w:val="en-GB"/>
        </w:rPr>
      </w:pPr>
      <w:r w:rsidRPr="00335E4B">
        <w:rPr>
          <w:rFonts w:cs="Traditional Arabic" w:hint="cs"/>
          <w:sz w:val="30"/>
          <w:szCs w:val="30"/>
          <w:rtl/>
          <w:lang w:val="en-GB"/>
        </w:rPr>
        <w:t>وفي المرحلة الأولى لجهاز تنظيف عالي الكفاءة تزيد كفاءة إزالة الزئبق المؤكسد في شكل كلوريد الزئبقيك</w:t>
      </w:r>
      <w:r w:rsidR="00064142">
        <w:rPr>
          <w:rFonts w:cs="Traditional Arabic" w:hint="eastAsia"/>
          <w:sz w:val="30"/>
          <w:szCs w:val="30"/>
          <w:rtl/>
          <w:lang w:val="en-GB"/>
        </w:rPr>
        <w:t> </w:t>
      </w:r>
      <w:r w:rsidR="00064142">
        <w:rPr>
          <w:rFonts w:cs="Traditional Arabic" w:hint="cs"/>
          <w:sz w:val="30"/>
          <w:szCs w:val="30"/>
          <w:rtl/>
          <w:lang w:val="en-GB"/>
        </w:rPr>
        <w:t>-</w:t>
      </w:r>
      <w:r w:rsidRPr="00335E4B">
        <w:rPr>
          <w:rFonts w:cs="Traditional Arabic" w:hint="cs"/>
          <w:sz w:val="30"/>
          <w:szCs w:val="30"/>
          <w:rtl/>
          <w:lang w:val="en-GB"/>
        </w:rPr>
        <w:t xml:space="preserve"> وهو عادةً مركب الزئبق الرئيسي بعد حرق النفايات</w:t>
      </w:r>
      <w:r w:rsidR="00064142">
        <w:rPr>
          <w:rFonts w:cs="Traditional Arabic" w:hint="eastAsia"/>
          <w:sz w:val="30"/>
          <w:szCs w:val="30"/>
          <w:rtl/>
          <w:lang w:val="en-GB"/>
        </w:rPr>
        <w:t> </w:t>
      </w:r>
      <w:r w:rsidRPr="00335E4B">
        <w:rPr>
          <w:rFonts w:cs="Traditional Arabic" w:hint="cs"/>
          <w:sz w:val="30"/>
          <w:szCs w:val="30"/>
          <w:rtl/>
          <w:lang w:val="en-GB"/>
        </w:rPr>
        <w:t>- عن 95 في المائة. وتبلغ الكفاءة الكلية لإزالة الزئبق (العنصري والمتأكسد) زهاء 85 في المائة.</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وكإجراء إضافي للتقليل إلى أدنى حد ممكن من الزئبق في مياه جهاز التنظيف ولتجنب إعادة الانبعاث من الزئبق القابل للذوبان يمكن ترسيب الزئبق المتأكسد باستخدام عامل ترسيب مناسب مثل الكبريتيد وإضافة الكربون المنشط.</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ويمكن أن تؤدي إضافة البروم إلى النفايات أو المرجل إلى زيادة معدلات تأكسد الزئبق خصوصاً عند وجود تركيزات منخفضة من الهالوجينات في النفايات، وبالتالي تعزيز إزالة الزئبق في أجهزة الضبط في المراحل التالية مثل أجهزة التنظيف (انظر أيضاً الفرع 3-4). وتستخدم هذه التقنية بصورة أساسية في وحدات الاحتراق الأحادي في منشآت حرق النفايات الخطرة وحمأة مياه المجارير.</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وباستخدام هذه التطبيقات أُبلِغ عن تركيز زئبق يقل عن 10 ميكروغرام/م</w:t>
      </w:r>
      <w:r w:rsidRPr="00F233C1">
        <w:rPr>
          <w:rFonts w:cs="Traditional Arabic" w:hint="cs"/>
          <w:sz w:val="30"/>
          <w:szCs w:val="30"/>
          <w:vertAlign w:val="superscript"/>
          <w:rtl/>
          <w:lang w:val="en-GB"/>
        </w:rPr>
        <w:t>3</w:t>
      </w:r>
      <w:r w:rsidRPr="00335E4B">
        <w:rPr>
          <w:rFonts w:cs="Traditional Arabic" w:hint="cs"/>
          <w:sz w:val="30"/>
          <w:szCs w:val="30"/>
          <w:rtl/>
          <w:lang w:val="en-GB"/>
        </w:rPr>
        <w:t xml:space="preserve"> (متوسط سنوي) </w:t>
      </w:r>
      <w:r w:rsidRPr="00064142">
        <w:rPr>
          <w:rFonts w:asciiTheme="majorBidi" w:hAnsiTheme="majorBidi" w:cstheme="majorBidi"/>
          <w:sz w:val="20"/>
          <w:szCs w:val="20"/>
          <w:rtl/>
          <w:lang w:val="en-GB"/>
        </w:rPr>
        <w:t>(</w:t>
      </w:r>
      <w:r w:rsidRPr="00064142">
        <w:rPr>
          <w:rFonts w:asciiTheme="majorBidi" w:hAnsiTheme="majorBidi" w:cstheme="majorBidi"/>
          <w:color w:val="222222"/>
          <w:sz w:val="20"/>
          <w:szCs w:val="20"/>
          <w:lang w:val="en-GB"/>
        </w:rPr>
        <w:t>UNECE, 2013</w:t>
      </w:r>
      <w:r w:rsidRPr="00064142">
        <w:rPr>
          <w:rFonts w:asciiTheme="majorBidi" w:hAnsiTheme="majorBidi" w:cstheme="majorBidi"/>
          <w:sz w:val="20"/>
          <w:szCs w:val="20"/>
          <w:rtl/>
          <w:lang w:val="en-GB"/>
        </w:rPr>
        <w:t>)</w:t>
      </w:r>
      <w:r w:rsidRPr="00335E4B">
        <w:rPr>
          <w:rFonts w:cs="Traditional Arabic" w:hint="cs"/>
          <w:sz w:val="30"/>
          <w:szCs w:val="30"/>
          <w:rtl/>
          <w:lang w:val="en-GB"/>
        </w:rPr>
        <w:t>. وبشكل عام فإن استخدام المرشحات النسيجية يمكن أن يؤدي إلى مستويات منخفضة ضمن مدى الانبعاث المشار إليه. وبالنسبة للكثير من النفايات يلزم عادةً الامتزاز باستخدام الكواشف القائمة على الكربون للوصول إلى هذه المستويات للانبعاثات. وتتميز بعض مسارات النفايات بتركيزات زئبق شديدة التغير ولذلك قد تكون هناك ضرورة للمعالجة المسبقة للنفايات في هذه الحالات لمنع تجاوز الحد الأقصى لطاقة نظام معالجة غاز المداخن.</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وفي حالة النفايات المحتوية على مستويات عالية من الزئبق، مثل النفايات الخطرة أو الطبية، قد يكون من الملائم الجمع بين خطوات متعددة لمعالجة غاز المداخن. وعلى سبيل المثال يمكن استخدام جهاز تنظيف يحتوي على مكونات تأكسد وكربون منشط محقون المرشح النسيجي.</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ويورد الجدول 5 التدابير الأكثر ملاءمةً لخفض الانبعاثات الثانوية. وفي حالة إعادة إحراق مخلفات معالجة غاز المداخن يتعين اتخاذ تدابير ملائمة لتفادي إعادة تدوير الزئبق وتراكمه في المنشأة.</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ويؤدي استخدام الاختزال الحفزي الانتقائي من أجل ضبط أكاسيد النيتروجين أيضاً إلى خفض انبعاثات الزئبق ويشكل هذا منفعة مشتركة بتغيير الزئبق إلى شكل يمكن جمعه عن طريق المرشحات النسيجية أو ترسيبه عن طريق أجهزة التنظيف الرطبة.</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ويتعين رصد انخفاض الضغط في المرشحات النسيجية ودرجة حرارة غاز المداخن (في حال استخدام نظام تنقية في المراحل الأولية)، وذلك للتأكد من وجود كُسب المرشح ومن عدم وجود تسرب أو تبلل في الأكياس.</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وفي حال توقع حدوث تركيزات زئبق قصوى مؤقتة، يتعين النظر في احتجاز وحقن كربون منشط أو فحم مشرب بالكبريت كإجراء احتياطي.</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وتعتمد كفاءات التخفيض على مدخلات الزئبق وتركيزاته في الغاز الأولي وظروف التشغيل.</w:t>
      </w:r>
    </w:p>
    <w:p w:rsidR="00335E4B" w:rsidRPr="00064142" w:rsidRDefault="00335E4B" w:rsidP="00064142">
      <w:pPr>
        <w:ind w:left="-2"/>
        <w:jc w:val="both"/>
        <w:rPr>
          <w:rFonts w:cs="Traditional Arabic"/>
          <w:b/>
          <w:bCs/>
          <w:sz w:val="30"/>
          <w:szCs w:val="30"/>
          <w:rtl/>
          <w:lang w:val="en-GB"/>
        </w:rPr>
      </w:pPr>
      <w:bookmarkStart w:id="2158" w:name="_Ref399851548"/>
      <w:r w:rsidRPr="00064142">
        <w:rPr>
          <w:rFonts w:cs="Traditional Arabic" w:hint="cs"/>
          <w:b/>
          <w:bCs/>
          <w:sz w:val="30"/>
          <w:szCs w:val="30"/>
          <w:rtl/>
          <w:lang w:val="en-GB"/>
        </w:rPr>
        <w:t>الجدول 5</w:t>
      </w:r>
    </w:p>
    <w:p w:rsidR="00335E4B" w:rsidRPr="00064142" w:rsidRDefault="00335E4B" w:rsidP="00064142">
      <w:pPr>
        <w:spacing w:after="120" w:line="400" w:lineRule="atLeast"/>
        <w:jc w:val="both"/>
        <w:rPr>
          <w:rFonts w:cs="Traditional Arabic"/>
          <w:sz w:val="30"/>
          <w:szCs w:val="30"/>
          <w:lang w:val="en-GB"/>
        </w:rPr>
      </w:pPr>
      <w:r w:rsidRPr="00064142">
        <w:rPr>
          <w:rFonts w:cs="Traditional Arabic" w:hint="cs"/>
          <w:sz w:val="30"/>
          <w:szCs w:val="30"/>
          <w:rtl/>
          <w:lang w:val="en-GB"/>
        </w:rPr>
        <w:t>تدابير التحكم وكفاءات التخفيض لغازات المداخن في عمليات حرق النفايات البلدية والطبية والخطرة</w:t>
      </w:r>
    </w:p>
    <w:tbl>
      <w:tblPr>
        <w:bidiVisual/>
        <w:tblW w:w="9497"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260"/>
      </w:tblGrid>
      <w:tr w:rsidR="00335E4B" w:rsidRPr="00335E4B" w:rsidTr="00D002D1">
        <w:tc>
          <w:tcPr>
            <w:tcW w:w="6237" w:type="dxa"/>
          </w:tcPr>
          <w:bookmarkEnd w:id="2158"/>
          <w:p w:rsidR="00335E4B" w:rsidRPr="008513AE" w:rsidRDefault="00335E4B" w:rsidP="00335E4B">
            <w:pPr>
              <w:keepNext/>
              <w:keepLines/>
              <w:tabs>
                <w:tab w:val="left" w:pos="1247"/>
                <w:tab w:val="left" w:pos="1814"/>
                <w:tab w:val="left" w:pos="2381"/>
                <w:tab w:val="left" w:pos="2948"/>
                <w:tab w:val="left" w:pos="3515"/>
              </w:tabs>
              <w:spacing w:after="120" w:line="255" w:lineRule="exact"/>
              <w:rPr>
                <w:rFonts w:ascii="Traditional Arabic" w:hAnsi="Traditional Arabic" w:cs="Traditional Arabic"/>
                <w:bCs/>
                <w:kern w:val="16"/>
                <w:sz w:val="26"/>
                <w:szCs w:val="26"/>
                <w:rtl/>
                <w:lang w:val="en-GB"/>
              </w:rPr>
            </w:pPr>
            <w:r w:rsidRPr="008513AE">
              <w:rPr>
                <w:rFonts w:ascii="Traditional Arabic" w:hAnsi="Traditional Arabic" w:cs="Traditional Arabic" w:hint="cs"/>
                <w:bCs/>
                <w:kern w:val="16"/>
                <w:sz w:val="26"/>
                <w:szCs w:val="26"/>
                <w:rtl/>
                <w:lang w:val="en-GB"/>
              </w:rPr>
              <w:t>تدبير التحكم</w:t>
            </w:r>
          </w:p>
        </w:tc>
        <w:tc>
          <w:tcPr>
            <w:tcW w:w="3260" w:type="dxa"/>
          </w:tcPr>
          <w:p w:rsidR="00335E4B" w:rsidRPr="008513AE" w:rsidRDefault="00335E4B" w:rsidP="00335E4B">
            <w:pPr>
              <w:keepNext/>
              <w:keepLines/>
              <w:tabs>
                <w:tab w:val="left" w:pos="1247"/>
                <w:tab w:val="left" w:pos="1814"/>
                <w:tab w:val="left" w:pos="2381"/>
                <w:tab w:val="left" w:pos="2948"/>
                <w:tab w:val="left" w:pos="3515"/>
              </w:tabs>
              <w:spacing w:after="120" w:line="255" w:lineRule="exact"/>
              <w:rPr>
                <w:rFonts w:ascii="Traditional Arabic" w:hAnsi="Traditional Arabic" w:cs="Traditional Arabic"/>
                <w:bCs/>
                <w:kern w:val="16"/>
                <w:sz w:val="26"/>
                <w:szCs w:val="26"/>
                <w:rtl/>
                <w:lang w:val="en-GB"/>
              </w:rPr>
            </w:pPr>
            <w:r w:rsidRPr="008513AE">
              <w:rPr>
                <w:rFonts w:ascii="Traditional Arabic" w:hAnsi="Traditional Arabic" w:cs="Traditional Arabic" w:hint="cs"/>
                <w:bCs/>
                <w:kern w:val="16"/>
                <w:sz w:val="26"/>
                <w:szCs w:val="26"/>
                <w:rtl/>
                <w:lang w:val="en-GB"/>
              </w:rPr>
              <w:t>كفاءة التخفيض</w:t>
            </w:r>
          </w:p>
        </w:tc>
      </w:tr>
      <w:tr w:rsidR="00335E4B" w:rsidRPr="00335E4B" w:rsidTr="00D002D1">
        <w:tc>
          <w:tcPr>
            <w:tcW w:w="6237" w:type="dxa"/>
          </w:tcPr>
          <w:p w:rsidR="00335E4B" w:rsidRPr="008513AE" w:rsidRDefault="00335E4B" w:rsidP="00335E4B">
            <w:pPr>
              <w:keepNext/>
              <w:tabs>
                <w:tab w:val="left" w:pos="1247"/>
                <w:tab w:val="left" w:pos="1814"/>
                <w:tab w:val="left" w:pos="2381"/>
                <w:tab w:val="left" w:pos="2948"/>
                <w:tab w:val="left" w:pos="3515"/>
              </w:tabs>
              <w:spacing w:after="120" w:line="255" w:lineRule="exact"/>
              <w:rPr>
                <w:rFonts w:ascii="Traditional Arabic" w:hAnsi="Traditional Arabic" w:cs="Traditional Arabic"/>
                <w:b/>
                <w:kern w:val="16"/>
                <w:sz w:val="26"/>
                <w:szCs w:val="26"/>
                <w:rtl/>
                <w:lang w:val="en-GB"/>
              </w:rPr>
            </w:pPr>
            <w:r w:rsidRPr="008513AE">
              <w:rPr>
                <w:rFonts w:ascii="Traditional Arabic" w:hAnsi="Traditional Arabic" w:cs="Traditional Arabic" w:hint="cs"/>
                <w:b/>
                <w:kern w:val="16"/>
                <w:sz w:val="26"/>
                <w:szCs w:val="26"/>
                <w:rtl/>
                <w:lang w:val="en-GB"/>
              </w:rPr>
              <w:t>أجهزة تنظيف عالية الكفاءة مع وجود مكونات في محلول جهاز التنظيف</w:t>
            </w:r>
          </w:p>
        </w:tc>
        <w:tc>
          <w:tcPr>
            <w:tcW w:w="3260" w:type="dxa"/>
          </w:tcPr>
          <w:p w:rsidR="00335E4B" w:rsidRPr="008513AE" w:rsidRDefault="00335E4B" w:rsidP="00335E4B">
            <w:pPr>
              <w:keepNext/>
              <w:tabs>
                <w:tab w:val="left" w:pos="1247"/>
                <w:tab w:val="left" w:pos="1814"/>
                <w:tab w:val="left" w:pos="2381"/>
                <w:tab w:val="left" w:pos="2948"/>
                <w:tab w:val="left" w:pos="3515"/>
              </w:tabs>
              <w:spacing w:after="120" w:line="255" w:lineRule="exact"/>
              <w:rPr>
                <w:rFonts w:ascii="Traditional Arabic" w:hAnsi="Traditional Arabic" w:cs="Traditional Arabic"/>
                <w:b/>
                <w:kern w:val="16"/>
                <w:sz w:val="26"/>
                <w:szCs w:val="26"/>
                <w:rtl/>
                <w:lang w:val="en-GB"/>
              </w:rPr>
            </w:pPr>
            <w:r w:rsidRPr="008513AE">
              <w:rPr>
                <w:rFonts w:ascii="Traditional Arabic" w:hAnsi="Traditional Arabic" w:cs="Traditional Arabic" w:hint="cs"/>
                <w:b/>
                <w:kern w:val="16"/>
                <w:sz w:val="26"/>
                <w:szCs w:val="26"/>
                <w:rtl/>
                <w:lang w:val="en-GB"/>
              </w:rPr>
              <w:t>أكبر من 85 في المائة</w:t>
            </w:r>
          </w:p>
        </w:tc>
      </w:tr>
      <w:tr w:rsidR="00335E4B" w:rsidRPr="00335E4B" w:rsidTr="00D002D1">
        <w:tc>
          <w:tcPr>
            <w:tcW w:w="6237" w:type="dxa"/>
          </w:tcPr>
          <w:p w:rsidR="00335E4B" w:rsidRPr="008513AE" w:rsidRDefault="00335E4B" w:rsidP="00335E4B">
            <w:pPr>
              <w:keepNext/>
              <w:tabs>
                <w:tab w:val="left" w:pos="1247"/>
                <w:tab w:val="left" w:pos="1814"/>
                <w:tab w:val="left" w:pos="2381"/>
                <w:tab w:val="left" w:pos="2948"/>
                <w:tab w:val="left" w:pos="3515"/>
              </w:tabs>
              <w:spacing w:after="120" w:line="255" w:lineRule="exact"/>
              <w:rPr>
                <w:rFonts w:ascii="Traditional Arabic" w:hAnsi="Traditional Arabic" w:cs="Traditional Arabic"/>
                <w:b/>
                <w:kern w:val="16"/>
                <w:sz w:val="26"/>
                <w:szCs w:val="26"/>
                <w:rtl/>
                <w:lang w:val="en-GB"/>
              </w:rPr>
            </w:pPr>
            <w:r w:rsidRPr="008513AE">
              <w:rPr>
                <w:rFonts w:ascii="Traditional Arabic" w:hAnsi="Traditional Arabic" w:cs="Traditional Arabic" w:hint="cs"/>
                <w:b/>
                <w:kern w:val="16"/>
                <w:sz w:val="26"/>
                <w:szCs w:val="26"/>
                <w:rtl/>
                <w:lang w:val="en-GB"/>
              </w:rPr>
              <w:t>جهاز تنظيف + حقن مواد كيميائية تحتوي على البروم في غرفة الاحتراق</w:t>
            </w:r>
          </w:p>
        </w:tc>
        <w:tc>
          <w:tcPr>
            <w:tcW w:w="3260" w:type="dxa"/>
          </w:tcPr>
          <w:p w:rsidR="00335E4B" w:rsidRPr="008513AE" w:rsidRDefault="00335E4B" w:rsidP="00335E4B">
            <w:pPr>
              <w:keepNext/>
              <w:tabs>
                <w:tab w:val="left" w:pos="1247"/>
                <w:tab w:val="left" w:pos="1814"/>
                <w:tab w:val="left" w:pos="2381"/>
                <w:tab w:val="left" w:pos="2948"/>
                <w:tab w:val="left" w:pos="3515"/>
              </w:tabs>
              <w:spacing w:after="120" w:line="255" w:lineRule="exact"/>
              <w:rPr>
                <w:rFonts w:ascii="Traditional Arabic" w:hAnsi="Traditional Arabic" w:cs="Traditional Arabic"/>
                <w:b/>
                <w:kern w:val="16"/>
                <w:sz w:val="26"/>
                <w:szCs w:val="26"/>
                <w:rtl/>
                <w:lang w:val="en-GB"/>
              </w:rPr>
            </w:pPr>
            <w:r w:rsidRPr="008513AE">
              <w:rPr>
                <w:rFonts w:ascii="Traditional Arabic" w:hAnsi="Traditional Arabic" w:cs="Traditional Arabic" w:hint="cs"/>
                <w:b/>
                <w:kern w:val="16"/>
                <w:sz w:val="26"/>
                <w:szCs w:val="26"/>
                <w:rtl/>
                <w:lang w:val="en-GB"/>
              </w:rPr>
              <w:t>أكبر من 90 في المائة</w:t>
            </w:r>
          </w:p>
        </w:tc>
      </w:tr>
      <w:tr w:rsidR="00335E4B" w:rsidRPr="00335E4B" w:rsidTr="00D002D1">
        <w:tc>
          <w:tcPr>
            <w:tcW w:w="6237" w:type="dxa"/>
          </w:tcPr>
          <w:p w:rsidR="00335E4B" w:rsidRPr="008513AE" w:rsidRDefault="00335E4B" w:rsidP="00335E4B">
            <w:pPr>
              <w:keepNext/>
              <w:tabs>
                <w:tab w:val="left" w:pos="1247"/>
                <w:tab w:val="left" w:pos="1814"/>
                <w:tab w:val="left" w:pos="2381"/>
                <w:tab w:val="left" w:pos="2948"/>
                <w:tab w:val="left" w:pos="3515"/>
              </w:tabs>
              <w:spacing w:after="120" w:line="255" w:lineRule="exact"/>
              <w:rPr>
                <w:rFonts w:ascii="Traditional Arabic" w:hAnsi="Traditional Arabic" w:cs="Traditional Arabic"/>
                <w:b/>
                <w:kern w:val="16"/>
                <w:sz w:val="26"/>
                <w:szCs w:val="26"/>
                <w:rtl/>
                <w:lang w:val="en-GB"/>
              </w:rPr>
            </w:pPr>
            <w:r w:rsidRPr="008513AE">
              <w:rPr>
                <w:rFonts w:ascii="Traditional Arabic" w:hAnsi="Traditional Arabic" w:cs="Traditional Arabic" w:hint="cs"/>
                <w:b/>
                <w:kern w:val="16"/>
                <w:sz w:val="26"/>
                <w:szCs w:val="26"/>
                <w:rtl/>
                <w:lang w:val="en-GB"/>
              </w:rPr>
              <w:t>حقن الكربون المنشط + مرشح نسيجي</w:t>
            </w:r>
          </w:p>
        </w:tc>
        <w:tc>
          <w:tcPr>
            <w:tcW w:w="3260" w:type="dxa"/>
          </w:tcPr>
          <w:p w:rsidR="00335E4B" w:rsidRPr="008513AE" w:rsidRDefault="00335E4B" w:rsidP="00335E4B">
            <w:pPr>
              <w:keepNext/>
              <w:tabs>
                <w:tab w:val="left" w:pos="1247"/>
                <w:tab w:val="left" w:pos="1814"/>
                <w:tab w:val="left" w:pos="2381"/>
                <w:tab w:val="left" w:pos="2948"/>
                <w:tab w:val="left" w:pos="3515"/>
              </w:tabs>
              <w:spacing w:after="120" w:line="255" w:lineRule="exact"/>
              <w:rPr>
                <w:rFonts w:ascii="Traditional Arabic" w:hAnsi="Traditional Arabic" w:cs="Traditional Arabic"/>
                <w:b/>
                <w:kern w:val="16"/>
                <w:sz w:val="26"/>
                <w:szCs w:val="26"/>
                <w:rtl/>
                <w:lang w:val="en-GB"/>
              </w:rPr>
            </w:pPr>
            <w:r w:rsidRPr="008513AE">
              <w:rPr>
                <w:rFonts w:ascii="Traditional Arabic" w:hAnsi="Traditional Arabic" w:cs="Traditional Arabic" w:hint="cs"/>
                <w:b/>
                <w:kern w:val="16"/>
                <w:sz w:val="26"/>
                <w:szCs w:val="26"/>
                <w:rtl/>
                <w:lang w:val="en-GB"/>
              </w:rPr>
              <w:t>أكبر من 95 في المائة</w:t>
            </w:r>
          </w:p>
        </w:tc>
      </w:tr>
    </w:tbl>
    <w:p w:rsidR="00335E4B" w:rsidRPr="008513AE" w:rsidRDefault="00335E4B" w:rsidP="00064142">
      <w:pPr>
        <w:spacing w:after="240" w:line="400" w:lineRule="exact"/>
        <w:ind w:left="-2"/>
        <w:jc w:val="both"/>
        <w:rPr>
          <w:rFonts w:cs="Traditional Arabic"/>
          <w:sz w:val="26"/>
          <w:szCs w:val="26"/>
          <w:rtl/>
        </w:rPr>
      </w:pPr>
      <w:r w:rsidRPr="008513AE">
        <w:rPr>
          <w:rFonts w:cs="Traditional Arabic" w:hint="cs"/>
          <w:i/>
          <w:iCs/>
          <w:sz w:val="26"/>
          <w:szCs w:val="26"/>
          <w:rtl/>
        </w:rPr>
        <w:t>المصدر</w:t>
      </w:r>
      <w:r w:rsidRPr="008513AE">
        <w:rPr>
          <w:rFonts w:cs="Traditional Arabic" w:hint="cs"/>
          <w:sz w:val="26"/>
          <w:szCs w:val="26"/>
          <w:rtl/>
        </w:rPr>
        <w:t>: المفوضية الأوروبية 2006</w:t>
      </w:r>
    </w:p>
    <w:p w:rsidR="00335E4B" w:rsidRPr="00335E4B" w:rsidRDefault="005E686E" w:rsidP="005E686E">
      <w:pPr>
        <w:keepNext/>
        <w:spacing w:before="120" w:after="120" w:line="400" w:lineRule="exact"/>
        <w:ind w:left="851" w:hanging="851"/>
        <w:jc w:val="both"/>
        <w:outlineLvl w:val="3"/>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13</w:t>
      </w:r>
      <w:r w:rsidR="00335E4B" w:rsidRPr="00335E4B">
        <w:rPr>
          <w:rFonts w:cs="Traditional Arabic" w:hint="cs"/>
          <w:b/>
          <w:bCs/>
          <w:sz w:val="30"/>
          <w:szCs w:val="30"/>
          <w:rtl/>
        </w:rPr>
        <w:t>-1</w:t>
      </w:r>
      <w:r w:rsidR="00335E4B" w:rsidRPr="00335E4B">
        <w:rPr>
          <w:rFonts w:cs="Traditional Arabic" w:hint="cs"/>
          <w:b/>
          <w:bCs/>
          <w:sz w:val="30"/>
          <w:szCs w:val="30"/>
          <w:rtl/>
        </w:rPr>
        <w:tab/>
        <w:t>تطوير وتحسين تقنيات المعالجة القائمة</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توجد العديد من الخيارات لتحسين معالجة غاز العادم في المنشآت القائمة. وفي النظم المزودة بجهاز ترسيب كهروستاتيكي يمكن تبديل هذا الجهاز بمرشح نسيجي. وفي مسار غاز المداخن قبل المرشح النسيجي يتعين إضافة مواد ممتزة قائمة على فحم الكوك (أو مواد ذات تأثير مكافئ) لخفض انبعاثات الزئبق. وللتقليل إلى أدنى حد ممكن من مخاطر نشوب حرائق يمكن استخدام مزيج مع كواشف الحجر الجيري.</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 xml:space="preserve">وفي حال وجود انبعاثات زئبق عالية في المرافق المزودة بجهاز تنظيف فقط يمكن تركيب توليفة من محاقن المواد المضافة مع المرشحات النسيجية في المراحل النهائية. </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ويتميز كلا التدبيرين بفائدة إضافية تتمثل في إمكانية إزالة الملوثات الحمضية والعضوية أيضاً من غاز المداخن. بيد أنه بسبب المخاطر الكبيرة لاندلاع حرائق فإن إضافة مرشح ذو قاعدة ثابتة مزود بالكربون المنشط أو كوك اللغنيت تتطلب تدابير أمنية إضافية. </w:t>
      </w:r>
    </w:p>
    <w:p w:rsidR="00335E4B" w:rsidRPr="00335E4B" w:rsidRDefault="005E686E" w:rsidP="005E686E">
      <w:pPr>
        <w:keepNext/>
        <w:spacing w:before="120" w:after="120" w:line="400" w:lineRule="exact"/>
        <w:ind w:left="1132" w:hanging="1132"/>
        <w:jc w:val="both"/>
        <w:outlineLvl w:val="3"/>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13</w:t>
      </w:r>
      <w:r w:rsidR="00335E4B" w:rsidRPr="00335E4B">
        <w:rPr>
          <w:rFonts w:cs="Traditional Arabic" w:hint="cs"/>
          <w:b/>
          <w:bCs/>
          <w:sz w:val="30"/>
          <w:szCs w:val="30"/>
          <w:rtl/>
        </w:rPr>
        <w:t>-2</w:t>
      </w:r>
      <w:r w:rsidR="00335E4B" w:rsidRPr="00335E4B">
        <w:rPr>
          <w:rFonts w:cs="Traditional Arabic" w:hint="cs"/>
          <w:b/>
          <w:bCs/>
          <w:sz w:val="30"/>
          <w:szCs w:val="30"/>
          <w:rtl/>
        </w:rPr>
        <w:tab/>
        <w:t>مستويات الأداء المرتبطة باستخدام أفضل التقنيات المتاحة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عند استخدام توليفة التقنيات المبينة في الفرع 5-5 أُبلِغ عن تركيزات زئبق في الغاز النظيف لا تزيد عن 10 ميكروغرام/م</w:t>
      </w:r>
      <w:r w:rsidRPr="00F233C1">
        <w:rPr>
          <w:rFonts w:cs="Traditional Arabic" w:hint="cs"/>
          <w:sz w:val="30"/>
          <w:szCs w:val="30"/>
          <w:vertAlign w:val="superscript"/>
          <w:rtl/>
          <w:lang w:val="en-GB"/>
        </w:rPr>
        <w:t>3</w:t>
      </w:r>
      <w:r w:rsidRPr="00335E4B">
        <w:rPr>
          <w:rFonts w:cs="Traditional Arabic" w:hint="cs"/>
          <w:sz w:val="30"/>
          <w:szCs w:val="30"/>
          <w:rtl/>
          <w:lang w:val="en-GB"/>
        </w:rPr>
        <w:t>. ويبين الشكل والجداول في الفرع 3-6 أنه يمكن في كل المنشآت تقريباً الوصول إلى تركيزات تقل عن 10 ميكروغرام/م</w:t>
      </w:r>
      <w:r w:rsidRPr="00F233C1">
        <w:rPr>
          <w:rFonts w:cs="Traditional Arabic" w:hint="cs"/>
          <w:sz w:val="30"/>
          <w:szCs w:val="30"/>
          <w:vertAlign w:val="superscript"/>
          <w:rtl/>
          <w:lang w:val="en-GB"/>
        </w:rPr>
        <w:t>3</w:t>
      </w:r>
      <w:r w:rsidRPr="00335E4B">
        <w:rPr>
          <w:rFonts w:cs="Traditional Arabic" w:hint="cs"/>
          <w:sz w:val="30"/>
          <w:szCs w:val="30"/>
          <w:rtl/>
          <w:lang w:val="en-GB"/>
        </w:rPr>
        <w:t>، خصوصاً عند استخدام الكربون المنشط مع التقنيات الأخرى. ووصلت تركيزات الزئبق في بعض المنشآت في أوروبا واليابان إلى أقل من 1 ميكروغرام/م</w:t>
      </w:r>
      <w:r w:rsidRPr="00F233C1">
        <w:rPr>
          <w:rFonts w:cs="Traditional Arabic" w:hint="cs"/>
          <w:sz w:val="30"/>
          <w:szCs w:val="30"/>
          <w:vertAlign w:val="superscript"/>
          <w:rtl/>
          <w:lang w:val="en-GB"/>
        </w:rPr>
        <w:t>3</w:t>
      </w:r>
      <w:r w:rsidRPr="00335E4B">
        <w:rPr>
          <w:rFonts w:cs="Traditional Arabic" w:hint="cs"/>
          <w:sz w:val="30"/>
          <w:szCs w:val="30"/>
          <w:rtl/>
          <w:lang w:val="en-GB"/>
        </w:rPr>
        <w:t xml:space="preserve"> عند استخدام الكربون المنشط.</w:t>
      </w:r>
    </w:p>
    <w:p w:rsidR="00335E4B" w:rsidRPr="00335E4B" w:rsidRDefault="005E686E" w:rsidP="005E686E">
      <w:pPr>
        <w:keepNext/>
        <w:spacing w:before="120" w:after="120" w:line="400" w:lineRule="exact"/>
        <w:ind w:left="707" w:hanging="709"/>
        <w:jc w:val="both"/>
        <w:outlineLvl w:val="3"/>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14</w:t>
      </w:r>
      <w:r w:rsidR="00335E4B" w:rsidRPr="00335E4B">
        <w:rPr>
          <w:rFonts w:cs="Traditional Arabic" w:hint="cs"/>
          <w:b/>
          <w:bCs/>
          <w:sz w:val="30"/>
          <w:szCs w:val="30"/>
          <w:rtl/>
        </w:rPr>
        <w:tab/>
        <w:t>مدخل إلى أفضل الممارسات البيئية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تُعرِّف اتفاقية ميناماتا أفضل الممارسات البيئية بأنها تطبيق التوليفة الأنسب من تدابير واستراتيجيات التحكم البيئية. ويتعين النظر في اتخاذ مجموعة التدابير المتدرجة التالية عند تطبيق أفضل الممارسات البيئية:</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وضع هياكل أساسية تنظيمية ذات اختصاصات كافية للسماح باستخدام أفران حرق النفايات ومراقبة ورصد انبعاثات الزئبق بشكل منتظم؛</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تقديم المعلومات والتثقيف لعامة الناس والمستخدمين ومقرري السياسات عن التبعات البيئية لاختيار أنشطة معينة وللخيارات المتعلقة بالمنتجات والتخلص النهائي؛</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وضع وتطبيق قوانين الممارسات البيئية الجيدة التي تشمل كل جوانب النشاط في فترة عمر المنتج؛</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 xml:space="preserve">وضع بطاقات الوسم لإرشاد العاملين في مناولة مسار معين من النفايات من أجل توجيه المكونات إلى المعالجة السليمة؛ </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وضع بطاقات الوسم التي ترشد المستهلكين إلى المخاطر البيئية مما يمكنهم من اتخاذ قرار مستنير بشأن الاختيار؛</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استخدام الموارد، بما في ذلك الطاقة؛</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إدماج نظم جمع النفايات والتخلص منها في العمليات السكنية والتجارية والصناعية للتأكد من أن جميع النفايات تدار بطريقة سليمة بيئياً؛</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تفادي استخدام المواد الخطرة أو المنتجات التي تحتوي على مواد خطرة وتفادي توليد النفايات الخطرة؛</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إعادة التدوير والاستعادة وإعادة الاستخدام؛</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تطبيق الصكوك الاقتصادية أو نظم إصدار التراخيص أو القيود أو عمليات الحظر أو نظم إصدار الشهادات أو المعايير أو الأدوات السياساتية الأخرى؛</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تقييم دورة حياة الزئبق بوصفها جانباً مهماً من جوانب الإدارة السليمة بيئياً لنفايات الزئبق، بهدف خفض مدخلات الزئبق في عملية حرق النفايات (انظر المبادئ التوجيهية التقنية لاتفاقية بازل)؛</w:t>
      </w:r>
    </w:p>
    <w:p w:rsidR="00335E4B" w:rsidRPr="00335E4B" w:rsidRDefault="00335E4B" w:rsidP="00335E4B">
      <w:pPr>
        <w:numPr>
          <w:ilvl w:val="0"/>
          <w:numId w:val="29"/>
        </w:numPr>
        <w:ind w:left="720"/>
        <w:jc w:val="both"/>
        <w:rPr>
          <w:rFonts w:cs="Traditional Arabic"/>
          <w:sz w:val="30"/>
          <w:szCs w:val="30"/>
          <w:lang w:val="en-GB"/>
        </w:rPr>
      </w:pPr>
      <w:r w:rsidRPr="00335E4B">
        <w:rPr>
          <w:rFonts w:cs="Traditional Arabic" w:hint="cs"/>
          <w:sz w:val="30"/>
          <w:szCs w:val="30"/>
          <w:rtl/>
          <w:lang w:val="en-GB"/>
        </w:rPr>
        <w:t>إدراك أهمية المشاركة العامة في عمليات إصدار التراخيص. وتشمل الممارسات الفعالة لتعزيز الوعي والمشاركة ما يلي: نشر إعلانات مسبقة في الصحف اليومية؛ ونشر المعلومات على مستوى المنازل؛ وطلب تقديم تعليقات بشأن خيارات التصميم والتشغيل؛ وتنظيم عروض لنشر المعلومات في الأماكن العامة؛ والاحتفاظ بسجلات لإطلاقات الملوثات ونقلها؛ وعقد اجتماعات عامة متكررة ومنتديات للمناقشة. ويتعين أن تعمل السلطات ومقترحي مشاريع الحرق مع جميع أصحاب المصلحة، بما في ذلك جماعات الصالح العام. ويجب أن تكون المشاورات مع عامة الناس شفافة وذات مغزى وصريحة إذا أريد لها أن تكون فعالة.</w:t>
      </w:r>
    </w:p>
    <w:p w:rsidR="00335E4B" w:rsidRPr="00335E4B" w:rsidRDefault="005E686E" w:rsidP="00335E4B">
      <w:pPr>
        <w:keepNext/>
        <w:spacing w:before="120" w:after="120" w:line="400" w:lineRule="exact"/>
        <w:ind w:left="991" w:hanging="993"/>
        <w:jc w:val="both"/>
        <w:outlineLvl w:val="3"/>
        <w:rPr>
          <w:rFonts w:cs="Traditional Arabic"/>
          <w:b/>
          <w:bCs/>
          <w:sz w:val="30"/>
          <w:szCs w:val="30"/>
          <w:rtl/>
        </w:rPr>
      </w:pPr>
      <w:r>
        <w:rPr>
          <w:rFonts w:cs="Traditional Arabic" w:hint="cs"/>
          <w:b/>
          <w:bCs/>
          <w:sz w:val="30"/>
          <w:szCs w:val="30"/>
          <w:rtl/>
        </w:rPr>
        <w:t>3-14</w:t>
      </w:r>
      <w:r w:rsidR="00335E4B" w:rsidRPr="00335E4B">
        <w:rPr>
          <w:rFonts w:cs="Traditional Arabic" w:hint="cs"/>
          <w:b/>
          <w:bCs/>
          <w:sz w:val="30"/>
          <w:szCs w:val="30"/>
          <w:rtl/>
        </w:rPr>
        <w:t>-1</w:t>
      </w:r>
      <w:r w:rsidR="00335E4B" w:rsidRPr="00335E4B">
        <w:rPr>
          <w:rFonts w:cs="Traditional Arabic" w:hint="cs"/>
          <w:b/>
          <w:bCs/>
          <w:sz w:val="30"/>
          <w:szCs w:val="30"/>
          <w:rtl/>
        </w:rPr>
        <w:tab/>
        <w:t>ممارسات إدارة النفايات</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يتعين أخذ النُّهُج المبينة أدناه في الاعتبار، بوصفها جزءاً من الاستراتيجيات الشاملة لمنع توليد النفايات والتحكم فيها، وتطبيقها على النفايات المحتوية على الزئبق أو الملوثة به.</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ولكي تكون إدارة النفايات مستدامة، لا ينبغي أن تقتصر معالجتها على استخدام حلول تقنية في المراحل النهائية، بل يجب تطبيق نهج متكامل، وهو نهج يمكن وصفه بأنه نهج هرمي، وفقاً لما هو مبين في الفرع 2-1-1. ويتعين التعامل مع النفايات المحتوية على الزئبق أو الملوثة به وفقاً للمادة 11 من الاتفاقية.</w:t>
      </w:r>
    </w:p>
    <w:p w:rsidR="00335E4B" w:rsidRPr="00335E4B" w:rsidRDefault="005E686E" w:rsidP="005E686E">
      <w:pPr>
        <w:spacing w:after="120" w:line="400" w:lineRule="exact"/>
        <w:ind w:left="709" w:hanging="709"/>
        <w:jc w:val="both"/>
        <w:rPr>
          <w:rFonts w:cs="Traditional Arabic"/>
          <w:b/>
          <w:bCs/>
          <w:sz w:val="30"/>
          <w:szCs w:val="30"/>
          <w:rtl/>
          <w:lang w:val="en-GB"/>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14</w:t>
      </w:r>
      <w:r w:rsidR="00335E4B" w:rsidRPr="00335E4B">
        <w:rPr>
          <w:rFonts w:cs="Traditional Arabic" w:hint="cs"/>
          <w:b/>
          <w:bCs/>
          <w:sz w:val="30"/>
          <w:szCs w:val="30"/>
          <w:rtl/>
        </w:rPr>
        <w:t>-1-1</w:t>
      </w:r>
      <w:r w:rsidR="00335E4B" w:rsidRPr="00335E4B">
        <w:rPr>
          <w:rFonts w:cs="Traditional Arabic" w:hint="cs"/>
          <w:b/>
          <w:bCs/>
          <w:sz w:val="30"/>
          <w:szCs w:val="30"/>
          <w:rtl/>
          <w:lang w:val="en-GB"/>
        </w:rPr>
        <w:tab/>
        <w:t>تقليل النفايات إلى أدنى حد ممكن</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إن خفض الكمية الكلية للنفايات، المراد التخلص منها، بأي وسيلة من شأنه أن يساعد في تخفيض الإطلاقات وكذلك المخلفات الناجمة عن أفران الحرق. </w:t>
      </w:r>
    </w:p>
    <w:p w:rsidR="00335E4B" w:rsidRPr="00335E4B" w:rsidRDefault="005E686E" w:rsidP="005E686E">
      <w:pPr>
        <w:spacing w:after="120" w:line="400" w:lineRule="exact"/>
        <w:ind w:left="709" w:hanging="709"/>
        <w:jc w:val="both"/>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14</w:t>
      </w:r>
      <w:r w:rsidR="00335E4B" w:rsidRPr="00335E4B">
        <w:rPr>
          <w:rFonts w:cs="Traditional Arabic" w:hint="cs"/>
          <w:b/>
          <w:bCs/>
          <w:sz w:val="30"/>
          <w:szCs w:val="30"/>
          <w:rtl/>
        </w:rPr>
        <w:t>-1-2</w:t>
      </w:r>
      <w:r w:rsidR="00335E4B" w:rsidRPr="00335E4B">
        <w:rPr>
          <w:rFonts w:cs="Traditional Arabic" w:hint="cs"/>
          <w:b/>
          <w:bCs/>
          <w:sz w:val="30"/>
          <w:szCs w:val="30"/>
          <w:rtl/>
        </w:rPr>
        <w:tab/>
        <w:t>الفصل وإعادة التدوير في المصدر</w:t>
      </w:r>
    </w:p>
    <w:p w:rsidR="00335E4B" w:rsidRPr="00335E4B" w:rsidRDefault="00335E4B" w:rsidP="008513AE">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شرعت مؤسسات الرعاية الصحية في الكثير من البلدان الصناعية في التخلص التدريجي من استخدامات الزئبق والإدخال التدريجي لمنتجات أو أجهزة بديلة فعالة لتفادي استخدام الزئبق. وهناك فائدة للبدائل الخالية من الزئبق تتمثل في خفض توليد النفايات المحتوية على الزئبق. وأدخلت الكثير من مؤسسات الرعاية الصحية كذلك ممارسات تنظيف وإدارة للتحكم في إطلاقات الزئبق من المصادر التي لا تزال موجودة في مرافقها. وتؤدي هذه السياسات والممارسات إلى تحقيق خفض كبير في إطلاقات الزئبق وانبعاثاته إلى البيئة. والفصل وإعادة التدوير في المصدر يمثلان جزءاً مهماً من نهج متكامل لإدارة النفايات في قطاع الرعاية الصحية مما يفضي إلى التقليل إلى أدنى حد ممكن من النفايات الخطرة التي تحتاج إلى معالجة خاصة بسبب خواصها المعدية وفق ما هو مبين في الجدول 6 </w:t>
      </w:r>
      <w:r w:rsidRPr="008513AE">
        <w:rPr>
          <w:rFonts w:asciiTheme="majorBidi" w:hAnsiTheme="majorBidi" w:cstheme="majorBidi"/>
          <w:sz w:val="20"/>
          <w:szCs w:val="20"/>
          <w:rtl/>
          <w:lang w:val="en-GB"/>
        </w:rPr>
        <w:t>(</w:t>
      </w:r>
      <w:r w:rsidRPr="008513AE">
        <w:rPr>
          <w:rFonts w:asciiTheme="majorBidi" w:hAnsiTheme="majorBidi" w:cstheme="majorBidi"/>
          <w:sz w:val="20"/>
          <w:szCs w:val="20"/>
        </w:rPr>
        <w:t>Emmanuel, 2012</w:t>
      </w:r>
      <w:r w:rsidRPr="008513AE">
        <w:rPr>
          <w:rFonts w:asciiTheme="majorBidi" w:hAnsiTheme="majorBidi" w:cstheme="majorBidi"/>
          <w:sz w:val="20"/>
          <w:szCs w:val="20"/>
          <w:rtl/>
          <w:lang w:val="en-GB"/>
        </w:rPr>
        <w:t>)</w:t>
      </w:r>
      <w:r w:rsidRPr="00335E4B">
        <w:rPr>
          <w:rFonts w:cs="Traditional Arabic" w:hint="cs"/>
          <w:sz w:val="30"/>
          <w:szCs w:val="30"/>
          <w:rtl/>
          <w:lang w:val="en-GB"/>
        </w:rPr>
        <w:t>.</w:t>
      </w:r>
    </w:p>
    <w:tbl>
      <w:tblPr>
        <w:bidiVisual/>
        <w:tblW w:w="0" w:type="auto"/>
        <w:tblInd w:w="106" w:type="dxa"/>
        <w:tblBorders>
          <w:top w:val="nil"/>
          <w:left w:val="nil"/>
          <w:bottom w:val="nil"/>
          <w:right w:val="nil"/>
        </w:tblBorders>
        <w:tblLayout w:type="fixed"/>
        <w:tblLook w:val="0000" w:firstRow="0" w:lastRow="0" w:firstColumn="0" w:lastColumn="0" w:noHBand="0" w:noVBand="0"/>
      </w:tblPr>
      <w:tblGrid>
        <w:gridCol w:w="2694"/>
        <w:gridCol w:w="3273"/>
        <w:gridCol w:w="2977"/>
      </w:tblGrid>
      <w:tr w:rsidR="00335E4B" w:rsidRPr="00335E4B" w:rsidTr="008513AE">
        <w:trPr>
          <w:trHeight w:val="167"/>
        </w:trPr>
        <w:tc>
          <w:tcPr>
            <w:tcW w:w="2694" w:type="dxa"/>
          </w:tcPr>
          <w:p w:rsidR="00335E4B" w:rsidRPr="008513AE" w:rsidRDefault="00335E4B" w:rsidP="008513AE">
            <w:pPr>
              <w:keepNext/>
              <w:keepLines/>
              <w:autoSpaceDE w:val="0"/>
              <w:autoSpaceDN w:val="0"/>
              <w:adjustRightInd w:val="0"/>
              <w:spacing w:before="40" w:after="40" w:line="340" w:lineRule="exact"/>
              <w:rPr>
                <w:rFonts w:ascii="Traditional Arabic" w:hAnsi="Traditional Arabic" w:cs="Traditional Arabic"/>
                <w:b/>
                <w:bCs/>
                <w:color w:val="000000"/>
                <w:sz w:val="27"/>
                <w:szCs w:val="27"/>
                <w:lang w:val="cs-CZ" w:eastAsia="de-DE"/>
              </w:rPr>
            </w:pPr>
            <w:r w:rsidRPr="008513AE">
              <w:rPr>
                <w:rFonts w:ascii="Traditional Arabic" w:hAnsi="Traditional Arabic" w:cs="Traditional Arabic" w:hint="cs"/>
                <w:b/>
                <w:bCs/>
                <w:color w:val="000000"/>
                <w:sz w:val="27"/>
                <w:szCs w:val="27"/>
                <w:rtl/>
                <w:lang w:val="cs-CZ" w:eastAsia="de-DE"/>
              </w:rPr>
              <w:t>مستوى العزل</w:t>
            </w:r>
          </w:p>
        </w:tc>
        <w:tc>
          <w:tcPr>
            <w:tcW w:w="3273" w:type="dxa"/>
          </w:tcPr>
          <w:p w:rsidR="00335E4B" w:rsidRPr="008513AE" w:rsidRDefault="00335E4B" w:rsidP="008513AE">
            <w:pPr>
              <w:keepNext/>
              <w:keepLines/>
              <w:autoSpaceDE w:val="0"/>
              <w:autoSpaceDN w:val="0"/>
              <w:adjustRightInd w:val="0"/>
              <w:spacing w:before="40" w:after="40" w:line="340" w:lineRule="exact"/>
              <w:rPr>
                <w:rFonts w:ascii="Traditional Arabic" w:hAnsi="Traditional Arabic" w:cs="Traditional Arabic"/>
                <w:b/>
                <w:bCs/>
                <w:color w:val="000000"/>
                <w:sz w:val="27"/>
                <w:szCs w:val="27"/>
                <w:lang w:val="cs-CZ" w:eastAsia="de-DE"/>
              </w:rPr>
            </w:pPr>
            <w:r w:rsidRPr="008513AE">
              <w:rPr>
                <w:rFonts w:ascii="Traditional Arabic" w:hAnsi="Traditional Arabic" w:cs="Traditional Arabic" w:hint="cs"/>
                <w:b/>
                <w:bCs/>
                <w:color w:val="000000"/>
                <w:sz w:val="27"/>
                <w:szCs w:val="27"/>
                <w:rtl/>
                <w:lang w:val="cs-CZ" w:eastAsia="de-DE"/>
              </w:rPr>
              <w:t>النسبة المئوية من النفايات الخطرة للرعاية الصحية</w:t>
            </w:r>
          </w:p>
        </w:tc>
        <w:tc>
          <w:tcPr>
            <w:tcW w:w="2977" w:type="dxa"/>
          </w:tcPr>
          <w:p w:rsidR="00335E4B" w:rsidRPr="008513AE" w:rsidRDefault="00335E4B" w:rsidP="008513AE">
            <w:pPr>
              <w:keepNext/>
              <w:keepLines/>
              <w:autoSpaceDE w:val="0"/>
              <w:autoSpaceDN w:val="0"/>
              <w:adjustRightInd w:val="0"/>
              <w:spacing w:before="40" w:after="40" w:line="340" w:lineRule="exact"/>
              <w:rPr>
                <w:rFonts w:ascii="Traditional Arabic" w:hAnsi="Traditional Arabic" w:cs="Traditional Arabic"/>
                <w:b/>
                <w:bCs/>
                <w:color w:val="000000"/>
                <w:sz w:val="27"/>
                <w:szCs w:val="27"/>
                <w:lang w:val="cs-CZ" w:eastAsia="de-DE"/>
              </w:rPr>
            </w:pPr>
            <w:r w:rsidRPr="008513AE">
              <w:rPr>
                <w:rFonts w:ascii="Traditional Arabic" w:hAnsi="Traditional Arabic" w:cs="Traditional Arabic" w:hint="cs"/>
                <w:b/>
                <w:bCs/>
                <w:color w:val="000000"/>
                <w:sz w:val="27"/>
                <w:szCs w:val="27"/>
                <w:rtl/>
                <w:lang w:val="cs-CZ" w:eastAsia="de-DE"/>
              </w:rPr>
              <w:t>النسبة المئوية من النفايات العامة غير الخطرة</w:t>
            </w:r>
          </w:p>
        </w:tc>
      </w:tr>
      <w:tr w:rsidR="00335E4B" w:rsidRPr="00335E4B" w:rsidTr="008513AE">
        <w:trPr>
          <w:trHeight w:val="75"/>
        </w:trPr>
        <w:tc>
          <w:tcPr>
            <w:tcW w:w="2694" w:type="dxa"/>
          </w:tcPr>
          <w:p w:rsidR="00335E4B" w:rsidRPr="008513AE" w:rsidRDefault="00335E4B" w:rsidP="008513AE">
            <w:pPr>
              <w:keepNext/>
              <w:keepLines/>
              <w:autoSpaceDE w:val="0"/>
              <w:autoSpaceDN w:val="0"/>
              <w:adjustRightInd w:val="0"/>
              <w:spacing w:before="40" w:after="40" w:line="340" w:lineRule="exact"/>
              <w:rPr>
                <w:rFonts w:ascii="Traditional Arabic" w:hAnsi="Traditional Arabic" w:cs="Traditional Arabic"/>
                <w:color w:val="000000"/>
                <w:sz w:val="27"/>
                <w:szCs w:val="27"/>
                <w:lang w:val="cs-CZ" w:eastAsia="de-DE"/>
              </w:rPr>
            </w:pPr>
            <w:r w:rsidRPr="008513AE">
              <w:rPr>
                <w:rFonts w:ascii="Traditional Arabic" w:hAnsi="Traditional Arabic" w:cs="Traditional Arabic" w:hint="cs"/>
                <w:color w:val="000000"/>
                <w:sz w:val="27"/>
                <w:szCs w:val="27"/>
                <w:rtl/>
                <w:lang w:val="cs-CZ" w:eastAsia="de-DE"/>
              </w:rPr>
              <w:t>ضعيف</w:t>
            </w:r>
          </w:p>
        </w:tc>
        <w:tc>
          <w:tcPr>
            <w:tcW w:w="3273" w:type="dxa"/>
          </w:tcPr>
          <w:p w:rsidR="00335E4B" w:rsidRPr="008513AE" w:rsidRDefault="00335E4B" w:rsidP="008513AE">
            <w:pPr>
              <w:keepNext/>
              <w:keepLines/>
              <w:autoSpaceDE w:val="0"/>
              <w:autoSpaceDN w:val="0"/>
              <w:adjustRightInd w:val="0"/>
              <w:spacing w:before="40" w:after="40" w:line="340" w:lineRule="exact"/>
              <w:rPr>
                <w:rFonts w:ascii="Traditional Arabic" w:hAnsi="Traditional Arabic" w:cs="Traditional Arabic"/>
                <w:color w:val="000000"/>
                <w:sz w:val="27"/>
                <w:szCs w:val="27"/>
                <w:lang w:eastAsia="de-DE"/>
              </w:rPr>
            </w:pPr>
            <w:r w:rsidRPr="008513AE">
              <w:rPr>
                <w:rFonts w:ascii="Traditional Arabic" w:hAnsi="Traditional Arabic" w:cs="Traditional Arabic" w:hint="cs"/>
                <w:color w:val="000000"/>
                <w:sz w:val="27"/>
                <w:szCs w:val="27"/>
                <w:rtl/>
                <w:lang w:eastAsia="de-DE"/>
              </w:rPr>
              <w:t>60</w:t>
            </w:r>
          </w:p>
        </w:tc>
        <w:tc>
          <w:tcPr>
            <w:tcW w:w="2977" w:type="dxa"/>
          </w:tcPr>
          <w:p w:rsidR="00335E4B" w:rsidRPr="008513AE" w:rsidRDefault="00335E4B" w:rsidP="008513AE">
            <w:pPr>
              <w:keepNext/>
              <w:keepLines/>
              <w:autoSpaceDE w:val="0"/>
              <w:autoSpaceDN w:val="0"/>
              <w:adjustRightInd w:val="0"/>
              <w:spacing w:before="40" w:after="40" w:line="340" w:lineRule="exact"/>
              <w:rPr>
                <w:rFonts w:ascii="Traditional Arabic" w:hAnsi="Traditional Arabic" w:cs="Traditional Arabic"/>
                <w:color w:val="000000"/>
                <w:sz w:val="27"/>
                <w:szCs w:val="27"/>
                <w:lang w:val="cs-CZ" w:eastAsia="de-DE"/>
              </w:rPr>
            </w:pPr>
            <w:r w:rsidRPr="008513AE">
              <w:rPr>
                <w:rFonts w:ascii="Traditional Arabic" w:hAnsi="Traditional Arabic" w:cs="Traditional Arabic" w:hint="cs"/>
                <w:color w:val="000000"/>
                <w:sz w:val="27"/>
                <w:szCs w:val="27"/>
                <w:rtl/>
                <w:lang w:val="cs-CZ" w:eastAsia="de-DE"/>
              </w:rPr>
              <w:t>40</w:t>
            </w:r>
          </w:p>
        </w:tc>
      </w:tr>
      <w:tr w:rsidR="00335E4B" w:rsidRPr="00335E4B" w:rsidTr="008513AE">
        <w:trPr>
          <w:trHeight w:val="75"/>
        </w:trPr>
        <w:tc>
          <w:tcPr>
            <w:tcW w:w="2694" w:type="dxa"/>
          </w:tcPr>
          <w:p w:rsidR="00335E4B" w:rsidRPr="008513AE" w:rsidRDefault="00335E4B" w:rsidP="008513AE">
            <w:pPr>
              <w:keepNext/>
              <w:keepLines/>
              <w:autoSpaceDE w:val="0"/>
              <w:autoSpaceDN w:val="0"/>
              <w:adjustRightInd w:val="0"/>
              <w:spacing w:before="40" w:after="40" w:line="340" w:lineRule="exact"/>
              <w:rPr>
                <w:rFonts w:ascii="Traditional Arabic" w:hAnsi="Traditional Arabic" w:cs="Traditional Arabic"/>
                <w:color w:val="000000"/>
                <w:sz w:val="27"/>
                <w:szCs w:val="27"/>
                <w:lang w:val="cs-CZ" w:eastAsia="de-DE"/>
              </w:rPr>
            </w:pPr>
            <w:r w:rsidRPr="008513AE">
              <w:rPr>
                <w:rFonts w:ascii="Traditional Arabic" w:hAnsi="Traditional Arabic" w:cs="Traditional Arabic" w:hint="cs"/>
                <w:color w:val="000000"/>
                <w:sz w:val="27"/>
                <w:szCs w:val="27"/>
                <w:rtl/>
                <w:lang w:val="cs-CZ" w:eastAsia="de-DE"/>
              </w:rPr>
              <w:t>جيد</w:t>
            </w:r>
          </w:p>
        </w:tc>
        <w:tc>
          <w:tcPr>
            <w:tcW w:w="3273" w:type="dxa"/>
          </w:tcPr>
          <w:p w:rsidR="00335E4B" w:rsidRPr="008513AE" w:rsidRDefault="00335E4B" w:rsidP="008513AE">
            <w:pPr>
              <w:keepNext/>
              <w:keepLines/>
              <w:autoSpaceDE w:val="0"/>
              <w:autoSpaceDN w:val="0"/>
              <w:adjustRightInd w:val="0"/>
              <w:spacing w:before="40" w:after="40" w:line="340" w:lineRule="exact"/>
              <w:rPr>
                <w:rFonts w:ascii="Traditional Arabic" w:hAnsi="Traditional Arabic" w:cs="Traditional Arabic"/>
                <w:color w:val="000000"/>
                <w:sz w:val="27"/>
                <w:szCs w:val="27"/>
                <w:lang w:val="cs-CZ" w:eastAsia="de-DE"/>
              </w:rPr>
            </w:pPr>
            <w:r w:rsidRPr="008513AE">
              <w:rPr>
                <w:rFonts w:ascii="Traditional Arabic" w:hAnsi="Traditional Arabic" w:cs="Traditional Arabic" w:hint="cs"/>
                <w:color w:val="000000"/>
                <w:sz w:val="27"/>
                <w:szCs w:val="27"/>
                <w:rtl/>
                <w:lang w:val="cs-CZ" w:eastAsia="de-DE"/>
              </w:rPr>
              <w:t>25</w:t>
            </w:r>
          </w:p>
        </w:tc>
        <w:tc>
          <w:tcPr>
            <w:tcW w:w="2977" w:type="dxa"/>
          </w:tcPr>
          <w:p w:rsidR="00335E4B" w:rsidRPr="008513AE" w:rsidRDefault="00335E4B" w:rsidP="008513AE">
            <w:pPr>
              <w:keepNext/>
              <w:keepLines/>
              <w:autoSpaceDE w:val="0"/>
              <w:autoSpaceDN w:val="0"/>
              <w:adjustRightInd w:val="0"/>
              <w:spacing w:before="40" w:after="40" w:line="340" w:lineRule="exact"/>
              <w:rPr>
                <w:rFonts w:ascii="Traditional Arabic" w:hAnsi="Traditional Arabic" w:cs="Traditional Arabic"/>
                <w:color w:val="000000"/>
                <w:sz w:val="27"/>
                <w:szCs w:val="27"/>
                <w:lang w:val="cs-CZ" w:eastAsia="de-DE"/>
              </w:rPr>
            </w:pPr>
            <w:r w:rsidRPr="008513AE">
              <w:rPr>
                <w:rFonts w:ascii="Traditional Arabic" w:hAnsi="Traditional Arabic" w:cs="Traditional Arabic" w:hint="cs"/>
                <w:color w:val="000000"/>
                <w:sz w:val="27"/>
                <w:szCs w:val="27"/>
                <w:rtl/>
                <w:lang w:val="cs-CZ" w:eastAsia="de-DE"/>
              </w:rPr>
              <w:t>75</w:t>
            </w:r>
          </w:p>
        </w:tc>
      </w:tr>
      <w:tr w:rsidR="00335E4B" w:rsidRPr="00335E4B" w:rsidTr="008513AE">
        <w:trPr>
          <w:trHeight w:val="75"/>
        </w:trPr>
        <w:tc>
          <w:tcPr>
            <w:tcW w:w="2694" w:type="dxa"/>
          </w:tcPr>
          <w:p w:rsidR="00335E4B" w:rsidRPr="008513AE" w:rsidRDefault="00335E4B" w:rsidP="008513AE">
            <w:pPr>
              <w:keepNext/>
              <w:keepLines/>
              <w:autoSpaceDE w:val="0"/>
              <w:autoSpaceDN w:val="0"/>
              <w:adjustRightInd w:val="0"/>
              <w:spacing w:before="40" w:after="40" w:line="340" w:lineRule="exact"/>
              <w:rPr>
                <w:rFonts w:ascii="Traditional Arabic" w:hAnsi="Traditional Arabic" w:cs="Traditional Arabic"/>
                <w:color w:val="000000"/>
                <w:sz w:val="27"/>
                <w:szCs w:val="27"/>
                <w:lang w:val="cs-CZ" w:eastAsia="de-DE"/>
              </w:rPr>
            </w:pPr>
            <w:r w:rsidRPr="008513AE">
              <w:rPr>
                <w:rFonts w:ascii="Traditional Arabic" w:hAnsi="Traditional Arabic" w:cs="Traditional Arabic" w:hint="cs"/>
                <w:color w:val="000000"/>
                <w:sz w:val="27"/>
                <w:szCs w:val="27"/>
                <w:rtl/>
                <w:lang w:val="cs-CZ" w:eastAsia="de-DE"/>
              </w:rPr>
              <w:t>دقيق</w:t>
            </w:r>
          </w:p>
        </w:tc>
        <w:tc>
          <w:tcPr>
            <w:tcW w:w="3273" w:type="dxa"/>
          </w:tcPr>
          <w:p w:rsidR="00335E4B" w:rsidRPr="008513AE" w:rsidRDefault="00335E4B" w:rsidP="008513AE">
            <w:pPr>
              <w:keepNext/>
              <w:keepLines/>
              <w:autoSpaceDE w:val="0"/>
              <w:autoSpaceDN w:val="0"/>
              <w:adjustRightInd w:val="0"/>
              <w:spacing w:before="40" w:after="40" w:line="340" w:lineRule="exact"/>
              <w:rPr>
                <w:rFonts w:ascii="Traditional Arabic" w:hAnsi="Traditional Arabic" w:cs="Traditional Arabic"/>
                <w:color w:val="000000"/>
                <w:sz w:val="27"/>
                <w:szCs w:val="27"/>
                <w:lang w:val="cs-CZ" w:eastAsia="de-DE"/>
              </w:rPr>
            </w:pPr>
            <w:r w:rsidRPr="008513AE">
              <w:rPr>
                <w:rFonts w:ascii="Traditional Arabic" w:hAnsi="Traditional Arabic" w:cs="Traditional Arabic" w:hint="cs"/>
                <w:color w:val="000000"/>
                <w:sz w:val="27"/>
                <w:szCs w:val="27"/>
                <w:rtl/>
                <w:lang w:val="cs-CZ" w:eastAsia="de-DE"/>
              </w:rPr>
              <w:t>15</w:t>
            </w:r>
          </w:p>
        </w:tc>
        <w:tc>
          <w:tcPr>
            <w:tcW w:w="2977" w:type="dxa"/>
          </w:tcPr>
          <w:p w:rsidR="00335E4B" w:rsidRPr="008513AE" w:rsidRDefault="00335E4B" w:rsidP="008513AE">
            <w:pPr>
              <w:keepNext/>
              <w:keepLines/>
              <w:autoSpaceDE w:val="0"/>
              <w:autoSpaceDN w:val="0"/>
              <w:adjustRightInd w:val="0"/>
              <w:spacing w:before="40" w:after="40" w:line="340" w:lineRule="exact"/>
              <w:rPr>
                <w:rFonts w:ascii="Traditional Arabic" w:hAnsi="Traditional Arabic" w:cs="Traditional Arabic"/>
                <w:color w:val="000000"/>
                <w:sz w:val="27"/>
                <w:szCs w:val="27"/>
                <w:lang w:val="cs-CZ" w:eastAsia="de-DE"/>
              </w:rPr>
            </w:pPr>
            <w:r w:rsidRPr="008513AE">
              <w:rPr>
                <w:rFonts w:ascii="Traditional Arabic" w:hAnsi="Traditional Arabic" w:cs="Traditional Arabic" w:hint="cs"/>
                <w:color w:val="000000"/>
                <w:sz w:val="27"/>
                <w:szCs w:val="27"/>
                <w:rtl/>
                <w:lang w:val="cs-CZ" w:eastAsia="de-DE"/>
              </w:rPr>
              <w:t>85</w:t>
            </w:r>
          </w:p>
        </w:tc>
      </w:tr>
    </w:tbl>
    <w:p w:rsidR="00335E4B" w:rsidRPr="00335E4B" w:rsidRDefault="00335E4B" w:rsidP="008513AE">
      <w:pPr>
        <w:spacing w:before="120" w:after="120" w:line="400" w:lineRule="exact"/>
        <w:ind w:left="-2"/>
        <w:jc w:val="both"/>
        <w:rPr>
          <w:rFonts w:cs="Traditional Arabic"/>
          <w:sz w:val="20"/>
          <w:szCs w:val="24"/>
          <w:rtl/>
          <w:lang w:val="en-GB"/>
        </w:rPr>
      </w:pPr>
      <w:r w:rsidRPr="00335E4B">
        <w:rPr>
          <w:rFonts w:cs="Traditional Arabic" w:hint="cs"/>
          <w:i/>
          <w:iCs/>
          <w:sz w:val="20"/>
          <w:szCs w:val="24"/>
          <w:rtl/>
          <w:lang w:val="en-GB"/>
        </w:rPr>
        <w:t>المصدر</w:t>
      </w:r>
      <w:r w:rsidRPr="00335E4B">
        <w:rPr>
          <w:rFonts w:cs="Traditional Arabic" w:hint="cs"/>
          <w:sz w:val="20"/>
          <w:szCs w:val="24"/>
          <w:rtl/>
          <w:lang w:val="en-GB"/>
        </w:rPr>
        <w:t xml:space="preserve">: </w:t>
      </w:r>
      <w:r w:rsidRPr="00335E4B">
        <w:rPr>
          <w:rFonts w:cs="Times New Roman"/>
          <w:iCs/>
          <w:color w:val="000000"/>
          <w:sz w:val="20"/>
          <w:szCs w:val="20"/>
          <w:lang w:val="cs-CZ" w:eastAsia="de-DE"/>
        </w:rPr>
        <w:t>Emmanuel (2012)</w:t>
      </w:r>
    </w:p>
    <w:p w:rsidR="00335E4B" w:rsidRPr="008513AE" w:rsidRDefault="00335E4B" w:rsidP="008513AE">
      <w:pPr>
        <w:ind w:left="-2"/>
        <w:jc w:val="both"/>
        <w:rPr>
          <w:rFonts w:cs="Traditional Arabic"/>
          <w:b/>
          <w:bCs/>
          <w:sz w:val="30"/>
          <w:szCs w:val="30"/>
          <w:rtl/>
          <w:lang w:val="en-GB"/>
        </w:rPr>
      </w:pPr>
      <w:r w:rsidRPr="008513AE">
        <w:rPr>
          <w:rFonts w:cs="Traditional Arabic" w:hint="cs"/>
          <w:b/>
          <w:bCs/>
          <w:sz w:val="30"/>
          <w:szCs w:val="30"/>
          <w:rtl/>
          <w:lang w:val="en-GB"/>
        </w:rPr>
        <w:t>الجدول 6: التصنيفات النموذجية اعتماداً على ممارسات الفصل</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وتساعد الجهود الرامية إلى منع إدخال الزئبق ضمن مدخلات النفايات في خفض انبعاثات الزئبق الكلية من عمليات الحرق، ولذلك فإن التدابير الرامية لمنع الزئبق من الوصول إلى مدخلات النفايات تكتسب أهمية خاصة. ويمكن أن تشمل هذه التدابير نظم الجمع المنفصل أو التصنيف الجيد للنفايات في كل المراحل السابقة للحرق، وفصل النفايات في المرافق كتقنية أساسية.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ويمكن تحقيق خفض كبير في محتوى الزئبق في النفايات المراد حرقها من خلال الجمع المنفصل لمسارات النفايات التي يحتمل أن تكون ملوثة بكميات كبيرة من الزئبق وكذلك تحويل النفايات المحتوية على زئبق إلى مرافق تدير النفايات بطريقة سليمة بيئياً. ويمكن جمع النفايات التالية بشكل منفصل:</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البطاريات المحتوية على الزئبق؛</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المصابيح المحتوية على الزئبق؛</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الأجهزة الكهربائية (المفاتيح الكهربائية وغيرها) التي تحتوي على الزئبق؛</w:t>
      </w:r>
    </w:p>
    <w:p w:rsidR="00335E4B" w:rsidRPr="00335E4B" w:rsidRDefault="00335E4B" w:rsidP="00335E4B">
      <w:pPr>
        <w:numPr>
          <w:ilvl w:val="0"/>
          <w:numId w:val="29"/>
        </w:numPr>
        <w:spacing w:after="120" w:line="400" w:lineRule="exact"/>
        <w:ind w:left="720"/>
        <w:jc w:val="both"/>
        <w:rPr>
          <w:rFonts w:cs="Traditional Arabic"/>
          <w:sz w:val="30"/>
          <w:szCs w:val="30"/>
          <w:lang w:val="en-GB"/>
        </w:rPr>
      </w:pPr>
      <w:r w:rsidRPr="00335E4B">
        <w:rPr>
          <w:rFonts w:cs="Traditional Arabic" w:hint="cs"/>
          <w:sz w:val="30"/>
          <w:szCs w:val="30"/>
          <w:rtl/>
          <w:lang w:val="en-GB"/>
        </w:rPr>
        <w:t>النفايات التي قد تكون ملوثة من المنازل والمؤسسات البلدية (الدهانات القديمة والورنيش، ومبيدات الحشرات، والمذيبات، والمواد الكيميائية المختبرية المستعملة من المدارس، الخ.)</w:t>
      </w:r>
    </w:p>
    <w:p w:rsidR="00335E4B" w:rsidRPr="00335E4B" w:rsidRDefault="005E686E" w:rsidP="005E686E">
      <w:pPr>
        <w:spacing w:after="120" w:line="400" w:lineRule="exact"/>
        <w:ind w:left="709" w:hanging="709"/>
        <w:jc w:val="both"/>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14</w:t>
      </w:r>
      <w:r w:rsidR="00335E4B" w:rsidRPr="00335E4B">
        <w:rPr>
          <w:rFonts w:cs="Traditional Arabic" w:hint="cs"/>
          <w:b/>
          <w:bCs/>
          <w:sz w:val="30"/>
          <w:szCs w:val="30"/>
          <w:rtl/>
        </w:rPr>
        <w:t>-1-3</w:t>
      </w:r>
      <w:r w:rsidR="00335E4B" w:rsidRPr="00335E4B">
        <w:rPr>
          <w:rFonts w:cs="Traditional Arabic" w:hint="cs"/>
          <w:b/>
          <w:bCs/>
          <w:sz w:val="30"/>
          <w:szCs w:val="30"/>
          <w:rtl/>
        </w:rPr>
        <w:tab/>
        <w:t>فحص النفايات وتحديد خصائصها قبل حرقها</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يتعين الأخذ في الاعتبار الممارسات العامة التالية لمدخلات النفايات والتحكم فيها عند تحديد أفضل التقنيات المتاحة لمناولة النفايات المحتوية على الزئبق أو الملوثة به. وعند وضع ضوابط جودة على مدخلات النفايات وتطبيقها، ووفقاً لنوع النفايات التي يمكن أن تصل إلى المنشأة، من المهم وضع قيود على مدخلات عملية الحرق وتحديد المخاطر الرئيسية، وكذلك التواصل مع موردي النفايات لتعزيز ضبط جودة النفايات الواردة.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إن المعرفة التفصيلية بخصائص ومميزات النفايات الواردة أمر ضروري. ويمكن أن تتفاوت خصائص مسار نفايات معين بشكل كبير من بلد إلى آخر ومن منطقة إلى أخرى. وفي حال اعتبار نفايات معينة أو مكونات معينة للنفايات غير ملائمة للحرق، مثل النفايات المشار إليها في المادة 11 من الاتفاقية، فإنه يتعين اتخاذ إجراءات لكشف هذه المواد وفصلها في مسار النفايات أو المخلفات قبل عملية الحرق إلا إذا كان المراد معالجة النفايات حرارياً لاستعادة الزئبق وفق ما هو مبين في المبادئ التوجيهية التقنية للإدارة السليمة بيئياً لنفايات الزئبق الصادرة عن اتفاقية بازل. ويتعين كذلك إجراء تفتيش وأخذ العينات وإجراء تحاليل بصورة روتينية، وهذا ينطبق أيضاً على النفايات الخطرة. ومن الضروري أيضاً الاحتفاظ بقوائم الشحن وسجلات المعاملات والمداومة على تحديثها. ويبين الجدول 7 بعض التقنيات التي يمكن تطبيقها على أنواع النفايات المختلفة.</w:t>
      </w:r>
    </w:p>
    <w:p w:rsidR="00335E4B" w:rsidRPr="008513AE" w:rsidRDefault="00335E4B" w:rsidP="008513AE">
      <w:pPr>
        <w:ind w:left="-2"/>
        <w:jc w:val="both"/>
        <w:rPr>
          <w:rFonts w:cs="Traditional Arabic"/>
          <w:b/>
          <w:bCs/>
          <w:sz w:val="30"/>
          <w:szCs w:val="30"/>
          <w:rtl/>
          <w:lang w:val="en-GB"/>
        </w:rPr>
      </w:pPr>
      <w:r w:rsidRPr="00335E4B">
        <w:rPr>
          <w:rFonts w:cs="Traditional Arabic" w:hint="cs"/>
          <w:b/>
          <w:bCs/>
          <w:sz w:val="26"/>
          <w:szCs w:val="26"/>
          <w:rtl/>
          <w:lang w:val="en-GB"/>
        </w:rPr>
        <w:t>ا</w:t>
      </w:r>
      <w:r w:rsidRPr="008513AE">
        <w:rPr>
          <w:rFonts w:cs="Traditional Arabic" w:hint="cs"/>
          <w:b/>
          <w:bCs/>
          <w:sz w:val="30"/>
          <w:szCs w:val="30"/>
          <w:rtl/>
          <w:lang w:val="en-GB"/>
        </w:rPr>
        <w:t>لجدول 7</w:t>
      </w:r>
    </w:p>
    <w:p w:rsidR="00335E4B" w:rsidRPr="00335E4B" w:rsidRDefault="00335E4B" w:rsidP="008513AE">
      <w:pPr>
        <w:ind w:left="-2"/>
        <w:jc w:val="both"/>
        <w:rPr>
          <w:rFonts w:cs="Traditional Arabic"/>
          <w:sz w:val="26"/>
          <w:szCs w:val="26"/>
          <w:rtl/>
          <w:lang w:val="en-GB"/>
        </w:rPr>
      </w:pPr>
      <w:r w:rsidRPr="008513AE">
        <w:rPr>
          <w:rFonts w:cs="Traditional Arabic" w:hint="cs"/>
          <w:sz w:val="30"/>
          <w:szCs w:val="30"/>
          <w:rtl/>
          <w:lang w:val="en-GB"/>
        </w:rPr>
        <w:t xml:space="preserve">نماذج لتقنيات التفتيش </w:t>
      </w:r>
      <w:r w:rsidRPr="008513AE">
        <w:rPr>
          <w:rFonts w:asciiTheme="majorBidi" w:hAnsiTheme="majorBidi" w:cstheme="majorBidi"/>
          <w:sz w:val="20"/>
          <w:szCs w:val="20"/>
          <w:rtl/>
          <w:lang w:val="en-GB"/>
        </w:rPr>
        <w:t>(</w:t>
      </w:r>
      <w:r w:rsidRPr="008513AE">
        <w:rPr>
          <w:rFonts w:asciiTheme="majorBidi" w:hAnsiTheme="majorBidi" w:cstheme="majorBidi"/>
          <w:kern w:val="28"/>
          <w:sz w:val="20"/>
          <w:szCs w:val="20"/>
          <w:lang w:val="en-GB"/>
        </w:rPr>
        <w:t>EC 2006</w:t>
      </w:r>
      <w:r w:rsidRPr="008513AE">
        <w:rPr>
          <w:rFonts w:asciiTheme="majorBidi" w:hAnsiTheme="majorBidi" w:cstheme="majorBidi"/>
          <w:sz w:val="20"/>
          <w:szCs w:val="20"/>
          <w:rtl/>
          <w:lang w:val="en-GB"/>
        </w:rPr>
        <w:t>)</w:t>
      </w:r>
    </w:p>
    <w:tbl>
      <w:tblPr>
        <w:bidiVisual/>
        <w:tblW w:w="9293" w:type="dxa"/>
        <w:tblInd w:w="720" w:type="dxa"/>
        <w:tblBorders>
          <w:top w:val="single" w:sz="6" w:space="0" w:color="auto"/>
          <w:bottom w:val="single" w:sz="6" w:space="0" w:color="auto"/>
          <w:insideH w:val="single" w:sz="2" w:space="0" w:color="auto"/>
        </w:tblBorders>
        <w:tblLayout w:type="fixed"/>
        <w:tblCellMar>
          <w:top w:w="57" w:type="dxa"/>
          <w:left w:w="113" w:type="dxa"/>
          <w:bottom w:w="57" w:type="dxa"/>
          <w:right w:w="113" w:type="dxa"/>
        </w:tblCellMar>
        <w:tblLook w:val="01E0" w:firstRow="1" w:lastRow="1" w:firstColumn="1" w:lastColumn="1" w:noHBand="0" w:noVBand="0"/>
      </w:tblPr>
      <w:tblGrid>
        <w:gridCol w:w="2098"/>
        <w:gridCol w:w="4855"/>
        <w:gridCol w:w="2340"/>
      </w:tblGrid>
      <w:tr w:rsidR="00335E4B" w:rsidRPr="00335E4B" w:rsidTr="00D002D1">
        <w:trPr>
          <w:tblHeader/>
        </w:trPr>
        <w:tc>
          <w:tcPr>
            <w:tcW w:w="2098" w:type="dxa"/>
            <w:tcBorders>
              <w:top w:val="single" w:sz="6" w:space="0" w:color="auto"/>
              <w:bottom w:val="single" w:sz="6" w:space="0" w:color="auto"/>
            </w:tcBorders>
            <w:shd w:val="clear" w:color="auto" w:fill="auto"/>
            <w:vAlign w:val="center"/>
          </w:tcPr>
          <w:p w:rsidR="00335E4B" w:rsidRPr="008513AE" w:rsidRDefault="00335E4B" w:rsidP="00335E4B">
            <w:pPr>
              <w:spacing w:line="255" w:lineRule="exact"/>
              <w:rPr>
                <w:rFonts w:ascii="Traditional Arabic" w:hAnsi="Traditional Arabic" w:cs="Traditional Arabic"/>
                <w:bCs/>
                <w:i/>
                <w:iCs/>
                <w:kern w:val="28"/>
                <w:szCs w:val="24"/>
                <w:lang w:val="en-GB"/>
              </w:rPr>
            </w:pPr>
            <w:r w:rsidRPr="008513AE">
              <w:rPr>
                <w:rFonts w:ascii="Traditional Arabic" w:hAnsi="Traditional Arabic" w:cs="Traditional Arabic"/>
                <w:bCs/>
                <w:i/>
                <w:iCs/>
                <w:kern w:val="28"/>
                <w:szCs w:val="24"/>
                <w:rtl/>
                <w:lang w:val="en-GB"/>
              </w:rPr>
              <w:t>نوع النفايات</w:t>
            </w:r>
          </w:p>
        </w:tc>
        <w:tc>
          <w:tcPr>
            <w:tcW w:w="4855" w:type="dxa"/>
            <w:tcBorders>
              <w:top w:val="single" w:sz="6" w:space="0" w:color="auto"/>
              <w:bottom w:val="single" w:sz="6" w:space="0" w:color="auto"/>
            </w:tcBorders>
            <w:shd w:val="clear" w:color="auto" w:fill="auto"/>
            <w:vAlign w:val="center"/>
          </w:tcPr>
          <w:p w:rsidR="00335E4B" w:rsidRPr="008513AE" w:rsidRDefault="00335E4B" w:rsidP="00335E4B">
            <w:pPr>
              <w:spacing w:line="255" w:lineRule="exact"/>
              <w:rPr>
                <w:rFonts w:ascii="Traditional Arabic" w:hAnsi="Traditional Arabic" w:cs="Traditional Arabic"/>
                <w:bCs/>
                <w:i/>
                <w:iCs/>
                <w:kern w:val="28"/>
                <w:szCs w:val="24"/>
                <w:lang w:val="en-GB"/>
              </w:rPr>
            </w:pPr>
            <w:r w:rsidRPr="008513AE">
              <w:rPr>
                <w:rFonts w:ascii="Traditional Arabic" w:hAnsi="Traditional Arabic" w:cs="Traditional Arabic"/>
                <w:bCs/>
                <w:i/>
                <w:iCs/>
                <w:kern w:val="28"/>
                <w:szCs w:val="24"/>
                <w:rtl/>
                <w:lang w:val="en-GB"/>
              </w:rPr>
              <w:t>التقنيات</w:t>
            </w:r>
          </w:p>
        </w:tc>
        <w:tc>
          <w:tcPr>
            <w:tcW w:w="2340" w:type="dxa"/>
            <w:tcBorders>
              <w:top w:val="single" w:sz="6" w:space="0" w:color="auto"/>
              <w:bottom w:val="single" w:sz="6" w:space="0" w:color="auto"/>
            </w:tcBorders>
            <w:shd w:val="clear" w:color="auto" w:fill="auto"/>
            <w:vAlign w:val="center"/>
          </w:tcPr>
          <w:p w:rsidR="00335E4B" w:rsidRPr="008513AE" w:rsidRDefault="00335E4B" w:rsidP="00335E4B">
            <w:pPr>
              <w:spacing w:line="255" w:lineRule="exact"/>
              <w:rPr>
                <w:rFonts w:ascii="Traditional Arabic" w:hAnsi="Traditional Arabic" w:cs="Traditional Arabic"/>
                <w:bCs/>
                <w:i/>
                <w:iCs/>
                <w:kern w:val="28"/>
                <w:szCs w:val="24"/>
                <w:lang w:val="en-GB"/>
              </w:rPr>
            </w:pPr>
            <w:r w:rsidRPr="008513AE">
              <w:rPr>
                <w:rFonts w:ascii="Traditional Arabic" w:hAnsi="Traditional Arabic" w:cs="Traditional Arabic"/>
                <w:bCs/>
                <w:i/>
                <w:iCs/>
                <w:kern w:val="28"/>
                <w:szCs w:val="24"/>
                <w:rtl/>
                <w:lang w:val="en-GB"/>
              </w:rPr>
              <w:t>التعليقات</w:t>
            </w:r>
          </w:p>
        </w:tc>
      </w:tr>
      <w:tr w:rsidR="00335E4B" w:rsidRPr="00335E4B" w:rsidTr="00D002D1">
        <w:tc>
          <w:tcPr>
            <w:tcW w:w="2098" w:type="dxa"/>
            <w:tcBorders>
              <w:top w:val="single" w:sz="6" w:space="0" w:color="auto"/>
            </w:tcBorders>
            <w:shd w:val="clear" w:color="auto" w:fill="auto"/>
          </w:tcPr>
          <w:p w:rsidR="00335E4B" w:rsidRPr="00335E4B" w:rsidRDefault="00335E4B" w:rsidP="00335E4B">
            <w:pPr>
              <w:spacing w:line="255" w:lineRule="exact"/>
              <w:rPr>
                <w:rFonts w:ascii="Traditional Arabic" w:hAnsi="Traditional Arabic" w:cs="Traditional Arabic"/>
                <w:b/>
                <w:kern w:val="28"/>
                <w:szCs w:val="24"/>
                <w:rtl/>
                <w:lang w:val="en-GB"/>
              </w:rPr>
            </w:pPr>
            <w:r w:rsidRPr="00335E4B">
              <w:rPr>
                <w:rFonts w:ascii="Traditional Arabic" w:hAnsi="Traditional Arabic" w:cs="Traditional Arabic"/>
                <w:b/>
                <w:kern w:val="28"/>
                <w:szCs w:val="24"/>
                <w:rtl/>
                <w:lang w:val="en-GB"/>
              </w:rPr>
              <w:t xml:space="preserve">النفايات البلدية </w:t>
            </w:r>
            <w:r w:rsidRPr="00335E4B">
              <w:rPr>
                <w:rFonts w:ascii="Traditional Arabic" w:hAnsi="Traditional Arabic" w:cs="Traditional Arabic" w:hint="cs"/>
                <w:b/>
                <w:kern w:val="28"/>
                <w:szCs w:val="24"/>
                <w:rtl/>
                <w:lang w:val="en-GB"/>
              </w:rPr>
              <w:t>المختلطة</w:t>
            </w:r>
          </w:p>
        </w:tc>
        <w:tc>
          <w:tcPr>
            <w:tcW w:w="4855" w:type="dxa"/>
            <w:tcBorders>
              <w:top w:val="single" w:sz="6" w:space="0" w:color="auto"/>
            </w:tcBorders>
            <w:shd w:val="clear" w:color="auto" w:fill="auto"/>
          </w:tcPr>
          <w:p w:rsidR="00335E4B" w:rsidRPr="00335E4B" w:rsidRDefault="00335E4B" w:rsidP="00335E4B">
            <w:pPr>
              <w:spacing w:line="255" w:lineRule="exact"/>
              <w:ind w:firstLine="16"/>
              <w:rPr>
                <w:rFonts w:ascii="Traditional Arabic" w:hAnsi="Traditional Arabic" w:cs="Traditional Arabic"/>
                <w:kern w:val="28"/>
                <w:szCs w:val="24"/>
                <w:rtl/>
                <w:lang w:val="en-GB"/>
              </w:rPr>
            </w:pPr>
            <w:r w:rsidRPr="00335E4B">
              <w:rPr>
                <w:rFonts w:ascii="Traditional Arabic" w:hAnsi="Traditional Arabic" w:cs="Traditional Arabic" w:hint="cs"/>
                <w:kern w:val="28"/>
                <w:szCs w:val="24"/>
                <w:rtl/>
                <w:lang w:val="en-GB"/>
              </w:rPr>
              <w:t>الفحص</w:t>
            </w:r>
            <w:r w:rsidRPr="00335E4B">
              <w:rPr>
                <w:rFonts w:ascii="Traditional Arabic" w:hAnsi="Traditional Arabic" w:cs="Traditional Arabic"/>
                <w:kern w:val="28"/>
                <w:szCs w:val="24"/>
                <w:rtl/>
                <w:lang w:val="en-GB"/>
              </w:rPr>
              <w:t xml:space="preserve"> بالنظر في المستودعات</w:t>
            </w:r>
          </w:p>
          <w:p w:rsidR="00335E4B" w:rsidRPr="00335E4B" w:rsidRDefault="00335E4B" w:rsidP="00335E4B">
            <w:pPr>
              <w:spacing w:line="255" w:lineRule="exact"/>
              <w:ind w:firstLine="16"/>
              <w:rPr>
                <w:rFonts w:ascii="Traditional Arabic" w:hAnsi="Traditional Arabic" w:cs="Traditional Arabic"/>
                <w:kern w:val="28"/>
                <w:szCs w:val="24"/>
              </w:rPr>
            </w:pPr>
            <w:r w:rsidRPr="00335E4B">
              <w:rPr>
                <w:rFonts w:ascii="Traditional Arabic" w:hAnsi="Traditional Arabic" w:cs="Traditional Arabic"/>
                <w:kern w:val="28"/>
                <w:szCs w:val="24"/>
                <w:rtl/>
                <w:lang w:val="en-GB"/>
              </w:rPr>
              <w:t>الفحص بالعينة لفرادى الشحنات عن طريق التفريغ المنفصل</w:t>
            </w:r>
          </w:p>
          <w:p w:rsidR="00335E4B" w:rsidRPr="00335E4B" w:rsidRDefault="00335E4B" w:rsidP="00335E4B">
            <w:pPr>
              <w:spacing w:line="255" w:lineRule="exact"/>
              <w:ind w:firstLine="16"/>
              <w:rPr>
                <w:rFonts w:ascii="Traditional Arabic" w:hAnsi="Traditional Arabic" w:cs="Traditional Arabic"/>
                <w:kern w:val="28"/>
                <w:szCs w:val="24"/>
              </w:rPr>
            </w:pPr>
            <w:r w:rsidRPr="00335E4B">
              <w:rPr>
                <w:rFonts w:ascii="Traditional Arabic" w:hAnsi="Traditional Arabic" w:cs="Traditional Arabic" w:hint="cs"/>
                <w:kern w:val="28"/>
                <w:szCs w:val="24"/>
                <w:rtl/>
              </w:rPr>
              <w:t>قياس وزن</w:t>
            </w:r>
            <w:r w:rsidRPr="00335E4B">
              <w:rPr>
                <w:rFonts w:ascii="Traditional Arabic" w:hAnsi="Traditional Arabic" w:cs="Traditional Arabic"/>
                <w:kern w:val="28"/>
                <w:szCs w:val="24"/>
                <w:rtl/>
              </w:rPr>
              <w:t xml:space="preserve"> النفايات حال تسلمها</w:t>
            </w:r>
          </w:p>
          <w:p w:rsidR="00335E4B" w:rsidRPr="00335E4B" w:rsidRDefault="00335E4B" w:rsidP="00335E4B">
            <w:pPr>
              <w:spacing w:line="255" w:lineRule="exact"/>
              <w:ind w:firstLine="16"/>
              <w:rPr>
                <w:rFonts w:ascii="Traditional Arabic" w:hAnsi="Traditional Arabic" w:cs="Traditional Arabic"/>
                <w:kern w:val="28"/>
                <w:szCs w:val="24"/>
              </w:rPr>
            </w:pPr>
            <w:r w:rsidRPr="00335E4B">
              <w:rPr>
                <w:rFonts w:ascii="Traditional Arabic" w:hAnsi="Traditional Arabic" w:cs="Traditional Arabic"/>
                <w:kern w:val="28"/>
                <w:szCs w:val="24"/>
                <w:rtl/>
              </w:rPr>
              <w:t xml:space="preserve">أخذ </w:t>
            </w:r>
            <w:r w:rsidRPr="00335E4B">
              <w:rPr>
                <w:rFonts w:ascii="Traditional Arabic" w:hAnsi="Traditional Arabic" w:cs="Traditional Arabic" w:hint="cs"/>
                <w:kern w:val="28"/>
                <w:szCs w:val="24"/>
                <w:rtl/>
              </w:rPr>
              <w:t>ال</w:t>
            </w:r>
            <w:r w:rsidRPr="00335E4B">
              <w:rPr>
                <w:rFonts w:ascii="Traditional Arabic" w:hAnsi="Traditional Arabic" w:cs="Traditional Arabic"/>
                <w:kern w:val="28"/>
                <w:szCs w:val="24"/>
                <w:rtl/>
              </w:rPr>
              <w:t>عينات وتحليلها بشكل دوري لتحديد خواصها الرئيسية أو المواد الأساسية فيها</w:t>
            </w:r>
          </w:p>
        </w:tc>
        <w:tc>
          <w:tcPr>
            <w:tcW w:w="2340" w:type="dxa"/>
            <w:tcBorders>
              <w:top w:val="single" w:sz="6" w:space="0" w:color="auto"/>
            </w:tcBorders>
            <w:shd w:val="clear" w:color="auto" w:fill="auto"/>
          </w:tcPr>
          <w:p w:rsidR="00335E4B" w:rsidRPr="00335E4B" w:rsidRDefault="00335E4B" w:rsidP="00335E4B">
            <w:pPr>
              <w:spacing w:line="255" w:lineRule="exact"/>
              <w:rPr>
                <w:rFonts w:ascii="Traditional Arabic" w:hAnsi="Traditional Arabic" w:cs="Traditional Arabic"/>
                <w:kern w:val="28"/>
                <w:szCs w:val="24"/>
                <w:lang w:val="en-GB"/>
              </w:rPr>
            </w:pPr>
            <w:r w:rsidRPr="00335E4B">
              <w:rPr>
                <w:rFonts w:ascii="Traditional Arabic" w:hAnsi="Traditional Arabic" w:cs="Traditional Arabic"/>
                <w:kern w:val="28"/>
                <w:szCs w:val="24"/>
                <w:rtl/>
                <w:lang w:val="en-GB"/>
              </w:rPr>
              <w:t>يمكن أن تنطوي الشحنات الصناعية أو التجارية على مخاطر عالية</w:t>
            </w:r>
          </w:p>
        </w:tc>
      </w:tr>
      <w:tr w:rsidR="00335E4B" w:rsidRPr="00335E4B" w:rsidTr="00D002D1">
        <w:tc>
          <w:tcPr>
            <w:tcW w:w="2098" w:type="dxa"/>
            <w:shd w:val="clear" w:color="auto" w:fill="auto"/>
          </w:tcPr>
          <w:p w:rsidR="00335E4B" w:rsidRPr="00335E4B" w:rsidRDefault="00335E4B" w:rsidP="00335E4B">
            <w:pPr>
              <w:spacing w:line="255" w:lineRule="exact"/>
              <w:ind w:firstLine="16"/>
              <w:rPr>
                <w:rFonts w:ascii="Traditional Arabic" w:hAnsi="Traditional Arabic" w:cs="Traditional Arabic"/>
                <w:kern w:val="28"/>
                <w:szCs w:val="24"/>
              </w:rPr>
            </w:pPr>
            <w:r w:rsidRPr="00335E4B">
              <w:rPr>
                <w:rFonts w:ascii="Traditional Arabic" w:hAnsi="Traditional Arabic" w:cs="Traditional Arabic" w:hint="cs"/>
                <w:kern w:val="28"/>
                <w:szCs w:val="24"/>
                <w:rtl/>
              </w:rPr>
              <w:t>نفايات بلدية معالجة مسبقاً</w:t>
            </w:r>
          </w:p>
          <w:p w:rsidR="00335E4B" w:rsidRPr="00335E4B" w:rsidRDefault="00335E4B" w:rsidP="00335E4B">
            <w:pPr>
              <w:spacing w:line="255" w:lineRule="exact"/>
              <w:ind w:firstLine="16"/>
              <w:rPr>
                <w:rFonts w:ascii="Traditional Arabic" w:hAnsi="Traditional Arabic" w:cs="Traditional Arabic"/>
                <w:kern w:val="28"/>
                <w:szCs w:val="24"/>
              </w:rPr>
            </w:pPr>
            <w:r w:rsidRPr="00335E4B">
              <w:rPr>
                <w:rFonts w:ascii="Traditional Arabic" w:hAnsi="Traditional Arabic" w:cs="Traditional Arabic" w:hint="cs"/>
                <w:kern w:val="28"/>
                <w:szCs w:val="24"/>
                <w:rtl/>
              </w:rPr>
              <w:t>نفايات وأنواع وقود مشتقة من نفايات</w:t>
            </w:r>
          </w:p>
        </w:tc>
        <w:tc>
          <w:tcPr>
            <w:tcW w:w="4855" w:type="dxa"/>
            <w:shd w:val="clear" w:color="auto" w:fill="auto"/>
          </w:tcPr>
          <w:p w:rsidR="00335E4B" w:rsidRPr="00335E4B" w:rsidRDefault="00335E4B" w:rsidP="00335E4B">
            <w:pPr>
              <w:spacing w:line="255" w:lineRule="exact"/>
              <w:ind w:firstLine="16"/>
              <w:rPr>
                <w:rFonts w:ascii="Traditional Arabic" w:hAnsi="Traditional Arabic" w:cs="Traditional Arabic"/>
                <w:kern w:val="28"/>
                <w:szCs w:val="24"/>
              </w:rPr>
            </w:pPr>
            <w:r w:rsidRPr="00335E4B">
              <w:rPr>
                <w:rFonts w:ascii="Traditional Arabic" w:hAnsi="Traditional Arabic" w:cs="Traditional Arabic" w:hint="cs"/>
                <w:kern w:val="28"/>
                <w:szCs w:val="24"/>
                <w:rtl/>
                <w:lang w:val="en-GB"/>
              </w:rPr>
              <w:t>الفحص</w:t>
            </w:r>
            <w:r w:rsidRPr="00335E4B">
              <w:rPr>
                <w:rFonts w:ascii="Traditional Arabic" w:hAnsi="Traditional Arabic" w:cs="Traditional Arabic"/>
                <w:kern w:val="28"/>
                <w:szCs w:val="24"/>
                <w:rtl/>
              </w:rPr>
              <w:t xml:space="preserve"> بالنظر</w:t>
            </w:r>
          </w:p>
          <w:p w:rsidR="00335E4B" w:rsidRPr="00335E4B" w:rsidRDefault="00335E4B" w:rsidP="00335E4B">
            <w:pPr>
              <w:spacing w:line="255" w:lineRule="exact"/>
              <w:ind w:firstLine="16"/>
              <w:rPr>
                <w:rFonts w:ascii="Traditional Arabic" w:hAnsi="Traditional Arabic" w:cs="Traditional Arabic"/>
                <w:kern w:val="28"/>
                <w:szCs w:val="24"/>
              </w:rPr>
            </w:pPr>
            <w:r w:rsidRPr="00335E4B">
              <w:rPr>
                <w:rFonts w:ascii="Traditional Arabic" w:hAnsi="Traditional Arabic" w:cs="Traditional Arabic"/>
                <w:kern w:val="28"/>
                <w:szCs w:val="24"/>
                <w:rtl/>
              </w:rPr>
              <w:t xml:space="preserve">أخذ </w:t>
            </w:r>
            <w:r w:rsidRPr="00335E4B">
              <w:rPr>
                <w:rFonts w:ascii="Traditional Arabic" w:hAnsi="Traditional Arabic" w:cs="Traditional Arabic" w:hint="cs"/>
                <w:kern w:val="28"/>
                <w:szCs w:val="24"/>
                <w:rtl/>
              </w:rPr>
              <w:t>ال</w:t>
            </w:r>
            <w:r w:rsidRPr="00335E4B">
              <w:rPr>
                <w:rFonts w:ascii="Traditional Arabic" w:hAnsi="Traditional Arabic" w:cs="Traditional Arabic"/>
                <w:kern w:val="28"/>
                <w:szCs w:val="24"/>
                <w:rtl/>
              </w:rPr>
              <w:t>عينات وتحليلها بشكل دوري لتحديد خواصها الرئيسية أو المواد الأساسية فيها</w:t>
            </w:r>
          </w:p>
        </w:tc>
        <w:tc>
          <w:tcPr>
            <w:tcW w:w="2340" w:type="dxa"/>
            <w:shd w:val="clear" w:color="auto" w:fill="auto"/>
          </w:tcPr>
          <w:p w:rsidR="00335E4B" w:rsidRPr="00335E4B" w:rsidRDefault="00335E4B" w:rsidP="00335E4B">
            <w:pPr>
              <w:spacing w:line="255" w:lineRule="exact"/>
              <w:ind w:firstLine="16"/>
              <w:rPr>
                <w:rFonts w:ascii="Traditional Arabic" w:hAnsi="Traditional Arabic" w:cs="Traditional Arabic"/>
                <w:kern w:val="28"/>
                <w:szCs w:val="24"/>
              </w:rPr>
            </w:pPr>
          </w:p>
        </w:tc>
      </w:tr>
      <w:tr w:rsidR="00335E4B" w:rsidRPr="00335E4B" w:rsidTr="00D002D1">
        <w:tc>
          <w:tcPr>
            <w:tcW w:w="2098" w:type="dxa"/>
            <w:shd w:val="clear" w:color="auto" w:fill="auto"/>
          </w:tcPr>
          <w:p w:rsidR="00335E4B" w:rsidRPr="00335E4B" w:rsidRDefault="00335E4B" w:rsidP="00335E4B">
            <w:pPr>
              <w:spacing w:line="255" w:lineRule="exact"/>
              <w:ind w:firstLine="16"/>
              <w:rPr>
                <w:rFonts w:ascii="Traditional Arabic" w:hAnsi="Traditional Arabic" w:cs="Traditional Arabic"/>
                <w:kern w:val="28"/>
                <w:szCs w:val="24"/>
                <w:rtl/>
              </w:rPr>
            </w:pPr>
            <w:r w:rsidRPr="00335E4B">
              <w:rPr>
                <w:rFonts w:ascii="Traditional Arabic" w:hAnsi="Traditional Arabic" w:cs="Traditional Arabic" w:hint="cs"/>
                <w:kern w:val="28"/>
                <w:szCs w:val="24"/>
                <w:rtl/>
              </w:rPr>
              <w:t>النفايات الخطرة</w:t>
            </w:r>
          </w:p>
          <w:p w:rsidR="00335E4B" w:rsidRPr="00335E4B" w:rsidRDefault="00335E4B" w:rsidP="00335E4B">
            <w:pPr>
              <w:spacing w:line="255" w:lineRule="exact"/>
              <w:ind w:firstLine="16"/>
              <w:rPr>
                <w:rFonts w:ascii="Traditional Arabic" w:hAnsi="Traditional Arabic" w:cs="Traditional Arabic"/>
                <w:kern w:val="28"/>
                <w:szCs w:val="24"/>
              </w:rPr>
            </w:pPr>
          </w:p>
        </w:tc>
        <w:tc>
          <w:tcPr>
            <w:tcW w:w="4855" w:type="dxa"/>
            <w:shd w:val="clear" w:color="auto" w:fill="auto"/>
          </w:tcPr>
          <w:p w:rsidR="00335E4B" w:rsidRPr="00335E4B" w:rsidRDefault="00335E4B" w:rsidP="00335E4B">
            <w:pPr>
              <w:spacing w:line="255" w:lineRule="exact"/>
              <w:ind w:firstLine="16"/>
              <w:rPr>
                <w:rFonts w:ascii="Traditional Arabic" w:hAnsi="Traditional Arabic" w:cs="Traditional Arabic"/>
                <w:kern w:val="28"/>
                <w:szCs w:val="24"/>
              </w:rPr>
            </w:pPr>
            <w:r w:rsidRPr="00335E4B">
              <w:rPr>
                <w:rFonts w:ascii="Traditional Arabic" w:hAnsi="Traditional Arabic" w:cs="Traditional Arabic" w:hint="cs"/>
                <w:kern w:val="28"/>
                <w:szCs w:val="24"/>
                <w:rtl/>
              </w:rPr>
              <w:t>الفحص</w:t>
            </w:r>
            <w:r w:rsidRPr="00335E4B">
              <w:rPr>
                <w:rFonts w:ascii="Traditional Arabic" w:hAnsi="Traditional Arabic" w:cs="Traditional Arabic"/>
                <w:kern w:val="28"/>
                <w:szCs w:val="24"/>
                <w:rtl/>
              </w:rPr>
              <w:t xml:space="preserve"> بالنظر</w:t>
            </w:r>
          </w:p>
          <w:p w:rsidR="00335E4B" w:rsidRPr="00335E4B" w:rsidRDefault="00335E4B" w:rsidP="00335E4B">
            <w:pPr>
              <w:spacing w:line="255" w:lineRule="exact"/>
              <w:ind w:firstLine="16"/>
              <w:rPr>
                <w:rFonts w:ascii="Traditional Arabic" w:hAnsi="Traditional Arabic" w:cs="Traditional Arabic"/>
                <w:kern w:val="28"/>
                <w:szCs w:val="24"/>
                <w:rtl/>
              </w:rPr>
            </w:pPr>
            <w:r w:rsidRPr="00335E4B">
              <w:rPr>
                <w:rFonts w:ascii="Traditional Arabic" w:hAnsi="Traditional Arabic" w:cs="Traditional Arabic"/>
                <w:kern w:val="28"/>
                <w:szCs w:val="24"/>
                <w:rtl/>
              </w:rPr>
              <w:t xml:space="preserve">أخذ </w:t>
            </w:r>
            <w:r w:rsidRPr="00335E4B">
              <w:rPr>
                <w:rFonts w:ascii="Traditional Arabic" w:hAnsi="Traditional Arabic" w:cs="Traditional Arabic" w:hint="cs"/>
                <w:kern w:val="28"/>
                <w:szCs w:val="24"/>
                <w:rtl/>
              </w:rPr>
              <w:t>ال</w:t>
            </w:r>
            <w:r w:rsidRPr="00335E4B">
              <w:rPr>
                <w:rFonts w:ascii="Traditional Arabic" w:hAnsi="Traditional Arabic" w:cs="Traditional Arabic"/>
                <w:kern w:val="28"/>
                <w:szCs w:val="24"/>
                <w:rtl/>
              </w:rPr>
              <w:t>عينات وتحليلها</w:t>
            </w:r>
            <w:r w:rsidRPr="00335E4B">
              <w:rPr>
                <w:rFonts w:ascii="Traditional Arabic" w:hAnsi="Traditional Arabic" w:cs="Traditional Arabic" w:hint="cs"/>
                <w:kern w:val="28"/>
                <w:szCs w:val="24"/>
                <w:rtl/>
              </w:rPr>
              <w:t xml:space="preserve"> من كل ناقلات النفايات السائبة</w:t>
            </w:r>
          </w:p>
          <w:p w:rsidR="00335E4B" w:rsidRPr="00335E4B" w:rsidRDefault="00335E4B" w:rsidP="00335E4B">
            <w:pPr>
              <w:spacing w:line="255" w:lineRule="exact"/>
              <w:ind w:firstLine="16"/>
              <w:rPr>
                <w:rFonts w:ascii="Traditional Arabic" w:hAnsi="Traditional Arabic" w:cs="Traditional Arabic"/>
                <w:kern w:val="28"/>
                <w:szCs w:val="24"/>
                <w:rtl/>
              </w:rPr>
            </w:pPr>
            <w:r w:rsidRPr="00335E4B">
              <w:rPr>
                <w:rFonts w:ascii="Traditional Arabic" w:hAnsi="Traditional Arabic" w:cs="Traditional Arabic" w:hint="cs"/>
                <w:kern w:val="28"/>
                <w:szCs w:val="24"/>
                <w:rtl/>
              </w:rPr>
              <w:t>الفحص العشوائي للعبوات البرميلية</w:t>
            </w:r>
          </w:p>
          <w:p w:rsidR="00335E4B" w:rsidRPr="00335E4B" w:rsidRDefault="00335E4B" w:rsidP="00335E4B">
            <w:pPr>
              <w:spacing w:line="255" w:lineRule="exact"/>
              <w:ind w:firstLine="16"/>
              <w:rPr>
                <w:rFonts w:ascii="Traditional Arabic" w:hAnsi="Traditional Arabic" w:cs="Traditional Arabic"/>
                <w:kern w:val="28"/>
                <w:szCs w:val="24"/>
              </w:rPr>
            </w:pPr>
            <w:r w:rsidRPr="00335E4B">
              <w:rPr>
                <w:rFonts w:ascii="Traditional Arabic" w:hAnsi="Traditional Arabic" w:cs="Traditional Arabic" w:hint="cs"/>
                <w:kern w:val="28"/>
                <w:szCs w:val="24"/>
                <w:rtl/>
              </w:rPr>
              <w:t>فك العبوات المغلفة وفحصها</w:t>
            </w:r>
          </w:p>
          <w:p w:rsidR="00335E4B" w:rsidRPr="00335E4B" w:rsidRDefault="00335E4B" w:rsidP="00335E4B">
            <w:pPr>
              <w:spacing w:line="255" w:lineRule="exact"/>
              <w:ind w:firstLine="16"/>
              <w:rPr>
                <w:rFonts w:ascii="Traditional Arabic" w:hAnsi="Traditional Arabic" w:cs="Traditional Arabic"/>
                <w:kern w:val="28"/>
                <w:szCs w:val="24"/>
                <w:rtl/>
              </w:rPr>
            </w:pPr>
            <w:r w:rsidRPr="00335E4B">
              <w:rPr>
                <w:rFonts w:ascii="Traditional Arabic" w:hAnsi="Traditional Arabic" w:cs="Traditional Arabic" w:hint="cs"/>
                <w:kern w:val="28"/>
                <w:szCs w:val="24"/>
                <w:rtl/>
              </w:rPr>
              <w:t>تقييم باراميترات الاحتراق</w:t>
            </w:r>
          </w:p>
          <w:p w:rsidR="00335E4B" w:rsidRPr="00335E4B" w:rsidRDefault="00335E4B" w:rsidP="00335E4B">
            <w:pPr>
              <w:spacing w:line="255" w:lineRule="exact"/>
              <w:ind w:firstLine="16"/>
              <w:rPr>
                <w:rFonts w:ascii="Traditional Arabic" w:hAnsi="Traditional Arabic" w:cs="Traditional Arabic"/>
                <w:kern w:val="28"/>
                <w:szCs w:val="24"/>
                <w:rtl/>
              </w:rPr>
            </w:pPr>
            <w:r w:rsidRPr="00335E4B">
              <w:rPr>
                <w:rFonts w:ascii="Traditional Arabic" w:hAnsi="Traditional Arabic" w:cs="Traditional Arabic" w:hint="cs"/>
                <w:kern w:val="28"/>
                <w:szCs w:val="24"/>
                <w:rtl/>
              </w:rPr>
              <w:t>إجراء اختبارات المزج على النفايات السائلة قبل تخزينها</w:t>
            </w:r>
          </w:p>
          <w:p w:rsidR="00335E4B" w:rsidRPr="00335E4B" w:rsidRDefault="00335E4B" w:rsidP="00335E4B">
            <w:pPr>
              <w:spacing w:line="255" w:lineRule="exact"/>
              <w:ind w:firstLine="16"/>
              <w:rPr>
                <w:rFonts w:ascii="Traditional Arabic" w:hAnsi="Traditional Arabic" w:cs="Traditional Arabic"/>
                <w:kern w:val="28"/>
                <w:szCs w:val="24"/>
                <w:rtl/>
              </w:rPr>
            </w:pPr>
            <w:r w:rsidRPr="00335E4B">
              <w:rPr>
                <w:rFonts w:ascii="Traditional Arabic" w:hAnsi="Traditional Arabic" w:cs="Traditional Arabic" w:hint="cs"/>
                <w:kern w:val="28"/>
                <w:szCs w:val="24"/>
                <w:rtl/>
              </w:rPr>
              <w:t>التحكم في نقطة اشتعال النفايات في المستودعات</w:t>
            </w:r>
          </w:p>
          <w:p w:rsidR="00335E4B" w:rsidRPr="00335E4B" w:rsidRDefault="00335E4B" w:rsidP="00335E4B">
            <w:pPr>
              <w:spacing w:line="255" w:lineRule="exact"/>
              <w:ind w:firstLine="16"/>
              <w:rPr>
                <w:rFonts w:ascii="Traditional Arabic" w:hAnsi="Traditional Arabic" w:cs="Traditional Arabic"/>
                <w:kern w:val="28"/>
                <w:szCs w:val="24"/>
              </w:rPr>
            </w:pPr>
            <w:r w:rsidRPr="00335E4B">
              <w:rPr>
                <w:rFonts w:ascii="Traditional Arabic" w:hAnsi="Traditional Arabic" w:cs="Traditional Arabic" w:hint="cs"/>
                <w:kern w:val="28"/>
                <w:szCs w:val="24"/>
                <w:rtl/>
              </w:rPr>
              <w:t xml:space="preserve">فرز مدخلات النفايات لتحديد تركيبها العنصري، مثلا باستخدام الفلورة السينية المشتتة للطاقة (المطياف) </w:t>
            </w:r>
            <w:r w:rsidRPr="008513AE">
              <w:rPr>
                <w:rFonts w:asciiTheme="majorBidi" w:hAnsiTheme="majorBidi" w:cstheme="majorBidi"/>
                <w:kern w:val="28"/>
                <w:sz w:val="18"/>
                <w:szCs w:val="18"/>
                <w:rtl/>
              </w:rPr>
              <w:t>(</w:t>
            </w:r>
            <w:r w:rsidRPr="008513AE">
              <w:rPr>
                <w:rFonts w:asciiTheme="majorBidi" w:hAnsiTheme="majorBidi" w:cstheme="majorBidi"/>
                <w:sz w:val="18"/>
                <w:szCs w:val="18"/>
                <w:lang w:val="en-GB"/>
              </w:rPr>
              <w:t>EDXRF</w:t>
            </w:r>
            <w:r w:rsidRPr="008513AE">
              <w:rPr>
                <w:rFonts w:asciiTheme="majorBidi" w:hAnsiTheme="majorBidi" w:cstheme="majorBidi"/>
                <w:kern w:val="28"/>
                <w:sz w:val="18"/>
                <w:szCs w:val="18"/>
                <w:rtl/>
              </w:rPr>
              <w:t>)</w:t>
            </w:r>
          </w:p>
        </w:tc>
        <w:tc>
          <w:tcPr>
            <w:tcW w:w="2340" w:type="dxa"/>
            <w:shd w:val="clear" w:color="auto" w:fill="auto"/>
          </w:tcPr>
          <w:p w:rsidR="00335E4B" w:rsidRPr="00335E4B" w:rsidRDefault="00335E4B" w:rsidP="00335E4B">
            <w:pPr>
              <w:spacing w:line="255" w:lineRule="exact"/>
              <w:rPr>
                <w:rFonts w:ascii="Traditional Arabic" w:hAnsi="Traditional Arabic" w:cs="Traditional Arabic"/>
                <w:kern w:val="28"/>
                <w:szCs w:val="24"/>
              </w:rPr>
            </w:pPr>
            <w:r w:rsidRPr="00335E4B">
              <w:rPr>
                <w:rFonts w:ascii="Traditional Arabic" w:hAnsi="Traditional Arabic" w:cs="Traditional Arabic" w:hint="cs"/>
                <w:kern w:val="28"/>
                <w:szCs w:val="24"/>
                <w:rtl/>
              </w:rPr>
              <w:t>تعتبر الإجراءات المكثفة والفعالة ذات أهمية خاصة لهذا القطاع. وقد تكون المنشآت التي تستقبل مسارات نفايات فردية قادرة على اعتماد إجراءات أبسط</w:t>
            </w:r>
          </w:p>
        </w:tc>
      </w:tr>
      <w:tr w:rsidR="00335E4B" w:rsidRPr="00335E4B" w:rsidTr="00D002D1">
        <w:tc>
          <w:tcPr>
            <w:tcW w:w="2098" w:type="dxa"/>
            <w:shd w:val="clear" w:color="auto" w:fill="auto"/>
          </w:tcPr>
          <w:p w:rsidR="00335E4B" w:rsidRPr="00335E4B" w:rsidRDefault="00335E4B" w:rsidP="00335E4B">
            <w:pPr>
              <w:spacing w:line="255" w:lineRule="exact"/>
              <w:ind w:firstLine="16"/>
              <w:rPr>
                <w:rFonts w:ascii="Traditional Arabic" w:hAnsi="Traditional Arabic" w:cs="Traditional Arabic"/>
                <w:kern w:val="28"/>
                <w:szCs w:val="24"/>
              </w:rPr>
            </w:pPr>
            <w:r w:rsidRPr="00335E4B">
              <w:rPr>
                <w:rFonts w:ascii="Traditional Arabic" w:hAnsi="Traditional Arabic" w:cs="Traditional Arabic" w:hint="cs"/>
                <w:kern w:val="28"/>
                <w:szCs w:val="24"/>
                <w:rtl/>
              </w:rPr>
              <w:t>حمأة مياه المجارير</w:t>
            </w:r>
          </w:p>
        </w:tc>
        <w:tc>
          <w:tcPr>
            <w:tcW w:w="4855" w:type="dxa"/>
            <w:shd w:val="clear" w:color="auto" w:fill="auto"/>
          </w:tcPr>
          <w:p w:rsidR="00335E4B" w:rsidRPr="00335E4B" w:rsidRDefault="00335E4B" w:rsidP="00335E4B">
            <w:pPr>
              <w:spacing w:line="255" w:lineRule="exact"/>
              <w:ind w:firstLine="16"/>
              <w:rPr>
                <w:rFonts w:ascii="Traditional Arabic" w:hAnsi="Traditional Arabic" w:cs="Traditional Arabic"/>
                <w:kern w:val="28"/>
                <w:szCs w:val="24"/>
              </w:rPr>
            </w:pPr>
            <w:r w:rsidRPr="00335E4B">
              <w:rPr>
                <w:rFonts w:ascii="Traditional Arabic" w:hAnsi="Traditional Arabic" w:cs="Traditional Arabic"/>
                <w:kern w:val="28"/>
                <w:szCs w:val="24"/>
                <w:rtl/>
              </w:rPr>
              <w:t xml:space="preserve">أخذ </w:t>
            </w:r>
            <w:r w:rsidRPr="00335E4B">
              <w:rPr>
                <w:rFonts w:ascii="Traditional Arabic" w:hAnsi="Traditional Arabic" w:cs="Traditional Arabic" w:hint="cs"/>
                <w:kern w:val="28"/>
                <w:szCs w:val="24"/>
                <w:rtl/>
              </w:rPr>
              <w:t>ال</w:t>
            </w:r>
            <w:r w:rsidRPr="00335E4B">
              <w:rPr>
                <w:rFonts w:ascii="Traditional Arabic" w:hAnsi="Traditional Arabic" w:cs="Traditional Arabic"/>
                <w:kern w:val="28"/>
                <w:szCs w:val="24"/>
                <w:rtl/>
              </w:rPr>
              <w:t>عينات وتحليلها بشكل دوري لتحديد خواصها الرئيسية أو المواد الأساسية فيها</w:t>
            </w:r>
          </w:p>
          <w:p w:rsidR="00335E4B" w:rsidRPr="00335E4B" w:rsidRDefault="00335E4B" w:rsidP="00335E4B">
            <w:pPr>
              <w:spacing w:line="255" w:lineRule="exact"/>
              <w:ind w:firstLine="16"/>
              <w:rPr>
                <w:rFonts w:ascii="Traditional Arabic" w:hAnsi="Traditional Arabic" w:cs="Traditional Arabic"/>
                <w:kern w:val="28"/>
                <w:szCs w:val="24"/>
              </w:rPr>
            </w:pPr>
            <w:r w:rsidRPr="00335E4B">
              <w:rPr>
                <w:rFonts w:ascii="Traditional Arabic" w:hAnsi="Traditional Arabic" w:cs="Traditional Arabic" w:hint="cs"/>
                <w:kern w:val="28"/>
                <w:szCs w:val="24"/>
                <w:rtl/>
              </w:rPr>
              <w:t>التحكم في العملية للتكيف مع تباين الحمأة</w:t>
            </w:r>
          </w:p>
        </w:tc>
        <w:tc>
          <w:tcPr>
            <w:tcW w:w="2340" w:type="dxa"/>
            <w:shd w:val="clear" w:color="auto" w:fill="auto"/>
          </w:tcPr>
          <w:p w:rsidR="00335E4B" w:rsidRPr="00335E4B" w:rsidRDefault="00335E4B" w:rsidP="00335E4B">
            <w:pPr>
              <w:spacing w:line="255" w:lineRule="exact"/>
              <w:ind w:firstLine="16"/>
              <w:rPr>
                <w:rFonts w:ascii="Traditional Arabic" w:hAnsi="Traditional Arabic" w:cs="Traditional Arabic"/>
                <w:kern w:val="28"/>
                <w:szCs w:val="24"/>
              </w:rPr>
            </w:pPr>
          </w:p>
        </w:tc>
      </w:tr>
    </w:tbl>
    <w:p w:rsidR="00335E4B" w:rsidRPr="00335E4B" w:rsidRDefault="005E686E" w:rsidP="008513AE">
      <w:pPr>
        <w:spacing w:before="180" w:after="120" w:line="400" w:lineRule="exact"/>
        <w:ind w:left="709" w:hanging="709"/>
        <w:jc w:val="both"/>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14</w:t>
      </w:r>
      <w:r w:rsidR="00335E4B" w:rsidRPr="00335E4B">
        <w:rPr>
          <w:rFonts w:cs="Traditional Arabic" w:hint="cs"/>
          <w:b/>
          <w:bCs/>
          <w:sz w:val="30"/>
          <w:szCs w:val="30"/>
          <w:rtl/>
        </w:rPr>
        <w:t>-1-4</w:t>
      </w:r>
      <w:r w:rsidR="00335E4B" w:rsidRPr="00335E4B">
        <w:rPr>
          <w:rFonts w:cs="Traditional Arabic" w:hint="cs"/>
          <w:b/>
          <w:bCs/>
          <w:sz w:val="30"/>
          <w:szCs w:val="30"/>
          <w:rtl/>
        </w:rPr>
        <w:tab/>
        <w:t>إزالة المواد غير القابلة للاحتراق في الفرن</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تعتبر إزالة المعادن الحديدية وغير الحديدية في الموقع ممارسة شائعة في أفران حرق النفايات الصلبة البلدية حيث تساعد في منع هذه النفايات، التي يمكن أن تحتوي على الزئبق في شكل شوائب، من دخول فرن حرق النفايات.</w:t>
      </w:r>
    </w:p>
    <w:p w:rsidR="00335E4B" w:rsidRPr="00335E4B" w:rsidRDefault="005E686E" w:rsidP="005E686E">
      <w:pPr>
        <w:spacing w:after="120" w:line="400" w:lineRule="exact"/>
        <w:ind w:left="709" w:hanging="709"/>
        <w:jc w:val="both"/>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14</w:t>
      </w:r>
      <w:r w:rsidR="00335E4B" w:rsidRPr="00335E4B">
        <w:rPr>
          <w:rFonts w:cs="Traditional Arabic" w:hint="cs"/>
          <w:b/>
          <w:bCs/>
          <w:sz w:val="30"/>
          <w:szCs w:val="30"/>
          <w:rtl/>
        </w:rPr>
        <w:t>-1-5</w:t>
      </w:r>
      <w:r w:rsidR="00335E4B" w:rsidRPr="00335E4B">
        <w:rPr>
          <w:rFonts w:cs="Traditional Arabic" w:hint="cs"/>
          <w:b/>
          <w:bCs/>
          <w:sz w:val="30"/>
          <w:szCs w:val="30"/>
          <w:rtl/>
        </w:rPr>
        <w:tab/>
        <w:t>المناولة والتخزين السليمين</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تعتبر المناولة السليمة ضرورية، خصوصاً للنفايات الخطرة، ويتعين التصنيف والفرز بالشكل الملائم للسماح بالمعالجة الآمنة.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ويتعين إحكام إغلاق مناطق التخزين بشكل جيد مع التحكم في التصريف ومقاومة العوامل الجوية. ويتعين أيضاً الأخذ في الاعتبار تركيب نظم كشف الحرائق والتحكم فيها في هذه المناطق، إضافةً إلى وجود إمكانية ملائمة للاحتفاظ بمياه إطفاء الحرائق الملوثة في الموقع. ويتعين تصميم مناطق التخزين والمناولة بحيث تمنع تلوث الأوساط البيئية وتيسر عملية التنظيف في حالات الانسكاب. ويمكن التقليل إلى أدنى حد ممكن من الروائح وإطلاقات الملوثات العضوية الثابتة المتطايرة إلى الأوساط البيئية من خلال استخدام هواء المستودع في عملية الحرق.</w:t>
      </w:r>
    </w:p>
    <w:p w:rsidR="00335E4B" w:rsidRPr="00335E4B" w:rsidRDefault="008E33B2" w:rsidP="008E33B2">
      <w:pPr>
        <w:spacing w:after="120" w:line="400" w:lineRule="exact"/>
        <w:ind w:left="709" w:hanging="709"/>
        <w:jc w:val="both"/>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14</w:t>
      </w:r>
      <w:r w:rsidR="00335E4B" w:rsidRPr="00335E4B">
        <w:rPr>
          <w:rFonts w:cs="Traditional Arabic" w:hint="cs"/>
          <w:b/>
          <w:bCs/>
          <w:sz w:val="30"/>
          <w:szCs w:val="30"/>
          <w:rtl/>
        </w:rPr>
        <w:t>-1-6</w:t>
      </w:r>
      <w:r w:rsidR="00335E4B" w:rsidRPr="00335E4B">
        <w:rPr>
          <w:rFonts w:cs="Traditional Arabic" w:hint="cs"/>
          <w:b/>
          <w:bCs/>
          <w:sz w:val="30"/>
          <w:szCs w:val="30"/>
          <w:rtl/>
        </w:rPr>
        <w:tab/>
        <w:t>تقليل فترات التخزين إلى أدنى حد ممكن</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رغم أن وجود إمدادات ثابتة من النفايات أمر مهم لضمان التشغيل المستمر وتوفير ظروف احتراق مستقرة في الأفران الكبيرة لحرق النفايات الصلبة البلدية إلا أن تراكم وتخزين أنواع معينة من النفايات لفترات طويلة غير مستحب. ومن شأن التقليل إلى أدنى حد ممكن من فترة التخزين أن يساعد في منع التعفن والتفاعلات غير المرغوب فيها وتدهور الحاويات وبطاقات الوسم. وتساعد إدارة الكميات الواردة من النفايات والتواصل مع الموردين في ضمان عدم تجاوز فترات التخزين المعقولة (مثلاً من أربعة إلى سبعة أيام للنفايات الصلبة البلدية).</w:t>
      </w:r>
    </w:p>
    <w:p w:rsidR="00335E4B" w:rsidRPr="00335E4B" w:rsidRDefault="008E33B2" w:rsidP="008E33B2">
      <w:pPr>
        <w:spacing w:after="120" w:line="400" w:lineRule="exact"/>
        <w:ind w:left="709" w:hanging="709"/>
        <w:jc w:val="both"/>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14</w:t>
      </w:r>
      <w:r w:rsidR="00335E4B" w:rsidRPr="00335E4B">
        <w:rPr>
          <w:rFonts w:cs="Traditional Arabic" w:hint="cs"/>
          <w:b/>
          <w:bCs/>
          <w:sz w:val="30"/>
          <w:szCs w:val="30"/>
          <w:rtl/>
        </w:rPr>
        <w:t>-1-7</w:t>
      </w:r>
      <w:r w:rsidR="00335E4B" w:rsidRPr="00335E4B">
        <w:rPr>
          <w:rFonts w:cs="Traditional Arabic" w:hint="cs"/>
          <w:b/>
          <w:bCs/>
          <w:sz w:val="30"/>
          <w:szCs w:val="30"/>
          <w:rtl/>
        </w:rPr>
        <w:tab/>
        <w:t>تحميل النفايات</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في حالة المرافق التي تقبل النفايات الصلبة البلدية غير المتجانسة يكون الخلط والتحميل الجيدين في قمع التلقيم أمراً في غاية الأهمية. ويتعين أن يتمتع مشغلو رافعة التحميل بالخبرة ويتخذوا الموقع الملائم ليتمكنوا من اختيار الخليط المناسب من أنواع النفايات من أجل المحافظة على تشغيل الفرن بأقصى كفاءة.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وينطوي نهج أفضل الممارسات البيئية لحرق النفايات المحتوية على الزئبق أو الملوثة على الأمور التالية:</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منع توليد النفايات قبل الحرق؛</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ممارسات تشغيل فرن الحرق وإدارته؛</w:t>
      </w:r>
    </w:p>
    <w:p w:rsidR="00335E4B" w:rsidRPr="00335E4B" w:rsidRDefault="00335E4B" w:rsidP="00335E4B">
      <w:pPr>
        <w:numPr>
          <w:ilvl w:val="0"/>
          <w:numId w:val="29"/>
        </w:numPr>
        <w:spacing w:after="120" w:line="400" w:lineRule="exact"/>
        <w:ind w:left="720"/>
        <w:jc w:val="both"/>
        <w:rPr>
          <w:rFonts w:cs="Traditional Arabic"/>
          <w:sz w:val="30"/>
          <w:szCs w:val="30"/>
          <w:rtl/>
          <w:lang w:val="en-GB"/>
        </w:rPr>
      </w:pPr>
      <w:r w:rsidRPr="00335E4B">
        <w:rPr>
          <w:rFonts w:cs="Traditional Arabic" w:hint="cs"/>
          <w:sz w:val="30"/>
          <w:szCs w:val="30"/>
          <w:rtl/>
          <w:lang w:val="en-GB"/>
        </w:rPr>
        <w:t>ممارسات التشغيل والإدارة بعد الحرق.</w:t>
      </w:r>
    </w:p>
    <w:p w:rsidR="00335E4B" w:rsidRPr="00335E4B" w:rsidRDefault="008E33B2" w:rsidP="008E33B2">
      <w:pPr>
        <w:spacing w:after="120" w:line="400" w:lineRule="exact"/>
        <w:ind w:left="709" w:hanging="709"/>
        <w:jc w:val="both"/>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14</w:t>
      </w:r>
      <w:r w:rsidR="00335E4B" w:rsidRPr="00335E4B">
        <w:rPr>
          <w:rFonts w:cs="Traditional Arabic" w:hint="cs"/>
          <w:b/>
          <w:bCs/>
          <w:sz w:val="30"/>
          <w:szCs w:val="30"/>
          <w:rtl/>
        </w:rPr>
        <w:t>-1-8</w:t>
      </w:r>
      <w:r w:rsidR="00335E4B" w:rsidRPr="00335E4B">
        <w:rPr>
          <w:rFonts w:cs="Traditional Arabic" w:hint="cs"/>
          <w:b/>
          <w:bCs/>
          <w:sz w:val="30"/>
          <w:szCs w:val="30"/>
          <w:rtl/>
        </w:rPr>
        <w:tab/>
        <w:t>ممارسات تشغيل وإدارة فرن حرق النفايات</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 xml:space="preserve">التشغيل الصحيح مهم جداً لتحقيق باراميترات التصميم. وبشكل عام يتعين على الجهة المصنعة أو المصممة للمعدات أن تقدم دليلاً يناقش ممارسات التشغيل، بما في ذلك إجراءات بدء التشغيل وإجراءات الإغلاق والتشغيل العادي وعملية تحديد الأعطال وإصلاحها وإجراءات الصيانة وقطع الغيار الموصى بها وغير ذلك. ويجب أن يكون المشغلون قادرين على التوقع الدقيق للقيمة الحرارية والمميزات الأخرى للنفايات المراد حرقها لضمان تحقيق باراميترات تصميم فرن حرق النفايات. ويمكن تحقيق ذلك من خلال استخدام نتائج برنامج رصد التلقيم فيما يخص الملوثات والبراميترات الرئيسية حيث تزداد معدلات أخذ العينات والتحاليل مع ازدياد تغير اللقيم. ويمكن الاطلاع على معلومات تفصيلية في الأقسام الفرعية 2-2-3-1 إلى 2-2-3-5 أعلاه. </w:t>
      </w:r>
    </w:p>
    <w:p w:rsidR="00335E4B" w:rsidRPr="00335E4B" w:rsidRDefault="008E33B2" w:rsidP="008E33B2">
      <w:pPr>
        <w:spacing w:after="120" w:line="400" w:lineRule="exact"/>
        <w:ind w:left="709" w:hanging="709"/>
        <w:jc w:val="both"/>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14</w:t>
      </w:r>
      <w:r w:rsidR="00335E4B" w:rsidRPr="00335E4B">
        <w:rPr>
          <w:rFonts w:cs="Traditional Arabic" w:hint="cs"/>
          <w:b/>
          <w:bCs/>
          <w:sz w:val="30"/>
          <w:szCs w:val="30"/>
          <w:rtl/>
        </w:rPr>
        <w:t>-1-9</w:t>
      </w:r>
      <w:r w:rsidR="00335E4B" w:rsidRPr="00335E4B">
        <w:rPr>
          <w:rFonts w:cs="Traditional Arabic" w:hint="cs"/>
          <w:b/>
          <w:bCs/>
          <w:sz w:val="30"/>
          <w:szCs w:val="30"/>
          <w:rtl/>
        </w:rPr>
        <w:tab/>
        <w:t>اختيار موقع منشأة الحرق</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 xml:space="preserve">يمكن أن يؤثر موقع فرن الحرق بشكل كبير على انتشار سحب المداخن الذي يؤثر بدوره على التركيزات والترسبات وتعرض العمال والمجتمع المحلي في المناطق المحيطة. وإضافةً إلى معالجة العوامل الفيزيائية التي تؤثر على الانتشار يتعين أن تعالج مسألة تحديد الموقع أيضاً المسائل المتعلقة بالأذونات والملكية وسهولة الوصول والملاءمة وأن تأخذ في الاعتبار الآثار الاجتماعية والصحية والآثار البيئية الأخرى. وتهدف أفضل ممارسات تحديد الموقع إلى إيجاد موقع لفرن الحرق يقلل إلى أدنى حد ممكن من المخاطر المحتملة على الصحة العامة والبيئة </w:t>
      </w:r>
      <w:r w:rsidRPr="008513AE">
        <w:rPr>
          <w:rFonts w:asciiTheme="majorBidi" w:hAnsiTheme="majorBidi" w:cstheme="majorBidi"/>
          <w:sz w:val="20"/>
          <w:szCs w:val="20"/>
          <w:rtl/>
        </w:rPr>
        <w:t>(</w:t>
      </w:r>
      <w:r w:rsidRPr="008513AE">
        <w:rPr>
          <w:rFonts w:asciiTheme="majorBidi" w:hAnsiTheme="majorBidi" w:cstheme="majorBidi"/>
          <w:sz w:val="20"/>
          <w:szCs w:val="20"/>
          <w:lang w:val="en-GB"/>
        </w:rPr>
        <w:t>EPA 1997</w:t>
      </w:r>
      <w:r w:rsidRPr="008513AE">
        <w:rPr>
          <w:rFonts w:asciiTheme="majorBidi" w:hAnsiTheme="majorBidi" w:cstheme="majorBidi"/>
          <w:sz w:val="20"/>
          <w:szCs w:val="20"/>
          <w:rtl/>
        </w:rPr>
        <w:t>)</w:t>
      </w:r>
      <w:r w:rsidRPr="00335E4B">
        <w:rPr>
          <w:rFonts w:cs="Traditional Arabic" w:hint="cs"/>
          <w:sz w:val="30"/>
          <w:szCs w:val="30"/>
          <w:rtl/>
        </w:rPr>
        <w:t>.</w:t>
      </w:r>
    </w:p>
    <w:p w:rsidR="00335E4B" w:rsidRPr="00335E4B" w:rsidRDefault="008E33B2" w:rsidP="008513AE">
      <w:pPr>
        <w:tabs>
          <w:tab w:val="left" w:pos="1699"/>
        </w:tabs>
        <w:spacing w:after="120" w:line="400" w:lineRule="exact"/>
        <w:ind w:left="709" w:hanging="709"/>
        <w:jc w:val="both"/>
        <w:rPr>
          <w:rFonts w:cs="Traditional Arabic"/>
          <w:b/>
          <w:bCs/>
          <w:sz w:val="30"/>
          <w:szCs w:val="30"/>
          <w:rtl/>
          <w:lang w:val="en-GB"/>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14</w:t>
      </w:r>
      <w:r w:rsidR="00335E4B" w:rsidRPr="00335E4B">
        <w:rPr>
          <w:rFonts w:cs="Traditional Arabic" w:hint="cs"/>
          <w:b/>
          <w:bCs/>
          <w:sz w:val="30"/>
          <w:szCs w:val="30"/>
          <w:rtl/>
        </w:rPr>
        <w:t>-1-10</w:t>
      </w:r>
      <w:r w:rsidR="00335E4B" w:rsidRPr="00335E4B">
        <w:rPr>
          <w:rFonts w:cs="Traditional Arabic" w:hint="cs"/>
          <w:b/>
          <w:bCs/>
          <w:sz w:val="30"/>
          <w:szCs w:val="30"/>
          <w:rtl/>
          <w:lang w:val="en-GB"/>
        </w:rPr>
        <w:tab/>
        <w:t>التصميم</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تعتبر الخطط والرسومات الملائمة وضبط </w:t>
      </w:r>
      <w:r w:rsidRPr="00335E4B">
        <w:rPr>
          <w:rFonts w:cs="Traditional Arabic" w:hint="cs"/>
          <w:sz w:val="30"/>
          <w:szCs w:val="30"/>
          <w:rtl/>
        </w:rPr>
        <w:t>الجودة</w:t>
      </w:r>
      <w:r w:rsidRPr="00335E4B">
        <w:rPr>
          <w:rFonts w:cs="Traditional Arabic" w:hint="cs"/>
          <w:sz w:val="30"/>
          <w:szCs w:val="30"/>
          <w:rtl/>
          <w:lang w:val="en-GB"/>
        </w:rPr>
        <w:t xml:space="preserve"> أموراً مهمة في تشييد أفران حرق النفايات، ويجب أن يشمل ذلك الرسومات الثلاثية الأبعاد ونطاقات المسموحات وقوائم المواد وسائر الدراسات التحضيرية. ومن خلال التصميم والتشغيل الجيدين على هذا النحو يتوقع أن تتمكن أفران حرق النفايات من الوصول إلى درجات الحرارة المرغوبة وفترات المكوث المطلوبة وسائر الشروط الضرورية للتقليل إلى أدنى حد ممكن من انبعاثات الزئبق إلى البيئة وتفادي تشكل الخبث وتكتل الرماد (في الغرفة الأولية)، وتفادي التلف في المواد المقاومة للانصهار، والتقليل إلى أدنى حد ممكن من استهلاك الوقود.</w:t>
      </w:r>
    </w:p>
    <w:p w:rsidR="00335E4B" w:rsidRPr="00335E4B" w:rsidRDefault="008E33B2" w:rsidP="008513AE">
      <w:pPr>
        <w:tabs>
          <w:tab w:val="left" w:pos="1699"/>
        </w:tabs>
        <w:spacing w:after="120" w:line="400" w:lineRule="exact"/>
        <w:ind w:left="709" w:hanging="709"/>
        <w:jc w:val="both"/>
        <w:rPr>
          <w:rFonts w:cs="Traditional Arabic"/>
          <w:b/>
          <w:bCs/>
          <w:sz w:val="30"/>
          <w:szCs w:val="30"/>
          <w:rtl/>
          <w:lang w:val="en-GB"/>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14</w:t>
      </w:r>
      <w:r w:rsidR="00335E4B" w:rsidRPr="00335E4B">
        <w:rPr>
          <w:rFonts w:cs="Traditional Arabic" w:hint="cs"/>
          <w:b/>
          <w:bCs/>
          <w:sz w:val="30"/>
          <w:szCs w:val="30"/>
          <w:rtl/>
        </w:rPr>
        <w:t>-1-11</w:t>
      </w:r>
      <w:r w:rsidR="00335E4B" w:rsidRPr="00335E4B">
        <w:rPr>
          <w:rFonts w:cs="Traditional Arabic" w:hint="cs"/>
          <w:b/>
          <w:bCs/>
          <w:sz w:val="30"/>
          <w:szCs w:val="30"/>
          <w:rtl/>
          <w:lang w:val="en-GB"/>
        </w:rPr>
        <w:tab/>
        <w:t>عمليات التفتيش والصيانة المنتظمة للمنشأة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يتعين إجراء عمليات تفتيش روتينية من جانب المشغل وعمليات تفتيش دورية من جانب السلطة فيما يتعلق بالفرن وأجهزة ضبط التلوث لضمان تكامل النظام والأداء الجيد لفرن الحرق ومكوناته. وبغض النظر عن جودة تصميم المعدات فإن البلى والتلف أثناء الاستعمال العادي وممارسات التشغيل والصيانة غير الجيدة ستؤدي إلى تدهور المكونات وانخفاض جودة عملية الاحتراق وزيادة الانبعاثات، ويثير أيضاً مخاطر محتملة على المشغلين وعامة الناس.</w:t>
      </w:r>
    </w:p>
    <w:p w:rsidR="00335E4B" w:rsidRPr="00335E4B" w:rsidRDefault="008E33B2" w:rsidP="008513AE">
      <w:pPr>
        <w:tabs>
          <w:tab w:val="left" w:pos="1699"/>
        </w:tabs>
        <w:spacing w:after="120" w:line="400" w:lineRule="exact"/>
        <w:ind w:left="709" w:hanging="709"/>
        <w:jc w:val="both"/>
        <w:rPr>
          <w:rFonts w:cs="Traditional Arabic"/>
          <w:b/>
          <w:bCs/>
          <w:sz w:val="30"/>
          <w:szCs w:val="30"/>
          <w:rtl/>
          <w:lang w:val="en-GB"/>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14</w:t>
      </w:r>
      <w:r w:rsidR="00335E4B" w:rsidRPr="00335E4B">
        <w:rPr>
          <w:rFonts w:cs="Traditional Arabic" w:hint="cs"/>
          <w:b/>
          <w:bCs/>
          <w:sz w:val="30"/>
          <w:szCs w:val="30"/>
          <w:rtl/>
        </w:rPr>
        <w:t>-1-12</w:t>
      </w:r>
      <w:r w:rsidR="00335E4B" w:rsidRPr="00335E4B">
        <w:rPr>
          <w:rFonts w:cs="Traditional Arabic" w:hint="cs"/>
          <w:b/>
          <w:bCs/>
          <w:sz w:val="30"/>
          <w:szCs w:val="30"/>
          <w:rtl/>
          <w:lang w:val="en-GB"/>
        </w:rPr>
        <w:tab/>
        <w:t>تدريب المشغلين</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يعتبر التدريب المنتظم للموظفين ضرورياً من أجل التشغيل الجيد لأفران حرق النفايات. والتشغيل الصحيح لفرن الحرق ضروري للتقليل إلى أدنى حد ممكن من الانبعاثات والمخاطر الأخرى. ويجب عدم تشغيل عملية الحرق أو الإشراف عليها إلا من جانب مشغلين مدربين ومؤهلين. ويتعين على المشغل أن يكون موجوداً في الموقع أثناء تشغيل فرن الحرق. وبدون التدريب والدعم الإداري الجيد لا يمكن أن تحقق أفران حرق النفايات المعالجة الجيدة والانبعاثات المقبولة.</w:t>
      </w:r>
    </w:p>
    <w:p w:rsidR="00335E4B" w:rsidRPr="00335E4B" w:rsidRDefault="008E33B2" w:rsidP="008513AE">
      <w:pPr>
        <w:keepNext/>
        <w:spacing w:before="120" w:after="120" w:line="400" w:lineRule="exact"/>
        <w:ind w:left="1558" w:hanging="1560"/>
        <w:jc w:val="both"/>
        <w:outlineLvl w:val="3"/>
        <w:rPr>
          <w:rFonts w:cs="Traditional Arabic"/>
          <w:b/>
          <w:bCs/>
          <w:sz w:val="30"/>
          <w:szCs w:val="30"/>
          <w:rtl/>
        </w:rPr>
      </w:pPr>
      <w:r>
        <w:rPr>
          <w:rFonts w:cs="Traditional Arabic" w:hint="cs"/>
          <w:b/>
          <w:bCs/>
          <w:sz w:val="30"/>
          <w:szCs w:val="30"/>
          <w:rtl/>
        </w:rPr>
        <w:t>3</w:t>
      </w:r>
      <w:r w:rsidR="00335E4B" w:rsidRPr="00335E4B">
        <w:rPr>
          <w:rFonts w:cs="Traditional Arabic" w:hint="cs"/>
          <w:b/>
          <w:bCs/>
          <w:sz w:val="30"/>
          <w:szCs w:val="30"/>
          <w:rtl/>
        </w:rPr>
        <w:t>-</w:t>
      </w:r>
      <w:r>
        <w:rPr>
          <w:rFonts w:cs="Traditional Arabic" w:hint="cs"/>
          <w:b/>
          <w:bCs/>
          <w:sz w:val="30"/>
          <w:szCs w:val="30"/>
          <w:rtl/>
        </w:rPr>
        <w:t>14</w:t>
      </w:r>
      <w:r w:rsidR="00335E4B" w:rsidRPr="00335E4B">
        <w:rPr>
          <w:rFonts w:cs="Traditional Arabic" w:hint="cs"/>
          <w:b/>
          <w:bCs/>
          <w:sz w:val="30"/>
          <w:szCs w:val="30"/>
          <w:rtl/>
        </w:rPr>
        <w:t>-2</w:t>
      </w:r>
      <w:r w:rsidR="00335E4B" w:rsidRPr="00335E4B">
        <w:rPr>
          <w:rFonts w:cs="Traditional Arabic" w:hint="cs"/>
          <w:b/>
          <w:bCs/>
          <w:sz w:val="30"/>
          <w:szCs w:val="30"/>
          <w:rtl/>
        </w:rPr>
        <w:tab/>
        <w:t>الوقاية من مخاطر الحرائق</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يمكن للحرائق التي تندلع في مستودعات تخزين النفايات في منشآت حرق النفايات أن تسبب تلوثاً كبيراً، مثلاً التلوث بالزئبق والمعادن الثقيلة الأخرى والمركبات العضوية الخطرة، وغير ذلك، في المناطق المجاورة للمنشأة. وللتقليل إلى أدنى حد ممكن من مخاطر هذه الحرائق يمكن أخذ التدابير التالية في الاعتبار بوصفها من أفضل الممارسات البيئية:</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استخدام نظم أوتوماتيكية للكشف عن الحرائق في مستودعات النفايات، مثل الكاميرات التي تعمل بالأشعة تحت الحمراء</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تركيب عدد زائد عن الحاجة من أجهزة الرصد في مستودعات النفايات</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استخدام نظم أوتوماتيكية للكشف عن الحرائق في المرشحات النسيجية ومرشحات الكوك ذات القاعدة الثابتة، مثل أجهزة التحكم في الحرارة، وغرف الأجهزة الكهربائية والتحكم، وغير ذلك من مجالات المخاطر المحددة مثل أجهزة الإنذار من الدخان</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نظم أوتوماتيكية لمكافحة الحرائق مثلاً باستخدام الغازات الخاملة. وتتخذ هذه التدابير في بعض الحالات وبصورة أكثر شيوعاً عند تخزين نفايات سائلة قابلة للاشتعال ولكن أيضاً في أماكن الخطر الأخرى</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توفير كميات كافية من مياه الإطفاء</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الاحتفاظ بكميات كافية من مياه الإطفاء</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توفير فتحات كافية لخروج غاز المداخن والحرارة (تُغلق عند ظروف التشغيل العادية)</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توفير فتحات كافية على جدران المستودع لتسهيل الإطفاء في حالات الحرائق (تُغلق في ظروف التشغيل العادية)</w:t>
      </w:r>
    </w:p>
    <w:p w:rsidR="00335E4B" w:rsidRPr="00335E4B" w:rsidRDefault="00335E4B" w:rsidP="00335E4B">
      <w:pPr>
        <w:numPr>
          <w:ilvl w:val="0"/>
          <w:numId w:val="29"/>
        </w:numPr>
        <w:spacing w:line="400" w:lineRule="exact"/>
        <w:ind w:left="714" w:hanging="357"/>
        <w:jc w:val="both"/>
        <w:rPr>
          <w:rFonts w:cs="Traditional Arabic"/>
          <w:sz w:val="30"/>
          <w:szCs w:val="30"/>
          <w:lang w:val="en-GB"/>
        </w:rPr>
      </w:pPr>
      <w:r w:rsidRPr="00335E4B">
        <w:rPr>
          <w:rFonts w:cs="Traditional Arabic" w:hint="cs"/>
          <w:sz w:val="30"/>
          <w:szCs w:val="30"/>
          <w:rtl/>
          <w:lang w:val="en-GB"/>
        </w:rPr>
        <w:t>وجود خيار لضرب طوق حول منشأة الحرق لتسهيل عمل دائرة خدمات الحرائق</w:t>
      </w:r>
    </w:p>
    <w:p w:rsidR="0003305F" w:rsidRDefault="0003305F">
      <w:pPr>
        <w:bidi w:val="0"/>
        <w:rPr>
          <w:rFonts w:cs="Traditional Arabic"/>
          <w:b/>
          <w:bCs/>
          <w:sz w:val="30"/>
          <w:szCs w:val="30"/>
          <w:rtl/>
        </w:rPr>
      </w:pPr>
      <w:r>
        <w:rPr>
          <w:rFonts w:cs="Traditional Arabic"/>
          <w:b/>
          <w:bCs/>
          <w:sz w:val="30"/>
          <w:szCs w:val="30"/>
          <w:rtl/>
        </w:rPr>
        <w:br w:type="page"/>
      </w:r>
    </w:p>
    <w:p w:rsidR="00335E4B" w:rsidRPr="00335E4B" w:rsidRDefault="008E33B2" w:rsidP="008E33B2">
      <w:pPr>
        <w:keepNext/>
        <w:spacing w:before="120" w:after="120" w:line="400" w:lineRule="exact"/>
        <w:ind w:left="707" w:hanging="709"/>
        <w:jc w:val="both"/>
        <w:outlineLvl w:val="3"/>
        <w:rPr>
          <w:rFonts w:cs="Traditional Arabic"/>
          <w:b/>
          <w:bCs/>
          <w:sz w:val="30"/>
          <w:szCs w:val="30"/>
          <w:rtl/>
        </w:rPr>
      </w:pPr>
      <w:r>
        <w:rPr>
          <w:rFonts w:cs="Traditional Arabic" w:hint="cs"/>
          <w:b/>
          <w:bCs/>
          <w:sz w:val="30"/>
          <w:szCs w:val="30"/>
          <w:rtl/>
        </w:rPr>
        <w:t>4</w:t>
      </w:r>
      <w:r w:rsidR="00335E4B" w:rsidRPr="00335E4B">
        <w:rPr>
          <w:rFonts w:cs="Traditional Arabic" w:hint="cs"/>
          <w:b/>
          <w:bCs/>
          <w:sz w:val="30"/>
          <w:szCs w:val="30"/>
          <w:rtl/>
        </w:rPr>
        <w:t>-</w:t>
      </w:r>
      <w:r w:rsidR="00335E4B" w:rsidRPr="00335E4B">
        <w:rPr>
          <w:rFonts w:cs="Traditional Arabic" w:hint="cs"/>
          <w:b/>
          <w:bCs/>
          <w:sz w:val="30"/>
          <w:szCs w:val="30"/>
          <w:rtl/>
        </w:rPr>
        <w:tab/>
        <w:t>تقنيات رصد الزئبق</w:t>
      </w:r>
    </w:p>
    <w:p w:rsidR="00335E4B" w:rsidRPr="00335E4B" w:rsidRDefault="00335E4B" w:rsidP="00335E4B">
      <w:pPr>
        <w:spacing w:after="120" w:line="400" w:lineRule="exact"/>
        <w:ind w:left="-2"/>
        <w:jc w:val="both"/>
        <w:rPr>
          <w:rFonts w:cs="Traditional Arabic"/>
          <w:sz w:val="30"/>
          <w:szCs w:val="30"/>
          <w:rtl/>
          <w:lang w:val="en-GB"/>
        </w:rPr>
      </w:pPr>
      <w:r w:rsidRPr="00335E4B">
        <w:rPr>
          <w:rFonts w:cs="Traditional Arabic" w:hint="cs"/>
          <w:sz w:val="30"/>
          <w:szCs w:val="30"/>
          <w:rtl/>
          <w:lang w:val="en-GB"/>
        </w:rPr>
        <w:t>يناقش الفصل التمهيدي لهذه الوثيقة الجوانب العامة والشاملة لعمليات الاختبار والرصد والإبلاغ. أما الجوانب المحددة المميزة لعمليات حرق النفايات فستناقش في الفرع التالي.</w:t>
      </w:r>
    </w:p>
    <w:p w:rsidR="00335E4B" w:rsidRPr="00335E4B" w:rsidRDefault="008E33B2" w:rsidP="00335E4B">
      <w:pPr>
        <w:keepNext/>
        <w:spacing w:before="120" w:after="120" w:line="400" w:lineRule="exact"/>
        <w:ind w:left="991" w:hanging="993"/>
        <w:jc w:val="both"/>
        <w:outlineLvl w:val="3"/>
        <w:rPr>
          <w:rFonts w:cs="Traditional Arabic"/>
          <w:b/>
          <w:bCs/>
          <w:sz w:val="30"/>
          <w:szCs w:val="30"/>
          <w:rtl/>
        </w:rPr>
      </w:pPr>
      <w:r>
        <w:rPr>
          <w:rFonts w:cs="Traditional Arabic" w:hint="cs"/>
          <w:b/>
          <w:bCs/>
          <w:sz w:val="30"/>
          <w:szCs w:val="30"/>
          <w:rtl/>
        </w:rPr>
        <w:t>4</w:t>
      </w:r>
      <w:r w:rsidR="00335E4B" w:rsidRPr="00335E4B">
        <w:rPr>
          <w:rFonts w:cs="Traditional Arabic" w:hint="cs"/>
          <w:b/>
          <w:bCs/>
          <w:sz w:val="30"/>
          <w:szCs w:val="30"/>
          <w:rtl/>
        </w:rPr>
        <w:t>-1</w:t>
      </w:r>
      <w:r w:rsidR="00335E4B" w:rsidRPr="00335E4B">
        <w:rPr>
          <w:rFonts w:cs="Traditional Arabic" w:hint="cs"/>
          <w:b/>
          <w:bCs/>
          <w:sz w:val="30"/>
          <w:szCs w:val="30"/>
          <w:rtl/>
        </w:rPr>
        <w:tab/>
        <w:t>الطرق المباشرة</w:t>
      </w:r>
    </w:p>
    <w:p w:rsidR="00335E4B" w:rsidRPr="00335E4B" w:rsidRDefault="00335E4B" w:rsidP="00335E4B">
      <w:pPr>
        <w:spacing w:after="120" w:line="400" w:lineRule="exact"/>
        <w:ind w:left="-2"/>
        <w:jc w:val="both"/>
        <w:rPr>
          <w:rFonts w:cs="Traditional Arabic"/>
          <w:sz w:val="30"/>
          <w:szCs w:val="30"/>
          <w:rtl/>
          <w:lang w:val="en-GB"/>
        </w:rPr>
      </w:pPr>
      <w:r w:rsidRPr="00335E4B">
        <w:rPr>
          <w:rFonts w:cs="Traditional Arabic" w:hint="cs"/>
          <w:sz w:val="30"/>
          <w:szCs w:val="30"/>
          <w:rtl/>
          <w:lang w:val="en-GB"/>
        </w:rPr>
        <w:t>يمكن إجراء قياسات الزئبق المباشرة بشكل مستمر أو متقطع.</w:t>
      </w:r>
    </w:p>
    <w:p w:rsidR="00335E4B" w:rsidRPr="00335E4B" w:rsidRDefault="00335E4B" w:rsidP="00335E4B">
      <w:pPr>
        <w:spacing w:after="120" w:line="400" w:lineRule="exact"/>
        <w:ind w:left="-2"/>
        <w:jc w:val="both"/>
        <w:rPr>
          <w:rFonts w:cs="Traditional Arabic"/>
          <w:b/>
          <w:bCs/>
          <w:sz w:val="30"/>
          <w:szCs w:val="30"/>
          <w:lang w:val="en-GB"/>
        </w:rPr>
      </w:pPr>
      <w:r w:rsidRPr="00335E4B">
        <w:rPr>
          <w:rFonts w:cs="Traditional Arabic" w:hint="cs"/>
          <w:b/>
          <w:bCs/>
          <w:sz w:val="30"/>
          <w:szCs w:val="30"/>
          <w:rtl/>
          <w:lang w:val="en-GB"/>
        </w:rPr>
        <w:t>نظم الرصد المستمر للانبعاثات</w:t>
      </w:r>
    </w:p>
    <w:p w:rsidR="00335E4B" w:rsidRPr="00335E4B" w:rsidRDefault="00335E4B" w:rsidP="00335E4B">
      <w:pPr>
        <w:spacing w:after="120" w:line="400" w:lineRule="exact"/>
        <w:ind w:left="-2"/>
        <w:jc w:val="both"/>
        <w:rPr>
          <w:rFonts w:cs="Traditional Arabic"/>
          <w:sz w:val="30"/>
          <w:szCs w:val="30"/>
          <w:lang w:val="en-GB"/>
        </w:rPr>
      </w:pPr>
      <w:r w:rsidRPr="00335E4B">
        <w:rPr>
          <w:rFonts w:cs="Traditional Arabic" w:hint="cs"/>
          <w:sz w:val="30"/>
          <w:szCs w:val="30"/>
          <w:rtl/>
          <w:lang w:val="en-GB"/>
        </w:rPr>
        <w:t>يتميز الرصد المستمر بأنه يساعد على ضمان التشغيل الجيد لمنشأة معالجة غاز المداخن والاكتشاف المبكر لأي تغير في محتوى الزئبق في النفايات.</w:t>
      </w:r>
    </w:p>
    <w:p w:rsidR="00335E4B" w:rsidRPr="00335E4B" w:rsidRDefault="00335E4B" w:rsidP="00335E4B">
      <w:pPr>
        <w:spacing w:after="120" w:line="400" w:lineRule="exact"/>
        <w:ind w:left="-2"/>
        <w:jc w:val="both"/>
        <w:rPr>
          <w:rFonts w:cs="Traditional Arabic"/>
          <w:sz w:val="30"/>
          <w:szCs w:val="30"/>
          <w:rtl/>
          <w:lang w:val="en-GB"/>
        </w:rPr>
      </w:pPr>
      <w:r w:rsidRPr="00335E4B">
        <w:rPr>
          <w:rFonts w:cs="Traditional Arabic" w:hint="cs"/>
          <w:sz w:val="30"/>
          <w:szCs w:val="30"/>
          <w:rtl/>
          <w:lang w:val="en-GB"/>
        </w:rPr>
        <w:t>ورغم التدابير الرامية للتحكم في مدخلات الزئبق في منشآت حرق النفايات أو التقليل منها إلى أدنى حد ممكن، إلا أن كميات كبيرة من الزئبق لا تزال تمر من فترة لأخرى عبر مستودعات النفايات إلى عملية الحرق ومن ثم إلى غاز المداخن، لتغيِّر بذلك مستوى انبعاثات الزئبق.</w:t>
      </w:r>
    </w:p>
    <w:p w:rsidR="00335E4B" w:rsidRPr="00335E4B" w:rsidRDefault="00335E4B" w:rsidP="00335E4B">
      <w:pPr>
        <w:spacing w:after="120" w:line="400" w:lineRule="exact"/>
        <w:ind w:left="-2"/>
        <w:jc w:val="both"/>
        <w:rPr>
          <w:rFonts w:cs="Times New Roman"/>
          <w:sz w:val="20"/>
          <w:szCs w:val="22"/>
        </w:rPr>
      </w:pPr>
      <w:r w:rsidRPr="00335E4B">
        <w:rPr>
          <w:rFonts w:cs="Traditional Arabic" w:hint="cs"/>
          <w:sz w:val="30"/>
          <w:szCs w:val="30"/>
          <w:rtl/>
          <w:lang w:val="en-GB"/>
        </w:rPr>
        <w:t>وبمساعدة أجهزة قياس مستويات الزئبق التي تعمل بشكل مستمر يمكن كشف مثل هذا التلوث ومن ثم البدء باتخاذ التدابير المضادة بالسرعة المطلوبة. ويبين الشكل 9 التباين الذي يظهر خلال سنة واحدة في تركيزات الزئبق في الغاز النظيف في منشأة لحرق النفايات في هامبورغ. ويمكن ملاحظة مستويات قصوى واضحة خصوصاً في شهري تشرين الأول/أكتوبر وتشرين الثاني/نوفمبر.</w:t>
      </w:r>
    </w:p>
    <w:p w:rsidR="00335E4B" w:rsidRPr="00335E4B" w:rsidRDefault="00335E4B" w:rsidP="00335E4B">
      <w:pPr>
        <w:tabs>
          <w:tab w:val="left" w:pos="1247"/>
          <w:tab w:val="left" w:pos="1814"/>
          <w:tab w:val="left" w:pos="2381"/>
          <w:tab w:val="left" w:pos="2948"/>
          <w:tab w:val="left" w:pos="3515"/>
        </w:tabs>
        <w:rPr>
          <w:rFonts w:cs="Times New Roman"/>
          <w:b/>
          <w:sz w:val="20"/>
          <w:szCs w:val="22"/>
        </w:rPr>
      </w:pPr>
      <w:r>
        <w:rPr>
          <w:rFonts w:cs="Times New Roman"/>
          <w:noProof/>
          <w:sz w:val="20"/>
          <w:szCs w:val="24"/>
          <w:lang w:val="en-GB" w:eastAsia="zh-CN"/>
        </w:rPr>
        <w:drawing>
          <wp:inline distT="0" distB="0" distL="0" distR="0" wp14:anchorId="36EACAC7" wp14:editId="68720656">
            <wp:extent cx="5130165" cy="30410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30165" cy="3041015"/>
                    </a:xfrm>
                    <a:prstGeom prst="rect">
                      <a:avLst/>
                    </a:prstGeom>
                    <a:noFill/>
                    <a:ln>
                      <a:noFill/>
                    </a:ln>
                  </pic:spPr>
                </pic:pic>
              </a:graphicData>
            </a:graphic>
          </wp:inline>
        </w:drawing>
      </w:r>
    </w:p>
    <w:p w:rsidR="00335E4B" w:rsidRPr="00D97FFB" w:rsidRDefault="00335E4B" w:rsidP="00B754FF">
      <w:pPr>
        <w:keepNext/>
        <w:tabs>
          <w:tab w:val="left" w:pos="1132"/>
        </w:tabs>
        <w:spacing w:before="120" w:after="120" w:line="255" w:lineRule="exact"/>
        <w:ind w:left="-2" w:firstLine="2"/>
        <w:rPr>
          <w:rFonts w:ascii="Traditional Arabic" w:hAnsi="Traditional Arabic" w:cs="Traditional Arabic"/>
          <w:b/>
          <w:bCs/>
          <w:sz w:val="30"/>
          <w:szCs w:val="30"/>
          <w:rtl/>
          <w:lang w:val="en-GB" w:eastAsia="de-DE"/>
        </w:rPr>
      </w:pPr>
      <w:r w:rsidRPr="00D97FFB">
        <w:rPr>
          <w:rFonts w:ascii="Traditional Arabic" w:hAnsi="Traditional Arabic" w:cs="Traditional Arabic" w:hint="cs"/>
          <w:b/>
          <w:bCs/>
          <w:sz w:val="30"/>
          <w:szCs w:val="30"/>
          <w:rtl/>
          <w:lang w:val="en-GB" w:eastAsia="de-DE"/>
        </w:rPr>
        <w:t>الشكل 9</w:t>
      </w:r>
      <w:r w:rsidR="00B754FF">
        <w:rPr>
          <w:rFonts w:ascii="Traditional Arabic" w:hAnsi="Traditional Arabic" w:cs="Traditional Arabic" w:hint="cs"/>
          <w:b/>
          <w:bCs/>
          <w:sz w:val="30"/>
          <w:szCs w:val="30"/>
          <w:rtl/>
          <w:lang w:val="en-GB" w:eastAsia="de-DE"/>
        </w:rPr>
        <w:t>-</w:t>
      </w:r>
      <w:r w:rsidRPr="00D97FFB">
        <w:rPr>
          <w:rFonts w:ascii="Traditional Arabic" w:hAnsi="Traditional Arabic" w:cs="Traditional Arabic" w:hint="cs"/>
          <w:b/>
          <w:bCs/>
          <w:sz w:val="30"/>
          <w:szCs w:val="30"/>
          <w:rtl/>
          <w:lang w:val="en-GB" w:eastAsia="de-DE"/>
        </w:rPr>
        <w:tab/>
        <w:t>بيانات انبعاثات الزئبق من خط واحد في منشأة حرق نفايات في هامبورغ عام 2014.</w:t>
      </w:r>
    </w:p>
    <w:p w:rsidR="00335E4B" w:rsidRPr="00335E4B" w:rsidRDefault="00335E4B" w:rsidP="00B754FF">
      <w:pPr>
        <w:spacing w:after="120" w:line="380" w:lineRule="exact"/>
        <w:jc w:val="both"/>
        <w:rPr>
          <w:rFonts w:cs="Traditional Arabic"/>
          <w:sz w:val="30"/>
          <w:szCs w:val="30"/>
          <w:rtl/>
          <w:lang w:val="en-GB"/>
        </w:rPr>
      </w:pPr>
      <w:r w:rsidRPr="00335E4B">
        <w:rPr>
          <w:rFonts w:cs="Traditional Arabic" w:hint="cs"/>
          <w:sz w:val="30"/>
          <w:szCs w:val="30"/>
          <w:rtl/>
          <w:lang w:val="en-GB"/>
        </w:rPr>
        <w:t>وفي بعض البلدان تجهز غالبية منشآت حرق النفايات بأجهزة تعمل باستمرار، وفي حال اكتشاف مستويات عالية من الزئبق في غاز المداخن يمكن عندئذ اتخاذ تدابير مضادة. وتشمل هذه التدابير المضادة على سبيل المثال ما يلي:</w:t>
      </w:r>
    </w:p>
    <w:p w:rsidR="00335E4B" w:rsidRPr="00335E4B" w:rsidRDefault="00335E4B" w:rsidP="00B754FF">
      <w:pPr>
        <w:numPr>
          <w:ilvl w:val="0"/>
          <w:numId w:val="29"/>
        </w:numPr>
        <w:spacing w:line="380" w:lineRule="exact"/>
        <w:ind w:left="720"/>
        <w:jc w:val="both"/>
        <w:rPr>
          <w:rFonts w:cs="Traditional Arabic"/>
          <w:sz w:val="30"/>
          <w:szCs w:val="30"/>
          <w:lang w:val="en-GB"/>
        </w:rPr>
      </w:pPr>
      <w:r w:rsidRPr="00335E4B">
        <w:rPr>
          <w:rFonts w:cs="Traditional Arabic" w:hint="cs"/>
          <w:sz w:val="30"/>
          <w:szCs w:val="30"/>
          <w:rtl/>
          <w:lang w:val="en-GB"/>
        </w:rPr>
        <w:t>زيادة كمية المواد الممتزة المحقونة في مسار غاز المداخن؛</w:t>
      </w:r>
    </w:p>
    <w:p w:rsidR="00335E4B" w:rsidRPr="00335E4B" w:rsidRDefault="00335E4B" w:rsidP="00B754FF">
      <w:pPr>
        <w:numPr>
          <w:ilvl w:val="0"/>
          <w:numId w:val="29"/>
        </w:numPr>
        <w:spacing w:line="380" w:lineRule="exact"/>
        <w:ind w:left="720"/>
        <w:jc w:val="both"/>
        <w:rPr>
          <w:rFonts w:cs="Traditional Arabic"/>
          <w:sz w:val="30"/>
          <w:szCs w:val="30"/>
          <w:lang w:val="en-GB"/>
        </w:rPr>
      </w:pPr>
      <w:r w:rsidRPr="00335E4B">
        <w:rPr>
          <w:rFonts w:cs="Traditional Arabic" w:hint="cs"/>
          <w:sz w:val="30"/>
          <w:szCs w:val="30"/>
          <w:rtl/>
          <w:lang w:val="en-GB"/>
        </w:rPr>
        <w:t>استخدام الكربون المنشط المشرب بالكبريت الذي يتميز بكفاءة أعلى في اختزال الزئبق؛</w:t>
      </w:r>
    </w:p>
    <w:p w:rsidR="00335E4B" w:rsidRPr="00335E4B" w:rsidRDefault="00335E4B" w:rsidP="00335E4B">
      <w:pPr>
        <w:numPr>
          <w:ilvl w:val="0"/>
          <w:numId w:val="29"/>
        </w:numPr>
        <w:ind w:left="720"/>
        <w:jc w:val="both"/>
        <w:rPr>
          <w:rFonts w:cs="Traditional Arabic"/>
          <w:sz w:val="30"/>
          <w:szCs w:val="30"/>
          <w:lang w:val="en-GB"/>
        </w:rPr>
      </w:pPr>
      <w:r w:rsidRPr="00335E4B">
        <w:rPr>
          <w:rFonts w:cs="Traditional Arabic" w:hint="cs"/>
          <w:sz w:val="30"/>
          <w:szCs w:val="30"/>
          <w:rtl/>
          <w:lang w:val="en-GB"/>
        </w:rPr>
        <w:t>إضافة البروم إلى عملية الاحتراق لتحسين عملية تأكسد الزئبق.</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وفي حال اكتشاف مستويات عالية جداً من الزئبق في النقاط الساخنة في النفايات فإنه يتعين إخلاء هذه النقاط. أما في حال اكتشاف مستويات عالية من الزئبق في نظام تنظيف غاز المداخن فإنه يتعين النظر في تنظيف غاز المداخن لإزالة الزئبق.</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وعند ملاحظة مستويات عالية من الانبعاثات يتعين على مشغِّل المنشأة إجراء فحص لنظامي الرصد والتشغيل لتحديد السبب واتخاذ إجراءات تصحيحية. ويتعين على المشغل أيضاً رصد المدخلات وإخطار ناقلي النفايات بشأن رصد المدخلات. وقد ثبت أن هذه التدابير فعالة في معظم الحالات ونتج عنها حدوث انخفاض كبير في عدد الحالات الانبعاثات التي تتجاوز المستويات القياسية للانبعاثات الضارة.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وتستخدم نظم الرصد المستمر للانبعاثات في بعض الأحيان في أخذ عينات من مسار الغاز المحمل بالجسيمات قبل جهاز التحكم في هذه الجسيمات (انظر 3-3)، وهذا يتيح الاستجابة الفورية مثلاً من خلال حقن كربون منشط أو مركبات مهلجنة.</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قياس المصادر الثابتة (أجهزة الارتطام)</w:t>
      </w:r>
    </w:p>
    <w:p w:rsidR="00335E4B" w:rsidRPr="00335E4B" w:rsidRDefault="00335E4B" w:rsidP="00D97FFB">
      <w:pPr>
        <w:spacing w:after="120" w:line="400" w:lineRule="exact"/>
        <w:jc w:val="both"/>
        <w:rPr>
          <w:rFonts w:cs="Traditional Arabic"/>
          <w:sz w:val="30"/>
          <w:szCs w:val="30"/>
          <w:rtl/>
          <w:lang w:val="en-GB"/>
        </w:rPr>
      </w:pPr>
      <w:r w:rsidRPr="00335E4B">
        <w:rPr>
          <w:rFonts w:cs="Traditional Arabic" w:hint="cs"/>
          <w:sz w:val="30"/>
          <w:szCs w:val="30"/>
          <w:rtl/>
          <w:lang w:val="en-GB"/>
        </w:rPr>
        <w:t>من الناحية التاريخية ظل استخدام أجهزة الارتطام لرصد الزئبق في منشآت حرق النفايات هو الخيار المفضل. ولكن بسبب تعقيد هذه الطريقة وتكلفتها العالية فإن أخذ العينات عن طريق هذه الأجهزة يتم على فترات طويلة، غالباً كل ثلاثة أشهر أو سنوياً. واستخدام جهاز ارتطام مخصص لقياس المصادر الثابتة، لفحص الأداء الجيد لمنشأة معالجة غاز المداخن، غير ممكن إلا</w:t>
      </w:r>
      <w:r w:rsidR="00D97FFB">
        <w:rPr>
          <w:rFonts w:cs="Traditional Arabic" w:hint="eastAsia"/>
          <w:sz w:val="30"/>
          <w:szCs w:val="30"/>
          <w:rtl/>
          <w:lang w:val="en-GB"/>
        </w:rPr>
        <w:t> </w:t>
      </w:r>
      <w:r w:rsidRPr="00335E4B">
        <w:rPr>
          <w:rFonts w:cs="Traditional Arabic" w:hint="cs"/>
          <w:sz w:val="30"/>
          <w:szCs w:val="30"/>
          <w:rtl/>
          <w:lang w:val="en-GB"/>
        </w:rPr>
        <w:t>خلال فترات قصيرة لأخذ العينات. ولا يمكن في العادة اكتشاف الزيادات الحادة لكميات الزئبق في غاز المداخن ولذلك لا</w:t>
      </w:r>
      <w:r w:rsidR="00D97FFB">
        <w:rPr>
          <w:rFonts w:cs="Traditional Arabic" w:hint="eastAsia"/>
          <w:sz w:val="30"/>
          <w:szCs w:val="30"/>
          <w:rtl/>
          <w:lang w:val="en-GB"/>
        </w:rPr>
        <w:t> </w:t>
      </w:r>
      <w:r w:rsidRPr="00335E4B">
        <w:rPr>
          <w:rFonts w:cs="Traditional Arabic" w:hint="cs"/>
          <w:sz w:val="30"/>
          <w:szCs w:val="30"/>
          <w:rtl/>
          <w:lang w:val="en-GB"/>
        </w:rPr>
        <w:t>يمكن اتخاذ تدابير بديلة. بيد أن أجهزة الارتطام غير ملائمة لأخذ العينات في فترات طويلة وهي عملياً تقتصر على عدة ساعات.</w:t>
      </w:r>
    </w:p>
    <w:p w:rsidR="00335E4B" w:rsidRPr="00335E4B" w:rsidRDefault="00335E4B" w:rsidP="00335E4B">
      <w:pPr>
        <w:spacing w:after="120" w:line="400" w:lineRule="exact"/>
        <w:jc w:val="both"/>
        <w:rPr>
          <w:rFonts w:cs="Traditional Arabic"/>
          <w:b/>
          <w:bCs/>
          <w:sz w:val="30"/>
          <w:szCs w:val="30"/>
          <w:lang w:val="en-GB"/>
        </w:rPr>
      </w:pPr>
      <w:r w:rsidRPr="00335E4B">
        <w:rPr>
          <w:rFonts w:cs="Traditional Arabic" w:hint="cs"/>
          <w:b/>
          <w:bCs/>
          <w:sz w:val="30"/>
          <w:szCs w:val="30"/>
          <w:rtl/>
          <w:lang w:val="en-GB"/>
        </w:rPr>
        <w:t>نظم المصائد الماصة</w:t>
      </w:r>
    </w:p>
    <w:p w:rsidR="00335E4B" w:rsidRPr="00335E4B" w:rsidRDefault="00335E4B" w:rsidP="00D97FFB">
      <w:pPr>
        <w:spacing w:after="120" w:line="400" w:lineRule="exact"/>
        <w:jc w:val="both"/>
        <w:rPr>
          <w:rFonts w:cs="Traditional Arabic"/>
          <w:sz w:val="30"/>
          <w:szCs w:val="30"/>
          <w:rtl/>
          <w:lang w:val="en-GB"/>
        </w:rPr>
      </w:pPr>
      <w:r w:rsidRPr="00335E4B">
        <w:rPr>
          <w:rFonts w:cs="Traditional Arabic" w:hint="cs"/>
          <w:sz w:val="30"/>
          <w:szCs w:val="30"/>
          <w:rtl/>
          <w:lang w:val="en-GB"/>
        </w:rPr>
        <w:t>تتيح نظم المصائد الماصة مراقبة التشغيل الجيد لمنشآت معالجة غازات المداخن بعد فترة لأخذ العينات. ورغم أن هذه النظم لا</w:t>
      </w:r>
      <w:r w:rsidR="00D97FFB">
        <w:rPr>
          <w:rFonts w:cs="Traditional Arabic" w:hint="eastAsia"/>
          <w:sz w:val="30"/>
          <w:szCs w:val="30"/>
          <w:rtl/>
          <w:lang w:val="en-GB"/>
        </w:rPr>
        <w:t> </w:t>
      </w:r>
      <w:r w:rsidRPr="00335E4B">
        <w:rPr>
          <w:rFonts w:cs="Traditional Arabic" w:hint="cs"/>
          <w:sz w:val="30"/>
          <w:szCs w:val="30"/>
          <w:rtl/>
          <w:lang w:val="en-GB"/>
        </w:rPr>
        <w:t>تعطي نتائج فورية إلا أن البيانات المستقاة منها يمكن أن تشير إلى مستوى أداء التشغيل خلال فترة زمنية سابقة محددة. ومن خلال نهج حلقة التأثيرات المرتدة هذا يمكن إدخال التعديلات المطلوبة على العملية عند الحاجة. ومقارنةً بأجهزة الارتطام فإن مصائد المواد الماصة توفر عملية احتجاز أكثر استقراراً للزئبق وبروتوكولاً أبسط لأخذ العينات. ويسمح هذا البروتوكول بتشغيل أجهزة الرصد دون رقابة خلال فترات طويلة وهو أمر غير ممكن في حال استخدام أجهزة الارتطام.</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ولا يشيع استخدام هذا النظام في الاتحاد الأوروبي بسبب عدم وجود متطلبات قانونية لاستخدامه، لكن من المحتمل أنه يُستخدم في مناطق أخرى من العالم.</w:t>
      </w:r>
    </w:p>
    <w:p w:rsidR="00335E4B" w:rsidRPr="00335E4B" w:rsidRDefault="008E33B2" w:rsidP="00335E4B">
      <w:pPr>
        <w:keepNext/>
        <w:spacing w:before="120" w:after="120" w:line="400" w:lineRule="exact"/>
        <w:ind w:left="849" w:hanging="851"/>
        <w:jc w:val="both"/>
        <w:outlineLvl w:val="3"/>
        <w:rPr>
          <w:rFonts w:cs="Traditional Arabic"/>
          <w:b/>
          <w:bCs/>
          <w:sz w:val="30"/>
          <w:szCs w:val="30"/>
          <w:rtl/>
        </w:rPr>
      </w:pPr>
      <w:r>
        <w:rPr>
          <w:rFonts w:cs="Traditional Arabic" w:hint="cs"/>
          <w:b/>
          <w:bCs/>
          <w:sz w:val="30"/>
          <w:szCs w:val="30"/>
          <w:rtl/>
        </w:rPr>
        <w:t>4</w:t>
      </w:r>
      <w:r w:rsidR="00335E4B" w:rsidRPr="00335E4B">
        <w:rPr>
          <w:rFonts w:cs="Traditional Arabic" w:hint="cs"/>
          <w:b/>
          <w:bCs/>
          <w:sz w:val="30"/>
          <w:szCs w:val="30"/>
          <w:rtl/>
        </w:rPr>
        <w:t>-2</w:t>
      </w:r>
      <w:r w:rsidR="00335E4B" w:rsidRPr="00335E4B">
        <w:rPr>
          <w:rFonts w:cs="Traditional Arabic" w:hint="cs"/>
          <w:b/>
          <w:bCs/>
          <w:sz w:val="30"/>
          <w:szCs w:val="30"/>
          <w:rtl/>
        </w:rPr>
        <w:tab/>
        <w:t>الطرق غير المباشرة</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توازن الكتلة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من الصعب للغاية تطبيق توازن الكتلة بسبب التباينات الكبيرة المحتملة لمستوى الزئبق في مدخلات النفايات والصعوبة الشديدة التي يتسم بها تنفيذ الرصد الموثوق به لمستويات الزئبق في النفايات غير المتجانسة.</w:t>
      </w:r>
    </w:p>
    <w:p w:rsidR="00335E4B" w:rsidRPr="00335E4B" w:rsidRDefault="00335E4B" w:rsidP="009722F0">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الرصد التنبؤ</w:t>
      </w:r>
      <w:r w:rsidR="009722F0">
        <w:rPr>
          <w:rFonts w:cs="Traditional Arabic" w:hint="cs"/>
          <w:b/>
          <w:bCs/>
          <w:sz w:val="30"/>
          <w:szCs w:val="30"/>
          <w:rtl/>
          <w:lang w:val="en-GB"/>
        </w:rPr>
        <w:t>ى</w:t>
      </w:r>
      <w:r w:rsidRPr="00335E4B">
        <w:rPr>
          <w:rFonts w:cs="Traditional Arabic" w:hint="cs"/>
          <w:b/>
          <w:bCs/>
          <w:sz w:val="30"/>
          <w:szCs w:val="30"/>
          <w:rtl/>
          <w:lang w:val="en-GB"/>
        </w:rPr>
        <w:t xml:space="preserve"> للانبعاثات</w:t>
      </w:r>
    </w:p>
    <w:p w:rsidR="00335E4B" w:rsidRPr="00335E4B" w:rsidRDefault="00335E4B" w:rsidP="009722F0">
      <w:pPr>
        <w:spacing w:after="120" w:line="400" w:lineRule="exact"/>
        <w:jc w:val="both"/>
        <w:rPr>
          <w:rFonts w:cs="Traditional Arabic"/>
          <w:sz w:val="30"/>
          <w:szCs w:val="30"/>
          <w:rtl/>
          <w:lang w:val="en-GB"/>
        </w:rPr>
      </w:pPr>
      <w:r w:rsidRPr="00335E4B">
        <w:rPr>
          <w:rFonts w:cs="Traditional Arabic" w:hint="cs"/>
          <w:sz w:val="30"/>
          <w:szCs w:val="30"/>
          <w:rtl/>
          <w:lang w:val="en-GB"/>
        </w:rPr>
        <w:t>لا يمكن إجراء الرصد التنبؤ</w:t>
      </w:r>
      <w:r w:rsidR="009722F0">
        <w:rPr>
          <w:rFonts w:cs="Traditional Arabic" w:hint="cs"/>
          <w:sz w:val="30"/>
          <w:szCs w:val="30"/>
          <w:rtl/>
          <w:lang w:val="en-GB"/>
        </w:rPr>
        <w:t>ى</w:t>
      </w:r>
      <w:r w:rsidRPr="00335E4B">
        <w:rPr>
          <w:rFonts w:cs="Traditional Arabic" w:hint="cs"/>
          <w:sz w:val="30"/>
          <w:szCs w:val="30"/>
          <w:rtl/>
          <w:lang w:val="en-GB"/>
        </w:rPr>
        <w:t xml:space="preserve"> للانبعاثات (الرصد الباراميتري) في منشآت حرق النفايات نظراً لعدم وجود ارتباط بين الملوثات الأخرى والزئبق في غاز المداخن. يضاف إلى ذلك أن محتوى الزئبق في المواد الأولية بالفرن يمكن أن يتغير بشكل كبير خلال فترات قصيرة اعتماداً على تركيز الزئبق في النفايات.</w:t>
      </w:r>
    </w:p>
    <w:p w:rsidR="00335E4B" w:rsidRPr="00335E4B" w:rsidRDefault="00335E4B" w:rsidP="00335E4B">
      <w:pPr>
        <w:spacing w:after="120" w:line="400" w:lineRule="exact"/>
        <w:jc w:val="both"/>
        <w:rPr>
          <w:rFonts w:cs="Traditional Arabic"/>
          <w:b/>
          <w:bCs/>
          <w:sz w:val="30"/>
          <w:szCs w:val="30"/>
          <w:lang w:val="en-GB"/>
        </w:rPr>
      </w:pPr>
      <w:r w:rsidRPr="00335E4B">
        <w:rPr>
          <w:rFonts w:cs="Traditional Arabic" w:hint="cs"/>
          <w:b/>
          <w:bCs/>
          <w:sz w:val="30"/>
          <w:szCs w:val="30"/>
          <w:rtl/>
          <w:lang w:val="en-GB"/>
        </w:rPr>
        <w:t>عوامل الانبعاث</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فيما يخص أغراض الرصد لا ينبغي استخدام عوامل الانبعاث لتحديد انبعاثات الزئبق من منشآت حرق النفايات بسبب المحتوى المتغير للزئبق في النفايات.</w:t>
      </w:r>
    </w:p>
    <w:p w:rsidR="00335E4B" w:rsidRPr="00335E4B" w:rsidRDefault="00335E4B" w:rsidP="00335E4B">
      <w:pPr>
        <w:spacing w:after="120" w:line="400" w:lineRule="exact"/>
        <w:jc w:val="both"/>
        <w:rPr>
          <w:rFonts w:cs="Traditional Arabic"/>
          <w:b/>
          <w:bCs/>
          <w:sz w:val="30"/>
          <w:szCs w:val="30"/>
          <w:lang w:val="en-GB"/>
        </w:rPr>
      </w:pPr>
      <w:r w:rsidRPr="00335E4B">
        <w:rPr>
          <w:rFonts w:cs="Traditional Arabic" w:hint="cs"/>
          <w:b/>
          <w:bCs/>
          <w:sz w:val="30"/>
          <w:szCs w:val="30"/>
          <w:rtl/>
          <w:lang w:val="en-GB"/>
        </w:rPr>
        <w:t>التقديرات الهندسية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تعتبر التقديرات الهندسية طريقة غير دقيقة لرصد انبعاثات الزئبق في الهواء في منشآت حرق النفايات.</w:t>
      </w:r>
    </w:p>
    <w:p w:rsidR="00335E4B" w:rsidRPr="00335E4B" w:rsidRDefault="008E33B2" w:rsidP="00335E4B">
      <w:pPr>
        <w:keepNext/>
        <w:spacing w:before="120" w:after="120" w:line="400" w:lineRule="exact"/>
        <w:ind w:left="849" w:hanging="851"/>
        <w:jc w:val="both"/>
        <w:outlineLvl w:val="3"/>
        <w:rPr>
          <w:rFonts w:cs="Traditional Arabic"/>
          <w:b/>
          <w:bCs/>
          <w:sz w:val="30"/>
          <w:szCs w:val="30"/>
          <w:rtl/>
        </w:rPr>
      </w:pPr>
      <w:r>
        <w:rPr>
          <w:rFonts w:cs="Traditional Arabic" w:hint="cs"/>
          <w:b/>
          <w:bCs/>
          <w:sz w:val="30"/>
          <w:szCs w:val="30"/>
          <w:rtl/>
        </w:rPr>
        <w:t>4</w:t>
      </w:r>
      <w:r w:rsidR="00335E4B" w:rsidRPr="00335E4B">
        <w:rPr>
          <w:rFonts w:cs="Traditional Arabic" w:hint="cs"/>
          <w:b/>
          <w:bCs/>
          <w:sz w:val="30"/>
          <w:szCs w:val="30"/>
          <w:rtl/>
        </w:rPr>
        <w:t>-3</w:t>
      </w:r>
      <w:r w:rsidR="00335E4B" w:rsidRPr="00335E4B">
        <w:rPr>
          <w:rFonts w:cs="Traditional Arabic" w:hint="cs"/>
          <w:b/>
          <w:bCs/>
          <w:sz w:val="30"/>
          <w:szCs w:val="30"/>
          <w:rtl/>
        </w:rPr>
        <w:tab/>
        <w:t>التقنيات الأكثر ملاءمةً للرصد في قطاع حرق النفايات</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يشكل الرصد المستمر والرصد المتقطع معاً جزءاً من عملية تنفيذ أفضل التقنيات المتاحة.</w:t>
      </w:r>
    </w:p>
    <w:p w:rsidR="00335E4B" w:rsidRPr="00335E4B" w:rsidRDefault="00335E4B" w:rsidP="00310FC3">
      <w:pPr>
        <w:rPr>
          <w:rFonts w:cs="Traditional Arabic"/>
          <w:sz w:val="30"/>
          <w:szCs w:val="30"/>
          <w:rtl/>
          <w:lang w:val="en-GB"/>
        </w:rPr>
      </w:pPr>
      <w:r w:rsidRPr="00335E4B">
        <w:rPr>
          <w:rFonts w:cs="Traditional Arabic" w:hint="cs"/>
          <w:sz w:val="30"/>
          <w:szCs w:val="30"/>
          <w:rtl/>
          <w:lang w:val="en-GB"/>
        </w:rPr>
        <w:t>وتعتبر القياسات المستمرة مناسبة لعدة أسباب. وعلى وجه الخصوص تمكِّن هذه القياسات من القيام بما يلي:</w:t>
      </w:r>
    </w:p>
    <w:p w:rsidR="00335E4B" w:rsidRPr="00335E4B" w:rsidRDefault="00335E4B" w:rsidP="00335E4B">
      <w:pPr>
        <w:numPr>
          <w:ilvl w:val="0"/>
          <w:numId w:val="29"/>
        </w:numPr>
        <w:ind w:left="720"/>
        <w:jc w:val="both"/>
        <w:rPr>
          <w:rFonts w:cs="Traditional Arabic"/>
          <w:sz w:val="30"/>
          <w:szCs w:val="30"/>
          <w:lang w:val="en-GB"/>
        </w:rPr>
      </w:pPr>
      <w:r w:rsidRPr="00335E4B">
        <w:rPr>
          <w:rFonts w:cs="Traditional Arabic" w:hint="cs"/>
          <w:sz w:val="30"/>
          <w:szCs w:val="30"/>
          <w:rtl/>
          <w:lang w:val="en-GB"/>
        </w:rPr>
        <w:t>رصد التشغيل الجيد لمنشأة معالجة غاز المداخن؛</w:t>
      </w:r>
    </w:p>
    <w:p w:rsidR="00335E4B" w:rsidRPr="00335E4B" w:rsidRDefault="00335E4B" w:rsidP="00335E4B">
      <w:pPr>
        <w:numPr>
          <w:ilvl w:val="0"/>
          <w:numId w:val="29"/>
        </w:numPr>
        <w:ind w:left="720"/>
        <w:jc w:val="both"/>
        <w:rPr>
          <w:rFonts w:cs="Traditional Arabic"/>
          <w:sz w:val="30"/>
          <w:szCs w:val="30"/>
          <w:lang w:val="en-GB"/>
        </w:rPr>
      </w:pPr>
      <w:r w:rsidRPr="00335E4B">
        <w:rPr>
          <w:rFonts w:cs="Traditional Arabic" w:hint="cs"/>
          <w:sz w:val="30"/>
          <w:szCs w:val="30"/>
          <w:rtl/>
          <w:lang w:val="en-GB"/>
        </w:rPr>
        <w:t>الكشف الفوري عن تغيرات محتوى الزئبق في النفايات؛</w:t>
      </w:r>
    </w:p>
    <w:p w:rsidR="00335E4B" w:rsidRPr="00335E4B" w:rsidRDefault="00335E4B" w:rsidP="00335E4B">
      <w:pPr>
        <w:numPr>
          <w:ilvl w:val="0"/>
          <w:numId w:val="29"/>
        </w:numPr>
        <w:ind w:left="720"/>
        <w:jc w:val="both"/>
        <w:rPr>
          <w:rFonts w:cs="Traditional Arabic"/>
          <w:sz w:val="30"/>
          <w:szCs w:val="30"/>
          <w:rtl/>
          <w:lang w:val="en-GB"/>
        </w:rPr>
      </w:pPr>
      <w:r w:rsidRPr="00335E4B">
        <w:rPr>
          <w:rFonts w:cs="Traditional Arabic" w:hint="cs"/>
          <w:sz w:val="30"/>
          <w:szCs w:val="30"/>
          <w:rtl/>
          <w:lang w:val="en-GB"/>
        </w:rPr>
        <w:t>الكشف عن التركيزات المرتفعة للزئبق الناتجة عن الإدخال الخاطئ للنفايات الملوثة.</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وتطلب العديد من البلدان بالفعل إجراء رصد مستمر للزئبق في منشآت حرق النفايات المقامة لديها. وتعتبر هذه البلدان تقنيات الرصد المستمر أفضل التقنيات المتاحة. والغالبية العظمى من البلدان التي تجري عمليات رصد الزئبق تستخدم الرصد المتقطع، ومن أمثلته أخذ العينات عن طريق أجهزة الارتطام.</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إن عمليات الرصد المستمر هي وحدها الكفيلة بضمان الكشف عن مستويات الزئبق المرتفعة في الغاز النظيف والغاز الأولي بهدف التحكم الفعال فيها. وفي هذه الحالات قد تستخدم مادة ممتزة مثل الكربون المنشط المطلي بالكبريت.</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ويمكن أن يكون القياس المستمر للزئبق الطريقة الأكثر فعاليةً خصوصاً في حالات النفايات الخطرة والنفايات الطبية والنفايات التجارية والبلدية المختلطة، وكذلك بالنسبة لجميع أنواع النفايات الأخرى (بما في ذلك المدخلات غير القانونية) في حال عدم التأكد من خلوها من الزئبق. </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أما طرق القياس المتقطعة فهي مستخدمة أيضاً. ويمكِّن الرصد باستخدام مصائد المواد الماصة واختبارات المصادر الثابتة (أجهزة الارتطام) من مراقبة التشغيل الجيد لمنشأة معالجة غاز المداخن خلال فترات أخذ العينات. ومن غير المرجح أن تكشف طرق القياس المتقطعة هذه عن ارتفاع مستويات الزئبق في غاز المداخن، وهي بالتالي لا تتيح اتخاذ تدابير مضادة.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أما الطرق غير المباشرة مثل توازن الكتلة، والرصد التنبؤي للانبعاثات، وعوامل الانبعاث، والتقديرات الهندسية فهي غير مفيدة كطرق قياس في منشآت حرق النفايات.</w:t>
      </w:r>
    </w:p>
    <w:p w:rsidR="00335E4B" w:rsidRPr="00335E4B" w:rsidRDefault="00335E4B" w:rsidP="008E33B2">
      <w:pPr>
        <w:spacing w:after="200" w:line="276" w:lineRule="auto"/>
        <w:rPr>
          <w:rFonts w:cs="Traditional Arabic"/>
          <w:b/>
          <w:bCs/>
          <w:sz w:val="32"/>
          <w:szCs w:val="32"/>
          <w:rtl/>
        </w:rPr>
      </w:pPr>
      <w:r w:rsidRPr="00335E4B">
        <w:rPr>
          <w:rFonts w:cs="Traditional Arabic"/>
          <w:b/>
          <w:bCs/>
          <w:sz w:val="32"/>
          <w:szCs w:val="32"/>
          <w:rtl/>
        </w:rPr>
        <w:br w:type="page"/>
      </w:r>
      <w:r w:rsidR="008E33B2">
        <w:rPr>
          <w:rFonts w:cs="Traditional Arabic" w:hint="cs"/>
          <w:b/>
          <w:bCs/>
          <w:sz w:val="32"/>
          <w:szCs w:val="32"/>
          <w:rtl/>
        </w:rPr>
        <w:t>5</w:t>
      </w:r>
      <w:r w:rsidR="00AA60A1">
        <w:rPr>
          <w:rFonts w:cs="Traditional Arabic" w:hint="cs"/>
          <w:b/>
          <w:bCs/>
          <w:sz w:val="32"/>
          <w:szCs w:val="32"/>
          <w:rtl/>
        </w:rPr>
        <w:t xml:space="preserve"> </w:t>
      </w:r>
      <w:r w:rsidRPr="00335E4B">
        <w:rPr>
          <w:rFonts w:cs="Traditional Arabic" w:hint="cs"/>
          <w:b/>
          <w:bCs/>
          <w:sz w:val="32"/>
          <w:szCs w:val="32"/>
          <w:rtl/>
        </w:rPr>
        <w:t>-</w:t>
      </w:r>
      <w:r w:rsidRPr="00335E4B">
        <w:rPr>
          <w:rFonts w:cs="Traditional Arabic" w:hint="cs"/>
          <w:b/>
          <w:bCs/>
          <w:sz w:val="32"/>
          <w:szCs w:val="32"/>
          <w:rtl/>
        </w:rPr>
        <w:tab/>
        <w:t>المراجع</w:t>
      </w:r>
    </w:p>
    <w:p w:rsidR="00335E4B" w:rsidRPr="00335E4B" w:rsidRDefault="00335E4B" w:rsidP="00335E4B">
      <w:pPr>
        <w:tabs>
          <w:tab w:val="left" w:pos="1247"/>
          <w:tab w:val="left" w:pos="1814"/>
          <w:tab w:val="left" w:pos="2381"/>
          <w:tab w:val="left" w:pos="2948"/>
          <w:tab w:val="left" w:pos="3515"/>
        </w:tabs>
        <w:bidi w:val="0"/>
        <w:spacing w:after="120"/>
        <w:rPr>
          <w:rFonts w:cs="Times New Roman"/>
          <w:sz w:val="20"/>
          <w:szCs w:val="22"/>
          <w:lang w:val="de-CH"/>
        </w:rPr>
      </w:pPr>
      <w:r w:rsidRPr="00335E4B">
        <w:rPr>
          <w:rFonts w:cs="Times New Roman"/>
          <w:sz w:val="20"/>
          <w:szCs w:val="22"/>
          <w:lang w:val="de-CH"/>
        </w:rPr>
        <w:t>Adam, F., et al. (2010). KVA-Rückstände in der Schweiz – Der Rohstoff mit Mehrwert- Bundesamt für Umwelt (BFU), Bern.</w:t>
      </w:r>
    </w:p>
    <w:p w:rsidR="00335E4B" w:rsidRPr="00335E4B" w:rsidRDefault="00335E4B" w:rsidP="00335E4B">
      <w:pPr>
        <w:tabs>
          <w:tab w:val="left" w:pos="1247"/>
          <w:tab w:val="left" w:pos="1814"/>
          <w:tab w:val="left" w:pos="2381"/>
          <w:tab w:val="left" w:pos="2948"/>
          <w:tab w:val="left" w:pos="3515"/>
        </w:tabs>
        <w:bidi w:val="0"/>
        <w:spacing w:after="120"/>
        <w:rPr>
          <w:rFonts w:cs="Times New Roman"/>
          <w:noProof/>
          <w:sz w:val="20"/>
          <w:szCs w:val="22"/>
          <w:lang w:val="en-GB"/>
        </w:rPr>
      </w:pPr>
      <w:r w:rsidRPr="00335E4B">
        <w:rPr>
          <w:rFonts w:cs="Times New Roman"/>
          <w:noProof/>
          <w:sz w:val="20"/>
          <w:szCs w:val="22"/>
          <w:lang w:val="en-GB"/>
        </w:rPr>
        <w:t>Allen, C., V. Gokaldas, A. Larracas, L. A. Minot, M. Morin, N. Tangri, B. Tyler and B. Walker (2012). On the Road to Zero Waste: Successes and Lessons from around the World. Berkeley, GAIA</w:t>
      </w:r>
      <w:r w:rsidRPr="00335E4B">
        <w:rPr>
          <w:rFonts w:cs="Times New Roman"/>
          <w:b/>
          <w:noProof/>
          <w:sz w:val="20"/>
          <w:szCs w:val="22"/>
          <w:lang w:val="en-GB"/>
        </w:rPr>
        <w:t xml:space="preserve">, </w:t>
      </w:r>
      <w:r w:rsidRPr="00335E4B">
        <w:rPr>
          <w:rFonts w:cs="Times New Roman"/>
          <w:noProof/>
          <w:sz w:val="20"/>
          <w:szCs w:val="22"/>
          <w:lang w:val="en-GB"/>
        </w:rPr>
        <w:t>p. 88.</w:t>
      </w:r>
    </w:p>
    <w:p w:rsidR="00335E4B" w:rsidRPr="00335E4B" w:rsidRDefault="00F37B77" w:rsidP="00335E4B">
      <w:pPr>
        <w:tabs>
          <w:tab w:val="left" w:pos="1247"/>
          <w:tab w:val="left" w:pos="1814"/>
          <w:tab w:val="left" w:pos="2381"/>
          <w:tab w:val="left" w:pos="2948"/>
          <w:tab w:val="left" w:pos="3515"/>
        </w:tabs>
        <w:bidi w:val="0"/>
        <w:spacing w:after="120"/>
        <w:rPr>
          <w:rFonts w:cs="Times New Roman"/>
          <w:noProof/>
          <w:sz w:val="20"/>
          <w:szCs w:val="22"/>
          <w:lang w:val="en-GB"/>
        </w:rPr>
      </w:pPr>
      <w:hyperlink r:id="rId54" w:history="1">
        <w:r w:rsidR="00335E4B" w:rsidRPr="00335E4B">
          <w:rPr>
            <w:rFonts w:cs="Times New Roman"/>
            <w:noProof/>
            <w:sz w:val="20"/>
            <w:szCs w:val="24"/>
            <w:lang w:val="en-GB"/>
          </w:rPr>
          <w:t>Andersson, S.</w:t>
        </w:r>
      </w:hyperlink>
      <w:r w:rsidR="00335E4B" w:rsidRPr="00335E4B">
        <w:rPr>
          <w:rFonts w:cs="Times New Roman"/>
          <w:noProof/>
          <w:sz w:val="20"/>
          <w:szCs w:val="24"/>
          <w:lang w:val="en-GB"/>
        </w:rPr>
        <w:t xml:space="preserve">, P. </w:t>
      </w:r>
      <w:hyperlink r:id="rId55" w:history="1">
        <w:r w:rsidR="00335E4B" w:rsidRPr="00335E4B">
          <w:rPr>
            <w:rFonts w:cs="Times New Roman"/>
            <w:noProof/>
            <w:sz w:val="20"/>
            <w:szCs w:val="24"/>
            <w:lang w:val="en-GB"/>
          </w:rPr>
          <w:t xml:space="preserve">Lindgren </w:t>
        </w:r>
      </w:hyperlink>
      <w:r w:rsidR="00335E4B" w:rsidRPr="00335E4B">
        <w:rPr>
          <w:rFonts w:cs="Times New Roman"/>
          <w:noProof/>
          <w:sz w:val="20"/>
          <w:szCs w:val="24"/>
          <w:lang w:val="en-GB"/>
        </w:rPr>
        <w:t>(</w:t>
      </w:r>
      <w:r w:rsidR="00335E4B" w:rsidRPr="00335E4B">
        <w:rPr>
          <w:rFonts w:cs="Times New Roman"/>
          <w:noProof/>
          <w:sz w:val="20"/>
          <w:szCs w:val="22"/>
          <w:lang w:val="en-GB"/>
        </w:rPr>
        <w:t>2010). Simultaneous Dioxin and Mercury Removal in Wet Scrubbers (Paper # 56), Air and Waste Management Association -PUBLICATIONS- VIP THEN CP; p .189; pp. 515–524</w:t>
      </w:r>
    </w:p>
    <w:p w:rsidR="00335E4B" w:rsidRPr="00335E4B" w:rsidRDefault="00335E4B" w:rsidP="00335E4B">
      <w:pPr>
        <w:tabs>
          <w:tab w:val="left" w:pos="1247"/>
          <w:tab w:val="left" w:pos="1814"/>
          <w:tab w:val="left" w:pos="2381"/>
          <w:tab w:val="left" w:pos="2948"/>
          <w:tab w:val="left" w:pos="3515"/>
        </w:tabs>
        <w:bidi w:val="0"/>
        <w:spacing w:after="120"/>
        <w:rPr>
          <w:rFonts w:cs="Times New Roman"/>
          <w:color w:val="000000"/>
          <w:sz w:val="20"/>
          <w:szCs w:val="22"/>
          <w:lang w:val="en-GB"/>
        </w:rPr>
      </w:pPr>
      <w:r w:rsidRPr="00335E4B">
        <w:rPr>
          <w:rFonts w:cs="Times New Roman"/>
          <w:color w:val="000000"/>
          <w:sz w:val="20"/>
          <w:szCs w:val="22"/>
          <w:lang w:val="en-GB"/>
        </w:rPr>
        <w:t>APGEN (Applied PhytoGenetics) (2003). Letter from David Glass, APGEN, to Walter Kovalick, EPA Technology Innovation Office (TIO), regarding the field study of Eastern cottonwood trees to treat mercury contaminated soil at a Superfund site in Danbury, Connecticut.</w:t>
      </w:r>
    </w:p>
    <w:p w:rsidR="00335E4B" w:rsidRPr="00335E4B" w:rsidRDefault="00335E4B" w:rsidP="00335E4B">
      <w:pPr>
        <w:tabs>
          <w:tab w:val="left" w:pos="1247"/>
          <w:tab w:val="left" w:pos="1814"/>
          <w:tab w:val="left" w:pos="2381"/>
          <w:tab w:val="left" w:pos="2948"/>
          <w:tab w:val="left" w:pos="3515"/>
        </w:tabs>
        <w:bidi w:val="0"/>
        <w:spacing w:after="120"/>
        <w:rPr>
          <w:rFonts w:cs="Times New Roman"/>
          <w:color w:val="000000"/>
          <w:sz w:val="20"/>
          <w:szCs w:val="22"/>
          <w:lang w:val="en-GB"/>
        </w:rPr>
      </w:pPr>
      <w:r w:rsidRPr="00335E4B">
        <w:rPr>
          <w:rFonts w:cs="Times New Roman"/>
          <w:color w:val="000000"/>
          <w:sz w:val="20"/>
          <w:szCs w:val="22"/>
          <w:lang w:val="en-GB"/>
        </w:rPr>
        <w:t xml:space="preserve">Basel Convention Secretariat. (2015). Technical Guidelines on the Environmentally Sound Management of wastes consisting of, containing or contaminated with mercury and mercury compounds. Basel Convention on the Control of Transboundary </w:t>
      </w:r>
      <w:r w:rsidRPr="00335E4B">
        <w:rPr>
          <w:rFonts w:cs="Times New Roman"/>
          <w:color w:val="000000"/>
          <w:sz w:val="20"/>
          <w:szCs w:val="22"/>
          <w:lang w:val="en-GB"/>
        </w:rPr>
        <w:tab/>
        <w:t xml:space="preserve"> Movements of Hazardous Wastes and Their Disposal, UNEP, Geneva</w:t>
      </w:r>
    </w:p>
    <w:p w:rsidR="00335E4B" w:rsidRPr="00335E4B" w:rsidRDefault="00335E4B" w:rsidP="00335E4B">
      <w:pPr>
        <w:tabs>
          <w:tab w:val="left" w:pos="1247"/>
          <w:tab w:val="left" w:pos="1814"/>
          <w:tab w:val="left" w:pos="2381"/>
          <w:tab w:val="left" w:pos="2948"/>
          <w:tab w:val="left" w:pos="3515"/>
        </w:tabs>
        <w:bidi w:val="0"/>
        <w:spacing w:after="120"/>
        <w:rPr>
          <w:rFonts w:cs="Times New Roman"/>
          <w:sz w:val="20"/>
          <w:szCs w:val="22"/>
          <w:lang w:val="cs-CZ" w:eastAsia="de-DE"/>
        </w:rPr>
      </w:pPr>
      <w:r w:rsidRPr="00335E4B">
        <w:rPr>
          <w:rFonts w:cs="Times New Roman"/>
          <w:sz w:val="20"/>
          <w:szCs w:val="22"/>
          <w:lang w:val="cs-CZ" w:eastAsia="de-DE"/>
        </w:rPr>
        <w:t>Bell, L. (2015). Identification and Management of mercury, PCB and dioxin contaminated sites in Kazakhstan: A Collective Impact approach to civil society engagement. Contaminated sites and their management. Case studies: Kazakhstan and Armenia. Prague-Karaganda, Arnika - Toxics and Waste Programme. http://english.arnika.org/contaminated-sites</w:t>
      </w:r>
    </w:p>
    <w:p w:rsidR="00335E4B" w:rsidRPr="00335E4B" w:rsidRDefault="00335E4B" w:rsidP="00335E4B">
      <w:pPr>
        <w:tabs>
          <w:tab w:val="left" w:pos="624"/>
        </w:tabs>
        <w:bidi w:val="0"/>
        <w:spacing w:after="120"/>
        <w:rPr>
          <w:rFonts w:cs="Times New Roman"/>
          <w:sz w:val="20"/>
          <w:szCs w:val="22"/>
          <w:lang w:val="de-CH"/>
        </w:rPr>
      </w:pPr>
      <w:r w:rsidRPr="00335E4B">
        <w:rPr>
          <w:rFonts w:cs="Times New Roman"/>
          <w:sz w:val="20"/>
          <w:szCs w:val="22"/>
          <w:lang w:val="en-GB"/>
        </w:rPr>
        <w:t xml:space="preserve">Bittig, M., and S. Heap (2014). </w:t>
      </w:r>
      <w:r w:rsidRPr="00335E4B">
        <w:rPr>
          <w:rFonts w:cs="Times New Roman"/>
          <w:sz w:val="20"/>
          <w:szCs w:val="22"/>
          <w:lang w:val="de-CH"/>
        </w:rPr>
        <w:t>Maßnahmen zur Minderung luftseitiger Emissionen unter besonderer Berücksichtigung von Quecksilber, Feinstaub und Stickoxiden, Energie aus Abfall, Band 11.</w:t>
      </w:r>
    </w:p>
    <w:p w:rsidR="00335E4B" w:rsidRPr="00335E4B" w:rsidRDefault="00335E4B" w:rsidP="00335E4B">
      <w:pPr>
        <w:tabs>
          <w:tab w:val="left" w:pos="1247"/>
          <w:tab w:val="left" w:pos="1814"/>
          <w:tab w:val="left" w:pos="2381"/>
          <w:tab w:val="left" w:pos="2948"/>
          <w:tab w:val="left" w:pos="3515"/>
        </w:tabs>
        <w:bidi w:val="0"/>
        <w:spacing w:after="120"/>
        <w:rPr>
          <w:rFonts w:cs="Times New Roman"/>
          <w:noProof/>
          <w:sz w:val="20"/>
          <w:szCs w:val="22"/>
          <w:lang w:val="en-GB"/>
        </w:rPr>
      </w:pPr>
      <w:r w:rsidRPr="00335E4B">
        <w:rPr>
          <w:rFonts w:cs="Times New Roman"/>
          <w:noProof/>
          <w:sz w:val="20"/>
          <w:szCs w:val="22"/>
          <w:lang w:val="en-GB"/>
        </w:rPr>
        <w:t>Bilitewski, B., C. Oros and T. H. Christensen (2010). Mechanical Biological Treatment. Solid Waste Technology and Management, John Wiley and Sons, pp. 628–638.</w:t>
      </w:r>
    </w:p>
    <w:p w:rsidR="00335E4B" w:rsidRPr="00335E4B" w:rsidRDefault="00335E4B" w:rsidP="00335E4B">
      <w:pPr>
        <w:tabs>
          <w:tab w:val="left" w:pos="1247"/>
          <w:tab w:val="left" w:pos="1814"/>
          <w:tab w:val="left" w:pos="2381"/>
          <w:tab w:val="left" w:pos="2948"/>
          <w:tab w:val="left" w:pos="3515"/>
        </w:tabs>
        <w:bidi w:val="0"/>
        <w:spacing w:after="120"/>
        <w:rPr>
          <w:rFonts w:cs="Times New Roman"/>
          <w:sz w:val="20"/>
          <w:szCs w:val="22"/>
          <w:lang w:val="de-CH"/>
        </w:rPr>
      </w:pPr>
      <w:r w:rsidRPr="00335E4B">
        <w:rPr>
          <w:rFonts w:cs="Times New Roman"/>
          <w:sz w:val="20"/>
          <w:szCs w:val="22"/>
          <w:lang w:val="de-CH"/>
        </w:rPr>
        <w:t xml:space="preserve">Bühler, A., et al. (2015). Schwermetalle aus der Flugasche zurückgewinnen – saure Flugaschewäsche – FLUWA-Verfahren – ein Zukunftsweisendes Verfahren in der Abfallverbrennung, </w:t>
      </w:r>
    </w:p>
    <w:p w:rsidR="00335E4B" w:rsidRPr="00335E4B" w:rsidRDefault="00A260EF" w:rsidP="00335E4B">
      <w:pPr>
        <w:tabs>
          <w:tab w:val="left" w:pos="1247"/>
          <w:tab w:val="left" w:pos="1814"/>
          <w:tab w:val="left" w:pos="2381"/>
          <w:tab w:val="left" w:pos="2948"/>
          <w:tab w:val="left" w:pos="3515"/>
        </w:tabs>
        <w:bidi w:val="0"/>
        <w:spacing w:after="120"/>
        <w:rPr>
          <w:rFonts w:cs="Times New Roman"/>
          <w:sz w:val="20"/>
          <w:szCs w:val="22"/>
          <w:lang w:val="de-CH"/>
        </w:rPr>
      </w:pPr>
      <w:hyperlink r:id="rId56" w:history="1">
        <w:r w:rsidR="00335E4B" w:rsidRPr="00335E4B">
          <w:rPr>
            <w:rFonts w:cs="Times New Roman"/>
            <w:sz w:val="20"/>
            <w:szCs w:val="22"/>
            <w:lang w:val="de-CH"/>
          </w:rPr>
          <w:t>http://www.bsh.ch/upload/public/0/71/BSH-Umweltservice-AG-Saure-Flugaschenwaesche-FLUWA-Verfahren.pdf</w:t>
        </w:r>
      </w:hyperlink>
      <w:r w:rsidR="00335E4B" w:rsidRPr="00335E4B">
        <w:rPr>
          <w:rFonts w:cs="Times New Roman"/>
          <w:sz w:val="20"/>
          <w:szCs w:val="22"/>
          <w:lang w:val="de-CH"/>
        </w:rPr>
        <w:t>.</w:t>
      </w:r>
    </w:p>
    <w:p w:rsidR="00335E4B" w:rsidRPr="00335E4B" w:rsidRDefault="00335E4B" w:rsidP="00335E4B">
      <w:pPr>
        <w:tabs>
          <w:tab w:val="left" w:pos="1247"/>
          <w:tab w:val="left" w:pos="1814"/>
          <w:tab w:val="left" w:pos="2381"/>
          <w:tab w:val="left" w:pos="2948"/>
          <w:tab w:val="left" w:pos="3515"/>
        </w:tabs>
        <w:bidi w:val="0"/>
        <w:spacing w:after="120"/>
        <w:rPr>
          <w:rFonts w:cs="Times New Roman"/>
          <w:sz w:val="20"/>
          <w:szCs w:val="22"/>
          <w:lang w:val="de-CH"/>
        </w:rPr>
      </w:pPr>
      <w:r w:rsidRPr="00335E4B">
        <w:rPr>
          <w:rFonts w:cs="Times New Roman"/>
          <w:sz w:val="20"/>
          <w:szCs w:val="22"/>
          <w:lang w:val="de-CH"/>
        </w:rPr>
        <w:t xml:space="preserve">BSH (2015). BSH Umwelt Service AG – Quecksilber-Abscheidung. </w:t>
      </w:r>
    </w:p>
    <w:p w:rsidR="00335E4B" w:rsidRPr="00335E4B" w:rsidRDefault="00335E4B" w:rsidP="00335E4B">
      <w:pPr>
        <w:tabs>
          <w:tab w:val="left" w:pos="1247"/>
          <w:tab w:val="left" w:pos="1814"/>
          <w:tab w:val="left" w:pos="2381"/>
          <w:tab w:val="left" w:pos="2948"/>
          <w:tab w:val="left" w:pos="3515"/>
        </w:tabs>
        <w:bidi w:val="0"/>
        <w:spacing w:after="120"/>
        <w:rPr>
          <w:rFonts w:cs="Times New Roman"/>
          <w:sz w:val="20"/>
          <w:szCs w:val="22"/>
          <w:lang w:val="de-CH"/>
        </w:rPr>
      </w:pPr>
      <w:r w:rsidRPr="00335E4B">
        <w:rPr>
          <w:rFonts w:cs="Times New Roman"/>
          <w:sz w:val="20"/>
          <w:szCs w:val="22"/>
          <w:lang w:val="de-CH"/>
        </w:rPr>
        <w:t>http://www.bsh.ch/upload/public/0/71/BSH-Umweltservice-AG-Selektive-Quecksilber-Ionentauscher.pdf.</w:t>
      </w:r>
    </w:p>
    <w:p w:rsidR="00335E4B" w:rsidRPr="00335E4B" w:rsidRDefault="00335E4B" w:rsidP="00335E4B">
      <w:pPr>
        <w:tabs>
          <w:tab w:val="left" w:pos="1247"/>
          <w:tab w:val="left" w:pos="1814"/>
          <w:tab w:val="left" w:pos="2381"/>
          <w:tab w:val="left" w:pos="2948"/>
          <w:tab w:val="left" w:pos="3515"/>
        </w:tabs>
        <w:bidi w:val="0"/>
        <w:spacing w:after="120"/>
        <w:rPr>
          <w:rFonts w:cs="Times New Roman"/>
          <w:sz w:val="20"/>
          <w:szCs w:val="24"/>
          <w:lang w:val="en-GB"/>
        </w:rPr>
      </w:pPr>
      <w:r w:rsidRPr="00335E4B">
        <w:rPr>
          <w:rFonts w:cs="Times New Roman"/>
          <w:sz w:val="20"/>
          <w:szCs w:val="24"/>
          <w:lang w:val="en-GB"/>
        </w:rPr>
        <w:t>Chaucherie, X., et al. (2014). Mercury abatement at two French rotary kiln hazardous waste incineration plants with mainly dry flue gas cleaning, VDI Conference, 15–16 April 2014 in Düsseldorf, Germany.</w:t>
      </w:r>
    </w:p>
    <w:p w:rsidR="00335E4B" w:rsidRPr="00335E4B" w:rsidRDefault="00335E4B" w:rsidP="00335E4B">
      <w:pPr>
        <w:tabs>
          <w:tab w:val="left" w:pos="1247"/>
          <w:tab w:val="left" w:pos="1814"/>
          <w:tab w:val="left" w:pos="2381"/>
          <w:tab w:val="left" w:pos="2948"/>
          <w:tab w:val="left" w:pos="3515"/>
        </w:tabs>
        <w:bidi w:val="0"/>
        <w:spacing w:after="120"/>
        <w:rPr>
          <w:rFonts w:cs="Times New Roman"/>
          <w:sz w:val="20"/>
          <w:szCs w:val="22"/>
          <w:lang w:val="de-CH"/>
        </w:rPr>
      </w:pPr>
      <w:r w:rsidRPr="00335E4B">
        <w:rPr>
          <w:rFonts w:cs="Times New Roman"/>
          <w:sz w:val="20"/>
          <w:szCs w:val="22"/>
          <w:lang w:val="de-CH"/>
        </w:rPr>
        <w:t>Daschner, R., et al.: Emissionen und Abgasreinigungsverfahren bei der Abfallverbrennung, Technische Sicherheit Bd. 1 (2011) Nr. 1/2 Jan./Febr. Emission Control – Thermal Waste Treatment – Fundamentals – VDI 3460 Part 1, Kommission Reinhaltung der Luft im VDI und DIN – Normkontrollausschuss KRdL; VDI/DIN-Handbuch Reinhaltung der Luft, and 3: Emissionsminderung II VDI Handbuch Energietechnik.</w:t>
      </w:r>
    </w:p>
    <w:p w:rsidR="00335E4B" w:rsidRPr="00335E4B" w:rsidRDefault="00335E4B" w:rsidP="00335E4B">
      <w:pPr>
        <w:tabs>
          <w:tab w:val="left" w:pos="1247"/>
          <w:tab w:val="left" w:pos="1814"/>
          <w:tab w:val="left" w:pos="2381"/>
          <w:tab w:val="left" w:pos="2948"/>
          <w:tab w:val="left" w:pos="3515"/>
        </w:tabs>
        <w:bidi w:val="0"/>
        <w:spacing w:after="120"/>
        <w:rPr>
          <w:rFonts w:cs="Times New Roman"/>
          <w:sz w:val="20"/>
          <w:szCs w:val="22"/>
          <w:lang w:val="en-GB"/>
        </w:rPr>
      </w:pPr>
      <w:r w:rsidRPr="00335E4B">
        <w:rPr>
          <w:rFonts w:cs="Times New Roman"/>
          <w:sz w:val="20"/>
          <w:szCs w:val="22"/>
          <w:lang w:val="en-GB"/>
        </w:rPr>
        <w:t>Emmanuel, J. (2012). Compendium of Technologies for Treatment/Destruction of Healthcare Waste. Osaka, UNEP DTIE: 225.</w:t>
      </w:r>
    </w:p>
    <w:p w:rsidR="00335E4B" w:rsidRPr="00335E4B" w:rsidRDefault="00335E4B" w:rsidP="00335E4B">
      <w:pPr>
        <w:tabs>
          <w:tab w:val="left" w:pos="1247"/>
          <w:tab w:val="left" w:pos="1814"/>
          <w:tab w:val="left" w:pos="2381"/>
          <w:tab w:val="left" w:pos="2948"/>
          <w:tab w:val="left" w:pos="3515"/>
        </w:tabs>
        <w:bidi w:val="0"/>
        <w:spacing w:after="120"/>
        <w:rPr>
          <w:rFonts w:cs="Times New Roman"/>
          <w:sz w:val="20"/>
          <w:szCs w:val="22"/>
          <w:lang w:val="en-GB"/>
        </w:rPr>
      </w:pPr>
      <w:r w:rsidRPr="00335E4B">
        <w:rPr>
          <w:rFonts w:cs="Times New Roman"/>
          <w:sz w:val="20"/>
          <w:szCs w:val="22"/>
          <w:lang w:val="en-GB"/>
        </w:rPr>
        <w:t xml:space="preserve">European Commission (2006). Integrated Pollution Prevention and Control (IPPC) Reference Document on Best Available Techniques for Waste Incineration, July 2005, Seville, Spain, eippcb.jrc.es/pages/FActivities.htm. </w:t>
      </w:r>
    </w:p>
    <w:p w:rsidR="00335E4B" w:rsidRPr="00335E4B" w:rsidRDefault="00335E4B" w:rsidP="00335E4B">
      <w:pPr>
        <w:tabs>
          <w:tab w:val="left" w:pos="1247"/>
          <w:tab w:val="left" w:pos="1814"/>
          <w:tab w:val="left" w:pos="2381"/>
          <w:tab w:val="left" w:pos="2948"/>
          <w:tab w:val="left" w:pos="3515"/>
        </w:tabs>
        <w:bidi w:val="0"/>
        <w:spacing w:after="120"/>
        <w:rPr>
          <w:rFonts w:cs="Times New Roman"/>
          <w:sz w:val="20"/>
          <w:szCs w:val="22"/>
          <w:lang w:val="en-GB"/>
        </w:rPr>
      </w:pPr>
      <w:r w:rsidRPr="00335E4B">
        <w:rPr>
          <w:rFonts w:cs="Times New Roman"/>
          <w:sz w:val="20"/>
          <w:szCs w:val="22"/>
          <w:lang w:val="en-GB"/>
        </w:rPr>
        <w:t>European Commission (2000). Waste Incineration Directive 2000/76/EC.</w:t>
      </w:r>
    </w:p>
    <w:p w:rsidR="00335E4B" w:rsidRPr="00335E4B" w:rsidRDefault="00335E4B" w:rsidP="00335E4B">
      <w:pPr>
        <w:tabs>
          <w:tab w:val="left" w:pos="624"/>
        </w:tabs>
        <w:bidi w:val="0"/>
        <w:spacing w:after="120"/>
        <w:rPr>
          <w:rFonts w:cs="Times New Roman"/>
          <w:sz w:val="20"/>
          <w:szCs w:val="22"/>
          <w:lang w:val="en-GB"/>
        </w:rPr>
      </w:pPr>
      <w:r w:rsidRPr="00335E4B">
        <w:rPr>
          <w:rFonts w:cs="Times New Roman"/>
          <w:sz w:val="20"/>
          <w:szCs w:val="22"/>
          <w:lang w:val="en-GB"/>
        </w:rPr>
        <w:t>European Commission (2010). Industrial Emissions Directive 2010/75/EU.</w:t>
      </w:r>
    </w:p>
    <w:p w:rsidR="00335E4B" w:rsidRPr="00335E4B" w:rsidRDefault="00335E4B" w:rsidP="00335E4B">
      <w:pPr>
        <w:tabs>
          <w:tab w:val="left" w:pos="624"/>
        </w:tabs>
        <w:bidi w:val="0"/>
        <w:spacing w:after="120"/>
        <w:rPr>
          <w:rFonts w:cs="Times New Roman"/>
          <w:sz w:val="20"/>
          <w:szCs w:val="22"/>
          <w:lang w:val="en-GB"/>
        </w:rPr>
      </w:pPr>
      <w:r w:rsidRPr="00335E4B">
        <w:rPr>
          <w:rFonts w:cs="Times New Roman"/>
          <w:sz w:val="20"/>
          <w:szCs w:val="22"/>
          <w:lang w:val="en-GB"/>
        </w:rPr>
        <w:t xml:space="preserve">European Commission (2013). Best Available Techniques (BAT) Reference Document for the Large Combustion Plants Draft 1 (June 2013) Joint Research Centre – Institute for Prospective Technological Studies Sustainable Production and Consumption Unit European IPPC Bureau, Seville, Spain. </w:t>
      </w:r>
    </w:p>
    <w:p w:rsidR="00335E4B" w:rsidRPr="00335E4B" w:rsidRDefault="00335E4B" w:rsidP="00335E4B">
      <w:pPr>
        <w:tabs>
          <w:tab w:val="left" w:pos="624"/>
        </w:tabs>
        <w:bidi w:val="0"/>
        <w:spacing w:after="120"/>
        <w:rPr>
          <w:rFonts w:cs="Times New Roman"/>
          <w:sz w:val="20"/>
          <w:szCs w:val="22"/>
          <w:lang w:val="de-CH"/>
        </w:rPr>
      </w:pPr>
      <w:r w:rsidRPr="00335E4B">
        <w:rPr>
          <w:rFonts w:cs="Times New Roman"/>
          <w:sz w:val="20"/>
          <w:szCs w:val="22"/>
          <w:lang w:val="de-CH"/>
        </w:rPr>
        <w:t>Esser-Schmittman, W. (2012). Quecksilberabscheidung aus Feuerungsprozessen mittels Chemisorption an Aktivkohle und anderen Sorbentien. Berliner Planungs- und Immissionsschutzkonferenz am 19. und 20. November 2012.</w:t>
      </w:r>
    </w:p>
    <w:p w:rsidR="00335E4B" w:rsidRPr="003033D5" w:rsidRDefault="00335E4B" w:rsidP="00335E4B">
      <w:pPr>
        <w:bidi w:val="0"/>
        <w:spacing w:after="120"/>
        <w:rPr>
          <w:rFonts w:cs="Times New Roman"/>
          <w:sz w:val="20"/>
          <w:szCs w:val="24"/>
          <w:lang w:val="de-CH" w:eastAsia="de-DE"/>
        </w:rPr>
      </w:pPr>
      <w:r w:rsidRPr="003033D5">
        <w:rPr>
          <w:rFonts w:cs="Times New Roman"/>
          <w:color w:val="000000"/>
          <w:sz w:val="20"/>
          <w:szCs w:val="22"/>
          <w:lang w:val="de-CH" w:eastAsia="de-DE"/>
        </w:rPr>
        <w:t xml:space="preserve">Federal Remediation Technologies Reference Guide and Screening Manual, Version 4.0. 2004. </w:t>
      </w:r>
      <w:r w:rsidRPr="003033D5">
        <w:rPr>
          <w:rFonts w:cs="Times New Roman"/>
          <w:i/>
          <w:iCs/>
          <w:color w:val="000000"/>
          <w:sz w:val="20"/>
          <w:szCs w:val="22"/>
          <w:lang w:val="de-CH" w:eastAsia="de-DE"/>
        </w:rPr>
        <w:t xml:space="preserve">In Situ </w:t>
      </w:r>
      <w:r w:rsidRPr="003033D5">
        <w:rPr>
          <w:rFonts w:cs="Times New Roman"/>
          <w:color w:val="000000"/>
          <w:sz w:val="20"/>
          <w:szCs w:val="22"/>
          <w:lang w:val="de-CH" w:eastAsia="de-DE"/>
        </w:rPr>
        <w:t>Biological Treatment – Phytoremediation. Federal Remediation Technologies Roundtable. June 2004. http://www.frtr.gov/matrix2/section4/4-3.html.</w:t>
      </w:r>
    </w:p>
    <w:p w:rsidR="00335E4B" w:rsidRPr="00335E4B" w:rsidRDefault="00335E4B" w:rsidP="00335E4B">
      <w:pPr>
        <w:tabs>
          <w:tab w:val="left" w:pos="1247"/>
          <w:tab w:val="left" w:pos="1814"/>
          <w:tab w:val="left" w:pos="2381"/>
          <w:tab w:val="left" w:pos="2948"/>
          <w:tab w:val="left" w:pos="3515"/>
        </w:tabs>
        <w:bidi w:val="0"/>
        <w:spacing w:after="120"/>
        <w:rPr>
          <w:rFonts w:cs="Times New Roman"/>
          <w:sz w:val="20"/>
          <w:szCs w:val="22"/>
          <w:lang w:val="de-CH"/>
        </w:rPr>
      </w:pPr>
      <w:r w:rsidRPr="00335E4B">
        <w:rPr>
          <w:rFonts w:cs="Times New Roman"/>
          <w:sz w:val="20"/>
          <w:szCs w:val="22"/>
          <w:lang w:val="de-CH"/>
        </w:rPr>
        <w:t>Fundamentals – VDI 3460 Part 1, Kommission Reinhaltung der Luft im VDI und DIN – Normkontrollausschuss KRdL; VDI/DIN-Handbuch Reinhaltung der Luft, and 3: Emissionsminderung II VDI Handbuch Energietechnik</w:t>
      </w:r>
    </w:p>
    <w:p w:rsidR="00335E4B" w:rsidRPr="00335E4B" w:rsidRDefault="00335E4B" w:rsidP="00335E4B">
      <w:pPr>
        <w:tabs>
          <w:tab w:val="left" w:pos="1247"/>
          <w:tab w:val="left" w:pos="1814"/>
          <w:tab w:val="left" w:pos="2381"/>
          <w:tab w:val="left" w:pos="2948"/>
          <w:tab w:val="left" w:pos="3515"/>
        </w:tabs>
        <w:autoSpaceDE w:val="0"/>
        <w:autoSpaceDN w:val="0"/>
        <w:bidi w:val="0"/>
        <w:adjustRightInd w:val="0"/>
        <w:spacing w:after="120"/>
        <w:rPr>
          <w:rFonts w:cs="Times New Roman"/>
          <w:sz w:val="20"/>
          <w:szCs w:val="22"/>
          <w:lang w:val="de-CH"/>
        </w:rPr>
      </w:pPr>
      <w:r w:rsidRPr="00335E4B">
        <w:rPr>
          <w:rFonts w:cs="Times New Roman"/>
          <w:sz w:val="20"/>
          <w:szCs w:val="22"/>
          <w:lang w:val="en-GB"/>
        </w:rPr>
        <w:t xml:space="preserve">Galbreath, K.C., and C. Zygarlicke </w:t>
      </w:r>
      <w:r w:rsidRPr="00335E4B">
        <w:rPr>
          <w:rFonts w:cs="Times New Roman"/>
          <w:sz w:val="20"/>
          <w:szCs w:val="24"/>
          <w:lang w:val="en-GB"/>
        </w:rPr>
        <w:t xml:space="preserve">(1996). </w:t>
      </w:r>
      <w:r w:rsidRPr="00335E4B">
        <w:rPr>
          <w:rFonts w:cs="Times New Roman"/>
          <w:sz w:val="20"/>
          <w:szCs w:val="22"/>
          <w:lang w:val="en-GB"/>
        </w:rPr>
        <w:t xml:space="preserve">Mercury speciation in coal combustion and gasification flue gases. </w:t>
      </w:r>
      <w:r w:rsidRPr="00335E4B">
        <w:rPr>
          <w:rFonts w:cs="Times New Roman"/>
          <w:sz w:val="20"/>
          <w:szCs w:val="22"/>
          <w:lang w:val="de-CH"/>
        </w:rPr>
        <w:t>Environmental Science and Technology</w:t>
      </w:r>
      <w:r w:rsidRPr="00335E4B">
        <w:rPr>
          <w:rFonts w:cs="Times New Roman"/>
          <w:sz w:val="20"/>
          <w:szCs w:val="24"/>
          <w:lang w:val="de-CH"/>
        </w:rPr>
        <w:t xml:space="preserve"> </w:t>
      </w:r>
      <w:r w:rsidRPr="00335E4B">
        <w:rPr>
          <w:rFonts w:cs="Times New Roman"/>
          <w:sz w:val="20"/>
          <w:szCs w:val="22"/>
          <w:lang w:val="de-CH"/>
        </w:rPr>
        <w:t>30, pp. 2421–2426.</w:t>
      </w:r>
    </w:p>
    <w:p w:rsidR="00335E4B" w:rsidRPr="00335E4B" w:rsidRDefault="00335E4B" w:rsidP="00335E4B">
      <w:pPr>
        <w:tabs>
          <w:tab w:val="left" w:pos="1247"/>
          <w:tab w:val="left" w:pos="1814"/>
          <w:tab w:val="left" w:pos="2381"/>
          <w:tab w:val="left" w:pos="2948"/>
          <w:tab w:val="left" w:pos="3515"/>
        </w:tabs>
        <w:bidi w:val="0"/>
        <w:spacing w:after="120"/>
        <w:rPr>
          <w:rFonts w:cs="Times New Roman"/>
          <w:sz w:val="20"/>
          <w:szCs w:val="22"/>
          <w:lang w:val="de-CH"/>
        </w:rPr>
      </w:pPr>
      <w:r w:rsidRPr="00335E4B">
        <w:rPr>
          <w:rFonts w:cs="Times New Roman"/>
          <w:sz w:val="20"/>
          <w:szCs w:val="22"/>
          <w:lang w:val="de-CH"/>
        </w:rPr>
        <w:t>Gebhardt, P. Quecksilberemissionen durch die Müllverbrennung, Ingenieuerbüro für Umweltschutztechnik, Salzböden, September 2005.</w:t>
      </w:r>
    </w:p>
    <w:p w:rsidR="00335E4B" w:rsidRPr="00335E4B" w:rsidRDefault="00335E4B" w:rsidP="00335E4B">
      <w:pPr>
        <w:tabs>
          <w:tab w:val="left" w:pos="1247"/>
          <w:tab w:val="left" w:pos="1814"/>
          <w:tab w:val="left" w:pos="2381"/>
          <w:tab w:val="left" w:pos="2948"/>
          <w:tab w:val="left" w:pos="3515"/>
        </w:tabs>
        <w:bidi w:val="0"/>
        <w:spacing w:after="120"/>
        <w:rPr>
          <w:rFonts w:cs="Times New Roman"/>
          <w:sz w:val="20"/>
          <w:szCs w:val="22"/>
          <w:lang w:val="en-GB"/>
        </w:rPr>
      </w:pPr>
      <w:r w:rsidRPr="00335E4B">
        <w:rPr>
          <w:rFonts w:cs="Times New Roman"/>
          <w:sz w:val="20"/>
          <w:szCs w:val="22"/>
          <w:lang w:val="en-GB"/>
        </w:rPr>
        <w:t>GORE</w:t>
      </w:r>
      <w:r w:rsidRPr="00335E4B">
        <w:rPr>
          <w:rFonts w:cs="Times New Roman"/>
          <w:sz w:val="20"/>
          <w:szCs w:val="22"/>
          <w:vertAlign w:val="superscript"/>
          <w:lang w:val="en-GB"/>
        </w:rPr>
        <w:t>TM</w:t>
      </w:r>
      <w:r w:rsidRPr="00335E4B">
        <w:rPr>
          <w:rFonts w:cs="Times New Roman"/>
          <w:sz w:val="20"/>
          <w:szCs w:val="22"/>
          <w:lang w:val="en-GB"/>
        </w:rPr>
        <w:t xml:space="preserve"> Mercury Control System, Overview, February 2014.</w:t>
      </w:r>
    </w:p>
    <w:p w:rsidR="00335E4B" w:rsidRPr="00335E4B" w:rsidRDefault="00335E4B" w:rsidP="00335E4B">
      <w:pPr>
        <w:tabs>
          <w:tab w:val="left" w:pos="1247"/>
          <w:tab w:val="left" w:pos="1814"/>
          <w:tab w:val="left" w:pos="2381"/>
          <w:tab w:val="left" w:pos="2948"/>
          <w:tab w:val="left" w:pos="3515"/>
        </w:tabs>
        <w:bidi w:val="0"/>
        <w:spacing w:after="120"/>
        <w:rPr>
          <w:rFonts w:cs="Times New Roman"/>
          <w:noProof/>
          <w:sz w:val="20"/>
          <w:szCs w:val="22"/>
          <w:lang w:val="en-GB"/>
        </w:rPr>
      </w:pPr>
      <w:r w:rsidRPr="00335E4B">
        <w:rPr>
          <w:rFonts w:cs="Times New Roman"/>
          <w:noProof/>
          <w:sz w:val="20"/>
          <w:szCs w:val="22"/>
          <w:lang w:val="en-GB"/>
        </w:rPr>
        <w:t>Greyson, J. (2007). An economic instrument for zero waste, economic growth and sustainability. Journal of Cleaner Production 15 (13–14): pp.1382–1390.</w:t>
      </w:r>
    </w:p>
    <w:p w:rsidR="00335E4B" w:rsidRPr="00335E4B" w:rsidRDefault="00335E4B" w:rsidP="00335E4B">
      <w:pPr>
        <w:tabs>
          <w:tab w:val="left" w:pos="1247"/>
          <w:tab w:val="left" w:pos="1814"/>
          <w:tab w:val="left" w:pos="2381"/>
          <w:tab w:val="left" w:pos="2948"/>
          <w:tab w:val="left" w:pos="3515"/>
        </w:tabs>
        <w:autoSpaceDE w:val="0"/>
        <w:autoSpaceDN w:val="0"/>
        <w:bidi w:val="0"/>
        <w:adjustRightInd w:val="0"/>
        <w:spacing w:after="120"/>
        <w:rPr>
          <w:rFonts w:cs="Times New Roman"/>
          <w:sz w:val="20"/>
          <w:szCs w:val="24"/>
          <w:lang w:val="en-GB"/>
        </w:rPr>
      </w:pPr>
      <w:bookmarkStart w:id="2159" w:name="Hall,_1991"/>
      <w:r w:rsidRPr="00335E4B">
        <w:rPr>
          <w:rFonts w:cs="Times New Roman"/>
          <w:sz w:val="20"/>
          <w:szCs w:val="24"/>
          <w:lang w:val="en-GB"/>
        </w:rPr>
        <w:t xml:space="preserve">Hall, B., P. Schager and O. Lindqvist (1991). Chemical Reactions of Mercury in Combustion Flue Gases. </w:t>
      </w:r>
      <w:r w:rsidRPr="00335E4B">
        <w:rPr>
          <w:rFonts w:cs="Times New Roman"/>
          <w:iCs/>
          <w:sz w:val="20"/>
          <w:szCs w:val="24"/>
          <w:lang w:val="en-GB"/>
        </w:rPr>
        <w:t>Water, Air and Soil Pollution</w:t>
      </w:r>
      <w:r w:rsidRPr="00335E4B">
        <w:rPr>
          <w:rFonts w:cs="Times New Roman"/>
          <w:sz w:val="20"/>
          <w:szCs w:val="24"/>
          <w:lang w:val="en-GB"/>
        </w:rPr>
        <w:t>, 56, pp. 3–14.</w:t>
      </w:r>
      <w:bookmarkEnd w:id="2159"/>
    </w:p>
    <w:p w:rsidR="00335E4B" w:rsidRPr="00335E4B" w:rsidRDefault="00335E4B" w:rsidP="00335E4B">
      <w:pPr>
        <w:tabs>
          <w:tab w:val="left" w:pos="1247"/>
          <w:tab w:val="left" w:pos="1814"/>
          <w:tab w:val="left" w:pos="2381"/>
          <w:tab w:val="left" w:pos="2948"/>
          <w:tab w:val="left" w:pos="3515"/>
        </w:tabs>
        <w:bidi w:val="0"/>
        <w:spacing w:after="120"/>
        <w:rPr>
          <w:rFonts w:cs="Times New Roman"/>
          <w:noProof/>
          <w:sz w:val="20"/>
          <w:szCs w:val="22"/>
          <w:lang w:val="en-GB"/>
        </w:rPr>
      </w:pPr>
      <w:r w:rsidRPr="00335E4B">
        <w:rPr>
          <w:rFonts w:cs="Times New Roman"/>
          <w:noProof/>
          <w:sz w:val="20"/>
          <w:szCs w:val="22"/>
          <w:lang w:val="en-GB"/>
        </w:rPr>
        <w:fldChar w:fldCharType="begin"/>
      </w:r>
      <w:r w:rsidRPr="00335E4B">
        <w:rPr>
          <w:rFonts w:cs="Times New Roman"/>
          <w:noProof/>
          <w:sz w:val="20"/>
          <w:szCs w:val="22"/>
          <w:lang w:val="en-GB"/>
        </w:rPr>
        <w:instrText xml:space="preserve"> ADDIN EN.CITE &lt;EndNote&gt;&lt;Cite&gt;&lt;Author&gt;Health Care Without Harm&lt;/Author&gt;&lt;Year&gt;2001&lt;/Year&gt;&lt;RecNum&gt;6198&lt;/RecNum&gt;&lt;DisplayText&gt;Health Care Without Harm (2001). Non-Incineration Medical Waste Treatment Technologies. Health Care Without Harm. Washington, D.C.&lt;style face="bold"&gt;: &lt;/style&gt;118.&lt;/DisplayText&gt;&lt;record&gt;&lt;rec-number&gt;6198&lt;/rec-number&gt;&lt;foreign-keys&gt;&lt;key app="EN" db-id="59ft9ap9zf9rw7eeartvzzs0wvxwd2eata5t"&gt;6198&lt;/key&gt;&lt;/foreign-keys&gt;&lt;ref-type name="Report"&gt;27&lt;/ref-type&gt;&lt;contributors&gt;&lt;authors&gt;&lt;author&gt;&lt;style face="normal" font="default" charset="238" size="100%"&gt;Health Care Without Harm, &lt;/style&gt;&lt;/author&gt;&lt;/authors&gt;&lt;secondary-authors&gt;&lt;author&gt;&lt;style face="normal" font="default" charset="238" size="100%"&gt;Health Care Without Harm, &lt;/style&gt;&lt;/author&gt;&lt;/secondary-authors&gt;&lt;/contributors&gt;&lt;titles&gt;&lt;title&gt;&lt;style face="normal" font="default" size="100%"&gt;Non-Incineration&lt;/style&gt;&lt;style face="normal" font="default" charset="238" size="100%"&gt; &lt;/style&gt;&lt;style face="normal" font="default" size="100%"&gt;Medical&lt;/style&gt;&lt;style face="normal" font="default" charset="238" size="100%"&gt; &lt;/style&gt;&lt;style face="normal" font="default" size="100%"&gt;Waste&lt;/style&gt;&lt;style face="normal" font="default" charset="238" size="100%"&gt; &lt;/style&gt;&lt;style face="normal" font="default" size="100%"&gt;Treatment Technologies&lt;/style&gt;&lt;/title&gt;&lt;/titles&gt;&lt;pages&gt;&lt;style face="normal" font="default" charset="238" size="100%"&gt;118&lt;/style&gt;&lt;/pages&gt;&lt;keywords&gt;&lt;keyword&gt;non-incineration alternatives&lt;/keyword&gt;&lt;keyword&gt;medical waste&lt;/keyword&gt;&lt;keyword&gt;Helath Care Without Harm&lt;/keyword&gt;&lt;keyword&gt;waste incineration&lt;/keyword&gt;&lt;/keywords&gt;&lt;dates&gt;&lt;year&gt;&lt;style face="normal" font="default" charset="238" size="100%"&gt;2001&lt;/style&gt;&lt;/year&gt;&lt;/dates&gt;&lt;pub-location&gt;&lt;style face="normal" font="default" charset="238" size="100%"&gt;Washington, D.C.&lt;/style&gt;&lt;/pub-location&gt;&lt;urls&gt;&lt;related-urls&gt;&lt;url&gt;http://noharm.org/lib/downloads/waste/Non-Incineration_Technologies.pdf&lt;/url&gt;&lt;/related-urls&gt;&lt;/urls&gt;&lt;language&gt;&lt;style face="normal" font="default" charset="238" size="100%"&gt;English&lt;/style&gt;&lt;/language&gt;&lt;/record&gt;&lt;/Cite&gt;&lt;/EndNote&gt;</w:instrText>
      </w:r>
      <w:r w:rsidRPr="00335E4B">
        <w:rPr>
          <w:rFonts w:cs="Times New Roman"/>
          <w:noProof/>
          <w:sz w:val="20"/>
          <w:szCs w:val="22"/>
          <w:lang w:val="en-GB"/>
        </w:rPr>
        <w:fldChar w:fldCharType="separate"/>
      </w:r>
      <w:r w:rsidRPr="00335E4B">
        <w:rPr>
          <w:rFonts w:cs="Times New Roman"/>
          <w:noProof/>
          <w:sz w:val="20"/>
          <w:szCs w:val="22"/>
          <w:lang w:val="en-GB"/>
        </w:rPr>
        <w:t>Health Care Without Harm (2001). Non-Incineration Medical Waste Treatment Technologies. Health Care Without Harm. Washington D.C., 118 pp.</w:t>
      </w:r>
      <w:r w:rsidRPr="00335E4B">
        <w:rPr>
          <w:rFonts w:cs="Times New Roman"/>
          <w:noProof/>
          <w:sz w:val="20"/>
          <w:szCs w:val="22"/>
          <w:lang w:val="en-GB"/>
        </w:rPr>
        <w:fldChar w:fldCharType="end"/>
      </w:r>
    </w:p>
    <w:p w:rsidR="00335E4B" w:rsidRPr="00335E4B" w:rsidRDefault="00335E4B" w:rsidP="00335E4B">
      <w:pPr>
        <w:tabs>
          <w:tab w:val="left" w:pos="1247"/>
          <w:tab w:val="left" w:pos="1814"/>
          <w:tab w:val="left" w:pos="2381"/>
          <w:tab w:val="left" w:pos="2948"/>
          <w:tab w:val="left" w:pos="3515"/>
        </w:tabs>
        <w:bidi w:val="0"/>
        <w:spacing w:after="120"/>
        <w:rPr>
          <w:rFonts w:cs="Times New Roman"/>
          <w:sz w:val="20"/>
          <w:szCs w:val="24"/>
          <w:lang w:val="en-GB"/>
        </w:rPr>
      </w:pPr>
      <w:r w:rsidRPr="00335E4B">
        <w:rPr>
          <w:rFonts w:cs="Times New Roman"/>
          <w:sz w:val="20"/>
          <w:szCs w:val="24"/>
          <w:lang w:val="en-GB"/>
        </w:rPr>
        <w:t>Health Care Without Harm Europe (2004). Non-Incineration Medical Waste Treatment Technologies in Europe. Health Care Without Harm Europe. Prague</w:t>
      </w:r>
      <w:r w:rsidRPr="00335E4B">
        <w:rPr>
          <w:rFonts w:cs="Times New Roman"/>
          <w:b/>
          <w:bCs/>
          <w:sz w:val="20"/>
          <w:szCs w:val="24"/>
          <w:lang w:val="en-GB"/>
        </w:rPr>
        <w:t xml:space="preserve">, </w:t>
      </w:r>
      <w:r w:rsidRPr="00335E4B">
        <w:rPr>
          <w:rFonts w:cs="Times New Roman"/>
          <w:sz w:val="20"/>
          <w:szCs w:val="24"/>
          <w:lang w:val="en-GB"/>
        </w:rPr>
        <w:t>44 pp.</w:t>
      </w:r>
    </w:p>
    <w:p w:rsidR="00335E4B" w:rsidRPr="00335E4B" w:rsidRDefault="00335E4B" w:rsidP="00335E4B">
      <w:pPr>
        <w:tabs>
          <w:tab w:val="left" w:pos="284"/>
          <w:tab w:val="left" w:pos="1247"/>
          <w:tab w:val="left" w:pos="1814"/>
          <w:tab w:val="left" w:pos="2381"/>
          <w:tab w:val="left" w:pos="2948"/>
          <w:tab w:val="left" w:pos="3515"/>
        </w:tabs>
        <w:autoSpaceDE w:val="0"/>
        <w:autoSpaceDN w:val="0"/>
        <w:bidi w:val="0"/>
        <w:adjustRightInd w:val="0"/>
        <w:spacing w:after="120"/>
        <w:ind w:right="1026" w:hanging="11"/>
        <w:rPr>
          <w:rFonts w:cs="Times New Roman"/>
          <w:sz w:val="20"/>
          <w:szCs w:val="24"/>
          <w:lang w:val="en-GB"/>
        </w:rPr>
      </w:pPr>
      <w:r w:rsidRPr="00335E4B">
        <w:rPr>
          <w:rFonts w:cs="Times New Roman"/>
          <w:sz w:val="20"/>
          <w:szCs w:val="24"/>
          <w:lang w:val="en-GB"/>
        </w:rPr>
        <w:t>Heaton, A.C.P., C.L. Rugh, T. Kim, N.J. Wang and R.B. Meagher (2003). Toward detoxifying mercury-polluted aquatic sediments with rice genetically engineered for mercury resistance. Environmental Toxicology and Chemistry 22 (12), pp. 2940–2947.</w:t>
      </w:r>
    </w:p>
    <w:p w:rsidR="00335E4B" w:rsidRPr="00335E4B" w:rsidRDefault="00335E4B" w:rsidP="00335E4B">
      <w:pPr>
        <w:tabs>
          <w:tab w:val="left" w:pos="284"/>
          <w:tab w:val="left" w:pos="1247"/>
          <w:tab w:val="left" w:pos="1814"/>
          <w:tab w:val="left" w:pos="2381"/>
          <w:tab w:val="left" w:pos="2948"/>
          <w:tab w:val="left" w:pos="3515"/>
        </w:tabs>
        <w:autoSpaceDE w:val="0"/>
        <w:autoSpaceDN w:val="0"/>
        <w:bidi w:val="0"/>
        <w:adjustRightInd w:val="0"/>
        <w:spacing w:after="120"/>
        <w:ind w:right="1026" w:hanging="11"/>
        <w:rPr>
          <w:rFonts w:cs="Times New Roman"/>
          <w:sz w:val="20"/>
          <w:szCs w:val="24"/>
          <w:lang w:val="en-GB"/>
        </w:rPr>
      </w:pPr>
      <w:r w:rsidRPr="00335E4B">
        <w:rPr>
          <w:rFonts w:cs="Times New Roman"/>
          <w:sz w:val="20"/>
          <w:szCs w:val="24"/>
          <w:lang w:val="en-GB"/>
        </w:rPr>
        <w:t>Hubbard, J., S. Tsadwa, N. Willis, and M. Evans (1990). Site Sampling and Treatability Studies for Demonstration of WasteChem’s Asphalt Encapsulation Technology Under EPA’s SITE Program. Journal of the Air Waste Management Association 40(10), pp.1436–1441.</w:t>
      </w:r>
    </w:p>
    <w:p w:rsidR="00335E4B" w:rsidRPr="00335E4B" w:rsidRDefault="00335E4B" w:rsidP="00335E4B">
      <w:pPr>
        <w:tabs>
          <w:tab w:val="left" w:pos="284"/>
          <w:tab w:val="left" w:pos="1247"/>
          <w:tab w:val="left" w:pos="1814"/>
          <w:tab w:val="left" w:pos="2381"/>
          <w:tab w:val="left" w:pos="2948"/>
          <w:tab w:val="left" w:pos="3515"/>
        </w:tabs>
        <w:autoSpaceDE w:val="0"/>
        <w:autoSpaceDN w:val="0"/>
        <w:bidi w:val="0"/>
        <w:adjustRightInd w:val="0"/>
        <w:spacing w:after="120"/>
        <w:ind w:right="1026" w:hanging="11"/>
        <w:rPr>
          <w:rFonts w:cs="Times New Roman"/>
          <w:sz w:val="20"/>
          <w:szCs w:val="22"/>
          <w:lang w:val="en-GB"/>
        </w:rPr>
      </w:pPr>
      <w:r w:rsidRPr="00335E4B">
        <w:rPr>
          <w:rFonts w:cs="Times New Roman"/>
          <w:sz w:val="20"/>
          <w:szCs w:val="22"/>
          <w:lang w:val="en-GB" w:eastAsia="cs-CZ"/>
        </w:rPr>
        <w:t>ITRC (1998). Technical Guidelines for On-site Thermal Desorption of Solid Media and Low Level Mixed Waste Contaminated with Mercury and/or Hazardous Chlorinated Organics. The Interstate Technology and Regulatory Cooperation Work Group – Low Temperature Thermal Desorption Work Team,</w:t>
      </w:r>
      <w:r w:rsidRPr="00335E4B">
        <w:rPr>
          <w:rFonts w:cs="Times New Roman"/>
          <w:b/>
          <w:bCs/>
          <w:sz w:val="20"/>
          <w:szCs w:val="22"/>
          <w:lang w:val="en-GB" w:eastAsia="cs-CZ"/>
        </w:rPr>
        <w:t xml:space="preserve"> </w:t>
      </w:r>
      <w:r w:rsidRPr="00335E4B">
        <w:rPr>
          <w:rFonts w:cs="Times New Roman"/>
          <w:sz w:val="20"/>
          <w:szCs w:val="22"/>
          <w:lang w:val="en-GB" w:eastAsia="cs-CZ"/>
        </w:rPr>
        <w:t>68 pp.</w:t>
      </w:r>
    </w:p>
    <w:p w:rsidR="00335E4B" w:rsidRPr="00335E4B" w:rsidRDefault="00335E4B" w:rsidP="00335E4B">
      <w:pPr>
        <w:tabs>
          <w:tab w:val="left" w:pos="1247"/>
          <w:tab w:val="left" w:pos="1814"/>
          <w:tab w:val="left" w:pos="2381"/>
          <w:tab w:val="left" w:pos="2948"/>
          <w:tab w:val="left" w:pos="3515"/>
        </w:tabs>
        <w:autoSpaceDE w:val="0"/>
        <w:autoSpaceDN w:val="0"/>
        <w:bidi w:val="0"/>
        <w:adjustRightInd w:val="0"/>
        <w:spacing w:after="120"/>
        <w:ind w:right="1025" w:hanging="11"/>
        <w:rPr>
          <w:rFonts w:eastAsia="Calibri" w:cs="Times New Roman"/>
          <w:color w:val="000000"/>
          <w:sz w:val="20"/>
          <w:szCs w:val="24"/>
          <w:lang w:val="en-GB"/>
        </w:rPr>
      </w:pPr>
      <w:r w:rsidRPr="00335E4B">
        <w:rPr>
          <w:rFonts w:eastAsia="Calibri" w:cs="Times New Roman"/>
          <w:color w:val="000000"/>
          <w:sz w:val="20"/>
          <w:szCs w:val="24"/>
          <w:lang w:val="en-GB"/>
        </w:rPr>
        <w:t xml:space="preserve">Kalb, P.D., and P. Colombo (1997). Composition and Process for the Encapsulation of Radioactive Hazardous and Mixed Wastes. United States Patent 5,649,323. </w:t>
      </w:r>
    </w:p>
    <w:p w:rsidR="00335E4B" w:rsidRPr="00335E4B" w:rsidRDefault="00335E4B" w:rsidP="00335E4B">
      <w:pPr>
        <w:autoSpaceDE w:val="0"/>
        <w:autoSpaceDN w:val="0"/>
        <w:bidi w:val="0"/>
        <w:adjustRightInd w:val="0"/>
        <w:spacing w:after="120"/>
        <w:rPr>
          <w:rFonts w:cs="Times New Roman"/>
          <w:sz w:val="20"/>
          <w:szCs w:val="22"/>
          <w:lang w:val="en-GB"/>
        </w:rPr>
      </w:pPr>
      <w:r w:rsidRPr="00335E4B">
        <w:rPr>
          <w:rFonts w:eastAsia="MS Mincho" w:cs="Times New Roman"/>
          <w:sz w:val="20"/>
          <w:szCs w:val="22"/>
          <w:lang w:val="en-GB" w:eastAsia="ja-JP"/>
        </w:rPr>
        <w:t>Kalogirou, E. (2012). The development of WtE as an integral part of the sustainable waste management worldwide, Recuwatt Recycling and Energy Conference, Mataró, Spain, 4 October 2012.</w:t>
      </w:r>
    </w:p>
    <w:p w:rsidR="00335E4B" w:rsidRPr="00335E4B" w:rsidRDefault="00335E4B" w:rsidP="00335E4B">
      <w:pPr>
        <w:tabs>
          <w:tab w:val="left" w:pos="284"/>
          <w:tab w:val="left" w:pos="1247"/>
          <w:tab w:val="left" w:pos="1814"/>
          <w:tab w:val="left" w:pos="2381"/>
          <w:tab w:val="left" w:pos="2948"/>
          <w:tab w:val="left" w:pos="3515"/>
        </w:tabs>
        <w:autoSpaceDE w:val="0"/>
        <w:autoSpaceDN w:val="0"/>
        <w:bidi w:val="0"/>
        <w:adjustRightInd w:val="0"/>
        <w:spacing w:after="120"/>
        <w:ind w:hanging="11"/>
        <w:rPr>
          <w:rFonts w:eastAsia="Calibri" w:cs="Times New Roman"/>
          <w:color w:val="000000"/>
          <w:sz w:val="20"/>
          <w:szCs w:val="24"/>
          <w:lang w:val="en-GB"/>
        </w:rPr>
      </w:pPr>
      <w:r w:rsidRPr="00335E4B">
        <w:rPr>
          <w:rFonts w:eastAsia="Calibri" w:cs="Times New Roman"/>
          <w:color w:val="000000"/>
          <w:sz w:val="20"/>
          <w:szCs w:val="24"/>
          <w:lang w:val="en-GB"/>
        </w:rPr>
        <w:t>Kalb, P.D., D. Melamed, B.R. Patel and M. Fuhrmann (2002). Treatment of Mercury-Containing Wastes. United States Patent 6,399,849.</w:t>
      </w:r>
    </w:p>
    <w:p w:rsidR="00335E4B" w:rsidRPr="00335E4B" w:rsidRDefault="00335E4B" w:rsidP="00335E4B">
      <w:pPr>
        <w:widowControl w:val="0"/>
        <w:autoSpaceDE w:val="0"/>
        <w:autoSpaceDN w:val="0"/>
        <w:bidi w:val="0"/>
        <w:adjustRightInd w:val="0"/>
        <w:spacing w:after="120"/>
        <w:rPr>
          <w:rFonts w:eastAsia="Calibri" w:cs="Times New Roman"/>
          <w:color w:val="000000"/>
          <w:sz w:val="20"/>
          <w:szCs w:val="24"/>
          <w:lang w:val="en-GB"/>
        </w:rPr>
      </w:pPr>
      <w:r w:rsidRPr="00335E4B">
        <w:rPr>
          <w:rFonts w:cs="Times New Roman"/>
          <w:sz w:val="20"/>
          <w:szCs w:val="30"/>
          <w:lang w:eastAsia="de-DE"/>
        </w:rPr>
        <w:t xml:space="preserve">Keiser, B.; Glesmann, S.; Taff, B.; Senior, C.; Ghorishi, Behroos, Mimna, Richard; Miller, J.; Byrne, H. (2014): Improving Capture of Mercury Efficiency of WFDGs by reducing Mercury Reemissions, Institute of Clean Air Companies (ICAC), 6/2014. </w:t>
      </w:r>
      <w:r w:rsidRPr="00335E4B">
        <w:rPr>
          <w:rFonts w:cs="Times New Roman"/>
          <w:sz w:val="20"/>
          <w:szCs w:val="30"/>
          <w:u w:color="0000FF"/>
          <w:lang w:val="en-GB" w:eastAsia="de-DE"/>
        </w:rPr>
        <w:t>http://www.greatlakes.com/deployedfiles/ChemturaV8/GreatLakes/GeoBrom/GeoBrom%20Brochures/ICAC%20Improving%20Capture%20of%20Mercury%20Efficiency%20of%20WFDGs.pdf</w:t>
      </w:r>
      <w:r w:rsidRPr="00335E4B">
        <w:rPr>
          <w:rFonts w:cs="Times New Roman"/>
          <w:sz w:val="20"/>
          <w:szCs w:val="30"/>
          <w:lang w:val="en-GB" w:eastAsia="de-DE"/>
        </w:rPr>
        <w:t>.</w:t>
      </w:r>
    </w:p>
    <w:p w:rsidR="00335E4B" w:rsidRPr="00335E4B" w:rsidRDefault="00335E4B" w:rsidP="00335E4B">
      <w:pPr>
        <w:widowControl w:val="0"/>
        <w:autoSpaceDE w:val="0"/>
        <w:autoSpaceDN w:val="0"/>
        <w:bidi w:val="0"/>
        <w:adjustRightInd w:val="0"/>
        <w:spacing w:after="120"/>
        <w:rPr>
          <w:rFonts w:eastAsia="Calibri" w:cs="Times New Roman"/>
          <w:color w:val="000000"/>
          <w:sz w:val="20"/>
          <w:szCs w:val="24"/>
          <w:lang w:val="en-GB"/>
        </w:rPr>
      </w:pPr>
    </w:p>
    <w:p w:rsidR="00335E4B" w:rsidRPr="00335E4B" w:rsidRDefault="00335E4B" w:rsidP="00335E4B">
      <w:pPr>
        <w:bidi w:val="0"/>
        <w:spacing w:after="120"/>
        <w:rPr>
          <w:rFonts w:cs="Times New Roman"/>
          <w:sz w:val="20"/>
          <w:szCs w:val="24"/>
          <w:lang w:val="en-GB"/>
        </w:rPr>
      </w:pPr>
      <w:r w:rsidRPr="00335E4B">
        <w:rPr>
          <w:rFonts w:cs="Times New Roman"/>
          <w:sz w:val="20"/>
          <w:szCs w:val="24"/>
          <w:lang w:val="en-GB"/>
        </w:rPr>
        <w:t>Khairiraihanna et al. (2015). Removal performance of elemental mercury by low-cost adsorbents prepared through facile methods of carbonisation and activation of coconut husk; Waste Management and Research 2015, vol. 33(1), pp. 81–88.</w:t>
      </w:r>
    </w:p>
    <w:p w:rsidR="00335E4B" w:rsidRPr="00335E4B" w:rsidRDefault="00335E4B" w:rsidP="00335E4B">
      <w:pPr>
        <w:bidi w:val="0"/>
        <w:spacing w:after="120"/>
        <w:rPr>
          <w:rFonts w:cs="Times New Roman"/>
          <w:sz w:val="20"/>
          <w:szCs w:val="22"/>
          <w:lang w:val="de-CH" w:eastAsia="de-DE"/>
        </w:rPr>
      </w:pPr>
      <w:r w:rsidRPr="00335E4B">
        <w:rPr>
          <w:rFonts w:cs="Times New Roman"/>
          <w:sz w:val="20"/>
          <w:szCs w:val="22"/>
          <w:lang w:val="de-CH" w:eastAsia="de-DE"/>
        </w:rPr>
        <w:t>Klaist:</w:t>
      </w:r>
      <w:r w:rsidRPr="00335E4B">
        <w:rPr>
          <w:rFonts w:cs="Times New Roman"/>
          <w:i/>
          <w:iCs/>
          <w:sz w:val="20"/>
          <w:szCs w:val="24"/>
          <w:lang w:val="de-CH"/>
        </w:rPr>
        <w:t xml:space="preserve"> </w:t>
      </w:r>
      <w:r w:rsidRPr="00335E4B">
        <w:rPr>
          <w:rFonts w:cs="Times New Roman"/>
          <w:iCs/>
          <w:sz w:val="20"/>
          <w:szCs w:val="24"/>
          <w:lang w:val="de-CH"/>
        </w:rPr>
        <w:t>Vorbeugender chemischer Holzschutz</w:t>
      </w:r>
      <w:r w:rsidRPr="00335E4B">
        <w:rPr>
          <w:rFonts w:cs="Times New Roman"/>
          <w:sz w:val="20"/>
          <w:szCs w:val="24"/>
          <w:lang w:val="de-CH"/>
        </w:rPr>
        <w:t xml:space="preserve"> in: Johann Müller (Hrsg.): </w:t>
      </w:r>
      <w:r w:rsidRPr="00335E4B">
        <w:rPr>
          <w:rFonts w:cs="Times New Roman"/>
          <w:iCs/>
          <w:sz w:val="20"/>
          <w:szCs w:val="24"/>
          <w:lang w:val="de-CH"/>
        </w:rPr>
        <w:t>Holzschutz im Hochbau. Grundlagen – Holzschädlinge – Vorbeugung – Bekämpfung.</w:t>
      </w:r>
      <w:r w:rsidRPr="00335E4B">
        <w:rPr>
          <w:rFonts w:cs="Times New Roman"/>
          <w:sz w:val="20"/>
          <w:szCs w:val="24"/>
          <w:lang w:val="de-CH"/>
        </w:rPr>
        <w:t xml:space="preserve"> Fraunhofer IRB Verlag, Stuttgart 2005.</w:t>
      </w:r>
    </w:p>
    <w:p w:rsidR="00335E4B" w:rsidRPr="00335E4B" w:rsidRDefault="00335E4B" w:rsidP="00335E4B">
      <w:pPr>
        <w:tabs>
          <w:tab w:val="left" w:pos="284"/>
        </w:tabs>
        <w:autoSpaceDE w:val="0"/>
        <w:autoSpaceDN w:val="0"/>
        <w:bidi w:val="0"/>
        <w:adjustRightInd w:val="0"/>
        <w:spacing w:after="120"/>
        <w:ind w:right="370" w:hanging="11"/>
        <w:rPr>
          <w:rFonts w:eastAsia="Calibri" w:cs="Times New Roman"/>
          <w:color w:val="000000"/>
          <w:sz w:val="20"/>
          <w:szCs w:val="22"/>
          <w:lang w:val="en-GB"/>
        </w:rPr>
      </w:pPr>
      <w:r w:rsidRPr="003033D5">
        <w:rPr>
          <w:rFonts w:eastAsia="Calibri" w:cs="Times New Roman"/>
          <w:sz w:val="20"/>
          <w:szCs w:val="24"/>
          <w:lang w:val="de-CH"/>
        </w:rPr>
        <w:t xml:space="preserve">Licata, A., </w:t>
      </w:r>
      <w:r w:rsidRPr="003033D5">
        <w:rPr>
          <w:rFonts w:eastAsia="Calibri" w:cs="Times New Roman"/>
          <w:sz w:val="20"/>
          <w:szCs w:val="22"/>
          <w:lang w:val="de-CH" w:eastAsia="de-DE"/>
        </w:rPr>
        <w:t xml:space="preserve">et al. </w:t>
      </w:r>
      <w:r w:rsidRPr="00335E4B">
        <w:rPr>
          <w:rFonts w:eastAsia="Calibri" w:cs="Times New Roman"/>
          <w:sz w:val="20"/>
          <w:szCs w:val="22"/>
          <w:lang w:val="en-GB" w:eastAsia="de-DE"/>
        </w:rPr>
        <w:t>(2007). Safety aspects in the use of carbonaceous sorbents during waste gas treatment, Metallurgical Plant and Technology 3, pp. 144–152.</w:t>
      </w:r>
    </w:p>
    <w:p w:rsidR="00335E4B" w:rsidRPr="00335E4B" w:rsidRDefault="00335E4B" w:rsidP="00335E4B">
      <w:pPr>
        <w:tabs>
          <w:tab w:val="left" w:pos="284"/>
        </w:tabs>
        <w:autoSpaceDE w:val="0"/>
        <w:autoSpaceDN w:val="0"/>
        <w:bidi w:val="0"/>
        <w:adjustRightInd w:val="0"/>
        <w:spacing w:after="120"/>
        <w:ind w:right="370" w:hanging="11"/>
        <w:rPr>
          <w:rFonts w:eastAsia="Calibri" w:cs="Times New Roman"/>
          <w:color w:val="000000"/>
          <w:sz w:val="20"/>
          <w:szCs w:val="22"/>
          <w:lang w:val="en-GB"/>
        </w:rPr>
      </w:pPr>
      <w:r w:rsidRPr="00335E4B">
        <w:rPr>
          <w:rFonts w:eastAsia="Calibri" w:cs="Times New Roman"/>
          <w:color w:val="000000"/>
          <w:sz w:val="20"/>
          <w:szCs w:val="22"/>
          <w:lang w:val="en-GB"/>
        </w:rPr>
        <w:t xml:space="preserve">Looney, B.B., et al. (2001). Ultralow Concentration Mercury Treatment Using Chemical Reduction and Air Stripping. WSRC-MS-2001-00388. 24 April 2001. </w:t>
      </w:r>
    </w:p>
    <w:p w:rsidR="00335E4B" w:rsidRPr="00335E4B" w:rsidRDefault="00335E4B" w:rsidP="00335E4B">
      <w:pPr>
        <w:tabs>
          <w:tab w:val="left" w:pos="284"/>
        </w:tabs>
        <w:autoSpaceDE w:val="0"/>
        <w:autoSpaceDN w:val="0"/>
        <w:bidi w:val="0"/>
        <w:adjustRightInd w:val="0"/>
        <w:spacing w:after="120"/>
        <w:ind w:hanging="11"/>
        <w:rPr>
          <w:rFonts w:eastAsia="Calibri" w:cs="Times New Roman"/>
          <w:color w:val="000000"/>
          <w:sz w:val="20"/>
          <w:szCs w:val="22"/>
          <w:lang w:val="en-GB"/>
        </w:rPr>
      </w:pPr>
      <w:r w:rsidRPr="00335E4B">
        <w:rPr>
          <w:rFonts w:eastAsia="Calibri" w:cs="Times New Roman"/>
          <w:color w:val="000000"/>
          <w:sz w:val="20"/>
          <w:szCs w:val="22"/>
          <w:lang w:val="en-GB"/>
        </w:rPr>
        <w:t xml:space="preserve">Mattigod, S.V., G. Fryxell, R. Skaggs, K. Parker, J. Liu and X Feng (2003). Mercury Removal from Waste Streams Using a Novel Synthetic Nanoporous Sorbent. Industrial Water Conference. Las </w:t>
      </w:r>
      <w:r w:rsidRPr="00335E4B">
        <w:rPr>
          <w:rFonts w:eastAsia="Calibri" w:cs="Times New Roman"/>
          <w:color w:val="000000"/>
          <w:sz w:val="20"/>
          <w:szCs w:val="22"/>
          <w:lang w:val="en-GB"/>
        </w:rPr>
        <w:tab/>
        <w:t xml:space="preserve">Vegas, Nevada, United States, December 2003. </w:t>
      </w:r>
    </w:p>
    <w:p w:rsidR="00335E4B" w:rsidRPr="00335E4B" w:rsidRDefault="00335E4B" w:rsidP="00335E4B">
      <w:pPr>
        <w:bidi w:val="0"/>
        <w:spacing w:after="120"/>
        <w:rPr>
          <w:rFonts w:cs="Times New Roman"/>
          <w:sz w:val="20"/>
          <w:szCs w:val="24"/>
          <w:lang w:val="en-GB" w:eastAsia="de-DE"/>
        </w:rPr>
      </w:pPr>
      <w:r w:rsidRPr="00335E4B">
        <w:rPr>
          <w:rFonts w:cs="Times New Roman"/>
          <w:sz w:val="20"/>
          <w:szCs w:val="24"/>
          <w:lang w:val="en-GB" w:eastAsia="de-DE"/>
        </w:rPr>
        <w:t>Löthgren, C.-J., et al. (2007). Mercury Speciation in Flue Gases after an Oxidative Acid Wet Scrubber, Chemical Engineering and Technology, 30(1), pp. 131–138.</w:t>
      </w:r>
    </w:p>
    <w:p w:rsidR="00335E4B" w:rsidRPr="00335E4B" w:rsidRDefault="00335E4B" w:rsidP="00335E4B">
      <w:pPr>
        <w:widowControl w:val="0"/>
        <w:autoSpaceDE w:val="0"/>
        <w:autoSpaceDN w:val="0"/>
        <w:bidi w:val="0"/>
        <w:adjustRightInd w:val="0"/>
        <w:spacing w:after="120"/>
        <w:rPr>
          <w:rFonts w:cs="Times New Roman"/>
          <w:sz w:val="20"/>
          <w:szCs w:val="30"/>
          <w:lang w:eastAsia="de-DE"/>
        </w:rPr>
      </w:pPr>
      <w:r w:rsidRPr="00335E4B">
        <w:rPr>
          <w:rFonts w:cs="Times New Roman"/>
          <w:sz w:val="20"/>
          <w:szCs w:val="30"/>
          <w:lang w:eastAsia="de-DE"/>
        </w:rPr>
        <w:t>Marsan, R. et al. 2012: Maintaining High Level Mercury Capture in wFGD Absorber</w:t>
      </w:r>
      <w:r w:rsidRPr="00335E4B">
        <w:rPr>
          <w:rFonts w:cs="Times New Roman"/>
          <w:i/>
          <w:iCs/>
          <w:sz w:val="20"/>
          <w:szCs w:val="30"/>
          <w:lang w:eastAsia="de-DE"/>
        </w:rPr>
        <w:t>, STEAG Energy Services LLC</w:t>
      </w:r>
      <w:r w:rsidRPr="00335E4B">
        <w:rPr>
          <w:rFonts w:cs="Times New Roman"/>
          <w:sz w:val="20"/>
          <w:szCs w:val="30"/>
          <w:lang w:eastAsia="de-DE"/>
        </w:rPr>
        <w:t>. APC Round Table Expo Presentation. Reinhold Environmental Ltd. Baltimore, 16./17.7.2012.</w:t>
      </w:r>
    </w:p>
    <w:p w:rsidR="00335E4B" w:rsidRPr="00335E4B" w:rsidRDefault="00335E4B" w:rsidP="00335E4B">
      <w:pPr>
        <w:tabs>
          <w:tab w:val="left" w:pos="1247"/>
          <w:tab w:val="left" w:pos="1814"/>
          <w:tab w:val="left" w:pos="2381"/>
          <w:tab w:val="left" w:pos="2948"/>
          <w:tab w:val="left" w:pos="3515"/>
        </w:tabs>
        <w:autoSpaceDE w:val="0"/>
        <w:autoSpaceDN w:val="0"/>
        <w:bidi w:val="0"/>
        <w:adjustRightInd w:val="0"/>
        <w:spacing w:after="120"/>
        <w:rPr>
          <w:rFonts w:eastAsia="Calibri" w:cs="Times New Roman"/>
          <w:i/>
          <w:iCs/>
          <w:sz w:val="20"/>
          <w:szCs w:val="24"/>
          <w:lang w:val="en-GB"/>
        </w:rPr>
      </w:pPr>
      <w:r w:rsidRPr="00335E4B">
        <w:rPr>
          <w:rFonts w:eastAsia="Calibri" w:cs="Times New Roman"/>
          <w:sz w:val="20"/>
          <w:szCs w:val="24"/>
          <w:lang w:val="en-GB"/>
        </w:rPr>
        <w:t xml:space="preserve">Meng, X., Z. Hua, D. Dermatas, W. Wang and H.Y. Kuo (1998). </w:t>
      </w:r>
      <w:r w:rsidRPr="00335E4B">
        <w:rPr>
          <w:rFonts w:eastAsia="Calibri" w:cs="Times New Roman"/>
          <w:iCs/>
          <w:sz w:val="20"/>
          <w:szCs w:val="24"/>
          <w:lang w:val="en-GB"/>
        </w:rPr>
        <w:t>Immobilization of mercury (II) in contaminated soil with used tire rubber</w:t>
      </w:r>
      <w:r w:rsidRPr="00335E4B">
        <w:rPr>
          <w:rFonts w:eastAsia="Calibri" w:cs="Times New Roman"/>
          <w:sz w:val="20"/>
          <w:szCs w:val="24"/>
          <w:lang w:val="en-GB"/>
        </w:rPr>
        <w:t>. Journal of Hazardous Materials. 57, pp. 231–241.</w:t>
      </w:r>
    </w:p>
    <w:p w:rsidR="00335E4B" w:rsidRPr="00335E4B" w:rsidRDefault="00335E4B" w:rsidP="00335E4B">
      <w:pPr>
        <w:tabs>
          <w:tab w:val="left" w:pos="284"/>
          <w:tab w:val="left" w:pos="1247"/>
          <w:tab w:val="left" w:pos="1814"/>
          <w:tab w:val="left" w:pos="2381"/>
          <w:tab w:val="left" w:pos="2948"/>
          <w:tab w:val="left" w:pos="3515"/>
        </w:tabs>
        <w:autoSpaceDE w:val="0"/>
        <w:autoSpaceDN w:val="0"/>
        <w:bidi w:val="0"/>
        <w:adjustRightInd w:val="0"/>
        <w:spacing w:after="120"/>
        <w:ind w:hanging="11"/>
        <w:rPr>
          <w:rFonts w:eastAsia="Calibri" w:cs="Times New Roman"/>
          <w:sz w:val="20"/>
          <w:szCs w:val="24"/>
          <w:lang w:val="en-GB"/>
        </w:rPr>
      </w:pPr>
      <w:r w:rsidRPr="00335E4B">
        <w:rPr>
          <w:rFonts w:eastAsia="Calibri" w:cs="Times New Roman"/>
          <w:sz w:val="20"/>
          <w:szCs w:val="24"/>
          <w:lang w:val="en-GB"/>
        </w:rPr>
        <w:t xml:space="preserve">Miller, C.M., S.E. Duirk and K.H. Gardner (2000). </w:t>
      </w:r>
      <w:r w:rsidRPr="00335E4B">
        <w:rPr>
          <w:rFonts w:eastAsia="Calibri" w:cs="Times New Roman"/>
          <w:iCs/>
          <w:sz w:val="20"/>
          <w:szCs w:val="24"/>
          <w:lang w:val="en-GB"/>
        </w:rPr>
        <w:t>Chromium leaching from a silicone foam-encapsulated mixed waste surrogate</w:t>
      </w:r>
      <w:r w:rsidRPr="00335E4B">
        <w:rPr>
          <w:rFonts w:eastAsia="Calibri" w:cs="Times New Roman"/>
          <w:sz w:val="20"/>
          <w:szCs w:val="24"/>
          <w:lang w:val="en-GB"/>
        </w:rPr>
        <w:t>. Environmental Science and Technology 34(3), pp. 455–460.</w:t>
      </w:r>
    </w:p>
    <w:p w:rsidR="00335E4B" w:rsidRPr="00335E4B" w:rsidRDefault="00335E4B" w:rsidP="00335E4B">
      <w:pPr>
        <w:tabs>
          <w:tab w:val="left" w:pos="284"/>
          <w:tab w:val="left" w:pos="1247"/>
          <w:tab w:val="left" w:pos="1814"/>
          <w:tab w:val="left" w:pos="2381"/>
          <w:tab w:val="left" w:pos="2948"/>
          <w:tab w:val="left" w:pos="3515"/>
        </w:tabs>
        <w:autoSpaceDE w:val="0"/>
        <w:autoSpaceDN w:val="0"/>
        <w:bidi w:val="0"/>
        <w:adjustRightInd w:val="0"/>
        <w:spacing w:after="120"/>
        <w:ind w:hanging="11"/>
        <w:rPr>
          <w:rFonts w:eastAsia="Calibri" w:cs="Times New Roman"/>
          <w:sz w:val="20"/>
          <w:szCs w:val="24"/>
          <w:lang w:val="en-GB"/>
        </w:rPr>
      </w:pPr>
      <w:r w:rsidRPr="00335E4B">
        <w:rPr>
          <w:rFonts w:cs="Times New Roman"/>
          <w:sz w:val="20"/>
          <w:szCs w:val="22"/>
          <w:lang w:val="en-GB"/>
        </w:rPr>
        <w:t>Miller et al (2014). Mercury Control with Brominated PAC and Injection Upstream of a WET FGD System. Presented at the Power Plant Pollutant Control “MEGA” Symposium, 19–21 August 2014, Baltimore, United States.</w:t>
      </w:r>
    </w:p>
    <w:p w:rsidR="00335E4B" w:rsidRPr="00335E4B" w:rsidRDefault="00335E4B" w:rsidP="00335E4B">
      <w:pPr>
        <w:tabs>
          <w:tab w:val="left" w:pos="284"/>
          <w:tab w:val="left" w:pos="1247"/>
          <w:tab w:val="left" w:pos="1814"/>
          <w:tab w:val="left" w:pos="2381"/>
          <w:tab w:val="left" w:pos="2948"/>
          <w:tab w:val="left" w:pos="3515"/>
        </w:tabs>
        <w:autoSpaceDE w:val="0"/>
        <w:autoSpaceDN w:val="0"/>
        <w:bidi w:val="0"/>
        <w:adjustRightInd w:val="0"/>
        <w:spacing w:after="120"/>
        <w:ind w:hanging="11"/>
        <w:rPr>
          <w:rFonts w:eastAsia="Calibri" w:cs="Times New Roman"/>
          <w:sz w:val="20"/>
          <w:szCs w:val="24"/>
          <w:lang w:val="de-CH"/>
        </w:rPr>
      </w:pPr>
      <w:r w:rsidRPr="00335E4B">
        <w:rPr>
          <w:rFonts w:cs="Times New Roman"/>
          <w:sz w:val="20"/>
          <w:szCs w:val="24"/>
          <w:lang w:val="de-CH"/>
        </w:rPr>
        <w:t>Mineur, M., et al. Betriebliche Erfahrungen zur Minderung von Quecksilberemissionen bei der Hausmüllverbrennung VDI Wissensforum, Oktober 2012, Würzburg, Germany.</w:t>
      </w:r>
    </w:p>
    <w:p w:rsidR="00335E4B" w:rsidRPr="00335E4B" w:rsidRDefault="00335E4B" w:rsidP="00335E4B">
      <w:pPr>
        <w:bidi w:val="0"/>
        <w:spacing w:after="100"/>
        <w:rPr>
          <w:rFonts w:cs="Times New Roman"/>
          <w:sz w:val="20"/>
          <w:szCs w:val="22"/>
          <w:lang w:val="en-GB" w:eastAsia="de-DE"/>
        </w:rPr>
      </w:pPr>
      <w:r w:rsidRPr="00335E4B">
        <w:rPr>
          <w:rFonts w:cs="Times New Roman"/>
          <w:sz w:val="20"/>
          <w:szCs w:val="22"/>
          <w:lang w:val="en-GB" w:eastAsia="de-DE"/>
        </w:rPr>
        <w:t>Muenhor, D., et al (2009). Mercury contamination and potential impacts from municipal waste incinerator on Samui Island, Thailand, Journal of Environmental Science and Health. Part A, Toxic/Hazardous Substances and Environmental Engineering, March, 44, pp. 376–387.</w:t>
      </w:r>
    </w:p>
    <w:p w:rsidR="00335E4B" w:rsidRPr="00335E4B" w:rsidRDefault="00335E4B" w:rsidP="00335E4B">
      <w:pPr>
        <w:bidi w:val="0"/>
        <w:spacing w:after="100"/>
        <w:rPr>
          <w:rFonts w:cs="Times New Roman"/>
          <w:sz w:val="20"/>
          <w:szCs w:val="22"/>
          <w:lang w:val="en-GB" w:eastAsia="de-DE"/>
        </w:rPr>
      </w:pPr>
      <w:r w:rsidRPr="00335E4B">
        <w:rPr>
          <w:rFonts w:cs="Times New Roman"/>
          <w:sz w:val="20"/>
          <w:szCs w:val="22"/>
          <w:lang w:val="en-GB" w:eastAsia="de-DE"/>
        </w:rPr>
        <w:t>Material Safety Data Sheet according to EU Directive 1907/2006/EC, Article 31 on PRAVO</w:t>
      </w:r>
    </w:p>
    <w:p w:rsidR="00335E4B" w:rsidRPr="00335E4B" w:rsidRDefault="00335E4B" w:rsidP="00335E4B">
      <w:pPr>
        <w:bidi w:val="0"/>
        <w:spacing w:after="100"/>
        <w:rPr>
          <w:rFonts w:cs="Times New Roman"/>
          <w:sz w:val="20"/>
          <w:szCs w:val="22"/>
          <w:lang w:val="de-CH" w:eastAsia="de-DE"/>
        </w:rPr>
      </w:pPr>
      <w:r w:rsidRPr="00335E4B">
        <w:rPr>
          <w:rFonts w:cs="Times New Roman"/>
          <w:sz w:val="20"/>
          <w:szCs w:val="22"/>
          <w:lang w:val="de-CH" w:eastAsia="de-DE"/>
        </w:rPr>
        <w:t>Nethe, L.-P.. Optimierung der Quecksilberabscheidung in der Rauchgasreinigung von Verbrennungsanlagen durch den Einsatz schwefelhaltiger Zusatzkomponenten, Texocon Potsdam, January 2009.</w:t>
      </w:r>
    </w:p>
    <w:p w:rsidR="00335E4B" w:rsidRPr="00335E4B" w:rsidRDefault="00335E4B" w:rsidP="00335E4B">
      <w:pPr>
        <w:bidi w:val="0"/>
        <w:spacing w:after="100"/>
        <w:rPr>
          <w:rFonts w:cs="Times New Roman"/>
          <w:sz w:val="20"/>
          <w:szCs w:val="22"/>
          <w:lang w:val="en-GB" w:eastAsia="de-DE"/>
        </w:rPr>
      </w:pPr>
      <w:r w:rsidRPr="00335E4B">
        <w:rPr>
          <w:rFonts w:cs="Times New Roman"/>
          <w:sz w:val="20"/>
          <w:szCs w:val="22"/>
          <w:lang w:val="en-GB" w:eastAsia="de-DE"/>
        </w:rPr>
        <w:t>Nishitani, T., et al. (1999). The relationship between HCl and mercury speciation in flue gas from municipal solid waste incinerators. Chemosphere, 39, (I), pp. 1–9.</w:t>
      </w:r>
    </w:p>
    <w:p w:rsidR="00335E4B" w:rsidRPr="00335E4B" w:rsidRDefault="00335E4B" w:rsidP="00335E4B">
      <w:pPr>
        <w:tabs>
          <w:tab w:val="left" w:pos="284"/>
          <w:tab w:val="left" w:pos="1247"/>
          <w:tab w:val="left" w:pos="1814"/>
          <w:tab w:val="left" w:pos="2381"/>
          <w:tab w:val="left" w:pos="2948"/>
          <w:tab w:val="left" w:pos="3515"/>
        </w:tabs>
        <w:autoSpaceDE w:val="0"/>
        <w:autoSpaceDN w:val="0"/>
        <w:bidi w:val="0"/>
        <w:adjustRightInd w:val="0"/>
        <w:spacing w:after="100"/>
        <w:ind w:hanging="11"/>
        <w:rPr>
          <w:rFonts w:eastAsia="Calibri" w:cs="Times New Roman"/>
          <w:sz w:val="20"/>
          <w:szCs w:val="24"/>
          <w:lang w:val="en-GB"/>
        </w:rPr>
      </w:pPr>
      <w:r w:rsidRPr="00335E4B">
        <w:rPr>
          <w:rFonts w:eastAsia="Calibri" w:cs="Times New Roman"/>
          <w:sz w:val="20"/>
          <w:szCs w:val="24"/>
          <w:lang w:val="en-GB"/>
        </w:rPr>
        <w:t xml:space="preserve">Orebaugh, E.G. 1993. </w:t>
      </w:r>
      <w:r w:rsidRPr="00335E4B">
        <w:rPr>
          <w:rFonts w:eastAsia="Calibri" w:cs="Times New Roman"/>
          <w:iCs/>
          <w:sz w:val="20"/>
          <w:szCs w:val="24"/>
          <w:lang w:val="en-GB"/>
        </w:rPr>
        <w:t>Lead Macroencapsulation Conceptual and Experimental Studies</w:t>
      </w:r>
      <w:r w:rsidRPr="00335E4B">
        <w:rPr>
          <w:rFonts w:eastAsia="Calibri" w:cs="Times New Roman"/>
          <w:sz w:val="20"/>
          <w:szCs w:val="24"/>
          <w:lang w:val="en-GB"/>
        </w:rPr>
        <w:t xml:space="preserve">. </w:t>
      </w:r>
      <w:r w:rsidRPr="00335E4B">
        <w:rPr>
          <w:rFonts w:eastAsia="Calibri" w:cs="Times New Roman"/>
          <w:sz w:val="20"/>
          <w:szCs w:val="24"/>
          <w:lang w:val="en-GB"/>
        </w:rPr>
        <w:tab/>
        <w:t>WSRC-RP-93-227. Aiken, SC, Westinghouse Savannah River Company, January 1993.</w:t>
      </w:r>
    </w:p>
    <w:p w:rsidR="00335E4B" w:rsidRPr="00335E4B" w:rsidRDefault="00335E4B" w:rsidP="00335E4B">
      <w:pPr>
        <w:widowControl w:val="0"/>
        <w:autoSpaceDE w:val="0"/>
        <w:autoSpaceDN w:val="0"/>
        <w:bidi w:val="0"/>
        <w:adjustRightInd w:val="0"/>
        <w:spacing w:after="100"/>
        <w:rPr>
          <w:rFonts w:cs="Times New Roman"/>
          <w:sz w:val="20"/>
          <w:szCs w:val="30"/>
          <w:lang w:eastAsia="de-DE"/>
        </w:rPr>
      </w:pPr>
      <w:r w:rsidRPr="00335E4B">
        <w:rPr>
          <w:rFonts w:cs="Times New Roman"/>
          <w:sz w:val="20"/>
          <w:szCs w:val="30"/>
          <w:lang w:eastAsia="de-DE"/>
        </w:rPr>
        <w:t xml:space="preserve">Owens, M.; Goltz, H. R.; Mingee, D.; Kelly, R. (2011): Trace Mercury Removal from Flue Gas Desulfurization Wastewater. Degremont Technologies, Dow Chemical Company, Degremont North American Research &amp; Development, Internetpublikation, 5.5.2011, 5.5.2011. </w:t>
      </w:r>
      <w:hyperlink r:id="rId57" w:history="1">
        <w:r w:rsidRPr="00335E4B">
          <w:rPr>
            <w:rFonts w:cs="Times New Roman"/>
            <w:sz w:val="20"/>
            <w:szCs w:val="30"/>
            <w:u w:color="0000FF"/>
            <w:lang w:eastAsia="de-DE"/>
          </w:rPr>
          <w:t>http://www.degremont-technologies.com/IMG/pdf/tech_infilco_FGD-Mercury.pdf</w:t>
        </w:r>
      </w:hyperlink>
      <w:r w:rsidRPr="00335E4B">
        <w:rPr>
          <w:rFonts w:cs="Times New Roman"/>
          <w:sz w:val="20"/>
          <w:szCs w:val="30"/>
          <w:lang w:eastAsia="de-DE"/>
        </w:rPr>
        <w:t>.</w:t>
      </w:r>
    </w:p>
    <w:p w:rsidR="00335E4B" w:rsidRPr="00335E4B" w:rsidRDefault="00335E4B" w:rsidP="00335E4B">
      <w:pPr>
        <w:tabs>
          <w:tab w:val="left" w:pos="1247"/>
          <w:tab w:val="left" w:pos="1814"/>
          <w:tab w:val="left" w:pos="2381"/>
          <w:tab w:val="left" w:pos="2948"/>
          <w:tab w:val="left" w:pos="3515"/>
        </w:tabs>
        <w:bidi w:val="0"/>
        <w:spacing w:after="100"/>
        <w:rPr>
          <w:rFonts w:cs="Times New Roman"/>
          <w:noProof/>
          <w:sz w:val="20"/>
          <w:szCs w:val="22"/>
          <w:lang w:val="en-GB"/>
        </w:rPr>
      </w:pPr>
      <w:r w:rsidRPr="00335E4B">
        <w:rPr>
          <w:rFonts w:cs="Times New Roman"/>
          <w:noProof/>
          <w:sz w:val="20"/>
          <w:szCs w:val="24"/>
          <w:lang w:val="en-GB"/>
        </w:rPr>
        <w:t>Petrlik, J., and R. Ryder (2005). After Incineration: The Toxic Ash Problem. Prague, Manchaster, IPEN Dioxin, PCBs and Waste Working Group, Arnika Association</w:t>
      </w:r>
      <w:r w:rsidRPr="00335E4B">
        <w:rPr>
          <w:rFonts w:cs="Times New Roman"/>
          <w:b/>
          <w:noProof/>
          <w:sz w:val="20"/>
          <w:szCs w:val="24"/>
          <w:lang w:val="en-GB"/>
        </w:rPr>
        <w:t xml:space="preserve">, </w:t>
      </w:r>
      <w:r w:rsidRPr="00335E4B">
        <w:rPr>
          <w:rFonts w:cs="Times New Roman"/>
          <w:noProof/>
          <w:sz w:val="20"/>
          <w:szCs w:val="24"/>
          <w:lang w:val="en-GB"/>
        </w:rPr>
        <w:t xml:space="preserve">59 pp. </w:t>
      </w:r>
      <w:hyperlink r:id="rId58" w:history="1">
        <w:r w:rsidRPr="00335E4B">
          <w:rPr>
            <w:rFonts w:cs="Times New Roman"/>
            <w:sz w:val="20"/>
            <w:szCs w:val="22"/>
            <w:lang w:val="en-GB"/>
          </w:rPr>
          <w:t>http://english.arnika.org/files/documents/ASH_report.pdf</w:t>
        </w:r>
      </w:hyperlink>
      <w:r w:rsidRPr="00335E4B">
        <w:rPr>
          <w:rFonts w:cs="Times New Roman"/>
          <w:sz w:val="20"/>
          <w:szCs w:val="22"/>
          <w:lang w:val="en-GB"/>
        </w:rPr>
        <w:t xml:space="preserve"> </w:t>
      </w:r>
    </w:p>
    <w:p w:rsidR="00335E4B" w:rsidRPr="00335E4B" w:rsidRDefault="00335E4B" w:rsidP="00335E4B">
      <w:pPr>
        <w:tabs>
          <w:tab w:val="left" w:pos="1247"/>
          <w:tab w:val="left" w:pos="1814"/>
          <w:tab w:val="left" w:pos="2381"/>
          <w:tab w:val="left" w:pos="2948"/>
          <w:tab w:val="left" w:pos="3515"/>
        </w:tabs>
        <w:bidi w:val="0"/>
        <w:spacing w:after="100"/>
        <w:rPr>
          <w:rFonts w:cs="Times New Roman"/>
          <w:noProof/>
          <w:sz w:val="20"/>
          <w:szCs w:val="24"/>
          <w:lang w:val="en-GB"/>
        </w:rPr>
      </w:pPr>
      <w:r w:rsidRPr="00335E4B">
        <w:rPr>
          <w:rFonts w:cs="Times New Roman"/>
          <w:noProof/>
          <w:sz w:val="20"/>
          <w:szCs w:val="24"/>
          <w:lang w:val="en-GB"/>
        </w:rPr>
        <w:t>Pless-Mulloli, T., R. Edwards, O. Päpke and B. Schilling (2001). Report on the anlaysis of PCDD/F and heavy metals in soil and egg samples from Newcastle allotments: Assessment of the role of ash from Byker incinerator</w:t>
      </w:r>
      <w:r w:rsidRPr="00335E4B">
        <w:rPr>
          <w:rFonts w:cs="Times New Roman"/>
          <w:b/>
          <w:noProof/>
          <w:sz w:val="20"/>
          <w:szCs w:val="24"/>
          <w:lang w:val="en-GB"/>
        </w:rPr>
        <w:t xml:space="preserve">, </w:t>
      </w:r>
      <w:r w:rsidRPr="00335E4B">
        <w:rPr>
          <w:rFonts w:cs="Times New Roman"/>
          <w:noProof/>
          <w:sz w:val="20"/>
          <w:szCs w:val="24"/>
          <w:lang w:val="en-GB"/>
        </w:rPr>
        <w:t>50 pp.</w:t>
      </w:r>
    </w:p>
    <w:p w:rsidR="00335E4B" w:rsidRPr="00335E4B" w:rsidRDefault="00335E4B" w:rsidP="00335E4B">
      <w:pPr>
        <w:tabs>
          <w:tab w:val="left" w:pos="1247"/>
          <w:tab w:val="left" w:pos="1814"/>
          <w:tab w:val="left" w:pos="2381"/>
          <w:tab w:val="left" w:pos="2948"/>
          <w:tab w:val="left" w:pos="3515"/>
        </w:tabs>
        <w:bidi w:val="0"/>
        <w:spacing w:after="100"/>
        <w:rPr>
          <w:rFonts w:cs="Times New Roman"/>
          <w:sz w:val="20"/>
          <w:szCs w:val="22"/>
          <w:lang w:val="en-GB"/>
        </w:rPr>
      </w:pPr>
      <w:r w:rsidRPr="00335E4B">
        <w:rPr>
          <w:rFonts w:cs="Times New Roman"/>
          <w:sz w:val="20"/>
          <w:szCs w:val="22"/>
          <w:lang w:val="en-GB"/>
        </w:rPr>
        <w:t xml:space="preserve">Reinhold Environmental Ltd. 2012. Maintaining high level mercury capture in wFGD Absorber. 2012 APC Round Table &amp; Expo Presentation, 16–17 July 2012 in Baltimore, United States. </w:t>
      </w:r>
    </w:p>
    <w:p w:rsidR="00335E4B" w:rsidRPr="00335E4B" w:rsidRDefault="00335E4B" w:rsidP="00335E4B">
      <w:pPr>
        <w:widowControl w:val="0"/>
        <w:autoSpaceDE w:val="0"/>
        <w:autoSpaceDN w:val="0"/>
        <w:bidi w:val="0"/>
        <w:adjustRightInd w:val="0"/>
        <w:spacing w:after="100"/>
        <w:rPr>
          <w:rFonts w:cs="Times New Roman"/>
          <w:sz w:val="20"/>
          <w:szCs w:val="30"/>
          <w:lang w:val="de-CH" w:eastAsia="de-DE"/>
        </w:rPr>
      </w:pPr>
      <w:r w:rsidRPr="00335E4B">
        <w:rPr>
          <w:rFonts w:cs="Times New Roman"/>
          <w:sz w:val="20"/>
          <w:szCs w:val="30"/>
          <w:lang w:val="de-CH" w:eastAsia="de-DE"/>
        </w:rPr>
        <w:t xml:space="preserve">Riethmann, Thomas (2013): Untersuchungen zur Sorption von Quecksilber aus Verbrennungsabgasen und Nebenprodukten in Entschwefelungsanlagen. </w:t>
      </w:r>
      <w:r w:rsidRPr="00335E4B">
        <w:rPr>
          <w:rFonts w:cs="Times New Roman"/>
          <w:i/>
          <w:iCs/>
          <w:sz w:val="20"/>
          <w:szCs w:val="30"/>
          <w:lang w:val="de-CH" w:eastAsia="de-DE"/>
        </w:rPr>
        <w:t>Dissertation am Institut für Feuerungs- und Kraftwerkstechnik, Universität Stuttgart</w:t>
      </w:r>
      <w:r w:rsidRPr="00335E4B">
        <w:rPr>
          <w:rFonts w:cs="Times New Roman"/>
          <w:sz w:val="20"/>
          <w:szCs w:val="30"/>
          <w:lang w:val="de-CH" w:eastAsia="de-DE"/>
        </w:rPr>
        <w:t xml:space="preserve">. Shaker Verlag. Aachen. 11/2013. </w:t>
      </w:r>
      <w:r w:rsidRPr="00335E4B">
        <w:rPr>
          <w:rFonts w:cs="Times New Roman"/>
          <w:sz w:val="20"/>
          <w:szCs w:val="30"/>
          <w:u w:color="0000FF"/>
          <w:lang w:val="de-CH" w:eastAsia="de-DE"/>
        </w:rPr>
        <w:t>http://www.shaker.de/de/content/catalogue/index.asp?lang=de&amp;ID=8&amp;ISBN=978-3-8440-2302-2</w:t>
      </w:r>
      <w:r w:rsidRPr="00335E4B">
        <w:rPr>
          <w:rFonts w:cs="Times New Roman"/>
          <w:sz w:val="20"/>
          <w:szCs w:val="30"/>
          <w:lang w:val="de-CH" w:eastAsia="de-DE"/>
        </w:rPr>
        <w:t xml:space="preserve">, </w:t>
      </w:r>
    </w:p>
    <w:p w:rsidR="00335E4B" w:rsidRPr="00335E4B" w:rsidRDefault="00335E4B" w:rsidP="00335E4B">
      <w:pPr>
        <w:tabs>
          <w:tab w:val="left" w:pos="1247"/>
          <w:tab w:val="left" w:pos="1814"/>
          <w:tab w:val="left" w:pos="2381"/>
          <w:tab w:val="left" w:pos="2948"/>
          <w:tab w:val="left" w:pos="3515"/>
        </w:tabs>
        <w:autoSpaceDE w:val="0"/>
        <w:autoSpaceDN w:val="0"/>
        <w:bidi w:val="0"/>
        <w:adjustRightInd w:val="0"/>
        <w:spacing w:after="100"/>
        <w:rPr>
          <w:rFonts w:cs="Times New Roman"/>
          <w:bCs/>
          <w:kern w:val="36"/>
          <w:sz w:val="20"/>
          <w:szCs w:val="22"/>
          <w:lang w:val="en-GB" w:eastAsia="en-ZA"/>
        </w:rPr>
      </w:pPr>
      <w:r w:rsidRPr="00335E4B">
        <w:rPr>
          <w:rFonts w:eastAsia="PalatinoLinotype-Roman" w:cs="Times New Roman"/>
          <w:sz w:val="20"/>
          <w:szCs w:val="22"/>
          <w:lang w:val="es-ES"/>
        </w:rPr>
        <w:t xml:space="preserve">Robles, I., M.G. García, S. Solís, G. Hernández, Y. Bandala, E. Juaristi, and E. Bustos (2012). </w:t>
      </w:r>
      <w:r w:rsidRPr="00335E4B">
        <w:rPr>
          <w:rFonts w:eastAsia="PalatinoLinotype-Roman" w:cs="Times New Roman"/>
          <w:sz w:val="20"/>
          <w:szCs w:val="22"/>
          <w:lang w:val="en-GB"/>
        </w:rPr>
        <w:t xml:space="preserve">Electroremediation of mercury polluted soil facilitated by complexing agents. </w:t>
      </w:r>
      <w:r w:rsidRPr="00335E4B">
        <w:rPr>
          <w:rFonts w:eastAsia="PalatinoLinotype-Italic" w:cs="Times New Roman"/>
          <w:iCs/>
          <w:sz w:val="20"/>
          <w:szCs w:val="24"/>
          <w:lang w:val="en-GB"/>
        </w:rPr>
        <w:t>International Journal of Electrochemical Science</w:t>
      </w:r>
      <w:r w:rsidRPr="00335E4B">
        <w:rPr>
          <w:rFonts w:eastAsia="PalatinoLinotype-Italic" w:cs="Times New Roman"/>
          <w:i/>
          <w:iCs/>
          <w:sz w:val="20"/>
          <w:szCs w:val="22"/>
          <w:lang w:val="en-GB"/>
        </w:rPr>
        <w:t xml:space="preserve">, </w:t>
      </w:r>
      <w:r w:rsidRPr="00335E4B">
        <w:rPr>
          <w:rFonts w:eastAsia="PalatinoLinotype-Roman" w:cs="Times New Roman"/>
          <w:sz w:val="20"/>
          <w:szCs w:val="24"/>
          <w:lang w:val="en-GB"/>
        </w:rPr>
        <w:t xml:space="preserve">7, pp. </w:t>
      </w:r>
      <w:r w:rsidRPr="00335E4B">
        <w:rPr>
          <w:rFonts w:eastAsia="PalatinoLinotype-Roman" w:cs="Times New Roman"/>
          <w:sz w:val="20"/>
          <w:szCs w:val="22"/>
          <w:lang w:val="en-GB"/>
        </w:rPr>
        <w:t>2276–2287.</w:t>
      </w:r>
    </w:p>
    <w:p w:rsidR="00335E4B" w:rsidRPr="00335E4B" w:rsidRDefault="00335E4B" w:rsidP="00335E4B">
      <w:pPr>
        <w:tabs>
          <w:tab w:val="left" w:pos="1247"/>
          <w:tab w:val="left" w:pos="1814"/>
          <w:tab w:val="left" w:pos="2381"/>
          <w:tab w:val="left" w:pos="2948"/>
          <w:tab w:val="left" w:pos="3515"/>
        </w:tabs>
        <w:autoSpaceDE w:val="0"/>
        <w:autoSpaceDN w:val="0"/>
        <w:bidi w:val="0"/>
        <w:adjustRightInd w:val="0"/>
        <w:spacing w:after="100"/>
        <w:rPr>
          <w:rFonts w:cs="Times New Roman"/>
          <w:color w:val="231F20"/>
          <w:sz w:val="20"/>
          <w:szCs w:val="22"/>
          <w:lang w:val="en-GB"/>
        </w:rPr>
      </w:pPr>
      <w:r w:rsidRPr="00335E4B">
        <w:rPr>
          <w:rFonts w:cs="Times New Roman"/>
          <w:color w:val="231F20"/>
          <w:sz w:val="20"/>
          <w:szCs w:val="22"/>
          <w:lang w:val="en-GB"/>
        </w:rPr>
        <w:t xml:space="preserve">Sahu, </w:t>
      </w:r>
      <w:r w:rsidRPr="00335E4B">
        <w:rPr>
          <w:rFonts w:cs="Times New Roman"/>
          <w:color w:val="231F20"/>
          <w:sz w:val="20"/>
          <w:szCs w:val="24"/>
          <w:lang w:val="en-GB"/>
        </w:rPr>
        <w:t xml:space="preserve">S.K., R.C. </w:t>
      </w:r>
      <w:r w:rsidRPr="00335E4B">
        <w:rPr>
          <w:rFonts w:cs="Times New Roman"/>
          <w:color w:val="231F20"/>
          <w:sz w:val="20"/>
          <w:szCs w:val="22"/>
          <w:lang w:val="en-GB"/>
        </w:rPr>
        <w:t xml:space="preserve">Bhangare, </w:t>
      </w:r>
      <w:r w:rsidRPr="00335E4B">
        <w:rPr>
          <w:rFonts w:cs="Times New Roman"/>
          <w:color w:val="231F20"/>
          <w:sz w:val="20"/>
          <w:szCs w:val="24"/>
          <w:lang w:val="en-GB"/>
        </w:rPr>
        <w:t xml:space="preserve">P.Y. </w:t>
      </w:r>
      <w:r w:rsidRPr="00335E4B">
        <w:rPr>
          <w:rFonts w:cs="Times New Roman"/>
          <w:color w:val="231F20"/>
          <w:sz w:val="20"/>
          <w:szCs w:val="22"/>
          <w:lang w:val="en-GB"/>
        </w:rPr>
        <w:t xml:space="preserve">Ajmal, </w:t>
      </w:r>
      <w:r w:rsidRPr="00335E4B">
        <w:rPr>
          <w:rFonts w:cs="Times New Roman"/>
          <w:color w:val="231F20"/>
          <w:sz w:val="20"/>
          <w:szCs w:val="24"/>
          <w:lang w:val="en-GB"/>
        </w:rPr>
        <w:t xml:space="preserve">S. </w:t>
      </w:r>
      <w:r w:rsidRPr="00335E4B">
        <w:rPr>
          <w:rFonts w:cs="Times New Roman"/>
          <w:color w:val="231F20"/>
          <w:sz w:val="20"/>
          <w:szCs w:val="22"/>
          <w:lang w:val="en-GB"/>
        </w:rPr>
        <w:t>Sharma, G.G.</w:t>
      </w:r>
      <w:r w:rsidRPr="00335E4B">
        <w:rPr>
          <w:rFonts w:cs="Times New Roman"/>
          <w:color w:val="231F20"/>
          <w:sz w:val="20"/>
          <w:szCs w:val="24"/>
          <w:lang w:val="en-GB"/>
        </w:rPr>
        <w:t xml:space="preserve"> </w:t>
      </w:r>
      <w:r w:rsidRPr="00335E4B">
        <w:rPr>
          <w:rFonts w:cs="Times New Roman"/>
          <w:color w:val="231F20"/>
          <w:sz w:val="20"/>
          <w:szCs w:val="22"/>
          <w:lang w:val="en-GB"/>
        </w:rPr>
        <w:t>Pandit</w:t>
      </w:r>
      <w:r w:rsidRPr="00335E4B">
        <w:rPr>
          <w:rFonts w:cs="Times New Roman"/>
          <w:color w:val="231F20"/>
          <w:sz w:val="20"/>
          <w:szCs w:val="24"/>
          <w:lang w:val="en-GB"/>
        </w:rPr>
        <w:t xml:space="preserve">, and V.D. </w:t>
      </w:r>
      <w:r w:rsidRPr="00335E4B">
        <w:rPr>
          <w:rFonts w:cs="Times New Roman"/>
          <w:color w:val="231F20"/>
          <w:sz w:val="20"/>
          <w:szCs w:val="22"/>
          <w:lang w:val="en-GB"/>
        </w:rPr>
        <w:t>Puranik</w:t>
      </w:r>
      <w:r w:rsidRPr="00335E4B">
        <w:rPr>
          <w:rFonts w:cs="Times New Roman"/>
          <w:color w:val="231F20"/>
          <w:sz w:val="20"/>
          <w:szCs w:val="24"/>
          <w:lang w:val="en-GB"/>
        </w:rPr>
        <w:t xml:space="preserve"> (2009). </w:t>
      </w:r>
      <w:r w:rsidRPr="00335E4B">
        <w:rPr>
          <w:rFonts w:cs="Times New Roman"/>
          <w:color w:val="231F20"/>
          <w:sz w:val="20"/>
          <w:szCs w:val="22"/>
          <w:lang w:val="en-GB"/>
        </w:rPr>
        <w:t>Characterization and quantification of persistent organic pollutants in fly ash from coal fueled thermal power stations in India.</w:t>
      </w:r>
      <w:r w:rsidRPr="00335E4B">
        <w:rPr>
          <w:rFonts w:cs="Times New Roman"/>
          <w:color w:val="231F20"/>
          <w:sz w:val="27"/>
          <w:szCs w:val="27"/>
          <w:lang w:val="en-GB"/>
        </w:rPr>
        <w:t xml:space="preserve"> </w:t>
      </w:r>
      <w:r w:rsidRPr="00335E4B">
        <w:rPr>
          <w:rFonts w:cs="Times New Roman"/>
          <w:color w:val="231F20"/>
          <w:sz w:val="20"/>
          <w:szCs w:val="24"/>
          <w:lang w:val="en-GB"/>
        </w:rPr>
        <w:t xml:space="preserve">Microchemical Journal 92, pp. </w:t>
      </w:r>
      <w:r w:rsidRPr="00335E4B">
        <w:rPr>
          <w:rFonts w:cs="Times New Roman"/>
          <w:color w:val="231F20"/>
          <w:sz w:val="20"/>
          <w:szCs w:val="22"/>
          <w:lang w:val="en-GB"/>
        </w:rPr>
        <w:t>92–96.</w:t>
      </w:r>
    </w:p>
    <w:p w:rsidR="00335E4B" w:rsidRPr="00335E4B" w:rsidRDefault="00335E4B" w:rsidP="00335E4B">
      <w:pPr>
        <w:tabs>
          <w:tab w:val="left" w:pos="1247"/>
          <w:tab w:val="left" w:pos="1814"/>
          <w:tab w:val="left" w:pos="2381"/>
          <w:tab w:val="left" w:pos="2948"/>
          <w:tab w:val="left" w:pos="3515"/>
        </w:tabs>
        <w:bidi w:val="0"/>
        <w:spacing w:after="100"/>
        <w:rPr>
          <w:rFonts w:cs="Times New Roman"/>
          <w:color w:val="000000"/>
          <w:sz w:val="20"/>
          <w:szCs w:val="22"/>
          <w:lang w:val="en-GB"/>
        </w:rPr>
      </w:pPr>
      <w:r w:rsidRPr="00335E4B">
        <w:rPr>
          <w:rFonts w:cs="Times New Roman"/>
          <w:sz w:val="20"/>
          <w:szCs w:val="24"/>
          <w:lang w:val="en-GB"/>
        </w:rPr>
        <w:t>Schager, P. Report No. FBT-91-20, Status energiverk, National Energy Adminstration Sweden, 1990.</w:t>
      </w:r>
    </w:p>
    <w:p w:rsidR="00335E4B" w:rsidRPr="00335E4B" w:rsidRDefault="00335E4B" w:rsidP="00335E4B">
      <w:pPr>
        <w:bidi w:val="0"/>
        <w:spacing w:after="100"/>
        <w:rPr>
          <w:rFonts w:cs="Times New Roman"/>
          <w:sz w:val="20"/>
          <w:szCs w:val="22"/>
          <w:lang w:val="en-GB" w:eastAsia="de-DE"/>
        </w:rPr>
      </w:pPr>
      <w:r w:rsidRPr="00335E4B">
        <w:rPr>
          <w:rFonts w:cs="Times New Roman"/>
          <w:sz w:val="20"/>
          <w:szCs w:val="24"/>
          <w:lang w:val="en-GB"/>
        </w:rPr>
        <w:t>Schmid (2014). Information provided by Susanne Schmidt, S</w:t>
      </w:r>
      <w:r w:rsidRPr="00335E4B">
        <w:rPr>
          <w:rFonts w:cs="Times New Roman"/>
          <w:sz w:val="20"/>
          <w:szCs w:val="22"/>
          <w:lang w:val="en-GB" w:eastAsia="de-DE"/>
        </w:rPr>
        <w:t>tadtentwässerung Frankfurt, on 10 October 2013.</w:t>
      </w:r>
    </w:p>
    <w:p w:rsidR="00335E4B" w:rsidRPr="00335E4B" w:rsidRDefault="00335E4B" w:rsidP="00335E4B">
      <w:pPr>
        <w:tabs>
          <w:tab w:val="left" w:pos="1247"/>
          <w:tab w:val="left" w:pos="1814"/>
          <w:tab w:val="left" w:pos="2381"/>
          <w:tab w:val="left" w:pos="2948"/>
          <w:tab w:val="left" w:pos="3515"/>
        </w:tabs>
        <w:bidi w:val="0"/>
        <w:spacing w:after="100"/>
        <w:rPr>
          <w:rFonts w:cs="Times New Roman"/>
          <w:sz w:val="20"/>
          <w:szCs w:val="22"/>
          <w:lang w:val="de-CH"/>
        </w:rPr>
      </w:pPr>
      <w:r w:rsidRPr="00335E4B">
        <w:rPr>
          <w:rFonts w:cs="Times New Roman"/>
          <w:sz w:val="20"/>
          <w:szCs w:val="30"/>
          <w:lang w:val="de-CH" w:eastAsia="de-DE"/>
        </w:rPr>
        <w:t>Schneidereit, D. (2014): Pilotanlage – Versuchsergebnisse – Kraftwerk Heyden - Wasserrecht 2013 – Erweiterung Pilotanlage; bereitgestellt per E-mail an C. Tebert von Bezirksregierung Detmold, 28.4.2014.</w:t>
      </w:r>
    </w:p>
    <w:p w:rsidR="00335E4B" w:rsidRPr="00335E4B" w:rsidRDefault="00335E4B" w:rsidP="00335E4B">
      <w:pPr>
        <w:bidi w:val="0"/>
        <w:spacing w:after="100"/>
        <w:rPr>
          <w:rFonts w:cs="Times New Roman"/>
          <w:sz w:val="20"/>
          <w:szCs w:val="22"/>
          <w:lang w:val="en-GB" w:eastAsia="de-DE"/>
        </w:rPr>
      </w:pPr>
      <w:r w:rsidRPr="00335E4B">
        <w:rPr>
          <w:rFonts w:cs="Times New Roman"/>
          <w:sz w:val="20"/>
          <w:szCs w:val="22"/>
          <w:lang w:val="en-GB" w:eastAsia="de-DE"/>
        </w:rPr>
        <w:t>SEF (2013). Description of the sewage sludge incineration plant in Frankfurt Sindlingen http://www.stadtentwaesserung-frankfurt.de/index.php/anlagen/abwasserreinigung/seva-sindlingen.html?limitstart=0</w:t>
      </w:r>
    </w:p>
    <w:p w:rsidR="00335E4B" w:rsidRPr="00335E4B" w:rsidRDefault="00335E4B" w:rsidP="00335E4B">
      <w:pPr>
        <w:tabs>
          <w:tab w:val="left" w:pos="1247"/>
          <w:tab w:val="left" w:pos="1814"/>
          <w:tab w:val="left" w:pos="2381"/>
          <w:tab w:val="left" w:pos="2948"/>
          <w:tab w:val="left" w:pos="3515"/>
        </w:tabs>
        <w:bidi w:val="0"/>
        <w:spacing w:after="100"/>
        <w:rPr>
          <w:rFonts w:cs="Times New Roman"/>
          <w:sz w:val="20"/>
          <w:szCs w:val="22"/>
          <w:lang w:val="en-GB"/>
        </w:rPr>
      </w:pPr>
      <w:r w:rsidRPr="00335E4B">
        <w:rPr>
          <w:rFonts w:cs="Times New Roman"/>
          <w:color w:val="000000"/>
          <w:sz w:val="20"/>
          <w:szCs w:val="22"/>
          <w:lang w:val="en-GB"/>
        </w:rPr>
        <w:t>Shaheen</w:t>
      </w:r>
      <w:r w:rsidRPr="00335E4B">
        <w:rPr>
          <w:rFonts w:cs="Times New Roman"/>
          <w:color w:val="000000"/>
          <w:sz w:val="20"/>
          <w:szCs w:val="24"/>
          <w:lang w:val="en-GB"/>
        </w:rPr>
        <w:t xml:space="preserve">, S.M., P.S. </w:t>
      </w:r>
      <w:r w:rsidRPr="00335E4B">
        <w:rPr>
          <w:rFonts w:cs="Times New Roman"/>
          <w:color w:val="000000"/>
          <w:sz w:val="20"/>
          <w:szCs w:val="22"/>
          <w:lang w:val="en-GB"/>
        </w:rPr>
        <w:t xml:space="preserve">Hooda </w:t>
      </w:r>
      <w:r w:rsidRPr="00335E4B">
        <w:rPr>
          <w:rFonts w:cs="Times New Roman"/>
          <w:color w:val="000000"/>
          <w:sz w:val="20"/>
          <w:szCs w:val="24"/>
          <w:lang w:val="en-GB"/>
        </w:rPr>
        <w:t xml:space="preserve">and C.D. </w:t>
      </w:r>
      <w:r w:rsidRPr="00335E4B">
        <w:rPr>
          <w:rFonts w:cs="Times New Roman"/>
          <w:color w:val="000000"/>
          <w:sz w:val="20"/>
          <w:szCs w:val="22"/>
          <w:lang w:val="en-GB"/>
        </w:rPr>
        <w:t>Tsadilas</w:t>
      </w:r>
      <w:r w:rsidRPr="00335E4B">
        <w:rPr>
          <w:rFonts w:cs="Times New Roman"/>
          <w:color w:val="000000"/>
          <w:sz w:val="20"/>
          <w:szCs w:val="24"/>
          <w:lang w:val="en-GB"/>
        </w:rPr>
        <w:t xml:space="preserve"> </w:t>
      </w:r>
      <w:r w:rsidRPr="00335E4B">
        <w:rPr>
          <w:rFonts w:cs="Times New Roman"/>
          <w:color w:val="000000"/>
          <w:sz w:val="20"/>
          <w:szCs w:val="22"/>
          <w:lang w:val="en-GB"/>
        </w:rPr>
        <w:t>(2012). Opportunities and challenges in the use of coal fly ash for soil improvements: A review</w:t>
      </w:r>
      <w:r w:rsidRPr="00335E4B">
        <w:rPr>
          <w:rFonts w:cs="Times New Roman"/>
          <w:sz w:val="20"/>
          <w:szCs w:val="22"/>
          <w:lang w:val="en-GB"/>
        </w:rPr>
        <w:t>. Journal of Environmental Management 145, pp. 249–267.</w:t>
      </w:r>
    </w:p>
    <w:p w:rsidR="00335E4B" w:rsidRPr="00335E4B" w:rsidRDefault="00335E4B" w:rsidP="00335E4B">
      <w:pPr>
        <w:tabs>
          <w:tab w:val="left" w:pos="284"/>
        </w:tabs>
        <w:autoSpaceDE w:val="0"/>
        <w:autoSpaceDN w:val="0"/>
        <w:bidi w:val="0"/>
        <w:adjustRightInd w:val="0"/>
        <w:spacing w:after="100"/>
        <w:ind w:right="92" w:hanging="11"/>
        <w:rPr>
          <w:rFonts w:eastAsia="Calibri" w:cs="Times New Roman"/>
          <w:color w:val="000000"/>
          <w:sz w:val="20"/>
          <w:szCs w:val="22"/>
          <w:lang w:val="en-GB"/>
        </w:rPr>
      </w:pPr>
      <w:r w:rsidRPr="00335E4B">
        <w:rPr>
          <w:rFonts w:eastAsia="Calibri" w:cs="Times New Roman"/>
          <w:color w:val="000000"/>
          <w:sz w:val="20"/>
          <w:szCs w:val="22"/>
          <w:lang w:val="en-GB"/>
        </w:rPr>
        <w:t xml:space="preserve">Siebert, J. (2005). An Examination of Using In-Situ Thermal Desorption to Remediate Mercury Contaminated Soils Through Laboratory Experiments and Numerical Modeling. Masters Thesis. University of Texas at Austin, United States, May 2005. </w:t>
      </w:r>
    </w:p>
    <w:p w:rsidR="00335E4B" w:rsidRPr="00335E4B" w:rsidRDefault="00335E4B" w:rsidP="00335E4B">
      <w:pPr>
        <w:tabs>
          <w:tab w:val="left" w:pos="284"/>
        </w:tabs>
        <w:autoSpaceDE w:val="0"/>
        <w:autoSpaceDN w:val="0"/>
        <w:bidi w:val="0"/>
        <w:adjustRightInd w:val="0"/>
        <w:spacing w:after="100"/>
        <w:ind w:right="92" w:hanging="11"/>
        <w:rPr>
          <w:rFonts w:eastAsia="Calibri" w:cs="Times New Roman"/>
          <w:color w:val="000000"/>
          <w:sz w:val="20"/>
          <w:szCs w:val="22"/>
          <w:lang w:val="en-GB"/>
        </w:rPr>
      </w:pPr>
      <w:r w:rsidRPr="00335E4B">
        <w:rPr>
          <w:rFonts w:eastAsia="Calibri" w:cs="Times New Roman"/>
          <w:color w:val="000000"/>
          <w:sz w:val="20"/>
          <w:szCs w:val="22"/>
          <w:lang w:val="en-GB"/>
        </w:rPr>
        <w:t>Skinner, K., et al. (2007). Mercury uptake and accumulation by four species of aquatic plan</w:t>
      </w:r>
      <w:r w:rsidRPr="00335E4B">
        <w:rPr>
          <w:rFonts w:eastAsia="Calibri" w:cs="Times New Roman"/>
          <w:sz w:val="20"/>
          <w:szCs w:val="22"/>
          <w:lang w:val="en-GB"/>
        </w:rPr>
        <w:t>. Environmental Pollution 145, pp. 234–237.</w:t>
      </w:r>
    </w:p>
    <w:p w:rsidR="00335E4B" w:rsidRPr="00335E4B" w:rsidRDefault="00335E4B" w:rsidP="00335E4B">
      <w:pPr>
        <w:tabs>
          <w:tab w:val="left" w:pos="284"/>
        </w:tabs>
        <w:autoSpaceDE w:val="0"/>
        <w:autoSpaceDN w:val="0"/>
        <w:bidi w:val="0"/>
        <w:adjustRightInd w:val="0"/>
        <w:spacing w:after="100"/>
        <w:ind w:right="92" w:hanging="11"/>
        <w:rPr>
          <w:rFonts w:eastAsia="Calibri" w:cs="Times New Roman"/>
          <w:color w:val="000000"/>
          <w:sz w:val="20"/>
          <w:szCs w:val="22"/>
          <w:lang w:val="en-GB"/>
        </w:rPr>
      </w:pPr>
      <w:r w:rsidRPr="00335E4B">
        <w:rPr>
          <w:rFonts w:eastAsia="Calibri" w:cs="Times New Roman"/>
          <w:color w:val="000000"/>
          <w:sz w:val="20"/>
          <w:szCs w:val="22"/>
          <w:lang w:val="en-GB"/>
        </w:rPr>
        <w:t xml:space="preserve">Smith, L.A., J.L. Means, A. Chen, B. Alleman, C.C. Chapman, J.S. Tixier, S.E. Brauning, A.R. Gavaskar, and M.D. Royer (1995). Remedial Options for Metals-Contaminated Sites. Lewis Publishers, Boca Raton, United States. </w:t>
      </w:r>
    </w:p>
    <w:p w:rsidR="00335E4B" w:rsidRPr="00335E4B" w:rsidRDefault="00335E4B" w:rsidP="00335E4B">
      <w:pPr>
        <w:tabs>
          <w:tab w:val="left" w:pos="1247"/>
          <w:tab w:val="left" w:pos="1814"/>
          <w:tab w:val="left" w:pos="2381"/>
          <w:tab w:val="left" w:pos="2948"/>
          <w:tab w:val="left" w:pos="3515"/>
        </w:tabs>
        <w:autoSpaceDE w:val="0"/>
        <w:autoSpaceDN w:val="0"/>
        <w:bidi w:val="0"/>
        <w:adjustRightInd w:val="0"/>
        <w:spacing w:after="100"/>
        <w:rPr>
          <w:rFonts w:cs="Times New Roman"/>
          <w:bCs/>
          <w:sz w:val="20"/>
          <w:szCs w:val="24"/>
          <w:lang w:val="en-GB"/>
        </w:rPr>
      </w:pPr>
      <w:r w:rsidRPr="00335E4B">
        <w:rPr>
          <w:rFonts w:cs="Times New Roman"/>
          <w:color w:val="000000"/>
          <w:sz w:val="20"/>
          <w:szCs w:val="24"/>
          <w:lang w:val="en-GB"/>
        </w:rPr>
        <w:t xml:space="preserve">Snowman Network BRGM (2014). </w:t>
      </w:r>
      <w:r w:rsidRPr="00335E4B">
        <w:rPr>
          <w:rFonts w:cs="Times New Roman"/>
          <w:bCs/>
          <w:sz w:val="20"/>
          <w:szCs w:val="24"/>
          <w:lang w:val="en-GB"/>
        </w:rPr>
        <w:t>Enhanced knowledge in mercury fate and transport for improved management of Hg soil contamination.</w:t>
      </w:r>
    </w:p>
    <w:p w:rsidR="00335E4B" w:rsidRPr="00335E4B" w:rsidRDefault="00335E4B" w:rsidP="00335E4B">
      <w:pPr>
        <w:bidi w:val="0"/>
        <w:spacing w:after="100"/>
        <w:rPr>
          <w:rFonts w:cs="Times New Roman"/>
          <w:bCs/>
          <w:sz w:val="20"/>
          <w:szCs w:val="24"/>
          <w:lang w:val="en-GB" w:eastAsia="de-DE"/>
        </w:rPr>
      </w:pPr>
      <w:r w:rsidRPr="00335E4B">
        <w:rPr>
          <w:rFonts w:cs="Times New Roman"/>
          <w:bCs/>
          <w:sz w:val="20"/>
          <w:szCs w:val="24"/>
          <w:lang w:val="fr-CH" w:eastAsia="de-DE"/>
        </w:rPr>
        <w:t xml:space="preserve">Song, G.-J., et al. </w:t>
      </w:r>
      <w:r w:rsidRPr="00335E4B">
        <w:rPr>
          <w:rFonts w:cs="Times New Roman"/>
          <w:bCs/>
          <w:sz w:val="20"/>
          <w:szCs w:val="24"/>
          <w:lang w:val="en-GB" w:eastAsia="de-DE"/>
        </w:rPr>
        <w:t>(2004). Characteristics of ashes from different locations at the MSW incinerator equipped with various air pollution control devices. Waste Management 24(1), pp. 99–106.</w:t>
      </w:r>
    </w:p>
    <w:p w:rsidR="00335E4B" w:rsidRPr="00335E4B" w:rsidRDefault="00335E4B" w:rsidP="00335E4B">
      <w:pPr>
        <w:bidi w:val="0"/>
        <w:spacing w:after="100"/>
        <w:rPr>
          <w:rFonts w:cs="Times New Roman"/>
          <w:sz w:val="20"/>
          <w:szCs w:val="24"/>
          <w:lang w:val="en-GB" w:eastAsia="de-DE"/>
        </w:rPr>
      </w:pPr>
      <w:r w:rsidRPr="00335E4B">
        <w:rPr>
          <w:rFonts w:cs="Times New Roman"/>
          <w:sz w:val="20"/>
          <w:szCs w:val="24"/>
          <w:lang w:val="en-GB" w:eastAsia="de-DE"/>
        </w:rPr>
        <w:t xml:space="preserve">Stockholm Convention (2008) Guidelines on Best Available Techniques and Provisional Guidance on Best Environmental Practices relevant to Article 5 and Annex C of the Stockholm Convention on Persistent Organic Pollutants; Section V Guidance/guideline by source category; Source categories in Part II of Annex C Part II Source category (a) Waste Incinerators. </w:t>
      </w:r>
    </w:p>
    <w:p w:rsidR="00335E4B" w:rsidRPr="00335E4B" w:rsidRDefault="00335E4B" w:rsidP="00335E4B">
      <w:pPr>
        <w:bidi w:val="0"/>
        <w:spacing w:after="100"/>
        <w:rPr>
          <w:rFonts w:cs="Times New Roman"/>
          <w:sz w:val="20"/>
          <w:szCs w:val="24"/>
          <w:lang w:val="en-GB" w:eastAsia="de-DE"/>
        </w:rPr>
      </w:pPr>
      <w:r w:rsidRPr="00335E4B">
        <w:rPr>
          <w:rFonts w:cs="Times New Roman"/>
          <w:sz w:val="20"/>
          <w:szCs w:val="24"/>
          <w:lang w:val="en-GB" w:eastAsia="de-DE"/>
        </w:rPr>
        <w:t>Takaoka, M., et al. (2002). Control of mercury emissions from a municipal solid waste incinerator in Japan, Journal of the Air and Waste Management Association, 52, pp. 931–940.</w:t>
      </w:r>
    </w:p>
    <w:p w:rsidR="00335E4B" w:rsidRPr="00335E4B" w:rsidRDefault="00335E4B" w:rsidP="00335E4B">
      <w:pPr>
        <w:bidi w:val="0"/>
        <w:spacing w:after="100"/>
        <w:rPr>
          <w:rFonts w:cs="Times New Roman"/>
          <w:sz w:val="20"/>
          <w:szCs w:val="24"/>
          <w:lang w:val="en-GB" w:eastAsia="de-DE"/>
        </w:rPr>
      </w:pPr>
      <w:r w:rsidRPr="00335E4B">
        <w:rPr>
          <w:rFonts w:cs="Times New Roman"/>
          <w:sz w:val="20"/>
          <w:szCs w:val="24"/>
          <w:lang w:val="en-GB" w:eastAsia="de-DE"/>
        </w:rPr>
        <w:t>Takaoaka, M., et al. (2012). Mercury emission from sewage sludge incineration in Japan, Journal of Material Cycles and Waste Management 14, pp. 113–119.</w:t>
      </w:r>
    </w:p>
    <w:p w:rsidR="00335E4B" w:rsidRPr="00335E4B" w:rsidRDefault="00335E4B" w:rsidP="00335E4B">
      <w:pPr>
        <w:tabs>
          <w:tab w:val="left" w:pos="284"/>
        </w:tabs>
        <w:autoSpaceDE w:val="0"/>
        <w:autoSpaceDN w:val="0"/>
        <w:bidi w:val="0"/>
        <w:adjustRightInd w:val="0"/>
        <w:spacing w:after="100"/>
        <w:ind w:hanging="11"/>
        <w:rPr>
          <w:rFonts w:eastAsia="Calibri" w:cs="Times New Roman"/>
          <w:color w:val="000000"/>
          <w:sz w:val="20"/>
          <w:szCs w:val="22"/>
          <w:lang w:val="en-GB"/>
        </w:rPr>
      </w:pPr>
      <w:r w:rsidRPr="00335E4B">
        <w:rPr>
          <w:rFonts w:eastAsia="Calibri" w:cs="Times New Roman"/>
          <w:color w:val="000000"/>
          <w:sz w:val="20"/>
          <w:szCs w:val="22"/>
          <w:lang w:val="en-GB"/>
        </w:rPr>
        <w:t xml:space="preserve">United States Department of Energy (1998). Innovative Technology Summary Report. Plasma Hearth Process at the Science and Technology Research (STAR) Center, Idaho Falls, Idaho. November 1998. http://costperformance.org/pdf/itsr26.pdf. </w:t>
      </w:r>
    </w:p>
    <w:p w:rsidR="00335E4B" w:rsidRPr="00335E4B" w:rsidRDefault="00335E4B" w:rsidP="00335E4B">
      <w:pPr>
        <w:tabs>
          <w:tab w:val="left" w:pos="284"/>
        </w:tabs>
        <w:autoSpaceDE w:val="0"/>
        <w:autoSpaceDN w:val="0"/>
        <w:bidi w:val="0"/>
        <w:adjustRightInd w:val="0"/>
        <w:spacing w:after="100"/>
        <w:ind w:right="92" w:hanging="11"/>
        <w:rPr>
          <w:rFonts w:eastAsia="Calibri" w:cs="Times New Roman"/>
          <w:color w:val="000000"/>
          <w:sz w:val="20"/>
          <w:szCs w:val="22"/>
          <w:lang w:val="en-GB"/>
        </w:rPr>
      </w:pPr>
      <w:r w:rsidRPr="00335E4B">
        <w:rPr>
          <w:rFonts w:eastAsia="Calibri" w:cs="Times New Roman"/>
          <w:color w:val="000000"/>
          <w:sz w:val="20"/>
          <w:szCs w:val="22"/>
          <w:lang w:val="en-GB"/>
        </w:rPr>
        <w:t xml:space="preserve">United States Environmental Protection Agency (EPA), Office of Research and Development (1997). Engineering Bulletin, Technology Alternatives for the Remediation of Soils Contaminated with Arsenic, Cadmium, Chromium, Mercury, and Lead. Cincinnati. EPA-540-S-97-500. March. http://www.epa.gov/clariton/clhtml/pubtitleOSWER.html. </w:t>
      </w:r>
    </w:p>
    <w:p w:rsidR="00335E4B" w:rsidRPr="00335E4B" w:rsidRDefault="00335E4B" w:rsidP="00335E4B">
      <w:pPr>
        <w:tabs>
          <w:tab w:val="left" w:pos="624"/>
        </w:tabs>
        <w:bidi w:val="0"/>
        <w:spacing w:after="100"/>
        <w:rPr>
          <w:rFonts w:cs="Times New Roman"/>
          <w:sz w:val="20"/>
          <w:szCs w:val="22"/>
          <w:lang w:val="en-GB"/>
        </w:rPr>
      </w:pPr>
      <w:r w:rsidRPr="00335E4B">
        <w:rPr>
          <w:rFonts w:cs="Times New Roman"/>
          <w:sz w:val="20"/>
          <w:szCs w:val="22"/>
          <w:lang w:val="en-GB"/>
        </w:rPr>
        <w:t>United States Environmental Protection Agency (EPA) (2005). Technical Support Document for HWC MACT Standards Vol. 1 Description of Source Categories, Washington D.C., September 2005.</w:t>
      </w:r>
    </w:p>
    <w:p w:rsidR="00335E4B" w:rsidRPr="00335E4B" w:rsidRDefault="00335E4B" w:rsidP="00335E4B">
      <w:pPr>
        <w:tabs>
          <w:tab w:val="left" w:pos="284"/>
        </w:tabs>
        <w:autoSpaceDE w:val="0"/>
        <w:autoSpaceDN w:val="0"/>
        <w:bidi w:val="0"/>
        <w:adjustRightInd w:val="0"/>
        <w:spacing w:after="100"/>
        <w:ind w:right="370" w:hanging="11"/>
        <w:rPr>
          <w:rFonts w:eastAsia="Calibri" w:cs="Times New Roman"/>
          <w:color w:val="000000"/>
          <w:sz w:val="20"/>
          <w:szCs w:val="22"/>
          <w:lang w:val="en-GB"/>
        </w:rPr>
      </w:pPr>
      <w:r w:rsidRPr="00335E4B">
        <w:rPr>
          <w:rFonts w:eastAsia="Calibri" w:cs="Times New Roman"/>
          <w:color w:val="000000"/>
          <w:sz w:val="20"/>
          <w:szCs w:val="22"/>
          <w:lang w:val="en-GB"/>
        </w:rPr>
        <w:t xml:space="preserve">United States Environmental Protection Agency (EPA), Office of Research and Development (2004). Minergy Corporation Glass Furnace Technology Evaluation Report. EPA/540/R-03/500. March. ttp://costperformance.org/pdf/20040702_353.pdf. </w:t>
      </w:r>
    </w:p>
    <w:p w:rsidR="00335E4B" w:rsidRPr="00335E4B" w:rsidRDefault="00335E4B" w:rsidP="00335E4B">
      <w:pPr>
        <w:tabs>
          <w:tab w:val="left" w:pos="284"/>
        </w:tabs>
        <w:autoSpaceDE w:val="0"/>
        <w:autoSpaceDN w:val="0"/>
        <w:bidi w:val="0"/>
        <w:adjustRightInd w:val="0"/>
        <w:spacing w:after="100"/>
        <w:ind w:right="302" w:hanging="11"/>
        <w:rPr>
          <w:rFonts w:eastAsia="Calibri" w:cs="Times New Roman"/>
          <w:color w:val="000000"/>
          <w:sz w:val="20"/>
          <w:szCs w:val="22"/>
          <w:lang w:val="en-GB"/>
        </w:rPr>
      </w:pPr>
      <w:r w:rsidRPr="00335E4B">
        <w:rPr>
          <w:rFonts w:eastAsia="Calibri" w:cs="Times New Roman"/>
          <w:color w:val="000000"/>
          <w:sz w:val="20"/>
          <w:szCs w:val="22"/>
          <w:lang w:val="en-GB"/>
        </w:rPr>
        <w:t xml:space="preserve">United States Environmental Protection Agency (EPA) (1995). Superfund Innovative Technology Evaluation (SITE) Technology Capsule, Geosafe Corporation In Situ Vitrification Technology. Office of Research and Development. EPA/540/R-94/520. March. http://www.epa.gov/ORD/SITE/reports/540_r94_520.pdf. </w:t>
      </w:r>
    </w:p>
    <w:p w:rsidR="00335E4B" w:rsidRPr="00335E4B" w:rsidRDefault="00335E4B" w:rsidP="00335E4B">
      <w:pPr>
        <w:tabs>
          <w:tab w:val="left" w:pos="1247"/>
          <w:tab w:val="left" w:pos="1814"/>
          <w:tab w:val="left" w:pos="2381"/>
          <w:tab w:val="left" w:pos="2948"/>
          <w:tab w:val="left" w:pos="3515"/>
        </w:tabs>
        <w:bidi w:val="0"/>
        <w:spacing w:after="100"/>
        <w:rPr>
          <w:rFonts w:cs="Times New Roman"/>
          <w:color w:val="000000"/>
          <w:sz w:val="20"/>
          <w:szCs w:val="24"/>
          <w:lang w:val="en-GB"/>
        </w:rPr>
      </w:pPr>
      <w:r w:rsidRPr="00335E4B">
        <w:rPr>
          <w:rFonts w:cs="Times New Roman"/>
          <w:color w:val="000000"/>
          <w:sz w:val="20"/>
          <w:szCs w:val="22"/>
          <w:lang w:val="en-GB"/>
        </w:rPr>
        <w:t>United States Environmental Protection Agency (EPA), Office of Solid Waste and Emergency Response (2002). Arsenic Treatment Technologies for Soil, Waste, and Water. EPA-542-R-02-004. September 2002.</w:t>
      </w:r>
    </w:p>
    <w:p w:rsidR="00335E4B" w:rsidRPr="00335E4B" w:rsidRDefault="00335E4B" w:rsidP="00335E4B">
      <w:pPr>
        <w:tabs>
          <w:tab w:val="left" w:pos="624"/>
        </w:tabs>
        <w:bidi w:val="0"/>
        <w:spacing w:after="100"/>
        <w:rPr>
          <w:rFonts w:cs="Times New Roman"/>
          <w:sz w:val="20"/>
          <w:szCs w:val="22"/>
          <w:lang w:val="en-GB"/>
        </w:rPr>
      </w:pPr>
      <w:r w:rsidRPr="00335E4B">
        <w:rPr>
          <w:rFonts w:cs="Times New Roman"/>
          <w:spacing w:val="-2"/>
          <w:sz w:val="20"/>
          <w:szCs w:val="22"/>
          <w:lang w:val="en-GB"/>
        </w:rPr>
        <w:t>United Nations Economic Commission for Europe (UNECE) (1998). Protocol to the 1979</w:t>
      </w:r>
      <w:r w:rsidRPr="00335E4B">
        <w:rPr>
          <w:rFonts w:cs="Times New Roman"/>
          <w:sz w:val="20"/>
          <w:szCs w:val="22"/>
          <w:lang w:val="en-GB"/>
        </w:rPr>
        <w:t xml:space="preserve"> Conve</w:t>
      </w:r>
      <w:r w:rsidRPr="00335E4B">
        <w:rPr>
          <w:rFonts w:cs="Times New Roman"/>
          <w:spacing w:val="-2"/>
          <w:sz w:val="20"/>
          <w:szCs w:val="22"/>
          <w:lang w:val="en-GB"/>
        </w:rPr>
        <w:t>ntion on Long-range Transboundary Air Po</w:t>
      </w:r>
      <w:r w:rsidRPr="00335E4B">
        <w:rPr>
          <w:rFonts w:cs="Times New Roman"/>
          <w:sz w:val="20"/>
          <w:szCs w:val="22"/>
          <w:lang w:val="en-GB"/>
        </w:rPr>
        <w:t xml:space="preserve">llution on Persistent Organic Pollutants. New York and Geneva. </w:t>
      </w:r>
      <w:hyperlink r:id="rId59" w:history="1">
        <w:r w:rsidRPr="00335E4B">
          <w:rPr>
            <w:rFonts w:cs="Times New Roman"/>
            <w:sz w:val="20"/>
            <w:szCs w:val="22"/>
            <w:lang w:val="en-GB"/>
          </w:rPr>
          <w:t>www.unece.org/env/lrtap/full%20text/1998.POPs.e.pdf</w:t>
        </w:r>
      </w:hyperlink>
      <w:r w:rsidRPr="00335E4B">
        <w:rPr>
          <w:rFonts w:cs="Times New Roman"/>
          <w:sz w:val="20"/>
          <w:szCs w:val="22"/>
          <w:lang w:val="en-GB"/>
        </w:rPr>
        <w:t>.</w:t>
      </w:r>
    </w:p>
    <w:p w:rsidR="00335E4B" w:rsidRPr="00335E4B" w:rsidRDefault="00335E4B" w:rsidP="00335E4B">
      <w:pPr>
        <w:tabs>
          <w:tab w:val="left" w:pos="624"/>
        </w:tabs>
        <w:bidi w:val="0"/>
        <w:spacing w:after="100"/>
        <w:rPr>
          <w:rFonts w:cs="Times New Roman"/>
          <w:sz w:val="20"/>
          <w:szCs w:val="22"/>
          <w:lang w:val="en-GB"/>
        </w:rPr>
      </w:pPr>
      <w:r w:rsidRPr="00335E4B">
        <w:rPr>
          <w:rFonts w:cs="Times New Roman"/>
          <w:spacing w:val="-2"/>
          <w:sz w:val="20"/>
          <w:szCs w:val="22"/>
          <w:lang w:val="en-GB"/>
        </w:rPr>
        <w:t>United Nations Economic Commission for Europe (UNECE) (</w:t>
      </w:r>
      <w:r w:rsidRPr="00335E4B">
        <w:rPr>
          <w:rFonts w:cs="Times New Roman"/>
          <w:sz w:val="20"/>
          <w:szCs w:val="22"/>
          <w:lang w:val="en-GB"/>
        </w:rPr>
        <w:t>2013). Convention on Long-range Transboundary Air Pollution, Guidance document on best available techniques for controlling emissions of heavy metals and their compounds from the source categories listed in annex II to the Protocol on Heavy Metals,</w:t>
      </w:r>
      <w:r w:rsidRPr="00335E4B">
        <w:rPr>
          <w:rFonts w:cs="Times New Roman"/>
          <w:bCs/>
          <w:sz w:val="20"/>
          <w:szCs w:val="22"/>
          <w:lang w:val="en-GB"/>
        </w:rPr>
        <w:t xml:space="preserve"> UN ECE/EB.Air/116, July 2013.</w:t>
      </w:r>
      <w:r w:rsidRPr="00335E4B">
        <w:rPr>
          <w:rFonts w:cs="Times New Roman"/>
          <w:sz w:val="20"/>
          <w:szCs w:val="22"/>
          <w:lang w:val="en-GB"/>
        </w:rPr>
        <w:t xml:space="preserve"> </w:t>
      </w:r>
    </w:p>
    <w:p w:rsidR="00335E4B" w:rsidRPr="00335E4B" w:rsidRDefault="00335E4B" w:rsidP="00335E4B">
      <w:pPr>
        <w:tabs>
          <w:tab w:val="left" w:pos="624"/>
        </w:tabs>
        <w:bidi w:val="0"/>
        <w:spacing w:after="100"/>
        <w:rPr>
          <w:rFonts w:cs="Times New Roman"/>
          <w:sz w:val="20"/>
          <w:szCs w:val="22"/>
          <w:lang w:val="en-GB"/>
        </w:rPr>
      </w:pPr>
      <w:r w:rsidRPr="00335E4B">
        <w:rPr>
          <w:rFonts w:cs="Times New Roman"/>
          <w:sz w:val="20"/>
          <w:szCs w:val="22"/>
          <w:lang w:val="en-GB"/>
        </w:rPr>
        <w:t xml:space="preserve">United Nations Environment Programme (UNEP) (2005). Basel Convention Technical Guidelines: General technical guidelines for the environmentally sound management of wastes consisting of, containing or contaminated with persistent organic pollutants (POPs). </w:t>
      </w:r>
    </w:p>
    <w:p w:rsidR="00335E4B" w:rsidRPr="00335E4B" w:rsidRDefault="00335E4B" w:rsidP="00335E4B">
      <w:pPr>
        <w:tabs>
          <w:tab w:val="left" w:pos="624"/>
        </w:tabs>
        <w:bidi w:val="0"/>
        <w:spacing w:after="100"/>
        <w:rPr>
          <w:rFonts w:cs="Times New Roman"/>
          <w:noProof/>
          <w:sz w:val="20"/>
          <w:szCs w:val="22"/>
          <w:lang w:val="en-GB"/>
        </w:rPr>
      </w:pPr>
      <w:r w:rsidRPr="00335E4B">
        <w:rPr>
          <w:rFonts w:cs="Times New Roman"/>
          <w:noProof/>
          <w:sz w:val="20"/>
          <w:szCs w:val="22"/>
          <w:lang w:val="en-GB"/>
        </w:rPr>
        <w:t>Velis, C. A., P. J. Longhurst, G. H. Drew, R. Smith and S. J. T. Pollard (2009). Biodrying for mechanical–biological treatment of wastes: A review of process science and engineering. Bioresource Technology 100(11), pp. 2747–2761.</w:t>
      </w:r>
    </w:p>
    <w:p w:rsidR="00335E4B" w:rsidRPr="00335E4B" w:rsidRDefault="00335E4B" w:rsidP="00335E4B">
      <w:pPr>
        <w:tabs>
          <w:tab w:val="left" w:pos="1247"/>
          <w:tab w:val="left" w:pos="1814"/>
          <w:tab w:val="left" w:pos="2381"/>
          <w:tab w:val="left" w:pos="2948"/>
          <w:tab w:val="left" w:pos="3515"/>
        </w:tabs>
        <w:bidi w:val="0"/>
        <w:spacing w:after="100"/>
        <w:rPr>
          <w:rFonts w:cs="Times New Roman"/>
          <w:sz w:val="20"/>
          <w:szCs w:val="22"/>
          <w:lang w:val="en-GB"/>
        </w:rPr>
      </w:pPr>
      <w:r w:rsidRPr="00335E4B">
        <w:rPr>
          <w:rFonts w:cs="Times New Roman"/>
          <w:sz w:val="20"/>
          <w:szCs w:val="22"/>
          <w:lang w:val="en-GB"/>
        </w:rPr>
        <w:t>Vosteen, B., et al. Bromine-enhanced mercury abatement from combustion flue gases – recent industrial applications and laboratory research, VGB Power Tech Volume 86, Issue 3/2006.</w:t>
      </w:r>
    </w:p>
    <w:p w:rsidR="00335E4B" w:rsidRPr="00335E4B" w:rsidRDefault="00335E4B" w:rsidP="00335E4B">
      <w:pPr>
        <w:tabs>
          <w:tab w:val="left" w:pos="1247"/>
          <w:tab w:val="left" w:pos="1814"/>
          <w:tab w:val="left" w:pos="2381"/>
          <w:tab w:val="left" w:pos="2948"/>
          <w:tab w:val="left" w:pos="3515"/>
        </w:tabs>
        <w:bidi w:val="0"/>
        <w:spacing w:after="100"/>
        <w:rPr>
          <w:rFonts w:cs="Times New Roman"/>
          <w:sz w:val="20"/>
          <w:szCs w:val="22"/>
          <w:lang w:val="en-GB"/>
        </w:rPr>
      </w:pPr>
      <w:r w:rsidRPr="00335E4B">
        <w:rPr>
          <w:rFonts w:cs="Times New Roman"/>
          <w:sz w:val="20"/>
          <w:szCs w:val="22"/>
          <w:lang w:val="fr-CH"/>
        </w:rPr>
        <w:t xml:space="preserve">De Vries, W., et al (2007). </w:t>
      </w:r>
      <w:r w:rsidRPr="00335E4B">
        <w:rPr>
          <w:rFonts w:cs="Times New Roman"/>
          <w:sz w:val="20"/>
          <w:szCs w:val="22"/>
          <w:lang w:val="en-GB"/>
        </w:rPr>
        <w:t>Critical soil concentration of cadmium, lead and mercury in view of health effects on humans and animals. Reviews of Environmental Contamination and Toxicology 191, pp. 91–130.</w:t>
      </w:r>
    </w:p>
    <w:p w:rsidR="00335E4B" w:rsidRPr="00335E4B" w:rsidRDefault="00335E4B" w:rsidP="00335E4B">
      <w:pPr>
        <w:tabs>
          <w:tab w:val="left" w:pos="1247"/>
          <w:tab w:val="left" w:pos="1814"/>
          <w:tab w:val="left" w:pos="2381"/>
          <w:tab w:val="left" w:pos="2948"/>
          <w:tab w:val="left" w:pos="3515"/>
        </w:tabs>
        <w:bidi w:val="0"/>
        <w:spacing w:after="100"/>
        <w:rPr>
          <w:rFonts w:cs="Times New Roman"/>
          <w:sz w:val="20"/>
          <w:szCs w:val="22"/>
          <w:lang w:val="en-GB"/>
        </w:rPr>
      </w:pPr>
      <w:r w:rsidRPr="00335E4B">
        <w:rPr>
          <w:rFonts w:cs="Times New Roman"/>
          <w:sz w:val="20"/>
          <w:szCs w:val="22"/>
          <w:lang w:val="en-GB"/>
        </w:rPr>
        <w:t>Wagh, A.S., D. Dingh and S.Y. Jeong (2000). Mercury Stabilization in Chemically Bonded Phosphate Ceramics. Invited paper for Environmental Protection Agency’s Workshop on Mercury Products, Processes, Waste, and the Environment: Eliminating, Reducing and Managing Risks, Baltimore, MD, 22–23 March 2000.</w:t>
      </w:r>
    </w:p>
    <w:p w:rsidR="00335E4B" w:rsidRPr="00335E4B" w:rsidRDefault="00335E4B" w:rsidP="00335E4B">
      <w:pPr>
        <w:tabs>
          <w:tab w:val="left" w:pos="1247"/>
          <w:tab w:val="left" w:pos="1814"/>
          <w:tab w:val="left" w:pos="2381"/>
          <w:tab w:val="left" w:pos="2948"/>
          <w:tab w:val="left" w:pos="3515"/>
        </w:tabs>
        <w:bidi w:val="0"/>
        <w:spacing w:after="100"/>
        <w:rPr>
          <w:rFonts w:cs="Times New Roman"/>
          <w:sz w:val="20"/>
          <w:szCs w:val="24"/>
          <w:lang w:val="en-GB"/>
        </w:rPr>
      </w:pPr>
      <w:r w:rsidRPr="00335E4B">
        <w:rPr>
          <w:rFonts w:cs="Times New Roman"/>
          <w:sz w:val="20"/>
          <w:szCs w:val="24"/>
          <w:lang w:val="en-GB"/>
        </w:rPr>
        <w:t xml:space="preserve">Watson, A. (2001). Comments on the “Report on the analysis of PCDD/PCDF and Heavy Metals in Soil and Egg samples related to the Byker incinerator”. </w:t>
      </w:r>
      <w:hyperlink r:id="rId60" w:history="1">
        <w:r w:rsidRPr="00335E4B">
          <w:rPr>
            <w:rFonts w:cs="Times New Roman"/>
            <w:sz w:val="20"/>
            <w:szCs w:val="22"/>
            <w:lang w:val="en-GB"/>
          </w:rPr>
          <w:t>http://www.greenpeace.org.uk/media/reports/alan-watson-comments-on-the-byker-ash-report</w:t>
        </w:r>
      </w:hyperlink>
      <w:r w:rsidRPr="00335E4B">
        <w:rPr>
          <w:rFonts w:cs="Times New Roman"/>
          <w:sz w:val="20"/>
          <w:szCs w:val="22"/>
          <w:lang w:val="en-GB"/>
        </w:rPr>
        <w:t>.</w:t>
      </w:r>
    </w:p>
    <w:p w:rsidR="00335E4B" w:rsidRPr="00335E4B" w:rsidRDefault="00335E4B" w:rsidP="00335E4B">
      <w:pPr>
        <w:tabs>
          <w:tab w:val="left" w:pos="1247"/>
          <w:tab w:val="left" w:pos="1814"/>
          <w:tab w:val="left" w:pos="2381"/>
          <w:tab w:val="left" w:pos="2948"/>
          <w:tab w:val="left" w:pos="3515"/>
        </w:tabs>
        <w:bidi w:val="0"/>
        <w:spacing w:after="100"/>
        <w:rPr>
          <w:rFonts w:cs="Times New Roman"/>
          <w:sz w:val="20"/>
          <w:szCs w:val="22"/>
          <w:lang w:val="en-GB"/>
        </w:rPr>
      </w:pPr>
      <w:r w:rsidRPr="00335E4B">
        <w:rPr>
          <w:rFonts w:cs="Times New Roman"/>
          <w:color w:val="000000"/>
          <w:sz w:val="20"/>
          <w:szCs w:val="22"/>
          <w:lang w:val="en-GB"/>
        </w:rPr>
        <w:t xml:space="preserve">Werther, J., and M. Sänger (2000). Emissions from sewage sludge combustion in Germany – status and future trends, </w:t>
      </w:r>
      <w:r w:rsidRPr="00335E4B">
        <w:rPr>
          <w:rFonts w:cs="Times New Roman"/>
          <w:sz w:val="20"/>
          <w:szCs w:val="22"/>
          <w:lang w:val="en-GB"/>
        </w:rPr>
        <w:t>Journal of Chemical Engineering of Japan, Vol. 33 (1), pp. 1–11.</w:t>
      </w:r>
    </w:p>
    <w:p w:rsidR="00335E4B" w:rsidRPr="00335E4B" w:rsidRDefault="00335E4B" w:rsidP="00335E4B">
      <w:pPr>
        <w:bidi w:val="0"/>
        <w:spacing w:after="100"/>
        <w:rPr>
          <w:rFonts w:cs="Times New Roman"/>
          <w:sz w:val="20"/>
          <w:szCs w:val="22"/>
          <w:lang w:val="en-GB"/>
        </w:rPr>
      </w:pPr>
      <w:r w:rsidRPr="00335E4B">
        <w:rPr>
          <w:rFonts w:cs="Times New Roman"/>
          <w:sz w:val="20"/>
          <w:szCs w:val="22"/>
          <w:lang w:val="en-GB"/>
        </w:rPr>
        <w:t>Wirling, J. Safety aspects in the use of carbonaceous sorbents for entrained-phase adsorption, Stahl und Eisen 126 (2006) Nr. 6, pp. 47–54.</w:t>
      </w:r>
    </w:p>
    <w:p w:rsidR="00335E4B" w:rsidRPr="00335E4B" w:rsidRDefault="00335E4B" w:rsidP="00335E4B">
      <w:pPr>
        <w:bidi w:val="0"/>
        <w:spacing w:after="100"/>
        <w:rPr>
          <w:rFonts w:cs="Times New Roman"/>
          <w:sz w:val="20"/>
          <w:szCs w:val="22"/>
        </w:rPr>
      </w:pPr>
      <w:r w:rsidRPr="00335E4B">
        <w:rPr>
          <w:rFonts w:cs="Times New Roman"/>
          <w:sz w:val="20"/>
          <w:szCs w:val="22"/>
          <w:lang w:val="en-GB"/>
        </w:rPr>
        <w:t>WHO (2014). Safe management of wastes from health-care activities, edited by Y. Chartier et al. – 2nd ed.</w:t>
      </w:r>
    </w:p>
    <w:p w:rsidR="008E33B2" w:rsidRDefault="008E33B2">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335E4B" w:rsidRPr="00335E4B" w:rsidRDefault="00310FC3" w:rsidP="00AA60A1">
      <w:pPr>
        <w:spacing w:after="240" w:line="400" w:lineRule="exact"/>
        <w:ind w:firstLine="720"/>
        <w:rPr>
          <w:rFonts w:ascii="Traditional Arabic" w:hAnsi="Traditional Arabic" w:cs="Traditional Arabic"/>
          <w:b/>
          <w:bCs/>
          <w:sz w:val="34"/>
          <w:szCs w:val="34"/>
          <w:rtl/>
        </w:rPr>
      </w:pPr>
      <w:r>
        <w:rPr>
          <w:rFonts w:ascii="Traditional Arabic" w:hAnsi="Traditional Arabic" w:cs="Traditional Arabic" w:hint="cs"/>
          <w:b/>
          <w:bCs/>
          <w:sz w:val="34"/>
          <w:szCs w:val="34"/>
          <w:rtl/>
        </w:rPr>
        <w:t>الفصل</w:t>
      </w:r>
      <w:r w:rsidR="00335E4B" w:rsidRPr="00335E4B">
        <w:rPr>
          <w:rFonts w:ascii="Traditional Arabic" w:hAnsi="Traditional Arabic" w:cs="Traditional Arabic"/>
          <w:b/>
          <w:bCs/>
          <w:sz w:val="34"/>
          <w:szCs w:val="34"/>
          <w:rtl/>
        </w:rPr>
        <w:t xml:space="preserve"> السابع</w:t>
      </w:r>
    </w:p>
    <w:p w:rsidR="00335E4B" w:rsidRPr="00335E4B" w:rsidRDefault="00335E4B" w:rsidP="00AA60A1">
      <w:pPr>
        <w:spacing w:after="240" w:line="400" w:lineRule="exact"/>
        <w:ind w:firstLine="720"/>
        <w:jc w:val="both"/>
        <w:rPr>
          <w:rFonts w:ascii="Traditional Arabic" w:hAnsi="Traditional Arabic" w:cs="Traditional Arabic"/>
          <w:b/>
          <w:bCs/>
          <w:sz w:val="34"/>
          <w:szCs w:val="34"/>
          <w:rtl/>
        </w:rPr>
      </w:pPr>
      <w:r w:rsidRPr="00335E4B">
        <w:rPr>
          <w:rFonts w:ascii="Traditional Arabic" w:hAnsi="Traditional Arabic" w:cs="Traditional Arabic"/>
          <w:b/>
          <w:bCs/>
          <w:sz w:val="34"/>
          <w:szCs w:val="34"/>
          <w:rtl/>
        </w:rPr>
        <w:t xml:space="preserve">مرافق إنتاج </w:t>
      </w:r>
      <w:r w:rsidR="00AD0D12">
        <w:rPr>
          <w:rFonts w:ascii="Traditional Arabic" w:hAnsi="Traditional Arabic" w:cs="Traditional Arabic" w:hint="cs"/>
          <w:b/>
          <w:bCs/>
          <w:sz w:val="34"/>
          <w:szCs w:val="34"/>
          <w:rtl/>
        </w:rPr>
        <w:t>كريات</w:t>
      </w:r>
      <w:r w:rsidRPr="00335E4B">
        <w:rPr>
          <w:rFonts w:ascii="Traditional Arabic" w:hAnsi="Traditional Arabic" w:cs="Traditional Arabic" w:hint="cs"/>
          <w:b/>
          <w:bCs/>
          <w:sz w:val="34"/>
          <w:szCs w:val="34"/>
          <w:rtl/>
        </w:rPr>
        <w:t xml:space="preserve"> </w:t>
      </w:r>
      <w:r w:rsidR="00AD0D12">
        <w:rPr>
          <w:rFonts w:ascii="Traditional Arabic" w:hAnsi="Traditional Arabic" w:cs="Traditional Arabic" w:hint="cs"/>
          <w:b/>
          <w:bCs/>
          <w:sz w:val="34"/>
          <w:szCs w:val="34"/>
          <w:rtl/>
        </w:rPr>
        <w:t>الكلنكر</w:t>
      </w:r>
    </w:p>
    <w:p w:rsidR="00335E4B" w:rsidRPr="00335E4B" w:rsidRDefault="00335E4B" w:rsidP="00D97FFB">
      <w:pPr>
        <w:spacing w:after="120" w:line="400" w:lineRule="exact"/>
        <w:jc w:val="both"/>
        <w:rPr>
          <w:rFonts w:ascii="Traditional Arabic" w:hAnsi="Traditional Arabic" w:cs="Traditional Arabic"/>
          <w:b/>
          <w:bCs/>
          <w:sz w:val="32"/>
          <w:szCs w:val="32"/>
          <w:rtl/>
        </w:rPr>
      </w:pPr>
      <w:r w:rsidRPr="00335E4B">
        <w:rPr>
          <w:rFonts w:cs="Traditional Arabic" w:hint="cs"/>
          <w:b/>
          <w:bCs/>
          <w:sz w:val="30"/>
          <w:szCs w:val="30"/>
          <w:rtl/>
          <w:lang w:val="en-GB"/>
        </w:rPr>
        <w:t>موجز</w:t>
      </w:r>
    </w:p>
    <w:p w:rsidR="00335E4B" w:rsidRPr="00335E4B" w:rsidRDefault="00335E4B" w:rsidP="00D97FFB">
      <w:pPr>
        <w:spacing w:after="120" w:line="400" w:lineRule="exact"/>
        <w:jc w:val="both"/>
        <w:rPr>
          <w:rFonts w:cs="Traditional Arabic"/>
          <w:sz w:val="30"/>
          <w:szCs w:val="30"/>
          <w:lang w:val="en-GB"/>
        </w:rPr>
      </w:pPr>
      <w:r w:rsidRPr="00335E4B">
        <w:rPr>
          <w:rFonts w:cs="Traditional Arabic" w:hint="cs"/>
          <w:sz w:val="30"/>
          <w:szCs w:val="30"/>
          <w:rtl/>
          <w:lang w:val="en-GB"/>
        </w:rPr>
        <w:t>يُحرق الحجر الجيري والمكونات المعدنية الأخرى لتشكيل كريات الكلنكر التي تُطحن بعد ذلك ثم تُمزج مع مواد مضافة معينة لتكوين المنتج النهائي، أي الإسمنت. وتستخدم أنواع مختلفة من الوقود لتوفير الحرارة اللازمة لعملية الإنتاج.</w:t>
      </w:r>
    </w:p>
    <w:p w:rsidR="00335E4B" w:rsidRPr="00335E4B" w:rsidRDefault="00335E4B" w:rsidP="00D97FFB">
      <w:pPr>
        <w:spacing w:after="120" w:line="400" w:lineRule="exact"/>
        <w:jc w:val="both"/>
        <w:rPr>
          <w:rFonts w:cs="Traditional Arabic"/>
          <w:sz w:val="30"/>
          <w:szCs w:val="30"/>
          <w:lang w:val="en-GB"/>
        </w:rPr>
      </w:pPr>
      <w:r w:rsidRPr="00335E4B">
        <w:rPr>
          <w:rFonts w:cs="Traditional Arabic" w:hint="cs"/>
          <w:sz w:val="30"/>
          <w:szCs w:val="30"/>
          <w:rtl/>
          <w:lang w:val="en-GB"/>
        </w:rPr>
        <w:t>ويؤدي إنتاج كريات الكلنكر إلى انطلاق انبعاثات زئبق إلى الهواء منشؤها المواد الخام والوقود المستخدم. ووفقاً لأحكام الاتفاقية فإنه يتعين تطبيق أفضل التقنيات المتاحة/أفضل الممارسات البيئية في المرافق المشيدة حديثاً أو المرافق التي أدخلت عليها تعديلات كبيرة بهدف التحكم في انبعاثات الزئبق أو تخفيضها إذا أمكن ذلك. وعلاوةً على ذلك يجوز للأطراف أن تستخدم أفضل التقنيات المتاحة/أفضل الممارسات البيئية كواحدة من مجموعة من التدابير في المرافق القائمة لإنتاج كريات الكلنكر بهدف إحراز تطور معقول على صعيد تخفيض الانبعاثات مع مرور الوقت.</w:t>
      </w:r>
    </w:p>
    <w:p w:rsidR="00335E4B" w:rsidRPr="00335E4B" w:rsidRDefault="00335E4B" w:rsidP="00D97FFB">
      <w:pPr>
        <w:spacing w:after="120" w:line="400" w:lineRule="exact"/>
        <w:jc w:val="both"/>
        <w:rPr>
          <w:rFonts w:cs="Traditional Arabic"/>
          <w:sz w:val="30"/>
          <w:szCs w:val="30"/>
          <w:rtl/>
          <w:lang w:val="en-GB"/>
        </w:rPr>
      </w:pPr>
      <w:r w:rsidRPr="00335E4B">
        <w:rPr>
          <w:rFonts w:cs="Traditional Arabic" w:hint="cs"/>
          <w:sz w:val="30"/>
          <w:szCs w:val="30"/>
          <w:rtl/>
          <w:lang w:val="en-GB"/>
        </w:rPr>
        <w:t>وبناءً على ذلك يهدف هذا الفصل إلى بيان خيارات أفضل التقنيات المتاحة/أفضل الممارسات البيئية الرامية إلى التحكم في انبعاثات الزئبق إلى الهواء من مرافق إنتاج كريات الكلنكر. ويبدأ الفصل بتقديم عرض عام لعملية إنتاج الإسمنت ويبين سلوك الزئبق في هذه العملية حيث يجري عرض استراتيجيات التحكم في الملوثات الأولية والثانوية والمتعددة فيما يخص انبعاثات الزئبق وتحديد خيارات أفضل التقنيات المتاحة/أفضل الممارسات البيئية. وإضافةً إلى ذلك ترد معلومات خاصة بالقطاع عن رصد انبعاثات الزئبق، كما يرد كذلك تذييل يحتوي على معلومات إضافية عن سلوك الزئبق في مرافق إنتاج كريات الكلنكر، مع موجز للأشكال الكيميائية للزئبق المنبعث من العديد من منشآت إنتاج الإسمنت.</w:t>
      </w:r>
    </w:p>
    <w:p w:rsidR="00A579AB" w:rsidRDefault="00A579AB">
      <w:pPr>
        <w:bidi w:val="0"/>
        <w:rPr>
          <w:rFonts w:cs="Traditional Arabic"/>
          <w:b/>
          <w:bCs/>
          <w:sz w:val="30"/>
          <w:szCs w:val="30"/>
          <w:rtl/>
          <w:lang w:val="en-GB"/>
        </w:rPr>
      </w:pPr>
      <w:r>
        <w:rPr>
          <w:rFonts w:cs="Traditional Arabic"/>
          <w:b/>
          <w:bCs/>
          <w:sz w:val="30"/>
          <w:szCs w:val="30"/>
          <w:rtl/>
          <w:lang w:val="en-GB"/>
        </w:rPr>
        <w:br w:type="page"/>
      </w:r>
    </w:p>
    <w:p w:rsidR="00335E4B" w:rsidRPr="00D97FFB" w:rsidRDefault="00335E4B" w:rsidP="007B782B">
      <w:pPr>
        <w:tabs>
          <w:tab w:val="left" w:pos="707"/>
          <w:tab w:val="right" w:leader="dot" w:pos="9212"/>
        </w:tabs>
        <w:spacing w:afterLines="60" w:after="144" w:line="340" w:lineRule="exact"/>
        <w:ind w:left="849" w:hanging="851"/>
        <w:rPr>
          <w:rFonts w:ascii="Calibri" w:hAnsi="Calibri" w:cs="Arial"/>
          <w:noProof/>
          <w:szCs w:val="22"/>
          <w:rtl/>
        </w:rPr>
      </w:pPr>
      <w:r w:rsidRPr="00335E4B">
        <w:rPr>
          <w:rFonts w:cs="Traditional Arabic"/>
          <w:noProof/>
          <w:sz w:val="18"/>
          <w:rtl/>
          <w:lang w:bidi="ar-EG"/>
        </w:rPr>
        <w:fldChar w:fldCharType="begin"/>
      </w:r>
      <w:r w:rsidRPr="00335E4B">
        <w:rPr>
          <w:rFonts w:cs="Traditional Arabic"/>
          <w:noProof/>
          <w:sz w:val="18"/>
          <w:rtl/>
          <w:lang w:bidi="ar-EG"/>
        </w:rPr>
        <w:instrText xml:space="preserve"> TOC \o "1-3" \h \z \u </w:instrText>
      </w:r>
      <w:r w:rsidRPr="00335E4B">
        <w:rPr>
          <w:rFonts w:cs="Traditional Arabic"/>
          <w:noProof/>
          <w:sz w:val="18"/>
          <w:rtl/>
          <w:lang w:bidi="ar-EG"/>
        </w:rPr>
        <w:fldChar w:fldCharType="separate"/>
      </w:r>
      <w:hyperlink w:anchor="_Toc441666813" w:history="1">
        <w:r w:rsidRPr="00D97FFB">
          <w:rPr>
            <w:rFonts w:cs="Traditional Arabic"/>
            <w:b/>
            <w:bCs/>
            <w:noProof/>
            <w:sz w:val="18"/>
            <w:rtl/>
            <w:lang w:bidi="ar-EG"/>
          </w:rPr>
          <w:t>1–</w:t>
        </w:r>
        <w:r w:rsidRPr="00D97FFB">
          <w:rPr>
            <w:rFonts w:ascii="Calibri" w:hAnsi="Calibri" w:cs="Arial"/>
            <w:noProof/>
            <w:szCs w:val="22"/>
            <w:rtl/>
          </w:rPr>
          <w:tab/>
        </w:r>
        <w:r w:rsidRPr="00D97FFB">
          <w:rPr>
            <w:rFonts w:cs="Traditional Arabic" w:hint="eastAsia"/>
            <w:b/>
            <w:bCs/>
            <w:noProof/>
            <w:sz w:val="18"/>
            <w:rtl/>
            <w:lang w:bidi="ar-EG"/>
          </w:rPr>
          <w:t>مقدمة</w:t>
        </w:r>
        <w:r w:rsidRPr="00D97FFB">
          <w:rPr>
            <w:rFonts w:cs="Traditional Arabic"/>
            <w:noProof/>
            <w:webHidden/>
            <w:sz w:val="18"/>
            <w:rtl/>
            <w:lang w:bidi="ar-EG"/>
          </w:rPr>
          <w:tab/>
        </w:r>
      </w:hyperlink>
      <w:r w:rsidRPr="00D97FFB">
        <w:rPr>
          <w:rFonts w:ascii="Calibri" w:hAnsi="Calibri" w:cs="Arial" w:hint="cs"/>
          <w:noProof/>
          <w:szCs w:val="22"/>
          <w:rtl/>
        </w:rPr>
        <w:t>17</w:t>
      </w:r>
      <w:r w:rsidR="00D97FFB" w:rsidRPr="00D97FFB">
        <w:rPr>
          <w:rFonts w:ascii="Calibri" w:hAnsi="Calibri" w:cs="Arial" w:hint="cs"/>
          <w:noProof/>
          <w:szCs w:val="22"/>
          <w:rtl/>
        </w:rPr>
        <w:t>4</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hint="cs"/>
          <w:noProof/>
          <w:sz w:val="18"/>
          <w:rtl/>
          <w:lang w:bidi="ar-EG"/>
        </w:rPr>
        <w:t>العمليات المستخدمة، بما في ذلك النظر في مدخلات المواد وسلوك الزئبق في العملية</w:t>
      </w:r>
      <w:r w:rsidRPr="00335E4B">
        <w:rPr>
          <w:rFonts w:cs="Traditional Arabic" w:hint="cs"/>
          <w:noProof/>
          <w:sz w:val="18"/>
          <w:rtl/>
          <w:lang w:bidi="ar-EG"/>
        </w:rPr>
        <w:tab/>
        <w:t>17</w:t>
      </w:r>
      <w:r w:rsidR="004709F1">
        <w:rPr>
          <w:rFonts w:cs="Traditional Arabic" w:hint="cs"/>
          <w:noProof/>
          <w:sz w:val="18"/>
          <w:rtl/>
          <w:lang w:bidi="ar-EG"/>
        </w:rPr>
        <w:t>5</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hint="cs"/>
          <w:noProof/>
          <w:sz w:val="18"/>
          <w:rtl/>
          <w:lang w:bidi="ar-EG"/>
        </w:rPr>
        <w:t>عرض عام لعملية إنتاج الإسمنت</w:t>
      </w:r>
      <w:r w:rsidRPr="00335E4B">
        <w:rPr>
          <w:rFonts w:cs="Traditional Arabic" w:hint="cs"/>
          <w:noProof/>
          <w:sz w:val="18"/>
          <w:rtl/>
          <w:lang w:bidi="ar-EG"/>
        </w:rPr>
        <w:tab/>
        <w:t>17</w:t>
      </w:r>
      <w:r w:rsidR="004709F1">
        <w:rPr>
          <w:rFonts w:cs="Traditional Arabic" w:hint="cs"/>
          <w:noProof/>
          <w:sz w:val="18"/>
          <w:rtl/>
          <w:lang w:bidi="ar-EG"/>
        </w:rPr>
        <w:t>5</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عملية إنتاج كريات الكلنكر</w:t>
      </w:r>
      <w:r w:rsidRPr="00335E4B">
        <w:rPr>
          <w:rFonts w:cs="Traditional Arabic" w:hint="cs"/>
          <w:noProof/>
          <w:sz w:val="18"/>
          <w:rtl/>
          <w:lang w:bidi="ar-EG"/>
        </w:rPr>
        <w:tab/>
        <w:t>17</w:t>
      </w:r>
      <w:r w:rsidR="004709F1">
        <w:rPr>
          <w:rFonts w:cs="Traditional Arabic" w:hint="cs"/>
          <w:noProof/>
          <w:sz w:val="18"/>
          <w:rtl/>
          <w:lang w:bidi="ar-EG"/>
        </w:rPr>
        <w:t>5</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وصف عملية حرق كريات الكلنكر</w:t>
      </w:r>
      <w:r w:rsidRPr="00335E4B">
        <w:rPr>
          <w:rFonts w:cs="Traditional Arabic" w:hint="cs"/>
          <w:noProof/>
          <w:sz w:val="18"/>
          <w:rtl/>
          <w:lang w:bidi="ar-EG"/>
        </w:rPr>
        <w:tab/>
        <w:t>17</w:t>
      </w:r>
      <w:r w:rsidR="004709F1">
        <w:rPr>
          <w:rFonts w:cs="Traditional Arabic" w:hint="cs"/>
          <w:noProof/>
          <w:sz w:val="18"/>
          <w:rtl/>
          <w:lang w:bidi="ar-EG"/>
        </w:rPr>
        <w:t>6</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وصف أفران كريات الكلنكر الدوارة</w:t>
      </w:r>
      <w:r w:rsidRPr="00335E4B">
        <w:rPr>
          <w:rFonts w:cs="Traditional Arabic" w:hint="cs"/>
          <w:noProof/>
          <w:sz w:val="18"/>
          <w:rtl/>
          <w:lang w:bidi="ar-EG"/>
        </w:rPr>
        <w:tab/>
        <w:t>17</w:t>
      </w:r>
      <w:r w:rsidR="004709F1">
        <w:rPr>
          <w:rFonts w:cs="Traditional Arabic" w:hint="cs"/>
          <w:noProof/>
          <w:sz w:val="18"/>
          <w:rtl/>
          <w:lang w:bidi="ar-EG"/>
        </w:rPr>
        <w:t>6</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دخول الزئبق في العملية وسلوكه أثناءها</w:t>
      </w:r>
      <w:r w:rsidRPr="00335E4B">
        <w:rPr>
          <w:rFonts w:cs="Traditional Arabic" w:hint="cs"/>
          <w:noProof/>
          <w:sz w:val="18"/>
          <w:rtl/>
          <w:lang w:bidi="ar-EG"/>
        </w:rPr>
        <w:tab/>
        <w:t>17</w:t>
      </w:r>
      <w:r w:rsidR="004709F1">
        <w:rPr>
          <w:rFonts w:cs="Traditional Arabic" w:hint="cs"/>
          <w:noProof/>
          <w:sz w:val="18"/>
          <w:rtl/>
          <w:lang w:bidi="ar-EG"/>
        </w:rPr>
        <w:t>7</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محتوى الزئبق في مختلف مسارات المدخلات</w:t>
      </w:r>
      <w:r w:rsidRPr="00335E4B">
        <w:rPr>
          <w:rFonts w:cs="Traditional Arabic" w:hint="cs"/>
          <w:noProof/>
          <w:sz w:val="18"/>
          <w:rtl/>
          <w:lang w:bidi="ar-EG"/>
        </w:rPr>
        <w:tab/>
        <w:t>17</w:t>
      </w:r>
      <w:r w:rsidR="004709F1">
        <w:rPr>
          <w:rFonts w:cs="Traditional Arabic" w:hint="cs"/>
          <w:noProof/>
          <w:sz w:val="18"/>
          <w:rtl/>
          <w:lang w:bidi="ar-EG"/>
        </w:rPr>
        <w:t>7</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سلوك الزئبق وتوازناته</w:t>
      </w:r>
      <w:r w:rsidRPr="00335E4B">
        <w:rPr>
          <w:rFonts w:cs="Traditional Arabic" w:hint="cs"/>
          <w:noProof/>
          <w:sz w:val="18"/>
          <w:rtl/>
          <w:lang w:bidi="ar-EG"/>
        </w:rPr>
        <w:tab/>
        <w:t>17</w:t>
      </w:r>
      <w:r w:rsidR="004709F1">
        <w:rPr>
          <w:rFonts w:cs="Traditional Arabic" w:hint="cs"/>
          <w:noProof/>
          <w:sz w:val="18"/>
          <w:rtl/>
          <w:lang w:bidi="ar-EG"/>
        </w:rPr>
        <w:t>8</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تدابير التحكم في انبعاثات الزئبق</w:t>
      </w:r>
      <w:r w:rsidRPr="00335E4B">
        <w:rPr>
          <w:rFonts w:cs="Traditional Arabic" w:hint="cs"/>
          <w:noProof/>
          <w:sz w:val="18"/>
          <w:rtl/>
          <w:lang w:bidi="ar-EG"/>
        </w:rPr>
        <w:tab/>
        <w:t>18</w:t>
      </w:r>
      <w:r w:rsidR="004709F1">
        <w:rPr>
          <w:rFonts w:cs="Traditional Arabic" w:hint="cs"/>
          <w:noProof/>
          <w:sz w:val="18"/>
          <w:rtl/>
          <w:lang w:bidi="ar-EG"/>
        </w:rPr>
        <w:t>0</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التدابير الأولية</w:t>
      </w:r>
      <w:r w:rsidRPr="00335E4B">
        <w:rPr>
          <w:rFonts w:cs="Traditional Arabic" w:hint="cs"/>
          <w:noProof/>
          <w:sz w:val="18"/>
          <w:rtl/>
          <w:lang w:bidi="ar-EG"/>
        </w:rPr>
        <w:tab/>
        <w:t>18</w:t>
      </w:r>
      <w:r w:rsidR="004709F1">
        <w:rPr>
          <w:rFonts w:cs="Traditional Arabic" w:hint="cs"/>
          <w:noProof/>
          <w:sz w:val="18"/>
          <w:rtl/>
          <w:lang w:bidi="ar-EG"/>
        </w:rPr>
        <w:t>0</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التحكم في المدخلات</w:t>
      </w:r>
      <w:r w:rsidRPr="00335E4B">
        <w:rPr>
          <w:rFonts w:cs="Traditional Arabic" w:hint="cs"/>
          <w:noProof/>
          <w:sz w:val="18"/>
          <w:rtl/>
          <w:lang w:bidi="ar-EG"/>
        </w:rPr>
        <w:tab/>
        <w:t>18</w:t>
      </w:r>
      <w:r w:rsidR="004709F1">
        <w:rPr>
          <w:rFonts w:cs="Traditional Arabic" w:hint="cs"/>
          <w:noProof/>
          <w:sz w:val="18"/>
          <w:rtl/>
          <w:lang w:bidi="ar-EG"/>
        </w:rPr>
        <w:t>0</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التدابير الثانوية</w:t>
      </w:r>
      <w:r w:rsidRPr="00335E4B">
        <w:rPr>
          <w:rFonts w:cs="Traditional Arabic" w:hint="cs"/>
          <w:noProof/>
          <w:sz w:val="18"/>
          <w:rtl/>
          <w:lang w:bidi="ar-EG"/>
        </w:rPr>
        <w:tab/>
        <w:t>18</w:t>
      </w:r>
      <w:r w:rsidR="004709F1">
        <w:rPr>
          <w:rFonts w:cs="Traditional Arabic" w:hint="cs"/>
          <w:noProof/>
          <w:sz w:val="18"/>
          <w:rtl/>
          <w:lang w:bidi="ar-EG"/>
        </w:rPr>
        <w:t>2</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إزالة الغبار</w:t>
      </w:r>
      <w:r w:rsidRPr="00335E4B">
        <w:rPr>
          <w:rFonts w:cs="Traditional Arabic" w:hint="cs"/>
          <w:noProof/>
          <w:sz w:val="18"/>
          <w:rtl/>
          <w:lang w:bidi="ar-EG"/>
        </w:rPr>
        <w:tab/>
        <w:t>18</w:t>
      </w:r>
      <w:r w:rsidR="004709F1">
        <w:rPr>
          <w:rFonts w:cs="Traditional Arabic" w:hint="cs"/>
          <w:noProof/>
          <w:sz w:val="18"/>
          <w:rtl/>
          <w:lang w:bidi="ar-EG"/>
        </w:rPr>
        <w:t>2</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الإزالة المتكررة للغبار عن طريق حقن مادة ممتزة</w:t>
      </w:r>
      <w:r w:rsidRPr="00335E4B">
        <w:rPr>
          <w:rFonts w:cs="Traditional Arabic" w:hint="cs"/>
          <w:noProof/>
          <w:sz w:val="18"/>
          <w:rtl/>
          <w:lang w:bidi="ar-EG"/>
        </w:rPr>
        <w:tab/>
        <w:t>18</w:t>
      </w:r>
      <w:r w:rsidR="004709F1">
        <w:rPr>
          <w:rFonts w:cs="Traditional Arabic" w:hint="cs"/>
          <w:noProof/>
          <w:sz w:val="18"/>
          <w:rtl/>
          <w:lang w:bidi="ar-EG"/>
        </w:rPr>
        <w:t>4</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حقن المادة الممتزة مع تركيب حجرة مرشح كيسي</w:t>
      </w:r>
      <w:r w:rsidRPr="00335E4B">
        <w:rPr>
          <w:rFonts w:cs="Traditional Arabic" w:hint="cs"/>
          <w:noProof/>
          <w:sz w:val="18"/>
          <w:rtl/>
          <w:lang w:bidi="ar-EG"/>
        </w:rPr>
        <w:tab/>
        <w:t>18</w:t>
      </w:r>
      <w:r w:rsidR="004709F1">
        <w:rPr>
          <w:rFonts w:cs="Traditional Arabic" w:hint="cs"/>
          <w:noProof/>
          <w:sz w:val="18"/>
          <w:rtl/>
          <w:lang w:bidi="ar-EG"/>
        </w:rPr>
        <w:t>7</w:t>
      </w:r>
    </w:p>
    <w:p w:rsidR="00335E4B" w:rsidRPr="00335E4B" w:rsidRDefault="00335E4B" w:rsidP="007B782B">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تدابير التحكم في الملوثات المتعددة</w:t>
      </w:r>
      <w:r w:rsidRPr="00335E4B">
        <w:rPr>
          <w:rFonts w:cs="Traditional Arabic" w:hint="cs"/>
          <w:noProof/>
          <w:sz w:val="18"/>
          <w:rtl/>
          <w:lang w:bidi="ar-EG"/>
        </w:rPr>
        <w:tab/>
        <w:t>190</w:t>
      </w:r>
    </w:p>
    <w:p w:rsidR="00335E4B" w:rsidRPr="00335E4B" w:rsidRDefault="00335E4B" w:rsidP="007B782B">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أجهزة التنظيف الرطبة</w:t>
      </w:r>
      <w:r w:rsidRPr="00335E4B">
        <w:rPr>
          <w:rFonts w:cs="Traditional Arabic" w:hint="cs"/>
          <w:noProof/>
          <w:sz w:val="18"/>
          <w:rtl/>
          <w:lang w:bidi="ar-EG"/>
        </w:rPr>
        <w:tab/>
        <w:t>190</w:t>
      </w:r>
    </w:p>
    <w:p w:rsidR="00335E4B" w:rsidRPr="00335E4B" w:rsidRDefault="00335E4B" w:rsidP="007B782B">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الاختزال الحفزي الانتقائي</w:t>
      </w:r>
      <w:r w:rsidRPr="00335E4B">
        <w:rPr>
          <w:rFonts w:cs="Traditional Arabic" w:hint="cs"/>
          <w:noProof/>
          <w:sz w:val="18"/>
          <w:rtl/>
          <w:lang w:bidi="ar-EG"/>
        </w:rPr>
        <w:tab/>
        <w:t>192</w:t>
      </w:r>
    </w:p>
    <w:p w:rsidR="00335E4B" w:rsidRPr="00335E4B" w:rsidRDefault="00335E4B" w:rsidP="007B782B">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مرشح الكربون المنشط</w:t>
      </w:r>
      <w:r w:rsidRPr="00335E4B">
        <w:rPr>
          <w:rFonts w:cs="Traditional Arabic" w:hint="cs"/>
          <w:noProof/>
          <w:sz w:val="18"/>
          <w:rtl/>
          <w:lang w:bidi="ar-EG"/>
        </w:rPr>
        <w:tab/>
        <w:t>193</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أفضل التقنيات المتاحة وأفضل الممارسات البيئية</w:t>
      </w:r>
      <w:r w:rsidRPr="00335E4B">
        <w:rPr>
          <w:rFonts w:cs="Traditional Arabic" w:hint="cs"/>
          <w:noProof/>
          <w:sz w:val="18"/>
          <w:rtl/>
          <w:lang w:bidi="ar-EG"/>
        </w:rPr>
        <w:tab/>
        <w:t>19</w:t>
      </w:r>
      <w:r w:rsidR="004709F1">
        <w:rPr>
          <w:rFonts w:cs="Traditional Arabic" w:hint="cs"/>
          <w:noProof/>
          <w:sz w:val="18"/>
          <w:rtl/>
          <w:lang w:bidi="ar-EG"/>
        </w:rPr>
        <w:t>5</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التدابير الأولية</w:t>
      </w:r>
      <w:r w:rsidRPr="00335E4B">
        <w:rPr>
          <w:rFonts w:cs="Traditional Arabic" w:hint="cs"/>
          <w:noProof/>
          <w:sz w:val="18"/>
          <w:rtl/>
          <w:lang w:bidi="ar-EG"/>
        </w:rPr>
        <w:tab/>
        <w:t>19</w:t>
      </w:r>
      <w:r w:rsidR="004709F1">
        <w:rPr>
          <w:rFonts w:cs="Traditional Arabic" w:hint="cs"/>
          <w:noProof/>
          <w:sz w:val="18"/>
          <w:rtl/>
          <w:lang w:bidi="ar-EG"/>
        </w:rPr>
        <w:t>5</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التدابير الثانوية</w:t>
      </w:r>
      <w:r w:rsidRPr="00335E4B">
        <w:rPr>
          <w:rFonts w:cs="Traditional Arabic" w:hint="cs"/>
          <w:noProof/>
          <w:sz w:val="18"/>
          <w:rtl/>
          <w:lang w:bidi="ar-EG"/>
        </w:rPr>
        <w:tab/>
        <w:t>19</w:t>
      </w:r>
      <w:r w:rsidR="004709F1">
        <w:rPr>
          <w:rFonts w:cs="Traditional Arabic" w:hint="cs"/>
          <w:noProof/>
          <w:sz w:val="18"/>
          <w:rtl/>
          <w:lang w:bidi="ar-EG"/>
        </w:rPr>
        <w:t>5</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تدابير ضبط الملوثات المتعددة</w:t>
      </w:r>
      <w:r w:rsidRPr="00335E4B">
        <w:rPr>
          <w:rFonts w:cs="Traditional Arabic" w:hint="cs"/>
          <w:noProof/>
          <w:sz w:val="18"/>
          <w:rtl/>
          <w:lang w:bidi="ar-EG"/>
        </w:rPr>
        <w:tab/>
        <w:t>19</w:t>
      </w:r>
      <w:r w:rsidR="004709F1">
        <w:rPr>
          <w:rFonts w:cs="Traditional Arabic" w:hint="cs"/>
          <w:noProof/>
          <w:sz w:val="18"/>
          <w:rtl/>
          <w:lang w:bidi="ar-EG"/>
        </w:rPr>
        <w:t>6</w:t>
      </w:r>
    </w:p>
    <w:p w:rsidR="00335E4B" w:rsidRPr="00335E4B" w:rsidRDefault="00335E4B" w:rsidP="004709F1">
      <w:pPr>
        <w:tabs>
          <w:tab w:val="right" w:leader="dot" w:pos="9212"/>
        </w:tabs>
        <w:spacing w:afterLines="60" w:after="144" w:line="340" w:lineRule="exact"/>
        <w:ind w:left="1132" w:hanging="423"/>
        <w:rPr>
          <w:rFonts w:cs="Traditional Arabic"/>
          <w:noProof/>
          <w:sz w:val="18"/>
          <w:rtl/>
          <w:lang w:bidi="ar-EG"/>
        </w:rPr>
      </w:pPr>
      <w:r w:rsidRPr="00335E4B">
        <w:rPr>
          <w:rFonts w:cs="Traditional Arabic"/>
          <w:noProof/>
          <w:sz w:val="18"/>
          <w:rtl/>
          <w:lang w:bidi="ar-EG"/>
        </w:rPr>
        <w:t>الرصد</w:t>
      </w:r>
      <w:r w:rsidR="007B782B">
        <w:rPr>
          <w:rFonts w:cs="Traditional Arabic" w:hint="cs"/>
          <w:noProof/>
          <w:sz w:val="18"/>
          <w:rtl/>
          <w:lang w:bidi="ar-EG"/>
        </w:rPr>
        <w:tab/>
      </w:r>
      <w:r w:rsidRPr="00335E4B">
        <w:rPr>
          <w:rFonts w:cs="Traditional Arabic" w:hint="cs"/>
          <w:noProof/>
          <w:sz w:val="18"/>
          <w:rtl/>
          <w:lang w:bidi="ar-EG"/>
        </w:rPr>
        <w:tab/>
        <w:t>19</w:t>
      </w:r>
      <w:r w:rsidR="004709F1">
        <w:rPr>
          <w:rFonts w:cs="Traditional Arabic" w:hint="cs"/>
          <w:noProof/>
          <w:sz w:val="18"/>
          <w:rtl/>
          <w:lang w:bidi="ar-EG"/>
        </w:rPr>
        <w:t>7</w:t>
      </w:r>
    </w:p>
    <w:p w:rsidR="00335E4B" w:rsidRPr="00335E4B" w:rsidRDefault="00335E4B" w:rsidP="004709F1">
      <w:pPr>
        <w:tabs>
          <w:tab w:val="right" w:leader="dot" w:pos="9212"/>
        </w:tabs>
        <w:spacing w:afterLines="60" w:after="144" w:line="340" w:lineRule="exact"/>
        <w:ind w:left="1132" w:hanging="423"/>
        <w:rPr>
          <w:rFonts w:cs="Traditional Arabic"/>
          <w:noProof/>
          <w:sz w:val="18"/>
          <w:rtl/>
          <w:lang w:bidi="ar-EG"/>
        </w:rPr>
      </w:pPr>
      <w:r w:rsidRPr="00335E4B">
        <w:rPr>
          <w:rFonts w:cs="Traditional Arabic"/>
          <w:noProof/>
          <w:sz w:val="18"/>
          <w:rtl/>
          <w:lang w:bidi="ar-EG"/>
        </w:rPr>
        <w:t>مقدمة</w:t>
      </w:r>
      <w:r w:rsidRPr="00335E4B">
        <w:rPr>
          <w:rFonts w:cs="Traditional Arabic" w:hint="cs"/>
          <w:noProof/>
          <w:sz w:val="18"/>
          <w:rtl/>
          <w:lang w:bidi="ar-EG"/>
        </w:rPr>
        <w:tab/>
        <w:t>19</w:t>
      </w:r>
      <w:r w:rsidR="004709F1">
        <w:rPr>
          <w:rFonts w:cs="Traditional Arabic" w:hint="cs"/>
          <w:noProof/>
          <w:sz w:val="18"/>
          <w:rtl/>
          <w:lang w:bidi="ar-EG"/>
        </w:rPr>
        <w:t>7</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نقاط أخذ عينات الزئبق في عملية إنتاج الإسمنت</w:t>
      </w:r>
      <w:r w:rsidRPr="00335E4B">
        <w:rPr>
          <w:rFonts w:cs="Traditional Arabic" w:hint="cs"/>
          <w:noProof/>
          <w:sz w:val="18"/>
          <w:rtl/>
          <w:lang w:bidi="ar-EG"/>
        </w:rPr>
        <w:tab/>
        <w:t>19</w:t>
      </w:r>
      <w:r w:rsidR="004709F1">
        <w:rPr>
          <w:rFonts w:cs="Traditional Arabic" w:hint="cs"/>
          <w:noProof/>
          <w:sz w:val="18"/>
          <w:rtl/>
          <w:lang w:bidi="ar-EG"/>
        </w:rPr>
        <w:t>7</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الأشكال الكيميائية للزئبق في عملية إنتاج الإسمنت</w:t>
      </w:r>
      <w:r w:rsidRPr="00335E4B">
        <w:rPr>
          <w:rFonts w:cs="Traditional Arabic" w:hint="cs"/>
          <w:noProof/>
          <w:sz w:val="18"/>
          <w:rtl/>
          <w:lang w:bidi="ar-EG"/>
        </w:rPr>
        <w:tab/>
        <w:t>19</w:t>
      </w:r>
      <w:r w:rsidR="004709F1">
        <w:rPr>
          <w:rFonts w:cs="Traditional Arabic" w:hint="cs"/>
          <w:noProof/>
          <w:sz w:val="18"/>
          <w:rtl/>
          <w:lang w:bidi="ar-EG"/>
        </w:rPr>
        <w:t>7</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أخذ عينات الزئبق وطرق قياس مستوى الزئبق في عملية إنتاج الإسمنت</w:t>
      </w:r>
      <w:r w:rsidRPr="00335E4B">
        <w:rPr>
          <w:rFonts w:cs="Traditional Arabic" w:hint="cs"/>
          <w:noProof/>
          <w:sz w:val="18"/>
          <w:rtl/>
          <w:lang w:bidi="ar-EG"/>
        </w:rPr>
        <w:tab/>
        <w:t>19</w:t>
      </w:r>
      <w:r w:rsidR="004709F1">
        <w:rPr>
          <w:rFonts w:cs="Traditional Arabic" w:hint="cs"/>
          <w:noProof/>
          <w:sz w:val="18"/>
          <w:rtl/>
          <w:lang w:bidi="ar-EG"/>
        </w:rPr>
        <w:t>8</w:t>
      </w:r>
    </w:p>
    <w:p w:rsidR="00335E4B" w:rsidRPr="00335E4B" w:rsidRDefault="00335E4B" w:rsidP="004709F1">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توازن المواد (الطريقة غير المباشرة)</w:t>
      </w:r>
      <w:r w:rsidRPr="00335E4B">
        <w:rPr>
          <w:rFonts w:cs="Traditional Arabic" w:hint="cs"/>
          <w:noProof/>
          <w:sz w:val="18"/>
          <w:rtl/>
          <w:lang w:bidi="ar-EG"/>
        </w:rPr>
        <w:tab/>
        <w:t>19</w:t>
      </w:r>
      <w:r w:rsidR="004709F1">
        <w:rPr>
          <w:rFonts w:cs="Traditional Arabic" w:hint="cs"/>
          <w:noProof/>
          <w:sz w:val="18"/>
          <w:rtl/>
          <w:lang w:bidi="ar-EG"/>
        </w:rPr>
        <w:t>8</w:t>
      </w:r>
    </w:p>
    <w:p w:rsidR="00335E4B" w:rsidRPr="00335E4B" w:rsidRDefault="00335E4B" w:rsidP="00714B07">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الطرق اليدوية لأخذ القياسات العشوائية للزئبق (طرق أجهزة الارتطام)</w:t>
      </w:r>
      <w:r w:rsidRPr="00335E4B">
        <w:rPr>
          <w:rFonts w:cs="Traditional Arabic" w:hint="cs"/>
          <w:noProof/>
          <w:sz w:val="18"/>
          <w:rtl/>
          <w:lang w:bidi="ar-EG"/>
        </w:rPr>
        <w:tab/>
      </w:r>
      <w:r w:rsidR="00714B07">
        <w:rPr>
          <w:rFonts w:cs="Traditional Arabic" w:hint="cs"/>
          <w:noProof/>
          <w:sz w:val="18"/>
          <w:rtl/>
          <w:lang w:bidi="ar-EG"/>
        </w:rPr>
        <w:t>199</w:t>
      </w:r>
    </w:p>
    <w:p w:rsidR="00335E4B" w:rsidRPr="00335E4B" w:rsidRDefault="00335E4B" w:rsidP="00714B07">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القياسات على المدى البعيد</w:t>
      </w:r>
      <w:r w:rsidRPr="00335E4B">
        <w:rPr>
          <w:rFonts w:cs="Traditional Arabic" w:hint="cs"/>
          <w:noProof/>
          <w:sz w:val="18"/>
          <w:rtl/>
          <w:lang w:bidi="ar-EG"/>
        </w:rPr>
        <w:tab/>
        <w:t>20</w:t>
      </w:r>
      <w:r w:rsidR="00714B07">
        <w:rPr>
          <w:rFonts w:cs="Traditional Arabic" w:hint="cs"/>
          <w:noProof/>
          <w:sz w:val="18"/>
          <w:rtl/>
          <w:lang w:bidi="ar-EG"/>
        </w:rPr>
        <w:t>0</w:t>
      </w:r>
    </w:p>
    <w:p w:rsidR="00335E4B" w:rsidRPr="00335E4B" w:rsidRDefault="00335E4B" w:rsidP="00714B07">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نظم الرصد عن طريق مصائد المواد الماصة (الممتزة)</w:t>
      </w:r>
      <w:r w:rsidRPr="00335E4B">
        <w:rPr>
          <w:rFonts w:cs="Traditional Arabic" w:hint="cs"/>
          <w:noProof/>
          <w:sz w:val="18"/>
          <w:rtl/>
          <w:lang w:bidi="ar-EG"/>
        </w:rPr>
        <w:tab/>
        <w:t>20</w:t>
      </w:r>
      <w:r w:rsidR="00714B07">
        <w:rPr>
          <w:rFonts w:cs="Traditional Arabic" w:hint="cs"/>
          <w:noProof/>
          <w:sz w:val="18"/>
          <w:rtl/>
          <w:lang w:bidi="ar-EG"/>
        </w:rPr>
        <w:t>0</w:t>
      </w:r>
    </w:p>
    <w:p w:rsidR="00335E4B" w:rsidRPr="00335E4B" w:rsidRDefault="00335E4B" w:rsidP="00714B07">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نظم الرصد المستمر لانبعاثات الزئبق</w:t>
      </w:r>
      <w:r w:rsidRPr="00335E4B">
        <w:rPr>
          <w:rFonts w:cs="Traditional Arabic" w:hint="cs"/>
          <w:noProof/>
          <w:sz w:val="18"/>
          <w:rtl/>
          <w:lang w:bidi="ar-EG"/>
        </w:rPr>
        <w:tab/>
        <w:t>20</w:t>
      </w:r>
      <w:r w:rsidR="00714B07">
        <w:rPr>
          <w:rFonts w:cs="Traditional Arabic" w:hint="cs"/>
          <w:noProof/>
          <w:sz w:val="18"/>
          <w:rtl/>
          <w:lang w:bidi="ar-EG"/>
        </w:rPr>
        <w:t>0</w:t>
      </w:r>
    </w:p>
    <w:p w:rsidR="00335E4B" w:rsidRPr="00335E4B" w:rsidRDefault="00335E4B" w:rsidP="00714B07">
      <w:pPr>
        <w:tabs>
          <w:tab w:val="right" w:leader="dot" w:pos="9212"/>
        </w:tabs>
        <w:spacing w:afterLines="60" w:after="144" w:line="340" w:lineRule="exact"/>
        <w:ind w:left="1132" w:hanging="423"/>
        <w:rPr>
          <w:rFonts w:cs="Traditional Arabic"/>
          <w:noProof/>
          <w:sz w:val="18"/>
          <w:rtl/>
          <w:lang w:bidi="ar-EG"/>
        </w:rPr>
      </w:pPr>
      <w:r w:rsidRPr="00335E4B">
        <w:rPr>
          <w:rFonts w:cs="Traditional Arabic"/>
          <w:noProof/>
          <w:sz w:val="18"/>
          <w:rtl/>
          <w:lang w:bidi="ar-EG"/>
        </w:rPr>
        <w:t>تذييل</w:t>
      </w:r>
      <w:r w:rsidR="007B782B">
        <w:rPr>
          <w:rFonts w:cs="Traditional Arabic"/>
          <w:noProof/>
          <w:sz w:val="18"/>
          <w:lang w:bidi="ar-EG"/>
        </w:rPr>
        <w:tab/>
      </w:r>
      <w:r w:rsidRPr="00335E4B">
        <w:rPr>
          <w:rFonts w:cs="Traditional Arabic" w:hint="cs"/>
          <w:noProof/>
          <w:sz w:val="18"/>
          <w:rtl/>
          <w:lang w:bidi="ar-EG"/>
        </w:rPr>
        <w:tab/>
        <w:t>20</w:t>
      </w:r>
      <w:r w:rsidR="00714B07">
        <w:rPr>
          <w:rFonts w:cs="Traditional Arabic" w:hint="cs"/>
          <w:noProof/>
          <w:sz w:val="18"/>
          <w:rtl/>
          <w:lang w:bidi="ar-EG"/>
        </w:rPr>
        <w:t>2</w:t>
      </w:r>
    </w:p>
    <w:p w:rsidR="00335E4B" w:rsidRPr="00335E4B" w:rsidRDefault="00335E4B" w:rsidP="00714B07">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سلوك الزئبق في منشآت إنتاج كريات الكلنكر</w:t>
      </w:r>
      <w:r w:rsidRPr="00335E4B">
        <w:rPr>
          <w:rFonts w:cs="Traditional Arabic" w:hint="cs"/>
          <w:noProof/>
          <w:sz w:val="18"/>
          <w:rtl/>
          <w:lang w:bidi="ar-EG"/>
        </w:rPr>
        <w:tab/>
        <w:t>20</w:t>
      </w:r>
      <w:r w:rsidR="00714B07">
        <w:rPr>
          <w:rFonts w:cs="Traditional Arabic" w:hint="cs"/>
          <w:noProof/>
          <w:sz w:val="18"/>
          <w:rtl/>
          <w:lang w:bidi="ar-EG"/>
        </w:rPr>
        <w:t>2</w:t>
      </w:r>
    </w:p>
    <w:p w:rsidR="00335E4B" w:rsidRPr="00335E4B" w:rsidRDefault="00335E4B" w:rsidP="00714B07">
      <w:pPr>
        <w:tabs>
          <w:tab w:val="right" w:leader="dot" w:pos="9212"/>
        </w:tabs>
        <w:spacing w:afterLines="60" w:after="144" w:line="340" w:lineRule="exact"/>
        <w:ind w:left="1418" w:hanging="709"/>
        <w:rPr>
          <w:rFonts w:cs="Traditional Arabic"/>
          <w:noProof/>
          <w:sz w:val="18"/>
          <w:rtl/>
          <w:lang w:bidi="ar-EG"/>
        </w:rPr>
      </w:pPr>
      <w:r w:rsidRPr="00335E4B">
        <w:rPr>
          <w:rFonts w:cs="Traditional Arabic"/>
          <w:noProof/>
          <w:sz w:val="18"/>
          <w:rtl/>
          <w:lang w:bidi="ar-EG"/>
        </w:rPr>
        <w:t>أشكال الزئبق الكيميائية المنبعثة</w:t>
      </w:r>
      <w:r w:rsidRPr="00335E4B">
        <w:rPr>
          <w:rFonts w:cs="Traditional Arabic" w:hint="cs"/>
          <w:noProof/>
          <w:sz w:val="18"/>
          <w:rtl/>
          <w:lang w:bidi="ar-EG"/>
        </w:rPr>
        <w:tab/>
        <w:t>20</w:t>
      </w:r>
      <w:r w:rsidR="00714B07">
        <w:rPr>
          <w:rFonts w:cs="Traditional Arabic" w:hint="cs"/>
          <w:noProof/>
          <w:sz w:val="18"/>
          <w:rtl/>
          <w:lang w:bidi="ar-EG"/>
        </w:rPr>
        <w:t>8</w:t>
      </w:r>
    </w:p>
    <w:p w:rsidR="00335E4B" w:rsidRPr="00335E4B" w:rsidRDefault="00335E4B" w:rsidP="00714B07">
      <w:pPr>
        <w:tabs>
          <w:tab w:val="right" w:leader="dot" w:pos="9212"/>
        </w:tabs>
        <w:spacing w:afterLines="60" w:after="144" w:line="340" w:lineRule="exact"/>
        <w:ind w:left="1274" w:hanging="565"/>
        <w:rPr>
          <w:rFonts w:cs="Traditional Arabic"/>
          <w:noProof/>
          <w:sz w:val="18"/>
          <w:rtl/>
          <w:lang w:bidi="ar-EG"/>
        </w:rPr>
      </w:pPr>
      <w:r w:rsidRPr="00335E4B">
        <w:rPr>
          <w:rFonts w:cs="Traditional Arabic"/>
          <w:noProof/>
          <w:sz w:val="18"/>
          <w:rtl/>
          <w:lang w:bidi="ar-EG"/>
        </w:rPr>
        <w:t>المراجع</w:t>
      </w:r>
      <w:r w:rsidR="00A579AB">
        <w:rPr>
          <w:rFonts w:cs="Traditional Arabic" w:hint="cs"/>
          <w:noProof/>
          <w:sz w:val="18"/>
          <w:rtl/>
          <w:lang w:bidi="ar-EG"/>
        </w:rPr>
        <w:tab/>
      </w:r>
      <w:r w:rsidRPr="00335E4B">
        <w:rPr>
          <w:rFonts w:cs="Traditional Arabic" w:hint="cs"/>
          <w:noProof/>
          <w:sz w:val="18"/>
          <w:rtl/>
          <w:lang w:bidi="ar-EG"/>
        </w:rPr>
        <w:tab/>
        <w:t>21</w:t>
      </w:r>
      <w:r w:rsidR="00714B07">
        <w:rPr>
          <w:rFonts w:cs="Traditional Arabic" w:hint="cs"/>
          <w:noProof/>
          <w:sz w:val="18"/>
          <w:rtl/>
          <w:lang w:bidi="ar-EG"/>
        </w:rPr>
        <w:t>0</w:t>
      </w:r>
    </w:p>
    <w:p w:rsidR="00335E4B" w:rsidRPr="00335E4B" w:rsidRDefault="00335E4B" w:rsidP="00335E4B">
      <w:pPr>
        <w:tabs>
          <w:tab w:val="left" w:pos="1416"/>
        </w:tabs>
        <w:spacing w:line="340" w:lineRule="exact"/>
        <w:ind w:left="1416" w:hanging="851"/>
        <w:rPr>
          <w:rFonts w:ascii="Traditional Arabic" w:eastAsia="SimSun" w:hAnsi="Traditional Arabic" w:cs="Traditional Arabic"/>
          <w:bCs/>
          <w:noProof/>
          <w:sz w:val="34"/>
          <w:szCs w:val="34"/>
          <w:lang w:eastAsia="ar-SA"/>
        </w:rPr>
      </w:pPr>
      <w:r w:rsidRPr="00335E4B">
        <w:rPr>
          <w:rFonts w:cs="Traditional Arabic"/>
          <w:b/>
          <w:bCs/>
          <w:noProof/>
          <w:sz w:val="20"/>
          <w:szCs w:val="30"/>
          <w:rtl/>
        </w:rPr>
        <w:fldChar w:fldCharType="end"/>
      </w:r>
    </w:p>
    <w:p w:rsidR="00335E4B" w:rsidRPr="00335E4B" w:rsidRDefault="00335E4B" w:rsidP="00335E4B">
      <w:pPr>
        <w:keepNext/>
        <w:spacing w:before="120" w:after="120" w:line="380" w:lineRule="exact"/>
        <w:jc w:val="both"/>
        <w:outlineLvl w:val="0"/>
        <w:rPr>
          <w:rFonts w:cs="Traditional Arabic"/>
          <w:b/>
          <w:bCs/>
          <w:sz w:val="32"/>
          <w:szCs w:val="32"/>
          <w:rtl/>
        </w:rPr>
      </w:pPr>
      <w:r w:rsidRPr="00335E4B">
        <w:rPr>
          <w:rFonts w:cs="Traditional Arabic"/>
          <w:b/>
          <w:bCs/>
          <w:sz w:val="32"/>
          <w:szCs w:val="32"/>
          <w:rtl/>
          <w:lang w:val="en-GB"/>
        </w:rPr>
        <w:br w:type="page"/>
      </w:r>
      <w:bookmarkStart w:id="2160" w:name="_Toc441666813"/>
      <w:bookmarkStart w:id="2161" w:name="_Toc441673874"/>
      <w:r w:rsidRPr="00335E4B">
        <w:rPr>
          <w:rFonts w:cs="Traditional Arabic" w:hint="cs"/>
          <w:b/>
          <w:bCs/>
          <w:sz w:val="32"/>
          <w:szCs w:val="32"/>
          <w:rtl/>
        </w:rPr>
        <w:t>1</w:t>
      </w:r>
      <w:r w:rsidRPr="00335E4B">
        <w:rPr>
          <w:rFonts w:cs="Traditional Arabic"/>
          <w:b/>
          <w:bCs/>
          <w:sz w:val="32"/>
          <w:szCs w:val="32"/>
          <w:rtl/>
        </w:rPr>
        <w:t>–</w:t>
      </w:r>
      <w:r w:rsidRPr="00335E4B">
        <w:rPr>
          <w:rFonts w:cs="Traditional Arabic" w:hint="cs"/>
          <w:b/>
          <w:bCs/>
          <w:sz w:val="32"/>
          <w:szCs w:val="32"/>
          <w:rtl/>
        </w:rPr>
        <w:tab/>
        <w:t>مقدمة</w:t>
      </w:r>
      <w:bookmarkEnd w:id="2160"/>
      <w:bookmarkEnd w:id="2161"/>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يتطلب إنتاج الإسمنت استخدام كميات كبيرة من المواد لحرق كريات الكلنكر التي تمزج مع مواد مضافة معينة لكي تعطي المنتج النهائي: الإسمنت (الشكل 1). وقد أصبح الإسمنت مادةً لا غنى عنها في تشييد المباني ومكونات البنى التحتية (الجسور، الأنفاق، السدود، مجاري الصرف الصحي، منشآت الطاقة، وغيرها). وفي الوقت الحالي لا يبدو أن هناك بديل للإسمنت. وقد ظلت الجهود تبذل لعدة عقود لتحسين عملية إنتاج كريات الكلنكر وترشيدها، ومن الناحية البيئية يتعلق هذا أساساً بتخفيض استهلاك الطاقة والتقليل إلى أدنى حد ممكن من الانبعاثات، خصوصاً إلى الهواء. أما من الناحية الاقتصادية فإن التركيز ينصب على استبدال أنواع الوقود التقليدي ببدائل، خصوصاً استخدام الوقود المشتق من النفايات ذي القيمة الحرارية الكافية، أو ما يسمى كذلك بأنواع الوقود البديلة. وضمن نطاق ضيق تستبدل المواد الخام التقليدية كذلك بأنواع أخرى من النفايات تسمى أيضاً المواد الخام البديلة. وفي بعض الحالات تعالج أنواع الوقود البديلة والمواد الخام البديلة كجزء من الهياكل الأساسية لإدارة النفايات أو حسب توفرها. </w:t>
      </w:r>
    </w:p>
    <w:p w:rsidR="00335E4B" w:rsidRPr="00335E4B" w:rsidRDefault="00335E4B" w:rsidP="00335E4B">
      <w:pPr>
        <w:tabs>
          <w:tab w:val="left" w:pos="1247"/>
          <w:tab w:val="left" w:pos="1814"/>
          <w:tab w:val="left" w:pos="2381"/>
          <w:tab w:val="left" w:pos="2948"/>
          <w:tab w:val="left" w:pos="3515"/>
        </w:tabs>
        <w:spacing w:before="120" w:after="100" w:afterAutospacing="1" w:line="276" w:lineRule="auto"/>
        <w:jc w:val="center"/>
        <w:rPr>
          <w:rFonts w:cs="Times New Roman"/>
          <w:b/>
          <w:bCs/>
          <w:noProof/>
          <w:sz w:val="32"/>
          <w:szCs w:val="32"/>
        </w:rPr>
      </w:pPr>
      <w:r>
        <w:rPr>
          <w:rFonts w:cs="Times New Roman"/>
          <w:b/>
          <w:noProof/>
          <w:sz w:val="32"/>
          <w:szCs w:val="32"/>
          <w:lang w:val="en-GB" w:eastAsia="zh-CN"/>
        </w:rPr>
        <w:drawing>
          <wp:inline distT="0" distB="0" distL="0" distR="0" wp14:anchorId="35C21126" wp14:editId="7118C168">
            <wp:extent cx="5725795" cy="2474595"/>
            <wp:effectExtent l="0" t="0" r="825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5795" cy="2474595"/>
                    </a:xfrm>
                    <a:prstGeom prst="rect">
                      <a:avLst/>
                    </a:prstGeom>
                    <a:noFill/>
                    <a:ln>
                      <a:noFill/>
                    </a:ln>
                  </pic:spPr>
                </pic:pic>
              </a:graphicData>
            </a:graphic>
          </wp:inline>
        </w:drawing>
      </w:r>
    </w:p>
    <w:p w:rsidR="00335E4B" w:rsidRPr="00335E4B" w:rsidRDefault="00335E4B" w:rsidP="00E439A9">
      <w:pPr>
        <w:tabs>
          <w:tab w:val="left" w:pos="1247"/>
          <w:tab w:val="left" w:pos="1814"/>
          <w:tab w:val="left" w:pos="2381"/>
          <w:tab w:val="left" w:pos="2948"/>
          <w:tab w:val="left" w:pos="3515"/>
        </w:tabs>
        <w:spacing w:before="120" w:after="100" w:afterAutospacing="1" w:line="276" w:lineRule="auto"/>
        <w:contextualSpacing/>
        <w:rPr>
          <w:rFonts w:ascii="Traditional Arabic" w:hAnsi="Traditional Arabic" w:cs="Traditional Arabic"/>
          <w:b/>
          <w:bCs/>
          <w:noProof/>
          <w:sz w:val="20"/>
          <w:szCs w:val="24"/>
          <w:rtl/>
        </w:rPr>
      </w:pPr>
      <w:r w:rsidRPr="00D97FFB">
        <w:rPr>
          <w:rFonts w:ascii="Traditional Arabic" w:hAnsi="Traditional Arabic" w:cs="Traditional Arabic" w:hint="cs"/>
          <w:b/>
          <w:bCs/>
          <w:noProof/>
          <w:sz w:val="30"/>
          <w:szCs w:val="30"/>
          <w:rtl/>
        </w:rPr>
        <w:t>الشكل 1</w:t>
      </w:r>
      <w:r w:rsidR="00E439A9" w:rsidRPr="00D97FFB">
        <w:rPr>
          <w:rFonts w:ascii="Traditional Arabic" w:hAnsi="Traditional Arabic" w:cs="Traditional Arabic" w:hint="cs"/>
          <w:b/>
          <w:bCs/>
          <w:noProof/>
          <w:sz w:val="30"/>
          <w:szCs w:val="30"/>
          <w:rtl/>
        </w:rPr>
        <w:t>.</w:t>
      </w:r>
      <w:r w:rsidRPr="00D97FFB">
        <w:rPr>
          <w:rFonts w:ascii="Traditional Arabic" w:hAnsi="Traditional Arabic" w:cs="Traditional Arabic" w:hint="cs"/>
          <w:b/>
          <w:bCs/>
          <w:noProof/>
          <w:sz w:val="30"/>
          <w:szCs w:val="30"/>
          <w:rtl/>
        </w:rPr>
        <w:t xml:space="preserve"> المدخلات والمخرجات الرئيسية لمنشآت إنتاج الإسمنت </w:t>
      </w:r>
      <w:r w:rsidRPr="00D97FFB">
        <w:rPr>
          <w:rFonts w:asciiTheme="majorBidi" w:hAnsiTheme="majorBidi" w:cstheme="majorBidi"/>
          <w:b/>
          <w:bCs/>
          <w:noProof/>
          <w:sz w:val="20"/>
          <w:szCs w:val="20"/>
          <w:rtl/>
        </w:rPr>
        <w:t>(</w:t>
      </w:r>
      <w:r w:rsidRPr="00D97FFB">
        <w:rPr>
          <w:rFonts w:asciiTheme="majorBidi" w:hAnsiTheme="majorBidi" w:cstheme="majorBidi"/>
          <w:b/>
          <w:iCs/>
          <w:noProof/>
          <w:sz w:val="20"/>
          <w:szCs w:val="20"/>
        </w:rPr>
        <w:t>Schoenberger, 2015</w:t>
      </w:r>
      <w:r w:rsidRPr="00D97FFB">
        <w:rPr>
          <w:rFonts w:asciiTheme="majorBidi" w:hAnsiTheme="majorBidi" w:cstheme="majorBidi"/>
          <w:b/>
          <w:bCs/>
          <w:noProof/>
          <w:sz w:val="20"/>
          <w:szCs w:val="20"/>
          <w:rtl/>
        </w:rPr>
        <w:t>)</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إن استخدام أنواع الوقود البديلة أو المواد الخام البديلة لن يؤدي بالضرورة إلى زيادة (أو تخفيض) انبعاثات الزئبق، إذ إن مستوى هذه الانبعاثات يعتمد ببساطة على المحتوى النسبي للزئبق لهذه المواد. ويعرف استخدام المواد الخام وأنواع الوقود المشتقة من النفايات في عملية حرق كريات الكلنكر بالمعالجة المشتركة بينما يعرف استخدام أنواع الوقود المشتقة من النفايات أحياناً بالحرق المشترك.</w:t>
      </w:r>
    </w:p>
    <w:p w:rsidR="00335E4B" w:rsidRPr="00335E4B" w:rsidRDefault="00335E4B" w:rsidP="00E439A9">
      <w:pPr>
        <w:keepNext/>
        <w:spacing w:before="120" w:after="120" w:line="380" w:lineRule="exact"/>
        <w:jc w:val="both"/>
        <w:outlineLvl w:val="0"/>
        <w:rPr>
          <w:rFonts w:cs="Traditional Arabic"/>
          <w:b/>
          <w:bCs/>
          <w:sz w:val="32"/>
          <w:szCs w:val="32"/>
          <w:rtl/>
          <w:lang w:val="en-GB"/>
        </w:rPr>
      </w:pPr>
      <w:r w:rsidRPr="00335E4B">
        <w:rPr>
          <w:rFonts w:cs="Traditional Arabic"/>
          <w:sz w:val="30"/>
          <w:szCs w:val="30"/>
          <w:u w:val="single"/>
          <w:rtl/>
        </w:rPr>
        <w:br w:type="page"/>
      </w:r>
      <w:bookmarkStart w:id="2162" w:name="_Toc441673875"/>
      <w:r w:rsidRPr="00335E4B">
        <w:rPr>
          <w:rFonts w:cs="Traditional Arabic" w:hint="cs"/>
          <w:b/>
          <w:bCs/>
          <w:sz w:val="32"/>
          <w:szCs w:val="32"/>
          <w:rtl/>
          <w:lang w:val="en-GB"/>
        </w:rPr>
        <w:t>العمليات المستخدمة، بما في ذلك النظر في مدخلات المواد وسلوك الزئبق في العملية</w:t>
      </w:r>
      <w:bookmarkEnd w:id="2162"/>
    </w:p>
    <w:p w:rsidR="00335E4B" w:rsidRPr="00335E4B" w:rsidRDefault="00335E4B" w:rsidP="00335E4B">
      <w:pPr>
        <w:keepNext/>
        <w:spacing w:before="120" w:after="120" w:line="400" w:lineRule="exact"/>
        <w:ind w:left="707" w:hanging="709"/>
        <w:jc w:val="both"/>
        <w:outlineLvl w:val="3"/>
        <w:rPr>
          <w:rFonts w:cs="Traditional Arabic"/>
          <w:b/>
          <w:bCs/>
          <w:sz w:val="30"/>
          <w:szCs w:val="30"/>
          <w:rtl/>
        </w:rPr>
      </w:pPr>
      <w:r w:rsidRPr="00335E4B">
        <w:rPr>
          <w:rFonts w:cs="Traditional Arabic" w:hint="cs"/>
          <w:b/>
          <w:bCs/>
          <w:sz w:val="30"/>
          <w:szCs w:val="30"/>
          <w:rtl/>
        </w:rPr>
        <w:t>عرض عام لعملية إنتاج الإسمنت</w:t>
      </w:r>
    </w:p>
    <w:p w:rsidR="00335E4B" w:rsidRPr="00335E4B" w:rsidRDefault="00335E4B" w:rsidP="00335E4B">
      <w:pPr>
        <w:jc w:val="both"/>
        <w:rPr>
          <w:rFonts w:cs="Traditional Arabic"/>
          <w:sz w:val="30"/>
          <w:szCs w:val="30"/>
          <w:rtl/>
          <w:lang w:val="en-GB"/>
        </w:rPr>
      </w:pPr>
      <w:r w:rsidRPr="00335E4B">
        <w:rPr>
          <w:rFonts w:cs="Traditional Arabic" w:hint="cs"/>
          <w:sz w:val="30"/>
          <w:szCs w:val="30"/>
          <w:rtl/>
          <w:lang w:val="en-GB"/>
        </w:rPr>
        <w:t>تشتمل عملية إنتاج الكلنكر والإسمنت، على التوالي، على العمليات الفرعية التالية:</w:t>
      </w:r>
    </w:p>
    <w:p w:rsidR="00335E4B" w:rsidRPr="00335E4B" w:rsidRDefault="00335E4B" w:rsidP="00335E4B">
      <w:pPr>
        <w:numPr>
          <w:ilvl w:val="0"/>
          <w:numId w:val="32"/>
        </w:numPr>
        <w:ind w:left="720"/>
        <w:jc w:val="both"/>
        <w:rPr>
          <w:rFonts w:cs="Traditional Arabic"/>
          <w:sz w:val="30"/>
          <w:szCs w:val="30"/>
          <w:lang w:val="en-GB"/>
        </w:rPr>
      </w:pPr>
      <w:r w:rsidRPr="00335E4B">
        <w:rPr>
          <w:rFonts w:cs="Traditional Arabic" w:hint="cs"/>
          <w:sz w:val="30"/>
          <w:szCs w:val="30"/>
          <w:rtl/>
          <w:lang w:val="en-GB"/>
        </w:rPr>
        <w:t xml:space="preserve">المواد الخام (الطبيعية والمشتقة من النفايات) </w:t>
      </w:r>
      <w:r w:rsidRPr="00335E4B">
        <w:rPr>
          <w:rFonts w:cs="Traditional Arabic"/>
          <w:sz w:val="30"/>
          <w:szCs w:val="30"/>
          <w:rtl/>
          <w:lang w:val="en-GB"/>
        </w:rPr>
        <w:t>–</w:t>
      </w:r>
      <w:r w:rsidRPr="00335E4B">
        <w:rPr>
          <w:rFonts w:cs="Traditional Arabic" w:hint="cs"/>
          <w:sz w:val="30"/>
          <w:szCs w:val="30"/>
          <w:rtl/>
          <w:lang w:val="en-GB"/>
        </w:rPr>
        <w:t xml:space="preserve"> قلع الأحجار، التخزين، متطلبات الجودة، التحكم والتجهيز</w:t>
      </w:r>
    </w:p>
    <w:p w:rsidR="00335E4B" w:rsidRPr="00335E4B" w:rsidRDefault="00335E4B" w:rsidP="00335E4B">
      <w:pPr>
        <w:numPr>
          <w:ilvl w:val="0"/>
          <w:numId w:val="32"/>
        </w:numPr>
        <w:ind w:left="720"/>
        <w:jc w:val="both"/>
        <w:rPr>
          <w:rFonts w:cs="Traditional Arabic"/>
          <w:sz w:val="30"/>
          <w:szCs w:val="30"/>
          <w:lang w:val="en-GB"/>
        </w:rPr>
      </w:pPr>
      <w:r w:rsidRPr="00335E4B">
        <w:rPr>
          <w:rFonts w:cs="Traditional Arabic" w:hint="cs"/>
          <w:sz w:val="30"/>
          <w:szCs w:val="30"/>
          <w:rtl/>
          <w:lang w:val="en-GB"/>
        </w:rPr>
        <w:t>أنواع الوقود (التقليدي والمشتق من النفايات) - التخزين، متطلبات الجودة، التحكم والتجهيز</w:t>
      </w:r>
    </w:p>
    <w:p w:rsidR="00335E4B" w:rsidRPr="00335E4B" w:rsidRDefault="00335E4B" w:rsidP="00335E4B">
      <w:pPr>
        <w:numPr>
          <w:ilvl w:val="0"/>
          <w:numId w:val="32"/>
        </w:numPr>
        <w:ind w:left="720"/>
        <w:jc w:val="both"/>
        <w:rPr>
          <w:rFonts w:cs="Traditional Arabic"/>
          <w:sz w:val="30"/>
          <w:szCs w:val="30"/>
          <w:lang w:val="en-GB"/>
        </w:rPr>
      </w:pPr>
      <w:r w:rsidRPr="00335E4B">
        <w:rPr>
          <w:rFonts w:cs="Traditional Arabic" w:hint="cs"/>
          <w:sz w:val="30"/>
          <w:szCs w:val="30"/>
          <w:rtl/>
          <w:lang w:val="en-GB"/>
        </w:rPr>
        <w:t>نظم الأفران وعمليات الحرق في الأفران وتقنيات خفض الانبعاثات</w:t>
      </w:r>
    </w:p>
    <w:p w:rsidR="00335E4B" w:rsidRPr="00335E4B" w:rsidRDefault="00335E4B" w:rsidP="00335E4B">
      <w:pPr>
        <w:numPr>
          <w:ilvl w:val="0"/>
          <w:numId w:val="32"/>
        </w:numPr>
        <w:ind w:left="720"/>
        <w:jc w:val="both"/>
        <w:rPr>
          <w:rFonts w:cs="Traditional Arabic"/>
          <w:sz w:val="30"/>
          <w:szCs w:val="30"/>
          <w:lang w:val="en-GB"/>
        </w:rPr>
      </w:pPr>
      <w:r w:rsidRPr="00335E4B">
        <w:rPr>
          <w:rFonts w:cs="Traditional Arabic" w:hint="cs"/>
          <w:sz w:val="30"/>
          <w:szCs w:val="30"/>
          <w:rtl/>
          <w:lang w:val="en-GB"/>
        </w:rPr>
        <w:t>طحن الإسمنت - التخزين، متطلبات الجودة، التحكم والتجهيز</w:t>
      </w:r>
    </w:p>
    <w:p w:rsidR="00335E4B" w:rsidRPr="00335E4B" w:rsidRDefault="00335E4B" w:rsidP="00335E4B">
      <w:pPr>
        <w:numPr>
          <w:ilvl w:val="0"/>
          <w:numId w:val="32"/>
        </w:numPr>
        <w:ind w:left="720"/>
        <w:jc w:val="both"/>
        <w:rPr>
          <w:rFonts w:cs="Traditional Arabic"/>
          <w:sz w:val="30"/>
          <w:szCs w:val="30"/>
          <w:lang w:val="en-GB"/>
        </w:rPr>
      </w:pPr>
      <w:r w:rsidRPr="00335E4B">
        <w:rPr>
          <w:rFonts w:cs="Traditional Arabic" w:hint="cs"/>
          <w:sz w:val="30"/>
          <w:szCs w:val="30"/>
          <w:rtl/>
          <w:lang w:val="en-GB"/>
        </w:rPr>
        <w:t>التغليف والنقل السريع</w:t>
      </w:r>
    </w:p>
    <w:p w:rsidR="00335E4B" w:rsidRPr="00335E4B" w:rsidRDefault="00335E4B" w:rsidP="00335E4B">
      <w:pPr>
        <w:tabs>
          <w:tab w:val="left" w:pos="1247"/>
          <w:tab w:val="left" w:pos="1814"/>
          <w:tab w:val="left" w:pos="2381"/>
          <w:tab w:val="left" w:pos="2948"/>
          <w:tab w:val="left" w:pos="3515"/>
        </w:tabs>
        <w:spacing w:before="120" w:after="100" w:afterAutospacing="1" w:line="276" w:lineRule="auto"/>
        <w:jc w:val="center"/>
        <w:rPr>
          <w:rFonts w:cs="Times New Roman"/>
          <w:b/>
          <w:bCs/>
          <w:noProof/>
          <w:sz w:val="32"/>
          <w:szCs w:val="32"/>
        </w:rPr>
      </w:pPr>
      <w:r>
        <w:rPr>
          <w:rFonts w:cs="Times New Roman"/>
          <w:noProof/>
          <w:sz w:val="20"/>
          <w:szCs w:val="22"/>
          <w:lang w:val="en-GB" w:eastAsia="zh-CN"/>
        </w:rPr>
        <w:drawing>
          <wp:inline distT="0" distB="0" distL="0" distR="0" wp14:anchorId="5DC0B47B" wp14:editId="44D8BCB5">
            <wp:extent cx="5679440" cy="3380740"/>
            <wp:effectExtent l="19050" t="19050" r="1651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9440" cy="3380740"/>
                    </a:xfrm>
                    <a:prstGeom prst="rect">
                      <a:avLst/>
                    </a:prstGeom>
                    <a:noFill/>
                    <a:ln w="9525" cmpd="sng">
                      <a:solidFill>
                        <a:srgbClr val="000000"/>
                      </a:solidFill>
                      <a:miter lim="800000"/>
                      <a:headEnd/>
                      <a:tailEnd/>
                    </a:ln>
                    <a:effectLst/>
                  </pic:spPr>
                </pic:pic>
              </a:graphicData>
            </a:graphic>
          </wp:inline>
        </w:drawing>
      </w:r>
    </w:p>
    <w:p w:rsidR="00335E4B" w:rsidRPr="00335E4B" w:rsidRDefault="00335E4B" w:rsidP="00E439A9">
      <w:pPr>
        <w:tabs>
          <w:tab w:val="left" w:pos="1247"/>
          <w:tab w:val="left" w:pos="1814"/>
          <w:tab w:val="left" w:pos="2381"/>
          <w:tab w:val="left" w:pos="2948"/>
          <w:tab w:val="left" w:pos="3515"/>
        </w:tabs>
        <w:spacing w:before="120" w:after="100" w:afterAutospacing="1" w:line="276" w:lineRule="auto"/>
        <w:rPr>
          <w:rFonts w:ascii="Traditional Arabic" w:hAnsi="Traditional Arabic" w:cs="Traditional Arabic"/>
          <w:b/>
          <w:bCs/>
          <w:i/>
          <w:noProof/>
          <w:sz w:val="20"/>
          <w:szCs w:val="24"/>
          <w:rtl/>
        </w:rPr>
      </w:pPr>
      <w:r w:rsidRPr="00D97FFB">
        <w:rPr>
          <w:rFonts w:ascii="Traditional Arabic" w:hAnsi="Traditional Arabic" w:cs="Traditional Arabic" w:hint="cs"/>
          <w:b/>
          <w:bCs/>
          <w:i/>
          <w:noProof/>
          <w:sz w:val="30"/>
          <w:szCs w:val="30"/>
          <w:rtl/>
        </w:rPr>
        <w:t>الشكل 2</w:t>
      </w:r>
      <w:r w:rsidR="00E439A9" w:rsidRPr="00D97FFB">
        <w:rPr>
          <w:rFonts w:ascii="Traditional Arabic" w:hAnsi="Traditional Arabic" w:cs="Traditional Arabic" w:hint="cs"/>
          <w:b/>
          <w:bCs/>
          <w:i/>
          <w:noProof/>
          <w:sz w:val="30"/>
          <w:szCs w:val="30"/>
          <w:rtl/>
        </w:rPr>
        <w:t>.</w:t>
      </w:r>
      <w:r w:rsidRPr="00D97FFB">
        <w:rPr>
          <w:rFonts w:ascii="Traditional Arabic" w:hAnsi="Traditional Arabic" w:cs="Traditional Arabic" w:hint="cs"/>
          <w:b/>
          <w:bCs/>
          <w:i/>
          <w:noProof/>
          <w:sz w:val="30"/>
          <w:szCs w:val="30"/>
          <w:rtl/>
        </w:rPr>
        <w:t xml:space="preserve"> منظر عام للأعمال في مصنع إسمنت </w:t>
      </w:r>
      <w:r w:rsidRPr="00D97FFB">
        <w:rPr>
          <w:rFonts w:asciiTheme="majorBidi" w:hAnsiTheme="majorBidi" w:cstheme="majorBidi"/>
          <w:b/>
          <w:bCs/>
          <w:i/>
          <w:noProof/>
          <w:sz w:val="20"/>
          <w:szCs w:val="20"/>
          <w:rtl/>
        </w:rPr>
        <w:t>(</w:t>
      </w:r>
      <w:r w:rsidRPr="00D97FFB">
        <w:rPr>
          <w:rFonts w:asciiTheme="majorBidi" w:hAnsiTheme="majorBidi" w:cstheme="majorBidi"/>
          <w:b/>
          <w:bCs/>
          <w:iCs/>
          <w:noProof/>
          <w:sz w:val="20"/>
          <w:szCs w:val="20"/>
        </w:rPr>
        <w:t>BREF CLM, 2013</w:t>
      </w:r>
      <w:r w:rsidRPr="00D97FFB">
        <w:rPr>
          <w:rFonts w:asciiTheme="majorBidi" w:hAnsiTheme="majorBidi" w:cstheme="majorBidi"/>
          <w:b/>
          <w:bCs/>
          <w:i/>
          <w:noProof/>
          <w:sz w:val="20"/>
          <w:szCs w:val="20"/>
          <w:rtl/>
        </w:rPr>
        <w:t>)</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تركز هذه الوثيقة على عملية إنتاج الكلنكر بوصفها المصدر الرئيسي لانبعاثات الزئبق إلى الهواء.</w:t>
      </w:r>
    </w:p>
    <w:p w:rsidR="00335E4B" w:rsidRPr="00335E4B" w:rsidRDefault="00335E4B" w:rsidP="00335E4B">
      <w:pPr>
        <w:keepNext/>
        <w:spacing w:before="120" w:after="120" w:line="400" w:lineRule="exact"/>
        <w:ind w:left="707" w:hanging="709"/>
        <w:jc w:val="both"/>
        <w:outlineLvl w:val="3"/>
        <w:rPr>
          <w:rFonts w:cs="Traditional Arabic"/>
          <w:b/>
          <w:bCs/>
          <w:sz w:val="30"/>
          <w:szCs w:val="30"/>
          <w:rtl/>
        </w:rPr>
      </w:pPr>
      <w:r w:rsidRPr="00335E4B">
        <w:rPr>
          <w:rFonts w:cs="Traditional Arabic" w:hint="cs"/>
          <w:b/>
          <w:bCs/>
          <w:sz w:val="30"/>
          <w:szCs w:val="30"/>
          <w:rtl/>
        </w:rPr>
        <w:t>عملية إنتاج كريات الكلنكر</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تبدأ التفاعلات الكيميائية الأساسية لعملية إنتاج الإسمنت بتفكيك كربونات الكالسيوم (</w:t>
      </w:r>
      <w:r w:rsidRPr="00335E4B">
        <w:rPr>
          <w:rFonts w:cs="Times New Roman"/>
          <w:noProof/>
          <w:sz w:val="20"/>
          <w:szCs w:val="22"/>
        </w:rPr>
        <w:t>CaCO</w:t>
      </w:r>
      <w:r w:rsidRPr="00335E4B">
        <w:rPr>
          <w:rFonts w:cs="Times New Roman"/>
          <w:noProof/>
          <w:sz w:val="20"/>
          <w:szCs w:val="22"/>
          <w:vertAlign w:val="subscript"/>
        </w:rPr>
        <w:t>3</w:t>
      </w:r>
      <w:r w:rsidRPr="00335E4B">
        <w:rPr>
          <w:rFonts w:cs="Traditional Arabic" w:hint="cs"/>
          <w:sz w:val="30"/>
          <w:szCs w:val="30"/>
          <w:rtl/>
          <w:lang w:val="en-GB"/>
        </w:rPr>
        <w:t>) الموجودة في المواد الخام عند درجة حرارة 900مْ تقريباً مما يؤدي إلى تكون أكسيد الكالسيوم (</w:t>
      </w:r>
      <w:r w:rsidRPr="00335E4B">
        <w:rPr>
          <w:rFonts w:cs="Times New Roman"/>
          <w:noProof/>
          <w:sz w:val="20"/>
          <w:szCs w:val="22"/>
        </w:rPr>
        <w:t>CaO</w:t>
      </w:r>
      <w:r w:rsidRPr="00335E4B">
        <w:rPr>
          <w:rFonts w:cs="Traditional Arabic" w:hint="cs"/>
          <w:sz w:val="30"/>
          <w:szCs w:val="30"/>
          <w:rtl/>
          <w:lang w:val="en-GB"/>
        </w:rPr>
        <w:t>، الجير) وانطلاق غاز ثاني أكسيد الكربون (</w:t>
      </w:r>
      <w:r w:rsidRPr="00335E4B">
        <w:rPr>
          <w:rFonts w:cs="Times New Roman"/>
          <w:noProof/>
          <w:sz w:val="20"/>
          <w:szCs w:val="22"/>
        </w:rPr>
        <w:t>CO</w:t>
      </w:r>
      <w:r w:rsidRPr="00335E4B">
        <w:rPr>
          <w:rFonts w:cs="Times New Roman"/>
          <w:noProof/>
          <w:sz w:val="20"/>
          <w:szCs w:val="22"/>
          <w:vertAlign w:val="subscript"/>
        </w:rPr>
        <w:t>2</w:t>
      </w:r>
      <w:r w:rsidRPr="00335E4B">
        <w:rPr>
          <w:rFonts w:cs="Traditional Arabic" w:hint="cs"/>
          <w:sz w:val="30"/>
          <w:szCs w:val="30"/>
          <w:rtl/>
          <w:lang w:val="en-GB"/>
        </w:rPr>
        <w:t xml:space="preserve">)، وتعرف هذه العملية بعملية التكلس. تلي هذه العملية عملية تكون كريات الكلنكر حيث يتفاعل أكسيد الكالسيوم عند درجات حرارة عالية (عادةً بين 400 1مْ و500 1مْ) مع السيليكا وأكسيد الألمنيوم وأكسيد الحديد لتكوين سيليكات وألومينات وفريتات الكالسيوم لتشكيل الكلنكر البورتلاندي </w:t>
      </w:r>
      <w:r w:rsidRPr="00D97FFB">
        <w:rPr>
          <w:rFonts w:asciiTheme="majorBidi" w:hAnsiTheme="majorBidi" w:cstheme="majorBidi"/>
          <w:sz w:val="20"/>
          <w:szCs w:val="20"/>
          <w:rtl/>
          <w:lang w:val="en-GB"/>
        </w:rPr>
        <w:t>(</w:t>
      </w:r>
      <w:r w:rsidRPr="00D97FFB">
        <w:rPr>
          <w:rFonts w:asciiTheme="majorBidi" w:hAnsiTheme="majorBidi" w:cstheme="majorBidi"/>
          <w:noProof/>
          <w:sz w:val="20"/>
          <w:szCs w:val="20"/>
        </w:rPr>
        <w:t>SC BAT Cement, 2008</w:t>
      </w:r>
      <w:r w:rsidRPr="00D97FFB">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وبصورة أساسية تتألف عملية إنتاج الكلنكر من عملية حرق الكلنكر نفسها (الحرق المسبق، وعملية الحرق في الفرن مع التكليس المسبق أو بدونه، ومع تحويلة لغازات الفرن أو بدونها)، يلي ذلك تبريد كريات الكلنكر. وتنقل كريات الكلنكر المحروقة إلى داخل طاحونة الإسمنت حيث تُطحن مع مواد مضافة لإنتاج المنتج النهائي (أي الإسمنت).</w:t>
      </w:r>
    </w:p>
    <w:p w:rsidR="00335E4B" w:rsidRPr="00335E4B" w:rsidRDefault="00335E4B" w:rsidP="00335E4B">
      <w:pPr>
        <w:keepNext/>
        <w:spacing w:before="120" w:after="120" w:line="400" w:lineRule="exact"/>
        <w:ind w:left="1132" w:hanging="1134"/>
        <w:jc w:val="both"/>
        <w:outlineLvl w:val="3"/>
        <w:rPr>
          <w:rFonts w:cs="Traditional Arabic"/>
          <w:b/>
          <w:bCs/>
          <w:sz w:val="30"/>
          <w:szCs w:val="30"/>
          <w:rtl/>
        </w:rPr>
      </w:pPr>
      <w:r w:rsidRPr="00335E4B">
        <w:rPr>
          <w:rFonts w:cs="Traditional Arabic" w:hint="cs"/>
          <w:b/>
          <w:bCs/>
          <w:sz w:val="30"/>
          <w:szCs w:val="30"/>
          <w:rtl/>
        </w:rPr>
        <w:t>وصف عملية حرق كريات الكلنكر</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توجد أربعة مسارات معالجة رئيسية لتصنيع الإسمنت </w:t>
      </w:r>
      <w:r w:rsidRPr="00335E4B">
        <w:rPr>
          <w:rFonts w:cs="Traditional Arabic"/>
          <w:sz w:val="30"/>
          <w:szCs w:val="30"/>
          <w:rtl/>
          <w:lang w:val="en-GB"/>
        </w:rPr>
        <w:t>–</w:t>
      </w:r>
      <w:r w:rsidRPr="00335E4B">
        <w:rPr>
          <w:rFonts w:cs="Traditional Arabic" w:hint="cs"/>
          <w:sz w:val="30"/>
          <w:szCs w:val="30"/>
          <w:rtl/>
          <w:lang w:val="en-GB"/>
        </w:rPr>
        <w:t xml:space="preserve"> العمليات الرطبة وشبه الرطبة وشبه الجافة والجافة </w:t>
      </w:r>
      <w:r w:rsidRPr="00335E4B">
        <w:rPr>
          <w:rFonts w:cs="Traditional Arabic"/>
          <w:sz w:val="30"/>
          <w:szCs w:val="30"/>
          <w:rtl/>
          <w:lang w:val="en-GB"/>
        </w:rPr>
        <w:t>–</w:t>
      </w:r>
      <w:r w:rsidRPr="00335E4B">
        <w:rPr>
          <w:rFonts w:cs="Traditional Arabic" w:hint="cs"/>
          <w:sz w:val="30"/>
          <w:szCs w:val="30"/>
          <w:rtl/>
          <w:lang w:val="en-GB"/>
        </w:rPr>
        <w:t xml:space="preserve"> ويتحدد اختيار العملية، إلى حد كبير، وفقاً لحالة المواد الخام (جافة أم رطبة)، وفق ما هو مبين أدناه:</w:t>
      </w:r>
    </w:p>
    <w:p w:rsidR="00335E4B" w:rsidRPr="00335E4B" w:rsidRDefault="00335E4B" w:rsidP="00335E4B">
      <w:pPr>
        <w:numPr>
          <w:ilvl w:val="0"/>
          <w:numId w:val="31"/>
        </w:numPr>
        <w:tabs>
          <w:tab w:val="left" w:pos="849"/>
        </w:tabs>
        <w:spacing w:after="120" w:line="400" w:lineRule="exact"/>
        <w:ind w:left="849" w:hanging="554"/>
        <w:jc w:val="both"/>
        <w:rPr>
          <w:rFonts w:cs="Traditional Arabic"/>
          <w:sz w:val="30"/>
          <w:szCs w:val="30"/>
          <w:lang w:val="en-GB"/>
        </w:rPr>
      </w:pPr>
      <w:r w:rsidRPr="00335E4B">
        <w:rPr>
          <w:rFonts w:cs="Traditional Arabic" w:hint="cs"/>
          <w:sz w:val="30"/>
          <w:szCs w:val="30"/>
          <w:rtl/>
          <w:lang w:val="en-GB"/>
        </w:rPr>
        <w:t>في العملية الرطبة تطحن المواد الخام مع الماء لتكوين ملاط رقيق القوام قابل للضخ بمحتوى مائي يتراوح من 28 إلى 42 في المائة. وينقل هذا الملاط مباشرةً إلى الفرن. وتتراوح الطاقة الإنتاجية لهذه العملية من 100 إلى 600</w:t>
      </w:r>
      <w:r w:rsidRPr="00335E4B">
        <w:rPr>
          <w:rFonts w:cs="Traditional Arabic" w:hint="eastAsia"/>
          <w:sz w:val="30"/>
          <w:szCs w:val="30"/>
          <w:rtl/>
          <w:lang w:val="en-GB"/>
        </w:rPr>
        <w:t> </w:t>
      </w:r>
      <w:r w:rsidRPr="00335E4B">
        <w:rPr>
          <w:rFonts w:cs="Traditional Arabic" w:hint="cs"/>
          <w:sz w:val="30"/>
          <w:szCs w:val="30"/>
          <w:rtl/>
          <w:lang w:val="en-GB"/>
        </w:rPr>
        <w:t>3 طن في اليوم. وتتطلب العملية الرطبة قدراً أكبر من الطاقة ولذلك تكون أكثر كلفة في التشغيل؛</w:t>
      </w:r>
    </w:p>
    <w:p w:rsidR="00335E4B" w:rsidRPr="00335E4B" w:rsidRDefault="00335E4B" w:rsidP="00335E4B">
      <w:pPr>
        <w:numPr>
          <w:ilvl w:val="0"/>
          <w:numId w:val="31"/>
        </w:numPr>
        <w:tabs>
          <w:tab w:val="left" w:pos="849"/>
        </w:tabs>
        <w:spacing w:after="120" w:line="400" w:lineRule="exact"/>
        <w:ind w:left="849" w:hanging="554"/>
        <w:jc w:val="both"/>
        <w:rPr>
          <w:rFonts w:cs="Traditional Arabic"/>
          <w:sz w:val="30"/>
          <w:szCs w:val="30"/>
          <w:lang w:val="en-GB"/>
        </w:rPr>
      </w:pPr>
      <w:r w:rsidRPr="00335E4B">
        <w:rPr>
          <w:rFonts w:cs="Traditional Arabic" w:hint="cs"/>
          <w:sz w:val="30"/>
          <w:szCs w:val="30"/>
          <w:rtl/>
          <w:lang w:val="en-GB"/>
        </w:rPr>
        <w:t>وفي العملية شبه الرطبة يتم أولاً نزع المياه في مكابس الترشيح. وتتراوح نسبة المحتوى المائي المتخلف من 18 إلى 23 في المائة. وينبثق كُسب المرشح في شكل حبيبات ويلقم في سخان شبكي للتسخين المسبق. وقد طور و. ليليب وشركة بوليسيس هذا النوع من الأفران مع السخانات الشبكية ونتيجةً لذلك أصبحت تعرف بأفران ليبول (</w:t>
      </w:r>
      <w:r w:rsidRPr="00335E4B">
        <w:rPr>
          <w:rFonts w:eastAsia="Calibri" w:cs="Times New Roman"/>
          <w:noProof/>
          <w:sz w:val="20"/>
          <w:szCs w:val="22"/>
        </w:rPr>
        <w:t>Locher, 2000, p 58</w:t>
      </w:r>
      <w:r w:rsidRPr="00335E4B">
        <w:rPr>
          <w:rFonts w:cs="Traditional Arabic" w:hint="cs"/>
          <w:sz w:val="30"/>
          <w:szCs w:val="30"/>
          <w:rtl/>
          <w:lang w:val="en-GB"/>
        </w:rPr>
        <w:t>). وتتراوح الطاقة الإنتاجية لهذه العملية من 100 إلى 3000 طن/اليوم؛</w:t>
      </w:r>
    </w:p>
    <w:p w:rsidR="00335E4B" w:rsidRPr="00335E4B" w:rsidRDefault="00335E4B" w:rsidP="00F233C1">
      <w:pPr>
        <w:numPr>
          <w:ilvl w:val="0"/>
          <w:numId w:val="31"/>
        </w:numPr>
        <w:tabs>
          <w:tab w:val="left" w:pos="849"/>
        </w:tabs>
        <w:spacing w:after="120" w:line="400" w:lineRule="exact"/>
        <w:ind w:left="849" w:hanging="554"/>
        <w:jc w:val="both"/>
        <w:rPr>
          <w:rFonts w:cs="Traditional Arabic"/>
          <w:sz w:val="30"/>
          <w:szCs w:val="30"/>
          <w:lang w:val="en-GB"/>
        </w:rPr>
      </w:pPr>
      <w:r w:rsidRPr="00335E4B">
        <w:rPr>
          <w:rFonts w:cs="Traditional Arabic" w:hint="cs"/>
          <w:sz w:val="30"/>
          <w:szCs w:val="30"/>
          <w:rtl/>
          <w:lang w:val="en-GB"/>
        </w:rPr>
        <w:t>في العملية شبه الجافة يحول الدقيق الخام الجاف إلى حبيبات بالمياه وتلقم هذه في السخان الشبكي للتسخين المسبق قبل الفرن. وتعرف الأفران من هذا النوع أيضاً بأفران ليبول. ويجري تخفيض المحتوى المائي لمادة التلقيم بشكل إضافي إلى ما نسبته 11 إلى 14 في المائة. وتتراوح الطاقة الإنتاجية لهذه العملية من 500 إلى 200</w:t>
      </w:r>
      <w:r w:rsidR="00F233C1">
        <w:rPr>
          <w:rFonts w:cs="Traditional Arabic" w:hint="eastAsia"/>
          <w:sz w:val="30"/>
          <w:szCs w:val="30"/>
          <w:rtl/>
          <w:lang w:val="en-GB"/>
        </w:rPr>
        <w:t> </w:t>
      </w:r>
      <w:r w:rsidRPr="00335E4B">
        <w:rPr>
          <w:rFonts w:cs="Traditional Arabic" w:hint="cs"/>
          <w:sz w:val="30"/>
          <w:szCs w:val="30"/>
          <w:rtl/>
          <w:lang w:val="en-GB"/>
        </w:rPr>
        <w:t>3 طن/اليوم. وتتحول المنشآت التي تستخدم العمليات شبه الجافة على الأرجح إلى التقنيات الجافة عند الحاجة إلى التوسع أو إلى إدخال تحسينات كبيرة؛</w:t>
      </w:r>
    </w:p>
    <w:p w:rsidR="00335E4B" w:rsidRPr="00335E4B" w:rsidRDefault="00335E4B" w:rsidP="00335E4B">
      <w:pPr>
        <w:numPr>
          <w:ilvl w:val="0"/>
          <w:numId w:val="31"/>
        </w:numPr>
        <w:tabs>
          <w:tab w:val="left" w:pos="849"/>
        </w:tabs>
        <w:spacing w:after="120" w:line="400" w:lineRule="exact"/>
        <w:ind w:left="849" w:hanging="554"/>
        <w:jc w:val="both"/>
        <w:rPr>
          <w:rFonts w:cs="Traditional Arabic"/>
          <w:sz w:val="30"/>
          <w:szCs w:val="30"/>
          <w:lang w:val="en-GB"/>
        </w:rPr>
      </w:pPr>
      <w:r w:rsidRPr="00335E4B">
        <w:rPr>
          <w:rFonts w:cs="Traditional Arabic" w:hint="cs"/>
          <w:sz w:val="30"/>
          <w:szCs w:val="30"/>
          <w:rtl/>
          <w:lang w:val="en-GB"/>
        </w:rPr>
        <w:t xml:space="preserve">في العملية الجافة تُطحن المادة الخام وتُجفف إلى دقيق خام في شكل مسحوق قابل للتدفق بمحتوى مائي أقل من 1 في المائة. ويُلقم الدقيق الخام الجاف في سخان دوامي للتسخين المسبق (من أربع إلى ست مراحل) أو في فرن للتكليس المسبق، أو نادراً، في فرن طويل جاف. وتتميز الأفران المزودة بسخانات للتسخين المسبق بكفاءة أكبر في استهلاك الطاقة وهي أقصر كثيراً (40 إلى 100م). والغالبية العظمى من الأفران الموجودة هي أفران معالجة جافة، يمكن أن تتراوح طاقتها الإنتاجية من 500 إلى أكثر من 000 10 طن/اليوم. </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إن غالبية الأفران هي أفران دوارة ذات عملية قصيرة للمعالجة الجافة. ولا تقدم هذه الوثيقة وصفاً للأفران ذات الأعمدة الرأسية نظراً لانخفاض كفاءتها في استهلاك الطاقة وأدائها البيئي السيئ.</w:t>
      </w:r>
    </w:p>
    <w:p w:rsidR="00335E4B" w:rsidRPr="00335E4B" w:rsidRDefault="00335E4B" w:rsidP="00335E4B">
      <w:pPr>
        <w:keepNext/>
        <w:spacing w:before="120" w:after="120" w:line="400" w:lineRule="exact"/>
        <w:ind w:left="1132" w:hanging="1134"/>
        <w:jc w:val="both"/>
        <w:outlineLvl w:val="3"/>
        <w:rPr>
          <w:rFonts w:cs="Traditional Arabic"/>
          <w:b/>
          <w:bCs/>
          <w:sz w:val="30"/>
          <w:szCs w:val="30"/>
          <w:rtl/>
        </w:rPr>
      </w:pPr>
      <w:r w:rsidRPr="00335E4B">
        <w:rPr>
          <w:rFonts w:cs="Traditional Arabic" w:hint="cs"/>
          <w:b/>
          <w:bCs/>
          <w:sz w:val="30"/>
          <w:szCs w:val="30"/>
          <w:rtl/>
        </w:rPr>
        <w:t>وصف أفران كريات الكلنكر الدوارة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الأفران الدوارة هي أنابيب فولاذية مبطنة بمادة مقاومة للانصهار بقطر يصل إلى ستة أمتار تقريباً ونسبة الطول إلى القطر بين 1:10 و1:38، وتقام بشكل مائل بانحدار يتراوح من 2,5 إلى 4 في المائة وتدور بتردد يتراوح من 0,5 إلى 5,0 - وعادةً 1,2 إلى 3 </w:t>
      </w:r>
      <w:r w:rsidRPr="00335E4B">
        <w:rPr>
          <w:rFonts w:cs="Traditional Arabic"/>
          <w:sz w:val="30"/>
          <w:szCs w:val="30"/>
          <w:rtl/>
          <w:lang w:val="en-GB"/>
        </w:rPr>
        <w:t>–</w:t>
      </w:r>
      <w:r w:rsidRPr="00335E4B">
        <w:rPr>
          <w:rFonts w:cs="Traditional Arabic" w:hint="cs"/>
          <w:sz w:val="30"/>
          <w:szCs w:val="30"/>
          <w:rtl/>
          <w:lang w:val="en-GB"/>
        </w:rPr>
        <w:t xml:space="preserve"> دورات في الدقيقة. ونتيجةً لميلان الأنبوب ودورانه تتحرك المادة المراد حرقها والتي تُلقم في مدخل الفرن عبر الأنبوب إلى الأسفل باتجاه شعلة الاحتراق في المخرج (</w:t>
      </w:r>
      <w:r w:rsidRPr="00335E4B">
        <w:rPr>
          <w:rFonts w:cs="Times New Roman"/>
          <w:noProof/>
          <w:sz w:val="20"/>
          <w:szCs w:val="22"/>
        </w:rPr>
        <w:t>Locher, 2000, p 55; Ullmann’s, 1986; BREF CLM 2013</w:t>
      </w:r>
      <w:r w:rsidRPr="00335E4B">
        <w:rPr>
          <w:rFonts w:cs="Traditional Arabic" w:hint="cs"/>
          <w:sz w:val="30"/>
          <w:szCs w:val="30"/>
          <w:rtl/>
          <w:lang w:val="en-GB"/>
        </w:rPr>
        <w:t>). وبناءً على ذلك يتدفق مسار الغاز في شكل تيار عكسي نحو المواد الصلبة. وتكون جميع الأفران الطويلة الرطبة والجافة مجهزة بعناصر داخلية (سلاسل وصلبان) لتحسين عملية انتقال الحرارة.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وقد طُورت تكنولوجيا أجهزة التكليس المسبق، المبينة في الشكل 3، في ستينيات القرن الماضي بهدف زيادة الطاقة الإنتاجية في فرن بحجم معين. وقبل عام 1993 في أوروبا جرى تزويد الكثير من الأفران ذات الأربع مراحل المحتوية على جهاز تسخين دوّامي للتسخين المسبق، ومعظم هذه الأفران ذات الخمس مراحل، وجميع الأفران ذات الست مراحل على قلتها، بجهاز للتكليس المسبق وقناة هوائية ثلاثية (</w:t>
      </w:r>
      <w:r w:rsidRPr="00335E4B">
        <w:rPr>
          <w:rFonts w:cs="Times New Roman"/>
          <w:noProof/>
          <w:sz w:val="20"/>
          <w:szCs w:val="22"/>
        </w:rPr>
        <w:t>Erhard/Scheuer, 1993</w:t>
      </w:r>
      <w:r w:rsidRPr="00335E4B">
        <w:rPr>
          <w:rFonts w:cs="Traditional Arabic" w:hint="cs"/>
          <w:sz w:val="30"/>
          <w:szCs w:val="30"/>
          <w:rtl/>
          <w:lang w:val="en-GB"/>
        </w:rPr>
        <w:t>). ومنذ ذلك الوقت يجري تحسين أجهزة التكليس المسبق. وتزود المنشآت الجديدة دائماً بتكنولوجيا التكليس المسبق حيث توضع أجهزة التكليس المسبق بين الفرن وجهاز التسخين المسبق بينما يرد الهواء الساخن من مبرد الفرن عبر القناة الهوائية الثلاثية (الشكل 3). وتوفر هذه الأجهزة مرونةً في استخدام مختلف أنواع الوقود البديلة (المشتقة من النفايات) التي قد تكون ذات قيمة حرارية أقل.</w:t>
      </w:r>
    </w:p>
    <w:p w:rsidR="00335E4B" w:rsidRPr="00335E4B" w:rsidRDefault="00335E4B" w:rsidP="00335E4B">
      <w:pPr>
        <w:tabs>
          <w:tab w:val="left" w:pos="1247"/>
          <w:tab w:val="left" w:pos="1814"/>
          <w:tab w:val="left" w:pos="2381"/>
          <w:tab w:val="left" w:pos="2948"/>
          <w:tab w:val="left" w:pos="3515"/>
        </w:tabs>
        <w:spacing w:before="120" w:after="100" w:afterAutospacing="1" w:line="276" w:lineRule="auto"/>
        <w:jc w:val="center"/>
        <w:rPr>
          <w:rFonts w:cs="Times New Roman"/>
          <w:b/>
          <w:bCs/>
          <w:noProof/>
          <w:sz w:val="32"/>
          <w:szCs w:val="32"/>
        </w:rPr>
      </w:pPr>
      <w:r>
        <w:rPr>
          <w:rFonts w:cs="Times New Roman"/>
          <w:noProof/>
          <w:sz w:val="20"/>
          <w:szCs w:val="22"/>
          <w:lang w:val="en-GB" w:eastAsia="zh-CN"/>
        </w:rPr>
        <w:drawing>
          <wp:inline distT="0" distB="0" distL="0" distR="0" wp14:anchorId="49CC466B" wp14:editId="3CB64878">
            <wp:extent cx="5725795" cy="2357120"/>
            <wp:effectExtent l="0" t="0" r="825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5795" cy="2357120"/>
                    </a:xfrm>
                    <a:prstGeom prst="rect">
                      <a:avLst/>
                    </a:prstGeom>
                    <a:noFill/>
                    <a:ln>
                      <a:noFill/>
                    </a:ln>
                  </pic:spPr>
                </pic:pic>
              </a:graphicData>
            </a:graphic>
          </wp:inline>
        </w:drawing>
      </w:r>
    </w:p>
    <w:p w:rsidR="00335E4B" w:rsidRPr="00335E4B" w:rsidRDefault="00335E4B" w:rsidP="00E439A9">
      <w:pPr>
        <w:tabs>
          <w:tab w:val="left" w:pos="1247"/>
          <w:tab w:val="left" w:pos="1814"/>
          <w:tab w:val="left" w:pos="2381"/>
          <w:tab w:val="left" w:pos="2948"/>
          <w:tab w:val="left" w:pos="3515"/>
        </w:tabs>
        <w:spacing w:before="120" w:after="100" w:afterAutospacing="1" w:line="276" w:lineRule="auto"/>
        <w:rPr>
          <w:rFonts w:ascii="Traditional Arabic" w:hAnsi="Traditional Arabic" w:cs="Traditional Arabic"/>
          <w:bCs/>
          <w:i/>
          <w:noProof/>
          <w:sz w:val="20"/>
          <w:szCs w:val="24"/>
          <w:rtl/>
        </w:rPr>
      </w:pPr>
      <w:r w:rsidRPr="00D97FFB">
        <w:rPr>
          <w:rFonts w:ascii="Traditional Arabic" w:hAnsi="Traditional Arabic" w:cs="Traditional Arabic" w:hint="cs"/>
          <w:bCs/>
          <w:i/>
          <w:noProof/>
          <w:sz w:val="30"/>
          <w:szCs w:val="30"/>
          <w:rtl/>
        </w:rPr>
        <w:t>الشكل 3</w:t>
      </w:r>
      <w:r w:rsidR="00E439A9" w:rsidRPr="00D97FFB">
        <w:rPr>
          <w:rFonts w:ascii="Traditional Arabic" w:hAnsi="Traditional Arabic" w:cs="Traditional Arabic" w:hint="cs"/>
          <w:bCs/>
          <w:i/>
          <w:noProof/>
          <w:sz w:val="30"/>
          <w:szCs w:val="30"/>
          <w:rtl/>
        </w:rPr>
        <w:t>.</w:t>
      </w:r>
      <w:r w:rsidRPr="00D97FFB">
        <w:rPr>
          <w:rFonts w:ascii="Traditional Arabic" w:hAnsi="Traditional Arabic" w:cs="Traditional Arabic" w:hint="cs"/>
          <w:bCs/>
          <w:i/>
          <w:noProof/>
          <w:sz w:val="30"/>
          <w:szCs w:val="30"/>
          <w:rtl/>
        </w:rPr>
        <w:t xml:space="preserve"> نظام فرن جاف مزود بجهاز تكليس مسبق </w:t>
      </w:r>
      <w:r w:rsidRPr="00D97FFB">
        <w:rPr>
          <w:rFonts w:asciiTheme="majorBidi" w:hAnsiTheme="majorBidi" w:cstheme="majorBidi"/>
          <w:bCs/>
          <w:i/>
          <w:noProof/>
          <w:sz w:val="20"/>
          <w:szCs w:val="20"/>
          <w:rtl/>
        </w:rPr>
        <w:t>(</w:t>
      </w:r>
      <w:r w:rsidRPr="00D97FFB">
        <w:rPr>
          <w:rFonts w:asciiTheme="majorBidi" w:hAnsiTheme="majorBidi" w:cstheme="majorBidi"/>
          <w:b/>
          <w:iCs/>
          <w:noProof/>
          <w:sz w:val="20"/>
          <w:szCs w:val="20"/>
        </w:rPr>
        <w:t>Schoenberger, 2015</w:t>
      </w:r>
      <w:r w:rsidRPr="00D97FFB">
        <w:rPr>
          <w:rFonts w:asciiTheme="majorBidi" w:hAnsiTheme="majorBidi" w:cstheme="majorBidi"/>
          <w:bCs/>
          <w:i/>
          <w:noProof/>
          <w:sz w:val="20"/>
          <w:szCs w:val="20"/>
          <w:rtl/>
        </w:rPr>
        <w:t>)</w:t>
      </w:r>
    </w:p>
    <w:p w:rsidR="00335E4B" w:rsidRPr="00335E4B" w:rsidRDefault="00335E4B" w:rsidP="00335E4B">
      <w:pPr>
        <w:keepNext/>
        <w:spacing w:before="120" w:after="120" w:line="400" w:lineRule="exact"/>
        <w:ind w:left="849" w:hanging="851"/>
        <w:jc w:val="both"/>
        <w:outlineLvl w:val="3"/>
        <w:rPr>
          <w:rFonts w:cs="Traditional Arabic"/>
          <w:b/>
          <w:bCs/>
          <w:sz w:val="30"/>
          <w:szCs w:val="30"/>
          <w:rtl/>
        </w:rPr>
      </w:pPr>
      <w:r w:rsidRPr="00335E4B">
        <w:rPr>
          <w:rFonts w:cs="Traditional Arabic" w:hint="cs"/>
          <w:b/>
          <w:bCs/>
          <w:sz w:val="30"/>
          <w:szCs w:val="30"/>
          <w:rtl/>
        </w:rPr>
        <w:t>دخول الزئبق في العملية وسلوكه أثناءها</w:t>
      </w:r>
    </w:p>
    <w:p w:rsidR="00335E4B" w:rsidRPr="00335E4B" w:rsidRDefault="00335E4B" w:rsidP="00335E4B">
      <w:pPr>
        <w:keepNext/>
        <w:spacing w:before="120" w:after="120" w:line="400" w:lineRule="exact"/>
        <w:ind w:left="1132" w:hanging="1134"/>
        <w:jc w:val="both"/>
        <w:outlineLvl w:val="3"/>
        <w:rPr>
          <w:rFonts w:cs="Traditional Arabic"/>
          <w:b/>
          <w:bCs/>
          <w:sz w:val="30"/>
          <w:szCs w:val="30"/>
          <w:rtl/>
        </w:rPr>
      </w:pPr>
      <w:r w:rsidRPr="00335E4B">
        <w:rPr>
          <w:rFonts w:cs="Traditional Arabic" w:hint="cs"/>
          <w:b/>
          <w:bCs/>
          <w:sz w:val="30"/>
          <w:szCs w:val="30"/>
          <w:rtl/>
        </w:rPr>
        <w:t>محتوى الزئبق في مختلف مسارات المدخلات</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يمكن أن يكون الزئبق موجوداً في كل أنواع مسارات المدخلات الكتلية، وفي المواد الخام الطبيعية وتلك المشتقة من النفايات وكذلك في أنواع الوقود التقليدي والمشتق من النفايات (بما في ذلك أنواع الوقود المشتقة من النفايات الخطرة). ومعنى هذا أن الزئبق يدخل نظم إنتاج كريات الكلنكر عن طريق نقط التلقيم الرئيسية الثلاث، أي عن طريق المواد الخام وفرن الحرق الرئيسي ونظام الحرق الثانوي.</w:t>
      </w:r>
    </w:p>
    <w:p w:rsid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واستناداً إلى المصادر المتاحة يرد في الجدول 1 محتوى الزئبق ومسارات المدخلات الكتلية. وتؤكد هذه البيانات أن جميع المدخلات يمكن تحتوي على الزئبق. بيد أنه تجدر الإشارة إلى أن محتويات الزئبق يمكن أن تكون أعلى أو أقل بكثير من القيم الواردة في الجدول.</w:t>
      </w:r>
    </w:p>
    <w:p w:rsidR="00D97FFB" w:rsidRDefault="00D97FFB">
      <w:pPr>
        <w:bidi w:val="0"/>
        <w:rPr>
          <w:rFonts w:cs="Traditional Arabic"/>
          <w:sz w:val="30"/>
          <w:szCs w:val="30"/>
          <w:rtl/>
          <w:lang w:val="en-GB"/>
        </w:rPr>
      </w:pPr>
      <w:r>
        <w:rPr>
          <w:rFonts w:cs="Traditional Arabic"/>
          <w:sz w:val="30"/>
          <w:szCs w:val="30"/>
          <w:rtl/>
          <w:lang w:val="en-GB"/>
        </w:rPr>
        <w:br w:type="page"/>
      </w:r>
    </w:p>
    <w:p w:rsidR="00D97FFB" w:rsidRPr="00335E4B" w:rsidRDefault="00D97FFB" w:rsidP="00335E4B">
      <w:pPr>
        <w:spacing w:after="120" w:line="400" w:lineRule="exact"/>
        <w:jc w:val="both"/>
        <w:rPr>
          <w:rFonts w:cs="Traditional Arabic"/>
          <w:sz w:val="30"/>
          <w:szCs w:val="30"/>
          <w:lang w:val="en-GB"/>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700"/>
        <w:gridCol w:w="605"/>
        <w:gridCol w:w="610"/>
        <w:gridCol w:w="798"/>
        <w:gridCol w:w="606"/>
        <w:gridCol w:w="700"/>
        <w:gridCol w:w="606"/>
        <w:gridCol w:w="792"/>
        <w:gridCol w:w="664"/>
        <w:gridCol w:w="606"/>
        <w:gridCol w:w="664"/>
        <w:gridCol w:w="666"/>
      </w:tblGrid>
      <w:tr w:rsidR="00335E4B" w:rsidRPr="00335E4B" w:rsidTr="00D002D1">
        <w:trPr>
          <w:tblHeader/>
        </w:trPr>
        <w:tc>
          <w:tcPr>
            <w:tcW w:w="17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5E4B" w:rsidRPr="00335E4B" w:rsidRDefault="00335E4B" w:rsidP="00335E4B">
            <w:pPr>
              <w:keepNext/>
              <w:jc w:val="center"/>
              <w:rPr>
                <w:rFonts w:ascii="Traditional Arabic" w:hAnsi="Traditional Arabic" w:cs="Traditional Arabic"/>
                <w:sz w:val="20"/>
                <w:szCs w:val="20"/>
                <w:lang w:val="fr-CA" w:eastAsia="fr-CA"/>
              </w:rPr>
            </w:pPr>
            <w:r w:rsidRPr="00335E4B">
              <w:rPr>
                <w:rFonts w:ascii="Traditional Arabic" w:hAnsi="Traditional Arabic" w:cs="Traditional Arabic"/>
                <w:b/>
                <w:bCs/>
                <w:sz w:val="20"/>
                <w:szCs w:val="20"/>
                <w:rtl/>
                <w:lang w:eastAsia="de-DE"/>
              </w:rPr>
              <w:t>المصدر</w:t>
            </w:r>
          </w:p>
        </w:tc>
        <w:tc>
          <w:tcPr>
            <w:tcW w:w="19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KodchiangUPC" w:hAnsi="KodchiangUPC" w:cs="KodchiangUPC"/>
                <w:b/>
                <w:bCs/>
                <w:sz w:val="20"/>
                <w:szCs w:val="20"/>
                <w:lang w:eastAsia="de-DE"/>
              </w:rPr>
            </w:pPr>
            <w:r w:rsidRPr="00335E4B">
              <w:rPr>
                <w:rFonts w:ascii="KodchiangUPC" w:hAnsi="KodchiangUPC" w:cs="KodchiangUPC"/>
                <w:b/>
                <w:bCs/>
                <w:sz w:val="20"/>
                <w:szCs w:val="20"/>
                <w:lang w:eastAsia="de-DE"/>
              </w:rPr>
              <w:t>FZKA, 2003</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KodchiangUPC" w:hAnsi="KodchiangUPC" w:cs="KodchiangUPC"/>
                <w:b/>
                <w:bCs/>
                <w:sz w:val="20"/>
                <w:szCs w:val="20"/>
                <w:lang w:eastAsia="de-DE"/>
              </w:rPr>
            </w:pPr>
            <w:r w:rsidRPr="00335E4B">
              <w:rPr>
                <w:rFonts w:ascii="KodchiangUPC" w:hAnsi="KodchiangUPC" w:cs="KodchiangUPC"/>
                <w:b/>
                <w:bCs/>
                <w:sz w:val="20"/>
                <w:szCs w:val="20"/>
                <w:lang w:eastAsia="de-DE"/>
              </w:rPr>
              <w:t>Renzori et al., 2010</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KodchiangUPC" w:hAnsi="KodchiangUPC" w:cs="KodchiangUPC"/>
                <w:b/>
                <w:bCs/>
                <w:sz w:val="20"/>
                <w:szCs w:val="20"/>
                <w:lang w:eastAsia="de-DE"/>
              </w:rPr>
            </w:pPr>
            <w:r w:rsidRPr="00335E4B">
              <w:rPr>
                <w:rFonts w:ascii="KodchiangUPC" w:hAnsi="KodchiangUPC" w:cs="KodchiangUPC"/>
                <w:b/>
                <w:bCs/>
                <w:sz w:val="20"/>
                <w:szCs w:val="20"/>
                <w:lang w:eastAsia="de-DE"/>
              </w:rPr>
              <w:t>Bref CLM, 2013</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KodchiangUPC" w:hAnsi="KodchiangUPC" w:cs="KodchiangUPC"/>
                <w:b/>
                <w:bCs/>
                <w:sz w:val="20"/>
                <w:szCs w:val="20"/>
                <w:lang w:eastAsia="de-DE"/>
              </w:rPr>
            </w:pPr>
            <w:r w:rsidRPr="00335E4B">
              <w:rPr>
                <w:rFonts w:ascii="KodchiangUPC" w:hAnsi="KodchiangUPC" w:cs="KodchiangUPC"/>
                <w:b/>
                <w:bCs/>
                <w:sz w:val="20"/>
                <w:szCs w:val="20"/>
                <w:lang w:eastAsia="de-DE"/>
              </w:rPr>
              <w:t>Oerter, 2007</w:t>
            </w:r>
          </w:p>
        </w:tc>
        <w:tc>
          <w:tcPr>
            <w:tcW w:w="18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KodchiangUPC" w:hAnsi="KodchiangUPC" w:cs="Arial"/>
                <w:b/>
                <w:bCs/>
                <w:sz w:val="20"/>
                <w:szCs w:val="20"/>
                <w:lang w:eastAsia="de-DE"/>
              </w:rPr>
            </w:pPr>
            <w:r w:rsidRPr="00335E4B">
              <w:rPr>
                <w:rFonts w:ascii="KodchiangUPC" w:hAnsi="KodchiangUPC" w:cs="Arial"/>
                <w:b/>
                <w:bCs/>
                <w:sz w:val="20"/>
                <w:szCs w:val="20"/>
                <w:lang w:eastAsia="de-DE"/>
              </w:rPr>
              <w:t>CH Buwal, 1999</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KodchiangUPC" w:hAnsi="KodchiangUPC" w:cs="Arial"/>
                <w:b/>
                <w:bCs/>
                <w:sz w:val="20"/>
                <w:szCs w:val="20"/>
                <w:lang w:eastAsia="de-DE"/>
              </w:rPr>
            </w:pPr>
            <w:r w:rsidRPr="00335E4B">
              <w:rPr>
                <w:rFonts w:ascii="KodchiangUPC" w:hAnsi="KodchiangUPC" w:cs="Arial"/>
                <w:b/>
                <w:bCs/>
                <w:sz w:val="20"/>
                <w:szCs w:val="20"/>
                <w:lang w:eastAsia="de-DE"/>
              </w:rPr>
              <w:t>US PCA, 2006</w:t>
            </w:r>
          </w:p>
        </w:tc>
      </w:tr>
      <w:tr w:rsidR="00335E4B" w:rsidRPr="00335E4B" w:rsidTr="00D002D1">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keepNext/>
              <w:rPr>
                <w:rFonts w:ascii="Traditional Arabic" w:hAnsi="Traditional Arabic" w:cs="Traditional Arabic"/>
                <w:sz w:val="20"/>
                <w:szCs w:val="20"/>
                <w:lang w:val="fr-CA" w:eastAsia="fr-CA"/>
              </w:rPr>
            </w:pP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أدنى</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أقصى</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متوسط</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أدنى</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أقصى</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أدنى</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أقصى</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المئين الخمسين</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أدنى</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أقصى</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متوسط</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jc w:val="cente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متوسط</w:t>
            </w:r>
          </w:p>
        </w:tc>
      </w:tr>
      <w:tr w:rsidR="00335E4B" w:rsidRPr="00335E4B" w:rsidTr="00D002D1">
        <w:tc>
          <w:tcPr>
            <w:tcW w:w="9712" w:type="dxa"/>
            <w:gridSpan w:val="13"/>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b/>
                <w:sz w:val="20"/>
                <w:szCs w:val="20"/>
                <w:rtl/>
                <w:lang w:val="fr-CA" w:eastAsia="fr-CA"/>
              </w:rPr>
            </w:pPr>
            <w:r w:rsidRPr="00335E4B">
              <w:rPr>
                <w:rFonts w:ascii="Traditional Arabic" w:hAnsi="Traditional Arabic" w:cs="Traditional Arabic"/>
                <w:b/>
                <w:bCs/>
                <w:sz w:val="20"/>
                <w:szCs w:val="20"/>
                <w:rtl/>
                <w:lang w:eastAsia="de-DE"/>
              </w:rPr>
              <w:t>مواد خام طبيعية أو تقليدية</w:t>
            </w: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حجر جيري</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0,005</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0,1</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0,04</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&lt;0,005</w:t>
            </w:r>
          </w:p>
        </w:tc>
        <w:tc>
          <w:tcPr>
            <w:tcW w:w="6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0,4</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&lt;0,01</w:t>
            </w:r>
          </w:p>
        </w:tc>
        <w:tc>
          <w:tcPr>
            <w:tcW w:w="6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0,13</w:t>
            </w:r>
          </w:p>
        </w:tc>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0,02</w:t>
            </w: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0,017</w:t>
            </w: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تراب كلسي</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0,005</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0,1</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rPr>
                <w:rFonts w:ascii="Traditional Arabic" w:hAnsi="Traditional Arabic" w:cs="Traditional Arabic"/>
                <w:sz w:val="20"/>
                <w:szCs w:val="20"/>
                <w:rtl/>
                <w:lang w:val="fr-CA" w:eastAsia="fr-C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rPr>
                <w:rFonts w:ascii="Traditional Arabic" w:hAnsi="Traditional Arabic" w:cs="Traditional Arabic"/>
                <w:sz w:val="20"/>
                <w:szCs w:val="20"/>
                <w:rtl/>
                <w:lang w:val="fr-CA" w:eastAsia="fr-C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rPr>
                <w:rFonts w:ascii="Traditional Arabic" w:hAnsi="Traditional Arabic" w:cs="Traditional Arabic"/>
                <w:sz w:val="20"/>
                <w:szCs w:val="20"/>
                <w:rtl/>
                <w:lang w:val="fr-CA" w:eastAsia="fr-C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0,052</w:t>
            </w: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طين</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0,5</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0,2</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0,002</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0,45</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0,02</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0,15</w:t>
            </w:r>
          </w:p>
        </w:tc>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0,09</w:t>
            </w: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رمل</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1</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0,02</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&lt;0,005</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0,55</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0,03</w:t>
            </w: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0,029</w:t>
            </w: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جبس</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&lt;0,005</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0,08</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ركاز الحديد</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1</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0,5</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0,8</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0,17</w:t>
            </w: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0,078</w:t>
            </w: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دقيق خام</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0,008</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1</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0,06</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1</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0,5</w:t>
            </w:r>
          </w:p>
        </w:tc>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0,03</w:t>
            </w:r>
          </w:p>
        </w:tc>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0,02</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0,6</w:t>
            </w:r>
          </w:p>
        </w:tc>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0,07</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9712" w:type="dxa"/>
            <w:gridSpan w:val="13"/>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b/>
                <w:sz w:val="20"/>
                <w:szCs w:val="20"/>
                <w:rtl/>
                <w:lang w:val="fr-CA" w:eastAsia="fr-CA"/>
              </w:rPr>
            </w:pPr>
            <w:r w:rsidRPr="00335E4B">
              <w:rPr>
                <w:rFonts w:ascii="Traditional Arabic" w:hAnsi="Traditional Arabic" w:cs="Traditional Arabic"/>
                <w:b/>
                <w:bCs/>
                <w:sz w:val="20"/>
                <w:szCs w:val="20"/>
                <w:rtl/>
                <w:lang w:eastAsia="de-DE"/>
              </w:rPr>
              <w:t>مواد خام بديلة</w:t>
            </w: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رمال سبك مستعملة</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0,03</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4,4</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0,3</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جبس صناعي لامائي</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0,06</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1,3</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0,1</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0,03</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1,3</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خبث الفرن العالي</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1</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0,6</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&lt;0,005</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0,2</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0,12</w:t>
            </w: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رماد من عمليات الحرق، ~رماد القاع من اللغنيت</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0,003</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1,4</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0,3</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رماد متطاير من الفحم</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0,04</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2,4</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0,3</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&lt;0,002</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0,8</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0,34</w:t>
            </w: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0,2</w:t>
            </w:r>
          </w:p>
        </w:tc>
      </w:tr>
      <w:tr w:rsidR="00335E4B" w:rsidRPr="00335E4B" w:rsidTr="00D002D1">
        <w:tc>
          <w:tcPr>
            <w:tcW w:w="9712" w:type="dxa"/>
            <w:gridSpan w:val="13"/>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hAnsi="Traditional Arabic" w:cs="Traditional Arabic"/>
                <w:b/>
                <w:bCs/>
                <w:sz w:val="20"/>
                <w:szCs w:val="20"/>
                <w:rtl/>
                <w:lang w:eastAsia="de-DE"/>
              </w:rPr>
              <w:t>وقود تقليدي</w:t>
            </w: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فحم الأنثراسيت</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3</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0,3</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13</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0,1</w:t>
            </w:r>
          </w:p>
        </w:tc>
        <w:tc>
          <w:tcPr>
            <w:tcW w:w="6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3,3</w:t>
            </w:r>
          </w:p>
        </w:tc>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0,4</w:t>
            </w:r>
          </w:p>
        </w:tc>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3,3</w:t>
            </w:r>
          </w:p>
        </w:tc>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0,42</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اللغنيت</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0,7</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0,2</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0,03</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0,11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rPr>
                <w:rFonts w:ascii="Traditional Arabic" w:hAnsi="Traditional Arabic" w:cs="Traditional Arabic"/>
                <w:sz w:val="20"/>
                <w:szCs w:val="20"/>
                <w:rtl/>
                <w:lang w:val="fr-CA" w:eastAsia="fr-C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0,09</w:t>
            </w: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الزيت الثقيل</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0,006</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0,006</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الكوك البترولي</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0,09</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0,05</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0,71</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&lt;0,5</w:t>
            </w: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9712" w:type="dxa"/>
            <w:gridSpan w:val="13"/>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jc w:val="both"/>
              <w:rPr>
                <w:rFonts w:ascii="Traditional Arabic" w:hAnsi="Traditional Arabic" w:cs="Traditional Arabic"/>
                <w:b/>
                <w:bCs/>
                <w:sz w:val="20"/>
                <w:szCs w:val="20"/>
                <w:lang w:eastAsia="de-DE"/>
              </w:rPr>
            </w:pPr>
            <w:r w:rsidRPr="00335E4B">
              <w:rPr>
                <w:rFonts w:ascii="Traditional Arabic" w:hAnsi="Traditional Arabic" w:cs="Traditional Arabic"/>
                <w:b/>
                <w:bCs/>
                <w:sz w:val="20"/>
                <w:szCs w:val="20"/>
                <w:rtl/>
                <w:lang w:eastAsia="de-DE"/>
              </w:rPr>
              <w:t>أنواع وقود بديلة</w:t>
            </w: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إطارات تالفة</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1</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0,4</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0,4</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0,17</w:t>
            </w: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زيت عادم</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2</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0,3</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0,1</w:t>
            </w:r>
          </w:p>
        </w:tc>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0,2</w:t>
            </w: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أخشاب تالفة</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1</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0,2</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0,18</w:t>
            </w:r>
          </w:p>
        </w:tc>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0,31</w:t>
            </w:r>
          </w:p>
        </w:tc>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0,37</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فتات النفايات البلدية والتجارية والصناعية</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&lt;0,01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1,4</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0,03</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فتات النفايات الصناعية</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0,25</w:t>
            </w: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فتات النفايات البلدية</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0,26</w:t>
            </w: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اللحم ومسحوق العظام</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0,02</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الحمأة البلدية</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0,3</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2,5</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0,31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1,45</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1</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5</w:t>
            </w:r>
          </w:p>
        </w:tc>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2,6</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وقود سائل مشتق من النفايات</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&lt;0,06</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0,22</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وقود صلب مشتق من النفايات</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&lt;0,07</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2,77</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r>
      <w:tr w:rsidR="00335E4B" w:rsidRPr="00335E4B" w:rsidTr="00D002D1">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lang w:eastAsia="de-DE"/>
              </w:rPr>
            </w:pPr>
            <w:r w:rsidRPr="00335E4B">
              <w:rPr>
                <w:rFonts w:ascii="Traditional Arabic" w:hAnsi="Traditional Arabic" w:cs="Traditional Arabic"/>
                <w:sz w:val="20"/>
                <w:szCs w:val="20"/>
                <w:rtl/>
                <w:lang w:eastAsia="de-DE"/>
              </w:rPr>
              <w:t>طفل زيتي (أيضاً مادة خام)</w:t>
            </w:r>
          </w:p>
        </w:tc>
        <w:tc>
          <w:tcPr>
            <w:tcW w:w="683"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0,05</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0,3</w:t>
            </w:r>
          </w:p>
        </w:tc>
        <w:tc>
          <w:tcPr>
            <w:tcW w:w="612"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0,2</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0,05</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0,3</w:t>
            </w:r>
          </w:p>
        </w:tc>
        <w:tc>
          <w:tcPr>
            <w:tcW w:w="68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09"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42" w:type="dxa"/>
            <w:tcBorders>
              <w:top w:val="single" w:sz="4" w:space="0" w:color="auto"/>
              <w:left w:val="single" w:sz="4" w:space="0" w:color="auto"/>
              <w:bottom w:val="single" w:sz="4" w:space="0" w:color="auto"/>
              <w:right w:val="single" w:sz="4" w:space="0" w:color="auto"/>
            </w:tcBorders>
            <w:shd w:val="clear" w:color="auto" w:fill="auto"/>
          </w:tcPr>
          <w:p w:rsidR="00335E4B" w:rsidRPr="00335E4B" w:rsidRDefault="00335E4B" w:rsidP="00335E4B">
            <w:pPr>
              <w:rPr>
                <w:rFonts w:ascii="Traditional Arabic" w:hAnsi="Traditional Arabic" w:cs="Traditional Arabic"/>
                <w:sz w:val="20"/>
                <w:szCs w:val="20"/>
                <w:rtl/>
                <w:lang w:val="fr-CA" w:eastAsia="fr-CA"/>
              </w:rPr>
            </w:pPr>
          </w:p>
        </w:tc>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335E4B" w:rsidRPr="00335E4B" w:rsidRDefault="00335E4B" w:rsidP="00335E4B">
            <w:pPr>
              <w:rPr>
                <w:rFonts w:ascii="Traditional Arabic" w:hAnsi="Traditional Arabic" w:cs="Traditional Arabic"/>
                <w:sz w:val="20"/>
                <w:szCs w:val="20"/>
                <w:rtl/>
                <w:lang w:val="fr-CA" w:eastAsia="fr-CA"/>
              </w:rPr>
            </w:pPr>
            <w:r w:rsidRPr="00335E4B">
              <w:rPr>
                <w:rFonts w:ascii="Traditional Arabic" w:eastAsia="Calibri" w:hAnsi="Traditional Arabic" w:cs="Traditional Arabic"/>
                <w:sz w:val="20"/>
                <w:szCs w:val="20"/>
                <w:rtl/>
                <w:lang w:val="fr-CA"/>
              </w:rPr>
              <w:t>0,057</w:t>
            </w:r>
          </w:p>
        </w:tc>
      </w:tr>
    </w:tbl>
    <w:p w:rsidR="00D97FFB" w:rsidRDefault="00D97FFB" w:rsidP="00D97FFB">
      <w:pPr>
        <w:tabs>
          <w:tab w:val="left" w:pos="1247"/>
          <w:tab w:val="left" w:pos="1814"/>
          <w:tab w:val="left" w:pos="2381"/>
          <w:tab w:val="left" w:pos="2948"/>
          <w:tab w:val="left" w:pos="3515"/>
        </w:tabs>
        <w:spacing w:before="120" w:after="100" w:afterAutospacing="1" w:line="276" w:lineRule="auto"/>
        <w:contextualSpacing/>
        <w:rPr>
          <w:rFonts w:ascii="Traditional Arabic" w:hAnsi="Traditional Arabic" w:cs="Traditional Arabic"/>
          <w:bCs/>
          <w:i/>
          <w:noProof/>
          <w:sz w:val="20"/>
          <w:szCs w:val="24"/>
          <w:rtl/>
        </w:rPr>
      </w:pPr>
    </w:p>
    <w:p w:rsidR="00D97FFB" w:rsidRPr="00D97FFB" w:rsidRDefault="00335E4B" w:rsidP="002A1FFA">
      <w:pPr>
        <w:tabs>
          <w:tab w:val="left" w:pos="1247"/>
          <w:tab w:val="left" w:pos="1814"/>
          <w:tab w:val="left" w:pos="2381"/>
          <w:tab w:val="left" w:pos="2948"/>
          <w:tab w:val="left" w:pos="3515"/>
        </w:tabs>
        <w:spacing w:before="120" w:after="120" w:line="360" w:lineRule="exact"/>
        <w:contextualSpacing/>
        <w:rPr>
          <w:rFonts w:ascii="Traditional Arabic" w:hAnsi="Traditional Arabic" w:cs="Traditional Arabic"/>
          <w:bCs/>
          <w:i/>
          <w:noProof/>
          <w:sz w:val="30"/>
          <w:szCs w:val="30"/>
          <w:rtl/>
        </w:rPr>
      </w:pPr>
      <w:r w:rsidRPr="00D97FFB">
        <w:rPr>
          <w:rFonts w:ascii="Traditional Arabic" w:hAnsi="Traditional Arabic" w:cs="Traditional Arabic" w:hint="cs"/>
          <w:bCs/>
          <w:i/>
          <w:noProof/>
          <w:sz w:val="30"/>
          <w:szCs w:val="30"/>
          <w:rtl/>
        </w:rPr>
        <w:t>الجدول 1</w:t>
      </w:r>
      <w:r w:rsidR="00D97FFB" w:rsidRPr="00D97FFB">
        <w:rPr>
          <w:rFonts w:ascii="Traditional Arabic" w:hAnsi="Traditional Arabic" w:cs="Traditional Arabic" w:hint="cs"/>
          <w:bCs/>
          <w:i/>
          <w:noProof/>
          <w:sz w:val="30"/>
          <w:szCs w:val="30"/>
          <w:rtl/>
        </w:rPr>
        <w:t>-</w:t>
      </w:r>
    </w:p>
    <w:p w:rsidR="00335E4B" w:rsidRPr="00D97FFB" w:rsidRDefault="00335E4B" w:rsidP="002A1FFA">
      <w:pPr>
        <w:tabs>
          <w:tab w:val="left" w:pos="1247"/>
          <w:tab w:val="left" w:pos="1814"/>
          <w:tab w:val="left" w:pos="2381"/>
          <w:tab w:val="left" w:pos="2948"/>
          <w:tab w:val="left" w:pos="3515"/>
        </w:tabs>
        <w:spacing w:after="120" w:line="340" w:lineRule="exact"/>
        <w:contextualSpacing/>
        <w:rPr>
          <w:rFonts w:ascii="Traditional Arabic" w:hAnsi="Traditional Arabic" w:cs="Traditional Arabic"/>
          <w:bCs/>
          <w:i/>
          <w:noProof/>
          <w:sz w:val="30"/>
          <w:szCs w:val="30"/>
          <w:rtl/>
        </w:rPr>
      </w:pPr>
      <w:r w:rsidRPr="00D97FFB">
        <w:rPr>
          <w:rFonts w:ascii="Traditional Arabic" w:hAnsi="Traditional Arabic" w:cs="Traditional Arabic" w:hint="cs"/>
          <w:bCs/>
          <w:i/>
          <w:noProof/>
          <w:sz w:val="30"/>
          <w:szCs w:val="30"/>
          <w:rtl/>
        </w:rPr>
        <w:t>متوسط قيم ونطاقات محتوى الزئبق في المواد الخام الطبيعية والبديلة وأنواع الوقود التقليدية والبديلة وفقاً لمختلف المصادر،</w:t>
      </w:r>
    </w:p>
    <w:p w:rsidR="00335E4B" w:rsidRPr="00335E4B" w:rsidRDefault="00335E4B" w:rsidP="002A1FFA">
      <w:pPr>
        <w:tabs>
          <w:tab w:val="left" w:pos="1247"/>
          <w:tab w:val="left" w:pos="1814"/>
          <w:tab w:val="left" w:pos="2381"/>
          <w:tab w:val="left" w:pos="2948"/>
          <w:tab w:val="left" w:pos="3515"/>
        </w:tabs>
        <w:spacing w:before="120" w:after="100" w:afterAutospacing="1" w:line="276" w:lineRule="auto"/>
        <w:contextualSpacing/>
        <w:jc w:val="both"/>
        <w:rPr>
          <w:rFonts w:ascii="Traditional Arabic" w:hAnsi="Traditional Arabic" w:cs="Traditional Arabic"/>
          <w:bCs/>
          <w:i/>
          <w:noProof/>
          <w:sz w:val="20"/>
          <w:szCs w:val="24"/>
          <w:rtl/>
        </w:rPr>
      </w:pPr>
      <w:r w:rsidRPr="002A1FFA">
        <w:rPr>
          <w:rFonts w:ascii="Traditional Arabic" w:hAnsi="Traditional Arabic" w:cs="Traditional Arabic" w:hint="cs"/>
          <w:bCs/>
          <w:i/>
          <w:noProof/>
          <w:sz w:val="30"/>
          <w:szCs w:val="30"/>
          <w:rtl/>
        </w:rPr>
        <w:t xml:space="preserve">القيم هي جزء من المليون </w:t>
      </w:r>
      <w:r w:rsidRPr="00335E4B">
        <w:rPr>
          <w:rFonts w:ascii="Traditional Arabic" w:hAnsi="Traditional Arabic" w:cs="Traditional Arabic" w:hint="cs"/>
          <w:bCs/>
          <w:i/>
          <w:noProof/>
          <w:sz w:val="20"/>
          <w:szCs w:val="24"/>
          <w:rtl/>
        </w:rPr>
        <w:t>(</w:t>
      </w:r>
      <w:r w:rsidRPr="00335E4B">
        <w:rPr>
          <w:rFonts w:cs="Times New Roman"/>
          <w:b/>
          <w:iCs/>
          <w:noProof/>
          <w:sz w:val="20"/>
          <w:szCs w:val="22"/>
        </w:rPr>
        <w:t>ppm</w:t>
      </w:r>
      <w:r w:rsidRPr="00335E4B">
        <w:rPr>
          <w:rFonts w:ascii="Traditional Arabic" w:hAnsi="Traditional Arabic" w:cs="Traditional Arabic" w:hint="cs"/>
          <w:bCs/>
          <w:i/>
          <w:noProof/>
          <w:sz w:val="20"/>
          <w:szCs w:val="24"/>
          <w:rtl/>
        </w:rPr>
        <w:t>)</w:t>
      </w:r>
    </w:p>
    <w:p w:rsidR="00335E4B" w:rsidRPr="00335E4B" w:rsidRDefault="00335E4B" w:rsidP="00335E4B">
      <w:pPr>
        <w:tabs>
          <w:tab w:val="left" w:pos="1247"/>
          <w:tab w:val="left" w:pos="1814"/>
          <w:tab w:val="left" w:pos="2381"/>
          <w:tab w:val="left" w:pos="2948"/>
          <w:tab w:val="left" w:pos="3515"/>
        </w:tabs>
        <w:spacing w:before="120" w:after="120" w:line="276" w:lineRule="auto"/>
        <w:jc w:val="both"/>
        <w:rPr>
          <w:rFonts w:cs="Times New Roman"/>
          <w:noProof/>
          <w:sz w:val="20"/>
          <w:szCs w:val="22"/>
          <w:lang w:val="de-CH"/>
        </w:rPr>
      </w:pPr>
      <w:r w:rsidRPr="00335E4B">
        <w:rPr>
          <w:rFonts w:cs="Times New Roman"/>
          <w:noProof/>
          <w:sz w:val="20"/>
          <w:szCs w:val="22"/>
          <w:lang w:val="de-CH"/>
        </w:rPr>
        <w:t xml:space="preserve">Legend: Min – minimum; Max – maximum; Av – average </w:t>
      </w:r>
    </w:p>
    <w:p w:rsidR="00335E4B" w:rsidRPr="00335E4B" w:rsidRDefault="00335E4B" w:rsidP="002A1FFA">
      <w:pPr>
        <w:keepNext/>
        <w:spacing w:after="120" w:line="400" w:lineRule="exact"/>
        <w:ind w:left="851" w:hanging="851"/>
        <w:jc w:val="both"/>
        <w:outlineLvl w:val="3"/>
        <w:rPr>
          <w:rFonts w:cs="Traditional Arabic"/>
          <w:b/>
          <w:bCs/>
          <w:sz w:val="30"/>
          <w:szCs w:val="30"/>
          <w:rtl/>
        </w:rPr>
      </w:pPr>
      <w:r w:rsidRPr="00335E4B">
        <w:rPr>
          <w:rFonts w:cs="Traditional Arabic" w:hint="cs"/>
          <w:b/>
          <w:bCs/>
          <w:sz w:val="30"/>
          <w:szCs w:val="30"/>
          <w:rtl/>
        </w:rPr>
        <w:t>سلوك الزئبق وتوازناته</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بسبب التطاير العالي للزئبق الأولي ومعظم مركبات الزئبق يكون محتوى الزئبق في كريات الكلنكر صفراً أو ضئيلاً للغاية </w:t>
      </w:r>
      <w:r w:rsidRPr="002A1FFA">
        <w:rPr>
          <w:rFonts w:asciiTheme="majorBidi" w:hAnsiTheme="majorBidi" w:cstheme="majorBidi"/>
          <w:sz w:val="16"/>
          <w:szCs w:val="16"/>
          <w:rtl/>
          <w:lang w:val="en-GB"/>
        </w:rPr>
        <w:t>(</w:t>
      </w:r>
      <w:r w:rsidRPr="002A1FFA">
        <w:rPr>
          <w:rFonts w:asciiTheme="majorBidi" w:hAnsiTheme="majorBidi" w:cstheme="majorBidi"/>
          <w:noProof/>
          <w:sz w:val="16"/>
          <w:szCs w:val="16"/>
          <w:lang w:val="de-CH"/>
        </w:rPr>
        <w:t>Weisweiler/Keller, 1992; Kirchartz, 1994, pp 57 and 63; Locher, 2000, p 156; Eriksen et al., 2007; Renzoni et al., 2010, pp 57, X and XIII</w:t>
      </w:r>
      <w:r w:rsidRPr="002A1FFA">
        <w:rPr>
          <w:rFonts w:asciiTheme="majorBidi" w:hAnsiTheme="majorBidi" w:cstheme="majorBidi"/>
          <w:sz w:val="16"/>
          <w:szCs w:val="16"/>
          <w:rtl/>
          <w:lang w:val="en-GB"/>
        </w:rPr>
        <w:t>)</w:t>
      </w:r>
      <w:r w:rsidRPr="00335E4B">
        <w:rPr>
          <w:rFonts w:cs="Traditional Arabic" w:hint="cs"/>
          <w:sz w:val="30"/>
          <w:szCs w:val="30"/>
          <w:rtl/>
          <w:lang w:val="en-GB"/>
        </w:rPr>
        <w:t>. وعند حرق المواد الخام والوقود يتصاعد الزئبق وتتشكل دورة زئبق خارجية.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ونتيجةً لهذه الدورة الخارجية يتركز الزئبق بين جهاز التسخين المسبق وأجهزة تقليل الغبار (جهاز الترسيب الكهروستاتيكي أو المرشح الكيسي)، كثيراً ما يسمى ببساطة مرشح الغبار. بيد أن جزءاً من الزئبق ينبعث دائماً مع غاز المداخن من الفرن. وفي حال عدم طرح أي غبار من المرشح فإن جميع مدخلات الزئبق تقريباً ستنبعث في النهاية مع غاز المداخن </w:t>
      </w:r>
      <w:r w:rsidRPr="002A1FFA">
        <w:rPr>
          <w:rFonts w:asciiTheme="majorBidi" w:hAnsiTheme="majorBidi" w:cstheme="majorBidi"/>
          <w:sz w:val="20"/>
          <w:szCs w:val="20"/>
          <w:rtl/>
          <w:lang w:val="en-GB"/>
        </w:rPr>
        <w:t>(</w:t>
      </w:r>
      <w:r w:rsidRPr="002A1FFA">
        <w:rPr>
          <w:rFonts w:asciiTheme="majorBidi" w:hAnsiTheme="majorBidi" w:cstheme="majorBidi"/>
          <w:noProof/>
          <w:sz w:val="20"/>
          <w:szCs w:val="20"/>
        </w:rPr>
        <w:t>Weisweiler/Keller, 1992; Paone, 2008; Linero, 2011; ECRA, 2013</w:t>
      </w:r>
      <w:r w:rsidRPr="002A1FFA">
        <w:rPr>
          <w:rFonts w:asciiTheme="majorBidi" w:hAnsiTheme="majorBidi" w:cstheme="majorBidi"/>
          <w:sz w:val="20"/>
          <w:szCs w:val="20"/>
          <w:rtl/>
          <w:lang w:val="en-GB"/>
        </w:rPr>
        <w:t>)</w:t>
      </w:r>
      <w:r w:rsidRPr="00335E4B">
        <w:rPr>
          <w:rFonts w:cs="Traditional Arabic" w:hint="cs"/>
          <w:sz w:val="30"/>
          <w:szCs w:val="30"/>
          <w:rtl/>
          <w:lang w:val="en-GB"/>
        </w:rPr>
        <w:t>. والسبب في ذلك هو أن الزئبق لا ينتهي به المطاف في كريات الكلنكر حيث أن السبيل الوحيد لخروج الزئبق من النظام هو الانبعاث مع غاز المداخن. ولمعرفة كمية الزئبق في الدورة الخارجية ونسبة انبعاثاته مع غاز المداخن يتعين حساب توازنات الزئبق.</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ويجب التأكيد على أن تحقيق توازن في الزئبق يحتاج إلى وقت كبير نظراً لأنه يتعين تنفيذه في ظروف مستقرة قد يتطلب الوصول إليها زهاء الشهر (</w:t>
      </w:r>
      <w:r w:rsidRPr="00335E4B">
        <w:rPr>
          <w:rFonts w:cs="Times New Roman"/>
          <w:noProof/>
          <w:sz w:val="20"/>
          <w:szCs w:val="22"/>
        </w:rPr>
        <w:t>Paone, 2008</w:t>
      </w:r>
      <w:r w:rsidRPr="00335E4B">
        <w:rPr>
          <w:rFonts w:cs="Traditional Arabic" w:hint="cs"/>
          <w:sz w:val="30"/>
          <w:szCs w:val="30"/>
          <w:rtl/>
          <w:lang w:val="en-GB"/>
        </w:rPr>
        <w:t>). وبناءً على ذلك يجب تنفيذ التوازن لمدة أسبوع على الأقل حيث يلزم أخذ العينات بتواتر كبير (مثلاً أخذ متوسطات لكل ساعة) بهدف معرفة التباينات. وفي واقع الحال فإن فترة الدراسة الطويلة هذه لا يتم الالتزام بها غالباً.</w:t>
      </w:r>
    </w:p>
    <w:p w:rsidR="00335E4B" w:rsidRPr="00335E4B" w:rsidRDefault="00335E4B" w:rsidP="002A1FFA">
      <w:pPr>
        <w:spacing w:after="120" w:line="400" w:lineRule="exact"/>
        <w:jc w:val="both"/>
        <w:rPr>
          <w:rFonts w:cs="Traditional Arabic"/>
          <w:sz w:val="30"/>
          <w:szCs w:val="30"/>
          <w:rtl/>
          <w:lang w:val="en-GB"/>
        </w:rPr>
      </w:pPr>
      <w:r w:rsidRPr="00335E4B">
        <w:rPr>
          <w:rFonts w:cs="Traditional Arabic" w:hint="cs"/>
          <w:sz w:val="30"/>
          <w:szCs w:val="30"/>
          <w:rtl/>
          <w:lang w:val="en-GB"/>
        </w:rPr>
        <w:t>وقد نُشر توازن للزئبق في شكل مخططات سانكاي في عام 2002 (</w:t>
      </w:r>
      <w:r w:rsidRPr="00335E4B">
        <w:rPr>
          <w:rFonts w:cs="Times New Roman"/>
          <w:noProof/>
          <w:sz w:val="20"/>
          <w:szCs w:val="22"/>
        </w:rPr>
        <w:t>Schäfer/Hoenig, 2002</w:t>
      </w:r>
      <w:r w:rsidRPr="00335E4B">
        <w:rPr>
          <w:rFonts w:cs="Traditional Arabic" w:hint="cs"/>
          <w:sz w:val="30"/>
          <w:szCs w:val="30"/>
          <w:rtl/>
          <w:lang w:val="en-GB"/>
        </w:rPr>
        <w:t>) وجرت الإشارة إلى هذا التوازن في مرات عديدة (</w:t>
      </w:r>
      <w:r w:rsidRPr="00335E4B">
        <w:rPr>
          <w:rFonts w:cs="Times New Roman"/>
          <w:noProof/>
          <w:sz w:val="20"/>
          <w:szCs w:val="22"/>
        </w:rPr>
        <w:t>Oerter, 2007; Renzoni et al., 2010; Oerter/Zunzer, 2011; Zheng et al., 2012; Hoenig, 2013; ecra, 2013</w:t>
      </w:r>
      <w:r w:rsidRPr="00335E4B">
        <w:rPr>
          <w:rFonts w:cs="Traditional Arabic" w:hint="cs"/>
          <w:sz w:val="30"/>
          <w:szCs w:val="30"/>
          <w:rtl/>
          <w:lang w:val="en-GB"/>
        </w:rPr>
        <w:t>). وترد هذه المخططات في الشكل 4 أدناه. والمخطط هو نتاج لما يعرف بـ’’توازن الكتلة الخارجية‘‘ التي تمثل فيها المواد الخام وأنواع الوقود المدخلات، أما المخرجات فتشمل كريات الكلنكر والغبار المزال (في حالة تحويلة الكلور أو عند إزالة غبار المرشح) والانبعاثات إلى الهواء من الفرن، وطاحونة المواد الخام، والمبرد وتحويلة الكلور (</w:t>
      </w:r>
      <w:r w:rsidRPr="00335E4B">
        <w:rPr>
          <w:rFonts w:cs="Times New Roman"/>
          <w:noProof/>
          <w:sz w:val="20"/>
          <w:szCs w:val="22"/>
        </w:rPr>
        <w:t>Sprung, 1988</w:t>
      </w:r>
      <w:r w:rsidRPr="00335E4B">
        <w:rPr>
          <w:rFonts w:cs="Traditional Arabic" w:hint="cs"/>
          <w:sz w:val="30"/>
          <w:szCs w:val="30"/>
          <w:rtl/>
          <w:lang w:val="en-GB"/>
        </w:rPr>
        <w:t xml:space="preserve">). ويظهر المخطط على اليسار توازن </w:t>
      </w:r>
    </w:p>
    <w:p w:rsidR="00335E4B" w:rsidRPr="00335E4B" w:rsidRDefault="00335E4B" w:rsidP="00335E4B">
      <w:pPr>
        <w:tabs>
          <w:tab w:val="left" w:pos="1247"/>
          <w:tab w:val="left" w:pos="1814"/>
          <w:tab w:val="left" w:pos="2381"/>
          <w:tab w:val="left" w:pos="2948"/>
          <w:tab w:val="left" w:pos="3515"/>
        </w:tabs>
        <w:spacing w:before="120" w:after="120" w:line="23" w:lineRule="atLeast"/>
        <w:jc w:val="both"/>
        <w:rPr>
          <w:rFonts w:cs="Times New Roman"/>
          <w:noProof/>
          <w:sz w:val="20"/>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927"/>
      </w:tblGrid>
      <w:tr w:rsidR="00335E4B" w:rsidRPr="00335E4B" w:rsidTr="00D002D1">
        <w:trPr>
          <w:jc w:val="center"/>
        </w:trPr>
        <w:tc>
          <w:tcPr>
            <w:tcW w:w="4361" w:type="dxa"/>
            <w:shd w:val="clear" w:color="auto" w:fill="auto"/>
          </w:tcPr>
          <w:p w:rsidR="00335E4B" w:rsidRPr="00335E4B" w:rsidRDefault="00335E4B" w:rsidP="00335E4B">
            <w:pPr>
              <w:tabs>
                <w:tab w:val="left" w:pos="1247"/>
                <w:tab w:val="left" w:pos="1814"/>
                <w:tab w:val="left" w:pos="2381"/>
                <w:tab w:val="left" w:pos="2948"/>
                <w:tab w:val="left" w:pos="3515"/>
              </w:tabs>
              <w:spacing w:before="120" w:after="120" w:line="23" w:lineRule="atLeast"/>
              <w:jc w:val="both"/>
              <w:rPr>
                <w:rFonts w:cs="Times New Roman"/>
                <w:noProof/>
                <w:sz w:val="20"/>
                <w:szCs w:val="22"/>
              </w:rPr>
            </w:pPr>
            <w:r>
              <w:rPr>
                <w:rFonts w:cs="Times New Roman"/>
                <w:noProof/>
                <w:sz w:val="20"/>
                <w:szCs w:val="22"/>
                <w:lang w:val="en-GB" w:eastAsia="zh-CN"/>
              </w:rPr>
              <w:drawing>
                <wp:inline distT="0" distB="0" distL="0" distR="0" wp14:anchorId="3806F604" wp14:editId="7E18C9CC">
                  <wp:extent cx="2609215" cy="155194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09215" cy="1551940"/>
                          </a:xfrm>
                          <a:prstGeom prst="rect">
                            <a:avLst/>
                          </a:prstGeom>
                          <a:noFill/>
                          <a:ln>
                            <a:noFill/>
                          </a:ln>
                        </pic:spPr>
                      </pic:pic>
                    </a:graphicData>
                  </a:graphic>
                </wp:inline>
              </w:drawing>
            </w:r>
          </w:p>
        </w:tc>
        <w:tc>
          <w:tcPr>
            <w:tcW w:w="4927" w:type="dxa"/>
            <w:shd w:val="clear" w:color="auto" w:fill="auto"/>
          </w:tcPr>
          <w:p w:rsidR="00335E4B" w:rsidRPr="00335E4B" w:rsidRDefault="00335E4B" w:rsidP="00335E4B">
            <w:pPr>
              <w:tabs>
                <w:tab w:val="left" w:pos="1247"/>
                <w:tab w:val="left" w:pos="1814"/>
                <w:tab w:val="left" w:pos="2381"/>
                <w:tab w:val="left" w:pos="2948"/>
                <w:tab w:val="left" w:pos="3515"/>
              </w:tabs>
              <w:spacing w:before="120" w:after="120" w:line="23" w:lineRule="atLeast"/>
              <w:jc w:val="both"/>
              <w:rPr>
                <w:rFonts w:cs="Times New Roman"/>
                <w:noProof/>
                <w:sz w:val="20"/>
                <w:szCs w:val="22"/>
              </w:rPr>
            </w:pPr>
            <w:r>
              <w:rPr>
                <w:rFonts w:cs="Times New Roman"/>
                <w:noProof/>
                <w:sz w:val="20"/>
                <w:szCs w:val="22"/>
                <w:lang w:val="en-GB" w:eastAsia="zh-CN"/>
              </w:rPr>
              <w:drawing>
                <wp:inline distT="0" distB="0" distL="0" distR="0" wp14:anchorId="180288DA" wp14:editId="3448E2D8">
                  <wp:extent cx="3057525" cy="155194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57525" cy="1551940"/>
                          </a:xfrm>
                          <a:prstGeom prst="rect">
                            <a:avLst/>
                          </a:prstGeom>
                          <a:noFill/>
                          <a:ln>
                            <a:noFill/>
                          </a:ln>
                        </pic:spPr>
                      </pic:pic>
                    </a:graphicData>
                  </a:graphic>
                </wp:inline>
              </w:drawing>
            </w:r>
          </w:p>
        </w:tc>
      </w:tr>
    </w:tbl>
    <w:p w:rsidR="002A1FFA" w:rsidRDefault="002A1FFA" w:rsidP="002A1FFA">
      <w:pPr>
        <w:tabs>
          <w:tab w:val="left" w:pos="1247"/>
          <w:tab w:val="left" w:pos="1814"/>
          <w:tab w:val="left" w:pos="2381"/>
          <w:tab w:val="left" w:pos="2948"/>
          <w:tab w:val="left" w:pos="3515"/>
        </w:tabs>
        <w:spacing w:before="360" w:after="120" w:line="400" w:lineRule="exact"/>
        <w:contextualSpacing/>
        <w:jc w:val="both"/>
        <w:rPr>
          <w:rFonts w:ascii="Traditional Arabic" w:hAnsi="Traditional Arabic" w:cs="Traditional Arabic"/>
          <w:bCs/>
          <w:i/>
          <w:noProof/>
          <w:sz w:val="30"/>
          <w:szCs w:val="30"/>
          <w:rtl/>
        </w:rPr>
      </w:pPr>
    </w:p>
    <w:p w:rsidR="00335E4B" w:rsidRPr="00335E4B" w:rsidRDefault="00335E4B" w:rsidP="002A1FFA">
      <w:pPr>
        <w:tabs>
          <w:tab w:val="left" w:pos="1247"/>
          <w:tab w:val="left" w:pos="1814"/>
          <w:tab w:val="left" w:pos="2381"/>
          <w:tab w:val="left" w:pos="2948"/>
          <w:tab w:val="left" w:pos="3515"/>
        </w:tabs>
        <w:spacing w:before="120" w:after="120" w:line="400" w:lineRule="exact"/>
        <w:contextualSpacing/>
        <w:jc w:val="both"/>
        <w:rPr>
          <w:rFonts w:ascii="Traditional Arabic" w:hAnsi="Traditional Arabic" w:cs="Traditional Arabic"/>
          <w:bCs/>
          <w:i/>
          <w:noProof/>
          <w:sz w:val="20"/>
          <w:szCs w:val="24"/>
          <w:rtl/>
        </w:rPr>
      </w:pPr>
      <w:r w:rsidRPr="002A1FFA">
        <w:rPr>
          <w:rFonts w:ascii="Traditional Arabic" w:hAnsi="Traditional Arabic" w:cs="Traditional Arabic" w:hint="cs"/>
          <w:bCs/>
          <w:i/>
          <w:noProof/>
          <w:sz w:val="30"/>
          <w:szCs w:val="30"/>
          <w:rtl/>
        </w:rPr>
        <w:t>الشكل 4</w:t>
      </w:r>
      <w:r w:rsidR="00E439A9" w:rsidRPr="002A1FFA">
        <w:rPr>
          <w:rFonts w:ascii="Traditional Arabic" w:hAnsi="Traditional Arabic" w:cs="Traditional Arabic" w:hint="cs"/>
          <w:bCs/>
          <w:i/>
          <w:noProof/>
          <w:sz w:val="30"/>
          <w:szCs w:val="30"/>
          <w:rtl/>
        </w:rPr>
        <w:t>.</w:t>
      </w:r>
      <w:r w:rsidRPr="002A1FFA">
        <w:rPr>
          <w:rFonts w:ascii="Traditional Arabic" w:hAnsi="Traditional Arabic" w:cs="Traditional Arabic" w:hint="cs"/>
          <w:bCs/>
          <w:i/>
          <w:noProof/>
          <w:sz w:val="30"/>
          <w:szCs w:val="30"/>
          <w:rtl/>
        </w:rPr>
        <w:t xml:space="preserve"> مخططات سانكاي لتوازن الزئبق في منشأة لإنتاج كريات الكلنكر مع إزالة غبار المرشح وبدون إزالته </w:t>
      </w:r>
      <w:r w:rsidRPr="002A1FFA">
        <w:rPr>
          <w:rFonts w:asciiTheme="majorBidi" w:hAnsiTheme="majorBidi" w:cstheme="majorBidi"/>
          <w:bCs/>
          <w:i/>
          <w:noProof/>
          <w:sz w:val="20"/>
          <w:szCs w:val="20"/>
          <w:rtl/>
        </w:rPr>
        <w:t>(</w:t>
      </w:r>
      <w:r w:rsidRPr="002A1FFA">
        <w:rPr>
          <w:rFonts w:asciiTheme="majorBidi" w:hAnsiTheme="majorBidi" w:cstheme="majorBidi"/>
          <w:b/>
          <w:iCs/>
          <w:noProof/>
          <w:sz w:val="20"/>
          <w:szCs w:val="20"/>
        </w:rPr>
        <w:t>Schaefer/Hoenig, 2002</w:t>
      </w:r>
      <w:r w:rsidRPr="002A1FFA">
        <w:rPr>
          <w:rFonts w:asciiTheme="majorBidi" w:hAnsiTheme="majorBidi" w:cstheme="majorBidi"/>
          <w:bCs/>
          <w:i/>
          <w:noProof/>
          <w:sz w:val="20"/>
          <w:szCs w:val="20"/>
          <w:rtl/>
        </w:rPr>
        <w:t>)</w:t>
      </w:r>
    </w:p>
    <w:p w:rsidR="00335E4B" w:rsidRPr="00335E4B" w:rsidRDefault="00335E4B" w:rsidP="002A1FFA">
      <w:pPr>
        <w:spacing w:before="120" w:after="120" w:line="400" w:lineRule="exact"/>
        <w:jc w:val="both"/>
        <w:rPr>
          <w:rFonts w:cs="Traditional Arabic"/>
          <w:sz w:val="30"/>
          <w:szCs w:val="30"/>
          <w:rtl/>
          <w:lang w:val="en-GB"/>
        </w:rPr>
      </w:pPr>
      <w:r w:rsidRPr="00335E4B">
        <w:rPr>
          <w:rFonts w:cs="Traditional Arabic" w:hint="cs"/>
          <w:sz w:val="30"/>
          <w:szCs w:val="30"/>
          <w:rtl/>
          <w:lang w:val="en-GB"/>
        </w:rPr>
        <w:t>وجرى تنفيذ توازن الزئبق من خلال عمليات رصد مستمرة للزئبق في المدخنة ومن خلال أخذ مئات العينات الصلبة (</w:t>
      </w:r>
      <w:r w:rsidRPr="00335E4B">
        <w:rPr>
          <w:rFonts w:cs="Times New Roman"/>
          <w:noProof/>
          <w:sz w:val="20"/>
          <w:szCs w:val="22"/>
        </w:rPr>
        <w:t>Schäfer/Hoenig, 2001</w:t>
      </w:r>
      <w:r w:rsidRPr="00335E4B">
        <w:rPr>
          <w:rFonts w:cs="Traditional Arabic" w:hint="cs"/>
          <w:sz w:val="30"/>
          <w:szCs w:val="30"/>
          <w:rtl/>
          <w:lang w:val="en-GB"/>
        </w:rPr>
        <w:t>). ويشير المخطط الأيسر في الشكل 4 إلى أنه خلال فترة تنفيذ التوازن انبعثت فقط نصف مدخلات الزئبق. بيد أنه في غياب التحكم سينبعث الزئبق كله في نهاية الأمر عبر المدخنة.</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ويبين المخطط في الجانب الأيمن أن دورة الزئبق تُخفَّض بإزالة غبار المرشح من النظام.</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ويشير الشكل 4 أيضاً إلى أن صومعة تلقيم الفرن تمثل مستودعاً كبيراً للزئبق.</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وفي كلتا الحالتين فإن فاقد التوازن يمثل الزئبق المخزَّن في مستودع الفرن أثناء فترة تحقيق التوازن وأوجه عدم اليقين المرتبطة بتحديد جميع التدفقات الكتلية (للمدخلات والمخرجات) وتركيزات الزئبق.</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 xml:space="preserve">ويرد في التذييل المزيد من التفاصيل عن سلوك الزئبق في منشآت إنتاج كريات الكلنكر. </w:t>
      </w:r>
    </w:p>
    <w:p w:rsidR="00335E4B" w:rsidRPr="00335E4B" w:rsidRDefault="00335E4B" w:rsidP="00E439A9">
      <w:pPr>
        <w:spacing w:after="120" w:line="400" w:lineRule="exact"/>
        <w:rPr>
          <w:rFonts w:cs="Traditional Arabic"/>
          <w:b/>
          <w:bCs/>
          <w:sz w:val="32"/>
          <w:szCs w:val="32"/>
          <w:rtl/>
          <w:lang w:val="en-GB"/>
        </w:rPr>
      </w:pPr>
      <w:r w:rsidRPr="00335E4B">
        <w:rPr>
          <w:rFonts w:cs="Traditional Arabic" w:hint="cs"/>
          <w:b/>
          <w:bCs/>
          <w:sz w:val="32"/>
          <w:szCs w:val="32"/>
          <w:rtl/>
          <w:lang w:val="en-GB"/>
        </w:rPr>
        <w:t>تدابير التحكم في انبعاثات الزئبق</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يصف هذا الفرع تدابير التحكم المطبقة على المصادر القائمة والجديدة والرامية إلى تخفيض انبعاثات الزئبق إلى الجو من عملية إنتاج كريات الكلنكر. وتعتبر تدابير التحكم في الانبعاثات تدابير إضافية أو تدابير تستخدم بالاقتران مع تدابير التحكم في الانبعاثات التي أشير إليها في الفرع الافتتاحي للوثيقة التوجيهية بشأن أفضل التقنيات المتاحة/أفضل الممارسات البيئية على أنها تدابير تحكم عامة في الانبعاثات من جميع فئات المصادر.</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ويمكن باستخدام تقنيات رصد الانبعاثات المحددة في الفرع 5 من هذا الفصل والفرع الافتتاحي في الوثيقة التوجيهية بشأن أفضل التقنيات المتاحة/أفضل الممارسات البيئية تحديد مستوى التحكم في الزئبق أو خفضه في عملية إنتاج كريات الكلنكر التي يُطبَّق فيها واحد أو أكثر من التدابير المبينة هنا.</w:t>
      </w:r>
    </w:p>
    <w:p w:rsidR="00335E4B" w:rsidRPr="00335E4B" w:rsidRDefault="00335E4B" w:rsidP="00335E4B">
      <w:pPr>
        <w:keepNext/>
        <w:spacing w:before="120" w:after="120" w:line="400" w:lineRule="exact"/>
        <w:ind w:left="707" w:hanging="709"/>
        <w:jc w:val="both"/>
        <w:outlineLvl w:val="3"/>
        <w:rPr>
          <w:rFonts w:cs="Traditional Arabic"/>
          <w:b/>
          <w:bCs/>
          <w:sz w:val="30"/>
          <w:szCs w:val="30"/>
          <w:rtl/>
        </w:rPr>
      </w:pPr>
      <w:r w:rsidRPr="00335E4B">
        <w:rPr>
          <w:rFonts w:cs="Traditional Arabic" w:hint="cs"/>
          <w:b/>
          <w:bCs/>
          <w:sz w:val="30"/>
          <w:szCs w:val="30"/>
          <w:rtl/>
        </w:rPr>
        <w:t>التدابير الأولية</w:t>
      </w:r>
    </w:p>
    <w:p w:rsidR="00335E4B" w:rsidRPr="00335E4B" w:rsidRDefault="00335E4B" w:rsidP="00335E4B">
      <w:pPr>
        <w:keepNext/>
        <w:spacing w:before="120" w:after="120" w:line="400" w:lineRule="exact"/>
        <w:ind w:left="991" w:hanging="993"/>
        <w:jc w:val="both"/>
        <w:outlineLvl w:val="3"/>
        <w:rPr>
          <w:rFonts w:cs="Traditional Arabic"/>
          <w:b/>
          <w:bCs/>
          <w:sz w:val="30"/>
          <w:szCs w:val="30"/>
          <w:rtl/>
        </w:rPr>
      </w:pPr>
      <w:r w:rsidRPr="00335E4B">
        <w:rPr>
          <w:rFonts w:cs="Traditional Arabic" w:hint="cs"/>
          <w:b/>
          <w:bCs/>
          <w:sz w:val="30"/>
          <w:szCs w:val="30"/>
          <w:rtl/>
        </w:rPr>
        <w:t>التحكم في المدخلات</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يدخل الزئبق إلى نظام الفرن في شكل عنصر نزر موجود بصورة طبيعية في المواد الخام، وإلى حد أقل، في أنواع الوقود. ويمثل الاختيار لجميع المواد الداخلة إلى الفرن والتحكم بها بهدف تخفيض مدخلات الزئبق، وكذلك استخدام الأجهزة الفعالة للتحكم في التلوث الجوي من الأمور المهمة للغاية لخفض انبعاثات الزئبق من مرافق إنتاج كريات الكلنكر.</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ويمكن للكثير من الأفران خفض الانبعثات من خلال استبدال مكونات بعينها مثل الطين أو الرمل بمواد خام تحتوي على مستويات أقل من الزئبق مقارنةً بالمواد المستخدمة في الوقت الحالي. ولا يرجح استبدال المادة الخام الأساسية وهي الحجر الجيري على استبدال المواد المضافة الأخرى. فالحجر الجيري يشكل ما نسبته 75 إلى 100 في المائة من المادة الخام المستخدمة في إنتاج كريات الكلنكر، ولأسباب اقتصادية تشيد معظم المنشآت في مواقع مصادر الحجر الجيري. ولن يكون شراء الحجر الجيري من مناطق أخرى مجدياً من الناحية الاقتصادية بسبب تكاليف النقل. وإضافةً إلى ذلك تكون محاجر الحجر الجيري مملوكة في أغلب الأحيان لمنشأة إنتاج الإسمنت أو الشركة الأم ولذلك لا تكون متاحة لمنشآت إنتاج الإسمنت الأخرى المملوكة لجهات أخرى. وتكتسب خصائص الحجر الجيري، بما في ذلك محتواه من الزئبق، أهمية خاصة عند اختيار موقع أي مرفق جديد. </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وتتفاوت تركيزات الزئبق في المواد الخام (الحجر الجيري أو التراب الكلسي أو الطين) بشكل كبير من محجر إلى آخر. وهناك حالات تتفاوت فيها تركيزات الزئبق بشكل كبير داخل عرق ترسيب واحد ولذلك يلزم تعدين هذه الترسبات في بعض الأحيان بشكل انتقائي. وفي هذه الحالات يمكن، من حيث المبدأ، بعد الاستكشاف وإجراء التحليلات للمحجر تحديد أجزاء معينة من المحجر تحتوي على تركيزات أكبر من الزئبق ومن ثم استخدام الحجر الجيري من مناطق تكون التركيزات فيها أقل. بيد أنه في الكثير من الحالات يكون مثل هذا الإجراء معقداً للغاية ولا يمكن تنفيذه دائماً.</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أما المواد الخام الأخرى بخلاف الحجر الجيري (مثل الطين والصخر الطيني والرمل وركاز الحديد) فهي تُشترى عادةً من مصادر متعددة خارج الموقع وتنقل إلى المنشأة. ولذلك قد تتمتع المنشآت بإمكانية الوصول إلى مواد ذات محتوى أقل من الزئبق رغم أنه يتعين تحديد مدى جدوى ذلك على أساس مميزات الموقع المحدد. وقد يلزم استخدام ما يعرف بالمواد ’’التصحيحية‘‘ ومنها البوكسيت أو ركاز الحديد أو الرمل لتعديل التركيب الكيميائي للخليط الخام لكي يلبي متطلبات العملية ومواصفات المنتج.</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وضمن نطاق محدود تحل المواد الخام البديلة محل المواد الخام الطبيعية ومواد التصحيح.</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وفي الحالات التي يؤدي فيها استخدام المواد الخام البديلة إلى حدوث زيادة كبيرة في كميات الزئبق الداخلة إلى النظام قد يتعين استبدالها بمواد بديلة أخرى. وعلى سبيل المثال قد يتميز الرماد المتطاير بمحتوى عال أو منخفض من الزئبق مقارنةً بالمواد الخام التي يحل محلها، ولذلك قد يتعين اختيار مصدر الرماد المتطاير بحذر.</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وتستخدم عملية إنتاج الإسمنت أنواع الوقود التقليدية مثل الفحم والغاز وكوك البترول والزيت، إضافةً إلى أنواع وقود بديلة مثل الإطارات وغيرها من أنواع الوقود المشتقة من النفايات. ولذلك تعتبر عملية اختيار أنواع الوقود، بما في ذلك أنواع الوقود البديلة، التي ينخفض محتواها من الزئبق، إلى جانب استخدام نظام لتأكيد الجودة لضمان ملاءمة خصائص الوقود المستخدم من الأمور المهمة للغاية من أجل تخفيض انبعاثات الزئبق من مرافق إنتاج كريات الكلنكر.</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وبشكل عام تحدَّد في تراخيص منشأة إنتاج الإسمنت المواد الخام وأنواع الوقود المشتقة من النفايات التي يسمح للمنشأة باستخدامها أو حرقها. ويمكن أن يكون محتوى الزئبق في المواد الخام وأنواع الوقود البديلة مقيداً أيضاً في التصريح الذي قد ينص كذلك على اشتراطات بإجراء تحاليل دورية وعلى أنه ينبغي الالتزام بحدود قصوى معينة، في حال تغيير المادة الخام أو الوقود. وعلى سبيل المثال ينص التصريح الممنوح لمنشأة سيمينتا (</w:t>
      </w:r>
      <w:r w:rsidRPr="00335E4B">
        <w:rPr>
          <w:rFonts w:cs="Times New Roman"/>
          <w:noProof/>
          <w:sz w:val="20"/>
          <w:szCs w:val="22"/>
        </w:rPr>
        <w:t>Cementa AB</w:t>
      </w:r>
      <w:r w:rsidRPr="00335E4B">
        <w:rPr>
          <w:rFonts w:cs="Traditional Arabic" w:hint="cs"/>
          <w:sz w:val="30"/>
          <w:szCs w:val="30"/>
          <w:rtl/>
          <w:lang w:val="en-GB"/>
        </w:rPr>
        <w:t>)، سلايت، السويد، على حد أقصى للزئبق يبلغ أقل من 2 جزئين من المليون في بعض أنواع الوقود المحددة المشتقة من النفايات مثل البلاستيك والإطارات والزيت العادم (</w:t>
      </w:r>
      <w:r w:rsidRPr="00335E4B">
        <w:rPr>
          <w:rFonts w:cs="Times New Roman"/>
          <w:noProof/>
          <w:sz w:val="20"/>
          <w:szCs w:val="22"/>
        </w:rPr>
        <w:t>Permit Cementa AB, 2007</w:t>
      </w:r>
      <w:r w:rsidRPr="00335E4B">
        <w:rPr>
          <w:rFonts w:cs="Traditional Arabic" w:hint="cs"/>
          <w:sz w:val="30"/>
          <w:szCs w:val="30"/>
          <w:rtl/>
          <w:lang w:val="en-GB"/>
        </w:rPr>
        <w:t>).</w:t>
      </w:r>
    </w:p>
    <w:p w:rsidR="00335E4B" w:rsidRDefault="00335E4B" w:rsidP="00335E4B">
      <w:pPr>
        <w:jc w:val="both"/>
        <w:rPr>
          <w:rFonts w:cs="Traditional Arabic"/>
          <w:sz w:val="30"/>
          <w:szCs w:val="30"/>
          <w:rtl/>
          <w:lang w:val="en-GB"/>
        </w:rPr>
      </w:pPr>
      <w:r w:rsidRPr="00335E4B">
        <w:rPr>
          <w:rFonts w:cs="Traditional Arabic" w:hint="cs"/>
          <w:sz w:val="30"/>
          <w:szCs w:val="30"/>
          <w:rtl/>
          <w:lang w:val="en-GB"/>
        </w:rPr>
        <w:t>وترد في الجدول 2 أمثلة للقيم القصوى لمحتوى الزئبق في النفايات المستخدمة في منشآت إنتاج الإسمنت في بعض البلدان.</w:t>
      </w:r>
    </w:p>
    <w:p w:rsidR="00E439A9" w:rsidRDefault="00E439A9" w:rsidP="00335E4B">
      <w:pPr>
        <w:jc w:val="both"/>
        <w:rPr>
          <w:rFonts w:cs="Traditional Arabic"/>
          <w:sz w:val="30"/>
          <w:szCs w:val="30"/>
          <w:rtl/>
          <w:lang w:val="en-GB"/>
        </w:rPr>
      </w:pPr>
    </w:p>
    <w:p w:rsidR="002A1FFA" w:rsidRPr="002A1FFA" w:rsidRDefault="00E439A9" w:rsidP="002A1FFA">
      <w:pPr>
        <w:jc w:val="both"/>
        <w:rPr>
          <w:rFonts w:ascii="Traditional Arabic" w:hAnsi="Traditional Arabic" w:cs="Traditional Arabic"/>
          <w:bCs/>
          <w:i/>
          <w:noProof/>
          <w:sz w:val="30"/>
          <w:szCs w:val="30"/>
          <w:rtl/>
        </w:rPr>
      </w:pPr>
      <w:r w:rsidRPr="002A1FFA">
        <w:rPr>
          <w:rFonts w:ascii="Traditional Arabic" w:hAnsi="Traditional Arabic" w:cs="Traditional Arabic"/>
          <w:bCs/>
          <w:i/>
          <w:noProof/>
          <w:sz w:val="30"/>
          <w:szCs w:val="30"/>
          <w:rtl/>
        </w:rPr>
        <w:t>الجدول 2:</w:t>
      </w:r>
    </w:p>
    <w:p w:rsidR="00E439A9" w:rsidRPr="002A1FFA" w:rsidRDefault="00E439A9" w:rsidP="002A1FFA">
      <w:pPr>
        <w:jc w:val="both"/>
        <w:rPr>
          <w:rFonts w:asciiTheme="majorBidi" w:hAnsiTheme="majorBidi" w:cstheme="majorBidi"/>
          <w:sz w:val="20"/>
          <w:szCs w:val="20"/>
          <w:rtl/>
          <w:lang w:val="en-GB"/>
        </w:rPr>
      </w:pPr>
      <w:r w:rsidRPr="002A1FFA">
        <w:rPr>
          <w:rFonts w:ascii="Traditional Arabic" w:hAnsi="Traditional Arabic" w:cs="Traditional Arabic" w:hint="cs"/>
          <w:bCs/>
          <w:i/>
          <w:noProof/>
          <w:sz w:val="30"/>
          <w:szCs w:val="30"/>
          <w:rtl/>
        </w:rPr>
        <w:t>أمثلة للقيم القصوى لمحتوى الزئبق في بعض النفايات المستخدمة في منشآت إنتاج الإسمنت، القيم هي ملغرام/كغ من المادة الجافة [جزء من المليون]</w:t>
      </w:r>
      <w:r w:rsidRPr="00335E4B">
        <w:rPr>
          <w:rFonts w:ascii="Traditional Arabic" w:hAnsi="Traditional Arabic" w:cs="Traditional Arabic" w:hint="cs"/>
          <w:bCs/>
          <w:i/>
          <w:noProof/>
          <w:sz w:val="20"/>
          <w:szCs w:val="24"/>
          <w:rtl/>
        </w:rPr>
        <w:t xml:space="preserve"> </w:t>
      </w:r>
      <w:r w:rsidRPr="002A1FFA">
        <w:rPr>
          <w:rFonts w:asciiTheme="majorBidi" w:hAnsiTheme="majorBidi" w:cstheme="majorBidi"/>
          <w:bCs/>
          <w:i/>
          <w:noProof/>
          <w:sz w:val="20"/>
          <w:szCs w:val="20"/>
          <w:rtl/>
        </w:rPr>
        <w:t>(</w:t>
      </w:r>
      <w:r w:rsidRPr="002A1FFA">
        <w:rPr>
          <w:rFonts w:asciiTheme="majorBidi" w:hAnsiTheme="majorBidi" w:cstheme="majorBidi"/>
          <w:b/>
          <w:iCs/>
          <w:noProof/>
          <w:sz w:val="20"/>
          <w:szCs w:val="20"/>
        </w:rPr>
        <w:t>BREF CLM, 2013</w:t>
      </w:r>
      <w:r w:rsidRPr="002A1FFA">
        <w:rPr>
          <w:rFonts w:asciiTheme="majorBidi" w:hAnsiTheme="majorBidi" w:cstheme="majorBidi"/>
          <w:bCs/>
          <w:i/>
          <w:noProof/>
          <w:sz w:val="20"/>
          <w:szCs w:val="20"/>
          <w:rtl/>
        </w:rPr>
        <w:t>)</w:t>
      </w:r>
    </w:p>
    <w:tbl>
      <w:tblPr>
        <w:bidiVisual/>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1948"/>
        <w:gridCol w:w="1795"/>
        <w:gridCol w:w="1795"/>
      </w:tblGrid>
      <w:tr w:rsidR="00335E4B" w:rsidRPr="00335E4B" w:rsidTr="00D002D1">
        <w:trPr>
          <w:jc w:val="center"/>
        </w:trPr>
        <w:tc>
          <w:tcPr>
            <w:tcW w:w="2368" w:type="dxa"/>
            <w:shd w:val="clear" w:color="auto" w:fill="auto"/>
            <w:vAlign w:val="center"/>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bCs/>
                <w:noProof/>
                <w:sz w:val="27"/>
                <w:szCs w:val="27"/>
                <w:rtl/>
              </w:rPr>
            </w:pPr>
            <w:r w:rsidRPr="002A1FFA">
              <w:rPr>
                <w:rFonts w:ascii="Traditional Arabic" w:hAnsi="Traditional Arabic" w:cs="Traditional Arabic"/>
                <w:bCs/>
                <w:noProof/>
                <w:sz w:val="27"/>
                <w:szCs w:val="27"/>
                <w:rtl/>
              </w:rPr>
              <w:t>نوع النفايات</w:t>
            </w:r>
          </w:p>
        </w:tc>
        <w:tc>
          <w:tcPr>
            <w:tcW w:w="1948" w:type="dxa"/>
            <w:shd w:val="clear" w:color="auto" w:fill="auto"/>
            <w:vAlign w:val="center"/>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bCs/>
                <w:noProof/>
                <w:sz w:val="27"/>
                <w:szCs w:val="27"/>
              </w:rPr>
            </w:pPr>
            <w:r w:rsidRPr="002A1FFA">
              <w:rPr>
                <w:rFonts w:ascii="Traditional Arabic" w:hAnsi="Traditional Arabic" w:cs="Traditional Arabic"/>
                <w:bCs/>
                <w:noProof/>
                <w:sz w:val="27"/>
                <w:szCs w:val="27"/>
                <w:rtl/>
              </w:rPr>
              <w:t>النمسا</w:t>
            </w:r>
          </w:p>
        </w:tc>
        <w:tc>
          <w:tcPr>
            <w:tcW w:w="1795" w:type="dxa"/>
            <w:shd w:val="clear" w:color="auto" w:fill="auto"/>
            <w:vAlign w:val="center"/>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bCs/>
                <w:noProof/>
                <w:sz w:val="27"/>
                <w:szCs w:val="27"/>
              </w:rPr>
            </w:pPr>
            <w:r w:rsidRPr="002A1FFA">
              <w:rPr>
                <w:rFonts w:ascii="Traditional Arabic" w:hAnsi="Traditional Arabic" w:cs="Traditional Arabic"/>
                <w:bCs/>
                <w:noProof/>
                <w:sz w:val="27"/>
                <w:szCs w:val="27"/>
                <w:rtl/>
              </w:rPr>
              <w:t>ألمانيا</w:t>
            </w:r>
          </w:p>
        </w:tc>
        <w:tc>
          <w:tcPr>
            <w:tcW w:w="1795" w:type="dxa"/>
            <w:shd w:val="clear" w:color="auto" w:fill="auto"/>
            <w:vAlign w:val="center"/>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bCs/>
                <w:noProof/>
                <w:sz w:val="27"/>
                <w:szCs w:val="27"/>
              </w:rPr>
            </w:pPr>
            <w:r w:rsidRPr="002A1FFA">
              <w:rPr>
                <w:rFonts w:ascii="Traditional Arabic" w:hAnsi="Traditional Arabic" w:cs="Traditional Arabic"/>
                <w:bCs/>
                <w:noProof/>
                <w:sz w:val="27"/>
                <w:szCs w:val="27"/>
                <w:rtl/>
              </w:rPr>
              <w:t>سويسرا</w:t>
            </w:r>
          </w:p>
        </w:tc>
      </w:tr>
      <w:tr w:rsidR="00335E4B" w:rsidRPr="00335E4B" w:rsidTr="00D002D1">
        <w:trPr>
          <w:jc w:val="center"/>
        </w:trPr>
        <w:tc>
          <w:tcPr>
            <w:tcW w:w="2368"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rPr>
                <w:rFonts w:ascii="Traditional Arabic" w:hAnsi="Traditional Arabic" w:cs="Traditional Arabic"/>
                <w:noProof/>
                <w:sz w:val="27"/>
                <w:szCs w:val="27"/>
              </w:rPr>
            </w:pPr>
            <w:r w:rsidRPr="002A1FFA">
              <w:rPr>
                <w:rFonts w:ascii="Traditional Arabic" w:hAnsi="Traditional Arabic" w:cs="Traditional Arabic"/>
                <w:noProof/>
                <w:sz w:val="27"/>
                <w:szCs w:val="27"/>
                <w:rtl/>
              </w:rPr>
              <w:t>البلاستيك</w:t>
            </w:r>
          </w:p>
        </w:tc>
        <w:tc>
          <w:tcPr>
            <w:tcW w:w="1948"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r w:rsidRPr="002A1FFA">
              <w:rPr>
                <w:rFonts w:ascii="Traditional Arabic" w:hAnsi="Traditional Arabic" w:cs="Traditional Arabic"/>
                <w:noProof/>
                <w:sz w:val="27"/>
                <w:szCs w:val="27"/>
                <w:rtl/>
              </w:rPr>
              <w:t>2</w:t>
            </w:r>
          </w:p>
        </w:tc>
        <w:tc>
          <w:tcPr>
            <w:tcW w:w="1795"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r w:rsidRPr="002A1FFA">
              <w:rPr>
                <w:rFonts w:ascii="Traditional Arabic" w:hAnsi="Traditional Arabic" w:cs="Traditional Arabic"/>
                <w:noProof/>
                <w:sz w:val="27"/>
                <w:szCs w:val="27"/>
                <w:rtl/>
              </w:rPr>
              <w:t>1</w:t>
            </w:r>
            <w:r w:rsidRPr="002A1FFA">
              <w:rPr>
                <w:rFonts w:ascii="Traditional Arabic" w:hAnsi="Traditional Arabic" w:cs="Traditional Arabic" w:hint="cs"/>
                <w:noProof/>
                <w:sz w:val="27"/>
                <w:szCs w:val="27"/>
                <w:rtl/>
              </w:rPr>
              <w:t>,</w:t>
            </w:r>
            <w:r w:rsidRPr="002A1FFA">
              <w:rPr>
                <w:rFonts w:ascii="Traditional Arabic" w:hAnsi="Traditional Arabic" w:cs="Traditional Arabic"/>
                <w:noProof/>
                <w:sz w:val="27"/>
                <w:szCs w:val="27"/>
                <w:rtl/>
              </w:rPr>
              <w:t>2</w:t>
            </w:r>
          </w:p>
        </w:tc>
        <w:tc>
          <w:tcPr>
            <w:tcW w:w="1795"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p>
        </w:tc>
      </w:tr>
      <w:tr w:rsidR="00335E4B" w:rsidRPr="00335E4B" w:rsidTr="00D002D1">
        <w:trPr>
          <w:jc w:val="center"/>
        </w:trPr>
        <w:tc>
          <w:tcPr>
            <w:tcW w:w="2368"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rPr>
                <w:rFonts w:ascii="Traditional Arabic" w:hAnsi="Traditional Arabic" w:cs="Traditional Arabic"/>
                <w:noProof/>
                <w:sz w:val="27"/>
                <w:szCs w:val="27"/>
              </w:rPr>
            </w:pPr>
            <w:r w:rsidRPr="002A1FFA">
              <w:rPr>
                <w:rFonts w:ascii="Traditional Arabic" w:hAnsi="Traditional Arabic" w:cs="Traditional Arabic"/>
                <w:noProof/>
                <w:sz w:val="27"/>
                <w:szCs w:val="27"/>
                <w:rtl/>
              </w:rPr>
              <w:t>الورق</w:t>
            </w:r>
          </w:p>
        </w:tc>
        <w:tc>
          <w:tcPr>
            <w:tcW w:w="1948"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r w:rsidRPr="002A1FFA">
              <w:rPr>
                <w:rFonts w:ascii="Traditional Arabic" w:hAnsi="Traditional Arabic" w:cs="Traditional Arabic"/>
                <w:noProof/>
                <w:sz w:val="27"/>
                <w:szCs w:val="27"/>
                <w:rtl/>
              </w:rPr>
              <w:t>2</w:t>
            </w:r>
          </w:p>
        </w:tc>
        <w:tc>
          <w:tcPr>
            <w:tcW w:w="1795"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r w:rsidRPr="002A1FFA">
              <w:rPr>
                <w:rFonts w:ascii="Traditional Arabic" w:hAnsi="Traditional Arabic" w:cs="Traditional Arabic"/>
                <w:noProof/>
                <w:sz w:val="27"/>
                <w:szCs w:val="27"/>
                <w:rtl/>
              </w:rPr>
              <w:t>1</w:t>
            </w:r>
            <w:r w:rsidRPr="002A1FFA">
              <w:rPr>
                <w:rFonts w:ascii="Traditional Arabic" w:hAnsi="Traditional Arabic" w:cs="Traditional Arabic" w:hint="cs"/>
                <w:noProof/>
                <w:sz w:val="27"/>
                <w:szCs w:val="27"/>
                <w:rtl/>
              </w:rPr>
              <w:t>,</w:t>
            </w:r>
            <w:r w:rsidRPr="002A1FFA">
              <w:rPr>
                <w:rFonts w:ascii="Traditional Arabic" w:hAnsi="Traditional Arabic" w:cs="Traditional Arabic"/>
                <w:noProof/>
                <w:sz w:val="27"/>
                <w:szCs w:val="27"/>
                <w:rtl/>
              </w:rPr>
              <w:t>2</w:t>
            </w:r>
          </w:p>
        </w:tc>
        <w:tc>
          <w:tcPr>
            <w:tcW w:w="1795"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p>
        </w:tc>
      </w:tr>
      <w:tr w:rsidR="00335E4B" w:rsidRPr="00335E4B" w:rsidTr="00D002D1">
        <w:trPr>
          <w:jc w:val="center"/>
        </w:trPr>
        <w:tc>
          <w:tcPr>
            <w:tcW w:w="2368"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rPr>
                <w:rFonts w:ascii="Traditional Arabic" w:hAnsi="Traditional Arabic" w:cs="Traditional Arabic"/>
                <w:noProof/>
                <w:sz w:val="27"/>
                <w:szCs w:val="27"/>
              </w:rPr>
            </w:pPr>
            <w:r w:rsidRPr="002A1FFA">
              <w:rPr>
                <w:rFonts w:ascii="Traditional Arabic" w:hAnsi="Traditional Arabic" w:cs="Traditional Arabic"/>
                <w:noProof/>
                <w:sz w:val="27"/>
                <w:szCs w:val="27"/>
                <w:rtl/>
              </w:rPr>
              <w:t>الزيت المستعمل، المذيبات</w:t>
            </w:r>
          </w:p>
        </w:tc>
        <w:tc>
          <w:tcPr>
            <w:tcW w:w="1948"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r w:rsidRPr="002A1FFA">
              <w:rPr>
                <w:rFonts w:ascii="Traditional Arabic" w:hAnsi="Traditional Arabic" w:cs="Traditional Arabic"/>
                <w:noProof/>
                <w:sz w:val="27"/>
                <w:szCs w:val="27"/>
                <w:rtl/>
              </w:rPr>
              <w:t>2</w:t>
            </w:r>
          </w:p>
        </w:tc>
        <w:tc>
          <w:tcPr>
            <w:tcW w:w="1795"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r w:rsidRPr="002A1FFA">
              <w:rPr>
                <w:rFonts w:ascii="Traditional Arabic" w:hAnsi="Traditional Arabic" w:cs="Traditional Arabic"/>
                <w:noProof/>
                <w:sz w:val="27"/>
                <w:szCs w:val="27"/>
                <w:rtl/>
              </w:rPr>
              <w:t>1</w:t>
            </w:r>
          </w:p>
        </w:tc>
        <w:tc>
          <w:tcPr>
            <w:tcW w:w="1795"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p>
        </w:tc>
      </w:tr>
      <w:tr w:rsidR="00335E4B" w:rsidRPr="00335E4B" w:rsidTr="00D002D1">
        <w:trPr>
          <w:jc w:val="center"/>
        </w:trPr>
        <w:tc>
          <w:tcPr>
            <w:tcW w:w="2368"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rPr>
                <w:rFonts w:ascii="Traditional Arabic" w:hAnsi="Traditional Arabic" w:cs="Traditional Arabic"/>
                <w:noProof/>
                <w:sz w:val="27"/>
                <w:szCs w:val="27"/>
              </w:rPr>
            </w:pPr>
            <w:r w:rsidRPr="002A1FFA">
              <w:rPr>
                <w:rFonts w:ascii="Traditional Arabic" w:hAnsi="Traditional Arabic" w:cs="Traditional Arabic"/>
                <w:noProof/>
                <w:sz w:val="27"/>
                <w:szCs w:val="27"/>
                <w:rtl/>
              </w:rPr>
              <w:t>حمأة مياه المجارير</w:t>
            </w:r>
          </w:p>
        </w:tc>
        <w:tc>
          <w:tcPr>
            <w:tcW w:w="1948"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r w:rsidRPr="002A1FFA">
              <w:rPr>
                <w:rFonts w:ascii="Traditional Arabic" w:hAnsi="Traditional Arabic" w:cs="Traditional Arabic"/>
                <w:noProof/>
                <w:sz w:val="27"/>
                <w:szCs w:val="27"/>
                <w:rtl/>
              </w:rPr>
              <w:t>3</w:t>
            </w:r>
          </w:p>
        </w:tc>
        <w:tc>
          <w:tcPr>
            <w:tcW w:w="1795"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p>
        </w:tc>
        <w:tc>
          <w:tcPr>
            <w:tcW w:w="1795"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p>
        </w:tc>
      </w:tr>
      <w:tr w:rsidR="00335E4B" w:rsidRPr="00335E4B" w:rsidTr="00D002D1">
        <w:trPr>
          <w:jc w:val="center"/>
        </w:trPr>
        <w:tc>
          <w:tcPr>
            <w:tcW w:w="2368"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rPr>
                <w:rFonts w:ascii="Traditional Arabic" w:hAnsi="Traditional Arabic" w:cs="Traditional Arabic"/>
                <w:noProof/>
                <w:sz w:val="27"/>
                <w:szCs w:val="27"/>
              </w:rPr>
            </w:pPr>
            <w:r w:rsidRPr="002A1FFA">
              <w:rPr>
                <w:rFonts w:ascii="Traditional Arabic" w:hAnsi="Traditional Arabic" w:cs="Traditional Arabic"/>
                <w:noProof/>
                <w:sz w:val="27"/>
                <w:szCs w:val="27"/>
                <w:rtl/>
              </w:rPr>
              <w:t>النفايات القابلة للاحتراق بشكل عام</w:t>
            </w:r>
          </w:p>
        </w:tc>
        <w:tc>
          <w:tcPr>
            <w:tcW w:w="1948"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r w:rsidRPr="002A1FFA">
              <w:rPr>
                <w:rFonts w:ascii="Traditional Arabic" w:hAnsi="Traditional Arabic" w:cs="Traditional Arabic"/>
                <w:noProof/>
                <w:sz w:val="27"/>
                <w:szCs w:val="27"/>
                <w:rtl/>
              </w:rPr>
              <w:t>0</w:t>
            </w:r>
            <w:r w:rsidRPr="002A1FFA">
              <w:rPr>
                <w:rFonts w:ascii="Traditional Arabic" w:hAnsi="Traditional Arabic" w:cs="Traditional Arabic" w:hint="cs"/>
                <w:noProof/>
                <w:sz w:val="27"/>
                <w:szCs w:val="27"/>
                <w:rtl/>
              </w:rPr>
              <w:t>,</w:t>
            </w:r>
            <w:r w:rsidRPr="002A1FFA">
              <w:rPr>
                <w:rFonts w:ascii="Traditional Arabic" w:hAnsi="Traditional Arabic" w:cs="Traditional Arabic"/>
                <w:noProof/>
                <w:sz w:val="27"/>
                <w:szCs w:val="27"/>
                <w:rtl/>
              </w:rPr>
              <w:t>5</w:t>
            </w:r>
          </w:p>
        </w:tc>
        <w:tc>
          <w:tcPr>
            <w:tcW w:w="1795"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p>
        </w:tc>
        <w:tc>
          <w:tcPr>
            <w:tcW w:w="1795"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r w:rsidRPr="002A1FFA">
              <w:rPr>
                <w:rFonts w:ascii="Traditional Arabic" w:hAnsi="Traditional Arabic" w:cs="Traditional Arabic"/>
                <w:noProof/>
                <w:sz w:val="27"/>
                <w:szCs w:val="27"/>
                <w:rtl/>
              </w:rPr>
              <w:t>0</w:t>
            </w:r>
            <w:r w:rsidRPr="002A1FFA">
              <w:rPr>
                <w:rFonts w:ascii="Traditional Arabic" w:hAnsi="Traditional Arabic" w:cs="Traditional Arabic" w:hint="cs"/>
                <w:noProof/>
                <w:sz w:val="27"/>
                <w:szCs w:val="27"/>
                <w:rtl/>
              </w:rPr>
              <w:t>,</w:t>
            </w:r>
            <w:r w:rsidRPr="002A1FFA">
              <w:rPr>
                <w:rFonts w:ascii="Traditional Arabic" w:hAnsi="Traditional Arabic" w:cs="Traditional Arabic"/>
                <w:noProof/>
                <w:sz w:val="27"/>
                <w:szCs w:val="27"/>
                <w:rtl/>
              </w:rPr>
              <w:t>5</w:t>
            </w:r>
          </w:p>
        </w:tc>
      </w:tr>
      <w:tr w:rsidR="00335E4B" w:rsidRPr="00335E4B" w:rsidTr="00D002D1">
        <w:trPr>
          <w:jc w:val="center"/>
        </w:trPr>
        <w:tc>
          <w:tcPr>
            <w:tcW w:w="2368"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rPr>
                <w:rFonts w:ascii="Traditional Arabic" w:hAnsi="Traditional Arabic" w:cs="Traditional Arabic"/>
                <w:noProof/>
                <w:sz w:val="27"/>
                <w:szCs w:val="27"/>
              </w:rPr>
            </w:pPr>
            <w:r w:rsidRPr="002A1FFA">
              <w:rPr>
                <w:rFonts w:ascii="Traditional Arabic" w:hAnsi="Traditional Arabic" w:cs="Traditional Arabic"/>
                <w:noProof/>
                <w:sz w:val="27"/>
                <w:szCs w:val="27"/>
                <w:rtl/>
              </w:rPr>
              <w:t>النفايات المستخدمة كمواد خام</w:t>
            </w:r>
          </w:p>
        </w:tc>
        <w:tc>
          <w:tcPr>
            <w:tcW w:w="1948"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p>
        </w:tc>
        <w:tc>
          <w:tcPr>
            <w:tcW w:w="1795"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p>
        </w:tc>
        <w:tc>
          <w:tcPr>
            <w:tcW w:w="1795" w:type="dxa"/>
            <w:shd w:val="clear" w:color="auto" w:fill="auto"/>
          </w:tcPr>
          <w:p w:rsidR="00335E4B" w:rsidRPr="002A1FFA" w:rsidRDefault="00335E4B" w:rsidP="00335E4B">
            <w:pPr>
              <w:tabs>
                <w:tab w:val="left" w:pos="1247"/>
                <w:tab w:val="left" w:pos="1814"/>
                <w:tab w:val="left" w:pos="2381"/>
                <w:tab w:val="left" w:pos="2948"/>
                <w:tab w:val="left" w:pos="3515"/>
              </w:tabs>
              <w:spacing w:line="360" w:lineRule="exact"/>
              <w:jc w:val="center"/>
              <w:rPr>
                <w:rFonts w:ascii="Traditional Arabic" w:hAnsi="Traditional Arabic" w:cs="Traditional Arabic"/>
                <w:noProof/>
                <w:sz w:val="27"/>
                <w:szCs w:val="27"/>
              </w:rPr>
            </w:pPr>
            <w:r w:rsidRPr="002A1FFA">
              <w:rPr>
                <w:rFonts w:ascii="Traditional Arabic" w:hAnsi="Traditional Arabic" w:cs="Traditional Arabic"/>
                <w:noProof/>
                <w:sz w:val="27"/>
                <w:szCs w:val="27"/>
                <w:rtl/>
              </w:rPr>
              <w:t>0</w:t>
            </w:r>
            <w:r w:rsidRPr="002A1FFA">
              <w:rPr>
                <w:rFonts w:ascii="Traditional Arabic" w:hAnsi="Traditional Arabic" w:cs="Traditional Arabic" w:hint="cs"/>
                <w:noProof/>
                <w:sz w:val="27"/>
                <w:szCs w:val="27"/>
                <w:rtl/>
              </w:rPr>
              <w:t>,</w:t>
            </w:r>
            <w:r w:rsidRPr="002A1FFA">
              <w:rPr>
                <w:rFonts w:ascii="Traditional Arabic" w:hAnsi="Traditional Arabic" w:cs="Traditional Arabic"/>
                <w:noProof/>
                <w:sz w:val="27"/>
                <w:szCs w:val="27"/>
                <w:rtl/>
              </w:rPr>
              <w:t>5</w:t>
            </w:r>
          </w:p>
        </w:tc>
      </w:tr>
    </w:tbl>
    <w:p w:rsidR="00335E4B" w:rsidRPr="00335E4B" w:rsidRDefault="00335E4B" w:rsidP="002A1FFA">
      <w:pPr>
        <w:spacing w:before="240" w:after="120" w:line="400" w:lineRule="exact"/>
        <w:jc w:val="both"/>
        <w:rPr>
          <w:rFonts w:cs="Traditional Arabic"/>
          <w:b/>
          <w:bCs/>
          <w:sz w:val="32"/>
          <w:szCs w:val="32"/>
          <w:rtl/>
          <w:lang w:val="en-GB"/>
        </w:rPr>
      </w:pPr>
      <w:r w:rsidRPr="00335E4B">
        <w:rPr>
          <w:rFonts w:cs="Traditional Arabic" w:hint="cs"/>
          <w:b/>
          <w:bCs/>
          <w:sz w:val="32"/>
          <w:szCs w:val="32"/>
          <w:rtl/>
          <w:lang w:val="en-GB"/>
        </w:rPr>
        <w:t>الفوائد البيئية المتحققة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تؤدي مستويات الزئبق المنخفضة المنتظمة في مدخلات المواد إلى انبعاثات زئبق منخفضة. وفي عام 2014 بلغت نسبة أنواع الوقود البديلة المستخدمة في منشأة سيمينتا، سلايت، بالسويد 60 في المائة. ونظراً لمحتوى الزئبق المنخفض في الحجر الجيري وأساليب التحكم الفعال في المدخلات فقد بلغت انبعاثات الزئبق 0,0014 ملغم زئبق/نانومتر3 (قيمة متوسطة خلال فترة أخذ العينات، قياسات دورية في ظروف مرجعية 273 كلفن، 101,3 كيلوباسكال، 10 في المائة أكسجين وغاز جاف). وتحتوي المنشأة أيضاً على جهاز تنظيف رطب لخفض كمية ثاني أكسيد الكبريت بيد أن تأثير هذا الجهاز على انبعاثات الزئبق لم يخضع للتحليل.</w:t>
      </w:r>
    </w:p>
    <w:p w:rsidR="00335E4B" w:rsidRPr="00335E4B" w:rsidRDefault="00335E4B" w:rsidP="00335E4B">
      <w:pPr>
        <w:spacing w:after="120" w:line="400" w:lineRule="exact"/>
        <w:jc w:val="both"/>
        <w:rPr>
          <w:rFonts w:cs="Traditional Arabic"/>
          <w:b/>
          <w:bCs/>
          <w:sz w:val="30"/>
          <w:szCs w:val="30"/>
          <w:rtl/>
        </w:rPr>
      </w:pPr>
      <w:r w:rsidRPr="00335E4B">
        <w:rPr>
          <w:rFonts w:cs="Traditional Arabic" w:hint="cs"/>
          <w:b/>
          <w:bCs/>
          <w:sz w:val="30"/>
          <w:szCs w:val="30"/>
          <w:rtl/>
        </w:rPr>
        <w:t>القابلية للتطبيق</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يمكن تطبيق عملية التحكم في المدخلات في كل منشآت إنتاج الإسمنت.</w:t>
      </w:r>
    </w:p>
    <w:p w:rsidR="00335E4B" w:rsidRPr="00335E4B" w:rsidRDefault="00335E4B" w:rsidP="00335E4B">
      <w:pPr>
        <w:spacing w:after="120" w:line="400" w:lineRule="exact"/>
        <w:jc w:val="both"/>
        <w:rPr>
          <w:rFonts w:cs="Traditional Arabic"/>
          <w:b/>
          <w:bCs/>
          <w:sz w:val="30"/>
          <w:szCs w:val="30"/>
          <w:rtl/>
        </w:rPr>
      </w:pPr>
      <w:r w:rsidRPr="00335E4B">
        <w:rPr>
          <w:rFonts w:cs="Traditional Arabic" w:hint="cs"/>
          <w:b/>
          <w:bCs/>
          <w:sz w:val="30"/>
          <w:szCs w:val="30"/>
          <w:rtl/>
        </w:rPr>
        <w:t>المنشأة المرجعية</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سيمينتا (</w:t>
      </w:r>
      <w:r w:rsidRPr="00335E4B">
        <w:rPr>
          <w:rFonts w:cs="Traditional Arabic"/>
          <w:bCs/>
          <w:noProof/>
          <w:sz w:val="20"/>
          <w:szCs w:val="22"/>
        </w:rPr>
        <w:t>Cementa AB</w:t>
      </w:r>
      <w:r w:rsidRPr="00335E4B">
        <w:rPr>
          <w:rFonts w:cs="Traditional Arabic" w:hint="cs"/>
          <w:sz w:val="30"/>
          <w:szCs w:val="30"/>
          <w:rtl/>
        </w:rPr>
        <w:t>): سلايت، السويد</w:t>
      </w:r>
    </w:p>
    <w:p w:rsidR="00335E4B" w:rsidRPr="00335E4B" w:rsidRDefault="00335E4B" w:rsidP="00335E4B">
      <w:pPr>
        <w:keepNext/>
        <w:spacing w:before="120" w:after="120" w:line="400" w:lineRule="exact"/>
        <w:ind w:left="991" w:hanging="993"/>
        <w:jc w:val="both"/>
        <w:outlineLvl w:val="3"/>
        <w:rPr>
          <w:rFonts w:cs="Traditional Arabic"/>
          <w:b/>
          <w:bCs/>
          <w:sz w:val="30"/>
          <w:szCs w:val="30"/>
          <w:rtl/>
        </w:rPr>
      </w:pPr>
      <w:r w:rsidRPr="00335E4B">
        <w:rPr>
          <w:rFonts w:cs="Traditional Arabic" w:hint="cs"/>
          <w:b/>
          <w:bCs/>
          <w:sz w:val="30"/>
          <w:szCs w:val="30"/>
          <w:rtl/>
        </w:rPr>
        <w:t>التدابير الثانوية</w:t>
      </w:r>
    </w:p>
    <w:p w:rsidR="00335E4B" w:rsidRPr="00335E4B" w:rsidRDefault="00335E4B" w:rsidP="00335E4B">
      <w:pPr>
        <w:keepNext/>
        <w:spacing w:before="120" w:after="120" w:line="400" w:lineRule="exact"/>
        <w:ind w:left="991" w:hanging="993"/>
        <w:jc w:val="both"/>
        <w:outlineLvl w:val="3"/>
        <w:rPr>
          <w:rFonts w:cs="Traditional Arabic"/>
          <w:b/>
          <w:bCs/>
          <w:sz w:val="30"/>
          <w:szCs w:val="30"/>
          <w:rtl/>
        </w:rPr>
      </w:pPr>
      <w:r w:rsidRPr="00335E4B">
        <w:rPr>
          <w:rFonts w:cs="Traditional Arabic" w:hint="cs"/>
          <w:b/>
          <w:bCs/>
          <w:sz w:val="30"/>
          <w:szCs w:val="30"/>
          <w:rtl/>
        </w:rPr>
        <w:t>إزالة الغبار</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إحدى التكنولوجيات المعتمدة للحد من تراكم مستويات الزئبق في غبار الفرن تتمثل في الإزالة الانتقائية المتكررة أو ما يعرف بـ</w:t>
      </w:r>
      <w:r w:rsidR="002A1FFA">
        <w:rPr>
          <w:rFonts w:cs="Traditional Arabic" w:hint="cs"/>
          <w:sz w:val="30"/>
          <w:szCs w:val="30"/>
          <w:rtl/>
          <w:lang w:val="en-GB"/>
        </w:rPr>
        <w:t>ـــ </w:t>
      </w:r>
      <w:r w:rsidRPr="00335E4B">
        <w:rPr>
          <w:rFonts w:cs="Traditional Arabic" w:hint="cs"/>
          <w:sz w:val="30"/>
          <w:szCs w:val="30"/>
          <w:rtl/>
          <w:lang w:val="en-GB"/>
        </w:rPr>
        <w:t>’’استنزاف‘‘ غبار الفرن المشبع بالزئبق.</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ويستخلص غبار الفرن المشبع بالزئبق من الغبار والزئبق الدائرين في الفرن (انظر الشكل 4)، وعقب استخلاص الغبار يعاد مرة أخرى مباشرةً في مرحلة الطحن النهائية (بعد الفرن) مع كريات الكلنكر والجبس.</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ويمكن تنفيذ الإزالة المتكررة للغبار بتشكيلة من اثنتين:</w:t>
      </w:r>
    </w:p>
    <w:p w:rsidR="00335E4B" w:rsidRPr="00335E4B" w:rsidRDefault="00335E4B" w:rsidP="00335E4B">
      <w:pPr>
        <w:spacing w:after="120" w:line="400" w:lineRule="exact"/>
        <w:ind w:left="1015" w:hanging="720"/>
        <w:jc w:val="both"/>
        <w:rPr>
          <w:rFonts w:cs="Traditional Arabic"/>
          <w:sz w:val="30"/>
          <w:szCs w:val="30"/>
          <w:rtl/>
          <w:lang w:val="en-GB"/>
        </w:rPr>
      </w:pPr>
      <w:r w:rsidRPr="00335E4B">
        <w:rPr>
          <w:rFonts w:cs="Traditional Arabic" w:hint="cs"/>
          <w:sz w:val="30"/>
          <w:szCs w:val="30"/>
          <w:rtl/>
          <w:lang w:val="en-GB"/>
        </w:rPr>
        <w:t>1 -</w:t>
      </w:r>
      <w:r w:rsidRPr="00335E4B">
        <w:rPr>
          <w:rFonts w:cs="Traditional Arabic" w:hint="cs"/>
          <w:sz w:val="30"/>
          <w:szCs w:val="30"/>
          <w:rtl/>
          <w:lang w:val="en-GB"/>
        </w:rPr>
        <w:tab/>
        <w:t>إزالة الغبار</w:t>
      </w:r>
      <w:r w:rsidR="002A1FFA">
        <w:rPr>
          <w:rFonts w:cs="Traditional Arabic" w:hint="cs"/>
          <w:sz w:val="30"/>
          <w:szCs w:val="30"/>
          <w:rtl/>
          <w:lang w:val="en-GB"/>
        </w:rPr>
        <w:t xml:space="preserve"> </w:t>
      </w:r>
      <w:r w:rsidRPr="00335E4B">
        <w:rPr>
          <w:rFonts w:cs="Traditional Arabic" w:hint="cs"/>
          <w:sz w:val="30"/>
          <w:szCs w:val="30"/>
          <w:rtl/>
          <w:lang w:val="en-GB"/>
        </w:rPr>
        <w:t>’’مع عدم تشغيل طاحونة المواد الخام‘‘ (الفرن يعمل لوحده): وتكون هذه الطريقة فعالة في إزالة الزئبق. ويحتوي الغبار الذي يجمع من جهاز التسخين المسبق على تركيزات زئبق عالية نسبياً نظراً لعدم تعرضه للتخفيف داخل طاحونة المواد الخام.</w:t>
      </w:r>
    </w:p>
    <w:p w:rsidR="00335E4B" w:rsidRPr="00335E4B" w:rsidRDefault="00335E4B" w:rsidP="00335E4B">
      <w:pPr>
        <w:spacing w:after="120" w:line="400" w:lineRule="exact"/>
        <w:ind w:left="1015" w:hanging="720"/>
        <w:jc w:val="both"/>
        <w:rPr>
          <w:rFonts w:cs="Traditional Arabic"/>
          <w:sz w:val="30"/>
          <w:szCs w:val="30"/>
          <w:rtl/>
          <w:lang w:val="en-GB"/>
        </w:rPr>
      </w:pPr>
      <w:r w:rsidRPr="00335E4B">
        <w:rPr>
          <w:rFonts w:cs="Traditional Arabic" w:hint="cs"/>
          <w:sz w:val="30"/>
          <w:szCs w:val="30"/>
          <w:rtl/>
          <w:lang w:val="en-GB"/>
        </w:rPr>
        <w:t>2 -</w:t>
      </w:r>
      <w:r w:rsidRPr="00335E4B">
        <w:rPr>
          <w:rFonts w:cs="Traditional Arabic" w:hint="cs"/>
          <w:sz w:val="30"/>
          <w:szCs w:val="30"/>
          <w:rtl/>
          <w:lang w:val="en-GB"/>
        </w:rPr>
        <w:tab/>
        <w:t>إزالة الغبار</w:t>
      </w:r>
      <w:r w:rsidR="002A1FFA">
        <w:rPr>
          <w:rFonts w:cs="Traditional Arabic" w:hint="cs"/>
          <w:sz w:val="30"/>
          <w:szCs w:val="30"/>
          <w:rtl/>
          <w:lang w:val="en-GB"/>
        </w:rPr>
        <w:t xml:space="preserve"> </w:t>
      </w:r>
      <w:r w:rsidRPr="00335E4B">
        <w:rPr>
          <w:rFonts w:cs="Traditional Arabic" w:hint="cs"/>
          <w:sz w:val="30"/>
          <w:szCs w:val="30"/>
          <w:rtl/>
          <w:lang w:val="en-GB"/>
        </w:rPr>
        <w:t>’’مع تشغيل طاحونة المواد الخام‘‘ (يعمل كل من الفرن وطاحونة المواد الخام بشكل متناسق نظراً لأن غازات الفرن تجفف الدقيق الخام داخل طاحونة المواد الخام): هذه الطريقة أقل فعاليةً في إزالة الزئبق. ويُخفف غبار جهاز التسخين المسبق، المخصَّب بالزئبق المتجمع، داخل طاحونة المواد الخام. وتجدر الإشارة إلى أن هذه الحالة تقسم أيضاً إلى ثلاثة تشكيلات:</w:t>
      </w:r>
    </w:p>
    <w:p w:rsidR="00335E4B" w:rsidRPr="00335E4B" w:rsidRDefault="00335E4B" w:rsidP="00335E4B">
      <w:pPr>
        <w:numPr>
          <w:ilvl w:val="0"/>
          <w:numId w:val="33"/>
        </w:numPr>
        <w:spacing w:line="400" w:lineRule="exact"/>
        <w:ind w:left="1372" w:hanging="357"/>
        <w:jc w:val="both"/>
        <w:rPr>
          <w:rFonts w:cs="Traditional Arabic"/>
          <w:sz w:val="30"/>
          <w:szCs w:val="30"/>
          <w:lang w:val="en-GB"/>
        </w:rPr>
      </w:pPr>
      <w:r w:rsidRPr="00335E4B">
        <w:rPr>
          <w:rFonts w:cs="Traditional Arabic" w:hint="cs"/>
          <w:sz w:val="30"/>
          <w:szCs w:val="30"/>
          <w:rtl/>
          <w:lang w:val="en-GB"/>
        </w:rPr>
        <w:t xml:space="preserve">المنشآت المزودة بطاحونة مواد خام رأسية </w:t>
      </w:r>
      <w:r w:rsidRPr="00335E4B">
        <w:rPr>
          <w:rFonts w:cs="Times New Roman" w:hint="cs"/>
          <w:sz w:val="30"/>
          <w:szCs w:val="30"/>
          <w:rtl/>
          <w:lang w:val="en-GB"/>
        </w:rPr>
        <w:t>←</w:t>
      </w:r>
      <w:r w:rsidRPr="00335E4B">
        <w:rPr>
          <w:rFonts w:cs="Traditional Arabic" w:hint="cs"/>
          <w:sz w:val="30"/>
          <w:szCs w:val="30"/>
          <w:rtl/>
          <w:lang w:val="en-GB"/>
        </w:rPr>
        <w:t xml:space="preserve"> جميع غازات الفرن تمر عبر طاحونة المواد الخام </w:t>
      </w:r>
      <w:r w:rsidRPr="00335E4B">
        <w:rPr>
          <w:rFonts w:cs="Times New Roman" w:hint="cs"/>
          <w:sz w:val="30"/>
          <w:szCs w:val="30"/>
          <w:rtl/>
          <w:lang w:val="en-GB"/>
        </w:rPr>
        <w:t>←</w:t>
      </w:r>
      <w:r w:rsidRPr="00335E4B">
        <w:rPr>
          <w:rFonts w:cs="Traditional Arabic" w:hint="cs"/>
          <w:sz w:val="30"/>
          <w:szCs w:val="30"/>
          <w:rtl/>
          <w:lang w:val="en-GB"/>
        </w:rPr>
        <w:t xml:space="preserve"> توجد كمية قليلة جداً من الزئبق في غبار المرشح </w:t>
      </w:r>
      <w:r w:rsidRPr="00335E4B">
        <w:rPr>
          <w:rFonts w:cs="Times New Roman" w:hint="cs"/>
          <w:sz w:val="30"/>
          <w:szCs w:val="30"/>
          <w:rtl/>
          <w:lang w:val="en-GB"/>
        </w:rPr>
        <w:t>←</w:t>
      </w:r>
      <w:r w:rsidRPr="00335E4B">
        <w:rPr>
          <w:rFonts w:cs="Traditional Arabic" w:hint="cs"/>
          <w:sz w:val="30"/>
          <w:szCs w:val="30"/>
          <w:rtl/>
          <w:lang w:val="en-GB"/>
        </w:rPr>
        <w:t xml:space="preserve"> من الأفضل استخدام الإزالة المتكررة للغبار أثناء وقف تشغيل طاحونة المواد الخام فقط؛ وهذا ينطبق أيضاً على المنشآت المحتوية على الطواحين الكروية والمواد الخام ذات المحتوى العالي من الرطوبة؛</w:t>
      </w:r>
    </w:p>
    <w:p w:rsidR="00335E4B" w:rsidRPr="00335E4B" w:rsidRDefault="00335E4B" w:rsidP="00335E4B">
      <w:pPr>
        <w:numPr>
          <w:ilvl w:val="0"/>
          <w:numId w:val="33"/>
        </w:numPr>
        <w:spacing w:line="400" w:lineRule="exact"/>
        <w:ind w:left="1372" w:hanging="357"/>
        <w:jc w:val="both"/>
        <w:rPr>
          <w:rFonts w:cs="Traditional Arabic"/>
          <w:sz w:val="30"/>
          <w:szCs w:val="30"/>
          <w:lang w:val="en-GB"/>
        </w:rPr>
      </w:pPr>
      <w:r w:rsidRPr="00335E4B">
        <w:rPr>
          <w:rFonts w:cs="Traditional Arabic" w:hint="cs"/>
          <w:sz w:val="30"/>
          <w:szCs w:val="30"/>
          <w:rtl/>
          <w:lang w:val="en-GB"/>
        </w:rPr>
        <w:t xml:space="preserve">المنشآت المزودة بطواحين كروية للمواد الخام </w:t>
      </w:r>
      <w:r w:rsidRPr="00335E4B">
        <w:rPr>
          <w:rFonts w:cs="Times New Roman" w:hint="cs"/>
          <w:sz w:val="30"/>
          <w:szCs w:val="30"/>
          <w:rtl/>
          <w:lang w:val="en-GB"/>
        </w:rPr>
        <w:t>←</w:t>
      </w:r>
      <w:r w:rsidRPr="00335E4B">
        <w:rPr>
          <w:rFonts w:cs="Traditional Arabic" w:hint="cs"/>
          <w:sz w:val="30"/>
          <w:szCs w:val="30"/>
          <w:rtl/>
          <w:lang w:val="en-GB"/>
        </w:rPr>
        <w:t xml:space="preserve"> بعض غازات الفرن قد لا تمر عبر طاحونة المواد الخام </w:t>
      </w:r>
      <w:r w:rsidRPr="00335E4B">
        <w:rPr>
          <w:rFonts w:cs="Times New Roman" w:hint="cs"/>
          <w:sz w:val="30"/>
          <w:szCs w:val="30"/>
          <w:rtl/>
          <w:lang w:val="en-GB"/>
        </w:rPr>
        <w:t>←</w:t>
      </w:r>
      <w:r w:rsidRPr="00335E4B">
        <w:rPr>
          <w:rFonts w:cs="Traditional Arabic" w:hint="cs"/>
          <w:sz w:val="30"/>
          <w:szCs w:val="30"/>
          <w:rtl/>
          <w:lang w:val="en-GB"/>
        </w:rPr>
        <w:t xml:space="preserve"> يمكن النظر في استخدام بعض عمليات الإزالة المتكررة للغبار أثناء تشغيل طاحونة المواد الخام على مسار التحويلة في حال كان هذا المسار مزوداً بمرشح غبار منفصل؛</w:t>
      </w:r>
    </w:p>
    <w:p w:rsidR="00335E4B" w:rsidRPr="00335E4B" w:rsidRDefault="00335E4B" w:rsidP="00335E4B">
      <w:pPr>
        <w:numPr>
          <w:ilvl w:val="0"/>
          <w:numId w:val="33"/>
        </w:numPr>
        <w:spacing w:after="120" w:line="400" w:lineRule="exact"/>
        <w:ind w:left="1372" w:hanging="357"/>
        <w:jc w:val="both"/>
        <w:rPr>
          <w:rFonts w:cs="Traditional Arabic"/>
          <w:sz w:val="30"/>
          <w:szCs w:val="30"/>
          <w:lang w:val="en-GB"/>
        </w:rPr>
      </w:pPr>
      <w:r w:rsidRPr="00335E4B">
        <w:rPr>
          <w:rFonts w:cs="Traditional Arabic" w:hint="cs"/>
          <w:sz w:val="30"/>
          <w:szCs w:val="30"/>
          <w:rtl/>
          <w:lang w:val="en-GB"/>
        </w:rPr>
        <w:t>المنشآت المزودة بمرشح مستنزف منفصل عن الفرن الرئيسي ومرشح طاحونة المواد الخام. يُلقَّم غاز جهاز التسخين المسبق في هذا المرشح المستنزف الأصغر حجماً. وتكون الإزالة المتكررة للغبار من هذا المرشح ناجعةً مادام الغاز المتبقي كله يمر عبر طاحونة المواد الخام.</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وتعتبر درجة الحرارة في جهاز تجميع الغبار مهمة حيث أن ضغط بخار الزئبق ينخفض بشدة عند انخفاض درجات الحرارة (انظر الشكل 6-5 في التذييل). علاوةً على ذلك فإن الشكل 5 يظهر أن امتزاز الزئبق على سطح الغبار يزداد مع انخفاض درجات الحرارة. وينطبق هذا التأثير بصورة رئيسية على الزئبق المؤكسد وبدرجة أقل على الزئبق النقي. ولتحقيق كفاءة جيدة عند استخدام تكنولوجيا الإزالة المتكررة للغبار فإنه يتعين أن تكون درجة حرارة الغاز أقل من 140مْ والأفضل أن تكون أقل من أو تساوي 120مْ. وأثناء تشغيل طاحونة المواد الخام تكون درجة حرارة الغاز في المرشح عادةً بين 90مْ و120مْ، أما عند عدم تشغيل طاحونة المواد الخام فتكون درجة حرارة الغاز عادةً بين 140 و170مْ ويمكن أن تصل إلى 200مْ. وهذا يعني أن تحقيق فعالية عملية الإزالة المتكررة للغاز يتطلب خفض درجة الحرارة أثناء وقف تشغيل طاحونة المواد الخام في برج لتكييف الهواء أو من خلال استخدام هواء درجة حرارته بين 120 و140مْ. أما خفض درجة الحرارة إلى أقل من 140مْ باستخدام التكييف بالماء فيؤدي في أغلب الأحيان إلى تآكل النظام بسبب تكاثف حامض الكبريتيك، إلا إذا تم عزل جدران جهاز تجميع الغبار والقنوات بشكل جيد للغاية. وكثيراً ما يتعين تسخين الأوعية القمعية لجهاز جمع الغبار، ولهذا السبب يجب اتخاذ تدابير تقنية ملائمة لتفادي التآكل.</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ويمكن إزالة الغبار المترسب من النظام بشكل مستقل عن نوع المرشح. وفي بعض الحالات التي تستخدم فيها أجهزة الترسيب الكهروستاتيكية ثبت أن الفعالية تكون أفضل عند إزالة الغبار وحده من القسم الأخير (وهو عادةً الجزء الأنعم من الغبار ومساحته السطحية النوعية أعلى)، ولكن هذه الفعالية لم تلاحظ في حالات أخرى. ويتعين تجميع الغبار في مستودع منفصل لضمان المرونة فيما يتعلق باستخداماته اللاحقة. وفي الكثير من منشآت إنتاج الإسمنت يستخدم الغبار في شكل مادة معدنية مضافة إلى الإسمنت وهو أمر يتوافق مع معظم المعايير المتعلقة بالإسمنت. أما إذا لم يكن ذلك ممكناً فمن الممكن استخدام الغبار لإنتاج منتجات أخرى مثل بعض المواد اللاصقة، وإذا كان هذا الخيار غير وارد أيضاً فيتعين عندئذ معالجة الغبار بوصفه نفايات.</w:t>
      </w:r>
    </w:p>
    <w:p w:rsidR="00335E4B" w:rsidRPr="00335E4B" w:rsidRDefault="00335E4B" w:rsidP="00335E4B">
      <w:pPr>
        <w:tabs>
          <w:tab w:val="left" w:pos="1247"/>
          <w:tab w:val="left" w:pos="1814"/>
          <w:tab w:val="left" w:pos="2381"/>
          <w:tab w:val="left" w:pos="2948"/>
          <w:tab w:val="left" w:pos="3515"/>
        </w:tabs>
        <w:spacing w:before="120" w:after="100" w:afterAutospacing="1" w:line="276" w:lineRule="auto"/>
        <w:jc w:val="center"/>
        <w:rPr>
          <w:rFonts w:cs="Times New Roman"/>
          <w:b/>
          <w:bCs/>
          <w:noProof/>
          <w:sz w:val="32"/>
          <w:szCs w:val="32"/>
        </w:rPr>
      </w:pPr>
      <w:r>
        <w:rPr>
          <w:rFonts w:cs="Times New Roman"/>
          <w:noProof/>
          <w:sz w:val="20"/>
          <w:szCs w:val="22"/>
          <w:lang w:val="en-GB" w:eastAsia="zh-CN"/>
        </w:rPr>
        <w:drawing>
          <wp:inline distT="0" distB="0" distL="0" distR="0" wp14:anchorId="6B335587" wp14:editId="2B650CD0">
            <wp:extent cx="3439795" cy="21894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39795" cy="2189480"/>
                    </a:xfrm>
                    <a:prstGeom prst="rect">
                      <a:avLst/>
                    </a:prstGeom>
                    <a:noFill/>
                    <a:ln>
                      <a:noFill/>
                    </a:ln>
                  </pic:spPr>
                </pic:pic>
              </a:graphicData>
            </a:graphic>
          </wp:inline>
        </w:drawing>
      </w:r>
    </w:p>
    <w:p w:rsidR="00335E4B" w:rsidRPr="00335E4B" w:rsidRDefault="00335E4B" w:rsidP="007B782B">
      <w:pPr>
        <w:tabs>
          <w:tab w:val="left" w:pos="1247"/>
          <w:tab w:val="left" w:pos="1814"/>
          <w:tab w:val="left" w:pos="2381"/>
          <w:tab w:val="left" w:pos="2948"/>
          <w:tab w:val="left" w:pos="3515"/>
        </w:tabs>
        <w:spacing w:before="120" w:after="100" w:afterAutospacing="1" w:line="320" w:lineRule="exact"/>
        <w:jc w:val="both"/>
        <w:rPr>
          <w:rFonts w:ascii="Traditional Arabic" w:hAnsi="Traditional Arabic" w:cs="Traditional Arabic"/>
          <w:bCs/>
          <w:i/>
          <w:noProof/>
          <w:sz w:val="20"/>
          <w:szCs w:val="24"/>
        </w:rPr>
      </w:pPr>
      <w:r w:rsidRPr="002A1FFA">
        <w:rPr>
          <w:rFonts w:ascii="Traditional Arabic" w:hAnsi="Traditional Arabic" w:cs="Traditional Arabic" w:hint="cs"/>
          <w:bCs/>
          <w:i/>
          <w:noProof/>
          <w:sz w:val="30"/>
          <w:szCs w:val="30"/>
          <w:rtl/>
        </w:rPr>
        <w:t>الشكل 5</w:t>
      </w:r>
      <w:r w:rsidR="00E439A9" w:rsidRPr="002A1FFA">
        <w:rPr>
          <w:rFonts w:ascii="Traditional Arabic" w:hAnsi="Traditional Arabic" w:cs="Traditional Arabic" w:hint="cs"/>
          <w:bCs/>
          <w:i/>
          <w:noProof/>
          <w:sz w:val="30"/>
          <w:szCs w:val="30"/>
          <w:rtl/>
        </w:rPr>
        <w:t>.</w:t>
      </w:r>
      <w:r w:rsidRPr="002A1FFA">
        <w:rPr>
          <w:rFonts w:ascii="Traditional Arabic" w:hAnsi="Traditional Arabic" w:cs="Traditional Arabic" w:hint="cs"/>
          <w:bCs/>
          <w:i/>
          <w:noProof/>
          <w:sz w:val="30"/>
          <w:szCs w:val="30"/>
          <w:rtl/>
        </w:rPr>
        <w:t xml:space="preserve"> مقارنة بين امتزاز الزئبق في أجهزة شبكية ودوامية للتسخين المسبق اعتماداً على درجة حرارة الغاز النظيف </w:t>
      </w:r>
      <w:r w:rsidRPr="002A1FFA">
        <w:rPr>
          <w:rFonts w:asciiTheme="majorBidi" w:hAnsiTheme="majorBidi" w:cstheme="majorBidi"/>
          <w:bCs/>
          <w:i/>
          <w:noProof/>
          <w:sz w:val="20"/>
          <w:szCs w:val="20"/>
          <w:rtl/>
        </w:rPr>
        <w:t>(</w:t>
      </w:r>
      <w:r w:rsidRPr="002A1FFA">
        <w:rPr>
          <w:rFonts w:asciiTheme="majorBidi" w:hAnsiTheme="majorBidi" w:cstheme="majorBidi"/>
          <w:b/>
          <w:iCs/>
          <w:noProof/>
          <w:sz w:val="20"/>
          <w:szCs w:val="20"/>
        </w:rPr>
        <w:t>Kirchartz, 1994</w:t>
      </w:r>
      <w:r w:rsidRPr="002A1FFA">
        <w:rPr>
          <w:rFonts w:asciiTheme="majorBidi" w:hAnsiTheme="majorBidi" w:cstheme="majorBidi"/>
          <w:bCs/>
          <w:i/>
          <w:noProof/>
          <w:sz w:val="20"/>
          <w:szCs w:val="20"/>
          <w:rtl/>
        </w:rPr>
        <w:t>)</w:t>
      </w:r>
    </w:p>
    <w:p w:rsidR="00335E4B" w:rsidRPr="00335E4B" w:rsidRDefault="00335E4B" w:rsidP="007B782B">
      <w:pPr>
        <w:spacing w:after="120" w:line="400" w:lineRule="exact"/>
        <w:jc w:val="both"/>
        <w:rPr>
          <w:rFonts w:cs="Traditional Arabic"/>
          <w:sz w:val="30"/>
          <w:szCs w:val="30"/>
          <w:rtl/>
          <w:lang w:val="en-GB"/>
        </w:rPr>
      </w:pPr>
      <w:r w:rsidRPr="00335E4B">
        <w:rPr>
          <w:rFonts w:cs="Traditional Arabic" w:hint="cs"/>
          <w:sz w:val="30"/>
          <w:szCs w:val="30"/>
          <w:rtl/>
          <w:lang w:val="en-GB"/>
        </w:rPr>
        <w:t>ويمكن تحسين كفاءة هذه التقنية من خلال إضافة مواد ممتزة ذات مساحة سطحية كبيرة تتميز بخواص كيميائية محددة (مثلاً الكربون المنشط أو المواد الممتزة القائمة على الكالسيوم) لزيادة كمية الزئبق المرتبط بالجسيمات (انظر الفرع 3-2-2).</w:t>
      </w:r>
    </w:p>
    <w:p w:rsidR="002A1FFA" w:rsidRDefault="002A1FFA">
      <w:pPr>
        <w:bidi w:val="0"/>
        <w:rPr>
          <w:rFonts w:cs="Traditional Arabic"/>
          <w:b/>
          <w:bCs/>
          <w:sz w:val="30"/>
          <w:szCs w:val="30"/>
          <w:rtl/>
          <w:lang w:val="en-GB"/>
        </w:rPr>
      </w:pPr>
      <w:r>
        <w:rPr>
          <w:rFonts w:cs="Traditional Arabic"/>
          <w:b/>
          <w:bCs/>
          <w:sz w:val="30"/>
          <w:szCs w:val="30"/>
          <w:rtl/>
          <w:lang w:val="en-GB"/>
        </w:rPr>
        <w:br w:type="page"/>
      </w:r>
    </w:p>
    <w:p w:rsidR="00335E4B" w:rsidRPr="00335E4B" w:rsidRDefault="00335E4B" w:rsidP="00335E4B">
      <w:pPr>
        <w:spacing w:after="120" w:line="400" w:lineRule="exact"/>
        <w:jc w:val="both"/>
        <w:rPr>
          <w:rFonts w:cs="Traditional Arabic"/>
          <w:b/>
          <w:bCs/>
          <w:sz w:val="30"/>
          <w:szCs w:val="30"/>
          <w:lang w:val="en-GB"/>
        </w:rPr>
      </w:pPr>
      <w:r w:rsidRPr="00335E4B">
        <w:rPr>
          <w:rFonts w:cs="Traditional Arabic" w:hint="cs"/>
          <w:b/>
          <w:bCs/>
          <w:sz w:val="30"/>
          <w:szCs w:val="30"/>
          <w:rtl/>
          <w:lang w:val="en-GB"/>
        </w:rPr>
        <w:t>المنافع البيئية المتحققة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المنفعة البيئية الرئيسية هي خفض انبعاثات الزئبق. وقد تكون إمكانية التخفيض كبيرة ويعتمد ذلك بشكل رئيسي على درجة حرارة غاز المداخن ونسبة الغبار المنقول (المزال) بشكل متكرر ونسبة طريقة التشغيل المباشرة والمركبة (انظر الشكل 6-9 في التذييل). ويتعين تحديد كفاءة الإزالة خلال فترة زمنية تصل إلى عدة أيام أو أسابيع على الأقل. وأثبتت التجارب أنه باستخدام هذه التقنية يمكن خفض انبعاثات الزئبق بنسبة 10 إلى 35 في المائة </w:t>
      </w:r>
      <w:r w:rsidRPr="002A1FFA">
        <w:rPr>
          <w:rFonts w:asciiTheme="majorBidi" w:hAnsiTheme="majorBidi" w:cstheme="majorBidi"/>
          <w:sz w:val="20"/>
          <w:szCs w:val="20"/>
          <w:rtl/>
          <w:lang w:val="en-GB"/>
        </w:rPr>
        <w:t>(</w:t>
      </w:r>
      <w:r w:rsidRPr="002A1FFA">
        <w:rPr>
          <w:rFonts w:asciiTheme="majorBidi" w:hAnsiTheme="majorBidi" w:cstheme="majorBidi"/>
          <w:noProof/>
          <w:sz w:val="20"/>
          <w:szCs w:val="20"/>
        </w:rPr>
        <w:t>Oerter/Zunzer, 2012; Schäfer/Hoenig, 2001</w:t>
      </w:r>
      <w:r w:rsidRPr="002A1FFA">
        <w:rPr>
          <w:rFonts w:asciiTheme="majorBidi" w:hAnsiTheme="majorBidi" w:cstheme="majorBidi"/>
          <w:sz w:val="20"/>
          <w:szCs w:val="20"/>
          <w:rtl/>
          <w:lang w:val="en-GB"/>
        </w:rPr>
        <w:t>)</w:t>
      </w:r>
      <w:r w:rsidRPr="00335E4B">
        <w:rPr>
          <w:rFonts w:cs="Traditional Arabic" w:hint="cs"/>
          <w:sz w:val="30"/>
          <w:szCs w:val="30"/>
          <w:rtl/>
          <w:lang w:val="en-GB"/>
        </w:rPr>
        <w:t>. وتظهر التجارب المستمدة من منشآت إنتاج الإسمنت في ألمانيا أن استخدام هذه التقنية يخفض أيضاً الانبعاثات الجوية للمركبات الأخرى مثل الأمونيا.</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الآثار الشاملة لوسائط متعددة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عندما يستخدم الغبار المزال بشكل متكرر كمادة مضافة إلى الإسمنت فإن الزئبق ينتقل إلى المنتج النهائي. وإذا توزع الغبار بالتساوي في المنتج النهائي فإن تركيز الزئبق يصبح مماثلاً لتوزيعه في المواد الخام الأصلية. ويتعين رصد محتوى الزئبق في المنتج النهائي. ويرتبط الزئبق بالمكونات بمجرد إضافة الماء إلى الإسمنت. أما إذا لم يكن ممكناً استخدام الغبار المزال في المنتج النهائي فإنه يتعين عندئذٍ التخلص منه بطريقة سليمة.</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القابلية للتطبيق</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يمكن من حيث المبدأ تطبيق تقنية الإزالة المتكررة للغبار في جميع منشآت إنتاج الإسمنت، وهي تقنية أكثر فعاليةً في الأفران المحتوية على أجهزة التسخين المسبق وأجهزة التكليس المسبق خلال فترة توقف تشغيل طاحونة المواد الخام أو في سلسلة وقف تشغيل الطاحونة عند استخدام جزء من غاز العادم فقط في طاحونة المواد الخام. وفي التشكيلات الأخرى (مثلاً في الأفران الجافة الطويلة) تكون هذه التكنولوجيا أقل فعاليةً نظراً لأن درجة حرارة الغاز العادم تكون أعلى من 200مْ. وتعتمد الكفاءة التي يمكن تحقيقها على عدد من الباراميترات من ضمنها:</w:t>
      </w:r>
    </w:p>
    <w:p w:rsidR="00335E4B" w:rsidRPr="00335E4B" w:rsidRDefault="00335E4B" w:rsidP="00335E4B">
      <w:pPr>
        <w:numPr>
          <w:ilvl w:val="0"/>
          <w:numId w:val="34"/>
        </w:numPr>
        <w:spacing w:line="380" w:lineRule="exact"/>
        <w:ind w:left="714" w:hanging="357"/>
        <w:jc w:val="both"/>
        <w:rPr>
          <w:rFonts w:cs="Traditional Arabic"/>
          <w:sz w:val="30"/>
          <w:szCs w:val="30"/>
          <w:lang w:val="en-GB"/>
        </w:rPr>
      </w:pPr>
      <w:r w:rsidRPr="00335E4B">
        <w:rPr>
          <w:rFonts w:cs="Traditional Arabic" w:hint="cs"/>
          <w:sz w:val="30"/>
          <w:szCs w:val="30"/>
          <w:rtl/>
          <w:lang w:val="en-GB"/>
        </w:rPr>
        <w:t>العلاقة بين الزئبق المؤكسد والزئبق النقي في الغاز العادم</w:t>
      </w:r>
    </w:p>
    <w:p w:rsidR="00335E4B" w:rsidRPr="00335E4B" w:rsidRDefault="00335E4B" w:rsidP="00335E4B">
      <w:pPr>
        <w:numPr>
          <w:ilvl w:val="0"/>
          <w:numId w:val="34"/>
        </w:numPr>
        <w:spacing w:line="380" w:lineRule="exact"/>
        <w:ind w:left="714" w:hanging="357"/>
        <w:jc w:val="both"/>
        <w:rPr>
          <w:rFonts w:cs="Traditional Arabic"/>
          <w:sz w:val="30"/>
          <w:szCs w:val="30"/>
          <w:lang w:val="en-GB"/>
        </w:rPr>
      </w:pPr>
      <w:r w:rsidRPr="00335E4B">
        <w:rPr>
          <w:rFonts w:cs="Traditional Arabic" w:hint="cs"/>
          <w:sz w:val="30"/>
          <w:szCs w:val="30"/>
          <w:rtl/>
          <w:lang w:val="en-GB"/>
        </w:rPr>
        <w:t xml:space="preserve">العلاقة بين العمليات عند تشغيل طاحونة المواد الخام وعند إيقاف تشغيلها </w:t>
      </w:r>
    </w:p>
    <w:p w:rsidR="00335E4B" w:rsidRPr="00335E4B" w:rsidRDefault="00335E4B" w:rsidP="00335E4B">
      <w:pPr>
        <w:numPr>
          <w:ilvl w:val="0"/>
          <w:numId w:val="34"/>
        </w:numPr>
        <w:spacing w:line="380" w:lineRule="exact"/>
        <w:ind w:left="714" w:hanging="357"/>
        <w:jc w:val="both"/>
        <w:rPr>
          <w:rFonts w:cs="Traditional Arabic"/>
          <w:sz w:val="30"/>
          <w:szCs w:val="30"/>
          <w:lang w:val="en-GB"/>
        </w:rPr>
      </w:pPr>
      <w:r w:rsidRPr="00335E4B">
        <w:rPr>
          <w:rFonts w:cs="Traditional Arabic" w:hint="cs"/>
          <w:sz w:val="30"/>
          <w:szCs w:val="30"/>
          <w:rtl/>
          <w:lang w:val="en-GB"/>
        </w:rPr>
        <w:t>العلاقة بين طاحونة المواد الخام والقدرة الإنتاجية للفرن</w:t>
      </w:r>
    </w:p>
    <w:p w:rsidR="00335E4B" w:rsidRPr="00335E4B" w:rsidRDefault="00335E4B" w:rsidP="00335E4B">
      <w:pPr>
        <w:numPr>
          <w:ilvl w:val="0"/>
          <w:numId w:val="34"/>
        </w:numPr>
        <w:spacing w:line="380" w:lineRule="exact"/>
        <w:ind w:left="714" w:hanging="357"/>
        <w:jc w:val="both"/>
        <w:rPr>
          <w:rFonts w:cs="Traditional Arabic"/>
          <w:sz w:val="30"/>
          <w:szCs w:val="30"/>
          <w:lang w:val="en-GB"/>
        </w:rPr>
      </w:pPr>
      <w:r w:rsidRPr="00335E4B">
        <w:rPr>
          <w:rFonts w:cs="Traditional Arabic" w:hint="cs"/>
          <w:sz w:val="30"/>
          <w:szCs w:val="30"/>
          <w:rtl/>
          <w:lang w:val="en-GB"/>
        </w:rPr>
        <w:t>درجة حرارة الغاز العادم التي يمكن الوصول إليها في العمليات أثناء إيقاف تشغيل طاحونة المواد الخام</w:t>
      </w:r>
    </w:p>
    <w:p w:rsidR="00335E4B" w:rsidRPr="00335E4B" w:rsidRDefault="00335E4B" w:rsidP="00335E4B">
      <w:pPr>
        <w:numPr>
          <w:ilvl w:val="0"/>
          <w:numId w:val="34"/>
        </w:numPr>
        <w:spacing w:line="380" w:lineRule="exact"/>
        <w:ind w:left="714" w:hanging="357"/>
        <w:jc w:val="both"/>
        <w:rPr>
          <w:rFonts w:cs="Traditional Arabic"/>
          <w:sz w:val="30"/>
          <w:szCs w:val="30"/>
          <w:lang w:val="en-GB"/>
        </w:rPr>
      </w:pPr>
      <w:r w:rsidRPr="00335E4B">
        <w:rPr>
          <w:rFonts w:cs="Traditional Arabic" w:hint="cs"/>
          <w:sz w:val="30"/>
          <w:szCs w:val="30"/>
          <w:rtl/>
          <w:lang w:val="en-GB"/>
        </w:rPr>
        <w:t>وجود مستودع منفصل للغبار المزال</w:t>
      </w:r>
    </w:p>
    <w:p w:rsidR="00335E4B" w:rsidRPr="00335E4B" w:rsidRDefault="00335E4B" w:rsidP="00335E4B">
      <w:pPr>
        <w:numPr>
          <w:ilvl w:val="0"/>
          <w:numId w:val="34"/>
        </w:numPr>
        <w:spacing w:line="380" w:lineRule="exact"/>
        <w:ind w:left="714" w:hanging="357"/>
        <w:jc w:val="both"/>
        <w:rPr>
          <w:rFonts w:cs="Traditional Arabic"/>
          <w:sz w:val="30"/>
          <w:szCs w:val="30"/>
          <w:lang w:val="en-GB"/>
        </w:rPr>
      </w:pPr>
      <w:r w:rsidRPr="00335E4B">
        <w:rPr>
          <w:rFonts w:cs="Traditional Arabic" w:hint="cs"/>
          <w:sz w:val="30"/>
          <w:szCs w:val="30"/>
          <w:rtl/>
          <w:lang w:val="en-GB"/>
        </w:rPr>
        <w:t>احتمالات استخدام الغبار</w:t>
      </w:r>
    </w:p>
    <w:p w:rsidR="00335E4B" w:rsidRPr="00335E4B" w:rsidRDefault="00335E4B" w:rsidP="00335E4B">
      <w:pPr>
        <w:numPr>
          <w:ilvl w:val="0"/>
          <w:numId w:val="34"/>
        </w:numPr>
        <w:spacing w:after="120" w:line="400" w:lineRule="exact"/>
        <w:ind w:left="714" w:hanging="357"/>
        <w:jc w:val="both"/>
        <w:rPr>
          <w:rFonts w:cs="Traditional Arabic"/>
          <w:sz w:val="30"/>
          <w:szCs w:val="30"/>
          <w:lang w:val="en-GB"/>
        </w:rPr>
      </w:pPr>
      <w:r w:rsidRPr="00335E4B">
        <w:rPr>
          <w:rFonts w:cs="Traditional Arabic" w:hint="cs"/>
          <w:sz w:val="30"/>
          <w:szCs w:val="30"/>
          <w:rtl/>
          <w:lang w:val="en-GB"/>
        </w:rPr>
        <w:t>مستوى تخصيب النظام بالزئبق (التخصيب الأقل يعني أنه يتعين إزالة المزيد من الغبار أو المزيد من الدقيق الخام من النظام)</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b/>
          <w:bCs/>
          <w:sz w:val="30"/>
          <w:szCs w:val="30"/>
          <w:rtl/>
          <w:lang w:val="en-GB"/>
        </w:rPr>
        <w:t>التكاليف</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بالنسبة للمرافق التي لا تنفذ بالفعل عملية إزالة الغبار يلزم الاستثمار الإضافي في نظم نقل الغبار ومستودعات التخزين ومعدات تحديد الجرعات لطاحونة الإسمنت.</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المنشآت المرجعية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سيميكس (</w:t>
      </w:r>
      <w:r w:rsidRPr="00335E4B">
        <w:rPr>
          <w:rFonts w:cs="Times New Roman"/>
          <w:bCs/>
          <w:noProof/>
          <w:sz w:val="20"/>
          <w:szCs w:val="22"/>
        </w:rPr>
        <w:t>Cemex</w:t>
      </w:r>
      <w:r w:rsidRPr="00335E4B">
        <w:rPr>
          <w:rFonts w:cs="Traditional Arabic" w:hint="cs"/>
          <w:sz w:val="30"/>
          <w:szCs w:val="30"/>
          <w:rtl/>
          <w:lang w:val="en-GB"/>
        </w:rPr>
        <w:t>): بروكسفيل، فلوريدا، الولايات المتحدة</w:t>
      </w:r>
    </w:p>
    <w:p w:rsidR="00335E4B" w:rsidRPr="00335E4B" w:rsidRDefault="00335E4B" w:rsidP="002A1FFA">
      <w:pPr>
        <w:keepNext/>
        <w:spacing w:before="120" w:after="120" w:line="360" w:lineRule="exact"/>
        <w:ind w:left="991" w:hanging="993"/>
        <w:jc w:val="both"/>
        <w:outlineLvl w:val="3"/>
        <w:rPr>
          <w:rFonts w:cs="Traditional Arabic"/>
          <w:b/>
          <w:bCs/>
          <w:sz w:val="30"/>
          <w:szCs w:val="30"/>
          <w:rtl/>
        </w:rPr>
      </w:pPr>
      <w:r w:rsidRPr="00335E4B">
        <w:rPr>
          <w:rFonts w:cs="Traditional Arabic" w:hint="cs"/>
          <w:b/>
          <w:bCs/>
          <w:sz w:val="30"/>
          <w:szCs w:val="30"/>
          <w:rtl/>
        </w:rPr>
        <w:t>الإزالة المتكررة للغبار عن طريق حقن مادة ممتزة</w:t>
      </w:r>
    </w:p>
    <w:p w:rsidR="00335E4B" w:rsidRPr="00335E4B" w:rsidRDefault="00335E4B" w:rsidP="002A1FFA">
      <w:pPr>
        <w:spacing w:after="120" w:line="360" w:lineRule="exact"/>
        <w:jc w:val="both"/>
        <w:rPr>
          <w:rFonts w:cs="Traditional Arabic"/>
          <w:sz w:val="30"/>
          <w:szCs w:val="30"/>
          <w:lang w:val="en-GB"/>
        </w:rPr>
      </w:pPr>
      <w:r w:rsidRPr="00335E4B">
        <w:rPr>
          <w:rFonts w:cs="Traditional Arabic" w:hint="cs"/>
          <w:sz w:val="30"/>
          <w:szCs w:val="30"/>
          <w:rtl/>
          <w:lang w:val="en-GB"/>
        </w:rPr>
        <w:t>يمكن من خلال الإزالة المتكررة للغبار بالاقتران مع حقن مادة ممتزة تحقيق كفاءة إزالة أعلى للزئبق مقارنةً باستخدام الإزالة المتكررة للغبار وحدها. وفي العادة تحقن المواد الممتزة أثناء العمل مع وقف تشغيل طاحونة المواد الخام بهدف خفض الانبعاثات القصوى في وضعية التشغيل هذه، الأمر الذي يؤدي أيضاً إلى تخفيض كمية المادة الممتزة الضرورية لضبط انبعاثات الزئبق بالمستويات المرغوب فيها. وباستثناء حالات قليلة جداً (في ظروف مدخلات محددة) لا تكون هناك حاجة لحقن مواد ممتزة عند العمل مع تشغيل طاحونة المواد الخام نظراً لأن احتجاز الزئبق في طاحونة المواد الخام يكفي لضبط انبعاثات الزئبق بالمستويات المرغوب بها.</w:t>
      </w:r>
    </w:p>
    <w:p w:rsidR="00335E4B" w:rsidRPr="00335E4B" w:rsidRDefault="00335E4B" w:rsidP="002A1FFA">
      <w:pPr>
        <w:spacing w:after="120" w:line="360" w:lineRule="exact"/>
        <w:jc w:val="both"/>
        <w:rPr>
          <w:rFonts w:cs="Traditional Arabic"/>
          <w:sz w:val="30"/>
          <w:szCs w:val="30"/>
          <w:rtl/>
          <w:lang w:val="en-GB"/>
        </w:rPr>
      </w:pPr>
      <w:r w:rsidRPr="00335E4B">
        <w:rPr>
          <w:rFonts w:cs="Traditional Arabic" w:hint="cs"/>
          <w:sz w:val="30"/>
          <w:szCs w:val="30"/>
          <w:rtl/>
          <w:lang w:val="en-GB"/>
        </w:rPr>
        <w:t>وتتاح في الأسواق أنواع متعددة من المواد الممتزة مثل الكربون، والكربون المنشط، واللغنيت المنشط (كوك اللغنيت)، والزيوليتات، والخلائط المعدنية المتفاعلة المحتوية على صلصال نشط أو مركبات كالسيوم نشطة.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4644"/>
      </w:tblGrid>
      <w:tr w:rsidR="00335E4B" w:rsidRPr="00335E4B" w:rsidTr="00D002D1">
        <w:tc>
          <w:tcPr>
            <w:tcW w:w="4551" w:type="dxa"/>
            <w:shd w:val="clear" w:color="auto" w:fill="auto"/>
          </w:tcPr>
          <w:p w:rsidR="00335E4B" w:rsidRPr="00335E4B" w:rsidRDefault="00335E4B" w:rsidP="00335E4B">
            <w:pPr>
              <w:tabs>
                <w:tab w:val="left" w:pos="1247"/>
                <w:tab w:val="left" w:pos="1814"/>
                <w:tab w:val="left" w:pos="2381"/>
                <w:tab w:val="left" w:pos="2948"/>
                <w:tab w:val="left" w:pos="3515"/>
              </w:tabs>
              <w:spacing w:before="120" w:after="120"/>
              <w:jc w:val="both"/>
              <w:rPr>
                <w:rFonts w:cs="Times New Roman"/>
                <w:noProof/>
                <w:sz w:val="20"/>
                <w:szCs w:val="20"/>
              </w:rPr>
            </w:pPr>
            <w:r>
              <w:rPr>
                <w:rFonts w:cs="Times New Roman"/>
                <w:noProof/>
                <w:sz w:val="20"/>
                <w:szCs w:val="20"/>
                <w:lang w:val="en-GB" w:eastAsia="zh-CN"/>
              </w:rPr>
              <w:drawing>
                <wp:inline distT="0" distB="0" distL="0" distR="0" wp14:anchorId="5EA94946" wp14:editId="1F6CE7BC">
                  <wp:extent cx="2823210" cy="2193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23210" cy="2193925"/>
                          </a:xfrm>
                          <a:prstGeom prst="rect">
                            <a:avLst/>
                          </a:prstGeom>
                          <a:noFill/>
                          <a:ln>
                            <a:noFill/>
                          </a:ln>
                        </pic:spPr>
                      </pic:pic>
                    </a:graphicData>
                  </a:graphic>
                </wp:inline>
              </w:drawing>
            </w:r>
          </w:p>
        </w:tc>
        <w:tc>
          <w:tcPr>
            <w:tcW w:w="4644" w:type="dxa"/>
            <w:shd w:val="clear" w:color="auto" w:fill="auto"/>
          </w:tcPr>
          <w:p w:rsidR="00335E4B" w:rsidRPr="00335E4B" w:rsidRDefault="00335E4B" w:rsidP="00335E4B">
            <w:pPr>
              <w:tabs>
                <w:tab w:val="left" w:pos="1247"/>
                <w:tab w:val="left" w:pos="1814"/>
                <w:tab w:val="left" w:pos="2381"/>
                <w:tab w:val="left" w:pos="2948"/>
                <w:tab w:val="left" w:pos="3515"/>
              </w:tabs>
              <w:spacing w:before="120" w:after="120"/>
              <w:jc w:val="both"/>
              <w:rPr>
                <w:rFonts w:cs="Times New Roman"/>
                <w:noProof/>
                <w:sz w:val="20"/>
                <w:szCs w:val="20"/>
              </w:rPr>
            </w:pPr>
            <w:r>
              <w:rPr>
                <w:rFonts w:cs="Traditional Arabic"/>
                <w:noProof/>
                <w:sz w:val="20"/>
                <w:szCs w:val="30"/>
                <w:lang w:val="en-GB" w:eastAsia="zh-CN"/>
              </w:rPr>
              <mc:AlternateContent>
                <mc:Choice Requires="wps">
                  <w:drawing>
                    <wp:inline distT="0" distB="0" distL="0" distR="0" wp14:anchorId="3002E0F4" wp14:editId="797CB951">
                      <wp:extent cx="2596515" cy="2180590"/>
                      <wp:effectExtent l="0" t="0" r="0" b="0"/>
                      <wp:docPr id="42"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6515" cy="218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 o:spid="_x0000_s1026" style="width:204.45pt;height:17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" filled="f" stroked="f">
                      <o:lock v:ext="edit" aspectratio="t"/>
                      <w10:anchorlock/>
                    </v:rect>
                  </w:pict>
                </mc:Fallback>
              </mc:AlternateContent>
            </w:r>
          </w:p>
        </w:tc>
      </w:tr>
    </w:tbl>
    <w:p w:rsidR="00335E4B" w:rsidRPr="00335E4B" w:rsidRDefault="00335E4B" w:rsidP="002A1FFA">
      <w:pPr>
        <w:tabs>
          <w:tab w:val="left" w:pos="1247"/>
          <w:tab w:val="left" w:pos="1814"/>
          <w:tab w:val="left" w:pos="2381"/>
          <w:tab w:val="left" w:pos="2948"/>
          <w:tab w:val="left" w:pos="3515"/>
        </w:tabs>
        <w:spacing w:before="120" w:line="320" w:lineRule="exact"/>
        <w:jc w:val="both"/>
        <w:rPr>
          <w:rFonts w:cs="Times New Roman"/>
          <w:b/>
          <w:noProof/>
          <w:sz w:val="20"/>
          <w:szCs w:val="22"/>
          <w:rtl/>
        </w:rPr>
      </w:pPr>
      <w:r w:rsidRPr="002A1FFA">
        <w:rPr>
          <w:rFonts w:ascii="Traditional Arabic" w:hAnsi="Traditional Arabic" w:cs="Traditional Arabic"/>
          <w:bCs/>
          <w:noProof/>
          <w:sz w:val="30"/>
          <w:szCs w:val="30"/>
          <w:rtl/>
        </w:rPr>
        <w:t>الشكل 6</w:t>
      </w:r>
      <w:r w:rsidR="00E439A9" w:rsidRPr="002A1FFA">
        <w:rPr>
          <w:rFonts w:ascii="Traditional Arabic" w:hAnsi="Traditional Arabic" w:cs="Traditional Arabic" w:hint="cs"/>
          <w:bCs/>
          <w:noProof/>
          <w:sz w:val="30"/>
          <w:szCs w:val="30"/>
          <w:rtl/>
        </w:rPr>
        <w:t>.</w:t>
      </w:r>
      <w:r w:rsidRPr="002A1FFA">
        <w:rPr>
          <w:rFonts w:ascii="Traditional Arabic" w:hAnsi="Traditional Arabic" w:cs="Traditional Arabic"/>
          <w:bCs/>
          <w:noProof/>
          <w:sz w:val="30"/>
          <w:szCs w:val="30"/>
          <w:rtl/>
        </w:rPr>
        <w:t xml:space="preserve"> رسم توضيحي لحقن اللغنيت المنشط (كوك اللغنيت) داخل غاز المداخن بين برج التكييف والمرشح الكيسي</w:t>
      </w:r>
      <w:r w:rsidRPr="002A1FFA">
        <w:rPr>
          <w:rFonts w:cs="Times New Roman" w:hint="cs"/>
          <w:b/>
          <w:noProof/>
          <w:sz w:val="30"/>
          <w:szCs w:val="30"/>
          <w:rtl/>
        </w:rPr>
        <w:t xml:space="preserve"> </w:t>
      </w:r>
      <w:r w:rsidRPr="002A1FFA">
        <w:rPr>
          <w:rFonts w:cs="Times New Roman" w:hint="cs"/>
          <w:b/>
          <w:noProof/>
          <w:sz w:val="20"/>
          <w:szCs w:val="20"/>
          <w:rtl/>
        </w:rPr>
        <w:t>(</w:t>
      </w:r>
      <w:r w:rsidRPr="002A1FFA">
        <w:rPr>
          <w:rFonts w:cs="Times New Roman"/>
          <w:b/>
          <w:noProof/>
          <w:sz w:val="20"/>
          <w:szCs w:val="20"/>
        </w:rPr>
        <w:t>Lafarge Wössingen, 2015</w:t>
      </w:r>
      <w:r w:rsidRPr="002A1FFA">
        <w:rPr>
          <w:rFonts w:cs="Times New Roman" w:hint="cs"/>
          <w:b/>
          <w:noProof/>
          <w:sz w:val="20"/>
          <w:szCs w:val="20"/>
          <w:rtl/>
        </w:rPr>
        <w:t>)</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ويجب المحافظة على أقل درجة حرارة ممكنة لغاز المداخن، ويفضل أن تكون أقل من 130مْ بهدف تحقيق كفاءة امتزاز عالية. ويمكن إجراء عملية الحقن من خلال كيس كبير يحتوي على المادة الممتزة ووحدة تقديم الجرعات.</w:t>
      </w:r>
    </w:p>
    <w:p w:rsidR="00335E4B" w:rsidRPr="00335E4B" w:rsidRDefault="00335E4B" w:rsidP="002A1FFA">
      <w:pPr>
        <w:spacing w:line="340" w:lineRule="exact"/>
        <w:jc w:val="both"/>
        <w:rPr>
          <w:rFonts w:cs="Traditional Arabic"/>
          <w:sz w:val="30"/>
          <w:szCs w:val="30"/>
          <w:rtl/>
          <w:lang w:val="en-GB"/>
        </w:rPr>
      </w:pPr>
      <w:r w:rsidRPr="00335E4B">
        <w:rPr>
          <w:rFonts w:cs="Traditional Arabic" w:hint="cs"/>
          <w:sz w:val="30"/>
          <w:szCs w:val="30"/>
          <w:rtl/>
          <w:lang w:val="en-GB"/>
        </w:rPr>
        <w:t>وبعد الشروع في تقديم جرعات المادة الممتزة يمكن أن يلاحظ الانخفاض في انبعاثات الزئبق خلال بضع دقائق (الشكل 7).</w:t>
      </w:r>
    </w:p>
    <w:p w:rsidR="00335E4B" w:rsidRPr="00335E4B" w:rsidRDefault="00335E4B" w:rsidP="00335E4B">
      <w:pPr>
        <w:tabs>
          <w:tab w:val="left" w:pos="1247"/>
          <w:tab w:val="left" w:pos="1814"/>
          <w:tab w:val="left" w:pos="2381"/>
          <w:tab w:val="left" w:pos="2948"/>
          <w:tab w:val="left" w:pos="3515"/>
        </w:tabs>
        <w:spacing w:before="120" w:after="120" w:line="276" w:lineRule="auto"/>
        <w:jc w:val="both"/>
        <w:rPr>
          <w:rFonts w:cs="Times New Roman"/>
          <w:noProof/>
          <w:sz w:val="20"/>
          <w:szCs w:val="22"/>
        </w:rPr>
      </w:pPr>
      <w:r>
        <w:rPr>
          <w:rFonts w:cs="Times New Roman"/>
          <w:noProof/>
          <w:sz w:val="20"/>
          <w:szCs w:val="22"/>
          <w:lang w:val="en-GB" w:eastAsia="zh-CN"/>
        </w:rPr>
        <w:drawing>
          <wp:inline distT="0" distB="0" distL="0" distR="0" wp14:anchorId="40DE5FF9" wp14:editId="2E149D90">
            <wp:extent cx="5784215" cy="2508250"/>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84215" cy="2508250"/>
                    </a:xfrm>
                    <a:prstGeom prst="rect">
                      <a:avLst/>
                    </a:prstGeom>
                    <a:noFill/>
                    <a:ln>
                      <a:noFill/>
                    </a:ln>
                  </pic:spPr>
                </pic:pic>
              </a:graphicData>
            </a:graphic>
          </wp:inline>
        </w:drawing>
      </w:r>
    </w:p>
    <w:p w:rsidR="00335E4B" w:rsidRPr="00335E4B" w:rsidRDefault="00335E4B" w:rsidP="002A1FFA">
      <w:pPr>
        <w:tabs>
          <w:tab w:val="left" w:pos="1247"/>
          <w:tab w:val="left" w:pos="1814"/>
          <w:tab w:val="left" w:pos="2381"/>
          <w:tab w:val="left" w:pos="2948"/>
          <w:tab w:val="left" w:pos="3515"/>
        </w:tabs>
        <w:spacing w:before="120" w:after="120" w:line="340" w:lineRule="exact"/>
        <w:jc w:val="both"/>
        <w:rPr>
          <w:rFonts w:ascii="Traditional Arabic" w:hAnsi="Traditional Arabic" w:cs="Traditional Arabic"/>
          <w:bCs/>
          <w:noProof/>
          <w:sz w:val="20"/>
          <w:szCs w:val="24"/>
        </w:rPr>
      </w:pPr>
      <w:r w:rsidRPr="002A1FFA">
        <w:rPr>
          <w:rFonts w:ascii="Traditional Arabic" w:hAnsi="Traditional Arabic" w:cs="Traditional Arabic" w:hint="cs"/>
          <w:bCs/>
          <w:noProof/>
          <w:sz w:val="30"/>
          <w:szCs w:val="30"/>
          <w:rtl/>
        </w:rPr>
        <w:t>الشكل 7</w:t>
      </w:r>
      <w:r w:rsidR="00E439A9" w:rsidRPr="002A1FFA">
        <w:rPr>
          <w:rFonts w:ascii="Traditional Arabic" w:hAnsi="Traditional Arabic" w:cs="Traditional Arabic" w:hint="cs"/>
          <w:bCs/>
          <w:noProof/>
          <w:sz w:val="30"/>
          <w:szCs w:val="30"/>
          <w:rtl/>
        </w:rPr>
        <w:t>.</w:t>
      </w:r>
      <w:r w:rsidRPr="002A1FFA">
        <w:rPr>
          <w:rFonts w:ascii="Traditional Arabic" w:hAnsi="Traditional Arabic" w:cs="Traditional Arabic" w:hint="cs"/>
          <w:bCs/>
          <w:noProof/>
          <w:sz w:val="30"/>
          <w:szCs w:val="30"/>
          <w:rtl/>
        </w:rPr>
        <w:t xml:space="preserve"> مثال لخفض انبعاثات الزئبق من خلال حقن كوك اللغنيت؛ وأمكن الوصول إلى منحنى الانبعاثات الموضح من خلال الرصد المستمر للزئبق في الغاز العادم من المداخن </w:t>
      </w:r>
      <w:r w:rsidRPr="002A1FFA">
        <w:rPr>
          <w:rFonts w:asciiTheme="majorBidi" w:hAnsiTheme="majorBidi" w:cstheme="majorBidi"/>
          <w:bCs/>
          <w:noProof/>
          <w:sz w:val="20"/>
          <w:szCs w:val="20"/>
          <w:rtl/>
        </w:rPr>
        <w:t>(</w:t>
      </w:r>
      <w:r w:rsidRPr="002A1FFA">
        <w:rPr>
          <w:rFonts w:asciiTheme="majorBidi" w:hAnsiTheme="majorBidi" w:cstheme="majorBidi"/>
          <w:b/>
          <w:noProof/>
          <w:sz w:val="20"/>
          <w:szCs w:val="20"/>
        </w:rPr>
        <w:t>based on Lafarge Wössingen, 2015</w:t>
      </w:r>
      <w:r w:rsidRPr="002A1FFA">
        <w:rPr>
          <w:rFonts w:asciiTheme="majorBidi" w:hAnsiTheme="majorBidi" w:cstheme="majorBidi"/>
          <w:bCs/>
          <w:noProof/>
          <w:sz w:val="20"/>
          <w:szCs w:val="20"/>
          <w:rtl/>
        </w:rPr>
        <w:t>)</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ويتطلب استخدام المواد الممتزة إزالة الغبار الملوث بالمادة الممتزة المحملة بالزئبق. ولهذا يمكن اعتبار حقن المواد الممتزة تدبيراً لتعزيز كفاءة الاحتجاز لعملية إزالة الغبار. ونظراً لأن تقنية الإزالة المتكررة للغبار تعمل بشكل أفضل مع الزئبق المؤكسد مقارنةً بالزئبق النقي فإنه يمكن مضاعفة القدرة على الامتزاز من خلال استخدام مواد مضافة من قبيل البروم أو الكبريت أو مركبات أكثر تعقيداً تتميز بخواص كيميائية مماثلة. وفي عدد قليل من منشآت إنتاج الإسمنت جرى استخدام مواد ممتزة مشربة بمركبات البروم أو الكبريت بهدف تحسين كفاءة احتجاز الزئبق.</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وعند السعي لتخفيض الانبعاثات القصوى قد تدوم فترة إضافة الجرعات لساعات قليلة فقط في اليوم. بعد ذلك يمكن على الأرجح إضافة الغبار المحتوي على المادة الممتزة المشبعة بالزئبق إلى طاحونة الإسمنت. أما في حالات الحقن المستمر فقد يتعين التخلص من الغبار المحتوي على المادة الممتزة المشبعة بالزئبق بشكل منفصل لأن إضافة كميات كبيرة من الغبار المحتوي على المادة الممتزة المشبعة بالزئبق إلى الإسمنت قد يضر بجودة الإسمنت. وفي حال استخدام الغبار المزال كمكون من مكونات الإسمنت في طاحونة الإسمنت فإنه يتعين رصد الآثار المحتملة على جودة الإسمنت.</w:t>
      </w:r>
    </w:p>
    <w:p w:rsidR="00335E4B" w:rsidRPr="00335E4B" w:rsidRDefault="00335E4B" w:rsidP="00335E4B">
      <w:pPr>
        <w:spacing w:after="120" w:line="400" w:lineRule="exact"/>
        <w:jc w:val="both"/>
        <w:rPr>
          <w:rFonts w:cs="Times New Roman"/>
          <w:b/>
          <w:bCs/>
          <w:noProof/>
          <w:sz w:val="20"/>
          <w:szCs w:val="22"/>
          <w:rtl/>
        </w:rPr>
      </w:pPr>
      <w:r w:rsidRPr="00335E4B">
        <w:rPr>
          <w:rFonts w:cs="Traditional Arabic" w:hint="cs"/>
          <w:b/>
          <w:bCs/>
          <w:sz w:val="30"/>
          <w:szCs w:val="30"/>
          <w:rtl/>
          <w:lang w:val="en-GB"/>
        </w:rPr>
        <w:t>المنافع البيئية المتحققة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يمكن من خلال الإزالة المتكررة للغبار مع حقن مادة ممتزة الوصول إلى انبعاثات منخفضة للغاية من الزئبق حيث يمكن خفض انبعاثات الزئبق بما نسبته 70 إلى 90 في المائة (</w:t>
      </w:r>
      <w:r w:rsidRPr="00335E4B">
        <w:rPr>
          <w:rFonts w:cs="Times New Roman"/>
          <w:bCs/>
          <w:noProof/>
          <w:sz w:val="20"/>
          <w:szCs w:val="22"/>
        </w:rPr>
        <w:t>Lafarge Wössingen, 2015</w:t>
      </w:r>
      <w:r w:rsidRPr="00335E4B">
        <w:rPr>
          <w:rFonts w:cs="Traditional Arabic" w:hint="cs"/>
          <w:sz w:val="30"/>
          <w:szCs w:val="30"/>
          <w:rtl/>
          <w:lang w:val="en-GB"/>
        </w:rPr>
        <w:t>). ويعتمد مستوى الانبعاثات على التركيز المستهدف الذي صُمم النظام لتحقيقه. ففي ألمانيا ركَّبت بعض منشآت الإسمنت نظماً لحقن المواد الممتزة مصممة للإبقاء على مستويات انبعاثات الزئبق عند أقل من 0,03 مليغرام/متر</w:t>
      </w:r>
      <w:r w:rsidRPr="00335E4B">
        <w:rPr>
          <w:rFonts w:cs="Traditional Arabic" w:hint="cs"/>
          <w:sz w:val="30"/>
          <w:szCs w:val="30"/>
          <w:vertAlign w:val="superscript"/>
          <w:rtl/>
          <w:lang w:val="en-GB"/>
        </w:rPr>
        <w:t>3</w:t>
      </w:r>
      <w:r w:rsidRPr="00335E4B">
        <w:rPr>
          <w:rFonts w:cs="Traditional Arabic" w:hint="cs"/>
          <w:sz w:val="30"/>
          <w:szCs w:val="30"/>
          <w:rtl/>
          <w:lang w:val="en-GB"/>
        </w:rPr>
        <w:t xml:space="preserve"> عادي كقيمة متوسطة يومية وعند 0,05 مليغرام/ متر</w:t>
      </w:r>
      <w:r w:rsidRPr="00335E4B">
        <w:rPr>
          <w:rFonts w:cs="Traditional Arabic" w:hint="cs"/>
          <w:sz w:val="30"/>
          <w:szCs w:val="30"/>
          <w:vertAlign w:val="superscript"/>
          <w:rtl/>
          <w:lang w:val="en-GB"/>
        </w:rPr>
        <w:t>3</w:t>
      </w:r>
      <w:r w:rsidRPr="00335E4B">
        <w:rPr>
          <w:rFonts w:cs="Traditional Arabic" w:hint="cs"/>
          <w:sz w:val="30"/>
          <w:szCs w:val="30"/>
          <w:rtl/>
          <w:lang w:val="en-GB"/>
        </w:rPr>
        <w:t xml:space="preserve"> عادي كقيمة متوسطة لكل نصف ساعة عند ظروف مرجعية بدرجة حرارة 273 كلفن، وضغط جوي 101,3 كيلوباسكال، و10 في المائة أكسجين وغاز جاف. وفي منشأة لافارج فوسنيغين لإنتاج الإسمنت في فالتزباختال بألمانيا أمكن الوصول إلى تركيز زئبق يقل عن 28 ميكروغرام/ متر</w:t>
      </w:r>
      <w:r w:rsidRPr="00335E4B">
        <w:rPr>
          <w:rFonts w:cs="Traditional Arabic" w:hint="cs"/>
          <w:sz w:val="30"/>
          <w:szCs w:val="30"/>
          <w:vertAlign w:val="superscript"/>
          <w:rtl/>
          <w:lang w:val="en-GB"/>
        </w:rPr>
        <w:t>3</w:t>
      </w:r>
      <w:r w:rsidRPr="00335E4B">
        <w:rPr>
          <w:rFonts w:cs="Traditional Arabic" w:hint="cs"/>
          <w:sz w:val="30"/>
          <w:szCs w:val="30"/>
          <w:rtl/>
          <w:lang w:val="en-GB"/>
        </w:rPr>
        <w:t xml:space="preserve"> عادي (قيمة متوسطة يومية عند درجة حرارة 273 كلفن، وضغط جوي 101,3 كيلوباسكال، و10 في المائة أكسجين وغاز جاف).</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الآثار الشاملة لوسائط متعددة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عندما يستخدم الغبار المزال كمادة مضافة إلى الإسمنت فإن المادة الممتزة والزئبق ينتقلان إلى المنتج النهائي. وإذا توزع الغبار بالتساوي في المنتج النهائي فإن تركيز الزئبق يصبح مماثلاً لتوزيعه في المواد الخام الأصلية. ويتعين في هذه الحالة رصد محتوى الزئبق في المنتج النهائي. وفي كل الأحوال يجب ألا تكون هناك أي انبعاثات للزئبق في الجو من هذه المنتجات. علاوةً على ذلك يتعين رصد تأثير المادة الممتزة على جودة الإسمنت والتحكم فيه. وإذا لم يكن ممكناً استخدام الغبار المزال في المنتج النهائي فإنه يتعين عندئذٍ التخلص منه بطريقة سليمة.</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القابلية للتطبيق</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تنطبق هذه التقنية في المنشآت القائمة والجديدة. وأبلغ عن استخدام المواد الممتزة لخفض الانبعاثات الجوية للزئبق بصورة رئيسية في الولايات المتحدة الأمريكية وألمانيا.</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تعتبر الإزالة المتكررة للغبار مع حقن مادة ممتزة أعلى كلفة من عملية إزالة الغبار وحدها. ونظراً لأن فعالية إزالة الغبار تعتمد بشكل كبير على العوامل المحددة في الموقع، يطبق الحقن بالمواد الممتزة على نطاق أوسع ويمكن من خلاله تحقيق مستويات أقل من انبعاثات الزئبق الإجمالية.</w:t>
      </w:r>
    </w:p>
    <w:p w:rsidR="00CE5533" w:rsidRDefault="00CE5533">
      <w:pPr>
        <w:bidi w:val="0"/>
        <w:rPr>
          <w:rFonts w:cs="Traditional Arabic"/>
          <w:b/>
          <w:bCs/>
          <w:sz w:val="30"/>
          <w:szCs w:val="30"/>
          <w:rtl/>
          <w:lang w:val="en-GB"/>
        </w:rPr>
      </w:pPr>
      <w:r>
        <w:rPr>
          <w:rFonts w:cs="Traditional Arabic"/>
          <w:b/>
          <w:bCs/>
          <w:sz w:val="30"/>
          <w:szCs w:val="30"/>
          <w:rtl/>
          <w:lang w:val="en-GB"/>
        </w:rPr>
        <w:br w:type="page"/>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b/>
          <w:bCs/>
          <w:sz w:val="30"/>
          <w:szCs w:val="30"/>
          <w:rtl/>
          <w:lang w:val="en-GB"/>
        </w:rPr>
        <w:t>التكاليف</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عند السعي لخفض الانبعاثات القصوى، في الحالات التي تتم فيها إضافة جرعات المادة الممتزة لساعات قليلة فقط في اليوم، تكون تكاليف التشغيل منخفضة. ويتعين فقط تغطية تكاليف الكهرباء (المراوح ووحدات إضافة الجرعات) واستهلاك المادة الممتزة (زهاء طن واحد في اليوم). وتبلغ تكاليف التشغيل التقديرية زهاء 0,2 يورو لكل طن من كريات الكلنكر (1 طن من كوك اللغنيت المنشط، 168 كيلوواط ساعة و300 2 طن من كريات الكلنكر في اليوم، وفق الأسعار في ألمانيا في عام 2015). وعند هذه المستويات يمكن على الأرجح إضافة المادة الممتزة الداخلة في تركيب غبار المرشح إلى طاحونة الإسمنت. ونتيجةً لذلك لا تترتب تكاليف تخلص إضافية.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rPr>
        <w:t xml:space="preserve">أما في حالة الحقن المستمر، </w:t>
      </w:r>
      <w:r w:rsidRPr="00335E4B">
        <w:rPr>
          <w:rFonts w:cs="Traditional Arabic" w:hint="cs"/>
          <w:sz w:val="30"/>
          <w:szCs w:val="30"/>
          <w:rtl/>
          <w:lang w:val="en-GB"/>
        </w:rPr>
        <w:t>فإذا لم يكن ممكناً إضافة الغبار المحتوي على المادة الممتزة المحملة بالزئبق إلى طاحونة الإسمنت فيتعين التخلص منه بطريقة سليمة.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وتبلغ تكاليف الاستثمار (الشراء والتركيب) في نظام حقن المواد الممتزة زهاء 000 50 دولار </w:t>
      </w:r>
      <w:r w:rsidRPr="00335E4B">
        <w:rPr>
          <w:rFonts w:cs="Traditional Arabic"/>
          <w:sz w:val="30"/>
          <w:szCs w:val="30"/>
          <w:rtl/>
          <w:lang w:val="en-GB"/>
        </w:rPr>
        <w:t>–</w:t>
      </w:r>
      <w:r w:rsidRPr="00335E4B">
        <w:rPr>
          <w:rFonts w:cs="Traditional Arabic" w:hint="cs"/>
          <w:sz w:val="30"/>
          <w:szCs w:val="30"/>
          <w:rtl/>
          <w:lang w:val="en-GB"/>
        </w:rPr>
        <w:t xml:space="preserve"> 000 100 دولار اعتماداً على الجهة الموردة وطاقة المنشأة.</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المنشآت المرجعية</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 xml:space="preserve">منشأة لافارج فوسنيغين لإنتاج الإسمنت، فالتزباختال، ألمانيا (بيعت في عام 2015 لشركة سي آر إتش </w:t>
      </w:r>
      <w:r w:rsidRPr="00335E4B">
        <w:rPr>
          <w:rFonts w:eastAsia="Calibri" w:cs="Times New Roman"/>
          <w:sz w:val="20"/>
          <w:szCs w:val="22"/>
        </w:rPr>
        <w:t>CRH</w:t>
      </w:r>
      <w:r w:rsidRPr="00335E4B">
        <w:rPr>
          <w:rFonts w:cs="Traditional Arabic" w:hint="cs"/>
          <w:sz w:val="30"/>
          <w:szCs w:val="30"/>
          <w:rtl/>
          <w:lang w:val="en-GB"/>
        </w:rPr>
        <w:t>)</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شركة سيميكس (</w:t>
      </w:r>
      <w:r w:rsidRPr="00335E4B">
        <w:rPr>
          <w:rFonts w:eastAsia="Calibri" w:cs="Times New Roman"/>
          <w:sz w:val="20"/>
          <w:szCs w:val="22"/>
        </w:rPr>
        <w:t>Cemex OstZement GmbH</w:t>
      </w:r>
      <w:r w:rsidRPr="00335E4B">
        <w:rPr>
          <w:rFonts w:cs="Traditional Arabic" w:hint="cs"/>
          <w:sz w:val="30"/>
          <w:szCs w:val="30"/>
          <w:rtl/>
          <w:lang w:val="en-GB"/>
        </w:rPr>
        <w:t>)، رودرسدورف، ألمانيا</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شركة هولسيم (</w:t>
      </w:r>
      <w:r w:rsidRPr="00335E4B">
        <w:rPr>
          <w:rFonts w:eastAsia="Calibri" w:cs="Times New Roman"/>
          <w:sz w:val="20"/>
          <w:szCs w:val="22"/>
          <w:lang w:val="de-CH"/>
        </w:rPr>
        <w:t>Holcim Zementwerk Beckum-Kollenbach</w:t>
      </w:r>
      <w:r w:rsidRPr="00335E4B">
        <w:rPr>
          <w:rFonts w:cs="Traditional Arabic" w:hint="cs"/>
          <w:sz w:val="30"/>
          <w:szCs w:val="30"/>
          <w:rtl/>
          <w:lang w:val="en-GB"/>
        </w:rPr>
        <w:t>)، ألمانيا (قبل سيميكس)</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شركة ليهاي للإسمنت (</w:t>
      </w:r>
      <w:r w:rsidRPr="00335E4B">
        <w:rPr>
          <w:rFonts w:eastAsia="Calibri" w:cs="Times New Roman"/>
          <w:sz w:val="20"/>
          <w:szCs w:val="22"/>
        </w:rPr>
        <w:t>Lehigh Cement</w:t>
      </w:r>
      <w:r w:rsidRPr="00335E4B">
        <w:rPr>
          <w:rFonts w:cs="Traditional Arabic" w:hint="cs"/>
          <w:sz w:val="30"/>
          <w:szCs w:val="30"/>
          <w:rtl/>
          <w:lang w:val="en-GB"/>
        </w:rPr>
        <w:t>): كوبرتينو، كاليفورنيا، الولايات المتحدة</w:t>
      </w:r>
    </w:p>
    <w:p w:rsidR="00335E4B" w:rsidRPr="00335E4B" w:rsidRDefault="00335E4B" w:rsidP="00335E4B">
      <w:pPr>
        <w:numPr>
          <w:ilvl w:val="0"/>
          <w:numId w:val="35"/>
        </w:numPr>
        <w:spacing w:after="120" w:line="400" w:lineRule="exact"/>
        <w:ind w:left="649"/>
        <w:jc w:val="both"/>
        <w:rPr>
          <w:rFonts w:cs="Traditional Arabic"/>
          <w:sz w:val="30"/>
          <w:szCs w:val="30"/>
          <w:lang w:val="en-GB"/>
        </w:rPr>
      </w:pPr>
      <w:r w:rsidRPr="00335E4B">
        <w:rPr>
          <w:rFonts w:cs="Traditional Arabic" w:hint="cs"/>
          <w:sz w:val="30"/>
          <w:szCs w:val="30"/>
          <w:rtl/>
          <w:lang w:val="en-GB"/>
        </w:rPr>
        <w:t>شركة ليهاي للإسمنت (</w:t>
      </w:r>
      <w:r w:rsidRPr="00335E4B">
        <w:rPr>
          <w:rFonts w:eastAsia="Calibri" w:cs="Times New Roman"/>
          <w:sz w:val="20"/>
          <w:szCs w:val="22"/>
        </w:rPr>
        <w:t>Lehigh Cement</w:t>
      </w:r>
      <w:r w:rsidRPr="00335E4B">
        <w:rPr>
          <w:rFonts w:cs="Traditional Arabic" w:hint="cs"/>
          <w:sz w:val="30"/>
          <w:szCs w:val="30"/>
          <w:rtl/>
          <w:lang w:val="en-GB"/>
        </w:rPr>
        <w:t>): تيهاشابي، كاليفورنيا، الولايات المتحدة</w:t>
      </w:r>
    </w:p>
    <w:p w:rsidR="00335E4B" w:rsidRPr="00335E4B" w:rsidRDefault="00335E4B" w:rsidP="00335E4B">
      <w:pPr>
        <w:keepNext/>
        <w:spacing w:before="120" w:after="120" w:line="400" w:lineRule="exact"/>
        <w:ind w:left="991" w:hanging="993"/>
        <w:jc w:val="both"/>
        <w:outlineLvl w:val="3"/>
        <w:rPr>
          <w:rFonts w:cs="Traditional Arabic"/>
          <w:b/>
          <w:bCs/>
          <w:sz w:val="30"/>
          <w:szCs w:val="30"/>
          <w:rtl/>
        </w:rPr>
      </w:pPr>
      <w:r w:rsidRPr="00335E4B">
        <w:rPr>
          <w:rFonts w:cs="Traditional Arabic" w:hint="cs"/>
          <w:b/>
          <w:bCs/>
          <w:sz w:val="30"/>
          <w:szCs w:val="30"/>
          <w:rtl/>
        </w:rPr>
        <w:t>حقن المادة الممتزة مع تركيب حجرة مرشح كيسي</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في هذه التقنية تحقن المادة الممتزة في المراحل التي تلي الأجهزة الرئيسية لضبط الجسيمات بوجود مرشح تنقية لإزالة المادة الممتزة المحملة بالزئبق. واعتماداً على متطلبات إزالة انبعاثات الزئبق يمكن حقن المادة الممتزة بشكل مستمر أو بهدف لتخفيف حالات الانبعاثات القصوى التي تحدث عادةً أثناء التشغيل مع إيقاف طاحونة المواد الخام.</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ولتفادي اختلاط المادة الممتزة المحملة بالزئبق مع غبار جهاز التسخين المسبق تُحقن المادة الممتزة (مثل الكربون المنشط) داخل غاز المداخن بعد الجهاز الرئيسي لضبط الغبار، ويستخدم مرشح غبار ثانوي أو ما يعرف بمرشح ’’تنقية‘‘ كيسي لاحتجاز الكربون المستعمل. وليس من الشائع استخدام مرشح غبار ثان في صناعة الإسمنت بسبب تكاليف الاستثمار الإضافية. الشكل 8 أدناه يبين استخدام حقن المادة الممتزة مع مرشح كيسي للتنقية.</w:t>
      </w:r>
    </w:p>
    <w:p w:rsidR="00335E4B" w:rsidRPr="00335E4B" w:rsidRDefault="00335E4B" w:rsidP="00335E4B">
      <w:pPr>
        <w:tabs>
          <w:tab w:val="left" w:pos="1247"/>
          <w:tab w:val="left" w:pos="1814"/>
          <w:tab w:val="left" w:pos="2381"/>
          <w:tab w:val="left" w:pos="2948"/>
          <w:tab w:val="left" w:pos="3515"/>
        </w:tabs>
        <w:spacing w:before="120" w:after="100" w:afterAutospacing="1" w:line="276" w:lineRule="auto"/>
        <w:jc w:val="center"/>
        <w:rPr>
          <w:rFonts w:cs="Times New Roman"/>
          <w:b/>
          <w:bCs/>
          <w:noProof/>
          <w:sz w:val="32"/>
          <w:szCs w:val="32"/>
        </w:rPr>
      </w:pPr>
      <w:r w:rsidRPr="00335E4B">
        <w:rPr>
          <w:rFonts w:cs="Times New Roman"/>
          <w:b/>
          <w:bCs/>
          <w:noProof/>
          <w:sz w:val="32"/>
          <w:szCs w:val="32"/>
        </w:rPr>
        <w:t xml:space="preserve"> </w:t>
      </w:r>
      <w:r>
        <w:rPr>
          <w:rFonts w:cs="Times New Roman"/>
          <w:noProof/>
          <w:sz w:val="20"/>
          <w:szCs w:val="22"/>
          <w:lang w:val="en-GB" w:eastAsia="zh-CN"/>
        </w:rPr>
        <w:drawing>
          <wp:inline distT="0" distB="0" distL="0" distR="0" wp14:anchorId="67ED6970" wp14:editId="19F2DC82">
            <wp:extent cx="4269740" cy="3385185"/>
            <wp:effectExtent l="19050" t="19050" r="1651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69740" cy="3385185"/>
                    </a:xfrm>
                    <a:prstGeom prst="rect">
                      <a:avLst/>
                    </a:prstGeom>
                    <a:noFill/>
                    <a:ln w="9525" cmpd="sng">
                      <a:solidFill>
                        <a:srgbClr val="000000"/>
                      </a:solidFill>
                      <a:miter lim="800000"/>
                      <a:headEnd/>
                      <a:tailEnd/>
                    </a:ln>
                    <a:effectLst/>
                  </pic:spPr>
                </pic:pic>
              </a:graphicData>
            </a:graphic>
          </wp:inline>
        </w:drawing>
      </w:r>
    </w:p>
    <w:p w:rsidR="00335E4B" w:rsidRPr="00335E4B" w:rsidRDefault="00335E4B" w:rsidP="00CE5533">
      <w:pPr>
        <w:tabs>
          <w:tab w:val="left" w:pos="1247"/>
          <w:tab w:val="left" w:pos="1814"/>
          <w:tab w:val="left" w:pos="2381"/>
          <w:tab w:val="left" w:pos="2948"/>
          <w:tab w:val="left" w:pos="3515"/>
        </w:tabs>
        <w:spacing w:before="120" w:after="120" w:line="276" w:lineRule="auto"/>
        <w:jc w:val="both"/>
        <w:rPr>
          <w:rFonts w:ascii="Traditional Arabic" w:hAnsi="Traditional Arabic" w:cs="Traditional Arabic"/>
          <w:bCs/>
          <w:noProof/>
          <w:sz w:val="20"/>
          <w:szCs w:val="24"/>
        </w:rPr>
      </w:pPr>
      <w:r w:rsidRPr="00CE5533">
        <w:rPr>
          <w:rFonts w:ascii="Traditional Arabic" w:hAnsi="Traditional Arabic" w:cs="Traditional Arabic" w:hint="cs"/>
          <w:bCs/>
          <w:noProof/>
          <w:sz w:val="30"/>
          <w:szCs w:val="30"/>
          <w:rtl/>
        </w:rPr>
        <w:t>الشكل 8</w:t>
      </w:r>
      <w:r w:rsidR="00E439A9" w:rsidRPr="00CE5533">
        <w:rPr>
          <w:rFonts w:ascii="Traditional Arabic" w:hAnsi="Traditional Arabic" w:cs="Traditional Arabic" w:hint="cs"/>
          <w:bCs/>
          <w:noProof/>
          <w:sz w:val="30"/>
          <w:szCs w:val="30"/>
          <w:rtl/>
        </w:rPr>
        <w:t>.</w:t>
      </w:r>
      <w:r w:rsidRPr="00CE5533">
        <w:rPr>
          <w:rFonts w:ascii="Traditional Arabic" w:hAnsi="Traditional Arabic" w:cs="Traditional Arabic" w:hint="cs"/>
          <w:bCs/>
          <w:noProof/>
          <w:sz w:val="30"/>
          <w:szCs w:val="30"/>
          <w:rtl/>
        </w:rPr>
        <w:t xml:space="preserve"> حقن الكربون المنشط في المراحل التي تلي مرشح الغبار مما يتطلب مرشحاً إضافياً لإزالة المادة الممتزة</w:t>
      </w:r>
      <w:r w:rsidRPr="00335E4B">
        <w:rPr>
          <w:rFonts w:ascii="Traditional Arabic" w:hAnsi="Traditional Arabic" w:cs="Traditional Arabic" w:hint="cs"/>
          <w:bCs/>
          <w:noProof/>
          <w:sz w:val="20"/>
          <w:szCs w:val="24"/>
          <w:rtl/>
        </w:rPr>
        <w:t xml:space="preserve"> </w:t>
      </w:r>
      <w:r w:rsidRPr="00CE5533">
        <w:rPr>
          <w:rFonts w:asciiTheme="majorBidi" w:hAnsiTheme="majorBidi" w:cstheme="majorBidi"/>
          <w:bCs/>
          <w:noProof/>
          <w:sz w:val="20"/>
          <w:szCs w:val="20"/>
          <w:rtl/>
        </w:rPr>
        <w:t>(</w:t>
      </w:r>
      <w:r w:rsidRPr="00CE5533">
        <w:rPr>
          <w:rFonts w:asciiTheme="majorBidi" w:hAnsiTheme="majorBidi" w:cstheme="majorBidi"/>
          <w:b/>
          <w:iCs/>
          <w:noProof/>
          <w:sz w:val="20"/>
          <w:szCs w:val="20"/>
        </w:rPr>
        <w:t>Paone, 2009, p 55</w:t>
      </w:r>
      <w:r w:rsidRPr="00CE5533">
        <w:rPr>
          <w:rFonts w:asciiTheme="majorBidi" w:hAnsiTheme="majorBidi" w:cstheme="majorBidi"/>
          <w:bCs/>
          <w:noProof/>
          <w:sz w:val="20"/>
          <w:szCs w:val="20"/>
          <w:rtl/>
        </w:rPr>
        <w:t>)</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هناك عدد من المتغيرات التي تؤثر على امتزاز الزئبق على المادة الممتزة وتؤثر بالتالي على كفاءة التحكم في الزئبق. وتشمل هذه المتغيرات (</w:t>
      </w:r>
      <w:r w:rsidRPr="00335E4B">
        <w:rPr>
          <w:rFonts w:cs="Times New Roman"/>
          <w:noProof/>
          <w:sz w:val="20"/>
          <w:szCs w:val="22"/>
        </w:rPr>
        <w:t>Zheng, 2011</w:t>
      </w:r>
      <w:r w:rsidRPr="00335E4B">
        <w:rPr>
          <w:rFonts w:cs="Traditional Arabic" w:hint="cs"/>
          <w:sz w:val="30"/>
          <w:szCs w:val="30"/>
          <w:rtl/>
          <w:lang w:val="en-GB"/>
        </w:rPr>
        <w:t>):</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تنوعات الزئبق وتركيزها</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الخواص الفيزيائية والكيميائية للمادة الممتزة ومن ذلك توزيع أحجام الجسيمات وتركيبة المسامات وتوزيعها وخصائص السطح</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درجة حرارة غاز المداخن</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تركيبة غاز المداخن</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تركيز المادة الممتزة (أي معدل الحقن)</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فترة التلامس بين المادة الممتزة والزئبق</w:t>
      </w:r>
    </w:p>
    <w:p w:rsidR="00335E4B" w:rsidRPr="00335E4B" w:rsidRDefault="00335E4B" w:rsidP="00335E4B">
      <w:pPr>
        <w:numPr>
          <w:ilvl w:val="0"/>
          <w:numId w:val="35"/>
        </w:numPr>
        <w:spacing w:after="120" w:line="400" w:lineRule="exact"/>
        <w:ind w:left="646" w:hanging="357"/>
        <w:jc w:val="both"/>
        <w:rPr>
          <w:rFonts w:cs="Traditional Arabic"/>
          <w:sz w:val="30"/>
          <w:szCs w:val="30"/>
          <w:lang w:val="en-GB"/>
        </w:rPr>
      </w:pPr>
      <w:r w:rsidRPr="00335E4B">
        <w:rPr>
          <w:rFonts w:cs="Traditional Arabic" w:hint="cs"/>
          <w:sz w:val="30"/>
          <w:szCs w:val="30"/>
          <w:rtl/>
          <w:lang w:val="en-GB"/>
        </w:rPr>
        <w:t>كفاية توزع المادة الممتزة داخل مسار الغاز المحتوي على الزئبق</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إضافةً إلى ذلك يؤثر نوع المرشح الكيسي ونسبة الهواء إلى النسيج في المرشح أيضاً على كمية الزئبق التي يمكن امتزازها، ولذلك يجب أن يكون مرشح التنقية الكيسي ذا حجم مناسب.</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ومن واقع نتائج دراسة لتقييم باراميترات التصميم الرئيسية لمعدات كاملة للتحكم في انبعاثات الزئبق في منشأة لإنتاج الإسمنت في الولايات المتحدة وُجِد أنه من حيث تحقيق تحكم أكبر في انبعاثات الزئبق لا يتشابه أداء الكربون المنشط غير المعالج مع أداء الكربون المنشط المعالج بالهالوجينات، ومن ثم يمكن تفادي مشكلات أخرى محتملة مرتبطة باستخدام الهالوجينات، ومنها مثلاً مشاكل التآكل (</w:t>
      </w:r>
      <w:r w:rsidRPr="00335E4B">
        <w:rPr>
          <w:rFonts w:cs="Times New Roman"/>
          <w:noProof/>
          <w:sz w:val="20"/>
          <w:szCs w:val="22"/>
        </w:rPr>
        <w:t>US Cement, 2007</w:t>
      </w:r>
      <w:r w:rsidRPr="00335E4B">
        <w:rPr>
          <w:rFonts w:cs="Traditional Arabic" w:hint="cs"/>
          <w:sz w:val="30"/>
          <w:szCs w:val="30"/>
          <w:rtl/>
          <w:lang w:val="en-GB"/>
        </w:rPr>
        <w:t>). إضافةً إلى ذلك فإن درجة حرارة غاز المداخن يجب أن تكون منخفضة لتحقيق معدلات امتزاز عالية (</w:t>
      </w:r>
      <w:r w:rsidRPr="00335E4B">
        <w:rPr>
          <w:rFonts w:cs="Times New Roman"/>
          <w:noProof/>
          <w:sz w:val="20"/>
          <w:szCs w:val="22"/>
        </w:rPr>
        <w:t>Renzoni et al, 2010</w:t>
      </w:r>
      <w:r w:rsidRPr="00335E4B">
        <w:rPr>
          <w:rFonts w:cs="Traditional Arabic" w:hint="cs"/>
          <w:sz w:val="30"/>
          <w:szCs w:val="30"/>
          <w:rtl/>
          <w:lang w:val="en-GB"/>
        </w:rPr>
        <w:t>).</w:t>
      </w:r>
    </w:p>
    <w:p w:rsidR="00CE5533" w:rsidRDefault="00CE5533">
      <w:pPr>
        <w:bidi w:val="0"/>
        <w:rPr>
          <w:rFonts w:cs="Traditional Arabic"/>
          <w:b/>
          <w:bCs/>
          <w:sz w:val="30"/>
          <w:szCs w:val="30"/>
          <w:rtl/>
          <w:lang w:val="en-GB"/>
        </w:rPr>
      </w:pPr>
      <w:r>
        <w:rPr>
          <w:rFonts w:cs="Traditional Arabic"/>
          <w:b/>
          <w:bCs/>
          <w:sz w:val="30"/>
          <w:szCs w:val="30"/>
          <w:rtl/>
          <w:lang w:val="en-GB"/>
        </w:rPr>
        <w:br w:type="page"/>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المنافع البيئية المتحققة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يمكن من خلال استخدام حقن الكربون المنشط مع مرشح تنقية كيسي إزالة ما نسبته 90 في المائة من الزئبق (</w:t>
      </w:r>
      <w:r w:rsidRPr="00335E4B">
        <w:rPr>
          <w:rFonts w:cs="Times New Roman"/>
          <w:noProof/>
          <w:sz w:val="20"/>
          <w:szCs w:val="22"/>
        </w:rPr>
        <w:t>Barnett, 2013</w:t>
      </w:r>
      <w:r w:rsidRPr="00335E4B">
        <w:rPr>
          <w:rFonts w:cs="Traditional Arabic" w:hint="cs"/>
          <w:sz w:val="30"/>
          <w:szCs w:val="30"/>
          <w:rtl/>
          <w:lang w:val="en-GB"/>
        </w:rPr>
        <w:t>).</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الآثار الشاملة لوسائط متعددة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يتعين التخلص بطريقة سليمة من الغبار المحمل بالزئبق الناتج عن هذه العملية.</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القابلية للتطبيق</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يمكن تطبيق هذه التقنية في جميع أفران الإسمنت. واعتماداً على المتطلبات الإجمالية لإزالة انبعاثات الزئبق يمكن حقن المادة الممتزة بشكل مستمر أو بهدف تخفيض حالات الانبعاثات القصوى التي تحدث عادةً عند التشغيل مع إيقاف طاحونة المواد الخام.</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وفي الولايات المتحدة نجحت منشأة لإنتاج الإسمنت في تركيب وتشغيل نظام لحقن الكربون المنشط يتم فيه حقن الكربون المنشط داخل غاز المداخن بعد جهاز رئيسي لضبط الغبار يليه مرشح تنقية كيسي، من أجل التحكم في انبعاثات الزئبق. ونظام الفرن المستخدم في المنشأة هو نظام يتكون من نظام للتسخين المسبق والتكليس المسبق يشتمل على فرن دوار وبرج لجهاز التسخين والتكليس المسبق، ونظام التحكم في تلوث الهواء المرتبط بذلك. والمنشأة مجهزة بطاحونة مواد خام موازية حيث توجه الغازات من نظام الفرن مباشرةً إلى طاحونة المواد الخام لتوفير الحرارة اللازمة لتجفيف المواد الخام. وفي حالات التشغيل عندما تكون طاحونة المواد الخام متوقفة (زهاء 15 في المائة من الإطار الزمني السنوي للتشغيل) لا تمر الغازات عبر طاحونة المواد الخام بل تتوجه مباشرةً إلى المرشح الكيسي. وتستهلك المنشأة عادةً 1,5 مليون طن أمريكي في السنة من المواد الخام وطاقتها الإنتاجية 1 مليون طن أمريكي من كريات الكلنكر سنوياً (</w:t>
      </w:r>
      <w:r w:rsidRPr="00335E4B">
        <w:rPr>
          <w:rFonts w:cs="Times New Roman"/>
          <w:noProof/>
          <w:sz w:val="20"/>
          <w:szCs w:val="22"/>
        </w:rPr>
        <w:t>US Cement, 2007</w:t>
      </w:r>
      <w:r w:rsidRPr="00335E4B">
        <w:rPr>
          <w:rFonts w:cs="Traditional Arabic" w:hint="cs"/>
          <w:sz w:val="30"/>
          <w:szCs w:val="30"/>
          <w:rtl/>
          <w:lang w:val="en-GB"/>
        </w:rPr>
        <w:t>).</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b/>
          <w:bCs/>
          <w:sz w:val="30"/>
          <w:szCs w:val="30"/>
          <w:rtl/>
          <w:lang w:val="en-GB"/>
        </w:rPr>
        <w:t>التكاليف</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يتضمن التحليل الصادر عن وكالة حماية البيئة في الولايات المتحدة بشأن تكلفة تركيب نظام لحقن الكربون المنشط للتحكم في الزئبق في فرن إسمنت استخدام مرشح تنقية كيسي. وقُدرت تلك التكاليف باستخدام تكاليف وضعت أصلاً لمراجل المرافق الكهربائية. وباستخدام معدلات تدفق الغاز العادم كعامل مشترك، تم توسيع تكاليف الضبط للمرافق الكهربائية بهدف استخلاص تكاليف الضبط لأفران الإسمنت البورتلاندي. ووضعت عوامل التكاليف الرأسمالية والسنوية (دولار/طن أمريكي من كريات الكلنكر) باستخدام تكاليف المرجل وبيانات تدفق الغاز لمراجل بأحجام مختلفة. وفي الولايات المتحدة وُجد أن تكاليف الاستثمار الكلية لتركيب نظام لحقن المواد الممتزة مع مرشح تنقية كيسي في فرن جديد بطاقة إنتاجية قدرها 1,2 مليون طن أمريكي في السنة، تعادل 3,2 مليون دولار (بقيم دولارات الولايات المتحدة الأمريكية لعام 2005). ووجد أن التكاليف السنوية تعادل 1,1 مليون دولار </w:t>
      </w:r>
      <w:r w:rsidRPr="004862A0">
        <w:rPr>
          <w:rFonts w:asciiTheme="majorBidi" w:hAnsiTheme="majorBidi" w:cstheme="majorBidi"/>
          <w:sz w:val="20"/>
          <w:szCs w:val="20"/>
          <w:rtl/>
          <w:lang w:val="en-GB"/>
        </w:rPr>
        <w:t>(</w:t>
      </w:r>
      <w:r w:rsidRPr="004862A0">
        <w:rPr>
          <w:rFonts w:asciiTheme="majorBidi" w:hAnsiTheme="majorBidi" w:cstheme="majorBidi"/>
          <w:noProof/>
          <w:sz w:val="20"/>
          <w:szCs w:val="20"/>
        </w:rPr>
        <w:t>US Cement, 2010 Cost</w:t>
      </w:r>
      <w:r w:rsidRPr="004862A0">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وفي الوثائق المرجعية لأفضل التقنيات المتاحة </w:t>
      </w:r>
      <w:r w:rsidRPr="004862A0">
        <w:rPr>
          <w:rFonts w:asciiTheme="majorBidi" w:hAnsiTheme="majorBidi" w:cstheme="majorBidi"/>
          <w:sz w:val="20"/>
          <w:szCs w:val="20"/>
          <w:rtl/>
          <w:lang w:val="en-GB"/>
        </w:rPr>
        <w:t>(</w:t>
      </w:r>
      <w:r w:rsidRPr="004862A0">
        <w:rPr>
          <w:rFonts w:asciiTheme="majorBidi" w:hAnsiTheme="majorBidi" w:cstheme="majorBidi"/>
          <w:noProof/>
          <w:sz w:val="20"/>
          <w:szCs w:val="20"/>
        </w:rPr>
        <w:t>BREF CLM, 2013</w:t>
      </w:r>
      <w:r w:rsidRPr="004862A0">
        <w:rPr>
          <w:rFonts w:asciiTheme="majorBidi" w:hAnsiTheme="majorBidi" w:cstheme="majorBidi"/>
          <w:sz w:val="20"/>
          <w:szCs w:val="20"/>
          <w:rtl/>
          <w:lang w:val="en-GB"/>
        </w:rPr>
        <w:t>)</w:t>
      </w:r>
      <w:r w:rsidRPr="00335E4B">
        <w:rPr>
          <w:rFonts w:cs="Traditional Arabic" w:hint="cs"/>
          <w:sz w:val="30"/>
          <w:szCs w:val="30"/>
          <w:rtl/>
          <w:lang w:val="en-GB"/>
        </w:rPr>
        <w:t xml:space="preserve"> تراوحت تكاليف الاستثمار في نظام لمرشحات الغبار (مرشح كيسي أو جهاز ترسيب كهروستاتيكي) من 2,1 مليون يورو إلى 6 مليون يورو لفرن طاقته 3000 طن/اليوم.</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المنشأة المرجعية</w:t>
      </w:r>
    </w:p>
    <w:p w:rsidR="00335E4B" w:rsidRPr="00335E4B" w:rsidRDefault="00335E4B" w:rsidP="00335E4B">
      <w:pPr>
        <w:spacing w:after="120" w:line="400" w:lineRule="exact"/>
        <w:ind w:left="295"/>
        <w:jc w:val="both"/>
        <w:rPr>
          <w:rFonts w:cs="Traditional Arabic"/>
          <w:sz w:val="30"/>
          <w:szCs w:val="30"/>
          <w:lang w:val="en-GB"/>
        </w:rPr>
      </w:pPr>
      <w:r w:rsidRPr="00335E4B">
        <w:rPr>
          <w:rFonts w:cs="Traditional Arabic" w:hint="cs"/>
          <w:sz w:val="30"/>
          <w:szCs w:val="30"/>
          <w:rtl/>
          <w:lang w:val="en-GB"/>
        </w:rPr>
        <w:t>- آش جروف لإنتاج الإسمنت: ديوركي، أريغون (الولايات المتحدة الأمريكية)</w:t>
      </w:r>
    </w:p>
    <w:p w:rsidR="00335E4B" w:rsidRPr="00335E4B" w:rsidRDefault="00335E4B" w:rsidP="00335E4B">
      <w:pPr>
        <w:keepNext/>
        <w:spacing w:before="120" w:after="120" w:line="400" w:lineRule="exact"/>
        <w:ind w:left="991" w:hanging="993"/>
        <w:jc w:val="both"/>
        <w:outlineLvl w:val="3"/>
        <w:rPr>
          <w:rFonts w:cs="Traditional Arabic"/>
          <w:b/>
          <w:bCs/>
          <w:sz w:val="30"/>
          <w:szCs w:val="30"/>
          <w:rtl/>
        </w:rPr>
      </w:pPr>
      <w:r w:rsidRPr="00335E4B">
        <w:rPr>
          <w:rFonts w:cs="Traditional Arabic" w:hint="cs"/>
          <w:b/>
          <w:bCs/>
          <w:sz w:val="30"/>
          <w:szCs w:val="30"/>
          <w:rtl/>
        </w:rPr>
        <w:t>تدابير التحكم في الملوثات المتعددة</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يمكن لأجهزة التحكم في تلوث الهواء المركبة لإزالة أكاسيد النيتروجين وأكاسيد الكبريت أن تحقق أيضاً منافع مشتركة على صعيد احتجاز الزئبق، وهي فعالة على نحو خاص فيما يتعلق بانبعاثات الزئبق المؤكسد.</w:t>
      </w:r>
    </w:p>
    <w:p w:rsidR="00335E4B" w:rsidRPr="00335E4B" w:rsidRDefault="00335E4B" w:rsidP="00335E4B">
      <w:pPr>
        <w:keepNext/>
        <w:spacing w:before="120" w:after="120" w:line="400" w:lineRule="exact"/>
        <w:ind w:left="991" w:hanging="993"/>
        <w:jc w:val="both"/>
        <w:outlineLvl w:val="3"/>
        <w:rPr>
          <w:rFonts w:cs="Traditional Arabic"/>
          <w:b/>
          <w:bCs/>
          <w:sz w:val="30"/>
          <w:szCs w:val="30"/>
          <w:rtl/>
        </w:rPr>
      </w:pPr>
      <w:r w:rsidRPr="00335E4B">
        <w:rPr>
          <w:rFonts w:cs="Traditional Arabic" w:hint="cs"/>
          <w:b/>
          <w:bCs/>
          <w:sz w:val="30"/>
          <w:szCs w:val="30"/>
          <w:rtl/>
        </w:rPr>
        <w:t>أجهزة التنظيف الرطبة</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أجهزة التنظيف الرطبة هي تقنية معتمدة لإزالة الكبريت من غاز المداخن في عمليات إنتاج كريات الكلنكر حيث يكون التحكم في انبعاثات ثاني أكسيد الكبريت ضرورياً.</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وفي جهاز التنظيف الرطب تُمتص أكاسيد الكبريت عن طريق سائل أو ملاط رقيق القوام يُرش في برج رشاش. وتكون المادة الماصة هي كربونات الكالسيوم. وتقدم نظم التنظيف الرطب أعلى كفاءات الإزالة للغازات الحمضية القابلة للذوبان بين جميع طرق إزالة الكبريت من غاز المداخن وتتميز بأقل عدد من عوامل عناصر التفاعل الزائدة وأقل معدل لإنتاج النفايات الصلبة. بيد أن أجهزة التنقية الرطبة تخفض أيضاً بشكل كبير مستويات كلوريد الهيدروجين والغبار المتخلف والأمونيا، وبدرجة أقل، المعادن، بما في ذلك انبعاثات الزئبق.</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ويُرش الملاط الرقيق القوام عكس تيار الغاز العادم ويُجمع في صهريج لإعادة التدوير في قعر جهاز التنظيف، حيث يتأكسد الكبريتيت الناتج بالهواء إلى كبريتات ويكون ثاني هيدرات كبريتات الكالسيوم. ويُفصل ثاني الهيدرات، وحسب الخواص الفيزيائية والكيميائية للجبس، يمكن استخدام هذه المادة في طحن الإسمنت وتعاد المياه إلى جهاز التنظيف.</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وتتميز المركبات الغازية للزئبق المؤكسد بقابليتها للذوبان في الماء ويمكن امتصاصها في الملاط المائي الرقيق لنظام جهاز التنظيف الرطب ولذلك يمكن إزالة جزء من أبخرة الزئبق المؤكسد في الطور الغازي بكفاءة. أما الزئبق النقي الغازي فهو غير قابل للذوبان في الماء ولذلك لا يمكن امتصاصه في هذا النوع من الملاط. وقد يتفاوت توزيع الزئبق بين الزئبق المؤكسد والزئبق النقي إلى حد كبير بين الأفران ويعتمد ذلك أيضاً على ظروف المعالجة عند تشغيل الفرن، وهذه كلها تؤثر على كمية الزئبق التي تزال في جهاز التنظيف الرطب. وفي عمليات إزالة الكبريت الرطبة ينتج الجبس كناتج ثانوي ويستخدم كمادة بديلة للجبس الطبيعي تضاف إلى كريات الكلنكر في الطاحونة النهائية. </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المنافع البيئية المتحققة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في الولايات المتحدة جرى تركيب خمسة أفران إسمنت مزودة بأجهزة تنظيف رطبة للحجر الجيري بهدف التحكم في انبعاثات ثاني أكسيد الكبريت، وتتحكم هذه الأجهزة تتحكم أيضاً في انبعاثات الزئبق الجوية. واستناداً إلى اختبارات المداخن وبيانات من أجهزة التنظيف الخمسة المشار إليها فإن ما يصل إلى 80 في المائة من الانبعاثات الجوية الكلية للزئبق يجري التحكم فيها بصورة مشتركة (أي تزال) (</w:t>
      </w:r>
      <w:r w:rsidRPr="00335E4B">
        <w:rPr>
          <w:rFonts w:cs="Times New Roman"/>
          <w:bCs/>
          <w:noProof/>
          <w:sz w:val="20"/>
          <w:szCs w:val="22"/>
        </w:rPr>
        <w:t>Barnett, 2013</w:t>
      </w:r>
      <w:r w:rsidRPr="00335E4B">
        <w:rPr>
          <w:rFonts w:cs="Traditional Arabic" w:hint="cs"/>
          <w:sz w:val="30"/>
          <w:szCs w:val="30"/>
          <w:rtl/>
          <w:lang w:val="en-GB"/>
        </w:rPr>
        <w:t>). وتكون كفاءة الإزالة أقل في منشآت إنتاج الإسمنت التي تحتوي على تركيزات عالية من الزئبق النقي في الغاز العادم.</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القابلية للتطبيق</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يستخدم جهاز التنظيف الرطب عادةً في منشآت إنتاج الإسمنت التي تتميز بانبعاثات عالية من ثاني أكسيد الكبريت.</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وفيما يخص منشآت إنتاج الإسمنت تكون هذه التقنية أكثر فعاليةً عندما تكون الغالبية العظمى من انبعاثات الزئبق في شكل أكاسيد، أما إذا كانت هناك مستويات كبيرة من الزئبق النقي فإن أجهزة التنظيف الرطب لا تكون فعالة ما لم تستخدم مواد مضافة لأكسدة الزئبق.</w:t>
      </w:r>
    </w:p>
    <w:p w:rsidR="004862A0" w:rsidRDefault="004862A0">
      <w:pPr>
        <w:bidi w:val="0"/>
        <w:rPr>
          <w:rFonts w:cs="Traditional Arabic"/>
          <w:b/>
          <w:bCs/>
          <w:sz w:val="30"/>
          <w:szCs w:val="30"/>
          <w:rtl/>
          <w:lang w:val="en-GB"/>
        </w:rPr>
      </w:pPr>
      <w:r>
        <w:rPr>
          <w:rFonts w:cs="Traditional Arabic"/>
          <w:b/>
          <w:bCs/>
          <w:sz w:val="30"/>
          <w:szCs w:val="30"/>
          <w:rtl/>
          <w:lang w:val="en-GB"/>
        </w:rPr>
        <w:br w:type="page"/>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الآثار الشاملة لوسائط متعددة</w:t>
      </w:r>
    </w:p>
    <w:p w:rsidR="00335E4B" w:rsidRPr="00335E4B" w:rsidRDefault="00335E4B" w:rsidP="00335E4B">
      <w:pPr>
        <w:numPr>
          <w:ilvl w:val="0"/>
          <w:numId w:val="35"/>
        </w:numPr>
        <w:spacing w:after="120" w:line="400" w:lineRule="exact"/>
        <w:ind w:left="649"/>
        <w:jc w:val="both"/>
        <w:rPr>
          <w:rFonts w:cs="Traditional Arabic"/>
          <w:sz w:val="30"/>
          <w:szCs w:val="30"/>
          <w:lang w:val="en-GB"/>
        </w:rPr>
      </w:pPr>
      <w:r w:rsidRPr="00335E4B">
        <w:rPr>
          <w:rFonts w:cs="Traditional Arabic" w:hint="cs"/>
          <w:sz w:val="30"/>
          <w:szCs w:val="30"/>
          <w:rtl/>
          <w:lang w:val="en-GB"/>
        </w:rPr>
        <w:t>انتقال الزئبق إلى المنتجات الثانوية مثل الجبس</w:t>
      </w:r>
    </w:p>
    <w:p w:rsidR="00335E4B" w:rsidRPr="00335E4B" w:rsidRDefault="00335E4B" w:rsidP="00335E4B">
      <w:pPr>
        <w:spacing w:after="120" w:line="400" w:lineRule="exact"/>
        <w:jc w:val="both"/>
        <w:rPr>
          <w:rFonts w:cs="Traditional Arabic"/>
          <w:b/>
          <w:bCs/>
          <w:sz w:val="30"/>
          <w:szCs w:val="30"/>
          <w:lang w:val="en-GB"/>
        </w:rPr>
      </w:pPr>
      <w:r w:rsidRPr="00335E4B">
        <w:rPr>
          <w:rFonts w:cs="Traditional Arabic" w:hint="cs"/>
          <w:b/>
          <w:bCs/>
          <w:sz w:val="30"/>
          <w:szCs w:val="30"/>
          <w:rtl/>
          <w:lang w:val="en-GB"/>
        </w:rPr>
        <w:t>الآثار الشاملة لوسائط متعددة (بخلاف تلك المرتبطة بالزئبق)</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زيادة استهلاك الطاقة</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زيادة إنتاج النفايات من عملية إزالة الكبريت من غاز المداخن، وإنتاج نفايات إضافية عند إجراء الصيانة</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زيادة انبعاثات ثاني أكسيد الكربون</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زيادة استهلاك المياه</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الانبعاثات المحتملة إلى المياه وزيادة مخاطر تلوث المياه</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زيادة تكاليف التشغيل</w:t>
      </w:r>
    </w:p>
    <w:p w:rsidR="00335E4B" w:rsidRPr="00335E4B" w:rsidRDefault="00335E4B" w:rsidP="00335E4B">
      <w:pPr>
        <w:numPr>
          <w:ilvl w:val="0"/>
          <w:numId w:val="35"/>
        </w:numPr>
        <w:spacing w:after="120" w:line="400" w:lineRule="exact"/>
        <w:ind w:left="649"/>
        <w:jc w:val="both"/>
        <w:rPr>
          <w:rFonts w:cs="Traditional Arabic"/>
          <w:sz w:val="30"/>
          <w:szCs w:val="30"/>
          <w:lang w:val="en-GB"/>
        </w:rPr>
      </w:pPr>
      <w:r w:rsidRPr="00335E4B">
        <w:rPr>
          <w:rFonts w:cs="Traditional Arabic" w:hint="cs"/>
          <w:sz w:val="30"/>
          <w:szCs w:val="30"/>
          <w:rtl/>
          <w:lang w:val="en-GB"/>
        </w:rPr>
        <w:t>استبدال الجبس الطبيعي</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التكاليف</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في عام 2000 أبلغ أن تكاليف الاستثمار في جهاز التنظيف بشركة كاسيل للإسمنت (بما في ذلك التعديلات على المنشأة) بلغت 7 ملايين يورو بينما بلغت تكاليف التشغيل زهاء 0,9 يورو لكل طن من كريات الكلنكر. وفي عام 1998 بلغت تكاليف الاستثمار التي تكبدتها شركة سيمينتا (</w:t>
      </w:r>
      <w:r w:rsidRPr="00335E4B">
        <w:rPr>
          <w:rFonts w:cs="Times New Roman"/>
          <w:noProof/>
          <w:sz w:val="20"/>
          <w:szCs w:val="22"/>
        </w:rPr>
        <w:t>Cementa AB</w:t>
      </w:r>
      <w:r w:rsidRPr="00335E4B">
        <w:rPr>
          <w:rFonts w:cs="Traditional Arabic" w:hint="cs"/>
          <w:sz w:val="30"/>
          <w:szCs w:val="30"/>
          <w:rtl/>
          <w:lang w:val="en-GB"/>
        </w:rPr>
        <w:t>) في السويد زهاء 10 ملايين يورو بينما بلغت تكاليف التشغيل زهاء 0,5 يورو لكل طن من كريات الكلنكر. وبتركيزات أولية لثاني أكسيد الكبريت تصل إلى 3000 ملغم/م</w:t>
      </w:r>
      <w:r w:rsidRPr="00335E4B">
        <w:rPr>
          <w:rFonts w:cs="Traditional Arabic" w:hint="cs"/>
          <w:sz w:val="30"/>
          <w:szCs w:val="30"/>
          <w:vertAlign w:val="superscript"/>
          <w:rtl/>
          <w:lang w:val="en-GB"/>
        </w:rPr>
        <w:t xml:space="preserve">3 </w:t>
      </w:r>
      <w:r w:rsidRPr="00335E4B">
        <w:rPr>
          <w:rFonts w:cs="Traditional Arabic" w:hint="cs"/>
          <w:sz w:val="30"/>
          <w:szCs w:val="30"/>
          <w:rtl/>
          <w:lang w:val="en-GB"/>
        </w:rPr>
        <w:t>عادي وطاقة إنتاجية للفرن تبلغ 3000 طن من كريات الكلنكر في اليوم، بلغت تكاليف الاستثمار في أواخر تسعينيات القرن الماضي 6 ملايين يورو - 10 ملايين يورو بينما بلغت تكاليف التشغيل 0,5 إلى 1 يورو لكل طن من كريات الكلنكر. وفي منشأة مرجعية لإنتاج الإسمنت تبلغ طاقتها الإنتاجية 100 1 طن في اليوم ومزودة بجهاز تنظيف رطب يعمل على خفض أكاسيد الكبريت بنسبة 75 في المائة وُجد أن تكاليف الاستثمار بلغت 5,5 مليون طن بينما بلغت تكاليف التشغيل المتغيرة 0,6 يورو لكل طن من كريات الكلنكر وبلغت التكاليف الإجمالية 3 يورو لكل طن من كريات الكلنكر (بيانات لعام 2000، فترة عمر قدرها 10 سنوات، معدل الفائدة 4 في المائة، ويشمل ذلك الكهرباء وتكاليف العمالة والحجر الجيري). وفي عام 2008 أبلغت صناعة الإسمنت في أوروبا عن تكاليف استثمار تراوحت بين 6 ملايين يورو و30 مليون يورو وتكاليف تشغيل تراوحت بين 1 يورو و2 يورو لكل طن من كريات الكلنكر (</w:t>
      </w:r>
      <w:r w:rsidRPr="00335E4B">
        <w:rPr>
          <w:rFonts w:cs="Times New Roman"/>
          <w:noProof/>
          <w:sz w:val="20"/>
          <w:szCs w:val="22"/>
        </w:rPr>
        <w:t>BREF CLM 2013</w:t>
      </w:r>
      <w:r w:rsidRPr="00335E4B">
        <w:rPr>
          <w:rFonts w:cs="Traditional Arabic" w:hint="cs"/>
          <w:sz w:val="30"/>
          <w:szCs w:val="30"/>
          <w:rtl/>
          <w:lang w:val="en-GB"/>
        </w:rPr>
        <w:t>).</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وفي الولايات المتحدة وجد أن تكاليف الاستثمار الكلية لتركيب جهاز تنظيف رطب في فرن جديد بطاقة إنتاجية قدرها 1,2 طن أمريكي في السنة، بما في ذلك تكاليف نظام الرصد المستمر للانبعاثات، بلغت 25,1 مليون دولار للفرن (بقيمة دولار الولايات المتحدة في عام 2005). أما التكاليف السنوية، بما في ذلك تكاليف الرصد، فقد بلغت 3,6 مليون دولار للفرن (</w:t>
      </w:r>
      <w:r w:rsidRPr="00335E4B">
        <w:rPr>
          <w:rFonts w:cs="Times New Roman"/>
          <w:noProof/>
          <w:sz w:val="20"/>
          <w:szCs w:val="22"/>
        </w:rPr>
        <w:t>US Cement, 2010 Cost</w:t>
      </w:r>
      <w:r w:rsidRPr="00335E4B">
        <w:rPr>
          <w:rFonts w:cs="Traditional Arabic" w:hint="cs"/>
          <w:sz w:val="30"/>
          <w:szCs w:val="30"/>
          <w:rtl/>
          <w:lang w:val="en-GB"/>
        </w:rPr>
        <w:t>).</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المنشآت المرجعية</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سيمينتا (</w:t>
      </w:r>
      <w:r w:rsidRPr="00335E4B">
        <w:rPr>
          <w:rFonts w:eastAsia="Calibri" w:cs="Times New Roman"/>
          <w:noProof/>
          <w:sz w:val="20"/>
          <w:szCs w:val="22"/>
        </w:rPr>
        <w:t>Cementa</w:t>
      </w:r>
      <w:r w:rsidRPr="00335E4B">
        <w:rPr>
          <w:rFonts w:eastAsia="Calibri" w:cs="Times New Roman"/>
          <w:sz w:val="20"/>
          <w:szCs w:val="22"/>
        </w:rPr>
        <w:t xml:space="preserve"> AB</w:t>
      </w:r>
      <w:r w:rsidRPr="00335E4B">
        <w:rPr>
          <w:rFonts w:cs="Traditional Arabic" w:hint="cs"/>
          <w:sz w:val="30"/>
          <w:szCs w:val="30"/>
          <w:rtl/>
          <w:lang w:val="en-GB"/>
        </w:rPr>
        <w:t>): سلايت، السويد</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هولسيم (</w:t>
      </w:r>
      <w:r w:rsidRPr="00335E4B">
        <w:rPr>
          <w:rFonts w:eastAsia="Calibri" w:cs="Times New Roman"/>
          <w:sz w:val="20"/>
          <w:szCs w:val="22"/>
        </w:rPr>
        <w:t>Holcim</w:t>
      </w:r>
      <w:r w:rsidRPr="00335E4B">
        <w:rPr>
          <w:rFonts w:cs="Traditional Arabic" w:hint="cs"/>
          <w:sz w:val="30"/>
          <w:szCs w:val="30"/>
          <w:rtl/>
          <w:lang w:val="en-GB"/>
        </w:rPr>
        <w:t>): ميدلوثيان، تكساس، الولايات المتحدة</w:t>
      </w:r>
    </w:p>
    <w:p w:rsidR="00335E4B" w:rsidRPr="00335E4B" w:rsidRDefault="00335E4B" w:rsidP="00335E4B">
      <w:pPr>
        <w:numPr>
          <w:ilvl w:val="0"/>
          <w:numId w:val="35"/>
        </w:numPr>
        <w:spacing w:after="120" w:line="400" w:lineRule="exact"/>
        <w:ind w:left="649"/>
        <w:jc w:val="both"/>
        <w:rPr>
          <w:rFonts w:cs="Traditional Arabic"/>
          <w:sz w:val="30"/>
          <w:szCs w:val="30"/>
          <w:lang w:val="en-GB"/>
        </w:rPr>
      </w:pPr>
      <w:r w:rsidRPr="00335E4B">
        <w:rPr>
          <w:rFonts w:cs="Traditional Arabic" w:hint="cs"/>
          <w:sz w:val="30"/>
          <w:szCs w:val="30"/>
          <w:rtl/>
          <w:lang w:val="en-GB"/>
        </w:rPr>
        <w:t>مصنع ليهاي للإسمنت (</w:t>
      </w:r>
      <w:r w:rsidRPr="00335E4B">
        <w:rPr>
          <w:rFonts w:eastAsia="Calibri" w:cs="Times New Roman"/>
          <w:sz w:val="20"/>
          <w:szCs w:val="22"/>
        </w:rPr>
        <w:t>Lehigh Cement</w:t>
      </w:r>
      <w:r w:rsidRPr="00335E4B">
        <w:rPr>
          <w:rFonts w:cs="Traditional Arabic" w:hint="cs"/>
          <w:sz w:val="30"/>
          <w:szCs w:val="30"/>
          <w:rtl/>
          <w:lang w:val="en-GB"/>
        </w:rPr>
        <w:t>): مدينة ماسون، أيوا، الولايات المتحدة</w:t>
      </w:r>
    </w:p>
    <w:p w:rsidR="00335E4B" w:rsidRPr="00335E4B" w:rsidRDefault="00335E4B" w:rsidP="00335E4B">
      <w:pPr>
        <w:keepNext/>
        <w:spacing w:before="120" w:after="120" w:line="400" w:lineRule="exact"/>
        <w:ind w:left="991" w:hanging="993"/>
        <w:jc w:val="both"/>
        <w:outlineLvl w:val="3"/>
        <w:rPr>
          <w:rFonts w:cs="Traditional Arabic"/>
          <w:b/>
          <w:bCs/>
          <w:sz w:val="30"/>
          <w:szCs w:val="30"/>
          <w:rtl/>
        </w:rPr>
      </w:pPr>
      <w:r w:rsidRPr="00335E4B">
        <w:rPr>
          <w:rFonts w:cs="Traditional Arabic" w:hint="cs"/>
          <w:b/>
          <w:bCs/>
          <w:sz w:val="30"/>
          <w:szCs w:val="30"/>
          <w:rtl/>
        </w:rPr>
        <w:t>الاختزال الحفزي الانتقائي</w:t>
      </w:r>
    </w:p>
    <w:p w:rsidR="00335E4B" w:rsidRPr="00335E4B" w:rsidRDefault="00335E4B" w:rsidP="004862A0">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يخفض الاختزال الحفزي الانتقائي انبعاثات أكاسيد النيتروجين عن طريق حقن الأمونيا أو اليوريا في مسار الغاز حيث يحدث تفاعل على سطح المادة الحفازة عند درجة حرارة تتراوح من 300 </w:t>
      </w:r>
      <w:r w:rsidR="004862A0">
        <w:rPr>
          <w:rFonts w:cs="Traditional Arabic" w:hint="cs"/>
          <w:sz w:val="30"/>
          <w:szCs w:val="30"/>
          <w:rtl/>
          <w:lang w:val="en-GB"/>
        </w:rPr>
        <w:t>-</w:t>
      </w:r>
      <w:r w:rsidRPr="00335E4B">
        <w:rPr>
          <w:rFonts w:cs="Traditional Arabic" w:hint="cs"/>
          <w:sz w:val="30"/>
          <w:szCs w:val="30"/>
          <w:rtl/>
          <w:lang w:val="en-GB"/>
        </w:rPr>
        <w:t xml:space="preserve"> 400مْ تقريباً. وتستخدم تقنية الاختزال الحفزي الانتقائي على نطاق واسع لخفض مستويات أكاسيد النيتروجين في صناعات أخرى (محطات الطاقة العاملة بالفحم، أفران حرق النفايات) واستخدمت في صناعة الإسمنت منذ تسعينيات القرن الماضي </w:t>
      </w:r>
      <w:r w:rsidRPr="004862A0">
        <w:rPr>
          <w:rFonts w:asciiTheme="majorBidi" w:hAnsiTheme="majorBidi" w:cstheme="majorBidi"/>
          <w:sz w:val="20"/>
          <w:szCs w:val="20"/>
          <w:rtl/>
          <w:lang w:val="en-GB"/>
        </w:rPr>
        <w:t>(</w:t>
      </w:r>
      <w:r w:rsidRPr="004862A0">
        <w:rPr>
          <w:rFonts w:asciiTheme="majorBidi" w:hAnsiTheme="majorBidi" w:cstheme="majorBidi"/>
          <w:noProof/>
          <w:sz w:val="20"/>
          <w:szCs w:val="20"/>
        </w:rPr>
        <w:t>CEMBUREAU, 1997; Netherlands, 1997</w:t>
      </w:r>
      <w:r w:rsidRPr="004862A0">
        <w:rPr>
          <w:rFonts w:asciiTheme="majorBidi" w:hAnsiTheme="majorBidi" w:cstheme="majorBidi"/>
          <w:sz w:val="20"/>
          <w:szCs w:val="20"/>
          <w:rtl/>
          <w:lang w:val="en-GB"/>
        </w:rPr>
        <w:t>)</w:t>
      </w:r>
      <w:r w:rsidRPr="00335E4B">
        <w:rPr>
          <w:rFonts w:cs="Traditional Arabic" w:hint="cs"/>
          <w:sz w:val="30"/>
          <w:szCs w:val="30"/>
          <w:rtl/>
          <w:lang w:val="en-GB"/>
        </w:rPr>
        <w:t xml:space="preserve"> في ست منشآت لإنتاج الإسمنت في العالم (ألمانيا وإيطاليا والولايات المتحدة). وتتكون المادة الحفازة في الاختزال الحفزي الانتقائي من جسم خزفي مذمم بمركبات تفاعلية حفزية مثل خامس أكسيد الفاناديوم (</w:t>
      </w:r>
      <w:r w:rsidRPr="00335E4B">
        <w:rPr>
          <w:rFonts w:cs="Times New Roman"/>
          <w:noProof/>
          <w:sz w:val="20"/>
          <w:szCs w:val="22"/>
        </w:rPr>
        <w:t>V</w:t>
      </w:r>
      <w:r w:rsidRPr="00335E4B">
        <w:rPr>
          <w:rFonts w:cs="Times New Roman"/>
          <w:noProof/>
          <w:sz w:val="20"/>
          <w:szCs w:val="22"/>
          <w:vertAlign w:val="subscript"/>
        </w:rPr>
        <w:t>2</w:t>
      </w:r>
      <w:r w:rsidRPr="00335E4B">
        <w:rPr>
          <w:rFonts w:cs="Times New Roman"/>
          <w:noProof/>
          <w:sz w:val="20"/>
          <w:szCs w:val="22"/>
        </w:rPr>
        <w:t>O</w:t>
      </w:r>
      <w:r w:rsidRPr="00335E4B">
        <w:rPr>
          <w:rFonts w:cs="Times New Roman"/>
          <w:noProof/>
          <w:sz w:val="20"/>
          <w:szCs w:val="22"/>
          <w:vertAlign w:val="subscript"/>
        </w:rPr>
        <w:t>5</w:t>
      </w:r>
      <w:r w:rsidRPr="00335E4B">
        <w:rPr>
          <w:rFonts w:cs="Traditional Arabic" w:hint="cs"/>
          <w:sz w:val="30"/>
          <w:szCs w:val="30"/>
          <w:rtl/>
          <w:lang w:val="en-GB"/>
        </w:rPr>
        <w:t>) أو أكاسيد الفلزات الأخرى. والغرض الرئيسي من تقنية الاختزال الحفزي الانتقائي هي الاختزال الحفزي لأول أكسيد النيرتوجين وثاني أكسيد النيرتوجين في الغازات العادمة وتحويلهما إلى نيتروجين.</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وفي صناعة الإسمنت يعطى الاعتبار بشكل أساسي لنظامين: تشكيلة منخفضة الغبار بين وحدة إزالة الغبار والمدخنة، وتشكيلة كثيرة الغبار بين جهاز التسخين المسبق ووحدة إزالة الغبار. وتتطلب نظم الغاز العادم القليل الغبار إعادة تسخين الغازات العادمة بعد إزالة الغبار وهو أمر قد يؤدي إلى تكبد تكاليف طاقة إضافية وفقدان للضغط. أما أنظمة الغبار الكثير فلا تحتاج لإعادة التسخين نظراً لأن درجة حرارة غاز المداخن في مخرج نظام جهاز إعادة التسخين تكون عادةً ضمن المدى المطلوب لعمل الاختزال الحفزي الانتقائي. ومن جانب آخر فإن كمية الغبار الكبيرة قبل المرشح لا تمثل مشكلةً في نظم الغبار القليل، ولذلك فإن هذه النظم تسمح بوقت تشغيل أطول بكثير للمادة الحفازة. علاوةً على ذلك فإنها تُركَّب عند درجات حرارة منخفضة (تدفقات حجمية أصغر) مما يسمح باستخدام عدد أقل من طبقات المادة الحفازة.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ومن واقع التجارب في قطاع إنتاج الطاقة من المعروف جيداً أن هناك أثر جانبي يتمثل في تأكسد الزئبق النقي إلى حد ما على سطح المواد الحفازة في عملية الاختزال الحفزي الانتقائي. وهذا الزئبق المؤكسد يتعرض للإزالة على الأرجح في أجهزة ضبط تلوث الهواء المركبة في المراحل النهائية مثل مرشح الغبار. وهذا يعني أنه عند استخدام تقنية الاختزال الحفزي الانتقائي يتحول الزئبق النقي إلى أشكال كيميائية يكون احتجازها أسهل.</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وفي الوقت الحاضر تُجرى بحوث مكثفة لتحسين قابلية تطبيق تكنولوجيا الاختزال الحفزي الانتقائي من أجل تخفيض أكاسيد النيتروجين في صناعة الإسمنت. وتشير الدراسات التي أجريت في منشآت أوروبية لإنتاج الإسمنت (ألمانيا والنمسا وإيطاليا) إلى حدوث التأثير المؤكسِد للزئبق الأولي عند استخدام تقنية الاختزال الحفزي الانتقائي في الغازات العادمة لمنشآت الإسمنت. ولا يمكن تحقيق إزالة الزئبق إلا بوضع نظام للاحتجاز بعد المادة الحفازة في الاختزال الحفزي الانتقائي، وهذا معناه أن هذه التقنية تعمل بالاقتران مع الاختزال الحفزي الانتقائي الكثير الغبار وليس مع الاختزال الحفزي الانتقائي (القليل الغبار) في المراحل الأخيرة.</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المنافع البيئية المتحققة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إحدى المنافع البيئية غير مباشرة تتمثل في التحول الجزئي للزئبق الأولي إلى زئبق مؤكسد، وهذه العملية لها أثر جانبي يتمثل في تحسين عملية احتجاز الزئبق بالترافق مع إزالة الغبار وجهاز التنظيف الرطب.</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الآثار الشاملة لوسائط متعددة (بخلاف تلك المرتبطة بالزئبق)</w:t>
      </w:r>
    </w:p>
    <w:p w:rsidR="00335E4B" w:rsidRPr="00335E4B" w:rsidRDefault="00335E4B" w:rsidP="004862A0">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يزداد الطلب على الطاقة في منشأة الإسمنت بمقدار 5 </w:t>
      </w:r>
      <w:r w:rsidR="004862A0">
        <w:rPr>
          <w:rFonts w:cs="Traditional Arabic" w:hint="cs"/>
          <w:sz w:val="30"/>
          <w:szCs w:val="30"/>
          <w:rtl/>
          <w:lang w:val="en-GB"/>
        </w:rPr>
        <w:t>-</w:t>
      </w:r>
      <w:r w:rsidRPr="00335E4B">
        <w:rPr>
          <w:rFonts w:cs="Traditional Arabic" w:hint="cs"/>
          <w:sz w:val="30"/>
          <w:szCs w:val="30"/>
          <w:rtl/>
          <w:lang w:val="en-GB"/>
        </w:rPr>
        <w:t xml:space="preserve"> 6 كيوواط ساعة لكل طن من كريات الكلنكر، مما يقلل من كفاءة استخدام الطاقة في هذه العملية ويزيد من الانبعاثات غير المباشرة لغازات الاحتباس الحراري. علاوةً على ذلك تنتج كميات إضافية من النفايات التي تحتوي على معادن نادرة.</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تجربة التشغيل</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توجد أربعة أجهزة اختزال حفزي انتقائي قيد التشغيل حالياً في منشآت لإنتاج الإسمنت في أوروبا، وهناك بضعة أجهزة أخرى قيد التشغيل (أو قيد التجريب) حول العالم. بيد أن تحديد حجم التأثير المؤكسِد للزئبق يحتاج للمزيد من الدراسة.</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القابلية للتطبيق</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لا يمكن تحقيق الأثر الجانبي لتأكسد الزئبق إلا في منشآت إنتاج الإسمنت المجهزة بنظام اختزال حفزي انتقائي كثير الغبار نظراً لأن هذا النظام يركب في المراحل التي تسبق نظام تجميع الغبار. ويمكن تعزيز خفض مستوى الزئبق بالترافق مع إزالة الغبار أو مع استخدام جهاز التنظيف الرطب.</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b/>
          <w:bCs/>
          <w:sz w:val="30"/>
          <w:szCs w:val="30"/>
          <w:rtl/>
          <w:lang w:val="en-GB"/>
        </w:rPr>
        <w:t>التكاليف</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أظهرت نتائج استخدام تقنية الاختزال الحفزي الانتقائي مستوى تكاليف يتراوح من 1,25 إلى 2 يورو لكل طن من كريات الكلنكر، ويعتمد ذلك على حجم المنشأة وكفاءة إزالة أكاسيد النيتروجين المطلوبة. وتعتمد اقتصاديات تقنية الاختزال الحفزي الانتقائي على تكاليف الاستثمار. ويؤدي استخدام المواد الحفازة إلى ازدياد تكاليف التشغيل بسبب الاستهلاك العالي للطاقة الناتج عن انخفاض الضغط وهواء التنظيف للمادة الحفازة. وقد انخفضت تكاليف التشغيل النوعية لتقنية الاختزال الحفزي الانتقائي لتصل إلى زهاء 1,75 يورو - 2 يورو لكل طن من كريات الكلنكر </w:t>
      </w:r>
      <w:r w:rsidRPr="004862A0">
        <w:rPr>
          <w:rFonts w:asciiTheme="majorBidi" w:hAnsiTheme="majorBidi" w:cstheme="majorBidi"/>
          <w:sz w:val="20"/>
          <w:szCs w:val="20"/>
          <w:rtl/>
          <w:lang w:val="en-GB"/>
        </w:rPr>
        <w:t>(</w:t>
      </w:r>
      <w:r w:rsidRPr="004862A0">
        <w:rPr>
          <w:rFonts w:asciiTheme="majorBidi" w:hAnsiTheme="majorBidi" w:cstheme="majorBidi"/>
          <w:noProof/>
          <w:sz w:val="20"/>
          <w:szCs w:val="20"/>
        </w:rPr>
        <w:t>BREF CLM, 2013</w:t>
      </w:r>
      <w:r w:rsidRPr="004862A0">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المنشآت المرجعية</w:t>
      </w:r>
    </w:p>
    <w:p w:rsidR="00335E4B" w:rsidRPr="00335E4B" w:rsidRDefault="00335E4B" w:rsidP="00335E4B">
      <w:pPr>
        <w:numPr>
          <w:ilvl w:val="0"/>
          <w:numId w:val="35"/>
        </w:numPr>
        <w:spacing w:line="400" w:lineRule="exact"/>
        <w:ind w:left="646" w:hanging="357"/>
        <w:jc w:val="both"/>
        <w:rPr>
          <w:rFonts w:cs="Traditional Arabic"/>
          <w:sz w:val="30"/>
          <w:szCs w:val="30"/>
          <w:lang w:val="en-GB"/>
        </w:rPr>
      </w:pPr>
      <w:r w:rsidRPr="00335E4B">
        <w:rPr>
          <w:rFonts w:cs="Traditional Arabic" w:hint="cs"/>
          <w:sz w:val="30"/>
          <w:szCs w:val="30"/>
          <w:rtl/>
          <w:lang w:val="en-GB"/>
        </w:rPr>
        <w:t>الاختزال الحفزي الانتقائي الكثير الغبار: شفينك تزيمينت كي جي: ميرغلشتيتن، ألمانيا</w:t>
      </w:r>
    </w:p>
    <w:p w:rsidR="00335E4B" w:rsidRPr="00335E4B" w:rsidRDefault="00335E4B" w:rsidP="00335E4B">
      <w:pPr>
        <w:numPr>
          <w:ilvl w:val="0"/>
          <w:numId w:val="35"/>
        </w:numPr>
        <w:spacing w:after="120" w:line="400" w:lineRule="exact"/>
        <w:ind w:left="649"/>
        <w:jc w:val="both"/>
        <w:rPr>
          <w:rFonts w:cs="Traditional Arabic"/>
          <w:sz w:val="30"/>
          <w:szCs w:val="30"/>
          <w:rtl/>
          <w:lang w:val="en-GB"/>
        </w:rPr>
      </w:pPr>
      <w:r w:rsidRPr="00335E4B">
        <w:rPr>
          <w:rFonts w:cs="Traditional Arabic" w:hint="cs"/>
          <w:sz w:val="30"/>
          <w:szCs w:val="30"/>
          <w:rtl/>
          <w:lang w:val="en-GB"/>
        </w:rPr>
        <w:t>لافارج: جوبا، الينوي، الولايات المتحدة</w:t>
      </w:r>
    </w:p>
    <w:p w:rsidR="00335E4B" w:rsidRPr="00335E4B" w:rsidRDefault="00335E4B" w:rsidP="00335E4B">
      <w:pPr>
        <w:keepNext/>
        <w:spacing w:before="120" w:after="120" w:line="400" w:lineRule="exact"/>
        <w:ind w:left="991" w:hanging="993"/>
        <w:jc w:val="both"/>
        <w:outlineLvl w:val="3"/>
        <w:rPr>
          <w:rFonts w:cs="Traditional Arabic"/>
          <w:b/>
          <w:bCs/>
          <w:sz w:val="30"/>
          <w:szCs w:val="30"/>
          <w:rtl/>
        </w:rPr>
      </w:pPr>
      <w:r w:rsidRPr="00335E4B">
        <w:rPr>
          <w:rFonts w:cs="Traditional Arabic" w:hint="cs"/>
          <w:b/>
          <w:bCs/>
          <w:sz w:val="30"/>
          <w:szCs w:val="30"/>
          <w:rtl/>
        </w:rPr>
        <w:t>مرشح الكربون المنشط</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بالامتزاز على الكربون المنشط، يمكن أن تزال من الغازات العادمة ملوثات من قبيل ثاني أكسيد الكبريت، والمركبات العضوية، والمعادن (بما في ذلك المعادن المتطايرة مثل الزئبق والثاليوم)، والأمونيا، ومركبات الأمونيوم، وكلوريد الهيدروجين، وفلوريد الهيدروجين، والغبار المتخلف (بعد جهاز الترسيب الكهروستاتيكي أو المرشح النسيجي). ويصمم مرشح الكربون المنشط في شكل طبقة قاعدية مضغوطة ذات جدران فاصلة قابلة للتركيب في وحدات. ويسمح تصميم المرشح في شكل وحدات بتكييف أحجام المرشح وفقاً لكميات الغازات والطاقات الإنتاجية المختلفة للفرن </w:t>
      </w:r>
      <w:r w:rsidRPr="004862A0">
        <w:rPr>
          <w:rFonts w:asciiTheme="majorBidi" w:hAnsiTheme="majorBidi" w:cstheme="majorBidi"/>
          <w:sz w:val="20"/>
          <w:szCs w:val="20"/>
          <w:rtl/>
          <w:lang w:val="en-GB"/>
        </w:rPr>
        <w:t>(</w:t>
      </w:r>
      <w:r w:rsidRPr="004862A0">
        <w:rPr>
          <w:rFonts w:asciiTheme="majorBidi" w:hAnsiTheme="majorBidi" w:cstheme="majorBidi"/>
          <w:noProof/>
          <w:sz w:val="20"/>
          <w:szCs w:val="20"/>
        </w:rPr>
        <w:t>BREF CLM, 2013</w:t>
      </w:r>
      <w:r w:rsidRPr="004862A0">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ومن حيث المبدأ يتكون جهاز الامتزاز من طبقات ترشيح عديدة معبأة بكوك اللغنيت. وتنقسم كل طبقة ترشيح إلى طبقة رقيقة (0,3م) وطبقة سميكة (1,2م). ويتعرض الغاز العادم من المرشح الكيسي للضغط عن طريق المروحة ليمر من خلال كوك اللغنيت الممتز، ويبلغ ارتفاع الطبقة زهاء 20م. وفي طبقة الترشيح الرقيقة الأولى يُنظف الغاز العادم مسبقاً بينما تتواصل في طبقة الترشيح السميكة الثانية إزالة الملوثات من الغاز العادم. أما كوك اللغنيت المشبع فيعاد تدويره خارجياً ويستبدل بكوك جديد أو معاد تدويره. وهذا التبديل يجري بصورة شبه مستمرة في خطوات صغيرة (كل 3 ساعات). ويتم إدخال الكوك الجديد إلى طبقات الترشيح السميكة باستخدام أحواض توزيع وينتقل إلى أسفل طبقة الترشيح (زهاء 0.3 متر/اليوم). أما في الطبقات الرقيقة فإن الكوك ينتقل إلى الأسفل حتى زهاء 1,2 متر/اليوم، ولهذا السبب تسمى طبقة الامتزاز المتحركة. وفي قعر طبقات الترشيح السميكة يتم سحب كوك اللغنيت ويعاد تدويره بواسطة الناقلات الرافعة إلى الطبقات الرقيقة مرة أخرى. وبالتالي تُنجز عملية تشغيل عكس التيار. وفي عام 2007 استبدل جهاز الترسيب الكهروستاتيكي السابق بمرشح كيسي جيد التصميم للوصول إلى محتويات غبار منخفضة قبل بلوغ جهاز الامتزاز.</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المنافع البيئية المتحققة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الميزة الأهم في مصفاة الكربون المنشط هي الإزالة المتزامنة الفعالة لطيف واسع من الملوثات، ولذلك تكون كفاءة الإزالة عالية جداً. وهناك فقط بعض الهيدروكربونات الشديدة التطاير القصيرة السلسلة (جزيئاتها تحتوي على ذرة كربون واحدة إلى 4 ذرات كربون) لا تُحتجز بكفاءة، كما أن البنزين أيضاً لا يُزال بالكامل. أما جميع الملوثات العضوية الأخرى، بما في ذلك الملوثات العضوية الثابتة والفلزات الثقيلة المتطايرة، خصوصاً الزئبق والثاليوم، فتُمتز بكفاءة تصل إلى أكثر من 90 في المائة. إضافةً إلى ذلك يُخفض مستوى ثاني أكسيد الكبريت بما يزيد عن 90 في المائة </w:t>
      </w:r>
      <w:r w:rsidRPr="004862A0">
        <w:rPr>
          <w:rFonts w:asciiTheme="majorBidi" w:hAnsiTheme="majorBidi" w:cstheme="majorBidi"/>
          <w:sz w:val="20"/>
          <w:szCs w:val="20"/>
          <w:rtl/>
          <w:lang w:val="en-GB"/>
        </w:rPr>
        <w:t>(</w:t>
      </w:r>
      <w:r w:rsidRPr="004862A0">
        <w:rPr>
          <w:rFonts w:asciiTheme="majorBidi" w:hAnsiTheme="majorBidi" w:cstheme="majorBidi"/>
          <w:noProof/>
          <w:sz w:val="20"/>
          <w:szCs w:val="20"/>
        </w:rPr>
        <w:t>Schoenberger, 2009</w:t>
      </w:r>
      <w:r w:rsidRPr="004862A0">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الآثار الشاملة لوسائط متعددة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يتعين التخلص بطريقة سليمة من نفايات من قبيل الكربون المنشط المستعمل المحتوي على الزئبق وملوثات أخرى مثل الديوكسينات الثنائية البنزين المتعددة الكلور والفيورانات الثنائية البنزين المتعددة الكلور.</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الآثار الشاملة لوسائط متعددة (بخلاف تلك المرتبطة بالزئبق)</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تعتبر زيادة استهلاك الكهرباء بسبب انخفاض الضغط في جهاز الامتزاز أهم أثر من الآثار الشاملة لوسائط متعددة.</w:t>
      </w:r>
    </w:p>
    <w:p w:rsidR="00335E4B" w:rsidRPr="00335E4B" w:rsidRDefault="00335E4B" w:rsidP="00335E4B">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القابلية للتطبيق</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يوجد مرشح الكربون المنشط الوحيد المركب في صناعة الإسمنت في شركة لإنتاج الإسمنت في سيغينثال بسويسرا. وفرن سيغينثال هو فرن دوّامي من أربع مراحل مزود بجهاز للتسخين المسبق، وتبلغ طاقة الفرن الإنتاجية 2000 طن من كريات الكلنكر في اليوم. وتشير القياسات إلى كفاءة عالية في إزالة ثاني أكسيد الكبريت والفلزات والديوكسينات/الفيورانات الثنائية البنزين المتعددة الكلور. وخلال تجربة مدتها 100 يوم تراوحت تركيزات ثاني أكسيد الكبريت في مدخل المرشح من 50 إلى 600 مليغرام/م</w:t>
      </w:r>
      <w:r w:rsidRPr="00335E4B">
        <w:rPr>
          <w:rFonts w:cs="Traditional Arabic" w:hint="cs"/>
          <w:sz w:val="30"/>
          <w:szCs w:val="30"/>
          <w:vertAlign w:val="superscript"/>
          <w:rtl/>
          <w:lang w:val="en-GB"/>
        </w:rPr>
        <w:t xml:space="preserve">3 </w:t>
      </w:r>
      <w:r w:rsidRPr="00335E4B">
        <w:rPr>
          <w:rFonts w:cs="Traditional Arabic" w:hint="cs"/>
          <w:sz w:val="30"/>
          <w:szCs w:val="30"/>
          <w:rtl/>
          <w:lang w:val="en-GB"/>
        </w:rPr>
        <w:t>عادي، بينما كانت التركيزات في المخرج دائماً أقل بكثير من 50 مليغرام/م</w:t>
      </w:r>
      <w:r w:rsidRPr="00335E4B">
        <w:rPr>
          <w:rFonts w:cs="Traditional Arabic" w:hint="cs"/>
          <w:sz w:val="30"/>
          <w:szCs w:val="30"/>
          <w:vertAlign w:val="superscript"/>
          <w:rtl/>
          <w:lang w:val="en-GB"/>
        </w:rPr>
        <w:t xml:space="preserve">3 </w:t>
      </w:r>
      <w:r w:rsidRPr="00335E4B">
        <w:rPr>
          <w:rFonts w:cs="Traditional Arabic" w:hint="cs"/>
          <w:sz w:val="30"/>
          <w:szCs w:val="30"/>
          <w:rtl/>
          <w:lang w:val="en-GB"/>
        </w:rPr>
        <w:t>عادي. وانخفضت تركيزات الغبار من 30 مليغرام/م</w:t>
      </w:r>
      <w:r w:rsidRPr="00335E4B">
        <w:rPr>
          <w:rFonts w:cs="Traditional Arabic" w:hint="cs"/>
          <w:sz w:val="30"/>
          <w:szCs w:val="30"/>
          <w:vertAlign w:val="superscript"/>
          <w:rtl/>
          <w:lang w:val="en-GB"/>
        </w:rPr>
        <w:t xml:space="preserve">3 </w:t>
      </w:r>
      <w:r w:rsidRPr="00335E4B">
        <w:rPr>
          <w:rFonts w:cs="Traditional Arabic" w:hint="cs"/>
          <w:sz w:val="30"/>
          <w:szCs w:val="30"/>
          <w:rtl/>
          <w:lang w:val="en-GB"/>
        </w:rPr>
        <w:t>عادي إلى أقل بكثير من 10 مليغرام/م</w:t>
      </w:r>
      <w:r w:rsidRPr="00335E4B">
        <w:rPr>
          <w:rFonts w:cs="Traditional Arabic" w:hint="cs"/>
          <w:sz w:val="30"/>
          <w:szCs w:val="30"/>
          <w:vertAlign w:val="superscript"/>
          <w:rtl/>
          <w:lang w:val="en-GB"/>
        </w:rPr>
        <w:t xml:space="preserve">3 </w:t>
      </w:r>
      <w:r w:rsidRPr="00335E4B">
        <w:rPr>
          <w:rFonts w:cs="Traditional Arabic" w:hint="cs"/>
          <w:sz w:val="30"/>
          <w:szCs w:val="30"/>
          <w:rtl/>
          <w:lang w:val="en-GB"/>
        </w:rPr>
        <w:t xml:space="preserve">عادي </w:t>
      </w:r>
      <w:r w:rsidRPr="004862A0">
        <w:rPr>
          <w:rFonts w:asciiTheme="majorBidi" w:hAnsiTheme="majorBidi" w:cstheme="majorBidi"/>
          <w:sz w:val="20"/>
          <w:szCs w:val="20"/>
          <w:rtl/>
          <w:lang w:val="en-GB"/>
        </w:rPr>
        <w:t>(</w:t>
      </w:r>
      <w:r w:rsidRPr="004862A0">
        <w:rPr>
          <w:rFonts w:asciiTheme="majorBidi" w:hAnsiTheme="majorBidi" w:cstheme="majorBidi"/>
          <w:noProof/>
          <w:sz w:val="20"/>
          <w:szCs w:val="20"/>
        </w:rPr>
        <w:t>BREF CLM, 2013</w:t>
      </w:r>
      <w:r w:rsidRPr="004862A0">
        <w:rPr>
          <w:rFonts w:asciiTheme="majorBidi" w:hAnsiTheme="majorBidi" w:cstheme="majorBidi"/>
          <w:sz w:val="20"/>
          <w:szCs w:val="20"/>
          <w:rtl/>
          <w:lang w:val="en-GB"/>
        </w:rPr>
        <w:t>)</w:t>
      </w:r>
      <w:r w:rsidRPr="00335E4B">
        <w:rPr>
          <w:rFonts w:cs="Traditional Arabic" w:hint="cs"/>
          <w:sz w:val="30"/>
          <w:szCs w:val="30"/>
          <w:rtl/>
          <w:lang w:val="en-GB"/>
        </w:rPr>
        <w:t xml:space="preserve">. ويمكن تركيب مرشح كربون منشط في كل نظم الأفران الجافة. ومن المهم بوجه خاص رصد ومراقبة درجة الحرارة وأول أكسيد الكربون في هذه العمليات بهدف منع الحرائق في مرشح الكوك </w:t>
      </w:r>
      <w:r w:rsidRPr="004862A0">
        <w:rPr>
          <w:rFonts w:asciiTheme="majorBidi" w:hAnsiTheme="majorBidi" w:cstheme="majorBidi"/>
          <w:sz w:val="20"/>
          <w:szCs w:val="20"/>
          <w:rtl/>
          <w:lang w:val="en-GB"/>
        </w:rPr>
        <w:t>(</w:t>
      </w:r>
      <w:r w:rsidRPr="004862A0">
        <w:rPr>
          <w:rFonts w:asciiTheme="majorBidi" w:hAnsiTheme="majorBidi" w:cstheme="majorBidi"/>
          <w:noProof/>
          <w:sz w:val="20"/>
          <w:szCs w:val="20"/>
        </w:rPr>
        <w:t>BREF CLM, 2013</w:t>
      </w:r>
      <w:r w:rsidRPr="004862A0">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b/>
          <w:bCs/>
          <w:sz w:val="30"/>
          <w:szCs w:val="30"/>
          <w:rtl/>
          <w:lang w:val="en-GB"/>
        </w:rPr>
        <w:t>التكاليف</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يشتمل النظام المركب في سيغينثال أيضاً على عملية خفض غير حفزي انتقائي، وفي عام 1999 مولت مدينة زيوريخ ما نسبته 30 في المائة تقريباً من تكاليف الاستثمار الكلية البالغة زهاء 15 مليون يورو. والهدف من الاستثمار في هذا النظام الرامي إلى خفض الانبعاثات هو تمكين شركة إنتاج الإسمنت من استخدام حمأة مياه المجارير المتحللة كوقود. ويمكن أن ينتج عن ذلك زيادة في تكاليف التشغيل </w:t>
      </w:r>
      <w:r w:rsidRPr="004862A0">
        <w:rPr>
          <w:rFonts w:asciiTheme="majorBidi" w:hAnsiTheme="majorBidi" w:cstheme="majorBidi"/>
          <w:sz w:val="20"/>
          <w:szCs w:val="20"/>
          <w:rtl/>
          <w:lang w:val="en-GB"/>
        </w:rPr>
        <w:t>(</w:t>
      </w:r>
      <w:r w:rsidRPr="004862A0">
        <w:rPr>
          <w:rFonts w:asciiTheme="majorBidi" w:hAnsiTheme="majorBidi" w:cstheme="majorBidi"/>
          <w:noProof/>
          <w:sz w:val="20"/>
          <w:szCs w:val="20"/>
        </w:rPr>
        <w:t>BREF CLM, 2013</w:t>
      </w:r>
      <w:r w:rsidRPr="004862A0">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335E4B" w:rsidP="00335E4B">
      <w:pPr>
        <w:spacing w:after="120" w:line="400" w:lineRule="exact"/>
        <w:jc w:val="both"/>
        <w:rPr>
          <w:rFonts w:cs="Traditional Arabic"/>
          <w:b/>
          <w:bCs/>
          <w:sz w:val="30"/>
          <w:szCs w:val="30"/>
          <w:lang w:val="en-GB"/>
        </w:rPr>
      </w:pPr>
      <w:r w:rsidRPr="00335E4B">
        <w:rPr>
          <w:rFonts w:cs="Traditional Arabic" w:hint="cs"/>
          <w:b/>
          <w:bCs/>
          <w:sz w:val="30"/>
          <w:szCs w:val="30"/>
          <w:rtl/>
          <w:lang w:val="en-GB"/>
        </w:rPr>
        <w:t>المنشآت المرجعية</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المنشأة المرجعية الوحيدة في قطاع إنتاج الإسمنت هي مرشح الكربون المنشط (جهاز الامتزاز ذو طبقة الترشيح المتحركة المحتوية على كوك اللغنيت) في مصنع هولسيم للإسمنت في سيغينثال، سويسرا. بيد أن أجهزة الامتزاز ذات طبقة الترشيح المتحركة المحتوية على كوك اللغنيت استخدمت أيضاً في قطاعات أخرى، وعلى وجه الخصوص في قطاع حرق النفايات.</w:t>
      </w:r>
    </w:p>
    <w:p w:rsidR="00335E4B" w:rsidRPr="00335E4B" w:rsidRDefault="00335E4B" w:rsidP="0071522F">
      <w:pPr>
        <w:keepNext/>
        <w:spacing w:before="120" w:after="120" w:line="400" w:lineRule="exact"/>
        <w:ind w:left="707" w:hanging="709"/>
        <w:jc w:val="both"/>
        <w:outlineLvl w:val="3"/>
        <w:rPr>
          <w:rFonts w:cs="Traditional Arabic"/>
          <w:b/>
          <w:bCs/>
          <w:sz w:val="32"/>
          <w:szCs w:val="32"/>
          <w:rtl/>
        </w:rPr>
      </w:pPr>
      <w:r w:rsidRPr="00335E4B">
        <w:rPr>
          <w:rFonts w:cs="Traditional Arabic"/>
          <w:b/>
          <w:bCs/>
          <w:sz w:val="32"/>
          <w:szCs w:val="32"/>
          <w:rtl/>
          <w:lang w:val="en-GB"/>
        </w:rPr>
        <w:br w:type="page"/>
      </w:r>
      <w:r w:rsidRPr="00335E4B">
        <w:rPr>
          <w:rFonts w:cs="Traditional Arabic" w:hint="cs"/>
          <w:b/>
          <w:bCs/>
          <w:sz w:val="32"/>
          <w:szCs w:val="32"/>
          <w:rtl/>
        </w:rPr>
        <w:t>أفضل التقنيات المتاحة وأفضل الممارسات البيئية</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يمكن خفض انبعاثات الزئبق من خلال اتخاذ تدابير أولية من قبيل التحكم في كمية الزئبق في المدخلات إلى الفرن وتدابير ثانوية من قبيل إزالة الغبار وحقن المواد الممتزة. ويمكن أيضاً التحكم في الزئبق عن طريق المنافع المشتركة الناتجة بتطبيق تقنيات ضبط الملوثات المتعددة مثل أجهزة التنظيف الرطب والاختزال الحفزي الانتقائي ومرشحات الكربون المنشط.</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وتظهر انبعاثات الزئبق المبلغ عنها أن غالبية منشآت إنتاج الإسمنت حول العالم تطلق انبعاثات زئبق أقل من 0,03 مليغرام/م</w:t>
      </w:r>
      <w:r w:rsidRPr="00335E4B">
        <w:rPr>
          <w:rFonts w:cs="Traditional Arabic" w:hint="cs"/>
          <w:sz w:val="30"/>
          <w:szCs w:val="30"/>
          <w:vertAlign w:val="superscript"/>
          <w:rtl/>
          <w:lang w:val="en-GB"/>
        </w:rPr>
        <w:t xml:space="preserve">3 </w:t>
      </w:r>
      <w:r w:rsidRPr="00335E4B">
        <w:rPr>
          <w:rFonts w:cs="Traditional Arabic" w:hint="cs"/>
          <w:sz w:val="30"/>
          <w:szCs w:val="30"/>
          <w:rtl/>
          <w:lang w:val="en-GB"/>
        </w:rPr>
        <w:t xml:space="preserve">عادي. وفي تقرير رينزوني وآخرين عن الزئبق في صناعة الإسمنت </w:t>
      </w:r>
      <w:r w:rsidRPr="004862A0">
        <w:rPr>
          <w:rFonts w:asciiTheme="majorBidi" w:hAnsiTheme="majorBidi" w:cstheme="majorBidi"/>
          <w:sz w:val="20"/>
          <w:szCs w:val="20"/>
          <w:rtl/>
          <w:lang w:val="en-GB"/>
        </w:rPr>
        <w:t>(</w:t>
      </w:r>
      <w:r w:rsidRPr="004862A0">
        <w:rPr>
          <w:rFonts w:asciiTheme="majorBidi" w:hAnsiTheme="majorBidi" w:cstheme="majorBidi"/>
          <w:noProof/>
          <w:sz w:val="20"/>
          <w:szCs w:val="20"/>
        </w:rPr>
        <w:t>Renzoni et al., 2010</w:t>
      </w:r>
      <w:r w:rsidRPr="004862A0">
        <w:rPr>
          <w:rFonts w:asciiTheme="majorBidi" w:hAnsiTheme="majorBidi" w:cstheme="majorBidi"/>
          <w:sz w:val="20"/>
          <w:szCs w:val="20"/>
          <w:rtl/>
          <w:lang w:val="en-GB"/>
        </w:rPr>
        <w:t>)</w:t>
      </w:r>
      <w:r w:rsidRPr="00335E4B">
        <w:rPr>
          <w:rFonts w:cs="Traditional Arabic" w:hint="cs"/>
          <w:sz w:val="30"/>
          <w:szCs w:val="30"/>
          <w:rtl/>
          <w:lang w:val="en-GB"/>
        </w:rPr>
        <w:t xml:space="preserve"> وجد أن الكثير من القيم كانت أقل من 0,001 مليغرام زئبق/م</w:t>
      </w:r>
      <w:r w:rsidRPr="00335E4B">
        <w:rPr>
          <w:rFonts w:cs="Traditional Arabic" w:hint="cs"/>
          <w:sz w:val="30"/>
          <w:szCs w:val="30"/>
          <w:vertAlign w:val="superscript"/>
          <w:rtl/>
          <w:lang w:val="en-GB"/>
        </w:rPr>
        <w:t xml:space="preserve">3 </w:t>
      </w:r>
      <w:r w:rsidRPr="00335E4B">
        <w:rPr>
          <w:rFonts w:cs="Traditional Arabic" w:hint="cs"/>
          <w:sz w:val="30"/>
          <w:szCs w:val="30"/>
          <w:rtl/>
          <w:lang w:val="en-GB"/>
        </w:rPr>
        <w:t>عادي (أقل من المستوى القابل للكشف) وأن القليل جداً من القيم كانت أعلى من 0,05 مليغرام زئبق/م</w:t>
      </w:r>
      <w:r w:rsidRPr="00335E4B">
        <w:rPr>
          <w:rFonts w:cs="Traditional Arabic" w:hint="cs"/>
          <w:sz w:val="30"/>
          <w:szCs w:val="30"/>
          <w:vertAlign w:val="superscript"/>
          <w:rtl/>
          <w:lang w:val="en-GB"/>
        </w:rPr>
        <w:t xml:space="preserve">3 </w:t>
      </w:r>
      <w:r w:rsidRPr="00335E4B">
        <w:rPr>
          <w:rFonts w:cs="Traditional Arabic" w:hint="cs"/>
          <w:sz w:val="30"/>
          <w:szCs w:val="30"/>
          <w:rtl/>
          <w:lang w:val="en-GB"/>
        </w:rPr>
        <w:t>عادي.</w:t>
      </w:r>
    </w:p>
    <w:p w:rsidR="00335E4B" w:rsidRPr="00335E4B" w:rsidRDefault="00335E4B" w:rsidP="00335E4B">
      <w:pPr>
        <w:spacing w:after="120" w:line="400" w:lineRule="exact"/>
        <w:jc w:val="both"/>
        <w:rPr>
          <w:rFonts w:cs="Traditional Arabic"/>
          <w:sz w:val="30"/>
          <w:szCs w:val="30"/>
        </w:rPr>
      </w:pPr>
      <w:r w:rsidRPr="00335E4B">
        <w:rPr>
          <w:rFonts w:cs="Traditional Arabic" w:hint="cs"/>
          <w:sz w:val="30"/>
          <w:szCs w:val="30"/>
          <w:rtl/>
        </w:rPr>
        <w:t>وبالنسبة لمستوى الأداء الإرشادي المرتبط بأفضل التقنيات المتاحة وأفضل الممارسات البيئية، للتحكم في انبعاثات الزئبق إلى الهواء من مرافق إنتاج كريات الكلنكر القائمة والجديدة، فهو أقل من 0,03 ملغم زئبق/نانومتر3 كمتوسط يومي أو كمتوسط خلال فترة أخذ العينات عند ظروف مرجعية بدرجة حرارة 273 كلفن وضغط جوي 101,3 كيلوباسكال و10 في المائة أكسجين وغاز جاف.</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ويمكن الوصول إلى مستوى الأداء الإرشادي عادةً باستخدام التقنيات الواردة في هذه الوثيقة التوجيهية. بيد أن هناك عوامل محددة قد لا تسمح للمنشأة بالوصول إلى مستوى الانبعاثات المشار إليه. من هذه العوامل على سبيل المثال:</w:t>
      </w:r>
    </w:p>
    <w:p w:rsidR="00335E4B" w:rsidRPr="00335E4B" w:rsidRDefault="00335E4B" w:rsidP="00335E4B">
      <w:pPr>
        <w:numPr>
          <w:ilvl w:val="0"/>
          <w:numId w:val="35"/>
        </w:numPr>
        <w:spacing w:after="120" w:line="400" w:lineRule="exact"/>
        <w:ind w:left="655"/>
        <w:jc w:val="both"/>
        <w:rPr>
          <w:rFonts w:cs="Traditional Arabic"/>
          <w:sz w:val="30"/>
          <w:szCs w:val="30"/>
        </w:rPr>
      </w:pPr>
      <w:r w:rsidRPr="00335E4B">
        <w:rPr>
          <w:rFonts w:cs="Traditional Arabic" w:hint="cs"/>
          <w:sz w:val="30"/>
          <w:szCs w:val="30"/>
          <w:rtl/>
        </w:rPr>
        <w:t>ارتفاع محتوى الزئبق في ترسبات الحجر الجيري المحلية؛</w:t>
      </w:r>
    </w:p>
    <w:p w:rsidR="00335E4B" w:rsidRPr="00335E4B" w:rsidRDefault="00335E4B" w:rsidP="00335E4B">
      <w:pPr>
        <w:numPr>
          <w:ilvl w:val="0"/>
          <w:numId w:val="35"/>
        </w:numPr>
        <w:spacing w:after="120" w:line="400" w:lineRule="exact"/>
        <w:ind w:left="655"/>
        <w:jc w:val="both"/>
        <w:rPr>
          <w:rFonts w:cs="Traditional Arabic"/>
          <w:sz w:val="30"/>
          <w:szCs w:val="30"/>
        </w:rPr>
      </w:pPr>
      <w:r w:rsidRPr="00335E4B">
        <w:rPr>
          <w:rFonts w:cs="Traditional Arabic" w:hint="cs"/>
          <w:sz w:val="30"/>
          <w:szCs w:val="30"/>
          <w:rtl/>
        </w:rPr>
        <w:t>تصميم المنشأة وطريقة التشغيل وظروفها؛</w:t>
      </w:r>
    </w:p>
    <w:p w:rsidR="00335E4B" w:rsidRPr="00335E4B" w:rsidRDefault="00335E4B" w:rsidP="00335E4B">
      <w:pPr>
        <w:numPr>
          <w:ilvl w:val="0"/>
          <w:numId w:val="35"/>
        </w:numPr>
        <w:spacing w:after="120" w:line="400" w:lineRule="exact"/>
        <w:ind w:left="655"/>
        <w:jc w:val="both"/>
        <w:rPr>
          <w:rFonts w:cs="Traditional Arabic"/>
          <w:sz w:val="30"/>
          <w:szCs w:val="30"/>
          <w:rtl/>
        </w:rPr>
      </w:pPr>
      <w:r w:rsidRPr="00335E4B">
        <w:rPr>
          <w:rFonts w:cs="Traditional Arabic" w:hint="cs"/>
          <w:sz w:val="30"/>
          <w:szCs w:val="30"/>
          <w:rtl/>
        </w:rPr>
        <w:t>أوقات أخذ العينات عند رصد انبعاثات الزئبق إلى الجو.</w:t>
      </w:r>
    </w:p>
    <w:p w:rsidR="00335E4B" w:rsidRPr="00335E4B" w:rsidRDefault="00335E4B" w:rsidP="00335E4B">
      <w:pPr>
        <w:keepNext/>
        <w:spacing w:before="120" w:after="120" w:line="400" w:lineRule="exact"/>
        <w:ind w:left="707" w:hanging="709"/>
        <w:jc w:val="both"/>
        <w:outlineLvl w:val="3"/>
        <w:rPr>
          <w:rFonts w:cs="Traditional Arabic"/>
          <w:b/>
          <w:bCs/>
          <w:sz w:val="30"/>
          <w:szCs w:val="30"/>
          <w:rtl/>
          <w:lang w:val="en-GB"/>
        </w:rPr>
      </w:pPr>
      <w:r w:rsidRPr="00335E4B">
        <w:rPr>
          <w:rFonts w:cs="Traditional Arabic" w:hint="cs"/>
          <w:b/>
          <w:bCs/>
          <w:sz w:val="30"/>
          <w:szCs w:val="30"/>
          <w:rtl/>
          <w:lang w:val="en-GB"/>
        </w:rPr>
        <w:t>التدابير الأولية</w:t>
      </w:r>
    </w:p>
    <w:p w:rsidR="00335E4B" w:rsidRPr="00335E4B" w:rsidRDefault="00335E4B" w:rsidP="00335E4B">
      <w:pPr>
        <w:spacing w:after="120" w:line="400" w:lineRule="exact"/>
        <w:jc w:val="both"/>
        <w:rPr>
          <w:rFonts w:cs="Traditional Arabic"/>
          <w:sz w:val="30"/>
          <w:szCs w:val="30"/>
          <w:rtl/>
        </w:rPr>
      </w:pPr>
      <w:r w:rsidRPr="00335E4B">
        <w:rPr>
          <w:rFonts w:cs="Traditional Arabic" w:hint="cs"/>
          <w:sz w:val="30"/>
          <w:szCs w:val="30"/>
          <w:rtl/>
        </w:rPr>
        <w:t>يوفر الاختيار والضبط الدقيقين للمواد الأولية وأنواع الوقود الداخلة للفرن وسيلة فعالة لخفض انبعاثات الزئبق والحد منها. ولخفض مدخلات الزئبق إلى الفرن يمكن اتخاذ التدابير التالية:</w:t>
      </w:r>
    </w:p>
    <w:p w:rsidR="00335E4B" w:rsidRPr="00335E4B" w:rsidRDefault="00335E4B" w:rsidP="00335E4B">
      <w:pPr>
        <w:numPr>
          <w:ilvl w:val="0"/>
          <w:numId w:val="35"/>
        </w:numPr>
        <w:spacing w:after="120" w:line="400" w:lineRule="exact"/>
        <w:ind w:left="655"/>
        <w:jc w:val="both"/>
        <w:rPr>
          <w:rFonts w:cs="Traditional Arabic"/>
          <w:sz w:val="30"/>
          <w:szCs w:val="30"/>
        </w:rPr>
      </w:pPr>
      <w:r w:rsidRPr="00335E4B">
        <w:rPr>
          <w:rFonts w:cs="Traditional Arabic" w:hint="cs"/>
          <w:sz w:val="30"/>
          <w:szCs w:val="30"/>
          <w:rtl/>
        </w:rPr>
        <w:t>تطبيق اشتراطات القيم الحدية لمحتوى الزئبق في المواد الخام والوقود؛</w:t>
      </w:r>
    </w:p>
    <w:p w:rsidR="00335E4B" w:rsidRPr="00335E4B" w:rsidRDefault="00335E4B" w:rsidP="00335E4B">
      <w:pPr>
        <w:numPr>
          <w:ilvl w:val="0"/>
          <w:numId w:val="35"/>
        </w:numPr>
        <w:spacing w:after="120" w:line="400" w:lineRule="exact"/>
        <w:ind w:left="655"/>
        <w:jc w:val="both"/>
        <w:rPr>
          <w:rFonts w:cs="Traditional Arabic"/>
          <w:sz w:val="30"/>
          <w:szCs w:val="30"/>
        </w:rPr>
      </w:pPr>
      <w:r w:rsidRPr="00335E4B">
        <w:rPr>
          <w:rFonts w:cs="Traditional Arabic" w:hint="cs"/>
          <w:sz w:val="30"/>
          <w:szCs w:val="30"/>
          <w:rtl/>
        </w:rPr>
        <w:t>تطبيق نظام ضبط الجودة لمواد المدخلات، خصوصاً المواد الخام وأنواع الوقود المشتقة من النفايات، من أجل ضبط محتوى الزئبق في مواد المدخلات؛</w:t>
      </w:r>
    </w:p>
    <w:p w:rsidR="00335E4B" w:rsidRPr="00335E4B" w:rsidRDefault="00335E4B" w:rsidP="00335E4B">
      <w:pPr>
        <w:numPr>
          <w:ilvl w:val="0"/>
          <w:numId w:val="35"/>
        </w:numPr>
        <w:spacing w:after="120" w:line="400" w:lineRule="exact"/>
        <w:ind w:left="655"/>
        <w:jc w:val="both"/>
        <w:rPr>
          <w:rFonts w:cs="Traditional Arabic"/>
          <w:sz w:val="30"/>
          <w:szCs w:val="30"/>
        </w:rPr>
      </w:pPr>
      <w:r w:rsidRPr="00335E4B">
        <w:rPr>
          <w:rFonts w:cs="Traditional Arabic" w:hint="cs"/>
          <w:sz w:val="30"/>
          <w:szCs w:val="30"/>
          <w:rtl/>
        </w:rPr>
        <w:t>استخدام مواد مدخلات ذات محتوى زئبق منخفض ما أمكن، وتفادي استخدام النفايات ذات المحتوى العالي من الزئبق؛</w:t>
      </w:r>
    </w:p>
    <w:p w:rsidR="00335E4B" w:rsidRPr="00335E4B" w:rsidRDefault="00335E4B" w:rsidP="00335E4B">
      <w:pPr>
        <w:numPr>
          <w:ilvl w:val="0"/>
          <w:numId w:val="35"/>
        </w:numPr>
        <w:spacing w:after="120" w:line="400" w:lineRule="exact"/>
        <w:ind w:left="655"/>
        <w:jc w:val="both"/>
        <w:rPr>
          <w:rFonts w:cs="Traditional Arabic"/>
          <w:sz w:val="30"/>
          <w:szCs w:val="30"/>
        </w:rPr>
      </w:pPr>
      <w:r w:rsidRPr="00335E4B">
        <w:rPr>
          <w:rFonts w:cs="Traditional Arabic" w:hint="cs"/>
          <w:sz w:val="30"/>
          <w:szCs w:val="30"/>
          <w:rtl/>
        </w:rPr>
        <w:t>التعدين الانتقائي عند وجود تركيزات متفاوتة من الزئبق في المحجر، ما أمكن؛</w:t>
      </w:r>
    </w:p>
    <w:p w:rsidR="00335E4B" w:rsidRPr="00335E4B" w:rsidRDefault="00335E4B" w:rsidP="00335E4B">
      <w:pPr>
        <w:numPr>
          <w:ilvl w:val="0"/>
          <w:numId w:val="35"/>
        </w:numPr>
        <w:spacing w:after="120" w:line="400" w:lineRule="exact"/>
        <w:ind w:left="655"/>
        <w:jc w:val="both"/>
        <w:rPr>
          <w:rFonts w:cs="Traditional Arabic"/>
          <w:sz w:val="30"/>
          <w:szCs w:val="30"/>
          <w:rtl/>
        </w:rPr>
      </w:pPr>
      <w:r w:rsidRPr="00335E4B">
        <w:rPr>
          <w:rFonts w:cs="Traditional Arabic" w:hint="cs"/>
          <w:sz w:val="30"/>
          <w:szCs w:val="30"/>
          <w:rtl/>
        </w:rPr>
        <w:t>اختيار مواقع المرافق الجديدة بحيث تأخذ في الاعتبار محتوى الزئبق في محجر الحجر الجيري.</w:t>
      </w:r>
    </w:p>
    <w:p w:rsidR="00335E4B" w:rsidRPr="00335E4B" w:rsidRDefault="00335E4B" w:rsidP="00335E4B">
      <w:pPr>
        <w:keepNext/>
        <w:spacing w:before="120" w:after="120" w:line="380" w:lineRule="exact"/>
        <w:ind w:left="707" w:hanging="709"/>
        <w:jc w:val="both"/>
        <w:outlineLvl w:val="3"/>
        <w:rPr>
          <w:rFonts w:cs="Traditional Arabic"/>
          <w:b/>
          <w:bCs/>
          <w:sz w:val="30"/>
          <w:szCs w:val="30"/>
          <w:rtl/>
          <w:lang w:val="en-GB"/>
        </w:rPr>
      </w:pPr>
      <w:r w:rsidRPr="00335E4B">
        <w:rPr>
          <w:rFonts w:cs="Traditional Arabic" w:hint="cs"/>
          <w:b/>
          <w:bCs/>
          <w:sz w:val="30"/>
          <w:szCs w:val="30"/>
          <w:rtl/>
          <w:lang w:val="en-GB"/>
        </w:rPr>
        <w:t>التدابير الثانوية</w:t>
      </w:r>
    </w:p>
    <w:p w:rsidR="00335E4B" w:rsidRPr="00335E4B" w:rsidRDefault="00335E4B" w:rsidP="00335E4B">
      <w:pPr>
        <w:spacing w:after="120" w:line="380" w:lineRule="exact"/>
        <w:jc w:val="both"/>
        <w:rPr>
          <w:rFonts w:cs="Traditional Arabic"/>
          <w:sz w:val="30"/>
          <w:szCs w:val="30"/>
        </w:rPr>
      </w:pPr>
      <w:r w:rsidRPr="00335E4B">
        <w:rPr>
          <w:rFonts w:cs="Traditional Arabic" w:hint="cs"/>
          <w:sz w:val="30"/>
          <w:szCs w:val="30"/>
          <w:rtl/>
        </w:rPr>
        <w:t>هناك عدد من التدابير الثانوية التي يتعين وضعها في الاعتبار، حسب الاقتضاء.</w:t>
      </w:r>
    </w:p>
    <w:p w:rsidR="00335E4B" w:rsidRPr="00335E4B" w:rsidRDefault="00335E4B" w:rsidP="007B782B">
      <w:pPr>
        <w:spacing w:after="120" w:line="400" w:lineRule="exact"/>
        <w:jc w:val="both"/>
        <w:rPr>
          <w:rFonts w:cs="Traditional Arabic"/>
          <w:sz w:val="30"/>
          <w:szCs w:val="30"/>
          <w:rtl/>
        </w:rPr>
      </w:pPr>
      <w:r w:rsidRPr="00335E4B">
        <w:rPr>
          <w:rFonts w:cs="Traditional Arabic" w:hint="cs"/>
          <w:sz w:val="30"/>
          <w:szCs w:val="30"/>
          <w:rtl/>
        </w:rPr>
        <w:t>ويمكن تخفيض انبعاثات الزئبق إلى الهواء من خلال إزالة الغبار وكذلك جمع الغبار بدلاً من إعادته إلى مواد التقليم الخام. وإحدى الطرق لزيادة فعالية عملية إزالة الغبار هي خفض درجة حرارة الغاز المتصاعد بعد برج التكييف إلى 140مْ لتحسين عملية ترسيب الزئبق ومركباته أثناء ترشيح الغبار. ويمكن استخدام الغبار الذي يتم جمعه في طاحونة الإسمنت النهائية أو في إنتاج منتجات أخرى. وإذا لم يكن ذلك ممكناً فإنه يتعين معالجة الغبار بوصفه نفايات والتخلص منه بطريقة ملائمة.</w:t>
      </w:r>
    </w:p>
    <w:p w:rsidR="00335E4B" w:rsidRPr="00335E4B" w:rsidRDefault="00335E4B" w:rsidP="007B782B">
      <w:pPr>
        <w:spacing w:after="120" w:line="400" w:lineRule="exact"/>
        <w:jc w:val="both"/>
        <w:rPr>
          <w:rFonts w:cs="Traditional Arabic"/>
          <w:sz w:val="30"/>
          <w:szCs w:val="30"/>
        </w:rPr>
      </w:pPr>
      <w:r w:rsidRPr="00335E4B">
        <w:rPr>
          <w:rFonts w:cs="Traditional Arabic" w:hint="cs"/>
          <w:sz w:val="30"/>
          <w:szCs w:val="30"/>
          <w:rtl/>
        </w:rPr>
        <w:t>تؤدي إزالة الغبار المقترنة بحقن المواد الممتزة إلى إزالة الزئبق بكفاءة أعلى مقارنةً بعملية إزالة الغبار وحدها. وتُحقن المواد الممتزة عادةً أثناء العمل مع وقف تشغيل طاحونة المواد الخام بهدف خفض قيم الانبعاثات القصوى التي تحدث أثناء طريقة التشغيل هذه. ويمكن أن تؤدي إزالة الغبار مع حقن المواد الممتزة إلى تحقيق مستويات منخفضة للغاية من انبعاثات الزئبق حيث يمكن خفض انبعاثات الزئبق بنسبة تتراوح من 70 إلى 90 في المائة. ويعتمد مستوى الانبعاثات على التركيز المستهدف الذي صُمم النظام لتحقيقه.</w:t>
      </w:r>
    </w:p>
    <w:p w:rsidR="00335E4B" w:rsidRPr="00335E4B" w:rsidRDefault="00335E4B" w:rsidP="007B782B">
      <w:pPr>
        <w:spacing w:after="120" w:line="400" w:lineRule="exact"/>
        <w:jc w:val="both"/>
        <w:rPr>
          <w:rFonts w:cs="Traditional Arabic"/>
          <w:sz w:val="30"/>
          <w:szCs w:val="30"/>
          <w:rtl/>
        </w:rPr>
      </w:pPr>
      <w:r w:rsidRPr="00335E4B">
        <w:rPr>
          <w:rFonts w:cs="Traditional Arabic" w:hint="cs"/>
          <w:sz w:val="30"/>
          <w:szCs w:val="30"/>
          <w:rtl/>
        </w:rPr>
        <w:t>وعند استخدام حقن المواد الممتزة مع وجود مرشح تنقية كيسي، تُحقن المادة الممتزة داخل غاز المداخن بعد الجهاز الرئيسي لضبط الغبار مع استخدام مرشح غبار ثاني أو مرشح تنقية كيسي لاحتجاز المادة الممتزة المستعملة. واعتماداً على اشتراطات الإزالة الكلية لانبعاثات الزئبق يمكن حقن المادة الممتزة بشكل مستمر، أو يمكن الحقن لخفض الانبعاثات القصوى، التي تحدث عادةً أثناء العمل مع وقف تشغيل طاحونة المواد الخام. ويمكن أن يؤدي حقن الكربون المنشط مع تركيب مرشح تنقية كيسي إلى كفاءة ضبط تصل إزالة الزئبق بها إلى 90 في المائة. وعند استخدام هذه التكنولوجيات يجب الأخذ في الاعتبار أن إمكانية استخدام الغبار المزال في إنتاج الإسمنت قد تكون محدودة وأنه من الممكن أن تنتج كمية إضافية من النفايات.</w:t>
      </w:r>
    </w:p>
    <w:p w:rsidR="00335E4B" w:rsidRPr="00335E4B" w:rsidRDefault="00335E4B" w:rsidP="007B782B">
      <w:pPr>
        <w:spacing w:after="120" w:line="400" w:lineRule="exact"/>
        <w:jc w:val="both"/>
        <w:rPr>
          <w:rFonts w:cs="Traditional Arabic"/>
          <w:sz w:val="30"/>
          <w:szCs w:val="30"/>
          <w:rtl/>
        </w:rPr>
      </w:pPr>
      <w:r w:rsidRPr="00335E4B">
        <w:rPr>
          <w:rFonts w:cs="Traditional Arabic" w:hint="cs"/>
          <w:sz w:val="30"/>
          <w:szCs w:val="30"/>
          <w:rtl/>
        </w:rPr>
        <w:t>والمواد المضافة، مثل البروم، التي تزيد من تأكسد الزئبق، يمكن أن تزيد أيضاً من كفاءة المواد الممتزة المحقونة في إزالة الزئبق.</w:t>
      </w:r>
    </w:p>
    <w:p w:rsidR="00335E4B" w:rsidRPr="00335E4B" w:rsidRDefault="00335E4B" w:rsidP="007B782B">
      <w:pPr>
        <w:keepNext/>
        <w:spacing w:before="120" w:after="120" w:line="400" w:lineRule="exact"/>
        <w:ind w:left="707" w:hanging="709"/>
        <w:jc w:val="both"/>
        <w:outlineLvl w:val="3"/>
        <w:rPr>
          <w:rFonts w:cs="Traditional Arabic"/>
          <w:b/>
          <w:bCs/>
          <w:sz w:val="30"/>
          <w:szCs w:val="30"/>
          <w:rtl/>
          <w:lang w:val="en-GB"/>
        </w:rPr>
      </w:pPr>
      <w:r w:rsidRPr="00335E4B">
        <w:rPr>
          <w:rFonts w:cs="Traditional Arabic" w:hint="cs"/>
          <w:b/>
          <w:bCs/>
          <w:sz w:val="30"/>
          <w:szCs w:val="30"/>
          <w:rtl/>
          <w:lang w:val="en-GB"/>
        </w:rPr>
        <w:t>تدابير ضبط الملوثات المتعددة</w:t>
      </w:r>
    </w:p>
    <w:p w:rsidR="00335E4B" w:rsidRPr="00335E4B" w:rsidRDefault="00335E4B" w:rsidP="007B782B">
      <w:pPr>
        <w:spacing w:after="120" w:line="400" w:lineRule="exact"/>
        <w:jc w:val="both"/>
        <w:rPr>
          <w:rFonts w:cs="Traditional Arabic"/>
          <w:sz w:val="30"/>
          <w:szCs w:val="30"/>
        </w:rPr>
      </w:pPr>
      <w:r w:rsidRPr="00335E4B">
        <w:rPr>
          <w:rFonts w:cs="Traditional Arabic" w:hint="cs"/>
          <w:sz w:val="30"/>
          <w:szCs w:val="30"/>
          <w:rtl/>
        </w:rPr>
        <w:t>يمكن لأجهزة ضبط تلوث الهواء المركبة لإزالة أكاسيد الكبريت وأكاسيد النيتروجين أن تحقق أيضاً منافع مشتركة تتمثل في احتجاز الزئبق.</w:t>
      </w:r>
    </w:p>
    <w:p w:rsidR="00335E4B" w:rsidRPr="00335E4B" w:rsidRDefault="00335E4B" w:rsidP="007B782B">
      <w:pPr>
        <w:spacing w:after="120" w:line="400" w:lineRule="exact"/>
        <w:jc w:val="both"/>
        <w:rPr>
          <w:rFonts w:cs="Traditional Arabic"/>
          <w:sz w:val="30"/>
          <w:szCs w:val="30"/>
        </w:rPr>
      </w:pPr>
      <w:r w:rsidRPr="00335E4B">
        <w:rPr>
          <w:rFonts w:cs="Traditional Arabic" w:hint="cs"/>
          <w:sz w:val="30"/>
          <w:szCs w:val="30"/>
          <w:rtl/>
        </w:rPr>
        <w:t>ويعتبر جهاز التنظيف الرطب تقنيةً معتمدةً لإزالة الكبريت من غاز المداخن في عملية تصنيع الإسمنت. والمركبات الغازية للزئبق المؤكسد هي مركبات قابلة للذوبان في الماء ويمكن امتصاصها في الملاط المائي لنظام جهاز التنظيف الرطب وبذلك يمكن أن يزال بكفاءة جزء كبير من أبخرة الزئبق المتأكسد في الطور الغازي. أما الزئبق النقي في الطور الغازي فلا يذوب في الماء ولذلك لا يُمتص في هذا النوع من الملاط إلا بعد استخدام مواد مضافة مؤكسدة للزئبق.</w:t>
      </w:r>
    </w:p>
    <w:p w:rsidR="00335E4B" w:rsidRPr="00335E4B" w:rsidRDefault="00335E4B" w:rsidP="007B782B">
      <w:pPr>
        <w:spacing w:after="120" w:line="400" w:lineRule="exact"/>
        <w:jc w:val="both"/>
        <w:rPr>
          <w:rFonts w:cs="Traditional Arabic"/>
          <w:sz w:val="30"/>
          <w:szCs w:val="30"/>
          <w:rtl/>
        </w:rPr>
      </w:pPr>
      <w:r w:rsidRPr="00335E4B">
        <w:rPr>
          <w:rFonts w:cs="Traditional Arabic" w:hint="cs"/>
          <w:sz w:val="30"/>
          <w:szCs w:val="30"/>
          <w:rtl/>
        </w:rPr>
        <w:t>وتختزل تقنية الاختزال الحفزي الانتقائي مستويات أول أكسيد النيتروجين وثاني أكسيد النيتروجين من خلال مادة حفازة في الغازات العادمة لتحولها إلى نيتروجين، وكتأثير جانبي يتأكسد الزئبق النقي إلى حد ما. وهذا الزئبق المؤكسد يمكن إزالته بشكل أفضل من مسار الغازات في مرحلة تالية مثل مرشح الغبار أو جهاز التنظيف الرطب. وهذا التأثير الجانبي يمكن استخدامه مع تقنية الاختزال الحفزي الانتقائي الكثيرة الغبار وليس مع تقنية الاختزال الحفزي المنخفضة الغبار (في المرحلة الختامية).</w:t>
      </w:r>
    </w:p>
    <w:p w:rsidR="00335E4B" w:rsidRPr="00335E4B" w:rsidRDefault="00335E4B" w:rsidP="007B782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وعن طريق الامتزاز على الكربون المنشط يمكن أن تزال من الغازات العادمة ملوثات من قبيل ثاني أكسيد الكبريت، والمركبات العضوية، والمعادن (بما في ذلك المعادن المتطايرة مثل الزئبق والثاليوم)، والأمونيا، ومركبات الأمونيوم، وكلوريد الهيدروجين، وفلوريد الهيدروجين، والغبار المتخلف (بعد جهاز الترسيب الكهروستاتيكي أو المرشح النسيجي). ويصمم مرشح الكربون المنشط في شكل طبقة قاعدية مضغوطة ذات جدران فاصلة قابلة للتركيب في وحدات. ويسمح تصميم المرشح في شكل وحدات بتكييف أحجام المرشح وفقاً لكميات الغازات والطاقات الإنتاجية المختلفة للفرن. </w:t>
      </w:r>
    </w:p>
    <w:p w:rsidR="00335E4B" w:rsidRPr="00335E4B" w:rsidRDefault="00335E4B" w:rsidP="007B782B">
      <w:pPr>
        <w:spacing w:after="120" w:line="400" w:lineRule="exact"/>
        <w:jc w:val="both"/>
        <w:rPr>
          <w:rFonts w:cs="Traditional Arabic"/>
          <w:sz w:val="30"/>
          <w:szCs w:val="30"/>
          <w:lang w:val="en-GB"/>
        </w:rPr>
      </w:pPr>
      <w:r w:rsidRPr="00335E4B">
        <w:rPr>
          <w:rFonts w:cs="Traditional Arabic" w:hint="cs"/>
          <w:sz w:val="30"/>
          <w:szCs w:val="30"/>
          <w:rtl/>
          <w:lang w:val="en-GB"/>
        </w:rPr>
        <w:t>وعند استخدام هذه التقنيات يتعين أخذ الآثار الجانبية في الاعتبار، ومن ذلك تحول مسارات الزئبق من جهاز التنظيف الرطب إلى منتجات مثل الجبس، أو إنتاج نفايات إضافية مثل الكربون المنشط المستعمل الذي يتعين التخلص منه بطريقة ملائمة.</w:t>
      </w:r>
    </w:p>
    <w:p w:rsidR="00335E4B" w:rsidRPr="00335E4B" w:rsidRDefault="00335E4B" w:rsidP="0071522F">
      <w:pPr>
        <w:keepNext/>
        <w:spacing w:before="120" w:after="120" w:line="400" w:lineRule="exact"/>
        <w:ind w:left="707" w:hanging="709"/>
        <w:jc w:val="both"/>
        <w:outlineLvl w:val="3"/>
        <w:rPr>
          <w:rFonts w:cs="Traditional Arabic"/>
          <w:b/>
          <w:bCs/>
          <w:sz w:val="32"/>
          <w:szCs w:val="32"/>
          <w:rtl/>
          <w:lang w:val="en-GB"/>
        </w:rPr>
      </w:pPr>
      <w:r w:rsidRPr="00335E4B">
        <w:rPr>
          <w:rFonts w:cs="Traditional Arabic"/>
          <w:b/>
          <w:bCs/>
          <w:sz w:val="32"/>
          <w:szCs w:val="32"/>
          <w:rtl/>
          <w:lang w:val="en-GB"/>
        </w:rPr>
        <w:br w:type="page"/>
      </w:r>
      <w:r w:rsidRPr="00335E4B">
        <w:rPr>
          <w:rFonts w:cs="Traditional Arabic" w:hint="cs"/>
          <w:b/>
          <w:bCs/>
          <w:sz w:val="32"/>
          <w:szCs w:val="32"/>
          <w:rtl/>
          <w:lang w:val="en-GB"/>
        </w:rPr>
        <w:t>الرصد</w:t>
      </w:r>
    </w:p>
    <w:p w:rsidR="00335E4B" w:rsidRPr="00335E4B" w:rsidRDefault="00335E4B" w:rsidP="00335E4B">
      <w:pPr>
        <w:keepNext/>
        <w:spacing w:before="120" w:after="120" w:line="400" w:lineRule="exact"/>
        <w:ind w:left="707" w:hanging="709"/>
        <w:jc w:val="both"/>
        <w:outlineLvl w:val="3"/>
        <w:rPr>
          <w:rFonts w:cs="Traditional Arabic"/>
          <w:b/>
          <w:bCs/>
          <w:sz w:val="30"/>
          <w:szCs w:val="30"/>
          <w:rtl/>
          <w:lang w:val="en-GB"/>
        </w:rPr>
      </w:pPr>
      <w:r w:rsidRPr="00335E4B">
        <w:rPr>
          <w:rFonts w:cs="Traditional Arabic" w:hint="cs"/>
          <w:b/>
          <w:bCs/>
          <w:sz w:val="30"/>
          <w:szCs w:val="30"/>
          <w:rtl/>
          <w:lang w:val="en-GB"/>
        </w:rPr>
        <w:t>مقدمة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تنَاقش الجوانب العامة والشاملة للاختبارات والرصد والإبلاغ في الفصل المتعلق بالرصد في المبادئ التوجيهية بشأن أفضل التقنيات المتاحة/أفضل الممارسات البيئية. أما الجوانب المحددة المميزة لعمليات إنتاج الإسمنت فستناقش في هذا الفرع.</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يؤثر الهدف من أي خطة للإبلاغ عن الانبعاثات تأثيراً مهماً على نوع عملية الرصد المختارة لمنشأة معينة. ووفقاً لذلك فإن الاختبارات والرصد تشتمل على طريقة توازن المواد (استناداً إلى أخذ العينات من المدخلات وتحليلها) وقياسات الانبعاثات (المخرجات) في المدخنة.</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ويمكن أن تحدَّد القيم القصوى لانبعاثات الزئبق من عملية لإنتاج الإسمنت في شكل متوسط لفترة زمنية معينة (مثلاً 8 ساعات، 12 ساعة، 24 ساعة، 30 يوماً) أو يمكن تحديدها لفترة زمنية أقصر (مثلاً 30 دقيقة) لمنع مستويات الذروة العالية. ويمكن أيضاً تحديد القيم القصوى للانبعاثات من حيث كمية الزئبق لكمية كريات الكنكلر المنتجة (مثلاً مليغرام/طن من كريات الكلنكر المنتجة)، كما هو الحال في الولايات المتحدة، ومن حيث التركيز (س ميكروغرام/متر</w:t>
      </w:r>
      <w:r w:rsidRPr="00335E4B">
        <w:rPr>
          <w:rFonts w:cs="Traditional Arabic" w:hint="cs"/>
          <w:sz w:val="30"/>
          <w:szCs w:val="30"/>
          <w:rtl/>
          <w:cs/>
          <w:lang w:val="en-GB"/>
        </w:rPr>
        <w:t>‎</w:t>
      </w:r>
      <w:r w:rsidRPr="00335E4B">
        <w:rPr>
          <w:rFonts w:cs="Traditional Arabic" w:hint="cs"/>
          <w:sz w:val="30"/>
          <w:szCs w:val="30"/>
          <w:vertAlign w:val="superscript"/>
          <w:rtl/>
          <w:lang w:val="en-GB"/>
        </w:rPr>
        <w:t>3</w:t>
      </w:r>
      <w:r w:rsidRPr="00335E4B">
        <w:rPr>
          <w:rFonts w:cs="Traditional Arabic" w:hint="cs"/>
          <w:sz w:val="30"/>
          <w:szCs w:val="30"/>
          <w:rtl/>
          <w:lang w:val="en-GB"/>
        </w:rPr>
        <w:t xml:space="preserve"> عادي، عند نسبة مئوية قدرها ص من الأكسجين، على أساس المادة الجافة) في المدخنة كما هو الحال في أوروبا. وفي بعض الحالات توضع قيم حدية أيضاً لكمية الزئبق في المواد الخام والوقود، خصوصاً عند استخدام مواد بديلة. وعند اختبار ورصد انبعاثات الزئبق في الجو من عملية إنتاج الإسمنت ويجب أن يؤخذ في الاعتبار جميع الشروط الخاصة للحالة المعينة قيد الاختبار أو الرصد في مرفق ما.</w:t>
      </w:r>
    </w:p>
    <w:p w:rsidR="00335E4B" w:rsidRPr="00335E4B" w:rsidRDefault="00335E4B" w:rsidP="00335E4B">
      <w:pPr>
        <w:keepNext/>
        <w:spacing w:before="120" w:after="120" w:line="400" w:lineRule="exact"/>
        <w:ind w:left="707" w:hanging="709"/>
        <w:jc w:val="both"/>
        <w:outlineLvl w:val="3"/>
        <w:rPr>
          <w:rFonts w:cs="Traditional Arabic"/>
          <w:b/>
          <w:bCs/>
          <w:sz w:val="30"/>
          <w:szCs w:val="30"/>
          <w:rtl/>
          <w:lang w:val="en-GB"/>
        </w:rPr>
      </w:pPr>
      <w:r w:rsidRPr="00335E4B">
        <w:rPr>
          <w:rFonts w:cs="Traditional Arabic" w:hint="cs"/>
          <w:b/>
          <w:bCs/>
          <w:sz w:val="30"/>
          <w:szCs w:val="30"/>
          <w:rtl/>
          <w:lang w:val="en-GB"/>
        </w:rPr>
        <w:t>نقاط أخذ عينات الزئبق في عملية إنتاج الإسمنت</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وفقاً لمدخلات الزئبق ومخرجاته في عملية إنتاج كريات الكلنكر التي نوقشت في جزء سابق من هذه الوثيقة، فإن النقاط الرئيسية لأخذ عينات الزئبق في عملية إنتاج الإسمنت هي:</w:t>
      </w:r>
    </w:p>
    <w:p w:rsidR="00335E4B" w:rsidRPr="00335E4B" w:rsidRDefault="00335E4B" w:rsidP="00335E4B">
      <w:pPr>
        <w:numPr>
          <w:ilvl w:val="0"/>
          <w:numId w:val="35"/>
        </w:numPr>
        <w:tabs>
          <w:tab w:val="left" w:pos="1132"/>
        </w:tabs>
        <w:spacing w:after="120" w:line="400" w:lineRule="exact"/>
        <w:ind w:left="655"/>
        <w:jc w:val="both"/>
        <w:rPr>
          <w:rFonts w:cs="Traditional Arabic"/>
          <w:sz w:val="30"/>
          <w:szCs w:val="30"/>
        </w:rPr>
      </w:pPr>
      <w:r w:rsidRPr="00335E4B">
        <w:rPr>
          <w:rFonts w:cs="Traditional Arabic" w:hint="cs"/>
          <w:sz w:val="30"/>
          <w:szCs w:val="30"/>
          <w:rtl/>
        </w:rPr>
        <w:t>لنهج توازن المواد: المواد الخام وأنواع الوقود غير المعالجة، والغبار الذي يجمع ويزال من النظام</w:t>
      </w:r>
    </w:p>
    <w:p w:rsidR="00335E4B" w:rsidRPr="00335E4B" w:rsidRDefault="00335E4B" w:rsidP="00335E4B">
      <w:pPr>
        <w:numPr>
          <w:ilvl w:val="0"/>
          <w:numId w:val="35"/>
        </w:numPr>
        <w:tabs>
          <w:tab w:val="left" w:pos="1132"/>
        </w:tabs>
        <w:spacing w:after="120" w:line="400" w:lineRule="exact"/>
        <w:ind w:left="655"/>
        <w:jc w:val="both"/>
        <w:rPr>
          <w:rFonts w:cs="Traditional Arabic"/>
          <w:sz w:val="30"/>
          <w:szCs w:val="30"/>
        </w:rPr>
      </w:pPr>
      <w:r w:rsidRPr="00335E4B">
        <w:rPr>
          <w:rFonts w:cs="Traditional Arabic" w:hint="cs"/>
          <w:sz w:val="30"/>
          <w:szCs w:val="30"/>
          <w:rtl/>
        </w:rPr>
        <w:t>لقياس الانبعاثات؛ الانبعاثات من المداخن</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وتعتبر قياسات الانبعاثات مهمة للمقارنة مع القيم الحدية للانبعاثات، في حال تحديدها. ويبين الشكل 1 في الفصل 1 مخططاً للمدخلات والمخرجات الرئيسية لنظام منشأة لإنتاج الإسمنت، وهي نقاط محتملة لرصد الزئبق.</w:t>
      </w:r>
    </w:p>
    <w:p w:rsidR="00335E4B" w:rsidRPr="00335E4B" w:rsidRDefault="00335E4B" w:rsidP="00335E4B">
      <w:pPr>
        <w:keepNext/>
        <w:spacing w:before="120" w:after="120" w:line="400" w:lineRule="exact"/>
        <w:ind w:left="707" w:hanging="709"/>
        <w:jc w:val="both"/>
        <w:outlineLvl w:val="3"/>
        <w:rPr>
          <w:rFonts w:cs="Traditional Arabic"/>
          <w:b/>
          <w:bCs/>
          <w:sz w:val="30"/>
          <w:szCs w:val="30"/>
          <w:rtl/>
          <w:lang w:val="en-GB"/>
        </w:rPr>
      </w:pPr>
      <w:r w:rsidRPr="00335E4B">
        <w:rPr>
          <w:rFonts w:cs="Traditional Arabic" w:hint="cs"/>
          <w:b/>
          <w:bCs/>
          <w:sz w:val="30"/>
          <w:szCs w:val="30"/>
          <w:rtl/>
          <w:lang w:val="en-GB"/>
        </w:rPr>
        <w:t>الأشكال الكيميائية للزئبق في عملية إنتاج الإسمنت</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بالنسبة لطريقة توازن المواد يعتبر الارتباط الكيميائي للزئبق في المواد الصلبة قليل الأهمية نظراً لأن مخاطر فقدان جزء من الزئبق أثناء أخذ العينات والتحليل هي مخاطر ضئيلة. بيد أنه يتعين توخي الحذر أثناء تخزين ومعالجة عينات تحتوي على الزئبق نظراً لأن بعض هذه العينات قد يفقد نتيجةً للامتزاز على الحاويات أو لتسخين العينات أثناء المعالجة (مثلاً الطحن).</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وفيما يتعلق بقياسات غازات المداخن يمكن أن يوجد الزئبق في شكل زئبق أولي أو في الشكل المؤكسَد (زئبقوز أو زئبقيك)، أو في شكل بخار (انظر التذييل). كذلك يمكن أن يوجد الزئبق في شكل ممتز مرتبط بالجسيمات. ويجب أن يشتمل أخذ العينات وتحليلها على الزئبق الكلي. ونظراً لأن التحليل والكشف يتعلقان بالزئبق النقي فإن الزئبق المؤكسد يجب تحويله إلى الزئبق النقي. ومن المفترض أن مركبات الزئبق المؤكسدة التي تنتج في فرن الإسمنت هي، على سبيل المثال، ثاني كلوريد الزئبق، وأكسيد الزئبق، وثاني بروميد الزئبق، وثاني يوديد الزئبق، وكبريتيد الزئبق، وكبريتات الزئبق. ورغم أن طرق أخذ العينات المنفصلة (العينات العشوائية) يمكن أن تعالج الطور البخاري والطور الصلب على حد سواء إلا أن نظم قياسات الانبعاثات المستمرة تقيس الطور البخاري فقط نظراً لاستخدام مرشح جسيمات لحماية الجهاز. ويمكن للجهاز أن يقيس بدقة كافية الزئبق الغازي في حال تخفيض مستوى الغبار بكفاءة نظراً لأن الزئبق المرتبط بالجسيمات قليل جداً في تركيزات الغبار المنخفضة.</w:t>
      </w:r>
    </w:p>
    <w:p w:rsidR="00335E4B" w:rsidRPr="00335E4B" w:rsidRDefault="00335E4B" w:rsidP="00335E4B">
      <w:pPr>
        <w:keepNext/>
        <w:spacing w:before="120" w:after="120" w:line="400" w:lineRule="exact"/>
        <w:ind w:left="707" w:hanging="709"/>
        <w:jc w:val="both"/>
        <w:outlineLvl w:val="3"/>
        <w:rPr>
          <w:rFonts w:cs="Traditional Arabic"/>
          <w:b/>
          <w:bCs/>
          <w:sz w:val="30"/>
          <w:szCs w:val="30"/>
          <w:rtl/>
          <w:lang w:val="en-GB"/>
        </w:rPr>
      </w:pPr>
      <w:r w:rsidRPr="00335E4B">
        <w:rPr>
          <w:rFonts w:cs="Traditional Arabic" w:hint="cs"/>
          <w:b/>
          <w:bCs/>
          <w:sz w:val="30"/>
          <w:szCs w:val="30"/>
          <w:rtl/>
          <w:lang w:val="en-GB"/>
        </w:rPr>
        <w:t>أخذ عينات الزئبق وطرق قياس مستوى الزئبق في عملية إنتاج الإسمنت</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بالنسبة لتوازن المواد تشمل طرق أخذ العينات وقياس الزئبق في عملية إنتاج الإسمنت أخذ عينات صلبة، وعمليات تحليل المواد الخام غير المعالجة وأنواع الوقود وغبار المرشح المزال؛ أما على صعيد قياس الانبعاثات فهي تشمل أخذ العينات العشوائية، والطريقة شبه المستمرة والطريقة المستمرة لرصد غازات المدخنة، وضبط العمليات، ودرجة حرارة الغاز في مرشح الغبار.</w:t>
      </w:r>
    </w:p>
    <w:p w:rsidR="00335E4B" w:rsidRPr="00335E4B" w:rsidRDefault="00335E4B" w:rsidP="00335E4B">
      <w:pPr>
        <w:keepNext/>
        <w:spacing w:before="120" w:after="120" w:line="400" w:lineRule="exact"/>
        <w:ind w:left="991" w:hanging="993"/>
        <w:jc w:val="both"/>
        <w:outlineLvl w:val="3"/>
        <w:rPr>
          <w:rFonts w:cs="Traditional Arabic"/>
          <w:b/>
          <w:bCs/>
          <w:sz w:val="30"/>
          <w:szCs w:val="30"/>
          <w:rtl/>
          <w:lang w:val="en-GB"/>
        </w:rPr>
      </w:pPr>
      <w:r w:rsidRPr="00335E4B">
        <w:rPr>
          <w:rFonts w:cs="Traditional Arabic" w:hint="cs"/>
          <w:b/>
          <w:bCs/>
          <w:sz w:val="30"/>
          <w:szCs w:val="30"/>
          <w:rtl/>
          <w:lang w:val="en-GB"/>
        </w:rPr>
        <w:t>توازن المواد (الطريقة غير المباشرة)</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المسارات الرئيسية التي يغادر من خلالها الزئبق نظام فرن الإسمنت هي انبعاثات المداخن وغبار الفرن، في حال إزالته من نظام الفرن.</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ومن شأن التوازن الكتلي للزئبق في النظام أن يعطي تقديرات أفضل للانبعاثات مقارنةً بالقياسات العشوائية لغازات المداخن. ويؤثر تغير مستويات الزئبق في أنواع الوقود ومدخلات المواد ونسبة تمثيلية العينات على نتائج العينة العشوائية.</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ويتعين في طريقة توازن المواد أن تؤدي العينات المأخوذة من المواد الخام وأنواع الوقود والغبار المتجمع، إلى إيجاد عينة جيدة التمثيل. وعند الحرق المشترك للنفايات يمكن أن تتغير التركيبة بشكل أكبر ويتعين بذل عناية أكبر لضمان الحصول على عينة جيدة التمثيل.</w:t>
      </w:r>
    </w:p>
    <w:p w:rsidR="00335E4B" w:rsidRPr="00335E4B" w:rsidRDefault="00335E4B" w:rsidP="004862A0">
      <w:pPr>
        <w:spacing w:after="120" w:line="400" w:lineRule="exact"/>
        <w:jc w:val="both"/>
        <w:rPr>
          <w:rFonts w:cs="Traditional Arabic"/>
          <w:sz w:val="30"/>
          <w:szCs w:val="30"/>
          <w:lang w:val="en-GB"/>
        </w:rPr>
      </w:pPr>
      <w:r w:rsidRPr="00335E4B">
        <w:rPr>
          <w:rFonts w:cs="Traditional Arabic" w:hint="cs"/>
          <w:sz w:val="30"/>
          <w:szCs w:val="30"/>
          <w:rtl/>
          <w:lang w:val="en-GB"/>
        </w:rPr>
        <w:t xml:space="preserve">وعند أخذ العينات من المدخلات في عملية إنتاج الإسمنت يمكن استخدام معايير الجمعية الأمريكية للاختبارات والمواد، والمعايير الأوروبية لأخذ العينات والتحضير الأولي للعينات الصلبة للتحليل، التي وضعت لأخذ العينات في عملية إنتاج الفحم (المعياران </w:t>
      </w:r>
      <w:r w:rsidRPr="00335E4B">
        <w:rPr>
          <w:rFonts w:cs="Times New Roman"/>
          <w:noProof/>
          <w:sz w:val="20"/>
          <w:szCs w:val="22"/>
        </w:rPr>
        <w:t>ASTM D2234</w:t>
      </w:r>
      <w:r w:rsidRPr="00335E4B">
        <w:rPr>
          <w:rFonts w:ascii="Traditional Arabic" w:hAnsi="Traditional Arabic" w:cs="Traditional Arabic" w:hint="cs"/>
          <w:sz w:val="20"/>
          <w:szCs w:val="30"/>
          <w:vertAlign w:val="superscript"/>
          <w:rtl/>
        </w:rPr>
        <w:t>(</w:t>
      </w:r>
      <w:r w:rsidRPr="00335E4B">
        <w:rPr>
          <w:rFonts w:ascii="Traditional Arabic" w:hAnsi="Traditional Arabic" w:cs="Traditional Arabic"/>
          <w:sz w:val="20"/>
          <w:vertAlign w:val="superscript"/>
          <w:rtl/>
        </w:rPr>
        <w:footnoteReference w:id="46"/>
      </w:r>
      <w:r w:rsidRPr="00335E4B">
        <w:rPr>
          <w:rFonts w:ascii="Traditional Arabic" w:hAnsi="Traditional Arabic" w:cs="Traditional Arabic" w:hint="cs"/>
          <w:sz w:val="20"/>
          <w:szCs w:val="30"/>
          <w:vertAlign w:val="superscript"/>
          <w:rtl/>
        </w:rPr>
        <w:t>)</w:t>
      </w:r>
      <w:r w:rsidRPr="00335E4B">
        <w:rPr>
          <w:rFonts w:cs="Traditional Arabic" w:hint="cs"/>
          <w:sz w:val="30"/>
          <w:szCs w:val="30"/>
          <w:rtl/>
        </w:rPr>
        <w:t xml:space="preserve"> و</w:t>
      </w:r>
      <w:r w:rsidRPr="007B782B">
        <w:rPr>
          <w:rFonts w:ascii="Traditional Arabic" w:hAnsi="Traditional Arabic" w:cs="Traditional Arabic"/>
          <w:sz w:val="30"/>
          <w:szCs w:val="30"/>
          <w:vertAlign w:val="superscript"/>
        </w:rPr>
        <w:t>(</w:t>
      </w:r>
      <w:r w:rsidRPr="007B782B">
        <w:rPr>
          <w:rFonts w:ascii="Traditional Arabic" w:hAnsi="Traditional Arabic" w:cs="Traditional Arabic"/>
          <w:sz w:val="30"/>
          <w:szCs w:val="30"/>
          <w:vertAlign w:val="superscript"/>
        </w:rPr>
        <w:footnoteReference w:id="47"/>
      </w:r>
      <w:r w:rsidRPr="007B782B">
        <w:rPr>
          <w:rFonts w:ascii="Traditional Arabic" w:hAnsi="Traditional Arabic" w:cs="Traditional Arabic"/>
          <w:sz w:val="30"/>
          <w:szCs w:val="30"/>
          <w:vertAlign w:val="superscript"/>
        </w:rPr>
        <w:t>)</w:t>
      </w:r>
      <w:r w:rsidRPr="00335E4B">
        <w:rPr>
          <w:rFonts w:cs="Times New Roman"/>
          <w:noProof/>
          <w:sz w:val="20"/>
          <w:szCs w:val="22"/>
        </w:rPr>
        <w:t>D2013</w:t>
      </w:r>
      <w:r w:rsidRPr="00335E4B">
        <w:rPr>
          <w:rFonts w:cs="Traditional Arabic" w:hint="cs"/>
          <w:sz w:val="30"/>
          <w:szCs w:val="30"/>
          <w:rtl/>
          <w:lang w:val="en-GB"/>
        </w:rPr>
        <w:t xml:space="preserve">، والمعيار </w:t>
      </w:r>
      <w:r w:rsidRPr="00335E4B">
        <w:rPr>
          <w:rFonts w:cs="Times New Roman"/>
          <w:noProof/>
          <w:sz w:val="20"/>
          <w:szCs w:val="22"/>
        </w:rPr>
        <w:t>EN 932-1</w:t>
      </w:r>
      <w:r w:rsidRPr="00335E4B">
        <w:rPr>
          <w:rFonts w:ascii="Traditional Arabic" w:hAnsi="Traditional Arabic" w:cs="Traditional Arabic"/>
          <w:noProof/>
          <w:szCs w:val="22"/>
          <w:vertAlign w:val="superscript"/>
          <w:rtl/>
        </w:rPr>
        <w:t>(</w:t>
      </w:r>
      <w:r w:rsidRPr="00335E4B">
        <w:rPr>
          <w:rFonts w:ascii="Traditional Arabic" w:hAnsi="Traditional Arabic" w:cs="Traditional Arabic"/>
          <w:sz w:val="20"/>
          <w:vertAlign w:val="superscript"/>
          <w:rtl/>
          <w:lang w:val="en-GB"/>
        </w:rPr>
        <w:footnoteReference w:id="48"/>
      </w:r>
      <w:r w:rsidRPr="00335E4B">
        <w:rPr>
          <w:rFonts w:ascii="Traditional Arabic" w:hAnsi="Traditional Arabic" w:cs="Traditional Arabic"/>
          <w:noProof/>
          <w:szCs w:val="22"/>
          <w:vertAlign w:val="superscript"/>
          <w:rtl/>
        </w:rPr>
        <w:t>)</w:t>
      </w:r>
      <w:r w:rsidRPr="00335E4B">
        <w:rPr>
          <w:rFonts w:cs="Traditional Arabic" w:hint="cs"/>
          <w:sz w:val="30"/>
          <w:szCs w:val="30"/>
          <w:rtl/>
          <w:lang w:val="en-GB"/>
        </w:rPr>
        <w:t>)</w:t>
      </w:r>
      <w:r w:rsidR="004862A0">
        <w:rPr>
          <w:rFonts w:cs="Traditional Arabic" w:hint="cs"/>
          <w:sz w:val="30"/>
          <w:szCs w:val="30"/>
          <w:rtl/>
          <w:lang w:val="en-GB"/>
        </w:rPr>
        <w:t>.</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ويتعين أخذ العينات بشكل دوري ويمكن أن يشمل ذلك أخذ عينة مركبة بنهاية فترة معينة. وعلى سبيل المثال يمكن أخذ عينات من المواد الخام وأنواع الوقود والغبار المجموع يومياً أو أسبوعياً، اعتماداً على التفاوت في محتوى الزئبق. وفي حال أخذت عينات أسبوعية من مكونات المواد الخام وأنواع الوقود فإن العينات الشهرية المركبة ستنتج من العينات الإسبوعية. ويتعين أن تُحلل كل عينة شهرية مركبة لتحديد تركيزات الزئبق الممثلة للشهر المحدد.</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وقد تكون الأساليب التحليلية المستخدمة في تحديد تركيز الزئبق هي تلك التي وضعتها وكالة حماية البيئة أو الجمعية الأمريكية للاختبارات والمواد، ومن هذه الأساليب </w:t>
      </w:r>
      <w:r w:rsidRPr="00335E4B">
        <w:rPr>
          <w:rFonts w:cs="Times New Roman"/>
          <w:noProof/>
          <w:sz w:val="20"/>
          <w:szCs w:val="22"/>
        </w:rPr>
        <w:t>EPA 1631</w:t>
      </w:r>
      <w:r w:rsidRPr="00335E4B">
        <w:rPr>
          <w:rFonts w:cs="Times New Roman" w:hint="cs"/>
          <w:noProof/>
          <w:sz w:val="20"/>
          <w:szCs w:val="22"/>
          <w:vertAlign w:val="superscript"/>
          <w:rtl/>
        </w:rPr>
        <w:t>(</w:t>
      </w:r>
      <w:r w:rsidRPr="00335E4B">
        <w:rPr>
          <w:rFonts w:cs="Traditional Arabic"/>
          <w:sz w:val="20"/>
          <w:szCs w:val="30"/>
          <w:vertAlign w:val="superscript"/>
          <w:rtl/>
          <w:lang w:val="en-GB"/>
        </w:rPr>
        <w:footnoteReference w:id="49"/>
      </w:r>
      <w:r w:rsidRPr="00335E4B">
        <w:rPr>
          <w:rFonts w:cs="Times New Roman" w:hint="cs"/>
          <w:noProof/>
          <w:sz w:val="20"/>
          <w:szCs w:val="22"/>
          <w:vertAlign w:val="superscript"/>
          <w:rtl/>
        </w:rPr>
        <w:t>)</w:t>
      </w:r>
      <w:r w:rsidRPr="00335E4B">
        <w:rPr>
          <w:rFonts w:cs="Traditional Arabic" w:hint="cs"/>
          <w:sz w:val="30"/>
          <w:szCs w:val="30"/>
          <w:rtl/>
          <w:lang w:val="en-GB"/>
        </w:rPr>
        <w:t xml:space="preserve"> أو </w:t>
      </w:r>
      <w:r w:rsidRPr="00335E4B">
        <w:rPr>
          <w:rFonts w:cs="Times New Roman"/>
          <w:noProof/>
          <w:sz w:val="20"/>
          <w:szCs w:val="22"/>
        </w:rPr>
        <w:t>7471b</w:t>
      </w:r>
      <w:r w:rsidRPr="00335E4B">
        <w:rPr>
          <w:rFonts w:cs="Times New Roman" w:hint="cs"/>
          <w:noProof/>
          <w:sz w:val="20"/>
          <w:szCs w:val="22"/>
          <w:vertAlign w:val="superscript"/>
          <w:rtl/>
        </w:rPr>
        <w:t>(</w:t>
      </w:r>
      <w:r w:rsidRPr="00335E4B">
        <w:rPr>
          <w:rFonts w:cs="Traditional Arabic"/>
          <w:sz w:val="20"/>
          <w:szCs w:val="30"/>
          <w:vertAlign w:val="superscript"/>
          <w:rtl/>
          <w:lang w:val="en-GB"/>
        </w:rPr>
        <w:footnoteReference w:id="50"/>
      </w:r>
      <w:r w:rsidRPr="00335E4B">
        <w:rPr>
          <w:rFonts w:cs="Times New Roman" w:hint="cs"/>
          <w:noProof/>
          <w:sz w:val="20"/>
          <w:szCs w:val="22"/>
          <w:vertAlign w:val="superscript"/>
          <w:rtl/>
        </w:rPr>
        <w:t>)</w:t>
      </w:r>
      <w:r w:rsidRPr="00335E4B">
        <w:rPr>
          <w:rFonts w:cs="Traditional Arabic" w:hint="cs"/>
          <w:sz w:val="30"/>
          <w:szCs w:val="30"/>
          <w:rtl/>
          <w:lang w:val="en-GB"/>
        </w:rPr>
        <w:t xml:space="preserve">. ويُجرى التحليل الكيميائي عن طريق التنظير الطيفي للامتصاص الذري للبخار البارد </w:t>
      </w:r>
      <w:r w:rsidRPr="004862A0">
        <w:rPr>
          <w:rFonts w:asciiTheme="majorBidi" w:hAnsiTheme="majorBidi" w:cstheme="majorBidi"/>
          <w:sz w:val="20"/>
          <w:szCs w:val="20"/>
          <w:rtl/>
          <w:lang w:val="en-GB"/>
        </w:rPr>
        <w:t>(</w:t>
      </w:r>
      <w:r w:rsidRPr="004862A0">
        <w:rPr>
          <w:rFonts w:asciiTheme="majorBidi" w:hAnsiTheme="majorBidi" w:cstheme="majorBidi"/>
          <w:noProof/>
          <w:sz w:val="20"/>
          <w:szCs w:val="20"/>
        </w:rPr>
        <w:t>CVAAS</w:t>
      </w:r>
      <w:r w:rsidRPr="004862A0">
        <w:rPr>
          <w:rFonts w:asciiTheme="majorBidi" w:hAnsiTheme="majorBidi" w:cstheme="majorBidi"/>
          <w:sz w:val="20"/>
          <w:szCs w:val="20"/>
          <w:rtl/>
          <w:lang w:val="en-GB"/>
        </w:rPr>
        <w:t>)</w:t>
      </w:r>
      <w:r w:rsidRPr="00335E4B">
        <w:rPr>
          <w:rFonts w:cs="Traditional Arabic" w:hint="cs"/>
          <w:sz w:val="30"/>
          <w:szCs w:val="30"/>
          <w:rtl/>
          <w:lang w:val="en-GB"/>
        </w:rPr>
        <w:t xml:space="preserve"> أو التنظير الطيفي للفلورة الذرية للبخار البارد </w:t>
      </w:r>
      <w:r w:rsidRPr="004862A0">
        <w:rPr>
          <w:rFonts w:asciiTheme="majorBidi" w:hAnsiTheme="majorBidi" w:cstheme="majorBidi"/>
          <w:sz w:val="20"/>
          <w:szCs w:val="20"/>
          <w:rtl/>
          <w:lang w:val="en-GB"/>
        </w:rPr>
        <w:t>(</w:t>
      </w:r>
      <w:r w:rsidRPr="004862A0">
        <w:rPr>
          <w:rFonts w:asciiTheme="majorBidi" w:hAnsiTheme="majorBidi" w:cstheme="majorBidi"/>
          <w:noProof/>
          <w:sz w:val="20"/>
          <w:szCs w:val="20"/>
        </w:rPr>
        <w:t>CVAFS</w:t>
      </w:r>
      <w:r w:rsidRPr="004862A0">
        <w:rPr>
          <w:rFonts w:asciiTheme="majorBidi" w:hAnsiTheme="majorBidi" w:cstheme="majorBidi"/>
          <w:sz w:val="20"/>
          <w:szCs w:val="20"/>
          <w:rtl/>
          <w:lang w:val="en-GB"/>
        </w:rPr>
        <w:t>)</w:t>
      </w:r>
      <w:r w:rsidRPr="00335E4B">
        <w:rPr>
          <w:rFonts w:cs="Traditional Arabic" w:hint="cs"/>
          <w:sz w:val="30"/>
          <w:szCs w:val="30"/>
          <w:rtl/>
          <w:lang w:val="en-GB"/>
        </w:rPr>
        <w:t xml:space="preserve"> أو من خلال القياس الطيفي الكتلي للبلازما المقرونة عن طريق الحث (</w:t>
      </w:r>
      <w:r w:rsidRPr="00335E4B">
        <w:rPr>
          <w:rFonts w:cs="Times New Roman"/>
          <w:noProof/>
          <w:sz w:val="20"/>
          <w:szCs w:val="22"/>
        </w:rPr>
        <w:t>ICP-MS</w:t>
      </w:r>
      <w:r w:rsidRPr="00335E4B">
        <w:rPr>
          <w:rFonts w:cs="Traditional Arabic" w:hint="cs"/>
          <w:sz w:val="30"/>
          <w:szCs w:val="30"/>
          <w:rtl/>
          <w:lang w:val="en-GB"/>
        </w:rPr>
        <w:t>).</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ويساوي معدل المدخلات الشهرية (مدخلات كتلة الزئبق في الشهر) حاصل ضرب تركيز الزئبق في العينات الشهرية وكتلة كل من مكونات المواد الخام والوقود الداخلة في العملية. أما معدل مدخلات الزئبق لاثني عشر شهراً متتالية (مدخلات كتلة الزئبق في السنة) فيساوي مجموع السجلات الفردية الشهرية الاثني عشر.</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b/>
          <w:bCs/>
          <w:sz w:val="30"/>
          <w:szCs w:val="30"/>
          <w:rtl/>
          <w:lang w:val="en-GB"/>
        </w:rPr>
        <w:t>المميزات</w:t>
      </w:r>
      <w:r w:rsidRPr="00335E4B">
        <w:rPr>
          <w:rFonts w:cs="Traditional Arabic" w:hint="cs"/>
          <w:b/>
          <w:bCs/>
          <w:sz w:val="30"/>
          <w:szCs w:val="30"/>
          <w:vertAlign w:val="superscript"/>
          <w:rtl/>
          <w:lang w:val="en-GB"/>
        </w:rPr>
        <w:t>(</w:t>
      </w:r>
      <w:r w:rsidRPr="00335E4B">
        <w:rPr>
          <w:rFonts w:cs="Traditional Arabic"/>
          <w:sz w:val="20"/>
          <w:szCs w:val="30"/>
          <w:vertAlign w:val="superscript"/>
          <w:rtl/>
          <w:lang w:val="en-GB"/>
        </w:rPr>
        <w:footnoteReference w:id="51"/>
      </w:r>
      <w:r w:rsidRPr="00335E4B">
        <w:rPr>
          <w:rFonts w:cs="Traditional Arabic" w:hint="cs"/>
          <w:b/>
          <w:bCs/>
          <w:sz w:val="30"/>
          <w:szCs w:val="30"/>
          <w:vertAlign w:val="superscript"/>
          <w:rtl/>
          <w:lang w:val="en-GB"/>
        </w:rPr>
        <w:t>)</w:t>
      </w:r>
      <w:r w:rsidRPr="00335E4B">
        <w:rPr>
          <w:rFonts w:cs="Traditional Arabic" w:hint="cs"/>
          <w:sz w:val="30"/>
          <w:szCs w:val="30"/>
          <w:rtl/>
          <w:lang w:val="en-GB"/>
        </w:rPr>
        <w:t>: تكاليف سنوية منخفضة مقارنةً بالطريقتين المستمرة وشبه المستمرة (على افتراض أخذ عينات شهرياً وعينة واحدة مركبة لأسبوع في الشهر)، ومستوى تمثيل متوسط الدقة لمتوسطات الانبعاثات على المدى البعيد، ودقة متوسطة، وتعطى النتائج بصورة رئيسية للزئبق الكلي؛</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b/>
          <w:bCs/>
          <w:sz w:val="30"/>
          <w:szCs w:val="30"/>
          <w:rtl/>
          <w:lang w:val="en-GB"/>
        </w:rPr>
        <w:t>المساوئ</w:t>
      </w:r>
      <w:r w:rsidRPr="00335E4B">
        <w:rPr>
          <w:rFonts w:cs="Traditional Arabic" w:hint="cs"/>
          <w:sz w:val="30"/>
          <w:szCs w:val="30"/>
          <w:rtl/>
          <w:lang w:val="en-GB"/>
        </w:rPr>
        <w:t>: دقة منخفضة عند مستويات الانبعاثات المنخفضة. وقد لا يكون هذا الأسلوب قابلاً للاستخدام لتحديد الامتثال للقيم الحدية للانبعاثات، بناء على كيفية تحديد القيم الحدية لتلك الانبعاثات.</w:t>
      </w:r>
    </w:p>
    <w:p w:rsidR="00335E4B" w:rsidRPr="00335E4B" w:rsidRDefault="00335E4B" w:rsidP="00335E4B">
      <w:pPr>
        <w:keepNext/>
        <w:spacing w:before="120" w:after="120" w:line="400" w:lineRule="exact"/>
        <w:ind w:left="991" w:hanging="993"/>
        <w:jc w:val="both"/>
        <w:outlineLvl w:val="3"/>
        <w:rPr>
          <w:rFonts w:cs="Traditional Arabic"/>
          <w:b/>
          <w:bCs/>
          <w:sz w:val="30"/>
          <w:szCs w:val="30"/>
          <w:rtl/>
          <w:lang w:val="en-GB"/>
        </w:rPr>
      </w:pPr>
      <w:r w:rsidRPr="00335E4B">
        <w:rPr>
          <w:rFonts w:cs="Traditional Arabic" w:hint="cs"/>
          <w:b/>
          <w:bCs/>
          <w:sz w:val="30"/>
          <w:szCs w:val="30"/>
          <w:rtl/>
          <w:lang w:val="en-GB"/>
        </w:rPr>
        <w:t>الطرق اليدوية لأخذ القياسات العشوائية للزئبق (طرق أجهزة الارتطام)</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تؤدي الطرق اليدوية لأخذ العينات من غازات المداخن وتحليلها في عملية إنتاج الإسمنت دوراً مهماً في التأكد من الامتثال في البلدان النامية، وتستخدم هذه الطرق بانتظام لهذا الغرض. وفي عدد قليل من البلدان المتقدمة (ألمانيا والولايات المتحدة) تقضي اللوائح التنظيمية بتغيير الاشتراطات من أخذ عينات عشوائية من غاز المداخن إلى أخذ العينات وتحليلها بشكل مستمر (نظم الرصد المستمر للانبعاثات باستخدام جهاز تحليل أو مادة ممتزة محتجزة) لضمان تحديد خصائص الانبعاثات بشكل أفضل. ويمكن أن يشكل قياس انبعاثات الزئبق بالطرق اليدوية جزءاً من حملة سنوية لقياس انبعاثات الملوثات الأخرى في عملية إنتاج الإسمنت.</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ووضعت معايير القياسات العشوائية للزئبق بصورة رئيسية في أوروبا والولايات المتحدة. بيد أن اليابان وضعت أيضاً معايير خاصة بها، وهي معايير قد تختلف من حيث شكل الزئبق المقيس. وفي الفصل المتعلق بالرصد في الوثيقة التوجيهية بشأن أفضل التقنيات المتاحة/أفضل الممارسات البيئية يرد عرض وبيان موجز لطرق الاختبار المعتادة المتعلقة بأخذ العينات وقياس الزئبق في انبعاثات المداخن في أوروبا (الطرق الأوروبية) وفي الولايات المتحدة (الطرق التي وضعتها وكالة حماية البيئة في الولايات المتحدة والجمعية الأمريكية للاختبارات والمواد)، وهي الطرق التي يمكن استخدامها في منشآت إنتاج الإسمنت.</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وفيما يخص الأفران المحتوية على طواحين مواد خام مركبة بطريقة متوازية هناك مسألة رئيسية مرتبطة بأي نوع من أنواع أخذ العينات من غازات المداخن وهي أن انبعاثات الزئبق تتفاوت عادة بشكل كبير اعتماداً على طريقة تشغيل طاحونة المواد الخام. ومن الضروري إجراء الاختبارات عند العمل مع تشغيل طاحونة المواد الخام وعند العمل مع وقف تشغيل طاحونة المواد الخام لتحديد مستوى الانبعاثات على المدى البعيد.</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b/>
          <w:bCs/>
          <w:sz w:val="30"/>
          <w:szCs w:val="30"/>
          <w:rtl/>
          <w:lang w:val="en-GB"/>
        </w:rPr>
        <w:t>المميزات</w:t>
      </w:r>
      <w:r w:rsidRPr="00335E4B">
        <w:rPr>
          <w:rFonts w:cs="Traditional Arabic" w:hint="cs"/>
          <w:sz w:val="30"/>
          <w:szCs w:val="30"/>
          <w:rtl/>
          <w:lang w:val="en-GB"/>
        </w:rPr>
        <w:t>: أقل قيمة للتكاليف السنوية مقارنةً بالتوازن الكتلي، طرق مستمرة وشبه مستمرة، يُحدَّد الزئبق عادةً كجزء من حملة قياس كبرى تشمل عدة ملوثات مما يقل من التكاليف، وقد استخدمت القياسات العشوائية في جميع أنحاء العالم، وتتراوح الدقة عند المستويات المنخفضة من الانبعاثات من متوسطة إلى عالية، ومن الممكن تحديد توزيع الزئبق في النظام.</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b/>
          <w:bCs/>
          <w:sz w:val="30"/>
          <w:szCs w:val="30"/>
          <w:rtl/>
          <w:lang w:val="en-GB"/>
        </w:rPr>
        <w:t>المساوئ</w:t>
      </w:r>
      <w:r w:rsidRPr="00335E4B">
        <w:rPr>
          <w:rFonts w:cs="Traditional Arabic" w:hint="cs"/>
          <w:sz w:val="30"/>
          <w:szCs w:val="30"/>
          <w:rtl/>
          <w:lang w:val="en-GB"/>
        </w:rPr>
        <w:t>: نظراً لأن النتائج تتعلق فقط بفترة زمنية قصيرة فإنها لا تعطي صورة واضحة عن الانبعاثات مع الزمن، وتكون الدقة منخفضة فيما يخص متوسط التمثيل على المدى البعيد، وقد لا تكون هذه الطريقة قابلة للاستخدام لتحديد الامتثال للقيم الحدية للانبعاثات، وذلك حسب كيفية تحديد القيم الحدية لتلك الانبعاثات.</w:t>
      </w:r>
    </w:p>
    <w:p w:rsidR="00335E4B" w:rsidRPr="00335E4B" w:rsidRDefault="00335E4B" w:rsidP="00335E4B">
      <w:pPr>
        <w:keepNext/>
        <w:spacing w:before="120" w:after="120" w:line="400" w:lineRule="exact"/>
        <w:ind w:left="991" w:hanging="993"/>
        <w:jc w:val="both"/>
        <w:outlineLvl w:val="3"/>
        <w:rPr>
          <w:rFonts w:cs="Traditional Arabic"/>
          <w:b/>
          <w:bCs/>
          <w:sz w:val="30"/>
          <w:szCs w:val="30"/>
          <w:rtl/>
          <w:lang w:val="en-GB"/>
        </w:rPr>
      </w:pPr>
      <w:r w:rsidRPr="00335E4B">
        <w:rPr>
          <w:rFonts w:cs="Traditional Arabic" w:hint="cs"/>
          <w:b/>
          <w:bCs/>
          <w:sz w:val="30"/>
          <w:szCs w:val="30"/>
          <w:rtl/>
          <w:lang w:val="en-GB"/>
        </w:rPr>
        <w:t>القياسات على المدى البعيد</w:t>
      </w:r>
    </w:p>
    <w:p w:rsidR="00335E4B" w:rsidRPr="00335E4B" w:rsidRDefault="00335E4B" w:rsidP="00335E4B">
      <w:pPr>
        <w:spacing w:after="120" w:line="400" w:lineRule="exact"/>
        <w:jc w:val="both"/>
        <w:rPr>
          <w:rFonts w:cs="Traditional Arabic"/>
          <w:b/>
          <w:bCs/>
          <w:sz w:val="32"/>
          <w:szCs w:val="32"/>
          <w:rtl/>
          <w:lang w:val="en-GB"/>
        </w:rPr>
      </w:pPr>
      <w:r w:rsidRPr="00335E4B">
        <w:rPr>
          <w:rFonts w:cs="Traditional Arabic" w:hint="cs"/>
          <w:b/>
          <w:bCs/>
          <w:sz w:val="32"/>
          <w:szCs w:val="32"/>
          <w:rtl/>
          <w:lang w:val="en-GB"/>
        </w:rPr>
        <w:t>نظم الرصد عن طريق مصائد المواد الماصة (الممتزة)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تستخدِم الطريقة شبه المستمرة مادة ممتزة لاحتجاز انبعاثات الزئبق، من أجل مواصلة تحليلها عن طريق التنظير الطيفي للفلورة الذرية للبخار البارد </w:t>
      </w:r>
      <w:r w:rsidRPr="007B782B">
        <w:rPr>
          <w:rFonts w:asciiTheme="majorBidi" w:hAnsiTheme="majorBidi" w:cstheme="majorBidi"/>
          <w:sz w:val="20"/>
          <w:szCs w:val="20"/>
          <w:rtl/>
          <w:lang w:val="en-GB"/>
        </w:rPr>
        <w:t>(</w:t>
      </w:r>
      <w:r w:rsidRPr="007B782B">
        <w:rPr>
          <w:rFonts w:asciiTheme="majorBidi" w:hAnsiTheme="majorBidi" w:cstheme="majorBidi"/>
          <w:noProof/>
          <w:sz w:val="20"/>
          <w:szCs w:val="20"/>
        </w:rPr>
        <w:t>CVAFS</w:t>
      </w:r>
      <w:r w:rsidRPr="007B782B">
        <w:rPr>
          <w:rFonts w:asciiTheme="majorBidi" w:hAnsiTheme="majorBidi" w:cstheme="majorBidi"/>
          <w:sz w:val="20"/>
          <w:szCs w:val="20"/>
          <w:rtl/>
          <w:lang w:val="en-GB"/>
        </w:rPr>
        <w:t>)</w:t>
      </w:r>
      <w:r w:rsidRPr="00335E4B">
        <w:rPr>
          <w:rFonts w:cs="Traditional Arabic" w:hint="cs"/>
          <w:sz w:val="30"/>
          <w:szCs w:val="30"/>
          <w:rtl/>
          <w:lang w:val="en-GB"/>
        </w:rPr>
        <w:t>. ويمكن لهذه الطريقة أن تحدد بشكل دقيق خصائص الانبعاثات من عملية إنتاج الإسمنت، كما أنها قد لا تكون غالية الثمن مقارنةً بنظام الرصد المستمر للانبعاثات، وهي أسهل من حيث التشغيل والصيانة. ويرد وصف للطرق المرجعية في الفصل المتعلق بالرصد في الوثيقة التوجيهية بشأن أفضل التقنيات المتاحة/أفضل الممارسات البيئية.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وفي الولايات المتحدة اعتمدت نظم الرصد القائمة على مصائد المواد الممتزة لرصد انبعاثات الزئبق في منشآت إنتاج الإسمنت. بيد أن هذه النظم غير معتمدة كنظم لرصد انبعاثات الزئبق في الاتحاد الأوروبي، بسبب تعريف القيمة الجدية للانبعاثات على أنها متوسط يومي وتحديدها في بعض المستويات القصوى الوطنية بمدة أقصر من ذلك. وكما هو الحال في الولايات المتحدة تُعرَّف القيمة الحدية للانبعاثات على أنها متوسط (مستمر) لمدة 30 يوماً، والقياس بهذا النظام مقبول ومستخدم على نطاق واسع.</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b/>
          <w:bCs/>
          <w:sz w:val="30"/>
          <w:szCs w:val="30"/>
          <w:rtl/>
          <w:lang w:val="en-GB"/>
        </w:rPr>
        <w:t>المميزات</w:t>
      </w:r>
      <w:r w:rsidRPr="00335E4B">
        <w:rPr>
          <w:rFonts w:cs="Traditional Arabic" w:hint="cs"/>
          <w:sz w:val="30"/>
          <w:szCs w:val="30"/>
          <w:rtl/>
          <w:lang w:val="en-GB"/>
        </w:rPr>
        <w:t>: تكاليف سنوية متوسطة مقارنةً بالطرق الأخرى المدرجة، دقة عالية لمستويات الزئبق المنخفضة، وتمثيل متوسط إلى عالي لمتوسط الانبعاثات على المدى البعيد، ودقة عالية.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b/>
          <w:bCs/>
          <w:sz w:val="30"/>
          <w:szCs w:val="30"/>
          <w:rtl/>
          <w:lang w:val="en-GB"/>
        </w:rPr>
        <w:t>المساوئ</w:t>
      </w:r>
      <w:r w:rsidRPr="00335E4B">
        <w:rPr>
          <w:rFonts w:cs="Traditional Arabic" w:hint="cs"/>
          <w:sz w:val="30"/>
          <w:szCs w:val="30"/>
          <w:rtl/>
          <w:lang w:val="en-GB"/>
        </w:rPr>
        <w:t>: احتمال انسداد مصيدة المادة الممتزة بسبب الانبعاثات العالية للزئبق في نهاية المطاف، مثلاً عند وقف تشغيل الطاحونة، وقد لا يمكن استخدام هذه الطريقة لبيان الامتثال للقيم الحدية للانبعاثات، وذلك حسب كيفية تحديد القيم الحدية لتلك الانبعاثات، ولا تقدم هذه الطريقة بيانات مستمرة عن الزئبق يمكن استخدامها لتشغيل أجهزة التحكم في الزئبق بالطريقة الأكثر كفاءةً.</w:t>
      </w:r>
    </w:p>
    <w:p w:rsidR="00335E4B" w:rsidRPr="00335E4B" w:rsidRDefault="00335E4B" w:rsidP="00335E4B">
      <w:pPr>
        <w:keepNext/>
        <w:spacing w:before="120" w:after="120" w:line="400" w:lineRule="exact"/>
        <w:ind w:left="991" w:hanging="993"/>
        <w:jc w:val="both"/>
        <w:outlineLvl w:val="3"/>
        <w:rPr>
          <w:rFonts w:cs="Traditional Arabic"/>
          <w:b/>
          <w:bCs/>
          <w:sz w:val="30"/>
          <w:szCs w:val="30"/>
          <w:rtl/>
          <w:lang w:val="en-GB"/>
        </w:rPr>
      </w:pPr>
      <w:r w:rsidRPr="00335E4B">
        <w:rPr>
          <w:rFonts w:cs="Traditional Arabic" w:hint="cs"/>
          <w:b/>
          <w:bCs/>
          <w:sz w:val="30"/>
          <w:szCs w:val="30"/>
          <w:rtl/>
          <w:lang w:val="en-GB"/>
        </w:rPr>
        <w:t>نظم الرصد المستمر لانبعاثات الزئبق</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يمثل الرصد المستمر للانبعاثات أداةً مهمةً للحصول على معلومات جديدة عن تباين انبعاثات الزئبق، المرتبطة بالزمن وبالتشغيل، من مصادر ثابتة وأداة مهمة أيضاً للتحكم في أجهزة خفض مستويات الزئبق. وفي أوروبا تشترط بعض البلدان، مثل النمسا وألمانيا، تطبيق نظم الرصد المستمر لانبعاثات الزئبق في منشآت إنتاج الإسمنت التي تستخدم أنواع وقود بديلة.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وفي ألمانيا يتعين تزويد أفران الإسمنت التي تستخدم أنواع وقود بديلة بنظام رصد مستمر لانبعاثات الزئبق منذ عام 2000. واخترع أول جيل من نظم الرصد المستمر لانبعاثات الزئبق في تسعينيات القرن الماضي وخضع لاختبارات ملاءمة في الفترة بين عامي 1994 و2001. وأظهرت التجارب أنه على الرغم من إنجاز اختبارات الملاءمة بنجاح إلا أن هناك صعوبات نشأت على أرض الواقع فيما يتعلق بالتشغيل المستقر الطويل الأجل للنظام. وجرى تعديل الأجهزة وتحسينها مع مرور الوقت كجزء من الخبرة المكتسبة من استعمالها. </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وفي عام 2013 وافقت الولايات المتحدة على قانون نهائي يشتمل على معايير وطنية لانبعاثات الملوثات الجوية الخطرة لصناعة الإسمنت البورتلاندي، ويتضمن القانون القيم الحدية القصوى الخاصة بالزئبق. ووفقاً لهذا القانون يُطلب إلى منشآت إنتاج الإسمنت الخاضعة لقيود على انبعاثات الزئبق أن تمتثل لمعايير الزئبق من خلال تشغيل نظام للرصد المستمر لانبعاثات الزئبق أو نظام رصد قائم على مصائد المواد الممتزة.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b/>
          <w:bCs/>
          <w:sz w:val="30"/>
          <w:szCs w:val="30"/>
          <w:rtl/>
          <w:lang w:val="en-GB"/>
        </w:rPr>
        <w:t>المزايا</w:t>
      </w:r>
      <w:r w:rsidRPr="00335E4B">
        <w:rPr>
          <w:rFonts w:cs="Traditional Arabic" w:hint="cs"/>
          <w:sz w:val="30"/>
          <w:szCs w:val="30"/>
          <w:rtl/>
          <w:lang w:val="en-GB"/>
        </w:rPr>
        <w:t>: درجة دقة متوسطة إلى عالية عند المستويات المنخفضة، وتمثيل عال للمتوسطات طويلة الأجل، ودقة متوسطة إلى عالية، ويعطي النظام بيانات مستمرة يمكن استخدامها لتشغيل أجهزة التحكم في الزئبق بالطريقة الأكثر كفاءةً.</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b/>
          <w:bCs/>
          <w:sz w:val="30"/>
          <w:szCs w:val="30"/>
          <w:rtl/>
          <w:lang w:val="en-GB"/>
        </w:rPr>
        <w:t>المساوئ</w:t>
      </w:r>
      <w:r w:rsidRPr="00335E4B">
        <w:rPr>
          <w:rFonts w:cs="Traditional Arabic" w:hint="cs"/>
          <w:sz w:val="30"/>
          <w:szCs w:val="30"/>
          <w:rtl/>
          <w:lang w:val="en-GB"/>
        </w:rPr>
        <w:t>: تكاليف سنوية عالية بالمقارنة مع الطرق الأخرى، وإجراءات دورية لتأكيد الجودة، وتتطلب المعايرة والصيانة موظفين ذوي خبرة، ويحتاج النظام للمعايرة عند العمل مع تشغيل طاحونة المواد الخام وعند العمل مع وقف تشغيلها نظراً لأن مستويات الزئبق تتجاوز عادةً مدى الطاحونة المعايرة عند التشغيل أثناء العمل مع وقف تشغيل الطاحونة.</w:t>
      </w:r>
    </w:p>
    <w:p w:rsidR="00335E4B" w:rsidRPr="00335E4B" w:rsidRDefault="00335E4B" w:rsidP="0071522F">
      <w:pPr>
        <w:keepNext/>
        <w:spacing w:before="120" w:after="120" w:line="400" w:lineRule="exact"/>
        <w:ind w:left="707" w:hanging="709"/>
        <w:jc w:val="both"/>
        <w:outlineLvl w:val="3"/>
        <w:rPr>
          <w:rFonts w:cs="Traditional Arabic"/>
          <w:b/>
          <w:bCs/>
          <w:sz w:val="32"/>
          <w:szCs w:val="32"/>
          <w:rtl/>
          <w:lang w:val="en-GB"/>
        </w:rPr>
      </w:pPr>
      <w:r w:rsidRPr="00335E4B">
        <w:rPr>
          <w:rFonts w:cs="Traditional Arabic"/>
          <w:b/>
          <w:bCs/>
          <w:sz w:val="32"/>
          <w:szCs w:val="32"/>
          <w:rtl/>
          <w:lang w:val="en-GB"/>
        </w:rPr>
        <w:br w:type="page"/>
      </w:r>
      <w:r w:rsidRPr="00335E4B">
        <w:rPr>
          <w:rFonts w:cs="Traditional Arabic" w:hint="cs"/>
          <w:b/>
          <w:bCs/>
          <w:sz w:val="32"/>
          <w:szCs w:val="32"/>
          <w:rtl/>
          <w:lang w:val="en-GB"/>
        </w:rPr>
        <w:t>تذييل</w:t>
      </w:r>
    </w:p>
    <w:p w:rsidR="00335E4B" w:rsidRPr="00335E4B" w:rsidRDefault="00335E4B" w:rsidP="00335E4B">
      <w:pPr>
        <w:keepNext/>
        <w:spacing w:before="120" w:after="120" w:line="400" w:lineRule="exact"/>
        <w:ind w:left="707" w:hanging="709"/>
        <w:jc w:val="both"/>
        <w:outlineLvl w:val="3"/>
        <w:rPr>
          <w:rFonts w:cs="Traditional Arabic"/>
          <w:b/>
          <w:bCs/>
          <w:sz w:val="30"/>
          <w:szCs w:val="30"/>
          <w:rtl/>
          <w:lang w:val="en-GB"/>
        </w:rPr>
      </w:pPr>
      <w:r w:rsidRPr="00335E4B">
        <w:rPr>
          <w:rFonts w:cs="Traditional Arabic" w:hint="cs"/>
          <w:b/>
          <w:bCs/>
          <w:sz w:val="30"/>
          <w:szCs w:val="30"/>
          <w:rtl/>
          <w:lang w:val="en-GB"/>
        </w:rPr>
        <w:t>سلوك الزئبق في منشآت إنتاج كريات الكلنكر</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نظراً لأن درجة الحرارة هي أهم مُعامل لتحديد سلوك الزئبق ومركباته في نظام إنتاج كريات الكلنكر ستُشرح أشكال الزئبق المختلفة وظروف تفاعلها وفقاً لخصائص درجات الحرارة (انظر الشكل 6-1)، وذلك بدءاً من الطرف الحار مع المرجل الرئيسي للفرن الدوار وانتهاء عند مرشح الغبار وانبعاثات المداخن.</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إضافةً إلى ذلك يتضمن الشكل 6-1 قطاعاً جانبياً لدرجات الحرارة ويقدم عرضاً عاماً غير شامل للمواد المحتملة الشريكة في التفاعل ونواتج التفاعل ذات الصلة بكل منها. وكذلك يشير الشكل إلى أنه، من حيث المبدأ، توجد ثلاث فئات من أشكال الزئبق: الزئبق النقي (</w:t>
      </w:r>
      <w:r w:rsidRPr="00335E4B">
        <w:rPr>
          <w:rFonts w:cs="Times New Roman"/>
          <w:noProof/>
          <w:sz w:val="20"/>
          <w:szCs w:val="22"/>
        </w:rPr>
        <w:t>Hg</w:t>
      </w:r>
      <w:r w:rsidRPr="00335E4B">
        <w:rPr>
          <w:rFonts w:cs="Times New Roman"/>
          <w:noProof/>
          <w:sz w:val="20"/>
          <w:szCs w:val="22"/>
          <w:vertAlign w:val="superscript"/>
        </w:rPr>
        <w:t>0</w:t>
      </w:r>
      <w:r w:rsidRPr="00335E4B">
        <w:rPr>
          <w:rFonts w:cs="Traditional Arabic" w:hint="cs"/>
          <w:sz w:val="30"/>
          <w:szCs w:val="30"/>
          <w:rtl/>
          <w:lang w:val="en-GB"/>
        </w:rPr>
        <w:t>)، ومركبات الزئبقوز (</w:t>
      </w:r>
      <w:r w:rsidRPr="00335E4B">
        <w:rPr>
          <w:rFonts w:cs="Times New Roman"/>
          <w:noProof/>
          <w:sz w:val="20"/>
          <w:szCs w:val="22"/>
        </w:rPr>
        <w:t>Hg</w:t>
      </w:r>
      <w:r w:rsidRPr="00335E4B">
        <w:rPr>
          <w:rFonts w:cs="Times New Roman"/>
          <w:noProof/>
          <w:sz w:val="20"/>
          <w:szCs w:val="22"/>
          <w:vertAlign w:val="superscript"/>
        </w:rPr>
        <w:t>+</w:t>
      </w:r>
      <w:r w:rsidRPr="00335E4B">
        <w:rPr>
          <w:rFonts w:cs="Traditional Arabic" w:hint="cs"/>
          <w:sz w:val="30"/>
          <w:szCs w:val="30"/>
          <w:rtl/>
          <w:lang w:val="en-GB"/>
        </w:rPr>
        <w:t>)، ومركبات الزئبقيك (</w:t>
      </w:r>
      <w:r w:rsidRPr="00335E4B">
        <w:rPr>
          <w:rFonts w:cs="Times New Roman"/>
          <w:noProof/>
          <w:sz w:val="20"/>
          <w:szCs w:val="22"/>
        </w:rPr>
        <w:t>Hg</w:t>
      </w:r>
      <w:r w:rsidRPr="00335E4B">
        <w:rPr>
          <w:rFonts w:cs="Times New Roman"/>
          <w:noProof/>
          <w:sz w:val="20"/>
          <w:szCs w:val="22"/>
          <w:vertAlign w:val="superscript"/>
        </w:rPr>
        <w:t>2+</w:t>
      </w:r>
      <w:r w:rsidRPr="00335E4B">
        <w:rPr>
          <w:rFonts w:cs="Traditional Arabic" w:hint="cs"/>
          <w:sz w:val="30"/>
          <w:szCs w:val="30"/>
          <w:rtl/>
          <w:lang w:val="en-GB"/>
        </w:rPr>
        <w:t>).</w:t>
      </w:r>
    </w:p>
    <w:p w:rsidR="00335E4B" w:rsidRPr="00335E4B" w:rsidRDefault="00335E4B" w:rsidP="00335E4B">
      <w:pPr>
        <w:tabs>
          <w:tab w:val="left" w:pos="1247"/>
          <w:tab w:val="left" w:pos="1814"/>
          <w:tab w:val="left" w:pos="2381"/>
          <w:tab w:val="left" w:pos="2948"/>
          <w:tab w:val="left" w:pos="3515"/>
        </w:tabs>
        <w:spacing w:before="120" w:after="100" w:afterAutospacing="1" w:line="276" w:lineRule="auto"/>
        <w:jc w:val="center"/>
        <w:rPr>
          <w:rFonts w:cs="Times New Roman"/>
          <w:b/>
          <w:bCs/>
          <w:noProof/>
          <w:sz w:val="32"/>
          <w:szCs w:val="32"/>
        </w:rPr>
      </w:pPr>
      <w:r w:rsidRPr="00335E4B">
        <w:rPr>
          <w:rFonts w:cs="Times New Roman"/>
          <w:b/>
          <w:bCs/>
          <w:noProof/>
          <w:sz w:val="32"/>
          <w:szCs w:val="32"/>
        </w:rPr>
        <w:t xml:space="preserve"> </w:t>
      </w:r>
      <w:r>
        <w:rPr>
          <w:rFonts w:cs="Times New Roman"/>
          <w:noProof/>
          <w:sz w:val="20"/>
          <w:szCs w:val="22"/>
          <w:lang w:val="en-GB" w:eastAsia="zh-CN"/>
        </w:rPr>
        <w:drawing>
          <wp:inline distT="0" distB="0" distL="0" distR="0" wp14:anchorId="15023382" wp14:editId="107EB242">
            <wp:extent cx="3691255" cy="183705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91255" cy="1837055"/>
                    </a:xfrm>
                    <a:prstGeom prst="rect">
                      <a:avLst/>
                    </a:prstGeom>
                    <a:noFill/>
                    <a:ln>
                      <a:noFill/>
                    </a:ln>
                  </pic:spPr>
                </pic:pic>
              </a:graphicData>
            </a:graphic>
          </wp:inline>
        </w:drawing>
      </w:r>
    </w:p>
    <w:p w:rsidR="00335E4B" w:rsidRPr="00335E4B" w:rsidRDefault="00335E4B" w:rsidP="0071421D">
      <w:pPr>
        <w:tabs>
          <w:tab w:val="left" w:pos="1247"/>
          <w:tab w:val="left" w:pos="1814"/>
          <w:tab w:val="left" w:pos="2381"/>
          <w:tab w:val="left" w:pos="2948"/>
          <w:tab w:val="left" w:pos="3515"/>
        </w:tabs>
        <w:spacing w:before="120" w:after="100" w:afterAutospacing="1" w:line="400" w:lineRule="exact"/>
        <w:jc w:val="both"/>
        <w:rPr>
          <w:rFonts w:ascii="Traditional Arabic" w:hAnsi="Traditional Arabic" w:cs="Traditional Arabic"/>
          <w:bCs/>
          <w:i/>
          <w:noProof/>
          <w:sz w:val="20"/>
          <w:szCs w:val="24"/>
          <w:rtl/>
        </w:rPr>
      </w:pPr>
      <w:r w:rsidRPr="0071421D">
        <w:rPr>
          <w:rFonts w:ascii="Traditional Arabic" w:hAnsi="Traditional Arabic" w:cs="Traditional Arabic" w:hint="cs"/>
          <w:bCs/>
          <w:i/>
          <w:noProof/>
          <w:sz w:val="30"/>
          <w:szCs w:val="30"/>
          <w:rtl/>
        </w:rPr>
        <w:t>الشكل 6-1</w:t>
      </w:r>
      <w:r w:rsidR="0071522F" w:rsidRPr="0071421D">
        <w:rPr>
          <w:rFonts w:ascii="Traditional Arabic" w:hAnsi="Traditional Arabic" w:cs="Traditional Arabic" w:hint="cs"/>
          <w:bCs/>
          <w:i/>
          <w:noProof/>
          <w:sz w:val="30"/>
          <w:szCs w:val="30"/>
          <w:rtl/>
        </w:rPr>
        <w:t>.</w:t>
      </w:r>
      <w:r w:rsidRPr="0071421D">
        <w:rPr>
          <w:rFonts w:ascii="Traditional Arabic" w:hAnsi="Traditional Arabic" w:cs="Traditional Arabic" w:hint="cs"/>
          <w:bCs/>
          <w:i/>
          <w:noProof/>
          <w:sz w:val="30"/>
          <w:szCs w:val="30"/>
          <w:rtl/>
        </w:rPr>
        <w:t xml:space="preserve"> تفاعلات التحول المحتملة للزئبق في عملية إنتاج كريات الكلنكر </w:t>
      </w:r>
      <w:r w:rsidRPr="0071421D">
        <w:rPr>
          <w:rFonts w:asciiTheme="majorBidi" w:hAnsiTheme="majorBidi" w:cstheme="majorBidi"/>
          <w:bCs/>
          <w:i/>
          <w:noProof/>
          <w:sz w:val="20"/>
          <w:szCs w:val="20"/>
          <w:rtl/>
        </w:rPr>
        <w:t>(</w:t>
      </w:r>
      <w:r w:rsidRPr="0071421D">
        <w:rPr>
          <w:rFonts w:asciiTheme="majorBidi" w:hAnsiTheme="majorBidi" w:cstheme="majorBidi"/>
          <w:b/>
          <w:iCs/>
          <w:noProof/>
          <w:sz w:val="20"/>
          <w:szCs w:val="20"/>
        </w:rPr>
        <w:t>Renzoni et al., 2010; Oerter/Zunzer, 2011; ECRA, 2013</w:t>
      </w:r>
      <w:r w:rsidRPr="0071421D">
        <w:rPr>
          <w:rFonts w:asciiTheme="majorBidi" w:hAnsiTheme="majorBidi" w:cstheme="majorBidi"/>
          <w:bCs/>
          <w:i/>
          <w:noProof/>
          <w:sz w:val="20"/>
          <w:szCs w:val="20"/>
          <w:rtl/>
        </w:rPr>
        <w:t>)</w:t>
      </w:r>
    </w:p>
    <w:p w:rsidR="00335E4B" w:rsidRPr="00335E4B" w:rsidRDefault="00335E4B" w:rsidP="0071421D">
      <w:pPr>
        <w:spacing w:after="120" w:line="400" w:lineRule="exact"/>
        <w:jc w:val="both"/>
        <w:rPr>
          <w:rFonts w:cs="Traditional Arabic"/>
          <w:sz w:val="30"/>
          <w:szCs w:val="30"/>
          <w:rtl/>
          <w:lang w:val="en-GB"/>
        </w:rPr>
      </w:pPr>
      <w:r w:rsidRPr="00335E4B">
        <w:rPr>
          <w:rFonts w:cs="Traditional Arabic" w:hint="cs"/>
          <w:sz w:val="30"/>
          <w:szCs w:val="30"/>
          <w:rtl/>
          <w:lang w:val="en-GB"/>
        </w:rPr>
        <w:t>وتوجد ثلاث نقاط ممكنة لمدخلات الزئبق (الموقد الرئيسي، والحرق الثانوي والتكليس المسبق، والدقيق الخام) وهي نقاط تعتبر مهمة وستناقش تبعاً لذلك.</w:t>
      </w:r>
    </w:p>
    <w:p w:rsidR="00335E4B" w:rsidRPr="00335E4B" w:rsidRDefault="00335E4B" w:rsidP="0071421D">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الموقد الرئيسي والفرن الدوار</w:t>
      </w:r>
    </w:p>
    <w:p w:rsidR="00335E4B" w:rsidRPr="00335E4B" w:rsidRDefault="00335E4B" w:rsidP="0071421D">
      <w:pPr>
        <w:spacing w:after="120" w:line="400" w:lineRule="exact"/>
        <w:jc w:val="both"/>
        <w:rPr>
          <w:rFonts w:cs="Traditional Arabic"/>
          <w:sz w:val="30"/>
          <w:szCs w:val="30"/>
          <w:rtl/>
          <w:lang w:val="en-GB"/>
        </w:rPr>
      </w:pPr>
      <w:r w:rsidRPr="00335E4B">
        <w:rPr>
          <w:rFonts w:cs="Traditional Arabic" w:hint="cs"/>
          <w:sz w:val="30"/>
          <w:szCs w:val="30"/>
          <w:rtl/>
          <w:lang w:val="en-GB"/>
        </w:rPr>
        <w:t>تشير حسابات التعادل الديناميكي الحراري إلى أنه عند درجة حرارة تزيد عن 700مْ إلى 800مْ لا يوجد إلا الزئبق النقي في الطور الغازي (</w:t>
      </w:r>
      <w:r w:rsidRPr="00335E4B">
        <w:rPr>
          <w:rFonts w:cs="Times New Roman"/>
          <w:noProof/>
          <w:sz w:val="20"/>
          <w:szCs w:val="22"/>
        </w:rPr>
        <w:t>Martel, 2000; Schreiber et al., 2005; Krabbe, 2010</w:t>
      </w:r>
      <w:r w:rsidRPr="00335E4B">
        <w:rPr>
          <w:rFonts w:cs="Traditional Arabic" w:hint="cs"/>
          <w:sz w:val="30"/>
          <w:szCs w:val="30"/>
          <w:rtl/>
          <w:lang w:val="en-GB"/>
        </w:rPr>
        <w:t>). وهذا الأمر مهم للموقد الرئيسي والفرن الدوار الذي تصل درجات حرارة الغاز فيه إلى 2000مْ (انظر الشكل 3). وبناء على ذلك فإن جميع مركبات الزئبق التي تدخل إلى النظام عن طريق الموقد الرئيسي ستتحول إلى زئبق أولي وستغادر الفرن لتدخل إلى جهاز التسخين المسبق. ووفق ما أشير إليه في السابق فإنه لا يوجد عملياً أي زئبق في كريات الكلنكر.</w:t>
      </w:r>
    </w:p>
    <w:p w:rsidR="00335E4B" w:rsidRPr="00335E4B" w:rsidRDefault="00335E4B" w:rsidP="0071421D">
      <w:pPr>
        <w:spacing w:after="120" w:line="400" w:lineRule="exact"/>
        <w:jc w:val="both"/>
        <w:rPr>
          <w:rFonts w:cs="Traditional Arabic"/>
          <w:b/>
          <w:bCs/>
          <w:sz w:val="30"/>
          <w:szCs w:val="30"/>
          <w:rtl/>
          <w:lang w:val="en-GB"/>
        </w:rPr>
      </w:pPr>
      <w:r w:rsidRPr="00335E4B">
        <w:rPr>
          <w:rFonts w:cs="Traditional Arabic" w:hint="cs"/>
          <w:b/>
          <w:bCs/>
          <w:sz w:val="30"/>
          <w:szCs w:val="30"/>
          <w:rtl/>
          <w:lang w:val="en-GB"/>
        </w:rPr>
        <w:t>جهاز التسخين المسبق</w:t>
      </w:r>
    </w:p>
    <w:p w:rsidR="00335E4B" w:rsidRPr="00335E4B" w:rsidRDefault="00335E4B" w:rsidP="0071421D">
      <w:pPr>
        <w:spacing w:after="120" w:line="400" w:lineRule="exact"/>
        <w:jc w:val="both"/>
        <w:rPr>
          <w:rFonts w:cs="Traditional Arabic"/>
          <w:sz w:val="30"/>
          <w:szCs w:val="30"/>
          <w:rtl/>
          <w:lang w:val="en-GB"/>
        </w:rPr>
      </w:pPr>
      <w:r w:rsidRPr="00335E4B">
        <w:rPr>
          <w:rFonts w:cs="Traditional Arabic" w:hint="cs"/>
          <w:sz w:val="30"/>
          <w:szCs w:val="30"/>
          <w:rtl/>
          <w:lang w:val="en-GB"/>
        </w:rPr>
        <w:t>تتوفر في جهاز التسخين المسبق ظروف تفاعل معقدة ويتراوح قطاع درجات الحرارة للطور الغازي من حوالي 900مْ إلى 1000مْ في مدخل الفرن و270مْ إلى 450مْ بعد جهاز التسخين المسبق. وفي حال وجود تحويلة لغاز الكلور في المنشأة فإن جزءاً من الزئبق النقي يمكن أن يستخلص ويُمتز بشكل جزئي في غبار المرشح بينما ينبعث جزء منه إلى الهواء. ويمكن أن يتحول الزئبق النقي من الفرن بشكل جزئي إلى مكونات كيميائية أخرى في جهاز التسخين المسبق.</w:t>
      </w:r>
    </w:p>
    <w:p w:rsidR="00335E4B" w:rsidRPr="00335E4B" w:rsidRDefault="00335E4B" w:rsidP="0071421D">
      <w:pPr>
        <w:spacing w:after="120" w:line="400" w:lineRule="exact"/>
        <w:jc w:val="both"/>
        <w:rPr>
          <w:rFonts w:cs="Traditional Arabic"/>
          <w:sz w:val="30"/>
          <w:szCs w:val="30"/>
          <w:lang w:val="en-GB"/>
        </w:rPr>
      </w:pPr>
      <w:r w:rsidRPr="00335E4B">
        <w:rPr>
          <w:rFonts w:cs="Traditional Arabic" w:hint="cs"/>
          <w:sz w:val="30"/>
          <w:szCs w:val="30"/>
          <w:rtl/>
          <w:lang w:val="en-GB"/>
        </w:rPr>
        <w:t>وقد جرى في السابق بيان مدخلات الزئبق عبر الموقد الرئيسي. أما نقطة الدخول التالية فهي عملية الحرق الثانوي التي يمكن أن تكون عملية تلقيم الوقود (التقليدي أو المشتق من النفايات) في مدخل الفرن أو في جهاز التكليس المسبق (انظر الشكل 3). وعند درجات حرارة تزيد عن 700مْ إلى 800مْ يتحول الزئبق الموجود في الوقود إلى الزئبق النقي الذي يمكن أن يتحول بدوره، وفق ما هو مبين أعلاه، إلى مركبات زئبق أخرى في جهاز التسخين المسبق.</w:t>
      </w:r>
    </w:p>
    <w:p w:rsidR="00335E4B" w:rsidRPr="00335E4B" w:rsidRDefault="00335E4B" w:rsidP="0071421D">
      <w:pPr>
        <w:spacing w:after="120" w:line="400" w:lineRule="exact"/>
        <w:jc w:val="both"/>
        <w:rPr>
          <w:rFonts w:cs="Traditional Arabic"/>
          <w:sz w:val="30"/>
          <w:szCs w:val="30"/>
          <w:rtl/>
          <w:lang w:val="en-GB"/>
        </w:rPr>
      </w:pPr>
      <w:r w:rsidRPr="00335E4B">
        <w:rPr>
          <w:rFonts w:cs="Traditional Arabic" w:hint="cs"/>
          <w:sz w:val="30"/>
          <w:szCs w:val="30"/>
          <w:rtl/>
          <w:lang w:val="en-GB"/>
        </w:rPr>
        <w:t>وفي منشآت إنتاج كريات الكلنكر تميل أشكال الزئبق الرئيسية إلى أن تكون هي الزئبق النقي وثاني كلوريد الزئبق وأكسيد الزئبق، أما أشكال الزئبق الأخرى فهي أقل أهميةً (</w:t>
      </w:r>
      <w:r w:rsidRPr="00335E4B">
        <w:rPr>
          <w:rFonts w:cs="Times New Roman"/>
          <w:noProof/>
          <w:sz w:val="20"/>
          <w:szCs w:val="22"/>
        </w:rPr>
        <w:t>ECRA 2013</w:t>
      </w:r>
      <w:r w:rsidRPr="00335E4B">
        <w:rPr>
          <w:rFonts w:cs="Traditional Arabic" w:hint="cs"/>
          <w:sz w:val="30"/>
          <w:szCs w:val="30"/>
          <w:rtl/>
          <w:lang w:val="en-GB"/>
        </w:rPr>
        <w:t>). وتتميز جميع هذه الأشكال بالتطاير العالي. ويتفكك أكسيد الزئبق عند درجات حرارة تزيد عن 400مْ.</w:t>
      </w:r>
    </w:p>
    <w:p w:rsidR="00335E4B" w:rsidRPr="00335E4B" w:rsidRDefault="00335E4B" w:rsidP="00335E4B">
      <w:pPr>
        <w:tabs>
          <w:tab w:val="left" w:pos="1247"/>
          <w:tab w:val="left" w:pos="1814"/>
          <w:tab w:val="left" w:pos="2381"/>
          <w:tab w:val="left" w:pos="2948"/>
          <w:tab w:val="left" w:pos="3515"/>
        </w:tabs>
        <w:spacing w:before="120"/>
        <w:jc w:val="both"/>
        <w:rPr>
          <w:rFonts w:cs="Times New Roman"/>
          <w:noProof/>
          <w:sz w:val="20"/>
          <w:szCs w:val="22"/>
        </w:rPr>
      </w:pPr>
      <w:r>
        <w:rPr>
          <w:rFonts w:cs="Times New Roman"/>
          <w:noProof/>
          <w:sz w:val="20"/>
          <w:szCs w:val="22"/>
          <w:lang w:val="en-GB" w:eastAsia="zh-CN"/>
        </w:rPr>
        <w:drawing>
          <wp:inline distT="0" distB="0" distL="0" distR="0" wp14:anchorId="67895202" wp14:editId="1A1C143C">
            <wp:extent cx="2638425" cy="2189480"/>
            <wp:effectExtent l="0" t="0" r="952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38425" cy="2189480"/>
                    </a:xfrm>
                    <a:prstGeom prst="rect">
                      <a:avLst/>
                    </a:prstGeom>
                    <a:noFill/>
                    <a:ln>
                      <a:noFill/>
                    </a:ln>
                  </pic:spPr>
                </pic:pic>
              </a:graphicData>
            </a:graphic>
          </wp:inline>
        </w:drawing>
      </w:r>
      <w:r>
        <w:rPr>
          <w:rFonts w:cs="Times New Roman"/>
          <w:noProof/>
          <w:sz w:val="20"/>
          <w:szCs w:val="22"/>
          <w:lang w:val="en-GB" w:eastAsia="zh-CN"/>
        </w:rPr>
        <w:drawing>
          <wp:inline distT="0" distB="0" distL="0" distR="0" wp14:anchorId="4240FECA" wp14:editId="527B5FAD">
            <wp:extent cx="2621280" cy="21729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1280" cy="2172970"/>
                    </a:xfrm>
                    <a:prstGeom prst="rect">
                      <a:avLst/>
                    </a:prstGeom>
                    <a:noFill/>
                    <a:ln>
                      <a:noFill/>
                    </a:ln>
                  </pic:spPr>
                </pic:pic>
              </a:graphicData>
            </a:graphic>
          </wp:inline>
        </w:drawing>
      </w:r>
    </w:p>
    <w:p w:rsidR="00335E4B" w:rsidRPr="00335E4B" w:rsidRDefault="00335E4B" w:rsidP="007B782B">
      <w:pPr>
        <w:tabs>
          <w:tab w:val="left" w:pos="1247"/>
          <w:tab w:val="left" w:pos="1814"/>
          <w:tab w:val="left" w:pos="2381"/>
          <w:tab w:val="left" w:pos="2948"/>
          <w:tab w:val="left" w:pos="3515"/>
        </w:tabs>
        <w:spacing w:before="120" w:after="120" w:line="380" w:lineRule="exact"/>
        <w:jc w:val="both"/>
        <w:rPr>
          <w:rFonts w:ascii="Traditional Arabic" w:hAnsi="Traditional Arabic" w:cs="Traditional Arabic"/>
          <w:bCs/>
          <w:i/>
          <w:noProof/>
          <w:sz w:val="20"/>
          <w:szCs w:val="24"/>
        </w:rPr>
      </w:pPr>
      <w:r w:rsidRPr="0071421D">
        <w:rPr>
          <w:rFonts w:ascii="Traditional Arabic" w:hAnsi="Traditional Arabic" w:cs="Traditional Arabic" w:hint="cs"/>
          <w:bCs/>
          <w:i/>
          <w:noProof/>
          <w:sz w:val="30"/>
          <w:szCs w:val="30"/>
          <w:rtl/>
        </w:rPr>
        <w:t>الشكل 6-2</w:t>
      </w:r>
      <w:r w:rsidR="0071522F" w:rsidRPr="0071421D">
        <w:rPr>
          <w:rFonts w:ascii="Traditional Arabic" w:hAnsi="Traditional Arabic" w:cs="Traditional Arabic" w:hint="cs"/>
          <w:bCs/>
          <w:i/>
          <w:noProof/>
          <w:sz w:val="30"/>
          <w:szCs w:val="30"/>
          <w:rtl/>
        </w:rPr>
        <w:t>.</w:t>
      </w:r>
      <w:r w:rsidRPr="0071421D">
        <w:rPr>
          <w:rFonts w:ascii="Traditional Arabic" w:hAnsi="Traditional Arabic" w:cs="Traditional Arabic" w:hint="cs"/>
          <w:bCs/>
          <w:i/>
          <w:noProof/>
          <w:sz w:val="30"/>
          <w:szCs w:val="30"/>
          <w:rtl/>
        </w:rPr>
        <w:t xml:space="preserve"> اعتماد ضغط بخار الزئبق النقي وثاني كلوريد الزئبق على درجة الحرارة (المخطط الأيسر بالمقياس الخطي والمخطط الأيمن بالمقياس اللوغاريثمي) </w:t>
      </w:r>
      <w:r w:rsidRPr="0071421D">
        <w:rPr>
          <w:rFonts w:asciiTheme="majorBidi" w:hAnsiTheme="majorBidi" w:cstheme="majorBidi"/>
          <w:bCs/>
          <w:i/>
          <w:noProof/>
          <w:sz w:val="20"/>
          <w:szCs w:val="20"/>
          <w:rtl/>
        </w:rPr>
        <w:t>(</w:t>
      </w:r>
      <w:r w:rsidRPr="0071421D">
        <w:rPr>
          <w:rFonts w:asciiTheme="majorBidi" w:hAnsiTheme="majorBidi" w:cstheme="majorBidi"/>
          <w:b/>
          <w:iCs/>
          <w:noProof/>
          <w:sz w:val="20"/>
          <w:szCs w:val="20"/>
        </w:rPr>
        <w:t>Holleman-Wiberg, 1985; CRC Handbook, 1976; CRC Handbook, 1995; CRC Handbook, 2012</w:t>
      </w:r>
      <w:r w:rsidRPr="0071421D">
        <w:rPr>
          <w:rFonts w:asciiTheme="majorBidi" w:hAnsiTheme="majorBidi" w:cstheme="majorBidi"/>
          <w:bCs/>
          <w:i/>
          <w:noProof/>
          <w:sz w:val="20"/>
          <w:szCs w:val="20"/>
          <w:rtl/>
        </w:rPr>
        <w:t>)</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ويزداد ضغط بخار الزئبق النقي وكلوريد الزئبق أسياً مع درجة الحرارة. ويوضح هذا بالشكل 6-2 الذي يظهر المنحنيات المعنية بالمقياسين الخطي واللوغاريثمي.</w:t>
      </w:r>
    </w:p>
    <w:p w:rsidR="00335E4B" w:rsidRPr="00335E4B" w:rsidRDefault="00335E4B" w:rsidP="0071421D">
      <w:pPr>
        <w:spacing w:after="120" w:line="400" w:lineRule="exact"/>
        <w:jc w:val="both"/>
        <w:rPr>
          <w:rFonts w:cs="Traditional Arabic"/>
          <w:sz w:val="30"/>
          <w:szCs w:val="30"/>
          <w:lang w:val="en-GB"/>
        </w:rPr>
      </w:pPr>
      <w:r w:rsidRPr="00335E4B">
        <w:rPr>
          <w:rFonts w:cs="Traditional Arabic" w:hint="cs"/>
          <w:sz w:val="30"/>
          <w:szCs w:val="30"/>
          <w:rtl/>
          <w:lang w:val="en-GB"/>
        </w:rPr>
        <w:t>وتبين الأرقام التطاير العالي لأشكال الزئبق هذه. ووفقاً لذلك تتطاير هذه الأشكال في جهاز التسخين المسبق وتبقى في الطور الغازي. وقد تأكدت هذه الخواص الفيزيائية والكيميائية من خلال اختبارات التطاير للدقيق الخام الذي يشكل المدخل الثالث. وتشير هذه الاختبارات إلى أن الدقيق الخام يحتوي على أشكال مختلفة من الزئبق تتطاير بين درجة حرارة قدرها 180مْ إلى 500مْ. ويظهر المخطط الأيسر في الشكل 6-3 منحنيات تطاير الزئبق في أربعة أنواع مختلفة من الدقيق الخام.</w:t>
      </w:r>
    </w:p>
    <w:p w:rsidR="00335E4B" w:rsidRPr="00335E4B" w:rsidRDefault="00335E4B" w:rsidP="00335E4B">
      <w:pPr>
        <w:tabs>
          <w:tab w:val="left" w:pos="1247"/>
          <w:tab w:val="left" w:pos="1814"/>
          <w:tab w:val="left" w:pos="2381"/>
          <w:tab w:val="left" w:pos="2948"/>
          <w:tab w:val="left" w:pos="3515"/>
        </w:tabs>
        <w:spacing w:before="120"/>
        <w:jc w:val="both"/>
        <w:rPr>
          <w:rFonts w:cs="Times New Roman"/>
          <w:noProof/>
          <w:sz w:val="20"/>
          <w:szCs w:val="22"/>
        </w:rPr>
      </w:pPr>
      <w:r>
        <w:rPr>
          <w:rFonts w:cs="Times New Roman"/>
          <w:noProof/>
          <w:sz w:val="20"/>
          <w:szCs w:val="22"/>
          <w:lang w:val="en-GB" w:eastAsia="zh-CN"/>
        </w:rPr>
        <w:drawing>
          <wp:inline distT="0" distB="0" distL="0" distR="0" wp14:anchorId="621256F2" wp14:editId="749E7FB7">
            <wp:extent cx="3015615" cy="1493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15615" cy="1493520"/>
                    </a:xfrm>
                    <a:prstGeom prst="rect">
                      <a:avLst/>
                    </a:prstGeom>
                    <a:noFill/>
                    <a:ln>
                      <a:noFill/>
                    </a:ln>
                  </pic:spPr>
                </pic:pic>
              </a:graphicData>
            </a:graphic>
          </wp:inline>
        </w:drawing>
      </w:r>
      <w:r>
        <w:rPr>
          <w:rFonts w:cs="Times New Roman"/>
          <w:noProof/>
          <w:sz w:val="20"/>
          <w:szCs w:val="22"/>
          <w:lang w:val="en-GB" w:eastAsia="zh-CN"/>
        </w:rPr>
        <w:drawing>
          <wp:inline distT="0" distB="0" distL="0" distR="0" wp14:anchorId="7F968EB5" wp14:editId="4DEDA014">
            <wp:extent cx="2419985" cy="139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19985" cy="1397000"/>
                    </a:xfrm>
                    <a:prstGeom prst="rect">
                      <a:avLst/>
                    </a:prstGeom>
                    <a:noFill/>
                    <a:ln>
                      <a:noFill/>
                    </a:ln>
                  </pic:spPr>
                </pic:pic>
              </a:graphicData>
            </a:graphic>
          </wp:inline>
        </w:drawing>
      </w:r>
    </w:p>
    <w:p w:rsidR="00335E4B" w:rsidRPr="00335E4B" w:rsidRDefault="00335E4B" w:rsidP="007B782B">
      <w:pPr>
        <w:tabs>
          <w:tab w:val="left" w:pos="1247"/>
          <w:tab w:val="left" w:pos="1814"/>
          <w:tab w:val="left" w:pos="2381"/>
          <w:tab w:val="left" w:pos="2948"/>
          <w:tab w:val="left" w:pos="3515"/>
        </w:tabs>
        <w:spacing w:before="120" w:after="120" w:line="360" w:lineRule="exact"/>
        <w:jc w:val="both"/>
        <w:rPr>
          <w:rFonts w:ascii="Traditional Arabic" w:hAnsi="Traditional Arabic" w:cs="Traditional Arabic"/>
          <w:bCs/>
          <w:i/>
          <w:noProof/>
          <w:sz w:val="20"/>
          <w:szCs w:val="24"/>
        </w:rPr>
      </w:pPr>
      <w:r w:rsidRPr="0071421D">
        <w:rPr>
          <w:rFonts w:ascii="Traditional Arabic" w:hAnsi="Traditional Arabic" w:cs="Traditional Arabic" w:hint="cs"/>
          <w:bCs/>
          <w:i/>
          <w:noProof/>
          <w:sz w:val="30"/>
          <w:szCs w:val="30"/>
          <w:rtl/>
        </w:rPr>
        <w:t>الشكل 6-3</w:t>
      </w:r>
      <w:r w:rsidR="0071522F" w:rsidRPr="0071421D">
        <w:rPr>
          <w:rFonts w:ascii="Traditional Arabic" w:hAnsi="Traditional Arabic" w:cs="Traditional Arabic" w:hint="cs"/>
          <w:bCs/>
          <w:i/>
          <w:noProof/>
          <w:sz w:val="30"/>
          <w:szCs w:val="30"/>
          <w:rtl/>
        </w:rPr>
        <w:t>.</w:t>
      </w:r>
      <w:r w:rsidRPr="0071421D">
        <w:rPr>
          <w:rFonts w:ascii="Traditional Arabic" w:hAnsi="Traditional Arabic" w:cs="Traditional Arabic" w:hint="cs"/>
          <w:bCs/>
          <w:i/>
          <w:noProof/>
          <w:sz w:val="30"/>
          <w:szCs w:val="30"/>
          <w:rtl/>
        </w:rPr>
        <w:t xml:space="preserve"> منحنيات تطاير الزئبق لأربع وجبات خام (المخطط الأيسر) وثلاثة من أنواع غبار المرشح (المخطط الأيمن)</w:t>
      </w:r>
      <w:r w:rsidRPr="00335E4B">
        <w:rPr>
          <w:rFonts w:ascii="Traditional Arabic" w:hAnsi="Traditional Arabic" w:cs="Traditional Arabic" w:hint="cs"/>
          <w:bCs/>
          <w:i/>
          <w:noProof/>
          <w:sz w:val="20"/>
          <w:szCs w:val="24"/>
          <w:rtl/>
        </w:rPr>
        <w:t xml:space="preserve"> </w:t>
      </w:r>
      <w:r w:rsidRPr="0071421D">
        <w:rPr>
          <w:rFonts w:asciiTheme="majorBidi" w:hAnsiTheme="majorBidi" w:cstheme="majorBidi"/>
          <w:bCs/>
          <w:i/>
          <w:noProof/>
          <w:sz w:val="20"/>
          <w:szCs w:val="20"/>
          <w:rtl/>
        </w:rPr>
        <w:t>(</w:t>
      </w:r>
      <w:r w:rsidRPr="0071421D">
        <w:rPr>
          <w:rFonts w:asciiTheme="majorBidi" w:hAnsiTheme="majorBidi" w:cstheme="majorBidi"/>
          <w:b/>
          <w:iCs/>
          <w:noProof/>
          <w:sz w:val="20"/>
          <w:szCs w:val="20"/>
        </w:rPr>
        <w:t>AiF, 2008</w:t>
      </w:r>
      <w:r w:rsidRPr="0071421D">
        <w:rPr>
          <w:rFonts w:asciiTheme="majorBidi" w:hAnsiTheme="majorBidi" w:cstheme="majorBidi"/>
          <w:bCs/>
          <w:i/>
          <w:noProof/>
          <w:sz w:val="20"/>
          <w:szCs w:val="20"/>
          <w:rtl/>
        </w:rPr>
        <w:t>)</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ويظهر من المقارنة أن منحنيات تطاير أنواع غبار المرشح أضيق (180مْ إلى 400مْ) مما يدل على وجود الزئبق النقي وكلوريد الزئبق وأكسيد الزئبق التي يجري امتزازها على سطح جسيمات الغبار (المخطط الأيمن بالشكل 6-3).</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ويعني المدى الحراري المذكور آنفاً لتطاير أشكال الزئبق أن معظم الزئبق الموجود في الدقيق الخام يتطاير أصلاً في المخروطين العلويين في جهاز التسخين المسبق (</w:t>
      </w:r>
      <w:r w:rsidRPr="00335E4B">
        <w:rPr>
          <w:rFonts w:cs="Times New Roman"/>
          <w:noProof/>
          <w:sz w:val="20"/>
          <w:szCs w:val="22"/>
        </w:rPr>
        <w:t>AiF, 2008; Paone, 2008; Renzoni et al., 2010</w:t>
      </w:r>
      <w:r w:rsidRPr="00335E4B">
        <w:rPr>
          <w:rFonts w:cs="Traditional Arabic" w:hint="cs"/>
          <w:sz w:val="30"/>
          <w:szCs w:val="30"/>
          <w:rtl/>
          <w:lang w:val="en-GB"/>
        </w:rPr>
        <w:t>). وبسبب حركيات التفاعل فإن التطاير قد لا يكون بنسبة 100 في المائة في جهاز التسخين المسبق ولكنه يقترب من هذه النسبة ويكتمل كلياً في الفرن.</w:t>
      </w:r>
    </w:p>
    <w:p w:rsidR="00335E4B" w:rsidRPr="00335E4B" w:rsidRDefault="00335E4B" w:rsidP="0071421D">
      <w:pPr>
        <w:spacing w:after="240" w:line="400" w:lineRule="exact"/>
        <w:jc w:val="both"/>
        <w:rPr>
          <w:rFonts w:cs="Traditional Arabic"/>
          <w:sz w:val="30"/>
          <w:szCs w:val="30"/>
          <w:rtl/>
          <w:lang w:val="en-GB"/>
        </w:rPr>
      </w:pPr>
      <w:r w:rsidRPr="00335E4B">
        <w:rPr>
          <w:rFonts w:cs="Traditional Arabic" w:hint="cs"/>
          <w:sz w:val="30"/>
          <w:szCs w:val="30"/>
          <w:rtl/>
          <w:lang w:val="en-GB"/>
        </w:rPr>
        <w:t>وقد أشير بالفعل إلى أن الزئبق يتراكم بين جهاز التسخين المسبق ومرشح الغبار بسبب تكون الدورة الخارجية المشار إليها سابقاً. ويعني انخفاض درجة حرارة الغاز والامتزاز أن الزئبق يزال إلى حد معين (ويعتمد ذلك بصورة أساسية على درجة حرارة الغاز) مع غبار المرشح الذي يعاد تدويره إلى الدقيق الخام الذي يُلقَّم إلى جهاز التسخين المسبق حيث يتطاير الزئبق مرة أخرى. وبذلك تتشكل دورة زئبق خارجية، وفق ما هو مبين في الشكل 6-4، حيث يمكن النظر في إعادة تدوير غبار المرشح وإزالته.</w:t>
      </w:r>
    </w:p>
    <w:p w:rsidR="00335E4B" w:rsidRPr="00335E4B" w:rsidRDefault="00335E4B" w:rsidP="00335E4B">
      <w:pPr>
        <w:tabs>
          <w:tab w:val="left" w:pos="1247"/>
          <w:tab w:val="left" w:pos="1814"/>
          <w:tab w:val="left" w:pos="2381"/>
          <w:tab w:val="left" w:pos="2948"/>
          <w:tab w:val="left" w:pos="3515"/>
        </w:tabs>
        <w:spacing w:before="120" w:after="100" w:afterAutospacing="1" w:line="276" w:lineRule="auto"/>
        <w:jc w:val="center"/>
        <w:rPr>
          <w:rFonts w:cs="Times New Roman"/>
          <w:b/>
          <w:bCs/>
          <w:noProof/>
          <w:sz w:val="32"/>
          <w:szCs w:val="32"/>
        </w:rPr>
      </w:pPr>
      <w:r>
        <w:rPr>
          <w:rFonts w:cs="Times New Roman"/>
          <w:noProof/>
          <w:sz w:val="20"/>
          <w:szCs w:val="22"/>
          <w:lang w:val="en-GB" w:eastAsia="zh-CN"/>
        </w:rPr>
        <w:drawing>
          <wp:inline distT="0" distB="0" distL="0" distR="0" wp14:anchorId="3022EF84" wp14:editId="474B6309">
            <wp:extent cx="4496435" cy="3124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96435" cy="3124835"/>
                    </a:xfrm>
                    <a:prstGeom prst="rect">
                      <a:avLst/>
                    </a:prstGeom>
                    <a:noFill/>
                    <a:ln>
                      <a:noFill/>
                    </a:ln>
                  </pic:spPr>
                </pic:pic>
              </a:graphicData>
            </a:graphic>
          </wp:inline>
        </w:drawing>
      </w:r>
    </w:p>
    <w:p w:rsidR="00335E4B" w:rsidRPr="00335E4B" w:rsidRDefault="00335E4B" w:rsidP="0071421D">
      <w:pPr>
        <w:tabs>
          <w:tab w:val="left" w:pos="1247"/>
          <w:tab w:val="left" w:pos="1814"/>
          <w:tab w:val="left" w:pos="2381"/>
          <w:tab w:val="left" w:pos="2948"/>
          <w:tab w:val="left" w:pos="3515"/>
        </w:tabs>
        <w:spacing w:before="120" w:after="120" w:line="400" w:lineRule="exact"/>
        <w:jc w:val="both"/>
        <w:rPr>
          <w:rFonts w:ascii="Traditional Arabic" w:hAnsi="Traditional Arabic" w:cs="Traditional Arabic"/>
          <w:bCs/>
          <w:i/>
          <w:noProof/>
          <w:sz w:val="20"/>
          <w:szCs w:val="24"/>
          <w:rtl/>
        </w:rPr>
      </w:pPr>
      <w:r w:rsidRPr="0071421D">
        <w:rPr>
          <w:rFonts w:ascii="Traditional Arabic" w:hAnsi="Traditional Arabic" w:cs="Traditional Arabic" w:hint="cs"/>
          <w:bCs/>
          <w:i/>
          <w:noProof/>
          <w:sz w:val="30"/>
          <w:szCs w:val="30"/>
          <w:rtl/>
        </w:rPr>
        <w:t>الشكل 6-4</w:t>
      </w:r>
      <w:r w:rsidR="0071522F" w:rsidRPr="0071421D">
        <w:rPr>
          <w:rFonts w:ascii="Traditional Arabic" w:hAnsi="Traditional Arabic" w:cs="Traditional Arabic" w:hint="cs"/>
          <w:bCs/>
          <w:i/>
          <w:noProof/>
          <w:sz w:val="30"/>
          <w:szCs w:val="30"/>
          <w:rtl/>
        </w:rPr>
        <w:t>.</w:t>
      </w:r>
      <w:r w:rsidRPr="0071421D">
        <w:rPr>
          <w:rFonts w:ascii="Traditional Arabic" w:hAnsi="Traditional Arabic" w:cs="Traditional Arabic" w:hint="cs"/>
          <w:bCs/>
          <w:i/>
          <w:noProof/>
          <w:sz w:val="30"/>
          <w:szCs w:val="30"/>
          <w:rtl/>
        </w:rPr>
        <w:t xml:space="preserve"> دورة الزئبق الخارجية في منشأة لإنتاج كريات الكلنكر مع أخذ إعادة تدوير غبار المرشح وإزالته في الاعتبار، استناداً إلى</w:t>
      </w:r>
      <w:r w:rsidRPr="00335E4B">
        <w:rPr>
          <w:rFonts w:ascii="Traditional Arabic" w:hAnsi="Traditional Arabic" w:cs="Traditional Arabic" w:hint="cs"/>
          <w:bCs/>
          <w:i/>
          <w:noProof/>
          <w:sz w:val="20"/>
          <w:szCs w:val="24"/>
          <w:rtl/>
        </w:rPr>
        <w:t xml:space="preserve"> </w:t>
      </w:r>
      <w:r w:rsidRPr="0071421D">
        <w:rPr>
          <w:rFonts w:asciiTheme="majorBidi" w:hAnsiTheme="majorBidi" w:cstheme="majorBidi"/>
          <w:bCs/>
          <w:i/>
          <w:noProof/>
          <w:sz w:val="20"/>
          <w:szCs w:val="20"/>
          <w:rtl/>
        </w:rPr>
        <w:t>(</w:t>
      </w:r>
      <w:r w:rsidRPr="0071421D">
        <w:rPr>
          <w:rFonts w:asciiTheme="majorBidi" w:hAnsiTheme="majorBidi" w:cstheme="majorBidi"/>
          <w:b/>
          <w:iCs/>
          <w:noProof/>
          <w:sz w:val="20"/>
          <w:szCs w:val="20"/>
        </w:rPr>
        <w:t>Sikkema et al., 2011</w:t>
      </w:r>
      <w:r w:rsidRPr="0071421D">
        <w:rPr>
          <w:rFonts w:asciiTheme="majorBidi" w:hAnsiTheme="majorBidi" w:cstheme="majorBidi"/>
          <w:bCs/>
          <w:i/>
          <w:noProof/>
          <w:sz w:val="20"/>
          <w:szCs w:val="20"/>
          <w:rtl/>
        </w:rPr>
        <w:t>)</w:t>
      </w:r>
    </w:p>
    <w:p w:rsidR="00335E4B" w:rsidRPr="00335E4B" w:rsidRDefault="00335E4B" w:rsidP="0071421D">
      <w:pPr>
        <w:spacing w:after="120" w:line="400" w:lineRule="exact"/>
        <w:jc w:val="both"/>
        <w:rPr>
          <w:rFonts w:cs="Traditional Arabic"/>
          <w:sz w:val="30"/>
          <w:szCs w:val="30"/>
          <w:rtl/>
          <w:lang w:val="en-GB"/>
        </w:rPr>
      </w:pPr>
      <w:r w:rsidRPr="00335E4B">
        <w:rPr>
          <w:rFonts w:cs="Traditional Arabic" w:hint="cs"/>
          <w:sz w:val="30"/>
          <w:szCs w:val="30"/>
          <w:rtl/>
          <w:lang w:val="en-GB"/>
        </w:rPr>
        <w:t>ويتميز الغاز المتصاعد من جهاز التسخين المسبق بمحتوى غبار خاص بالكلنكر يتراوح من 5 إلى 10 في المائة، أي 50 إلى 100 غم من الغبار لكل كيلوغرام من كريات الكلنكر. وتتميز المنشآت الحديثة بدوامات حلزونية علوية أكثر كفاءةً. وفي هذه الحالات يبلغ محتوى الغبار الخاص بكريات الكلنكر أقل من 5 في المائة. بيد أنه بعد جهاز التسخين المسبق مباشرةً تظل معظم أشكال الزئبق في الطور الغازي بالكامل تقريباً وغير مرتبطة بالجسيمات. وتستعاد حرارة غاز المداخن بشكل إضافي من خلال التبادل الحراري، أي من خلال مرورها عبر طاحونة المواد الخام لتجفيف الدقيق الخام. وفي كل النظم الحديثة تقريباً التي تحتوي على طاحونة بأسطوانات دوارة لا يتم تكييف الغاز قبل طاحونة المواد الخام، كما أن المياه تُرش في طاحونة المواد الخام للتحكم في درجة الحرارة عند المخرج. أما في النظم المحتوية على طواحين بالكرات فإن المياه تُرش أحياناً للتحكم في درجة الحرارة عند المخرج في الطاحونة، ولكن يتم في الغالب تعديل كمية الغاز الحار المتجه إلى طاحونة المواد الخام للتحكم في درجة الحرارة عند المخرج بينما يحوَّل باقي الغاز متجاوزاً الطاحونة، ليمر في الغالب عبر برج تكييف قبل المرشح (أو يقترن مع غاز الطاحونة عند المخرج قبل أن يتجه إلى المرشح). ويستخدم حقن المياه في برج التكييف دائماً بشكل مباشر (عند العمل مع وقف تشغيل طاحونة المواد الخام).</w:t>
      </w:r>
    </w:p>
    <w:p w:rsidR="00335E4B" w:rsidRPr="00335E4B" w:rsidRDefault="00335E4B" w:rsidP="0071421D">
      <w:pPr>
        <w:spacing w:after="120" w:line="400" w:lineRule="exact"/>
        <w:jc w:val="both"/>
        <w:rPr>
          <w:rFonts w:cs="Traditional Arabic"/>
          <w:sz w:val="30"/>
          <w:szCs w:val="30"/>
          <w:rtl/>
          <w:lang w:val="en-GB"/>
        </w:rPr>
      </w:pPr>
      <w:r w:rsidRPr="00335E4B">
        <w:rPr>
          <w:rFonts w:cs="Traditional Arabic" w:hint="cs"/>
          <w:sz w:val="30"/>
          <w:szCs w:val="30"/>
          <w:rtl/>
          <w:lang w:val="en-GB"/>
        </w:rPr>
        <w:t>ويؤدي التبريد في طاحونة المواد الخام أو برج التكييف إلى أول تحول كبير لأشكال الزئبق من الطور الغازي إلى جسيمات الغبار. وتنتج كمية صغيرة من الغبار أيضاً من برج التكييف.</w:t>
      </w:r>
    </w:p>
    <w:p w:rsidR="00335E4B" w:rsidRPr="00335E4B" w:rsidRDefault="00335E4B" w:rsidP="0071421D">
      <w:pPr>
        <w:spacing w:after="240" w:line="400" w:lineRule="exact"/>
        <w:jc w:val="both"/>
        <w:rPr>
          <w:rFonts w:cs="Traditional Arabic"/>
          <w:sz w:val="30"/>
          <w:szCs w:val="30"/>
          <w:lang w:val="en-GB"/>
        </w:rPr>
      </w:pPr>
      <w:r w:rsidRPr="00335E4B">
        <w:rPr>
          <w:rFonts w:cs="Traditional Arabic" w:hint="cs"/>
          <w:sz w:val="30"/>
          <w:szCs w:val="30"/>
          <w:rtl/>
          <w:lang w:val="en-GB"/>
        </w:rPr>
        <w:t xml:space="preserve">ويحدث التبادل الحراري للغاز في طاحونة المواد الخام ومن ثم تنخفض درجة حرارة الغاز أكثر. وفي المدى الحراري من صفر درجة مئوية إلى 400مْ اتضح أن ضغط البخار يزداد بصورة أسية. وينطبق ذلك أيضاً على المدى الحراري الذي تعمل فيه مرشحات الغبار </w:t>
      </w:r>
      <w:r w:rsidR="0071421D">
        <w:rPr>
          <w:rFonts w:cs="Traditional Arabic" w:hint="cs"/>
          <w:sz w:val="30"/>
          <w:szCs w:val="30"/>
          <w:rtl/>
          <w:lang w:val="en-GB"/>
        </w:rPr>
        <w:t>-</w:t>
      </w:r>
      <w:r w:rsidRPr="00335E4B">
        <w:rPr>
          <w:rFonts w:cs="Traditional Arabic" w:hint="cs"/>
          <w:sz w:val="30"/>
          <w:szCs w:val="30"/>
          <w:rtl/>
          <w:lang w:val="en-GB"/>
        </w:rPr>
        <w:t xml:space="preserve"> من 90مْ إلى 190مْ تقريباً (الشكل 6-5).</w:t>
      </w:r>
    </w:p>
    <w:p w:rsidR="00335E4B" w:rsidRPr="00335E4B" w:rsidRDefault="00335E4B" w:rsidP="00335E4B">
      <w:pPr>
        <w:tabs>
          <w:tab w:val="left" w:pos="1247"/>
          <w:tab w:val="left" w:pos="1814"/>
          <w:tab w:val="left" w:pos="2381"/>
          <w:tab w:val="left" w:pos="2948"/>
          <w:tab w:val="left" w:pos="3515"/>
        </w:tabs>
        <w:spacing w:before="120" w:after="100" w:afterAutospacing="1" w:line="276" w:lineRule="auto"/>
        <w:jc w:val="center"/>
        <w:rPr>
          <w:rFonts w:cs="Times New Roman"/>
          <w:b/>
          <w:bCs/>
          <w:noProof/>
          <w:sz w:val="32"/>
          <w:szCs w:val="32"/>
        </w:rPr>
      </w:pPr>
      <w:r>
        <w:rPr>
          <w:rFonts w:cs="Times New Roman"/>
          <w:noProof/>
          <w:sz w:val="20"/>
          <w:szCs w:val="22"/>
          <w:lang w:val="en-GB" w:eastAsia="zh-CN"/>
        </w:rPr>
        <w:drawing>
          <wp:inline distT="0" distB="0" distL="0" distR="0" wp14:anchorId="32232012" wp14:editId="0892172D">
            <wp:extent cx="3607435" cy="26092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07435" cy="2609215"/>
                    </a:xfrm>
                    <a:prstGeom prst="rect">
                      <a:avLst/>
                    </a:prstGeom>
                    <a:noFill/>
                    <a:ln>
                      <a:noFill/>
                    </a:ln>
                  </pic:spPr>
                </pic:pic>
              </a:graphicData>
            </a:graphic>
          </wp:inline>
        </w:drawing>
      </w:r>
    </w:p>
    <w:p w:rsidR="00335E4B" w:rsidRPr="00335E4B" w:rsidRDefault="00335E4B" w:rsidP="0071421D">
      <w:pPr>
        <w:tabs>
          <w:tab w:val="left" w:pos="1247"/>
          <w:tab w:val="left" w:pos="1814"/>
          <w:tab w:val="left" w:pos="2381"/>
          <w:tab w:val="left" w:pos="2948"/>
          <w:tab w:val="left" w:pos="3515"/>
        </w:tabs>
        <w:spacing w:before="120" w:after="120" w:line="276" w:lineRule="auto"/>
        <w:jc w:val="both"/>
        <w:rPr>
          <w:rFonts w:ascii="Traditional Arabic" w:hAnsi="Traditional Arabic" w:cs="Traditional Arabic"/>
          <w:bCs/>
          <w:i/>
          <w:noProof/>
          <w:sz w:val="20"/>
          <w:szCs w:val="24"/>
          <w:rtl/>
        </w:rPr>
      </w:pPr>
      <w:r w:rsidRPr="0071421D">
        <w:rPr>
          <w:rFonts w:ascii="Traditional Arabic" w:hAnsi="Traditional Arabic" w:cs="Traditional Arabic" w:hint="cs"/>
          <w:bCs/>
          <w:i/>
          <w:noProof/>
          <w:sz w:val="30"/>
          <w:szCs w:val="30"/>
          <w:rtl/>
        </w:rPr>
        <w:t>الشكل 6-5</w:t>
      </w:r>
      <w:r w:rsidR="0071421D">
        <w:rPr>
          <w:rFonts w:ascii="Traditional Arabic" w:hAnsi="Traditional Arabic" w:cs="Traditional Arabic" w:hint="cs"/>
          <w:bCs/>
          <w:i/>
          <w:noProof/>
          <w:sz w:val="30"/>
          <w:szCs w:val="30"/>
          <w:rtl/>
        </w:rPr>
        <w:t>-</w:t>
      </w:r>
      <w:r w:rsidRPr="0071421D">
        <w:rPr>
          <w:rFonts w:ascii="Traditional Arabic" w:hAnsi="Traditional Arabic" w:cs="Traditional Arabic" w:hint="cs"/>
          <w:bCs/>
          <w:i/>
          <w:noProof/>
          <w:sz w:val="30"/>
          <w:szCs w:val="30"/>
          <w:rtl/>
        </w:rPr>
        <w:t xml:space="preserve"> اعتماد ضغط بخار الزئبق النقي وثاني كلوريد الزئبق على درجة الحرارة بين 90مْ و190مْ </w:t>
      </w:r>
      <w:r w:rsidRPr="0071421D">
        <w:rPr>
          <w:rFonts w:asciiTheme="majorBidi" w:hAnsiTheme="majorBidi" w:cstheme="majorBidi"/>
          <w:bCs/>
          <w:i/>
          <w:noProof/>
          <w:sz w:val="20"/>
          <w:szCs w:val="20"/>
          <w:rtl/>
        </w:rPr>
        <w:t>(</w:t>
      </w:r>
      <w:r w:rsidRPr="0071421D">
        <w:rPr>
          <w:rFonts w:asciiTheme="majorBidi" w:hAnsiTheme="majorBidi" w:cstheme="majorBidi"/>
          <w:b/>
          <w:iCs/>
          <w:noProof/>
          <w:sz w:val="20"/>
          <w:szCs w:val="20"/>
        </w:rPr>
        <w:t>Schoenberger, 2015</w:t>
      </w:r>
      <w:r w:rsidRPr="0071421D">
        <w:rPr>
          <w:rFonts w:asciiTheme="majorBidi" w:hAnsiTheme="majorBidi" w:cstheme="majorBidi"/>
          <w:bCs/>
          <w:i/>
          <w:noProof/>
          <w:sz w:val="20"/>
          <w:szCs w:val="20"/>
          <w:rtl/>
        </w:rPr>
        <w:t>)</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 xml:space="preserve">وبالنظر إلى المنحنى يبدو منطقياً أن تقليل درجة حرارة غاز المداخن إلى أدنى حد سيؤدي إلى ارتفاع نسبة الزئبق المرتبط بالجسيمات الذي يمكن إزالته في مرشح الغبار. وفي ظروف الإزالة المثلى تزال جسيمات الغبار بكمية كبيرة جداً. ولذلك عندما تنخفض درجة حرارة غاز المداخن إلى أقل من 130مْ تصل كفاءة إزالة الزئبق إلى أكثر من 90 في المائة </w:t>
      </w:r>
      <w:r w:rsidRPr="0071421D">
        <w:rPr>
          <w:rFonts w:asciiTheme="majorBidi" w:hAnsiTheme="majorBidi" w:cstheme="majorBidi"/>
          <w:sz w:val="20"/>
          <w:szCs w:val="20"/>
          <w:rtl/>
          <w:lang w:val="en-GB"/>
        </w:rPr>
        <w:t>(</w:t>
      </w:r>
      <w:r w:rsidRPr="0071421D">
        <w:rPr>
          <w:rFonts w:asciiTheme="majorBidi" w:hAnsiTheme="majorBidi" w:cstheme="majorBidi"/>
          <w:noProof/>
          <w:sz w:val="20"/>
          <w:szCs w:val="20"/>
        </w:rPr>
        <w:t>Kirchartz, 1994, p 79; Oerter, 2007; Hoenig, 2013; ECRA, 2013</w:t>
      </w:r>
      <w:r w:rsidRPr="0071421D">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وفي وضع التشغيل المركب (عند تشغيل طاحونة المواد الخام) يمر الغاز العادم عبر طاحونة المواد الخام بهدف تجفيف المواد الخام. وفي الغالبية العظمى من الحالات توجد عادةً تحويلة لبعض غازات جهاز التسخين المسبق حول طاحونة المواد الخام وهذه الغازات قد لا تخضع للتبريد إلى نفس الدرجة قبل أن تمتزج بالغاز العادم من طاحونة المواد الخام قبل المرشح.</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ومن المستودع، ومع الدقيق الخام، يعود الزئبق إلى جهاز التسخين المسبق حيث يتطاير مرةً أخرى ويزال مرةً أخرى أيضاً. وعلى هذه النحو تتشكل الدورة. ولذلك فإن المستودع يعمل كحيز فاصل كبير وخزان ويحتوى على الجزء الرئيسي من إجمالي الزئبق الموجود في كامل النظام في أي وقت من الأوقات (انظر الشكل 6-4).</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وفي حالة التشغيل المباشر يمر الغاز من جهاز التسخين المسبق بشكل كامل عبر برج التكييف، وليس طاحونة المواد الخام، ويتجه إلى مرشح الغبار، وهناك لا يخضع الغاز للتبريد إلى نفس الدرجة مقارنةً بوضع التشغيل المركب. ووفقاً لذلك فمن ناحية نجد أن غبار جهاز التسخين المسبق (مع محتواه من الزئبق) لا يتعرض للتخفيف بالدقيق الخام، ومن الناحية الأخرى نجد أن درجة حرارة الغاز (غاز المداخن) أعلى نظراً لعدم حدوث تبادل حراري في طاحونة المواد الخام.</w:t>
      </w:r>
    </w:p>
    <w:p w:rsidR="00335E4B" w:rsidRPr="00335E4B" w:rsidRDefault="00335E4B" w:rsidP="0071421D">
      <w:pPr>
        <w:spacing w:after="120" w:line="400" w:lineRule="exact"/>
        <w:jc w:val="both"/>
        <w:rPr>
          <w:rFonts w:cs="Traditional Arabic"/>
          <w:sz w:val="30"/>
          <w:szCs w:val="30"/>
          <w:rtl/>
          <w:lang w:val="en-GB"/>
        </w:rPr>
      </w:pPr>
      <w:r w:rsidRPr="00335E4B">
        <w:rPr>
          <w:rFonts w:cs="Traditional Arabic" w:hint="cs"/>
          <w:sz w:val="30"/>
          <w:szCs w:val="30"/>
          <w:rtl/>
          <w:lang w:val="en-GB"/>
        </w:rPr>
        <w:t>وقد دُرست العلاقة بين الدورة الخارجية، وتراكم الزئبق، وتأثير درجة حرارة غاز المداخن، وطريقتي التشغيل، وقُدمت بشكل</w:t>
      </w:r>
      <w:r w:rsidR="0071421D">
        <w:rPr>
          <w:rFonts w:cs="Traditional Arabic" w:hint="eastAsia"/>
          <w:sz w:val="30"/>
          <w:szCs w:val="30"/>
          <w:rtl/>
          <w:lang w:val="en-GB"/>
        </w:rPr>
        <w:t> </w:t>
      </w:r>
      <w:r w:rsidRPr="00335E4B">
        <w:rPr>
          <w:rFonts w:cs="Traditional Arabic" w:hint="cs"/>
          <w:sz w:val="30"/>
          <w:szCs w:val="30"/>
          <w:rtl/>
          <w:lang w:val="en-GB"/>
        </w:rPr>
        <w:t xml:space="preserve">شامل لأول مرة في عام 2001 </w:t>
      </w:r>
      <w:r w:rsidRPr="0071421D">
        <w:rPr>
          <w:rFonts w:asciiTheme="majorBidi" w:hAnsiTheme="majorBidi" w:cstheme="majorBidi"/>
          <w:sz w:val="20"/>
          <w:szCs w:val="20"/>
          <w:rtl/>
          <w:lang w:val="en-GB"/>
        </w:rPr>
        <w:t>(</w:t>
      </w:r>
      <w:r w:rsidRPr="0071421D">
        <w:rPr>
          <w:rFonts w:asciiTheme="majorBidi" w:hAnsiTheme="majorBidi" w:cstheme="majorBidi"/>
          <w:noProof/>
          <w:sz w:val="20"/>
          <w:szCs w:val="20"/>
        </w:rPr>
        <w:t>Schäfer/Hoenig, 2001</w:t>
      </w:r>
      <w:r w:rsidRPr="0071421D">
        <w:rPr>
          <w:rFonts w:asciiTheme="majorBidi" w:hAnsiTheme="majorBidi" w:cstheme="majorBidi"/>
          <w:sz w:val="20"/>
          <w:szCs w:val="20"/>
          <w:rtl/>
          <w:lang w:val="en-GB"/>
        </w:rPr>
        <w:t>)</w:t>
      </w:r>
      <w:r w:rsidRPr="00335E4B">
        <w:rPr>
          <w:rFonts w:cs="Traditional Arabic" w:hint="cs"/>
          <w:sz w:val="30"/>
          <w:szCs w:val="30"/>
          <w:rtl/>
          <w:lang w:val="en-GB"/>
        </w:rPr>
        <w:t xml:space="preserve">. وأعيد نشر الأشكال الواردة في هذا المؤلف عدة مرات </w:t>
      </w:r>
      <w:r w:rsidRPr="0071421D">
        <w:rPr>
          <w:rFonts w:asciiTheme="majorBidi" w:hAnsiTheme="majorBidi" w:cstheme="majorBidi"/>
          <w:sz w:val="20"/>
          <w:szCs w:val="20"/>
          <w:rtl/>
          <w:lang w:val="en-GB"/>
        </w:rPr>
        <w:t>(</w:t>
      </w:r>
      <w:r w:rsidRPr="0071421D">
        <w:rPr>
          <w:rFonts w:asciiTheme="majorBidi" w:hAnsiTheme="majorBidi" w:cstheme="majorBidi"/>
          <w:noProof/>
          <w:sz w:val="20"/>
          <w:szCs w:val="20"/>
        </w:rPr>
        <w:t>VDZ Activity Report, 2002; Oerter, 2007; Renzoni et al., 2010; Oerter/Zunzer, 2011; Hoenig, 2013; ECRA, 2013</w:t>
      </w:r>
      <w:r w:rsidRPr="0071421D">
        <w:rPr>
          <w:rFonts w:asciiTheme="majorBidi" w:hAnsiTheme="majorBidi" w:cstheme="majorBidi"/>
          <w:sz w:val="20"/>
          <w:szCs w:val="20"/>
          <w:rtl/>
          <w:lang w:val="en-GB"/>
        </w:rPr>
        <w:t>)</w:t>
      </w:r>
      <w:r w:rsidRPr="00335E4B">
        <w:rPr>
          <w:rFonts w:cs="Traditional Arabic" w:hint="cs"/>
          <w:sz w:val="30"/>
          <w:szCs w:val="30"/>
          <w:rtl/>
          <w:lang w:val="en-GB"/>
        </w:rPr>
        <w:t>. ويبين الشكل 6-6 أحد هذه المخططات للتشغيل مع إعادة تدوير غبار المرشح المزال، أي عبر فترة قدرها أسبوع واحد مع منحنى انبعاثات الزئبق (تُحدد القيم بشكل مستمر)، ودرجات حرارة غاز المداخن ذي الصلة، والفترات الزمنية لطريقتي التشغيل المركب والتشغيل المباشر.</w:t>
      </w:r>
    </w:p>
    <w:p w:rsidR="00335E4B" w:rsidRPr="00335E4B" w:rsidRDefault="00335E4B" w:rsidP="00335E4B">
      <w:pPr>
        <w:tabs>
          <w:tab w:val="left" w:pos="1247"/>
          <w:tab w:val="left" w:pos="1814"/>
          <w:tab w:val="left" w:pos="2381"/>
          <w:tab w:val="left" w:pos="2948"/>
          <w:tab w:val="left" w:pos="3515"/>
        </w:tabs>
        <w:spacing w:before="120" w:after="100" w:afterAutospacing="1" w:line="276" w:lineRule="auto"/>
        <w:jc w:val="center"/>
        <w:rPr>
          <w:rFonts w:cs="Times New Roman"/>
          <w:b/>
          <w:bCs/>
          <w:noProof/>
          <w:sz w:val="32"/>
          <w:szCs w:val="32"/>
        </w:rPr>
      </w:pPr>
      <w:r>
        <w:rPr>
          <w:rFonts w:cs="Times New Roman"/>
          <w:noProof/>
          <w:sz w:val="20"/>
          <w:szCs w:val="22"/>
          <w:lang w:val="en-GB" w:eastAsia="zh-CN"/>
        </w:rPr>
        <w:drawing>
          <wp:inline distT="0" distB="0" distL="0" distR="0" wp14:anchorId="678FDB82" wp14:editId="14E4F2FB">
            <wp:extent cx="3934460" cy="208915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34460" cy="2089150"/>
                    </a:xfrm>
                    <a:prstGeom prst="rect">
                      <a:avLst/>
                    </a:prstGeom>
                    <a:noFill/>
                    <a:ln>
                      <a:noFill/>
                    </a:ln>
                  </pic:spPr>
                </pic:pic>
              </a:graphicData>
            </a:graphic>
          </wp:inline>
        </w:drawing>
      </w:r>
      <w:r w:rsidRPr="00335E4B">
        <w:rPr>
          <w:rFonts w:cs="Times New Roman"/>
          <w:b/>
          <w:bCs/>
          <w:noProof/>
          <w:sz w:val="32"/>
          <w:szCs w:val="32"/>
          <w:rtl/>
        </w:rPr>
        <w:t xml:space="preserve"> </w:t>
      </w:r>
    </w:p>
    <w:p w:rsidR="00335E4B" w:rsidRPr="0071421D" w:rsidRDefault="00335E4B" w:rsidP="0071522F">
      <w:pPr>
        <w:tabs>
          <w:tab w:val="left" w:pos="1247"/>
          <w:tab w:val="left" w:pos="1814"/>
          <w:tab w:val="left" w:pos="2381"/>
          <w:tab w:val="left" w:pos="2948"/>
          <w:tab w:val="left" w:pos="3515"/>
        </w:tabs>
        <w:spacing w:after="120" w:line="320" w:lineRule="exact"/>
        <w:rPr>
          <w:rFonts w:ascii="Traditional Arabic" w:hAnsi="Traditional Arabic" w:cs="Traditional Arabic"/>
          <w:bCs/>
          <w:iCs/>
          <w:noProof/>
          <w:sz w:val="20"/>
          <w:szCs w:val="24"/>
        </w:rPr>
      </w:pPr>
      <w:r w:rsidRPr="0071421D">
        <w:rPr>
          <w:rFonts w:ascii="Traditional Arabic" w:hAnsi="Traditional Arabic" w:cs="Traditional Arabic" w:hint="cs"/>
          <w:bCs/>
          <w:i/>
          <w:noProof/>
          <w:sz w:val="30"/>
          <w:szCs w:val="30"/>
          <w:rtl/>
        </w:rPr>
        <w:t>الشكل 6-6</w:t>
      </w:r>
      <w:r w:rsidR="0071522F" w:rsidRPr="0071421D">
        <w:rPr>
          <w:rFonts w:ascii="Traditional Arabic" w:hAnsi="Traditional Arabic" w:cs="Traditional Arabic" w:hint="cs"/>
          <w:bCs/>
          <w:i/>
          <w:noProof/>
          <w:sz w:val="30"/>
          <w:szCs w:val="30"/>
          <w:rtl/>
        </w:rPr>
        <w:t>.</w:t>
      </w:r>
      <w:r w:rsidRPr="0071421D">
        <w:rPr>
          <w:rFonts w:ascii="Traditional Arabic" w:hAnsi="Traditional Arabic" w:cs="Traditional Arabic" w:hint="cs"/>
          <w:bCs/>
          <w:i/>
          <w:noProof/>
          <w:sz w:val="30"/>
          <w:szCs w:val="30"/>
          <w:rtl/>
        </w:rPr>
        <w:t xml:space="preserve"> انبعاثات الزئبق من فرن دوار جاف لإنتاج كريات الكلنكر بدون إعادة تدوير غبار المرشح لمدة أسبوع واحد مع بيان درجة حرارة غاز المداخن بعد جهاز الترسيب الكهروستاتيكي (درجة حرارة الغاز النظيف) والفترات الزمنية للعمل مع تشغيل طاحونة المواد الخام، استناداً إلى</w:t>
      </w:r>
      <w:r w:rsidRPr="00335E4B">
        <w:rPr>
          <w:rFonts w:ascii="Traditional Arabic" w:hAnsi="Traditional Arabic" w:cs="Traditional Arabic" w:hint="cs"/>
          <w:bCs/>
          <w:i/>
          <w:noProof/>
          <w:sz w:val="20"/>
          <w:szCs w:val="24"/>
          <w:rtl/>
        </w:rPr>
        <w:t xml:space="preserve"> </w:t>
      </w:r>
      <w:r w:rsidRPr="0071421D">
        <w:rPr>
          <w:rFonts w:asciiTheme="majorBidi" w:hAnsiTheme="majorBidi" w:cstheme="majorBidi"/>
          <w:bCs/>
          <w:i/>
          <w:noProof/>
          <w:sz w:val="20"/>
          <w:szCs w:val="20"/>
          <w:rtl/>
        </w:rPr>
        <w:t>(</w:t>
      </w:r>
      <w:r w:rsidRPr="0071421D">
        <w:rPr>
          <w:rFonts w:asciiTheme="majorBidi" w:hAnsiTheme="majorBidi" w:cstheme="majorBidi"/>
          <w:b/>
          <w:iCs/>
          <w:noProof/>
          <w:sz w:val="20"/>
          <w:szCs w:val="20"/>
        </w:rPr>
        <w:t>Schäfer/Hoenig, 2001, also quoted in VDZ Activity Report, 2002; Oerter, 2007; Renzoni et al., 2010; Oerter/Zunzer, 2011; Hoenig, 2013; ECRA, 2013</w:t>
      </w:r>
      <w:r w:rsidRPr="0071421D">
        <w:rPr>
          <w:rFonts w:asciiTheme="majorBidi" w:hAnsiTheme="majorBidi" w:cstheme="majorBidi"/>
          <w:bCs/>
          <w:i/>
          <w:noProof/>
          <w:sz w:val="20"/>
          <w:szCs w:val="20"/>
          <w:rtl/>
        </w:rPr>
        <w:t>)</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وقد اتضح بجلاء أن درجة حرارة غاز المداخن والانبعاثات تكون أعلى في طريقة التشغيل المباشر. ويعود ذلك أيضاً إلى تراكم الزئبق في الدورة الخارجية أثناء طريقة التشغيل المركب. وبلغت النسبة الزمنية في طريقة التشغيل المباشر زهاء 26 في المائة. ويرتبط الجزء الأقصر من طريقة التشغيل المباشر في الغالب مع عوامل تراكم أعلى. ويبين المثال من عام 2001 بوضوح أن انبعاثات الزئبق أعلى أثناء طريقة التشغيل المباشر لكن الفرق أقل من المعامل 2، بينما أبلغ عن عوامل أعلى بكثير من منشآت أخرى: حتى المعامل 400 </w:t>
      </w:r>
      <w:r w:rsidRPr="0071421D">
        <w:rPr>
          <w:rFonts w:asciiTheme="majorBidi" w:hAnsiTheme="majorBidi" w:cstheme="majorBidi"/>
          <w:sz w:val="20"/>
          <w:szCs w:val="20"/>
          <w:rtl/>
          <w:lang w:val="en-GB"/>
        </w:rPr>
        <w:t>(</w:t>
      </w:r>
      <w:r w:rsidRPr="0071421D">
        <w:rPr>
          <w:rFonts w:asciiTheme="majorBidi" w:hAnsiTheme="majorBidi" w:cstheme="majorBidi"/>
          <w:noProof/>
          <w:sz w:val="20"/>
          <w:szCs w:val="20"/>
        </w:rPr>
        <w:t>Linero, 2011</w:t>
      </w:r>
      <w:r w:rsidRPr="0071421D">
        <w:rPr>
          <w:rFonts w:asciiTheme="majorBidi" w:hAnsiTheme="majorBidi" w:cstheme="majorBidi"/>
          <w:sz w:val="20"/>
          <w:szCs w:val="20"/>
          <w:rtl/>
          <w:lang w:val="en-GB"/>
        </w:rPr>
        <w:t>)</w:t>
      </w:r>
      <w:r w:rsidRPr="00335E4B">
        <w:rPr>
          <w:rFonts w:cs="Traditional Arabic" w:hint="cs"/>
          <w:sz w:val="30"/>
          <w:szCs w:val="30"/>
          <w:rtl/>
          <w:lang w:val="en-GB"/>
        </w:rPr>
        <w:t>.</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وتعود أسباب العوامل المختلفة لما يلي:</w:t>
      </w:r>
    </w:p>
    <w:p w:rsidR="00335E4B" w:rsidRPr="00335E4B" w:rsidRDefault="00335E4B" w:rsidP="00335E4B">
      <w:pPr>
        <w:numPr>
          <w:ilvl w:val="0"/>
          <w:numId w:val="35"/>
        </w:numPr>
        <w:spacing w:line="400" w:lineRule="exact"/>
        <w:ind w:left="652" w:hanging="357"/>
        <w:jc w:val="both"/>
        <w:rPr>
          <w:rFonts w:cs="Traditional Arabic"/>
          <w:sz w:val="30"/>
          <w:szCs w:val="30"/>
          <w:lang w:val="en-GB"/>
        </w:rPr>
      </w:pPr>
      <w:r w:rsidRPr="00335E4B">
        <w:rPr>
          <w:rFonts w:cs="Traditional Arabic" w:hint="cs"/>
          <w:sz w:val="30"/>
          <w:szCs w:val="30"/>
          <w:rtl/>
          <w:lang w:val="en-GB"/>
        </w:rPr>
        <w:t xml:space="preserve">محتوى الغبار في الغاز المتصاعد من جهاز التسخين المسبق: الدوامات الحلزونية الجديدة أو المعدلة في جهاز التسخين المسبق تقود إلى محتويات غبار منخفضة، ولذلك فإنه بعد الترسب عند درجات حرارة منخفضة يصبح تركيز الزئبق في الغبار عالياً. </w:t>
      </w:r>
    </w:p>
    <w:p w:rsidR="00335E4B" w:rsidRPr="00335E4B" w:rsidRDefault="00335E4B" w:rsidP="00335E4B">
      <w:pPr>
        <w:numPr>
          <w:ilvl w:val="0"/>
          <w:numId w:val="35"/>
        </w:numPr>
        <w:spacing w:line="400" w:lineRule="exact"/>
        <w:ind w:left="652" w:hanging="357"/>
        <w:jc w:val="both"/>
        <w:rPr>
          <w:rFonts w:cs="Traditional Arabic"/>
          <w:sz w:val="30"/>
          <w:szCs w:val="30"/>
          <w:lang w:val="en-GB"/>
        </w:rPr>
      </w:pPr>
      <w:r w:rsidRPr="00335E4B">
        <w:rPr>
          <w:rFonts w:cs="Traditional Arabic" w:hint="cs"/>
          <w:sz w:val="30"/>
          <w:szCs w:val="30"/>
          <w:rtl/>
          <w:lang w:val="en-GB"/>
        </w:rPr>
        <w:t>نسبة التشغيل المركب إلى التشغيل المباشر: تكون هذه النسبة بين 50:50 و10:90. أما في النسب الأعلى فإن الزئبق يمكن أن يتراكم أكثر في الدورة الخارجية، وعليه فإن معامل انبعاثات الزئبق بين التشغيل المركب والتشغيل المباشر يزداد.</w:t>
      </w:r>
    </w:p>
    <w:p w:rsidR="00335E4B" w:rsidRPr="00335E4B" w:rsidRDefault="00335E4B" w:rsidP="00335E4B">
      <w:pPr>
        <w:numPr>
          <w:ilvl w:val="0"/>
          <w:numId w:val="35"/>
        </w:numPr>
        <w:spacing w:line="400" w:lineRule="exact"/>
        <w:ind w:left="652" w:hanging="357"/>
        <w:jc w:val="both"/>
        <w:rPr>
          <w:rFonts w:cs="Traditional Arabic"/>
          <w:sz w:val="30"/>
          <w:szCs w:val="30"/>
          <w:lang w:val="en-GB"/>
        </w:rPr>
      </w:pPr>
      <w:r w:rsidRPr="00335E4B">
        <w:rPr>
          <w:rFonts w:cs="Traditional Arabic" w:hint="cs"/>
          <w:sz w:val="30"/>
          <w:szCs w:val="30"/>
          <w:rtl/>
          <w:lang w:val="en-GB"/>
        </w:rPr>
        <w:t>درجة حرارة غاز المداخن: كلما انخفضت درجة حرارة غاز المداخن انخفض ضغط البخار وازداد ترسب أنواع الزئبق على جسيمات الغبار.</w:t>
      </w:r>
    </w:p>
    <w:p w:rsidR="00335E4B" w:rsidRPr="00335E4B" w:rsidRDefault="00335E4B" w:rsidP="00335E4B">
      <w:pPr>
        <w:numPr>
          <w:ilvl w:val="0"/>
          <w:numId w:val="35"/>
        </w:numPr>
        <w:spacing w:after="120" w:line="400" w:lineRule="exact"/>
        <w:ind w:left="652" w:hanging="357"/>
        <w:jc w:val="both"/>
        <w:rPr>
          <w:rFonts w:cs="Traditional Arabic"/>
          <w:sz w:val="30"/>
          <w:szCs w:val="30"/>
          <w:rtl/>
          <w:lang w:val="en-GB"/>
        </w:rPr>
      </w:pPr>
      <w:r w:rsidRPr="00335E4B">
        <w:rPr>
          <w:rFonts w:cs="Traditional Arabic" w:hint="cs"/>
          <w:sz w:val="30"/>
          <w:szCs w:val="30"/>
          <w:rtl/>
          <w:lang w:val="en-GB"/>
        </w:rPr>
        <w:t>كفاءة الإزالة لمرشح الغبار: في السابق كانت تركيزات الغبار المنبعث تتراوح من 50 إلى 100 ملغم/م</w:t>
      </w:r>
      <w:r w:rsidRPr="00335E4B">
        <w:rPr>
          <w:rFonts w:cs="Traditional Arabic" w:hint="cs"/>
          <w:sz w:val="30"/>
          <w:szCs w:val="30"/>
          <w:vertAlign w:val="superscript"/>
          <w:rtl/>
          <w:lang w:val="en-GB"/>
        </w:rPr>
        <w:t xml:space="preserve">3 </w:t>
      </w:r>
      <w:r w:rsidRPr="00335E4B">
        <w:rPr>
          <w:rFonts w:cs="Traditional Arabic" w:hint="cs"/>
          <w:sz w:val="30"/>
          <w:szCs w:val="30"/>
          <w:rtl/>
          <w:lang w:val="en-GB"/>
        </w:rPr>
        <w:t>عادي. ومنذ أن بدأ استخدام المصافي الكيسية الجيدة التصميم أمكن الوصول لتركيزات غبار أقل من 10، بل أقل من 1 ميليغرام/م</w:t>
      </w:r>
      <w:r w:rsidRPr="00335E4B">
        <w:rPr>
          <w:rFonts w:cs="Traditional Arabic" w:hint="cs"/>
          <w:sz w:val="30"/>
          <w:szCs w:val="30"/>
          <w:vertAlign w:val="superscript"/>
          <w:rtl/>
          <w:lang w:val="en-GB"/>
        </w:rPr>
        <w:t xml:space="preserve">3 </w:t>
      </w:r>
      <w:r w:rsidRPr="00335E4B">
        <w:rPr>
          <w:rFonts w:cs="Traditional Arabic" w:hint="cs"/>
          <w:sz w:val="30"/>
          <w:szCs w:val="30"/>
          <w:rtl/>
          <w:lang w:val="en-GB"/>
        </w:rPr>
        <w:t>عادي. وبالترافق مع درجات الحرارة المنخفضة لغاز المداخن فإن ذلك من شأنه أن يسهم أيضاً في خفض انبعاثات الزئبق.</w:t>
      </w:r>
    </w:p>
    <w:p w:rsidR="00335E4B" w:rsidRPr="00335E4B" w:rsidRDefault="00335E4B" w:rsidP="00335E4B">
      <w:pPr>
        <w:spacing w:after="120" w:line="400" w:lineRule="exact"/>
        <w:jc w:val="both"/>
        <w:rPr>
          <w:rFonts w:cs="Traditional Arabic"/>
          <w:sz w:val="30"/>
          <w:szCs w:val="30"/>
          <w:lang w:val="en-GB"/>
        </w:rPr>
      </w:pPr>
      <w:r w:rsidRPr="00335E4B">
        <w:rPr>
          <w:rFonts w:cs="Traditional Arabic" w:hint="cs"/>
          <w:sz w:val="30"/>
          <w:szCs w:val="30"/>
          <w:rtl/>
          <w:lang w:val="en-GB"/>
        </w:rPr>
        <w:t>وثمة عامل مهم آخر هو إزالة غبار المرشح من خلال صمام وحجم هذه الإزالة. الشكل 6-7 يظهر مخططاً لاستخدام صمام لإزالة غبار المرشح.</w:t>
      </w:r>
    </w:p>
    <w:p w:rsidR="00335E4B" w:rsidRPr="00335E4B" w:rsidRDefault="00335E4B" w:rsidP="00335E4B">
      <w:pPr>
        <w:tabs>
          <w:tab w:val="left" w:pos="1247"/>
          <w:tab w:val="left" w:pos="1814"/>
          <w:tab w:val="left" w:pos="2381"/>
          <w:tab w:val="left" w:pos="2948"/>
          <w:tab w:val="left" w:pos="3515"/>
        </w:tabs>
        <w:spacing w:before="120" w:after="100" w:afterAutospacing="1" w:line="276" w:lineRule="auto"/>
        <w:jc w:val="center"/>
        <w:rPr>
          <w:rFonts w:cs="Times New Roman"/>
          <w:b/>
          <w:bCs/>
          <w:noProof/>
          <w:sz w:val="32"/>
          <w:szCs w:val="32"/>
        </w:rPr>
      </w:pPr>
      <w:r w:rsidRPr="00335E4B">
        <w:rPr>
          <w:rFonts w:cs="Times New Roman"/>
          <w:b/>
          <w:bCs/>
          <w:noProof/>
          <w:sz w:val="32"/>
          <w:szCs w:val="32"/>
          <w:rtl/>
        </w:rPr>
        <w:t xml:space="preserve"> </w:t>
      </w:r>
      <w:r>
        <w:rPr>
          <w:rFonts w:cs="Times New Roman"/>
          <w:noProof/>
          <w:sz w:val="20"/>
          <w:szCs w:val="22"/>
          <w:lang w:val="en-GB" w:eastAsia="zh-CN"/>
        </w:rPr>
        <w:drawing>
          <wp:inline distT="0" distB="0" distL="0" distR="0" wp14:anchorId="2E4A381D" wp14:editId="70577B76">
            <wp:extent cx="3695065" cy="236156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95065" cy="2361565"/>
                    </a:xfrm>
                    <a:prstGeom prst="rect">
                      <a:avLst/>
                    </a:prstGeom>
                    <a:noFill/>
                    <a:ln>
                      <a:noFill/>
                    </a:ln>
                  </pic:spPr>
                </pic:pic>
              </a:graphicData>
            </a:graphic>
          </wp:inline>
        </w:drawing>
      </w:r>
    </w:p>
    <w:p w:rsidR="00335E4B" w:rsidRPr="0071421D" w:rsidRDefault="00335E4B" w:rsidP="0071421D">
      <w:pPr>
        <w:tabs>
          <w:tab w:val="left" w:pos="1247"/>
          <w:tab w:val="left" w:pos="1814"/>
          <w:tab w:val="left" w:pos="2381"/>
          <w:tab w:val="left" w:pos="2948"/>
          <w:tab w:val="left" w:pos="3515"/>
        </w:tabs>
        <w:jc w:val="both"/>
        <w:rPr>
          <w:rFonts w:ascii="Traditional Arabic" w:hAnsi="Traditional Arabic" w:cs="Traditional Arabic"/>
          <w:bCs/>
          <w:iCs/>
          <w:noProof/>
          <w:sz w:val="20"/>
          <w:szCs w:val="24"/>
        </w:rPr>
      </w:pPr>
      <w:r w:rsidRPr="0071421D">
        <w:rPr>
          <w:rFonts w:ascii="Traditional Arabic" w:hAnsi="Traditional Arabic" w:cs="Traditional Arabic" w:hint="cs"/>
          <w:bCs/>
          <w:i/>
          <w:noProof/>
          <w:sz w:val="30"/>
          <w:szCs w:val="30"/>
          <w:rtl/>
        </w:rPr>
        <w:t>الشكل 6-7</w:t>
      </w:r>
      <w:r w:rsidR="0071522F" w:rsidRPr="0071421D">
        <w:rPr>
          <w:rFonts w:ascii="Traditional Arabic" w:hAnsi="Traditional Arabic" w:cs="Traditional Arabic" w:hint="cs"/>
          <w:bCs/>
          <w:i/>
          <w:noProof/>
          <w:sz w:val="30"/>
          <w:szCs w:val="30"/>
          <w:rtl/>
        </w:rPr>
        <w:t>.</w:t>
      </w:r>
      <w:r w:rsidRPr="0071421D">
        <w:rPr>
          <w:rFonts w:ascii="Traditional Arabic" w:hAnsi="Traditional Arabic" w:cs="Traditional Arabic" w:hint="cs"/>
          <w:bCs/>
          <w:i/>
          <w:noProof/>
          <w:sz w:val="30"/>
          <w:szCs w:val="30"/>
          <w:rtl/>
        </w:rPr>
        <w:t xml:space="preserve"> مخطط لتركيب صمام لإزالة غبار المرشح </w:t>
      </w:r>
      <w:r w:rsidRPr="0071421D">
        <w:rPr>
          <w:rFonts w:asciiTheme="majorBidi" w:hAnsiTheme="majorBidi" w:cstheme="majorBidi"/>
          <w:bCs/>
          <w:i/>
          <w:noProof/>
          <w:sz w:val="20"/>
          <w:szCs w:val="20"/>
          <w:rtl/>
        </w:rPr>
        <w:t>(</w:t>
      </w:r>
      <w:r w:rsidRPr="0071421D">
        <w:rPr>
          <w:rFonts w:asciiTheme="majorBidi" w:hAnsiTheme="majorBidi" w:cstheme="majorBidi"/>
          <w:b/>
          <w:iCs/>
          <w:noProof/>
          <w:sz w:val="20"/>
          <w:szCs w:val="20"/>
        </w:rPr>
        <w:t>Waltisberg, 2013</w:t>
      </w:r>
      <w:r w:rsidRPr="0071421D">
        <w:rPr>
          <w:rFonts w:asciiTheme="majorBidi" w:hAnsiTheme="majorBidi" w:cstheme="majorBidi"/>
          <w:bCs/>
          <w:i/>
          <w:noProof/>
          <w:sz w:val="20"/>
          <w:szCs w:val="20"/>
          <w:rtl/>
        </w:rPr>
        <w:t>)</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وبناءً على ذلك فإن انبعاثات الزئبق تصبح أكثر استقراراً وفق ما هو مبين في الشكل 6-8. بيد أن الفترة الزمنية المشار إليها هي فترة قصيرة نسبياً (خمسة أيام) كما أن نسبة التشغيل المركب إلى التشغيل المباشر عالية (12:88) في ذلك الوقت (2001).</w:t>
      </w:r>
    </w:p>
    <w:p w:rsidR="00335E4B" w:rsidRPr="00335E4B" w:rsidRDefault="00335E4B" w:rsidP="00335E4B">
      <w:pPr>
        <w:tabs>
          <w:tab w:val="left" w:pos="1247"/>
          <w:tab w:val="left" w:pos="1814"/>
          <w:tab w:val="left" w:pos="2381"/>
          <w:tab w:val="left" w:pos="2948"/>
          <w:tab w:val="left" w:pos="3515"/>
        </w:tabs>
        <w:spacing w:before="120" w:after="100" w:afterAutospacing="1" w:line="276" w:lineRule="auto"/>
        <w:jc w:val="center"/>
        <w:rPr>
          <w:rFonts w:cs="Times New Roman"/>
          <w:b/>
          <w:bCs/>
          <w:noProof/>
          <w:sz w:val="32"/>
          <w:szCs w:val="32"/>
        </w:rPr>
      </w:pPr>
      <w:r>
        <w:rPr>
          <w:rFonts w:cs="Times New Roman"/>
          <w:noProof/>
          <w:sz w:val="20"/>
          <w:szCs w:val="22"/>
          <w:lang w:val="en-GB" w:eastAsia="zh-CN"/>
        </w:rPr>
        <w:drawing>
          <wp:inline distT="0" distB="0" distL="0" distR="0" wp14:anchorId="67285048" wp14:editId="109CC216">
            <wp:extent cx="3913505"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13505" cy="2286000"/>
                    </a:xfrm>
                    <a:prstGeom prst="rect">
                      <a:avLst/>
                    </a:prstGeom>
                    <a:noFill/>
                    <a:ln>
                      <a:noFill/>
                    </a:ln>
                  </pic:spPr>
                </pic:pic>
              </a:graphicData>
            </a:graphic>
          </wp:inline>
        </w:drawing>
      </w:r>
      <w:r w:rsidRPr="00335E4B">
        <w:rPr>
          <w:rFonts w:cs="Times New Roman"/>
          <w:b/>
          <w:bCs/>
          <w:noProof/>
          <w:sz w:val="32"/>
          <w:szCs w:val="32"/>
          <w:rtl/>
        </w:rPr>
        <w:t xml:space="preserve"> </w:t>
      </w:r>
    </w:p>
    <w:p w:rsidR="00335E4B" w:rsidRPr="0071421D" w:rsidRDefault="00335E4B" w:rsidP="00CC71D8">
      <w:pPr>
        <w:tabs>
          <w:tab w:val="left" w:pos="1247"/>
          <w:tab w:val="left" w:pos="1814"/>
          <w:tab w:val="left" w:pos="2381"/>
          <w:tab w:val="left" w:pos="2948"/>
          <w:tab w:val="left" w:pos="3515"/>
        </w:tabs>
        <w:spacing w:after="120" w:line="360" w:lineRule="exact"/>
        <w:jc w:val="both"/>
        <w:rPr>
          <w:rFonts w:ascii="Traditional Arabic" w:hAnsi="Traditional Arabic" w:cs="Traditional Arabic"/>
          <w:bCs/>
          <w:iCs/>
          <w:noProof/>
          <w:sz w:val="20"/>
          <w:szCs w:val="24"/>
        </w:rPr>
      </w:pPr>
      <w:r w:rsidRPr="0071421D">
        <w:rPr>
          <w:rFonts w:ascii="Traditional Arabic" w:hAnsi="Traditional Arabic" w:cs="Traditional Arabic" w:hint="cs"/>
          <w:bCs/>
          <w:i/>
          <w:noProof/>
          <w:sz w:val="30"/>
          <w:szCs w:val="30"/>
          <w:rtl/>
        </w:rPr>
        <w:t>الشكل 6-8</w:t>
      </w:r>
      <w:r w:rsidR="0071522F" w:rsidRPr="0071421D">
        <w:rPr>
          <w:rFonts w:ascii="Traditional Arabic" w:hAnsi="Traditional Arabic" w:cs="Traditional Arabic" w:hint="cs"/>
          <w:bCs/>
          <w:i/>
          <w:noProof/>
          <w:sz w:val="30"/>
          <w:szCs w:val="30"/>
          <w:rtl/>
        </w:rPr>
        <w:t>.</w:t>
      </w:r>
      <w:r w:rsidRPr="0071421D">
        <w:rPr>
          <w:rFonts w:ascii="Traditional Arabic" w:hAnsi="Traditional Arabic" w:cs="Traditional Arabic" w:hint="cs"/>
          <w:bCs/>
          <w:i/>
          <w:noProof/>
          <w:sz w:val="30"/>
          <w:szCs w:val="30"/>
          <w:rtl/>
        </w:rPr>
        <w:t xml:space="preserve"> انبعاثات الزئبق من فرن دوار جاف لإنتاج كريات الكلنكر مع إعادة تدوير غبار المرشح لمدة خمسة أيام ومع بيان درجة حرارة غاز المداخن بعد جهاز الترسيب الكهروستاتيكي (درجة حرارة الغاز النظيف) والفترات الزمنية للعمل مع تشغيل طاحونة المواد الخام، استناداً إلى</w:t>
      </w:r>
      <w:r w:rsidRPr="00335E4B">
        <w:rPr>
          <w:rFonts w:ascii="Traditional Arabic" w:hAnsi="Traditional Arabic" w:cs="Traditional Arabic" w:hint="cs"/>
          <w:bCs/>
          <w:i/>
          <w:noProof/>
          <w:sz w:val="20"/>
          <w:szCs w:val="24"/>
          <w:rtl/>
        </w:rPr>
        <w:t xml:space="preserve"> </w:t>
      </w:r>
      <w:r w:rsidRPr="0071421D">
        <w:rPr>
          <w:rFonts w:asciiTheme="majorBidi" w:hAnsiTheme="majorBidi" w:cstheme="majorBidi"/>
          <w:bCs/>
          <w:i/>
          <w:noProof/>
          <w:sz w:val="20"/>
          <w:szCs w:val="20"/>
          <w:rtl/>
        </w:rPr>
        <w:t>(</w:t>
      </w:r>
      <w:r w:rsidRPr="0071421D">
        <w:rPr>
          <w:rFonts w:asciiTheme="majorBidi" w:hAnsiTheme="majorBidi" w:cstheme="majorBidi"/>
          <w:b/>
          <w:iCs/>
          <w:noProof/>
          <w:sz w:val="20"/>
          <w:szCs w:val="20"/>
        </w:rPr>
        <w:t>Schäfer/Hoenig, 2001, also quoted in VDZ Activity Report, 2002; Oerter, 2007; Renzoni et al., 2010; Senior et al., 2010; Oerter/Zunzer, 2011; Hoenig, 2013; ECRA, 2013</w:t>
      </w:r>
      <w:r w:rsidRPr="0071421D">
        <w:rPr>
          <w:rFonts w:asciiTheme="majorBidi" w:hAnsiTheme="majorBidi" w:cstheme="majorBidi"/>
          <w:bCs/>
          <w:i/>
          <w:noProof/>
          <w:sz w:val="20"/>
          <w:szCs w:val="20"/>
          <w:rtl/>
        </w:rPr>
        <w:t>)</w:t>
      </w:r>
    </w:p>
    <w:p w:rsidR="00335E4B" w:rsidRPr="00335E4B" w:rsidRDefault="00335E4B" w:rsidP="0071421D">
      <w:pPr>
        <w:spacing w:after="120" w:line="400" w:lineRule="exact"/>
        <w:jc w:val="both"/>
        <w:rPr>
          <w:rFonts w:cs="Traditional Arabic"/>
          <w:sz w:val="30"/>
          <w:szCs w:val="30"/>
          <w:rtl/>
          <w:lang w:val="en-GB"/>
        </w:rPr>
      </w:pPr>
      <w:r w:rsidRPr="00335E4B">
        <w:rPr>
          <w:rFonts w:cs="Traditional Arabic" w:hint="cs"/>
          <w:sz w:val="30"/>
          <w:szCs w:val="30"/>
          <w:rtl/>
          <w:lang w:val="en-GB"/>
        </w:rPr>
        <w:t>إن تأثير عملية إزالة الغبار هو تأثير واضح.</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ويظهر الشكل 6-9 التأثير المحسوب، على انبعاثات الزئبق، لنسبة التشغيل المباشر بدون إزالة الغبار ومع إزالة الغبار بنسبة 100 في المائة أثناء التشغيل المباشر. ويكون الفرق عند تطبيق طريقة التشغيل المركب ضئيلاً جداً بينما يصبح كبيراً في طريقة التشغيل المباشر. وفي حال عدم إزالة الغبار فإن انبعاثات الزئبق إلى الهواء تزداد بشكل كبير، شريطة أن تكون كفاءة الإزالة في مرشح الغبار ثابتة. ونتيجةً لإزالة الغبار فإنه يمكن خفض انبعاثات الزئبق بنسبة تتراوح من 35 إلى 40 في المائة اعتماداً على الظروف الفردية. والشكل 6-9 يقدم نموذجاً مع بعض الافتراضات. وفي حالات أخرى يمكن أن تكون نسبة التخفيض أقل أو أكثر، مثلاً 78 في المائة وفق ما أبلغ عنه في أماكن أخرى </w:t>
      </w:r>
      <w:r w:rsidRPr="0071421D">
        <w:rPr>
          <w:rFonts w:asciiTheme="majorBidi" w:hAnsiTheme="majorBidi" w:cstheme="majorBidi"/>
          <w:sz w:val="20"/>
          <w:szCs w:val="20"/>
          <w:rtl/>
          <w:lang w:val="en-GB"/>
        </w:rPr>
        <w:t>(</w:t>
      </w:r>
      <w:r w:rsidRPr="0071421D">
        <w:rPr>
          <w:rFonts w:asciiTheme="majorBidi" w:hAnsiTheme="majorBidi" w:cstheme="majorBidi"/>
          <w:noProof/>
          <w:sz w:val="20"/>
          <w:szCs w:val="20"/>
        </w:rPr>
        <w:t>Renzoni et al., 2010, p X</w:t>
      </w:r>
      <w:r w:rsidRPr="0071421D">
        <w:rPr>
          <w:rFonts w:asciiTheme="majorBidi" w:hAnsiTheme="majorBidi" w:cstheme="majorBidi"/>
          <w:sz w:val="20"/>
          <w:szCs w:val="20"/>
          <w:rtl/>
          <w:lang w:val="en-GB"/>
        </w:rPr>
        <w:t>).</w:t>
      </w:r>
      <w:r w:rsidRPr="00335E4B">
        <w:rPr>
          <w:rFonts w:cs="Traditional Arabic" w:hint="cs"/>
          <w:sz w:val="30"/>
          <w:szCs w:val="30"/>
          <w:rtl/>
          <w:lang w:val="en-GB"/>
        </w:rPr>
        <w:t xml:space="preserve"> وتظهر الحالات العملية بشكل أساسي انخفاضات بنسب تتراوح من 10 إلى 35 في المائة.</w:t>
      </w:r>
    </w:p>
    <w:p w:rsidR="00335E4B" w:rsidRPr="00335E4B" w:rsidRDefault="00335E4B" w:rsidP="0071421D">
      <w:pPr>
        <w:spacing w:after="240" w:line="400" w:lineRule="exact"/>
        <w:jc w:val="both"/>
        <w:rPr>
          <w:rFonts w:cs="Traditional Arabic"/>
          <w:sz w:val="30"/>
          <w:szCs w:val="30"/>
          <w:lang w:val="en-GB"/>
        </w:rPr>
      </w:pPr>
      <w:r w:rsidRPr="00335E4B">
        <w:rPr>
          <w:rFonts w:cs="Traditional Arabic" w:hint="cs"/>
          <w:sz w:val="30"/>
          <w:szCs w:val="30"/>
          <w:rtl/>
          <w:lang w:val="en-GB"/>
        </w:rPr>
        <w:t xml:space="preserve">ويعتمد تركيز الزئبق في غبار المرشح أيضاً على الظروف الفردية. فإذا كانت كفاءة إزالة الزئبق في مرشح الغبار أكثر من 90 في المائة ودرجة حرارة غاز المداخن زهاء 100مْ ونسبة التشغيل المركب إلى التشغيل المباشر 10:90 ولم يكن مستوى مدخلات الزئبق منخفضاً، فإنه يمكن الوصول إلى تركيز للزئبق في غبار المرشح يصل إلى 40 ملغم/كغم </w:t>
      </w:r>
      <w:r w:rsidRPr="0071421D">
        <w:rPr>
          <w:rFonts w:asciiTheme="majorBidi" w:hAnsiTheme="majorBidi" w:cstheme="majorBidi"/>
          <w:sz w:val="20"/>
          <w:szCs w:val="20"/>
          <w:rtl/>
          <w:lang w:val="en-GB"/>
        </w:rPr>
        <w:t>(</w:t>
      </w:r>
      <w:r w:rsidRPr="0071421D">
        <w:rPr>
          <w:rFonts w:asciiTheme="majorBidi" w:hAnsiTheme="majorBidi" w:cstheme="majorBidi"/>
          <w:noProof/>
          <w:sz w:val="20"/>
          <w:szCs w:val="20"/>
        </w:rPr>
        <w:t>Renzoni et al., 2010, p XI</w:t>
      </w:r>
      <w:r w:rsidRPr="0071421D">
        <w:rPr>
          <w:rFonts w:asciiTheme="majorBidi" w:hAnsiTheme="majorBidi" w:cstheme="majorBidi"/>
          <w:sz w:val="20"/>
          <w:szCs w:val="20"/>
          <w:rtl/>
          <w:lang w:val="en-GB"/>
        </w:rPr>
        <w:t>)</w:t>
      </w:r>
      <w:r w:rsidR="0071421D">
        <w:rPr>
          <w:rFonts w:cs="Traditional Arabic" w:hint="cs"/>
          <w:sz w:val="30"/>
          <w:szCs w:val="30"/>
          <w:rtl/>
          <w:lang w:val="en-GB"/>
        </w:rPr>
        <w:t>.</w:t>
      </w:r>
    </w:p>
    <w:p w:rsidR="00335E4B" w:rsidRPr="00335E4B" w:rsidRDefault="00335E4B" w:rsidP="00335E4B">
      <w:pPr>
        <w:tabs>
          <w:tab w:val="left" w:pos="1247"/>
          <w:tab w:val="left" w:pos="1814"/>
          <w:tab w:val="left" w:pos="2381"/>
          <w:tab w:val="left" w:pos="2948"/>
          <w:tab w:val="left" w:pos="3515"/>
        </w:tabs>
        <w:spacing w:before="120" w:after="100" w:afterAutospacing="1" w:line="276" w:lineRule="auto"/>
        <w:jc w:val="center"/>
        <w:rPr>
          <w:rFonts w:cs="Times New Roman"/>
          <w:b/>
          <w:bCs/>
          <w:noProof/>
          <w:sz w:val="32"/>
          <w:szCs w:val="32"/>
        </w:rPr>
      </w:pPr>
      <w:r>
        <w:rPr>
          <w:rFonts w:cs="Times New Roman"/>
          <w:noProof/>
          <w:sz w:val="20"/>
          <w:szCs w:val="22"/>
          <w:lang w:val="en-GB" w:eastAsia="zh-CN"/>
        </w:rPr>
        <w:drawing>
          <wp:inline distT="0" distB="0" distL="0" distR="0" wp14:anchorId="68CE76FE" wp14:editId="53B7E688">
            <wp:extent cx="3385185" cy="2315210"/>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85185" cy="2315210"/>
                    </a:xfrm>
                    <a:prstGeom prst="rect">
                      <a:avLst/>
                    </a:prstGeom>
                    <a:noFill/>
                    <a:ln>
                      <a:noFill/>
                    </a:ln>
                  </pic:spPr>
                </pic:pic>
              </a:graphicData>
            </a:graphic>
          </wp:inline>
        </w:drawing>
      </w:r>
    </w:p>
    <w:p w:rsidR="00335E4B" w:rsidRPr="001E5F0E" w:rsidRDefault="00335E4B" w:rsidP="001E5F0E">
      <w:pPr>
        <w:tabs>
          <w:tab w:val="left" w:pos="1416"/>
          <w:tab w:val="left" w:pos="2381"/>
          <w:tab w:val="left" w:pos="2948"/>
          <w:tab w:val="left" w:pos="3515"/>
        </w:tabs>
        <w:rPr>
          <w:rFonts w:ascii="Traditional Arabic" w:hAnsi="Traditional Arabic" w:cs="Traditional Arabic"/>
          <w:bCs/>
          <w:i/>
          <w:noProof/>
          <w:sz w:val="30"/>
          <w:szCs w:val="30"/>
          <w:rtl/>
        </w:rPr>
      </w:pPr>
      <w:r w:rsidRPr="001E5F0E">
        <w:rPr>
          <w:rFonts w:ascii="Traditional Arabic" w:hAnsi="Traditional Arabic" w:cs="Traditional Arabic" w:hint="cs"/>
          <w:bCs/>
          <w:i/>
          <w:noProof/>
          <w:sz w:val="30"/>
          <w:szCs w:val="30"/>
          <w:rtl/>
        </w:rPr>
        <w:t>الشكل 6-9</w:t>
      </w:r>
      <w:r w:rsidR="001E5F0E">
        <w:rPr>
          <w:rFonts w:ascii="Traditional Arabic" w:hAnsi="Traditional Arabic" w:cs="Traditional Arabic" w:hint="cs"/>
          <w:bCs/>
          <w:i/>
          <w:noProof/>
          <w:sz w:val="30"/>
          <w:szCs w:val="30"/>
          <w:rtl/>
        </w:rPr>
        <w:t>-</w:t>
      </w:r>
      <w:r w:rsidR="001E5F0E">
        <w:rPr>
          <w:rFonts w:ascii="Traditional Arabic" w:hAnsi="Traditional Arabic" w:cs="Traditional Arabic" w:hint="cs"/>
          <w:bCs/>
          <w:i/>
          <w:noProof/>
          <w:sz w:val="30"/>
          <w:szCs w:val="30"/>
          <w:rtl/>
        </w:rPr>
        <w:tab/>
      </w:r>
      <w:r w:rsidRPr="001E5F0E">
        <w:rPr>
          <w:rFonts w:ascii="Traditional Arabic" w:hAnsi="Traditional Arabic" w:cs="Traditional Arabic" w:hint="cs"/>
          <w:bCs/>
          <w:i/>
          <w:noProof/>
          <w:sz w:val="30"/>
          <w:szCs w:val="30"/>
          <w:rtl/>
        </w:rPr>
        <w:t>تأثير نسبة التشغيل المباشر بدون إزالة الغبار وبنسبة إزالة للغبار تبلغ 100 في المائة أثناء التشغيل المباشر</w:t>
      </w:r>
    </w:p>
    <w:p w:rsidR="00335E4B" w:rsidRPr="00335E4B" w:rsidRDefault="00335E4B" w:rsidP="00CC71D8">
      <w:pPr>
        <w:tabs>
          <w:tab w:val="left" w:pos="1247"/>
          <w:tab w:val="left" w:pos="1814"/>
          <w:tab w:val="left" w:pos="2381"/>
          <w:tab w:val="left" w:pos="2948"/>
          <w:tab w:val="left" w:pos="3515"/>
        </w:tabs>
        <w:jc w:val="center"/>
        <w:rPr>
          <w:rFonts w:ascii="Traditional Arabic" w:hAnsi="Traditional Arabic" w:cs="Traditional Arabic"/>
          <w:bCs/>
          <w:i/>
          <w:noProof/>
          <w:sz w:val="20"/>
          <w:szCs w:val="24"/>
          <w:rtl/>
        </w:rPr>
      </w:pPr>
      <w:r w:rsidRPr="001E5F0E">
        <w:rPr>
          <w:rFonts w:ascii="Traditional Arabic" w:hAnsi="Traditional Arabic" w:cs="Traditional Arabic" w:hint="cs"/>
          <w:bCs/>
          <w:i/>
          <w:noProof/>
          <w:sz w:val="28"/>
          <w:rtl/>
        </w:rPr>
        <w:t xml:space="preserve">الرموز: </w:t>
      </w:r>
      <w:r w:rsidRPr="00335E4B">
        <w:rPr>
          <w:rFonts w:cs="Times New Roman"/>
          <w:b/>
          <w:iCs/>
          <w:noProof/>
          <w:sz w:val="20"/>
          <w:szCs w:val="22"/>
        </w:rPr>
        <w:t>COM</w:t>
      </w:r>
      <w:r w:rsidRPr="00335E4B">
        <w:rPr>
          <w:rFonts w:ascii="Traditional Arabic" w:hAnsi="Traditional Arabic" w:cs="Traditional Arabic" w:hint="cs"/>
          <w:bCs/>
          <w:i/>
          <w:noProof/>
          <w:sz w:val="20"/>
          <w:szCs w:val="24"/>
          <w:rtl/>
        </w:rPr>
        <w:t xml:space="preserve"> </w:t>
      </w:r>
      <w:r w:rsidR="00CC71D8">
        <w:rPr>
          <w:rFonts w:ascii="Traditional Arabic" w:hAnsi="Traditional Arabic" w:cs="Traditional Arabic" w:hint="cs"/>
          <w:bCs/>
          <w:i/>
          <w:noProof/>
          <w:sz w:val="28"/>
          <w:rtl/>
        </w:rPr>
        <w:t>-</w:t>
      </w:r>
      <w:r w:rsidRPr="001E5F0E">
        <w:rPr>
          <w:rFonts w:ascii="Traditional Arabic" w:hAnsi="Traditional Arabic" w:cs="Traditional Arabic" w:hint="cs"/>
          <w:bCs/>
          <w:i/>
          <w:noProof/>
          <w:sz w:val="28"/>
          <w:rtl/>
        </w:rPr>
        <w:t xml:space="preserve"> طريقة التشغيل المركب؛</w:t>
      </w:r>
      <w:r w:rsidRPr="00335E4B">
        <w:rPr>
          <w:rFonts w:ascii="Traditional Arabic" w:hAnsi="Traditional Arabic" w:cs="Traditional Arabic" w:hint="cs"/>
          <w:bCs/>
          <w:i/>
          <w:noProof/>
          <w:sz w:val="20"/>
          <w:szCs w:val="24"/>
          <w:rtl/>
        </w:rPr>
        <w:t xml:space="preserve"> </w:t>
      </w:r>
      <w:r w:rsidRPr="00335E4B">
        <w:rPr>
          <w:rFonts w:cs="Times New Roman"/>
          <w:b/>
          <w:iCs/>
          <w:noProof/>
          <w:sz w:val="20"/>
          <w:szCs w:val="22"/>
        </w:rPr>
        <w:t>DOM</w:t>
      </w:r>
      <w:r w:rsidR="00CC71D8">
        <w:rPr>
          <w:rFonts w:ascii="Traditional Arabic" w:hAnsi="Traditional Arabic" w:cs="Traditional Arabic" w:hint="cs"/>
          <w:bCs/>
          <w:i/>
          <w:noProof/>
          <w:sz w:val="28"/>
          <w:rtl/>
        </w:rPr>
        <w:t>-</w:t>
      </w:r>
      <w:r w:rsidRPr="001E5F0E">
        <w:rPr>
          <w:rFonts w:ascii="Traditional Arabic" w:hAnsi="Traditional Arabic" w:cs="Traditional Arabic" w:hint="cs"/>
          <w:bCs/>
          <w:i/>
          <w:noProof/>
          <w:sz w:val="28"/>
          <w:rtl/>
        </w:rPr>
        <w:t xml:space="preserve"> طريقة التشغيل المباشر</w:t>
      </w:r>
    </w:p>
    <w:p w:rsidR="00335E4B" w:rsidRPr="00335E4B" w:rsidRDefault="00335E4B" w:rsidP="00335E4B">
      <w:pPr>
        <w:keepNext/>
        <w:spacing w:before="120" w:after="120" w:line="400" w:lineRule="exact"/>
        <w:ind w:left="707" w:hanging="709"/>
        <w:jc w:val="both"/>
        <w:outlineLvl w:val="3"/>
        <w:rPr>
          <w:rFonts w:cs="Traditional Arabic"/>
          <w:b/>
          <w:bCs/>
          <w:sz w:val="30"/>
          <w:szCs w:val="30"/>
          <w:rtl/>
          <w:lang w:val="en-GB"/>
        </w:rPr>
      </w:pPr>
      <w:r w:rsidRPr="00335E4B">
        <w:rPr>
          <w:rFonts w:cs="Traditional Arabic" w:hint="cs"/>
          <w:b/>
          <w:bCs/>
          <w:sz w:val="30"/>
          <w:szCs w:val="30"/>
          <w:rtl/>
          <w:lang w:val="en-GB"/>
        </w:rPr>
        <w:t>أشكال الزئبق الكيميائية المنبعثة</w:t>
      </w:r>
    </w:p>
    <w:p w:rsidR="00335E4B" w:rsidRPr="00335E4B" w:rsidRDefault="00335E4B" w:rsidP="00335E4B">
      <w:pPr>
        <w:spacing w:after="120" w:line="400" w:lineRule="exact"/>
        <w:jc w:val="both"/>
        <w:rPr>
          <w:rFonts w:cs="Traditional Arabic"/>
          <w:sz w:val="30"/>
          <w:szCs w:val="30"/>
          <w:rtl/>
          <w:lang w:val="en-GB"/>
        </w:rPr>
      </w:pPr>
      <w:r w:rsidRPr="00335E4B">
        <w:rPr>
          <w:rFonts w:cs="Traditional Arabic" w:hint="cs"/>
          <w:sz w:val="30"/>
          <w:szCs w:val="30"/>
          <w:rtl/>
          <w:lang w:val="en-GB"/>
        </w:rPr>
        <w:t xml:space="preserve">يعتمد انتقال الزئبق الجوي وترسبه بشكل كبير على ما إذا كان الزئبق في شكله الأولي أو المؤكسَد </w:t>
      </w:r>
      <w:r w:rsidRPr="001E5F0E">
        <w:rPr>
          <w:rFonts w:asciiTheme="majorBidi" w:hAnsiTheme="majorBidi" w:cstheme="majorBidi"/>
          <w:sz w:val="20"/>
          <w:szCs w:val="20"/>
          <w:rtl/>
          <w:lang w:val="en-GB"/>
        </w:rPr>
        <w:t>(</w:t>
      </w:r>
      <w:r w:rsidRPr="001E5F0E">
        <w:rPr>
          <w:rFonts w:asciiTheme="majorBidi" w:hAnsiTheme="majorBidi" w:cstheme="majorBidi"/>
          <w:noProof/>
          <w:sz w:val="20"/>
          <w:szCs w:val="20"/>
        </w:rPr>
        <w:t>UNEP Hg Assessment, 2013, p. 19</w:t>
      </w:r>
      <w:r w:rsidRPr="001E5F0E">
        <w:rPr>
          <w:rFonts w:asciiTheme="majorBidi" w:hAnsiTheme="majorBidi" w:cstheme="majorBidi"/>
          <w:sz w:val="20"/>
          <w:szCs w:val="20"/>
          <w:rtl/>
          <w:lang w:val="en-GB"/>
        </w:rPr>
        <w:t>)</w:t>
      </w:r>
      <w:r w:rsidRPr="00335E4B">
        <w:rPr>
          <w:rFonts w:cs="Traditional Arabic" w:hint="cs"/>
          <w:sz w:val="30"/>
          <w:szCs w:val="30"/>
          <w:rtl/>
          <w:lang w:val="en-GB"/>
        </w:rPr>
        <w:t xml:space="preserve">. فالزئبق النقي يبقى في الغلاف الجوي فترة طويلة تكفي لانتقاله حول العالم (تشير التقديرات الحالية لعمر الزئبق في الغلاف الجوي إلى أنه يتراوح من 0,5 إلى 1,5 سنة)، أما الزئبق المؤكسد والمرتبط بالجسيمات فيتميز بفترة عمر أقصر بكثير (من ساعات إلى أيام) ولذلك يكون عرضة للإزالة السريعة من خلال الترسيب الرطب أو الجاف </w:t>
      </w:r>
      <w:r w:rsidRPr="001E5F0E">
        <w:rPr>
          <w:rFonts w:asciiTheme="majorBidi" w:hAnsiTheme="majorBidi" w:cstheme="majorBidi"/>
          <w:sz w:val="20"/>
          <w:szCs w:val="20"/>
          <w:rtl/>
          <w:lang w:val="en-GB"/>
        </w:rPr>
        <w:t>(</w:t>
      </w:r>
      <w:r w:rsidRPr="001E5F0E">
        <w:rPr>
          <w:rFonts w:asciiTheme="majorBidi" w:hAnsiTheme="majorBidi" w:cstheme="majorBidi"/>
          <w:noProof/>
          <w:sz w:val="20"/>
          <w:szCs w:val="20"/>
        </w:rPr>
        <w:t>UNEP Hg, 2008, p. 65</w:t>
      </w:r>
      <w:r w:rsidRPr="001E5F0E">
        <w:rPr>
          <w:rFonts w:asciiTheme="majorBidi" w:hAnsiTheme="majorBidi" w:cstheme="majorBidi"/>
          <w:sz w:val="20"/>
          <w:szCs w:val="20"/>
          <w:rtl/>
          <w:lang w:val="en-GB"/>
        </w:rPr>
        <w:t>)</w:t>
      </w:r>
      <w:r w:rsidRPr="00335E4B">
        <w:rPr>
          <w:rFonts w:cs="Traditional Arabic" w:hint="cs"/>
          <w:sz w:val="30"/>
          <w:szCs w:val="30"/>
          <w:rtl/>
          <w:lang w:val="en-GB"/>
        </w:rPr>
        <w:t xml:space="preserve">. وبناءً على ذلك فإن الزئبق النقي في شكله الغازي يعتبر ملوثاً عالمياً بينما تترسب مركبات الزئبق المؤكسد وتلك المرتبطة بالجسيمات محلياً </w:t>
      </w:r>
      <w:r w:rsidRPr="001E5F0E">
        <w:rPr>
          <w:rFonts w:asciiTheme="majorBidi" w:hAnsiTheme="majorBidi" w:cstheme="majorBidi"/>
          <w:sz w:val="20"/>
          <w:szCs w:val="20"/>
          <w:rtl/>
          <w:lang w:val="en-GB"/>
        </w:rPr>
        <w:t>(</w:t>
      </w:r>
      <w:r w:rsidRPr="001E5F0E">
        <w:rPr>
          <w:rFonts w:asciiTheme="majorBidi" w:hAnsiTheme="majorBidi" w:cstheme="majorBidi"/>
          <w:noProof/>
          <w:sz w:val="20"/>
          <w:szCs w:val="20"/>
        </w:rPr>
        <w:t>UNEP Hg, 2008, p. 65</w:t>
      </w:r>
      <w:r w:rsidRPr="001E5F0E">
        <w:rPr>
          <w:rFonts w:asciiTheme="majorBidi" w:hAnsiTheme="majorBidi" w:cstheme="majorBidi"/>
          <w:sz w:val="20"/>
          <w:szCs w:val="20"/>
          <w:rtl/>
          <w:lang w:val="en-GB"/>
        </w:rPr>
        <w:t>)</w:t>
      </w:r>
      <w:r w:rsidRPr="00335E4B">
        <w:rPr>
          <w:rFonts w:cs="Traditional Arabic" w:hint="cs"/>
          <w:sz w:val="30"/>
          <w:szCs w:val="30"/>
          <w:rtl/>
          <w:lang w:val="en-GB"/>
        </w:rPr>
        <w:t>. ونظراً للصلة الوثيقة بين ارتباط الزئبق واحتجازه فإن من المهم معرفة أشكال الزئبق المنبعثة من منشآت إنتاج الإسمنت.</w:t>
      </w:r>
    </w:p>
    <w:p w:rsidR="00335E4B" w:rsidRPr="00335E4B" w:rsidRDefault="00335E4B" w:rsidP="001E5F0E">
      <w:pPr>
        <w:spacing w:after="240" w:line="400" w:lineRule="exact"/>
        <w:jc w:val="both"/>
        <w:rPr>
          <w:rFonts w:cs="Traditional Arabic"/>
          <w:sz w:val="30"/>
          <w:szCs w:val="30"/>
          <w:rtl/>
          <w:lang w:val="en-GB"/>
        </w:rPr>
      </w:pPr>
      <w:r w:rsidRPr="00335E4B">
        <w:rPr>
          <w:rFonts w:cs="Traditional Arabic" w:hint="cs"/>
          <w:sz w:val="30"/>
          <w:szCs w:val="30"/>
          <w:rtl/>
          <w:lang w:val="en-GB"/>
        </w:rPr>
        <w:t>وترد في الشكل 6-10 البيانات ذات الصلة التي جمعت من مصادر مختلفة. وتوجد منشآت يسود فيها الزئبق النقي وأخرى يسود فيها الزئبق المؤكسد. وتعتمد نسبة الزئبق النقي إلى الزئبق المؤكسد المنبعث على الظروف الفردية، مما يعني عدم وجود علاقة بين الاثنين.</w:t>
      </w:r>
    </w:p>
    <w:p w:rsidR="00335E4B" w:rsidRPr="00335E4B" w:rsidRDefault="00335E4B" w:rsidP="00335E4B">
      <w:pPr>
        <w:tabs>
          <w:tab w:val="left" w:pos="1247"/>
          <w:tab w:val="left" w:pos="1814"/>
          <w:tab w:val="left" w:pos="2381"/>
          <w:tab w:val="left" w:pos="2948"/>
          <w:tab w:val="left" w:pos="3515"/>
        </w:tabs>
        <w:spacing w:before="120" w:after="100" w:afterAutospacing="1" w:line="276" w:lineRule="auto"/>
        <w:jc w:val="center"/>
        <w:rPr>
          <w:rFonts w:cs="Times New Roman"/>
          <w:b/>
          <w:bCs/>
          <w:noProof/>
          <w:sz w:val="32"/>
          <w:szCs w:val="32"/>
        </w:rPr>
      </w:pPr>
      <w:r>
        <w:rPr>
          <w:rFonts w:cs="Times New Roman"/>
          <w:noProof/>
          <w:sz w:val="20"/>
          <w:szCs w:val="22"/>
          <w:lang w:val="en-GB" w:eastAsia="zh-CN"/>
        </w:rPr>
        <w:drawing>
          <wp:inline distT="0" distB="0" distL="0" distR="0" wp14:anchorId="5113DDB3" wp14:editId="022D0442">
            <wp:extent cx="5297805" cy="3216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97805" cy="3216910"/>
                    </a:xfrm>
                    <a:prstGeom prst="rect">
                      <a:avLst/>
                    </a:prstGeom>
                    <a:noFill/>
                    <a:ln>
                      <a:noFill/>
                    </a:ln>
                  </pic:spPr>
                </pic:pic>
              </a:graphicData>
            </a:graphic>
          </wp:inline>
        </w:drawing>
      </w:r>
    </w:p>
    <w:p w:rsidR="00335E4B" w:rsidRPr="001E5F0E" w:rsidRDefault="00335E4B" w:rsidP="001E5F0E">
      <w:pPr>
        <w:tabs>
          <w:tab w:val="left" w:pos="1247"/>
          <w:tab w:val="left" w:pos="1814"/>
          <w:tab w:val="left" w:pos="2381"/>
          <w:tab w:val="left" w:pos="2948"/>
          <w:tab w:val="left" w:pos="3515"/>
        </w:tabs>
        <w:spacing w:before="120" w:after="120" w:line="276" w:lineRule="auto"/>
        <w:contextualSpacing/>
        <w:jc w:val="both"/>
        <w:rPr>
          <w:rFonts w:ascii="Traditional Arabic" w:hAnsi="Traditional Arabic" w:cs="Traditional Arabic"/>
          <w:bCs/>
          <w:i/>
          <w:noProof/>
          <w:sz w:val="30"/>
          <w:szCs w:val="30"/>
          <w:rtl/>
        </w:rPr>
      </w:pPr>
      <w:r w:rsidRPr="001E5F0E">
        <w:rPr>
          <w:rFonts w:ascii="Traditional Arabic" w:hAnsi="Traditional Arabic" w:cs="Traditional Arabic" w:hint="cs"/>
          <w:bCs/>
          <w:i/>
          <w:noProof/>
          <w:sz w:val="30"/>
          <w:szCs w:val="30"/>
          <w:rtl/>
        </w:rPr>
        <w:t>الشكل 6-10</w:t>
      </w:r>
      <w:r w:rsidR="0071522F" w:rsidRPr="001E5F0E">
        <w:rPr>
          <w:rFonts w:ascii="Traditional Arabic" w:hAnsi="Traditional Arabic" w:cs="Traditional Arabic" w:hint="cs"/>
          <w:bCs/>
          <w:i/>
          <w:noProof/>
          <w:sz w:val="30"/>
          <w:szCs w:val="30"/>
          <w:rtl/>
        </w:rPr>
        <w:t>.</w:t>
      </w:r>
      <w:r w:rsidRPr="001E5F0E">
        <w:rPr>
          <w:rFonts w:ascii="Traditional Arabic" w:hAnsi="Traditional Arabic" w:cs="Traditional Arabic" w:hint="cs"/>
          <w:bCs/>
          <w:i/>
          <w:noProof/>
          <w:sz w:val="30"/>
          <w:szCs w:val="30"/>
          <w:rtl/>
        </w:rPr>
        <w:t xml:space="preserve"> انبعاثات الزئبق النقي والزئبق المؤكسد إلى الهواء وفقاً لمصادر مختلفة</w:t>
      </w:r>
    </w:p>
    <w:p w:rsidR="00335E4B" w:rsidRPr="001E5F0E" w:rsidRDefault="00335E4B" w:rsidP="001E5F0E">
      <w:pPr>
        <w:tabs>
          <w:tab w:val="left" w:pos="1247"/>
          <w:tab w:val="left" w:pos="1814"/>
          <w:tab w:val="left" w:pos="2381"/>
          <w:tab w:val="left" w:pos="2948"/>
          <w:tab w:val="left" w:pos="3515"/>
        </w:tabs>
        <w:spacing w:before="120" w:line="400" w:lineRule="exact"/>
        <w:contextualSpacing/>
        <w:jc w:val="both"/>
        <w:rPr>
          <w:rFonts w:ascii="Traditional Arabic" w:hAnsi="Traditional Arabic" w:cs="Traditional Arabic"/>
          <w:bCs/>
          <w:i/>
          <w:noProof/>
          <w:sz w:val="30"/>
          <w:szCs w:val="30"/>
          <w:rtl/>
        </w:rPr>
      </w:pPr>
      <w:r w:rsidRPr="001E5F0E">
        <w:rPr>
          <w:rFonts w:ascii="Traditional Arabic" w:hAnsi="Traditional Arabic" w:cs="Traditional Arabic" w:hint="cs"/>
          <w:bCs/>
          <w:i/>
          <w:noProof/>
          <w:sz w:val="30"/>
          <w:szCs w:val="30"/>
          <w:rtl/>
        </w:rPr>
        <w:t>بيان مصادر البيانات:</w:t>
      </w:r>
    </w:p>
    <w:p w:rsidR="00335E4B" w:rsidRPr="00335E4B" w:rsidRDefault="00335E4B" w:rsidP="001E5F0E">
      <w:pPr>
        <w:tabs>
          <w:tab w:val="left" w:pos="1247"/>
          <w:tab w:val="left" w:pos="1814"/>
          <w:tab w:val="left" w:pos="2381"/>
          <w:tab w:val="left" w:pos="2948"/>
          <w:tab w:val="left" w:pos="3515"/>
        </w:tabs>
        <w:spacing w:before="120" w:line="400" w:lineRule="exact"/>
        <w:contextualSpacing/>
        <w:jc w:val="both"/>
        <w:rPr>
          <w:rFonts w:ascii="Traditional Arabic" w:hAnsi="Traditional Arabic" w:cs="Traditional Arabic"/>
          <w:bCs/>
          <w:i/>
          <w:noProof/>
          <w:sz w:val="20"/>
          <w:szCs w:val="24"/>
          <w:rtl/>
        </w:rPr>
      </w:pPr>
      <w:r w:rsidRPr="001E5F0E">
        <w:rPr>
          <w:rFonts w:ascii="Traditional Arabic" w:hAnsi="Traditional Arabic" w:cs="Traditional Arabic" w:hint="cs"/>
          <w:bCs/>
          <w:i/>
          <w:noProof/>
          <w:sz w:val="30"/>
          <w:szCs w:val="30"/>
          <w:rtl/>
        </w:rPr>
        <w:t>المنشأة 1 والمنشأة 2:</w:t>
      </w:r>
      <w:r w:rsidRPr="00335E4B">
        <w:rPr>
          <w:rFonts w:ascii="Traditional Arabic" w:hAnsi="Traditional Arabic" w:cs="Traditional Arabic" w:hint="cs"/>
          <w:bCs/>
          <w:i/>
          <w:noProof/>
          <w:sz w:val="20"/>
          <w:szCs w:val="24"/>
          <w:rtl/>
        </w:rPr>
        <w:t xml:space="preserve"> </w:t>
      </w:r>
      <w:r w:rsidRPr="00335E4B">
        <w:rPr>
          <w:rFonts w:cs="Times New Roman"/>
          <w:b/>
          <w:iCs/>
          <w:noProof/>
          <w:sz w:val="20"/>
          <w:szCs w:val="22"/>
        </w:rPr>
        <w:t>Oerter/Zunzer, 2011</w:t>
      </w:r>
    </w:p>
    <w:p w:rsidR="00335E4B" w:rsidRPr="00335E4B" w:rsidRDefault="00335E4B" w:rsidP="001E5F0E">
      <w:pPr>
        <w:tabs>
          <w:tab w:val="left" w:pos="1247"/>
          <w:tab w:val="left" w:pos="1814"/>
          <w:tab w:val="left" w:pos="2381"/>
          <w:tab w:val="left" w:pos="2948"/>
          <w:tab w:val="left" w:pos="3515"/>
        </w:tabs>
        <w:spacing w:before="120" w:line="400" w:lineRule="exact"/>
        <w:contextualSpacing/>
        <w:jc w:val="both"/>
        <w:rPr>
          <w:rFonts w:ascii="Traditional Arabic" w:hAnsi="Traditional Arabic" w:cs="Traditional Arabic"/>
          <w:bCs/>
          <w:i/>
          <w:noProof/>
          <w:sz w:val="20"/>
          <w:szCs w:val="24"/>
          <w:rtl/>
        </w:rPr>
      </w:pPr>
      <w:r w:rsidRPr="001E5F0E">
        <w:rPr>
          <w:rFonts w:ascii="Traditional Arabic" w:hAnsi="Traditional Arabic" w:cs="Traditional Arabic" w:hint="cs"/>
          <w:bCs/>
          <w:i/>
          <w:noProof/>
          <w:sz w:val="30"/>
          <w:szCs w:val="30"/>
          <w:rtl/>
        </w:rPr>
        <w:t>المنشأة 3:</w:t>
      </w:r>
      <w:r w:rsidRPr="00335E4B">
        <w:rPr>
          <w:rFonts w:ascii="Traditional Arabic" w:hAnsi="Traditional Arabic" w:cs="Traditional Arabic" w:hint="cs"/>
          <w:bCs/>
          <w:i/>
          <w:noProof/>
          <w:sz w:val="20"/>
          <w:szCs w:val="24"/>
          <w:rtl/>
        </w:rPr>
        <w:t xml:space="preserve"> </w:t>
      </w:r>
      <w:r w:rsidRPr="00335E4B">
        <w:rPr>
          <w:rFonts w:cs="Times New Roman"/>
          <w:b/>
          <w:iCs/>
          <w:noProof/>
          <w:sz w:val="20"/>
          <w:szCs w:val="22"/>
        </w:rPr>
        <w:t>VDZ Activity Report, 2002</w:t>
      </w:r>
    </w:p>
    <w:p w:rsidR="00335E4B" w:rsidRPr="00335E4B" w:rsidRDefault="00335E4B" w:rsidP="001E5F0E">
      <w:pPr>
        <w:tabs>
          <w:tab w:val="left" w:pos="1247"/>
          <w:tab w:val="left" w:pos="1814"/>
          <w:tab w:val="left" w:pos="2381"/>
          <w:tab w:val="left" w:pos="2948"/>
          <w:tab w:val="left" w:pos="3515"/>
        </w:tabs>
        <w:spacing w:before="120" w:line="400" w:lineRule="exact"/>
        <w:contextualSpacing/>
        <w:jc w:val="both"/>
        <w:rPr>
          <w:rFonts w:ascii="Traditional Arabic" w:hAnsi="Traditional Arabic" w:cs="Traditional Arabic"/>
          <w:bCs/>
          <w:i/>
          <w:noProof/>
          <w:sz w:val="20"/>
          <w:szCs w:val="24"/>
          <w:rtl/>
        </w:rPr>
      </w:pPr>
      <w:r w:rsidRPr="001E5F0E">
        <w:rPr>
          <w:rFonts w:ascii="Traditional Arabic" w:hAnsi="Traditional Arabic" w:cs="Traditional Arabic" w:hint="cs"/>
          <w:bCs/>
          <w:i/>
          <w:noProof/>
          <w:sz w:val="30"/>
          <w:szCs w:val="30"/>
          <w:rtl/>
        </w:rPr>
        <w:t xml:space="preserve">المنشأة 4: </w:t>
      </w:r>
      <w:r w:rsidRPr="00335E4B">
        <w:rPr>
          <w:rFonts w:cs="Times New Roman"/>
          <w:b/>
          <w:iCs/>
          <w:noProof/>
          <w:sz w:val="20"/>
          <w:szCs w:val="22"/>
        </w:rPr>
        <w:t>Mlakar et al., 2010</w:t>
      </w:r>
    </w:p>
    <w:p w:rsidR="00335E4B" w:rsidRPr="00335E4B" w:rsidRDefault="00335E4B" w:rsidP="00335E4B">
      <w:pPr>
        <w:tabs>
          <w:tab w:val="left" w:pos="1247"/>
          <w:tab w:val="left" w:pos="1814"/>
          <w:tab w:val="left" w:pos="2381"/>
          <w:tab w:val="left" w:pos="2948"/>
          <w:tab w:val="left" w:pos="3515"/>
        </w:tabs>
        <w:spacing w:before="120" w:after="120" w:line="276" w:lineRule="auto"/>
        <w:contextualSpacing/>
        <w:jc w:val="both"/>
        <w:rPr>
          <w:rFonts w:ascii="Traditional Arabic" w:hAnsi="Traditional Arabic" w:cs="Traditional Arabic"/>
          <w:bCs/>
          <w:i/>
          <w:noProof/>
          <w:sz w:val="20"/>
          <w:szCs w:val="24"/>
          <w:rtl/>
        </w:rPr>
      </w:pPr>
      <w:r w:rsidRPr="001E5F0E">
        <w:rPr>
          <w:rFonts w:ascii="Traditional Arabic" w:hAnsi="Traditional Arabic" w:cs="Traditional Arabic" w:hint="cs"/>
          <w:bCs/>
          <w:i/>
          <w:noProof/>
          <w:sz w:val="30"/>
          <w:szCs w:val="30"/>
          <w:rtl/>
        </w:rPr>
        <w:t xml:space="preserve">المنشأة 5 والمنشأة 6: </w:t>
      </w:r>
      <w:r w:rsidRPr="00335E4B">
        <w:rPr>
          <w:rFonts w:cs="Times New Roman"/>
          <w:b/>
          <w:iCs/>
          <w:noProof/>
          <w:sz w:val="20"/>
          <w:szCs w:val="22"/>
        </w:rPr>
        <w:t>Linero, 2011</w:t>
      </w:r>
    </w:p>
    <w:p w:rsidR="00335E4B" w:rsidRPr="00335E4B" w:rsidRDefault="00335E4B" w:rsidP="0071522F">
      <w:pPr>
        <w:keepNext/>
        <w:spacing w:before="120" w:after="120" w:line="400" w:lineRule="exact"/>
        <w:ind w:left="707" w:hanging="709"/>
        <w:jc w:val="both"/>
        <w:outlineLvl w:val="3"/>
        <w:rPr>
          <w:rFonts w:cs="Traditional Arabic"/>
          <w:b/>
          <w:bCs/>
          <w:sz w:val="32"/>
          <w:szCs w:val="32"/>
          <w:rtl/>
          <w:lang w:val="en-GB"/>
        </w:rPr>
      </w:pPr>
      <w:r w:rsidRPr="00335E4B">
        <w:rPr>
          <w:rFonts w:cs="Traditional Arabic"/>
          <w:sz w:val="20"/>
          <w:szCs w:val="30"/>
          <w:rtl/>
        </w:rPr>
        <w:br w:type="page"/>
      </w:r>
      <w:r w:rsidRPr="00335E4B">
        <w:rPr>
          <w:rFonts w:cs="Traditional Arabic" w:hint="cs"/>
          <w:b/>
          <w:bCs/>
          <w:sz w:val="32"/>
          <w:szCs w:val="32"/>
          <w:rtl/>
          <w:lang w:val="en-GB"/>
        </w:rPr>
        <w:t>المراجع</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AiF, 2008: Arbeitsgemeinschaft industrieller Forschungvereinigungen (AiF), AiF-Forschungsvorhaben-Nr. 14547 N: Betriebstechnische Möglichkeiten zur Minderung von Hg-Emissionen an Drehrohranlagen der Zementindustrie (2008)</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 xml:space="preserve">Barnett, 2013: Barnett, K. (official of the US-EPA), Final Portland Cement Rule 2013, http://www.unep.org/chemicalsandwaste/Portals/9/RoundTableMercury_6_24-13-final.pdf </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BREF CLM, 2013: Reference Document on Best Available Techniques in the Cement, Lime and Magnesium Oxide Manufacturing Industries, (2013), online: http://eippcb.jrc.ec.europa.eu/reference/BREF/CLM_Published_def.pdf</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CEMBUREAU, 1997: BAT for the cement industry, November 1997 / Information for cement and lime BREF 2001</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CRC Handbook, 1976: CRC Handbook of Chemistry and Physics 1976-1977, CRC Press, Inc., 57rd edition (1976), D-185, D-191</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CRC Handbook, 1995: CRC Handbook of Chemistry and Physics 1995–1996, CRC Press, Inc., 76rd edition (1995), 6–77, 6–110</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CRC Handbook, 2012: CRC Handbook of Chemistry and Physics 2012-2013, CRC Press, Taylor&amp;Francis Group Boca Raton, United States, 93rd edition (2012), 6–88, 9–92</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ECRA, 2013: Hoenig, V., Harrass, R., Zunzer, U., Guidance Document on BAT-BEP for Mercury in the Cement Industry, Technical report of the European Cement Research Academy (ecra) on behalf of WBCSD Cement Sustainability Initiative (2013)</w:t>
      </w:r>
    </w:p>
    <w:p w:rsidR="00335E4B" w:rsidRPr="003033D5" w:rsidRDefault="00335E4B" w:rsidP="00335E4B">
      <w:pPr>
        <w:tabs>
          <w:tab w:val="left" w:pos="1247"/>
          <w:tab w:val="left" w:pos="1814"/>
          <w:tab w:val="left" w:pos="2381"/>
          <w:tab w:val="left" w:pos="2948"/>
          <w:tab w:val="left" w:pos="3515"/>
        </w:tabs>
        <w:bidi w:val="0"/>
        <w:spacing w:after="80"/>
        <w:rPr>
          <w:rFonts w:cs="Times New Roman"/>
          <w:noProof/>
          <w:sz w:val="20"/>
          <w:szCs w:val="22"/>
          <w:lang w:val="de-CH"/>
        </w:rPr>
      </w:pPr>
      <w:r w:rsidRPr="003033D5">
        <w:rPr>
          <w:rFonts w:cs="Times New Roman"/>
          <w:noProof/>
          <w:sz w:val="20"/>
          <w:szCs w:val="22"/>
          <w:lang w:val="de-CH"/>
        </w:rPr>
        <w:t>Erhard/Scheuer, 1993: Erhard, H.S., Scheuer, A., Brenntechnik und Wärmewirtschaft, Zement-Kalk-Gips 46 (1993) No. 12, pp. 743–754</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Eriksen et al., 2007: Eriksen, D.Ø., Tokheim, L.-A., Eriksen, T.A., Meyer, J., Qvenild, C., Assessment of mercury emissions at Norcem’s cement kiln by use of 203Hg-tracer, Journal of Radioanalytical and Nuclear Chemistry 273 (2007) No. 3, pp. 739–745</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Hoenig, 2013: Hoenig, V., Sources of mercury, behavior in cement process and abatement options, Presentation at the event “Cement Industry Sector Partnership on Mercury, Partnership Launch Meeting” of European Cement Research Academy on 19 June 2013, http://www.unep.org/hazardoussubstances/Portals/9/ECRA_WBCSD-CSI%20Mercury_20130618_upload.pdf</w:t>
      </w:r>
    </w:p>
    <w:p w:rsidR="00335E4B" w:rsidRPr="003033D5" w:rsidRDefault="00335E4B" w:rsidP="00335E4B">
      <w:pPr>
        <w:tabs>
          <w:tab w:val="left" w:pos="1247"/>
          <w:tab w:val="left" w:pos="1814"/>
          <w:tab w:val="left" w:pos="2381"/>
          <w:tab w:val="left" w:pos="2948"/>
          <w:tab w:val="left" w:pos="3515"/>
        </w:tabs>
        <w:bidi w:val="0"/>
        <w:spacing w:after="80"/>
        <w:rPr>
          <w:rFonts w:cs="Times New Roman"/>
          <w:noProof/>
          <w:sz w:val="20"/>
          <w:szCs w:val="22"/>
          <w:lang w:val="de-CH"/>
        </w:rPr>
      </w:pPr>
      <w:r w:rsidRPr="003033D5">
        <w:rPr>
          <w:rFonts w:cs="Times New Roman"/>
          <w:noProof/>
          <w:sz w:val="20"/>
          <w:szCs w:val="22"/>
          <w:lang w:val="de-CH"/>
        </w:rPr>
        <w:t>Holleman-Wiberg, 1985: Holleman, A.F., Wiberg, E., Lehrbuch der Anorganischen Chemie, 91.-100. Verbesserte und stark erweiterte Auflage, Walter de Gruyter, Berlin/New York (1985), pp. 1042–1049</w:t>
      </w:r>
    </w:p>
    <w:p w:rsidR="00335E4B" w:rsidRPr="003033D5" w:rsidRDefault="00335E4B" w:rsidP="00335E4B">
      <w:pPr>
        <w:tabs>
          <w:tab w:val="left" w:pos="1247"/>
          <w:tab w:val="left" w:pos="1814"/>
          <w:tab w:val="left" w:pos="2381"/>
          <w:tab w:val="left" w:pos="2948"/>
          <w:tab w:val="left" w:pos="3515"/>
        </w:tabs>
        <w:bidi w:val="0"/>
        <w:spacing w:after="80"/>
        <w:rPr>
          <w:rFonts w:cs="Times New Roman"/>
          <w:noProof/>
          <w:sz w:val="20"/>
          <w:szCs w:val="22"/>
          <w:lang w:val="de-CH"/>
        </w:rPr>
      </w:pPr>
      <w:r w:rsidRPr="003033D5">
        <w:rPr>
          <w:rFonts w:cs="Times New Roman"/>
          <w:noProof/>
          <w:sz w:val="20"/>
          <w:szCs w:val="22"/>
          <w:lang w:val="de-CH"/>
        </w:rPr>
        <w:t>Kirchartz, 1994: Kirchartz, B., Reaktion und Abscheidung von Spurenelementen beim Brennen des Zementklinkers, VDZ-Schriftenreihe der Zementindustrie, (1994) Heft 56, Verlag Bau + Technik, Düsseldorf, Germany</w:t>
      </w:r>
    </w:p>
    <w:p w:rsidR="00335E4B" w:rsidRPr="003033D5" w:rsidRDefault="00335E4B" w:rsidP="00335E4B">
      <w:pPr>
        <w:tabs>
          <w:tab w:val="left" w:pos="1247"/>
          <w:tab w:val="left" w:pos="1814"/>
          <w:tab w:val="left" w:pos="2381"/>
          <w:tab w:val="left" w:pos="2948"/>
          <w:tab w:val="left" w:pos="3515"/>
        </w:tabs>
        <w:bidi w:val="0"/>
        <w:spacing w:after="80"/>
        <w:rPr>
          <w:rFonts w:cs="Times New Roman"/>
          <w:noProof/>
          <w:sz w:val="20"/>
          <w:szCs w:val="22"/>
          <w:lang w:val="de-CH"/>
        </w:rPr>
      </w:pPr>
      <w:r w:rsidRPr="003033D5">
        <w:rPr>
          <w:rFonts w:cs="Times New Roman"/>
          <w:noProof/>
          <w:sz w:val="20"/>
          <w:szCs w:val="22"/>
          <w:lang w:val="de-CH"/>
        </w:rPr>
        <w:t>Krabbe, 2010: Krabbe, H.-J., Grundlagen zur Chemie des Quecksilbers am Beispiel von Rauchgasreinigungsanlagen, Manuscript of the presentation at the ‘VDI Wissensforum – Messung und Minderung von Quecksilberemissionen’ on 28 April 2010 in Düsseldorf, Germany (2010)</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033D5">
        <w:rPr>
          <w:rFonts w:cs="Times New Roman"/>
          <w:noProof/>
          <w:sz w:val="20"/>
          <w:szCs w:val="22"/>
          <w:lang w:val="de-CH"/>
        </w:rPr>
        <w:t xml:space="preserve">Lafarge Wössingen, 2015: Lafarge Zement Wössingen GmBH. </w:t>
      </w:r>
      <w:r w:rsidRPr="00335E4B">
        <w:rPr>
          <w:rFonts w:cs="Times New Roman"/>
          <w:noProof/>
          <w:sz w:val="20"/>
          <w:szCs w:val="22"/>
          <w:lang w:val="en-GB"/>
        </w:rPr>
        <w:t xml:space="preserve">Wlazbachtal/Germany, personal communication (2015) </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Linero, 2011: Linero, A.A., Synopsis of Mercury Controls at Florida Cement Plants, Manuscript for presentation at the 104th Annual Conference and Exhibition of the Air and Waste Management Association in Orlando, Florida, United States, on 22 June 2011</w:t>
      </w:r>
    </w:p>
    <w:p w:rsidR="00335E4B" w:rsidRPr="003033D5" w:rsidRDefault="00335E4B" w:rsidP="00335E4B">
      <w:pPr>
        <w:tabs>
          <w:tab w:val="left" w:pos="1247"/>
          <w:tab w:val="left" w:pos="1814"/>
          <w:tab w:val="left" w:pos="2381"/>
          <w:tab w:val="left" w:pos="2948"/>
          <w:tab w:val="left" w:pos="3515"/>
        </w:tabs>
        <w:bidi w:val="0"/>
        <w:spacing w:after="80"/>
        <w:rPr>
          <w:rFonts w:cs="Times New Roman"/>
          <w:noProof/>
          <w:sz w:val="20"/>
          <w:szCs w:val="22"/>
          <w:lang w:val="de-CH"/>
        </w:rPr>
      </w:pPr>
      <w:r w:rsidRPr="003033D5">
        <w:rPr>
          <w:rFonts w:cs="Times New Roman"/>
          <w:noProof/>
          <w:sz w:val="20"/>
          <w:szCs w:val="22"/>
          <w:lang w:val="de-CH"/>
        </w:rPr>
        <w:t>Locher, 2000: Locher, F.W., Zement – Grundlagen der Herstellung und Verwendung, Verlag Bau und Technik (2000)</w:t>
      </w:r>
    </w:p>
    <w:p w:rsidR="00335E4B" w:rsidRPr="003033D5" w:rsidRDefault="00335E4B" w:rsidP="00335E4B">
      <w:pPr>
        <w:tabs>
          <w:tab w:val="left" w:pos="1247"/>
          <w:tab w:val="left" w:pos="1814"/>
          <w:tab w:val="left" w:pos="2381"/>
          <w:tab w:val="left" w:pos="2948"/>
          <w:tab w:val="left" w:pos="3515"/>
        </w:tabs>
        <w:bidi w:val="0"/>
        <w:spacing w:after="80"/>
        <w:rPr>
          <w:rFonts w:cs="Times New Roman"/>
          <w:noProof/>
          <w:sz w:val="20"/>
          <w:szCs w:val="22"/>
          <w:lang w:val="de-CH"/>
        </w:rPr>
      </w:pPr>
      <w:r w:rsidRPr="003033D5">
        <w:rPr>
          <w:rFonts w:cs="Times New Roman"/>
          <w:noProof/>
          <w:sz w:val="20"/>
          <w:szCs w:val="22"/>
          <w:lang w:val="de-CH"/>
        </w:rPr>
        <w:t>Martel, 2000: Martel, C., Brennstoff- und lastspezifische Untersuchungen zum Verhalten von Schwermetallen in Kohlenstaubfeuerungen, VDI Fortschritts-Berichte, Reihe 15, Nr. 225 (2000)</w:t>
      </w:r>
    </w:p>
    <w:p w:rsidR="00335E4B" w:rsidRPr="003033D5" w:rsidRDefault="00335E4B" w:rsidP="00335E4B">
      <w:pPr>
        <w:tabs>
          <w:tab w:val="left" w:pos="1247"/>
          <w:tab w:val="left" w:pos="1814"/>
          <w:tab w:val="left" w:pos="2381"/>
          <w:tab w:val="left" w:pos="2948"/>
          <w:tab w:val="left" w:pos="3515"/>
        </w:tabs>
        <w:bidi w:val="0"/>
        <w:spacing w:after="80"/>
        <w:rPr>
          <w:rFonts w:cs="Times New Roman"/>
          <w:noProof/>
          <w:sz w:val="20"/>
          <w:szCs w:val="22"/>
          <w:lang w:val="de-CH"/>
        </w:rPr>
      </w:pPr>
      <w:r w:rsidRPr="003033D5">
        <w:rPr>
          <w:rFonts w:cs="Times New Roman"/>
          <w:noProof/>
          <w:sz w:val="20"/>
          <w:szCs w:val="22"/>
          <w:lang w:val="de-CH"/>
        </w:rPr>
        <w:t xml:space="preserve">Mlakar et al., 2010: Mlakar, L.T., Horvat, M., Vuk, T., Stergaršek, A., Kotnik, J., Tratnik, J., Fajon, V., Mercury species, mass flows and processes in a cement plant, Fuel 89 (2010) pp. 1936–1945 </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Netherlands, 1997: Dutch notes on BAT for the production of cement clinker: Information for cement and lime BREF 2001</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Oerter, 2007: Oerter, M., Influence of raw materials on the emissions of mercury, presentation at the seminar of the European Cement Research Academy (ecra) on 26 April 2007</w:t>
      </w:r>
    </w:p>
    <w:p w:rsidR="00335E4B" w:rsidRPr="003033D5" w:rsidRDefault="00335E4B" w:rsidP="00335E4B">
      <w:pPr>
        <w:tabs>
          <w:tab w:val="left" w:pos="1247"/>
          <w:tab w:val="left" w:pos="1814"/>
          <w:tab w:val="left" w:pos="2381"/>
          <w:tab w:val="left" w:pos="2948"/>
          <w:tab w:val="left" w:pos="3515"/>
        </w:tabs>
        <w:bidi w:val="0"/>
        <w:spacing w:after="80"/>
        <w:rPr>
          <w:rFonts w:cs="Times New Roman"/>
          <w:noProof/>
          <w:sz w:val="20"/>
          <w:szCs w:val="22"/>
          <w:lang w:val="de-CH"/>
        </w:rPr>
      </w:pPr>
      <w:r w:rsidRPr="003033D5">
        <w:rPr>
          <w:rFonts w:cs="Times New Roman"/>
          <w:noProof/>
          <w:sz w:val="20"/>
          <w:szCs w:val="22"/>
          <w:lang w:val="de-CH"/>
        </w:rPr>
        <w:t>Oerter/Zunzer, 2011: Oerter, M., Zunzer, U., Messung und Minderung von Quecksilber in der Zementindustrie, manuscript and presentation at the VDI Fachkonferenz „Messung und Minderung von Quecksilber-Emissionen“ on 13 April 2011</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 xml:space="preserve">Paone, 2008: Paone, P., Heavy metals in the cement industry: A look at volatile cycles and simple mitigation techniques, http://www.asocem.org.pe/bivi/sa/dit/icem/01-04-2008. pdf </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Paone, 2009: Paone, P., Mercury reduction technologies for cement production, 7th Colloquium of Managers and Technicians of Cement Plants – “Development, innovation and sustainability: the three cornerstones of cement industry” in Malaga, Spain, in November 2009</w:t>
      </w:r>
    </w:p>
    <w:p w:rsidR="00335E4B" w:rsidRPr="00335E4B" w:rsidRDefault="00335E4B" w:rsidP="00335E4B">
      <w:pPr>
        <w:tabs>
          <w:tab w:val="left" w:pos="1247"/>
          <w:tab w:val="left" w:pos="1814"/>
          <w:tab w:val="left" w:pos="2381"/>
          <w:tab w:val="left" w:pos="2948"/>
          <w:tab w:val="left" w:pos="3515"/>
        </w:tabs>
        <w:bidi w:val="0"/>
        <w:spacing w:after="80"/>
        <w:jc w:val="both"/>
        <w:rPr>
          <w:rFonts w:cs="Times New Roman"/>
          <w:noProof/>
          <w:sz w:val="20"/>
          <w:szCs w:val="20"/>
          <w:lang w:val="en-GB"/>
        </w:rPr>
      </w:pPr>
      <w:r w:rsidRPr="00335E4B">
        <w:rPr>
          <w:rFonts w:cs="Times New Roman"/>
          <w:noProof/>
          <w:sz w:val="20"/>
          <w:szCs w:val="20"/>
          <w:lang w:val="en-GB"/>
        </w:rPr>
        <w:t>Permit Cementa AB, 2007: Permit from Stockholms Tingsrätt, M 26737-05, issued to Cementa AB, Slite, in 2007</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Renzoni et al., 2010: Renzoni, R., Ullrich, C., Belboom, S., Germain, A., Mercury in the Cement Industry, Report of the University of Liège independently commissioned by CEMBUREAU (2010), online: www.unep.org/hazardoussubstances/Portals/9/Mercury/A_Inventories/CEMENT%20Industry%20-%20Hg%20report%20CEMBUREAU%20April%202010.pdf</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sidDel="00B4558C">
        <w:rPr>
          <w:rFonts w:cs="Times New Roman"/>
          <w:noProof/>
          <w:sz w:val="20"/>
          <w:szCs w:val="22"/>
          <w:lang w:val="en-GB"/>
        </w:rPr>
        <w:t xml:space="preserve"> </w:t>
      </w:r>
      <w:r w:rsidRPr="00335E4B">
        <w:rPr>
          <w:rFonts w:cs="Times New Roman"/>
          <w:noProof/>
          <w:sz w:val="20"/>
          <w:szCs w:val="22"/>
          <w:lang w:val="en-GB"/>
        </w:rPr>
        <w:t>SC BAT Cement, 2008: Secretariat of the Stockholm Convention on Persistent Organic Pollutants, Guidelines on Best Available Techniques and provisional Guidance on Best Environmental Practices relevant to Article 5 and Annex C of the Stockholm Convention on Persistent Organic Pollutants, Section V.B. – Part II Source category (b): Cement kilns firing hazardous waste (2008)</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Schoenberger, 2009: Schoenberger, H., Integrated pollution prevention and control in large industrial installations on the basis of best available techniques – The Sevilla Process, Journal of Cleaner Production 17 (2009) pp. 1526–1529</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Schoenberger, 2015: Schoenberger H.,Personal communication, 2015</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Schreiber et al., 2005: Schreiber, R.J., Kellet, C.D., Joshi, N., Inherent Mercury Controls Within the Portland Cement Kiln System, Research &amp; Development Information, Skokie, Illinois, United States, Portland Cement Association, Serial No. 2841 (2005)</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Schäfer/Hoenig, 2001: Schäfer, S., Hoenig, V., Operational factors affecting the mercury emissions from rotary kilns in the cement industry, Zement Kalk Gips 54 (2001) No. 11, pp. 591–601</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Schäfer/Hoenig, 2002: Schäfer, S., Hoenig, V., Effects of process technology on the behaviour of mercury in the clinker burning process: Technical Field 6: Sustainability and cement production; Presentation slides and documentation in: Process Technology of Cement Manufacturing: VDZ Congress 23-27 September 2002 in Düsseldorf, Germany, Verein Deutscher Zementwerke (VDZ) (Hrsg.), Verlag Bau+Technik (2003) pp. 484–488</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Sikkema et al., 2011: Sikkema, J.K., Alleman, J.E., Ong, S.K., Wheelock, T.D., Mercury regulation, fate, transport, transformation, and abatement within cement manufacturing facilities: Review, Science of the Total Environment 409 (2011) pp. 4167–4178</w:t>
      </w:r>
    </w:p>
    <w:p w:rsidR="00335E4B" w:rsidRPr="003033D5" w:rsidRDefault="00335E4B" w:rsidP="00335E4B">
      <w:pPr>
        <w:tabs>
          <w:tab w:val="left" w:pos="1247"/>
          <w:tab w:val="left" w:pos="1814"/>
          <w:tab w:val="left" w:pos="2381"/>
          <w:tab w:val="left" w:pos="2948"/>
          <w:tab w:val="left" w:pos="3515"/>
        </w:tabs>
        <w:bidi w:val="0"/>
        <w:spacing w:after="80"/>
        <w:rPr>
          <w:rFonts w:cs="Times New Roman"/>
          <w:noProof/>
          <w:sz w:val="20"/>
          <w:szCs w:val="22"/>
          <w:lang w:val="de-CH"/>
        </w:rPr>
      </w:pPr>
      <w:r w:rsidRPr="003033D5">
        <w:rPr>
          <w:rFonts w:cs="Times New Roman"/>
          <w:noProof/>
          <w:sz w:val="20"/>
          <w:szCs w:val="22"/>
          <w:lang w:val="de-CH"/>
        </w:rPr>
        <w:t>Sprung, 1988: Sprung, S., Spurenelemente, Zement-Kalk-Gips 41 (1988) No. 5, pp. 251–257</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Ullmann’s, 1986: Locher, F.W.; Kropp, J., Cement and Concrete, in Ullmann’s Encyclopedia of Industrial Chemistry, 5th ed., Vol. A 5 (1986) pp. 489–537</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 xml:space="preserve">UNEP Hg, 2008: UNEP, Technical Background Report to the Global Atmospheric Mercury Assessment (2008), </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UNEP Hg Assessment, 2013: UNEP, Global Mercury Assessment: Sources, emissions, releases, and environmental transport (2013), http://www.unep.org/PDF/PressReleases/GlobalMercuryAssessment2013.pdf</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US Cement, 2007: USEPA, Letter from F.L Steitman, Vice President, Environmental Affairs, Ash Grove Cement Company to Keith Barnett, SSPD/USEPA. October 1, 2007 accessed at www.regulations.gov, [EPA-HQ-OAR-202-0051-3371]</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US Cement, 2010: USEPA, Summary of Environmental and Cost Impacts for Final Portland Cement NESHAP and NSPS, 6 August 2010 available online at http://www.epa.gov/ttn/atw/pcem/summary_impacts.pdf</w:t>
      </w:r>
    </w:p>
    <w:p w:rsidR="00335E4B" w:rsidRPr="003033D5" w:rsidRDefault="00335E4B" w:rsidP="00335E4B">
      <w:pPr>
        <w:tabs>
          <w:tab w:val="left" w:pos="1247"/>
          <w:tab w:val="left" w:pos="1814"/>
          <w:tab w:val="left" w:pos="2381"/>
          <w:tab w:val="left" w:pos="2948"/>
          <w:tab w:val="left" w:pos="3515"/>
        </w:tabs>
        <w:bidi w:val="0"/>
        <w:spacing w:after="80"/>
        <w:rPr>
          <w:rFonts w:cs="Times New Roman"/>
          <w:noProof/>
          <w:sz w:val="20"/>
          <w:szCs w:val="22"/>
          <w:lang w:val="de-CH"/>
        </w:rPr>
      </w:pPr>
      <w:r w:rsidRPr="003033D5">
        <w:rPr>
          <w:rFonts w:cs="Times New Roman"/>
          <w:noProof/>
          <w:sz w:val="20"/>
          <w:szCs w:val="22"/>
          <w:lang w:val="de-CH"/>
        </w:rPr>
        <w:t>VDZ Activity Report, 2002: Verein deutscher Zementwerke e.V. (VDZ), Activity Report 1999-2001 (2002)</w:t>
      </w:r>
    </w:p>
    <w:p w:rsidR="00335E4B" w:rsidRPr="003033D5" w:rsidRDefault="00335E4B" w:rsidP="00335E4B">
      <w:pPr>
        <w:tabs>
          <w:tab w:val="left" w:pos="1247"/>
          <w:tab w:val="left" w:pos="1814"/>
          <w:tab w:val="left" w:pos="2381"/>
          <w:tab w:val="left" w:pos="2948"/>
          <w:tab w:val="left" w:pos="3515"/>
        </w:tabs>
        <w:bidi w:val="0"/>
        <w:spacing w:after="80"/>
        <w:rPr>
          <w:rFonts w:cs="Times New Roman"/>
          <w:noProof/>
          <w:sz w:val="20"/>
          <w:szCs w:val="22"/>
          <w:lang w:val="de-CH"/>
        </w:rPr>
      </w:pPr>
      <w:r w:rsidRPr="003033D5">
        <w:rPr>
          <w:rFonts w:cs="Times New Roman"/>
          <w:noProof/>
          <w:sz w:val="20"/>
          <w:szCs w:val="22"/>
          <w:lang w:val="de-CH"/>
        </w:rPr>
        <w:t>Waltisberg, 2013: Waltisberg, J., personal communications (2013)</w:t>
      </w:r>
    </w:p>
    <w:p w:rsidR="00335E4B" w:rsidRPr="003033D5" w:rsidRDefault="00335E4B" w:rsidP="00335E4B">
      <w:pPr>
        <w:tabs>
          <w:tab w:val="left" w:pos="1247"/>
          <w:tab w:val="left" w:pos="1814"/>
          <w:tab w:val="left" w:pos="2381"/>
          <w:tab w:val="left" w:pos="2948"/>
          <w:tab w:val="left" w:pos="3515"/>
        </w:tabs>
        <w:bidi w:val="0"/>
        <w:spacing w:after="80"/>
        <w:rPr>
          <w:rFonts w:cs="Times New Roman"/>
          <w:noProof/>
          <w:sz w:val="20"/>
          <w:szCs w:val="22"/>
          <w:lang w:val="de-CH"/>
        </w:rPr>
      </w:pPr>
      <w:r w:rsidRPr="003033D5">
        <w:rPr>
          <w:rFonts w:cs="Times New Roman"/>
          <w:noProof/>
          <w:sz w:val="20"/>
          <w:szCs w:val="22"/>
          <w:lang w:val="de-CH"/>
        </w:rPr>
        <w:t>Weisweiler/Keller, 1992:</w:t>
      </w:r>
      <w:r w:rsidRPr="003033D5" w:rsidDel="00ED0F2E">
        <w:rPr>
          <w:rFonts w:cs="Times New Roman"/>
          <w:noProof/>
          <w:sz w:val="20"/>
          <w:szCs w:val="22"/>
          <w:lang w:val="de-CH"/>
        </w:rPr>
        <w:t xml:space="preserve"> </w:t>
      </w:r>
      <w:r w:rsidRPr="003033D5">
        <w:rPr>
          <w:rFonts w:cs="Times New Roman"/>
          <w:noProof/>
          <w:sz w:val="20"/>
          <w:szCs w:val="22"/>
          <w:lang w:val="de-CH"/>
        </w:rPr>
        <w:t>Weisweiler, W.; Keller, A., Zur Problematik gasförmiger Quecksilber-Emissionen aus Zementwerken, Zement-Kalk-Gips (45 (1992) No. 10, pp. 529–532</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Zheng, 2011: Zheng Y., Mercury Removal from Cement Plants by Sorbent Injection upstream of a Pulse Jet Fabric Filter, PhD Thesis at the Technical University of Denmark (2011), http://wwwx.dtu.dk/upload/kt-chec/phd%20thesis,%20yuanjing%20zheng,%20endelig%20version,%20klar%20til%20print.pdf (accessed 23 January 2014)</w:t>
      </w:r>
    </w:p>
    <w:p w:rsidR="00335E4B" w:rsidRPr="00335E4B" w:rsidRDefault="00335E4B" w:rsidP="00335E4B">
      <w:pPr>
        <w:tabs>
          <w:tab w:val="left" w:pos="1247"/>
          <w:tab w:val="left" w:pos="1814"/>
          <w:tab w:val="left" w:pos="2381"/>
          <w:tab w:val="left" w:pos="2948"/>
          <w:tab w:val="left" w:pos="3515"/>
        </w:tabs>
        <w:bidi w:val="0"/>
        <w:spacing w:after="80"/>
        <w:rPr>
          <w:rFonts w:cs="Times New Roman"/>
          <w:noProof/>
          <w:sz w:val="20"/>
          <w:szCs w:val="22"/>
          <w:lang w:val="en-GB"/>
        </w:rPr>
      </w:pPr>
      <w:r w:rsidRPr="00335E4B">
        <w:rPr>
          <w:rFonts w:cs="Times New Roman"/>
          <w:noProof/>
          <w:sz w:val="20"/>
          <w:szCs w:val="22"/>
          <w:lang w:val="en-GB"/>
        </w:rPr>
        <w:t>Zheng et al., 2012: Zheng, Y.; Jensen, A.D.; Windelin, C.; Jensen, F., Review of technologies for mercury removal from flue gas from cement production processes, Progress in Energy and Combustion Science 38 (2012) pp. 599–629</w:t>
      </w:r>
    </w:p>
    <w:p w:rsidR="00335E4B" w:rsidRDefault="00335E4B">
      <w:pPr>
        <w:bidi w:val="0"/>
        <w:rPr>
          <w:rFonts w:cs="Traditional Arabic"/>
          <w:sz w:val="20"/>
          <w:szCs w:val="30"/>
          <w:rtl/>
        </w:rPr>
      </w:pPr>
      <w:r>
        <w:rPr>
          <w:rFonts w:cs="Traditional Arabic"/>
          <w:sz w:val="20"/>
          <w:szCs w:val="30"/>
          <w:rtl/>
        </w:rPr>
        <w:br w:type="page"/>
      </w:r>
    </w:p>
    <w:p w:rsidR="0071522F" w:rsidRPr="00BE3259" w:rsidRDefault="0071522F" w:rsidP="0093783C">
      <w:pPr>
        <w:spacing w:after="240" w:line="400" w:lineRule="exact"/>
        <w:rPr>
          <w:rFonts w:cs="Traditional Arabic"/>
          <w:b/>
          <w:bCs/>
          <w:szCs w:val="32"/>
          <w:rtl/>
        </w:rPr>
      </w:pPr>
      <w:r w:rsidRPr="00BE3259">
        <w:rPr>
          <w:rFonts w:cs="Traditional Arabic" w:hint="cs"/>
          <w:b/>
          <w:bCs/>
          <w:szCs w:val="32"/>
          <w:rtl/>
        </w:rPr>
        <w:t>التذييل ألف</w:t>
      </w:r>
    </w:p>
    <w:p w:rsidR="0071522F" w:rsidRPr="00BE3259" w:rsidRDefault="0071522F" w:rsidP="00CC71D8">
      <w:pPr>
        <w:tabs>
          <w:tab w:val="left" w:pos="707"/>
          <w:tab w:val="left" w:pos="2488"/>
        </w:tabs>
        <w:spacing w:after="120" w:line="400" w:lineRule="exact"/>
        <w:rPr>
          <w:rFonts w:cs="Traditional Arabic"/>
          <w:b/>
          <w:bCs/>
          <w:szCs w:val="32"/>
          <w:rtl/>
        </w:rPr>
      </w:pPr>
      <w:r w:rsidRPr="00BE3259">
        <w:rPr>
          <w:rFonts w:cs="Traditional Arabic" w:hint="cs"/>
          <w:b/>
          <w:bCs/>
          <w:szCs w:val="32"/>
          <w:rtl/>
        </w:rPr>
        <w:t>التقنيات الناشئة</w:t>
      </w:r>
    </w:p>
    <w:p w:rsidR="00E862D7" w:rsidRDefault="00E862D7" w:rsidP="0093783C">
      <w:pPr>
        <w:spacing w:after="120" w:line="400" w:lineRule="exact"/>
        <w:jc w:val="both"/>
        <w:rPr>
          <w:rFonts w:cs="Traditional Arabic"/>
          <w:sz w:val="20"/>
          <w:szCs w:val="30"/>
          <w:rtl/>
        </w:rPr>
      </w:pPr>
      <w:r w:rsidRPr="00E862D7">
        <w:rPr>
          <w:rFonts w:cs="Traditional Arabic"/>
          <w:sz w:val="20"/>
          <w:szCs w:val="30"/>
          <w:rtl/>
        </w:rPr>
        <w:t xml:space="preserve">حدد الخبراء التقنيون الذين </w:t>
      </w:r>
      <w:r w:rsidR="00120093">
        <w:rPr>
          <w:rFonts w:cs="Traditional Arabic" w:hint="cs"/>
          <w:sz w:val="20"/>
          <w:szCs w:val="30"/>
          <w:rtl/>
        </w:rPr>
        <w:t>ي</w:t>
      </w:r>
      <w:r w:rsidRPr="00E862D7">
        <w:rPr>
          <w:rFonts w:cs="Traditional Arabic"/>
          <w:sz w:val="20"/>
          <w:szCs w:val="30"/>
          <w:rtl/>
        </w:rPr>
        <w:t>ضعو</w:t>
      </w:r>
      <w:r w:rsidR="00120093">
        <w:rPr>
          <w:rFonts w:cs="Traditional Arabic" w:hint="cs"/>
          <w:sz w:val="20"/>
          <w:szCs w:val="30"/>
          <w:rtl/>
        </w:rPr>
        <w:t>ن</w:t>
      </w:r>
      <w:r w:rsidRPr="00E862D7">
        <w:rPr>
          <w:rFonts w:cs="Traditional Arabic"/>
          <w:sz w:val="20"/>
          <w:szCs w:val="30"/>
          <w:rtl/>
        </w:rPr>
        <w:t xml:space="preserve"> التوجيهات بشأن أفضل التقنيات المتاحة وأفضل الممارسات البيئية تقنيات عديدة أظهرت بالفعل فعالية واعدة </w:t>
      </w:r>
      <w:r w:rsidR="00120093">
        <w:rPr>
          <w:rFonts w:cs="Traditional Arabic" w:hint="cs"/>
          <w:sz w:val="20"/>
          <w:szCs w:val="30"/>
          <w:rtl/>
        </w:rPr>
        <w:t>لمراقبة</w:t>
      </w:r>
      <w:r w:rsidRPr="00E862D7">
        <w:rPr>
          <w:rFonts w:cs="Traditional Arabic"/>
          <w:sz w:val="20"/>
          <w:szCs w:val="30"/>
          <w:rtl/>
        </w:rPr>
        <w:t xml:space="preserve"> الزئبق، على الرغم من احتمال كونها لا تزال في مرحلة البداية أو التجربة.</w:t>
      </w:r>
      <w:r>
        <w:rPr>
          <w:rFonts w:cs="Traditional Arabic" w:hint="cs"/>
          <w:sz w:val="20"/>
          <w:szCs w:val="30"/>
          <w:rtl/>
        </w:rPr>
        <w:t xml:space="preserve"> </w:t>
      </w:r>
      <w:r w:rsidRPr="00E862D7">
        <w:rPr>
          <w:rFonts w:cs="Traditional Arabic"/>
          <w:sz w:val="20"/>
          <w:szCs w:val="30"/>
          <w:rtl/>
        </w:rPr>
        <w:t xml:space="preserve">وهذه التقنيات الناشئة إما مخصصة </w:t>
      </w:r>
      <w:r w:rsidR="00120093">
        <w:rPr>
          <w:rFonts w:cs="Traditional Arabic" w:hint="cs"/>
          <w:sz w:val="20"/>
          <w:szCs w:val="30"/>
          <w:rtl/>
        </w:rPr>
        <w:t>لمراقبة</w:t>
      </w:r>
      <w:r w:rsidRPr="00E862D7">
        <w:rPr>
          <w:rFonts w:cs="Traditional Arabic"/>
          <w:sz w:val="20"/>
          <w:szCs w:val="30"/>
          <w:rtl/>
        </w:rPr>
        <w:t xml:space="preserve"> انبعاثات الزئبق أو مصممة </w:t>
      </w:r>
      <w:r w:rsidR="00120093">
        <w:rPr>
          <w:rFonts w:cs="Traditional Arabic" w:hint="cs"/>
          <w:sz w:val="20"/>
          <w:szCs w:val="30"/>
          <w:rtl/>
        </w:rPr>
        <w:t>لمراقبة</w:t>
      </w:r>
      <w:r w:rsidRPr="00E862D7">
        <w:rPr>
          <w:rFonts w:cs="Traditional Arabic"/>
          <w:sz w:val="20"/>
          <w:szCs w:val="30"/>
          <w:rtl/>
        </w:rPr>
        <w:t xml:space="preserve"> انبعاثات الملوثات المتعددة.</w:t>
      </w:r>
      <w:r>
        <w:rPr>
          <w:rFonts w:cs="Traditional Arabic" w:hint="cs"/>
          <w:sz w:val="20"/>
          <w:szCs w:val="30"/>
          <w:rtl/>
        </w:rPr>
        <w:t xml:space="preserve"> </w:t>
      </w:r>
      <w:r w:rsidRPr="00E862D7">
        <w:rPr>
          <w:rFonts w:cs="Traditional Arabic"/>
          <w:sz w:val="20"/>
          <w:szCs w:val="30"/>
          <w:rtl/>
        </w:rPr>
        <w:t>وترد أدناه معلومات عن بعض هذه التقنيات.</w:t>
      </w:r>
      <w:r>
        <w:rPr>
          <w:rFonts w:cs="Traditional Arabic" w:hint="cs"/>
          <w:sz w:val="20"/>
          <w:szCs w:val="30"/>
          <w:rtl/>
        </w:rPr>
        <w:t xml:space="preserve"> </w:t>
      </w:r>
      <w:r w:rsidR="00120093">
        <w:rPr>
          <w:rFonts w:cs="Traditional Arabic" w:hint="cs"/>
          <w:sz w:val="20"/>
          <w:szCs w:val="30"/>
          <w:rtl/>
        </w:rPr>
        <w:t xml:space="preserve">ومن المعروف </w:t>
      </w:r>
      <w:r w:rsidRPr="00E862D7">
        <w:rPr>
          <w:rFonts w:cs="Traditional Arabic"/>
          <w:sz w:val="20"/>
          <w:szCs w:val="30"/>
          <w:rtl/>
        </w:rPr>
        <w:t>أن هذه التقنيات قد لا تكون متوفرة حتى الآن على نطاق واسع، وستحتاج بعض الأطراف إلى بناء القدرات والتدريب لتمكينها من إبقاء هذه التقنيات قيد الاست</w:t>
      </w:r>
      <w:r w:rsidR="00120093">
        <w:rPr>
          <w:rFonts w:cs="Traditional Arabic"/>
          <w:sz w:val="20"/>
          <w:szCs w:val="30"/>
          <w:rtl/>
        </w:rPr>
        <w:t>عراض</w:t>
      </w:r>
      <w:r w:rsidRPr="00E862D7">
        <w:rPr>
          <w:rFonts w:cs="Traditional Arabic"/>
          <w:sz w:val="20"/>
          <w:szCs w:val="30"/>
          <w:rtl/>
        </w:rPr>
        <w:t xml:space="preserve"> وتقييم مدى ملاءمتها.</w:t>
      </w:r>
    </w:p>
    <w:p w:rsidR="002F5A82" w:rsidRDefault="002F5A82">
      <w:pPr>
        <w:bidi w:val="0"/>
        <w:rPr>
          <w:rFonts w:cs="Traditional Arabic"/>
          <w:b/>
          <w:bCs/>
          <w:sz w:val="32"/>
          <w:szCs w:val="32"/>
          <w:rtl/>
        </w:rPr>
      </w:pPr>
      <w:bookmarkStart w:id="2163" w:name="_Toc440456854"/>
      <w:bookmarkStart w:id="2164" w:name="_Toc440526928"/>
      <w:bookmarkStart w:id="2165" w:name="_Toc440527789"/>
      <w:bookmarkStart w:id="2166" w:name="_Toc440550489"/>
      <w:bookmarkStart w:id="2167" w:name="_Toc441577748"/>
      <w:bookmarkStart w:id="2168" w:name="_Toc441577927"/>
      <w:bookmarkStart w:id="2169" w:name="_Toc441579153"/>
      <w:bookmarkStart w:id="2170" w:name="_Toc441580761"/>
      <w:bookmarkStart w:id="2171" w:name="_Toc441585892"/>
      <w:bookmarkStart w:id="2172" w:name="_Toc441586228"/>
      <w:bookmarkStart w:id="2173" w:name="_Toc441586678"/>
      <w:bookmarkStart w:id="2174" w:name="_Toc441586857"/>
      <w:bookmarkStart w:id="2175" w:name="_Toc441666706"/>
      <w:bookmarkStart w:id="2176" w:name="_Toc441673767"/>
      <w:r>
        <w:rPr>
          <w:rFonts w:cs="Traditional Arabic"/>
          <w:b/>
          <w:bCs/>
          <w:sz w:val="32"/>
          <w:szCs w:val="32"/>
          <w:rtl/>
        </w:rPr>
        <w:br w:type="page"/>
      </w:r>
    </w:p>
    <w:p w:rsidR="00427EE9" w:rsidRPr="000D6672" w:rsidRDefault="00427EE9" w:rsidP="0093783C">
      <w:pPr>
        <w:keepNext/>
        <w:spacing w:before="120" w:after="120" w:line="400" w:lineRule="exact"/>
        <w:ind w:left="707" w:hanging="709"/>
        <w:jc w:val="both"/>
        <w:outlineLvl w:val="0"/>
        <w:rPr>
          <w:rFonts w:cs="Traditional Arabic"/>
          <w:b/>
          <w:bCs/>
          <w:sz w:val="32"/>
          <w:szCs w:val="32"/>
          <w:rtl/>
        </w:rPr>
      </w:pPr>
      <w:r w:rsidRPr="000D6672">
        <w:rPr>
          <w:rFonts w:cs="Traditional Arabic" w:hint="cs"/>
          <w:b/>
          <w:bCs/>
          <w:sz w:val="32"/>
          <w:szCs w:val="32"/>
          <w:rtl/>
        </w:rPr>
        <w:t>التقنيات الناشئة</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r w:rsidR="000D6672">
        <w:rPr>
          <w:rFonts w:cs="Traditional Arabic" w:hint="cs"/>
          <w:b/>
          <w:bCs/>
          <w:sz w:val="32"/>
          <w:szCs w:val="32"/>
          <w:rtl/>
        </w:rPr>
        <w:t xml:space="preserve"> لحرق الفحم</w:t>
      </w:r>
    </w:p>
    <w:p w:rsidR="00427EE9" w:rsidRPr="000D6672" w:rsidRDefault="00061672" w:rsidP="0093783C">
      <w:pPr>
        <w:tabs>
          <w:tab w:val="left" w:pos="663"/>
          <w:tab w:val="left" w:pos="1117"/>
          <w:tab w:val="left" w:pos="2230"/>
          <w:tab w:val="center" w:pos="5468"/>
        </w:tabs>
        <w:spacing w:after="120" w:line="400" w:lineRule="exact"/>
        <w:jc w:val="both"/>
        <w:rPr>
          <w:rFonts w:cs="Traditional Arabic"/>
          <w:sz w:val="20"/>
          <w:szCs w:val="30"/>
          <w:rtl/>
          <w:lang w:bidi="ar-EG"/>
        </w:rPr>
      </w:pPr>
      <w:r>
        <w:rPr>
          <w:rFonts w:cs="Traditional Arabic" w:hint="cs"/>
          <w:sz w:val="20"/>
          <w:szCs w:val="30"/>
          <w:rtl/>
          <w:lang w:bidi="ar-EG"/>
        </w:rPr>
        <w:t>ت</w:t>
      </w:r>
      <w:r w:rsidR="00427EE9" w:rsidRPr="000D6672">
        <w:rPr>
          <w:rFonts w:cs="Traditional Arabic" w:hint="cs"/>
          <w:sz w:val="20"/>
          <w:szCs w:val="30"/>
          <w:rtl/>
          <w:lang w:bidi="ar-EG"/>
        </w:rPr>
        <w:t xml:space="preserve">وجد الكثير من التقنيات الناشئة </w:t>
      </w:r>
      <w:r>
        <w:rPr>
          <w:rFonts w:cs="Traditional Arabic" w:hint="cs"/>
          <w:sz w:val="20"/>
          <w:szCs w:val="30"/>
          <w:rtl/>
          <w:lang w:bidi="ar-EG"/>
        </w:rPr>
        <w:t>لمراقبة</w:t>
      </w:r>
      <w:r w:rsidR="00427EE9" w:rsidRPr="000D6672">
        <w:rPr>
          <w:rFonts w:cs="Traditional Arabic" w:hint="cs"/>
          <w:sz w:val="20"/>
          <w:szCs w:val="30"/>
          <w:rtl/>
          <w:lang w:bidi="ar-EG"/>
        </w:rPr>
        <w:t xml:space="preserve"> انبعاثات الزئبق في منشآت الطاقة العاملة بحرق الفحم. ورغم أن بعض هذه التقنيات قد تكون ما زالت في مرحلة البداية أو التجربة فقد أظهرت بالفعل فعالية واعدة </w:t>
      </w:r>
      <w:r>
        <w:rPr>
          <w:rFonts w:cs="Traditional Arabic" w:hint="cs"/>
          <w:sz w:val="20"/>
          <w:szCs w:val="30"/>
          <w:rtl/>
          <w:lang w:bidi="ar-EG"/>
        </w:rPr>
        <w:t>في مراقبة</w:t>
      </w:r>
      <w:r w:rsidR="00427EE9" w:rsidRPr="000D6672">
        <w:rPr>
          <w:rFonts w:cs="Traditional Arabic" w:hint="cs"/>
          <w:sz w:val="20"/>
          <w:szCs w:val="30"/>
          <w:rtl/>
          <w:lang w:bidi="ar-EG"/>
        </w:rPr>
        <w:t xml:space="preserve"> الزئبق وانخفاضاً في التكلفة. والتقنيات الناشئة إما مخصصة </w:t>
      </w:r>
      <w:r>
        <w:rPr>
          <w:rFonts w:cs="Traditional Arabic" w:hint="cs"/>
          <w:sz w:val="20"/>
          <w:szCs w:val="30"/>
          <w:rtl/>
          <w:lang w:bidi="ar-EG"/>
        </w:rPr>
        <w:t>لمراقبة</w:t>
      </w:r>
      <w:r w:rsidR="00427EE9" w:rsidRPr="000D6672">
        <w:rPr>
          <w:rFonts w:cs="Traditional Arabic" w:hint="cs"/>
          <w:sz w:val="20"/>
          <w:szCs w:val="30"/>
          <w:rtl/>
          <w:lang w:bidi="ar-EG"/>
        </w:rPr>
        <w:t xml:space="preserve"> انبعاثات الزئبق أو مصممة </w:t>
      </w:r>
      <w:r>
        <w:rPr>
          <w:rFonts w:cs="Traditional Arabic" w:hint="cs"/>
          <w:sz w:val="20"/>
          <w:szCs w:val="30"/>
          <w:rtl/>
          <w:lang w:bidi="ar-EG"/>
        </w:rPr>
        <w:t>لمراقبة</w:t>
      </w:r>
      <w:r w:rsidR="00427EE9" w:rsidRPr="000D6672">
        <w:rPr>
          <w:rFonts w:cs="Traditional Arabic" w:hint="cs"/>
          <w:sz w:val="20"/>
          <w:szCs w:val="30"/>
          <w:rtl/>
          <w:lang w:bidi="ar-EG"/>
        </w:rPr>
        <w:t xml:space="preserve"> انبعاثات ملوثات متعددة. وترد أدناه معلومات عن بعض هذه التقنيات.</w:t>
      </w:r>
    </w:p>
    <w:p w:rsidR="00427EE9" w:rsidRPr="00061672" w:rsidRDefault="00427EE9" w:rsidP="0093783C">
      <w:pPr>
        <w:keepNext/>
        <w:spacing w:before="120" w:after="120" w:line="400" w:lineRule="exact"/>
        <w:ind w:left="707" w:hanging="709"/>
        <w:jc w:val="both"/>
        <w:outlineLvl w:val="0"/>
        <w:rPr>
          <w:rFonts w:cs="Traditional Arabic"/>
          <w:b/>
          <w:bCs/>
          <w:sz w:val="30"/>
          <w:szCs w:val="30"/>
          <w:rtl/>
        </w:rPr>
      </w:pPr>
      <w:bookmarkStart w:id="2177" w:name="_Toc440456855"/>
      <w:bookmarkStart w:id="2178" w:name="_Toc440526929"/>
      <w:bookmarkStart w:id="2179" w:name="_Toc440527790"/>
      <w:bookmarkStart w:id="2180" w:name="_Toc440550490"/>
      <w:bookmarkStart w:id="2181" w:name="_Toc441577749"/>
      <w:bookmarkStart w:id="2182" w:name="_Toc441577928"/>
      <w:bookmarkStart w:id="2183" w:name="_Toc441579154"/>
      <w:bookmarkStart w:id="2184" w:name="_Toc441580762"/>
      <w:bookmarkStart w:id="2185" w:name="_Toc441585893"/>
      <w:bookmarkStart w:id="2186" w:name="_Toc441586229"/>
      <w:bookmarkStart w:id="2187" w:name="_Toc441586679"/>
      <w:bookmarkStart w:id="2188" w:name="_Toc441586858"/>
      <w:bookmarkStart w:id="2189" w:name="_Toc441666707"/>
      <w:bookmarkStart w:id="2190" w:name="_Toc441673768"/>
      <w:r w:rsidRPr="00061672">
        <w:rPr>
          <w:rFonts w:cs="Traditional Arabic" w:hint="cs"/>
          <w:b/>
          <w:bCs/>
          <w:sz w:val="30"/>
          <w:szCs w:val="30"/>
          <w:rtl/>
        </w:rPr>
        <w:t>المواد الماصة غير الكربونية</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rsidR="00427EE9" w:rsidRPr="00061672" w:rsidRDefault="00427EE9" w:rsidP="0093783C">
      <w:pPr>
        <w:tabs>
          <w:tab w:val="left" w:pos="663"/>
          <w:tab w:val="left" w:pos="1117"/>
          <w:tab w:val="left" w:pos="2230"/>
          <w:tab w:val="center" w:pos="5468"/>
        </w:tabs>
        <w:spacing w:after="120" w:line="400" w:lineRule="exact"/>
        <w:jc w:val="both"/>
        <w:rPr>
          <w:rFonts w:cs="Traditional Arabic"/>
          <w:sz w:val="20"/>
          <w:szCs w:val="30"/>
          <w:rtl/>
          <w:lang w:bidi="ar-EG"/>
        </w:rPr>
      </w:pPr>
      <w:r w:rsidRPr="00061672">
        <w:rPr>
          <w:rFonts w:cs="Traditional Arabic" w:hint="cs"/>
          <w:sz w:val="20"/>
          <w:szCs w:val="30"/>
          <w:rtl/>
          <w:lang w:bidi="ar-EG"/>
        </w:rPr>
        <w:t>الأُكسيدات المعدنية، مثل ثنائي أكسيد التيتانيوم، هي مواد ماصة غير كربونية لزئبق غاز المدخنة. وأظهرت الدراسات التي أجريت في المختبرات وعلى صعيد التجربة في الولايات المتحدة (سوريا</w:t>
      </w:r>
      <w:r w:rsidR="0093783C">
        <w:rPr>
          <w:rFonts w:cs="Traditional Arabic" w:hint="cs"/>
          <w:sz w:val="20"/>
          <w:szCs w:val="30"/>
          <w:rtl/>
          <w:lang w:bidi="ar-EG"/>
        </w:rPr>
        <w:t xml:space="preserve"> </w:t>
      </w:r>
      <w:r w:rsidRPr="00061672">
        <w:rPr>
          <w:rFonts w:cs="Traditional Arabic" w:hint="cs"/>
          <w:sz w:val="20"/>
          <w:szCs w:val="30"/>
          <w:rtl/>
          <w:lang w:bidi="ar-EG"/>
        </w:rPr>
        <w:t>وونغ وآخرون، 2009) كفاءة عالية في التقاط الزئبق تصل إلى 94 في المائة باستعمال ثنائي أكسيد التيتانيوم مع التشعيع فوق البنفسجي. وتستعمل أيضاً المواد الماصة التي تستند إلى النحاس من أجل ضبط انبعاثات الزئبق في غاز المداخن العاملة بحرق الفحم. وتبيَّن أن أكسيدات النحاس المشرَّبة على المواد الماصة المحايدة لأكسيد الألومونيوم (</w:t>
      </w:r>
      <w:r w:rsidRPr="00061672">
        <w:rPr>
          <w:rFonts w:eastAsia="SimSun" w:cs="Traditional Arabic"/>
          <w:sz w:val="20"/>
          <w:szCs w:val="22"/>
        </w:rPr>
        <w:t>CuO</w:t>
      </w:r>
      <w:r w:rsidRPr="00061672">
        <w:rPr>
          <w:rFonts w:eastAsia="SimSun" w:cs="Traditional Arabic"/>
          <w:sz w:val="20"/>
          <w:szCs w:val="22"/>
          <w:vertAlign w:val="subscript"/>
        </w:rPr>
        <w:t>X</w:t>
      </w:r>
      <w:r w:rsidRPr="00061672">
        <w:rPr>
          <w:rFonts w:eastAsia="SimSun" w:cs="Traditional Arabic"/>
          <w:sz w:val="20"/>
          <w:szCs w:val="22"/>
        </w:rPr>
        <w:t>-Al</w:t>
      </w:r>
      <w:r w:rsidRPr="00061672">
        <w:rPr>
          <w:rFonts w:eastAsia="SimSun" w:cs="Traditional Arabic"/>
          <w:sz w:val="20"/>
          <w:szCs w:val="22"/>
          <w:vertAlign w:val="subscript"/>
        </w:rPr>
        <w:t>2</w:t>
      </w:r>
      <w:r w:rsidRPr="00061672">
        <w:rPr>
          <w:rFonts w:eastAsia="SimSun" w:cs="Traditional Arabic"/>
          <w:sz w:val="20"/>
          <w:szCs w:val="22"/>
        </w:rPr>
        <w:t>O</w:t>
      </w:r>
      <w:r w:rsidRPr="00061672">
        <w:rPr>
          <w:rFonts w:eastAsia="SimSun" w:cs="Traditional Arabic"/>
          <w:sz w:val="20"/>
          <w:szCs w:val="22"/>
          <w:vertAlign w:val="subscript"/>
        </w:rPr>
        <w:t>3</w:t>
      </w:r>
      <w:r w:rsidRPr="00061672">
        <w:rPr>
          <w:rFonts w:cs="Traditional Arabic" w:hint="cs"/>
          <w:sz w:val="20"/>
          <w:szCs w:val="30"/>
          <w:rtl/>
          <w:lang w:bidi="ar-EG"/>
        </w:rPr>
        <w:t xml:space="preserve">) تُعزِّز الأكسدة الحفازة للزئبق الأوَّلي في وجود كلوريد الهيدروجين، وكان معدل امتزاز الزئبق أكثر من 75 في المائة من المرحلة الأولى من عملية إزالة الزئبق (دو وآخرون، 2015). ويمكن أيضاً خلط المواد الماصة غير الكربونية بالكربون المنشط لتعزيز الأداء. وخليط أكسيد النحاس-أكسيد الألومونيوم والكربون المنشَّط يمكن أن يزيل أكثر من 90 في المائة من الزئبق النقي بتكلفة أقل في التطبيقات الصناعية (دو وآخرون، 2015). </w:t>
      </w:r>
    </w:p>
    <w:p w:rsidR="00427EE9" w:rsidRPr="00061672" w:rsidRDefault="00427EE9" w:rsidP="0093783C">
      <w:pPr>
        <w:keepNext/>
        <w:spacing w:before="120" w:after="120" w:line="400" w:lineRule="exact"/>
        <w:ind w:left="707" w:hanging="709"/>
        <w:jc w:val="both"/>
        <w:outlineLvl w:val="0"/>
        <w:rPr>
          <w:rFonts w:cs="Traditional Arabic"/>
          <w:b/>
          <w:bCs/>
          <w:sz w:val="30"/>
          <w:szCs w:val="30"/>
          <w:rtl/>
        </w:rPr>
      </w:pPr>
      <w:bookmarkStart w:id="2191" w:name="_Toc440456856"/>
      <w:bookmarkStart w:id="2192" w:name="_Toc440526930"/>
      <w:bookmarkStart w:id="2193" w:name="_Toc440527791"/>
      <w:bookmarkStart w:id="2194" w:name="_Toc440550491"/>
      <w:bookmarkStart w:id="2195" w:name="_Toc441577750"/>
      <w:bookmarkStart w:id="2196" w:name="_Toc441577929"/>
      <w:bookmarkStart w:id="2197" w:name="_Toc441579155"/>
      <w:bookmarkStart w:id="2198" w:name="_Toc441580763"/>
      <w:bookmarkStart w:id="2199" w:name="_Toc441585894"/>
      <w:bookmarkStart w:id="2200" w:name="_Toc441586230"/>
      <w:bookmarkStart w:id="2201" w:name="_Toc441586680"/>
      <w:bookmarkStart w:id="2202" w:name="_Toc441586859"/>
      <w:bookmarkStart w:id="2203" w:name="_Toc441666708"/>
      <w:bookmarkStart w:id="2204" w:name="_Toc441673769"/>
      <w:r w:rsidRPr="00061672">
        <w:rPr>
          <w:rFonts w:cs="Traditional Arabic" w:hint="cs"/>
          <w:b/>
          <w:bCs/>
          <w:sz w:val="30"/>
          <w:szCs w:val="30"/>
          <w:rtl/>
        </w:rPr>
        <w:t>البلازما غير الحرارية</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p>
    <w:p w:rsidR="00427EE9" w:rsidRPr="00061672" w:rsidRDefault="00427EE9" w:rsidP="0093783C">
      <w:pPr>
        <w:tabs>
          <w:tab w:val="left" w:pos="663"/>
          <w:tab w:val="left" w:pos="1117"/>
          <w:tab w:val="left" w:pos="2230"/>
          <w:tab w:val="center" w:pos="5468"/>
        </w:tabs>
        <w:spacing w:after="120" w:line="400" w:lineRule="exact"/>
        <w:jc w:val="both"/>
        <w:rPr>
          <w:rFonts w:cs="Traditional Arabic"/>
          <w:sz w:val="20"/>
          <w:szCs w:val="30"/>
          <w:rtl/>
          <w:lang w:bidi="ar-EG"/>
        </w:rPr>
      </w:pPr>
      <w:r w:rsidRPr="00061672">
        <w:rPr>
          <w:rFonts w:cs="Traditional Arabic" w:hint="cs"/>
          <w:sz w:val="20"/>
          <w:szCs w:val="30"/>
          <w:rtl/>
          <w:lang w:bidi="ar-EG"/>
        </w:rPr>
        <w:t xml:space="preserve">يتيح استعمال البلازما غير الحرارية تكنولوجيا واعدة لأكسدة الزئبق النقي. وقد تم الإقرار بالبلازما غير الحرارية باعتبارها عملية ممكنة لإزالة أكسيد النيتروجين وثاني أكسيد الكبريت والزئبق النقي في آن واحد. والأنواع النشطة كيميائياً مثل الأوكسجين والهيدروكسيل والهيدروبيروكسيل والأوزون، التي تتشكل من تفريغ شحنة هالة نبضية، تحفز على أكسدة الزئبق النقي. ويمكن أن يدعم كلوريد الهيدروجين أكسدة الزئبق بسبب ذرات الكلور الناتجة في عملية البلازما (كو وآخرون، 2008). ومعدل أكسدة الزئبق النقي بنظام تفريغ شحنات حاجز العزل الكهربائي </w:t>
      </w:r>
      <w:r w:rsidRPr="00061672">
        <w:rPr>
          <w:rFonts w:cs="Times New Roman"/>
          <w:sz w:val="20"/>
          <w:szCs w:val="20"/>
          <w:rtl/>
          <w:lang w:bidi="ar-EG"/>
        </w:rPr>
        <w:t>(</w:t>
      </w:r>
      <w:r w:rsidRPr="00061672">
        <w:rPr>
          <w:rFonts w:cs="Times New Roman"/>
          <w:sz w:val="20"/>
          <w:szCs w:val="20"/>
          <w:lang w:bidi="ar-EG"/>
        </w:rPr>
        <w:t>DBD</w:t>
      </w:r>
      <w:r w:rsidRPr="00061672">
        <w:rPr>
          <w:rFonts w:cs="Times New Roman"/>
          <w:sz w:val="20"/>
          <w:szCs w:val="20"/>
          <w:rtl/>
          <w:lang w:bidi="ar-EG"/>
        </w:rPr>
        <w:t>)</w:t>
      </w:r>
      <w:r w:rsidRPr="00061672">
        <w:rPr>
          <w:rFonts w:cs="Traditional Arabic" w:hint="cs"/>
          <w:sz w:val="20"/>
          <w:szCs w:val="30"/>
          <w:rtl/>
          <w:lang w:bidi="ar-EG"/>
        </w:rPr>
        <w:t xml:space="preserve"> يبلغ في المتوسط حوالي 59 في المائة (جيا وآخرون، 2013). وأظهرت دراسة أخرى أن معدلات أكسدة أكسيد النيتروجين وثنائي أكسيد الكبريت والزئبق النقي بنظام تفريغ شحنة الهالة النبضية </w:t>
      </w:r>
      <w:r w:rsidRPr="00061672">
        <w:rPr>
          <w:rFonts w:cs="Times New Roman"/>
          <w:sz w:val="20"/>
          <w:szCs w:val="20"/>
          <w:rtl/>
          <w:lang w:bidi="ar-EG"/>
        </w:rPr>
        <w:t>(</w:t>
      </w:r>
      <w:r w:rsidRPr="00061672">
        <w:rPr>
          <w:rFonts w:cs="Times New Roman"/>
          <w:sz w:val="20"/>
          <w:szCs w:val="20"/>
          <w:lang w:bidi="ar-EG"/>
        </w:rPr>
        <w:t>BCD</w:t>
      </w:r>
      <w:r w:rsidRPr="00061672">
        <w:rPr>
          <w:rFonts w:cs="Times New Roman"/>
          <w:sz w:val="20"/>
          <w:szCs w:val="20"/>
          <w:rtl/>
          <w:lang w:bidi="ar-EG"/>
        </w:rPr>
        <w:t>)</w:t>
      </w:r>
      <w:r w:rsidRPr="00061672">
        <w:rPr>
          <w:rFonts w:cs="Traditional Arabic" w:hint="cs"/>
          <w:sz w:val="20"/>
          <w:szCs w:val="30"/>
          <w:rtl/>
          <w:lang w:bidi="ar-EG"/>
        </w:rPr>
        <w:t xml:space="preserve"> بلغت 40 و98 و55 في المائة على التوالي (زو وآخرون، 2009). </w:t>
      </w:r>
    </w:p>
    <w:p w:rsidR="00427EE9" w:rsidRPr="00061672" w:rsidRDefault="00427EE9" w:rsidP="0093783C">
      <w:pPr>
        <w:keepNext/>
        <w:spacing w:before="120" w:after="120" w:line="400" w:lineRule="exact"/>
        <w:ind w:left="707" w:hanging="709"/>
        <w:jc w:val="both"/>
        <w:outlineLvl w:val="0"/>
        <w:rPr>
          <w:rFonts w:cs="Traditional Arabic"/>
          <w:b/>
          <w:bCs/>
          <w:sz w:val="30"/>
          <w:szCs w:val="30"/>
          <w:rtl/>
        </w:rPr>
      </w:pPr>
      <w:bookmarkStart w:id="2205" w:name="_Toc440456857"/>
      <w:bookmarkStart w:id="2206" w:name="_Toc440526931"/>
      <w:bookmarkStart w:id="2207" w:name="_Toc440527792"/>
      <w:bookmarkStart w:id="2208" w:name="_Toc440550492"/>
      <w:bookmarkStart w:id="2209" w:name="_Toc441577751"/>
      <w:bookmarkStart w:id="2210" w:name="_Toc441577930"/>
      <w:bookmarkStart w:id="2211" w:name="_Toc441579156"/>
      <w:bookmarkStart w:id="2212" w:name="_Toc441580764"/>
      <w:bookmarkStart w:id="2213" w:name="_Toc441585895"/>
      <w:bookmarkStart w:id="2214" w:name="_Toc441586231"/>
      <w:bookmarkStart w:id="2215" w:name="_Toc441586681"/>
      <w:bookmarkStart w:id="2216" w:name="_Toc441586860"/>
      <w:bookmarkStart w:id="2217" w:name="_Toc441666709"/>
      <w:bookmarkStart w:id="2218" w:name="_Toc441673770"/>
      <w:r w:rsidRPr="00061672">
        <w:rPr>
          <w:rFonts w:cs="Traditional Arabic" w:hint="cs"/>
          <w:b/>
          <w:bCs/>
          <w:sz w:val="30"/>
          <w:szCs w:val="30"/>
          <w:rtl/>
        </w:rPr>
        <w:t>فحم الكوك المعالج بالسيريوم</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rsidR="00427EE9" w:rsidRPr="00061672" w:rsidRDefault="00427EE9" w:rsidP="0093783C">
      <w:pPr>
        <w:tabs>
          <w:tab w:val="left" w:pos="663"/>
          <w:tab w:val="left" w:pos="1117"/>
          <w:tab w:val="left" w:pos="2230"/>
          <w:tab w:val="center" w:pos="5468"/>
        </w:tabs>
        <w:spacing w:after="120" w:line="400" w:lineRule="exact"/>
        <w:jc w:val="both"/>
        <w:rPr>
          <w:rFonts w:cs="Traditional Arabic"/>
          <w:sz w:val="20"/>
          <w:szCs w:val="30"/>
          <w:rtl/>
          <w:lang w:bidi="ar-EG"/>
        </w:rPr>
      </w:pPr>
      <w:r w:rsidRPr="00061672">
        <w:rPr>
          <w:rFonts w:cs="Traditional Arabic" w:hint="cs"/>
          <w:sz w:val="20"/>
          <w:szCs w:val="30"/>
          <w:rtl/>
          <w:lang w:bidi="ar-EG"/>
        </w:rPr>
        <w:t>فحم الكوك هو مادة ماصة متجددة لضبط ملوثات متعددة (أكسيد النيتروجين وثنائي أكسيد الكبريت والزئبق النقي). وفحم الكوك المنشط الذي لم يستعمل من قبل يمكن أن يزيل 30-40 في المائة من الزئبق النقي، وإذا تم تحميل الكوك المنشط بنسبة 5 في المائة من ثنائي أكسيد السيريوم فإن أداءه يمكن أن يحقق كفاءة مستقرة في إزالة الزئبق تزيد عن 60 في المائة (هوا وآخرون، 2010).</w:t>
      </w:r>
    </w:p>
    <w:p w:rsidR="00427EE9" w:rsidRPr="00061672" w:rsidRDefault="00427EE9" w:rsidP="000413F5">
      <w:pPr>
        <w:keepNext/>
        <w:spacing w:before="120" w:after="120" w:line="400" w:lineRule="exact"/>
        <w:ind w:left="707" w:hanging="709"/>
        <w:jc w:val="both"/>
        <w:outlineLvl w:val="0"/>
        <w:rPr>
          <w:rFonts w:cs="Traditional Arabic"/>
          <w:b/>
          <w:bCs/>
          <w:sz w:val="30"/>
          <w:szCs w:val="30"/>
          <w:rtl/>
        </w:rPr>
      </w:pPr>
      <w:bookmarkStart w:id="2219" w:name="_Toc440456858"/>
      <w:bookmarkStart w:id="2220" w:name="_Toc440526932"/>
      <w:bookmarkStart w:id="2221" w:name="_Toc440527793"/>
      <w:bookmarkStart w:id="2222" w:name="_Toc440550493"/>
      <w:bookmarkStart w:id="2223" w:name="_Toc441577752"/>
      <w:bookmarkStart w:id="2224" w:name="_Toc441577931"/>
      <w:bookmarkStart w:id="2225" w:name="_Toc441579157"/>
      <w:bookmarkStart w:id="2226" w:name="_Toc441580765"/>
      <w:bookmarkStart w:id="2227" w:name="_Toc441585896"/>
      <w:bookmarkStart w:id="2228" w:name="_Toc441586232"/>
      <w:bookmarkStart w:id="2229" w:name="_Toc441586682"/>
      <w:bookmarkStart w:id="2230" w:name="_Toc441586861"/>
      <w:bookmarkStart w:id="2231" w:name="_Toc441666710"/>
      <w:bookmarkStart w:id="2232" w:name="_Toc441673771"/>
      <w:r w:rsidRPr="00061672">
        <w:rPr>
          <w:rFonts w:cs="Traditional Arabic" w:hint="cs"/>
          <w:b/>
          <w:bCs/>
          <w:sz w:val="30"/>
          <w:szCs w:val="30"/>
          <w:rtl/>
        </w:rPr>
        <w:t>الوحدة المركبة البوليمرية الماصة</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p>
    <w:p w:rsidR="00427EE9" w:rsidRPr="00061672" w:rsidRDefault="00427EE9" w:rsidP="0093783C">
      <w:pPr>
        <w:tabs>
          <w:tab w:val="left" w:pos="663"/>
          <w:tab w:val="left" w:pos="1117"/>
          <w:tab w:val="left" w:pos="2230"/>
          <w:tab w:val="center" w:pos="5468"/>
        </w:tabs>
        <w:spacing w:after="120" w:line="400" w:lineRule="exact"/>
        <w:jc w:val="both"/>
        <w:rPr>
          <w:rFonts w:cs="Traditional Arabic"/>
          <w:sz w:val="20"/>
          <w:szCs w:val="30"/>
          <w:rtl/>
          <w:lang w:bidi="ar-EG"/>
        </w:rPr>
      </w:pPr>
      <w:r w:rsidRPr="00061672">
        <w:rPr>
          <w:rFonts w:cs="Traditional Arabic" w:hint="cs"/>
          <w:sz w:val="20"/>
          <w:szCs w:val="30"/>
          <w:rtl/>
          <w:lang w:bidi="ar-EG"/>
        </w:rPr>
        <w:t xml:space="preserve">تستعمل هذه التقنية تركيباً من مواد ماصة وبوليمرية </w:t>
      </w:r>
      <w:r w:rsidRPr="00061672">
        <w:rPr>
          <w:rFonts w:cs="Times New Roman"/>
          <w:sz w:val="20"/>
          <w:szCs w:val="20"/>
          <w:rtl/>
          <w:lang w:bidi="ar-EG"/>
        </w:rPr>
        <w:t>(</w:t>
      </w:r>
      <w:r w:rsidRPr="00061672">
        <w:rPr>
          <w:rFonts w:cs="Times New Roman"/>
          <w:sz w:val="20"/>
          <w:szCs w:val="20"/>
          <w:lang w:bidi="ar-EG"/>
        </w:rPr>
        <w:t>SPC</w:t>
      </w:r>
      <w:r w:rsidRPr="00061672">
        <w:rPr>
          <w:rFonts w:cs="Times New Roman"/>
          <w:sz w:val="20"/>
          <w:szCs w:val="20"/>
          <w:rtl/>
          <w:lang w:bidi="ar-EG"/>
        </w:rPr>
        <w:t>)</w:t>
      </w:r>
      <w:r w:rsidRPr="00061672">
        <w:rPr>
          <w:rFonts w:cs="Traditional Arabic" w:hint="cs"/>
          <w:sz w:val="20"/>
          <w:szCs w:val="30"/>
          <w:rtl/>
          <w:lang w:bidi="ar-EG"/>
        </w:rPr>
        <w:t xml:space="preserve"> تركب في وحدات وتوضع في مخرج نظام ضبط تلوث الهواء القائم. والوسائط المركبة البوليمرية الماصة يمكن أن تمتص كلا الزئبق النقي والمؤكسد. ويمكن تكديس هذه الوحدات، ولكل وحدة إمكانية محدَّدة لالتقاط الزئبق. ولذلك يتوقف مقدار إزالة الزئبق على عدد الوحدات المستعملة. </w:t>
      </w:r>
    </w:p>
    <w:p w:rsidR="00427EE9" w:rsidRPr="00061672" w:rsidRDefault="00427EE9" w:rsidP="0093783C">
      <w:pPr>
        <w:tabs>
          <w:tab w:val="left" w:pos="663"/>
          <w:tab w:val="left" w:pos="1117"/>
          <w:tab w:val="left" w:pos="2230"/>
          <w:tab w:val="center" w:pos="5468"/>
        </w:tabs>
        <w:spacing w:after="120" w:line="400" w:lineRule="exact"/>
        <w:jc w:val="both"/>
        <w:rPr>
          <w:rFonts w:cs="Traditional Arabic"/>
          <w:sz w:val="20"/>
          <w:szCs w:val="30"/>
          <w:rtl/>
          <w:lang w:bidi="ar-EG"/>
        </w:rPr>
      </w:pPr>
      <w:r w:rsidRPr="00061672">
        <w:rPr>
          <w:rFonts w:cs="Traditional Arabic" w:hint="cs"/>
          <w:sz w:val="20"/>
          <w:szCs w:val="30"/>
          <w:rtl/>
          <w:lang w:bidi="ar-EG"/>
        </w:rPr>
        <w:t>ويمكن تطبيق التقنية المركبة البوليمرية الماصة بالاشتراك مع نُظم ضبط تلوث الهواء الأخرى. ودرجة الحرارة المثلى لامتزاز الزئبق في هذه التقنية هي 85 درجة مئوية وعندما تكون درجة حرارة غاز المدخنة أعلى من ذلك فيمكن تركيب مبرِّد بخاري عند منبع الوحدات.</w:t>
      </w:r>
    </w:p>
    <w:p w:rsidR="00427EE9" w:rsidRPr="00061672" w:rsidRDefault="00427EE9" w:rsidP="0093783C">
      <w:pPr>
        <w:tabs>
          <w:tab w:val="left" w:pos="663"/>
          <w:tab w:val="left" w:pos="1117"/>
          <w:tab w:val="left" w:pos="2230"/>
          <w:tab w:val="center" w:pos="5468"/>
        </w:tabs>
        <w:spacing w:after="120" w:line="400" w:lineRule="exact"/>
        <w:jc w:val="both"/>
        <w:rPr>
          <w:rFonts w:cs="Traditional Arabic"/>
          <w:sz w:val="20"/>
          <w:szCs w:val="30"/>
          <w:rtl/>
          <w:lang w:bidi="ar-EG"/>
        </w:rPr>
      </w:pPr>
      <w:r w:rsidRPr="00061672">
        <w:rPr>
          <w:rFonts w:cs="Traditional Arabic" w:hint="cs"/>
          <w:sz w:val="20"/>
          <w:szCs w:val="30"/>
          <w:rtl/>
          <w:lang w:bidi="ar-EG"/>
        </w:rPr>
        <w:t>وتتمتع سلسلة من الوحدات المركبة البوليمرية الماصة بقدرة على تقليل انبعاثات الزئبق بنسبة 90 في المائة أو أكثر. ومن سمات التقنية المركبة البوليمرية الماصة أن الزئبق المتجمع يتم فصله عن بقايا احتراق الفحم مثل ماء جهاز التنظيف والجبس والرماد المتطاير. وفي الوقت الحاضر يجري تركيب التقنية المركبة البوليمرية الماصة على منشآت طاقة تعمل بحرق الفحم وتبلغ قدرتها قرابة 1000 ميغاواط (الفريق العامل المعني بالزئبق الصفري، 2015).</w:t>
      </w:r>
    </w:p>
    <w:p w:rsidR="00427EE9" w:rsidRDefault="00427EE9" w:rsidP="0093783C">
      <w:pPr>
        <w:bidi w:val="0"/>
        <w:spacing w:after="120" w:line="400" w:lineRule="exact"/>
        <w:rPr>
          <w:rFonts w:cs="Traditional Arabic"/>
          <w:b/>
          <w:bCs/>
          <w:szCs w:val="32"/>
          <w:rtl/>
        </w:rPr>
      </w:pPr>
      <w:r>
        <w:rPr>
          <w:rFonts w:cs="Traditional Arabic"/>
          <w:b/>
          <w:bCs/>
          <w:szCs w:val="32"/>
          <w:rtl/>
        </w:rPr>
        <w:br w:type="page"/>
      </w:r>
    </w:p>
    <w:p w:rsidR="00427EE9" w:rsidRDefault="00D118C5" w:rsidP="00D118C5">
      <w:pPr>
        <w:spacing w:after="120" w:line="400" w:lineRule="exact"/>
        <w:ind w:left="707" w:hanging="707"/>
        <w:jc w:val="both"/>
        <w:rPr>
          <w:rFonts w:cs="Traditional Arabic"/>
          <w:b/>
          <w:bCs/>
          <w:szCs w:val="32"/>
          <w:rtl/>
        </w:rPr>
      </w:pPr>
      <w:r>
        <w:rPr>
          <w:rFonts w:cs="Traditional Arabic" w:hint="cs"/>
          <w:b/>
          <w:bCs/>
          <w:szCs w:val="32"/>
          <w:rtl/>
        </w:rPr>
        <w:tab/>
      </w:r>
      <w:r w:rsidR="00427EE9">
        <w:rPr>
          <w:rFonts w:cs="Traditional Arabic" w:hint="cs"/>
          <w:b/>
          <w:bCs/>
          <w:szCs w:val="32"/>
          <w:rtl/>
        </w:rPr>
        <w:t>العمليات الناشئة والعمليات الأخرى للصهر و</w:t>
      </w:r>
      <w:r w:rsidR="00427EE9" w:rsidRPr="00427EE9">
        <w:rPr>
          <w:rFonts w:cs="Traditional Arabic"/>
          <w:b/>
          <w:bCs/>
          <w:szCs w:val="32"/>
          <w:rtl/>
        </w:rPr>
        <w:t>عمليات التحميص المستخدمة في إنتاج المعادن غير الحديدية (الرصاص والزنك والنحاس والذهب المنتج صناعياً على النحو المحدد في المرفق دال من الاتفاقية)</w:t>
      </w:r>
    </w:p>
    <w:p w:rsidR="00427EE9" w:rsidRPr="00786E68" w:rsidRDefault="00F37B77" w:rsidP="0093783C">
      <w:pPr>
        <w:spacing w:after="120" w:line="400" w:lineRule="exact"/>
        <w:jc w:val="both"/>
        <w:rPr>
          <w:rFonts w:cs="Traditional Arabic"/>
          <w:sz w:val="20"/>
          <w:szCs w:val="30"/>
          <w:rtl/>
        </w:rPr>
      </w:pPr>
      <w:dir w:val="rtl">
        <w:r w:rsidR="00786E68" w:rsidRPr="001B3A98">
          <w:rPr>
            <w:rFonts w:cs="Traditional Arabic" w:hint="cs"/>
            <w:sz w:val="20"/>
            <w:szCs w:val="30"/>
            <w:rtl/>
          </w:rPr>
          <w:t>ينظر</w:t>
        </w:r>
        <w:r w:rsidR="00786E68" w:rsidRPr="00786E68">
          <w:rPr>
            <w:rFonts w:cs="Traditional Arabic"/>
            <w:sz w:val="20"/>
            <w:szCs w:val="30"/>
            <w:rtl/>
          </w:rPr>
          <w:t xml:space="preserve"> </w:t>
        </w:r>
        <w:r w:rsidR="00786E68" w:rsidRPr="001B3A98">
          <w:rPr>
            <w:rFonts w:cs="Traditional Arabic" w:hint="cs"/>
            <w:sz w:val="20"/>
            <w:szCs w:val="30"/>
            <w:rtl/>
          </w:rPr>
          <w:t>هذا</w:t>
        </w:r>
        <w:r w:rsidR="00786E68" w:rsidRPr="00786E68">
          <w:rPr>
            <w:rFonts w:cs="Traditional Arabic"/>
            <w:sz w:val="20"/>
            <w:szCs w:val="30"/>
            <w:rtl/>
          </w:rPr>
          <w:t xml:space="preserve"> </w:t>
        </w:r>
        <w:r w:rsidR="00786E68" w:rsidRPr="001B3A98">
          <w:rPr>
            <w:rFonts w:cs="Traditional Arabic" w:hint="cs"/>
            <w:sz w:val="20"/>
            <w:szCs w:val="30"/>
            <w:rtl/>
          </w:rPr>
          <w:t>القسم</w:t>
        </w:r>
        <w:r w:rsidR="00786E68" w:rsidRPr="00786E68">
          <w:rPr>
            <w:rFonts w:cs="Traditional Arabic"/>
            <w:sz w:val="20"/>
            <w:szCs w:val="30"/>
            <w:rtl/>
          </w:rPr>
          <w:t xml:space="preserve"> </w:t>
        </w:r>
        <w:r w:rsidR="00786E68" w:rsidRPr="001B3A98">
          <w:rPr>
            <w:rFonts w:cs="Traditional Arabic" w:hint="cs"/>
            <w:sz w:val="20"/>
            <w:szCs w:val="30"/>
            <w:rtl/>
          </w:rPr>
          <w:t>في</w:t>
        </w:r>
        <w:r w:rsidR="00786E68" w:rsidRPr="00786E68">
          <w:rPr>
            <w:rFonts w:cs="Traditional Arabic"/>
            <w:sz w:val="20"/>
            <w:szCs w:val="30"/>
            <w:rtl/>
          </w:rPr>
          <w:t xml:space="preserve"> </w:t>
        </w:r>
        <w:r w:rsidR="00786E68" w:rsidRPr="001B3A98">
          <w:rPr>
            <w:rFonts w:cs="Traditional Arabic" w:hint="cs"/>
            <w:sz w:val="20"/>
            <w:szCs w:val="30"/>
            <w:rtl/>
          </w:rPr>
          <w:t>عمليات</w:t>
        </w:r>
        <w:r w:rsidR="00786E68" w:rsidRPr="00786E68">
          <w:rPr>
            <w:rFonts w:cs="Traditional Arabic"/>
            <w:sz w:val="20"/>
            <w:szCs w:val="30"/>
            <w:rtl/>
          </w:rPr>
          <w:t xml:space="preserve"> </w:t>
        </w:r>
        <w:r w:rsidR="00786E68" w:rsidRPr="001B3A98">
          <w:rPr>
            <w:rFonts w:cs="Traditional Arabic" w:hint="cs"/>
            <w:sz w:val="20"/>
            <w:szCs w:val="30"/>
            <w:rtl/>
          </w:rPr>
          <w:t>إزالة</w:t>
        </w:r>
        <w:r w:rsidR="00786E68" w:rsidRPr="00786E68">
          <w:rPr>
            <w:rFonts w:cs="Traditional Arabic"/>
            <w:sz w:val="20"/>
            <w:szCs w:val="30"/>
            <w:rtl/>
          </w:rPr>
          <w:t xml:space="preserve"> </w:t>
        </w:r>
        <w:r w:rsidR="00786E68" w:rsidRPr="001B3A98">
          <w:rPr>
            <w:rFonts w:cs="Traditional Arabic" w:hint="cs"/>
            <w:sz w:val="20"/>
            <w:szCs w:val="30"/>
            <w:rtl/>
          </w:rPr>
          <w:t>الزئبق</w:t>
        </w:r>
        <w:r w:rsidR="00786E68" w:rsidRPr="00786E68">
          <w:rPr>
            <w:rFonts w:cs="Traditional Arabic"/>
            <w:sz w:val="20"/>
            <w:szCs w:val="30"/>
            <w:rtl/>
          </w:rPr>
          <w:t xml:space="preserve"> </w:t>
        </w:r>
        <w:r w:rsidR="00786E68" w:rsidRPr="001B3A98">
          <w:rPr>
            <w:rFonts w:cs="Traditional Arabic" w:hint="cs"/>
            <w:sz w:val="20"/>
            <w:szCs w:val="30"/>
            <w:rtl/>
          </w:rPr>
          <w:t>الناشئة</w:t>
        </w:r>
        <w:r w:rsidR="00786E68" w:rsidRPr="00786E68">
          <w:rPr>
            <w:rFonts w:cs="Traditional Arabic"/>
            <w:sz w:val="20"/>
            <w:szCs w:val="30"/>
            <w:rtl/>
          </w:rPr>
          <w:t xml:space="preserve"> </w:t>
        </w:r>
        <w:r w:rsidR="00786E68" w:rsidRPr="001B3A98">
          <w:rPr>
            <w:rFonts w:cs="Traditional Arabic" w:hint="cs"/>
            <w:sz w:val="20"/>
            <w:szCs w:val="30"/>
            <w:rtl/>
          </w:rPr>
          <w:t>أو</w:t>
        </w:r>
        <w:r w:rsidR="00786E68" w:rsidRPr="00786E68">
          <w:rPr>
            <w:rFonts w:cs="Traditional Arabic"/>
            <w:sz w:val="20"/>
            <w:szCs w:val="30"/>
            <w:rtl/>
          </w:rPr>
          <w:t xml:space="preserve"> </w:t>
        </w:r>
        <w:r w:rsidR="00786E68" w:rsidRPr="001B3A98">
          <w:rPr>
            <w:rFonts w:cs="Traditional Arabic" w:hint="cs"/>
            <w:sz w:val="20"/>
            <w:szCs w:val="30"/>
            <w:rtl/>
          </w:rPr>
          <w:t>التي</w:t>
        </w:r>
        <w:r w:rsidR="00786E68" w:rsidRPr="00786E68">
          <w:rPr>
            <w:rFonts w:cs="Traditional Arabic"/>
            <w:sz w:val="20"/>
            <w:szCs w:val="30"/>
            <w:rtl/>
          </w:rPr>
          <w:t xml:space="preserve"> </w:t>
        </w:r>
        <w:r w:rsidR="00786E68" w:rsidRPr="001B3A98">
          <w:rPr>
            <w:rFonts w:cs="Traditional Arabic" w:hint="cs"/>
            <w:sz w:val="20"/>
            <w:szCs w:val="30"/>
            <w:rtl/>
          </w:rPr>
          <w:t>لا</w:t>
        </w:r>
        <w:r w:rsidR="00786E68" w:rsidRPr="00786E68">
          <w:rPr>
            <w:rFonts w:cs="Traditional Arabic"/>
            <w:sz w:val="20"/>
            <w:szCs w:val="30"/>
            <w:rtl/>
          </w:rPr>
          <w:t xml:space="preserve"> </w:t>
        </w:r>
        <w:r w:rsidR="00786E68" w:rsidRPr="001B3A98">
          <w:rPr>
            <w:rFonts w:cs="Traditional Arabic" w:hint="cs"/>
            <w:sz w:val="20"/>
            <w:szCs w:val="30"/>
            <w:rtl/>
          </w:rPr>
          <w:t>تطبق</w:t>
        </w:r>
        <w:r w:rsidR="00786E68" w:rsidRPr="00786E68">
          <w:rPr>
            <w:rFonts w:cs="Traditional Arabic"/>
            <w:sz w:val="20"/>
            <w:szCs w:val="30"/>
            <w:rtl/>
          </w:rPr>
          <w:t xml:space="preserve"> </w:t>
        </w:r>
        <w:r w:rsidR="00786E68" w:rsidRPr="001B3A98">
          <w:rPr>
            <w:rFonts w:cs="Traditional Arabic" w:hint="cs"/>
            <w:sz w:val="20"/>
            <w:szCs w:val="30"/>
            <w:rtl/>
          </w:rPr>
          <w:t>على</w:t>
        </w:r>
        <w:r w:rsidR="00786E68" w:rsidRPr="00786E68">
          <w:rPr>
            <w:rFonts w:cs="Traditional Arabic"/>
            <w:sz w:val="20"/>
            <w:szCs w:val="30"/>
            <w:rtl/>
          </w:rPr>
          <w:t xml:space="preserve"> </w:t>
        </w:r>
        <w:r w:rsidR="00786E68" w:rsidRPr="001B3A98">
          <w:rPr>
            <w:rFonts w:cs="Traditional Arabic" w:hint="cs"/>
            <w:sz w:val="20"/>
            <w:szCs w:val="30"/>
            <w:rtl/>
          </w:rPr>
          <w:t>نطاق</w:t>
        </w:r>
        <w:r w:rsidR="00786E68" w:rsidRPr="00786E68">
          <w:rPr>
            <w:rFonts w:cs="Traditional Arabic"/>
            <w:sz w:val="20"/>
            <w:szCs w:val="30"/>
            <w:rtl/>
          </w:rPr>
          <w:t xml:space="preserve"> </w:t>
        </w:r>
        <w:r w:rsidR="00786E68" w:rsidRPr="001B3A98">
          <w:rPr>
            <w:rFonts w:cs="Traditional Arabic" w:hint="cs"/>
            <w:sz w:val="20"/>
            <w:szCs w:val="30"/>
            <w:rtl/>
          </w:rPr>
          <w:t>واسع</w:t>
        </w:r>
        <w:r w:rsidR="00786E68" w:rsidRPr="00786E68">
          <w:rPr>
            <w:rFonts w:cs="Traditional Arabic"/>
            <w:sz w:val="20"/>
            <w:szCs w:val="30"/>
            <w:rtl/>
          </w:rPr>
          <w:t>.</w:t>
        </w:r>
        <w:r w:rsidR="000A4605">
          <w:t>‬</w:t>
        </w:r>
        <w:r w:rsidR="002B36BF">
          <w:t>‬</w:t>
        </w:r>
        <w:r w:rsidR="007911CF">
          <w:t>‬</w:t>
        </w:r>
        <w:r w:rsidR="008318BD">
          <w:t>‬</w:t>
        </w:r>
        <w:r w:rsidR="00A20BAE">
          <w:t>‬</w:t>
        </w:r>
        <w:r w:rsidR="0004506D">
          <w:t>‬</w:t>
        </w:r>
        <w:r w:rsidR="00194C2F">
          <w:t>‬</w:t>
        </w:r>
        <w:r w:rsidR="00A260EF">
          <w:t>‬</w:t>
        </w:r>
        <w:r w:rsidR="00C034D6">
          <w:t>‬</w:t>
        </w:r>
        <w:r>
          <w:t>‬</w:t>
        </w:r>
      </w:dir>
    </w:p>
    <w:p w:rsidR="0071522F" w:rsidRDefault="00786E68" w:rsidP="0093783C">
      <w:pPr>
        <w:spacing w:after="120" w:line="400" w:lineRule="exact"/>
        <w:rPr>
          <w:rFonts w:ascii="MS Mincho" w:eastAsia="MS Mincho" w:hAnsi="MS Mincho" w:cs="MS Mincho"/>
          <w:b/>
          <w:bCs/>
          <w:szCs w:val="32"/>
          <w:rtl/>
        </w:rPr>
      </w:pPr>
      <w:r w:rsidRPr="00786E68">
        <w:rPr>
          <w:rFonts w:cs="Traditional Arabic"/>
          <w:b/>
          <w:bCs/>
          <w:szCs w:val="32"/>
          <w:rtl/>
        </w:rPr>
        <w:t>أجهزة الشطف باستخدام السلنيوم</w:t>
      </w:r>
      <w:r w:rsidRPr="00786E68">
        <w:rPr>
          <w:rFonts w:ascii="MS Mincho" w:eastAsia="MS Mincho" w:hAnsi="MS Mincho" w:cs="MS Mincho" w:hint="eastAsia"/>
          <w:b/>
          <w:bCs/>
          <w:szCs w:val="32"/>
          <w:rtl/>
        </w:rPr>
        <w:t>‬</w:t>
      </w:r>
    </w:p>
    <w:p w:rsidR="001B3A98" w:rsidRPr="001B3A98" w:rsidRDefault="00786E68" w:rsidP="0093783C">
      <w:pPr>
        <w:spacing w:after="120" w:line="400" w:lineRule="exact"/>
        <w:jc w:val="both"/>
        <w:rPr>
          <w:rFonts w:cs="Traditional Arabic"/>
          <w:sz w:val="20"/>
          <w:szCs w:val="30"/>
          <w:rtl/>
        </w:rPr>
      </w:pPr>
      <w:r w:rsidRPr="00786E68">
        <w:rPr>
          <w:rFonts w:cs="Traditional Arabic" w:hint="cs"/>
          <w:sz w:val="20"/>
          <w:szCs w:val="30"/>
          <w:rtl/>
        </w:rPr>
        <w:t>جهاز</w:t>
      </w:r>
      <w:r w:rsidRPr="00786E68">
        <w:rPr>
          <w:rFonts w:cs="Traditional Arabic"/>
          <w:sz w:val="20"/>
          <w:szCs w:val="30"/>
          <w:rtl/>
        </w:rPr>
        <w:t xml:space="preserve"> الشطف باستخدام السلنيوم</w:t>
      </w:r>
      <w:r>
        <w:rPr>
          <w:rFonts w:cs="Traditional Arabic" w:hint="cs"/>
          <w:sz w:val="20"/>
          <w:szCs w:val="30"/>
          <w:rtl/>
        </w:rPr>
        <w:t xml:space="preserve"> </w:t>
      </w:r>
      <w:bookmarkStart w:id="2233" w:name="_DV_C1100"/>
      <w:r w:rsidRPr="00786E68">
        <w:rPr>
          <w:rStyle w:val="DeltaViewInsertion"/>
          <w:rFonts w:eastAsia="SimSun"/>
          <w:color w:val="auto"/>
          <w:szCs w:val="22"/>
          <w:u w:val="none"/>
        </w:rPr>
        <w:fldChar w:fldCharType="begin"/>
      </w:r>
      <w:r w:rsidRPr="00786E68">
        <w:rPr>
          <w:rStyle w:val="DeltaViewInsertion"/>
          <w:rFonts w:eastAsia="SimSun"/>
          <w:color w:val="auto"/>
          <w:szCs w:val="22"/>
          <w:u w:val="none"/>
        </w:rPr>
        <w:instrText xml:space="preserve"> ADDIN EN.CITE </w:instrText>
      </w:r>
      <w:r w:rsidRPr="00786E68">
        <w:rPr>
          <w:rStyle w:val="DeltaViewInsertion"/>
          <w:rFonts w:eastAsia="SimSun"/>
          <w:color w:val="auto"/>
          <w:szCs w:val="22"/>
          <w:u w:val="none"/>
        </w:rPr>
        <w:fldChar w:fldCharType="begin"/>
      </w:r>
      <w:r w:rsidRPr="00786E68">
        <w:rPr>
          <w:rStyle w:val="DeltaViewInsertion"/>
          <w:rFonts w:eastAsia="SimSun"/>
          <w:color w:val="auto"/>
          <w:szCs w:val="22"/>
          <w:u w:val="none"/>
        </w:rPr>
        <w:instrText xml:space="preserve"> ADDIN EN.CITE.DATA </w:instrText>
      </w:r>
      <w:r w:rsidRPr="00786E68">
        <w:rPr>
          <w:rStyle w:val="DeltaViewInsertion"/>
          <w:rFonts w:eastAsia="SimSun"/>
          <w:color w:val="auto"/>
          <w:szCs w:val="22"/>
          <w:u w:val="none"/>
        </w:rPr>
        <w:fldChar w:fldCharType="end"/>
      </w:r>
      <w:r w:rsidRPr="00786E68">
        <w:rPr>
          <w:rStyle w:val="DeltaViewInsertion"/>
          <w:rFonts w:eastAsia="SimSun"/>
          <w:color w:val="auto"/>
          <w:szCs w:val="22"/>
          <w:u w:val="none"/>
        </w:rPr>
        <w:fldChar w:fldCharType="separate"/>
      </w:r>
      <w:r w:rsidRPr="00786E68">
        <w:rPr>
          <w:rStyle w:val="DeltaViewInsertion"/>
          <w:rFonts w:eastAsia="SimSun"/>
          <w:noProof/>
          <w:color w:val="auto"/>
          <w:szCs w:val="22"/>
          <w:u w:val="none"/>
        </w:rPr>
        <w:t>(</w:t>
      </w:r>
      <w:hyperlink w:anchor="_ENREF_11" w:tooltip="Sundstorm, 1975 #15044" w:history="1">
        <w:r w:rsidRPr="00786E68">
          <w:rPr>
            <w:rStyle w:val="DeltaViewInsertion"/>
            <w:rFonts w:eastAsia="SimSun"/>
            <w:noProof/>
            <w:color w:val="auto"/>
            <w:szCs w:val="22"/>
            <w:u w:val="none"/>
          </w:rPr>
          <w:t>Sundström, 1975</w:t>
        </w:r>
      </w:hyperlink>
      <w:r w:rsidRPr="00786E68">
        <w:rPr>
          <w:rStyle w:val="DeltaViewInsertion"/>
          <w:rFonts w:eastAsia="SimSun"/>
          <w:noProof/>
          <w:color w:val="auto"/>
          <w:szCs w:val="22"/>
          <w:u w:val="none"/>
        </w:rPr>
        <w:t xml:space="preserve">; </w:t>
      </w:r>
      <w:hyperlink w:anchor="_ENREF_9" w:tooltip="Reimers, 1976 #15045" w:history="1">
        <w:r w:rsidRPr="00786E68">
          <w:rPr>
            <w:rStyle w:val="DeltaViewInsertion"/>
            <w:rFonts w:eastAsia="SimSun"/>
            <w:noProof/>
            <w:color w:val="auto"/>
            <w:szCs w:val="22"/>
            <w:u w:val="none"/>
          </w:rPr>
          <w:t>Reimers et al., 1976</w:t>
        </w:r>
      </w:hyperlink>
      <w:r w:rsidRPr="00786E68">
        <w:rPr>
          <w:rStyle w:val="DeltaViewInsertion"/>
          <w:rFonts w:eastAsia="SimSun"/>
          <w:noProof/>
          <w:color w:val="auto"/>
          <w:szCs w:val="22"/>
          <w:u w:val="none"/>
        </w:rPr>
        <w:t xml:space="preserve">; </w:t>
      </w:r>
      <w:hyperlink w:anchor="_ENREF_4" w:tooltip="Coleman, 1978 #15047" w:history="1">
        <w:r w:rsidRPr="00786E68">
          <w:rPr>
            <w:rStyle w:val="DeltaViewInsertion"/>
            <w:rFonts w:eastAsia="SimSun"/>
            <w:noProof/>
            <w:color w:val="auto"/>
            <w:szCs w:val="22"/>
            <w:u w:val="none"/>
          </w:rPr>
          <w:t>Coleman, 1978</w:t>
        </w:r>
      </w:hyperlink>
      <w:r w:rsidRPr="00786E68">
        <w:rPr>
          <w:rStyle w:val="DeltaViewInsertion"/>
          <w:rFonts w:eastAsia="SimSun"/>
          <w:noProof/>
          <w:color w:val="auto"/>
          <w:szCs w:val="22"/>
          <w:u w:val="none"/>
        </w:rPr>
        <w:t xml:space="preserve">; </w:t>
      </w:r>
      <w:hyperlink w:anchor="_ENREF_5" w:tooltip="Habashi, 1978 #15046" w:history="1">
        <w:r w:rsidRPr="00786E68">
          <w:rPr>
            <w:rStyle w:val="DeltaViewInsertion"/>
            <w:rFonts w:eastAsia="SimSun"/>
            <w:noProof/>
            <w:color w:val="auto"/>
            <w:szCs w:val="22"/>
            <w:u w:val="none"/>
          </w:rPr>
          <w:t>Habashi, 1978</w:t>
        </w:r>
      </w:hyperlink>
      <w:r w:rsidRPr="00786E68">
        <w:rPr>
          <w:rStyle w:val="DeltaViewInsertion"/>
          <w:rFonts w:eastAsia="SimSun"/>
          <w:noProof/>
          <w:color w:val="auto"/>
          <w:szCs w:val="22"/>
          <w:u w:val="none"/>
        </w:rPr>
        <w:t>)</w:t>
      </w:r>
      <w:r w:rsidRPr="00786E68">
        <w:rPr>
          <w:rStyle w:val="DeltaViewInsertion"/>
          <w:rFonts w:eastAsia="SimSun"/>
          <w:color w:val="auto"/>
          <w:szCs w:val="22"/>
          <w:u w:val="none"/>
        </w:rPr>
        <w:fldChar w:fldCharType="end"/>
      </w:r>
      <w:bookmarkEnd w:id="2233"/>
      <w:r w:rsidRPr="00786E68">
        <w:rPr>
          <w:rStyle w:val="DeltaViewInsertion"/>
          <w:rFonts w:eastAsia="SimSun"/>
          <w:color w:val="auto"/>
          <w:szCs w:val="22"/>
          <w:u w:val="none"/>
        </w:rPr>
        <w:t xml:space="preserve"> </w:t>
      </w:r>
      <w:r w:rsidRPr="00786E68">
        <w:rPr>
          <w:rFonts w:cs="Traditional Arabic" w:hint="cs"/>
          <w:sz w:val="20"/>
          <w:szCs w:val="30"/>
          <w:rtl/>
        </w:rPr>
        <w:t xml:space="preserve">هو جهاز شطف رطب </w:t>
      </w:r>
      <w:r w:rsidR="001B3A98" w:rsidRPr="001B3A98">
        <w:rPr>
          <w:rFonts w:cs="Traditional Arabic"/>
          <w:sz w:val="20"/>
          <w:szCs w:val="30"/>
          <w:rtl/>
        </w:rPr>
        <w:t>يستخدم التفاعل بين الزئبق والسلنيوم الصلب غير المتبلور في حمض الكبريتيك. ويستخدم أساساً لإزالة التركيزات المرتفعة من بخار الزئبق. ويحافظ على تركيز الحمض ضمن نطاق يتراوح بين 20 و40 في المائة. ويجب الإبقاء على تركيز الحمض ضمن هذه الحدود لأن التركيزات الحمضية المنخفضة تؤدي إلى تكوين السلنيوم والكبريت لمركبات معقدة وشديدة القابلية للذوبان، الأمر الذي يجعل الحمض غير فعال في التفاعل مع الزئبق الموجود في الغاز. أما في التركيزات الأعلى من الحمض، فتؤدي قوة أكسدة الحمض إلى تشكيل ثنائي أكسيد السلنيوم أو السلنيت.</w:t>
      </w:r>
    </w:p>
    <w:p w:rsidR="001B3A98" w:rsidRPr="001B3A98" w:rsidRDefault="001B3A98" w:rsidP="0093783C">
      <w:pPr>
        <w:spacing w:after="120" w:line="400" w:lineRule="exact"/>
        <w:jc w:val="both"/>
        <w:rPr>
          <w:rFonts w:cs="Traditional Arabic"/>
          <w:sz w:val="20"/>
          <w:szCs w:val="30"/>
          <w:rtl/>
        </w:rPr>
      </w:pPr>
      <w:r w:rsidRPr="001B3A98">
        <w:rPr>
          <w:rFonts w:cs="Traditional Arabic"/>
          <w:sz w:val="20"/>
          <w:szCs w:val="30"/>
          <w:rtl/>
        </w:rPr>
        <w:t>وإذا كان الغاز الذي يخضع للمعالجة يحتوي على ما يكفي من السلنيوم، قد لا تلزم إضافة السلنيوم إلى محلول الشطف</w:t>
      </w:r>
      <w:r w:rsidRPr="001B3A98">
        <w:rPr>
          <w:rFonts w:cs="Traditional Arabic" w:hint="cs"/>
          <w:sz w:val="20"/>
          <w:szCs w:val="30"/>
          <w:rtl/>
        </w:rPr>
        <w:t>.</w:t>
      </w:r>
      <w:r w:rsidRPr="001B3A98">
        <w:rPr>
          <w:rFonts w:cs="Traditional Arabic"/>
          <w:sz w:val="20"/>
          <w:szCs w:val="30"/>
          <w:rtl/>
        </w:rPr>
        <w:t xml:space="preserve"> وتتراوح نسبة كفاءة جهاز شطف السلنيوم في إزالة الزئبق بين 90 و95 في المائة، الأمر الذي تنتج عنه تركيزات زئبق تبلغ حوالي 0</w:t>
      </w:r>
      <w:r w:rsidRPr="001B3A98">
        <w:rPr>
          <w:rFonts w:cs="Traditional Arabic" w:hint="cs"/>
          <w:sz w:val="20"/>
          <w:szCs w:val="30"/>
          <w:rtl/>
        </w:rPr>
        <w:t>,</w:t>
      </w:r>
      <w:r w:rsidRPr="001B3A98">
        <w:rPr>
          <w:rFonts w:cs="Traditional Arabic"/>
          <w:sz w:val="20"/>
          <w:szCs w:val="30"/>
          <w:rtl/>
        </w:rPr>
        <w:t>2 مليغرام/متر مكعب.</w:t>
      </w:r>
      <w:r w:rsidRPr="001B3A98">
        <w:rPr>
          <w:rFonts w:cs="Traditional Arabic" w:hint="cs"/>
          <w:sz w:val="20"/>
          <w:szCs w:val="30"/>
          <w:rtl/>
        </w:rPr>
        <w:t xml:space="preserve"> </w:t>
      </w:r>
      <w:r w:rsidRPr="001B3A98">
        <w:rPr>
          <w:rFonts w:cs="Traditional Arabic"/>
          <w:sz w:val="20"/>
          <w:szCs w:val="30"/>
          <w:rtl/>
        </w:rPr>
        <w:t>أما في حالة التركيزات المنخفضة للزئبق الوارد، فقد تكون كفاءة الإزالة أقل من 90 في المائة.</w:t>
      </w:r>
    </w:p>
    <w:p w:rsidR="001B3A98" w:rsidRPr="001B3A98" w:rsidRDefault="001B3A98" w:rsidP="00461F80">
      <w:pPr>
        <w:keepNext/>
        <w:tabs>
          <w:tab w:val="left" w:pos="991"/>
        </w:tabs>
        <w:spacing w:before="120" w:after="120" w:line="400" w:lineRule="exact"/>
        <w:jc w:val="both"/>
        <w:outlineLvl w:val="0"/>
        <w:rPr>
          <w:rFonts w:cs="Traditional Arabic"/>
          <w:b/>
          <w:bCs/>
          <w:sz w:val="20"/>
          <w:szCs w:val="30"/>
          <w:rtl/>
          <w:lang w:bidi="ar-EG"/>
        </w:rPr>
      </w:pPr>
      <w:bookmarkStart w:id="2234" w:name="_Toc440550582"/>
      <w:bookmarkStart w:id="2235" w:name="_Toc441577832"/>
      <w:bookmarkStart w:id="2236" w:name="_Toc441578011"/>
      <w:bookmarkStart w:id="2237" w:name="_Toc441580845"/>
      <w:bookmarkStart w:id="2238" w:name="_Toc441585976"/>
      <w:bookmarkStart w:id="2239" w:name="_Toc441586312"/>
      <w:bookmarkStart w:id="2240" w:name="_Toc441586762"/>
      <w:bookmarkStart w:id="2241" w:name="_Toc441586941"/>
      <w:bookmarkStart w:id="2242" w:name="_Toc441666790"/>
      <w:bookmarkStart w:id="2243" w:name="_Toc441673851"/>
      <w:r w:rsidRPr="001B3A98">
        <w:rPr>
          <w:rFonts w:cs="Traditional Arabic"/>
          <w:b/>
          <w:bCs/>
          <w:sz w:val="20"/>
          <w:szCs w:val="30"/>
          <w:rtl/>
          <w:lang w:bidi="ar-EG"/>
        </w:rPr>
        <w:t>الإزالة بالتفاعل مع حمض الكبريتيك</w:t>
      </w:r>
      <w:bookmarkEnd w:id="2234"/>
      <w:bookmarkEnd w:id="2235"/>
      <w:bookmarkEnd w:id="2236"/>
      <w:bookmarkEnd w:id="2237"/>
      <w:bookmarkEnd w:id="2238"/>
      <w:bookmarkEnd w:id="2239"/>
      <w:bookmarkEnd w:id="2240"/>
      <w:bookmarkEnd w:id="2241"/>
      <w:bookmarkEnd w:id="2242"/>
      <w:bookmarkEnd w:id="2243"/>
    </w:p>
    <w:p w:rsidR="001B3A98" w:rsidRPr="001B3A98" w:rsidRDefault="001B3A98" w:rsidP="0093783C">
      <w:pPr>
        <w:keepNext/>
        <w:tabs>
          <w:tab w:val="left" w:pos="565"/>
        </w:tabs>
        <w:spacing w:before="120" w:after="120" w:line="400" w:lineRule="exact"/>
        <w:ind w:left="990" w:hanging="990"/>
        <w:jc w:val="both"/>
        <w:outlineLvl w:val="0"/>
        <w:rPr>
          <w:rFonts w:cs="Traditional Arabic"/>
          <w:b/>
          <w:bCs/>
          <w:sz w:val="20"/>
          <w:szCs w:val="30"/>
          <w:rtl/>
          <w:lang w:bidi="ar-EG"/>
        </w:rPr>
      </w:pPr>
      <w:bookmarkStart w:id="2244" w:name="_Toc440550583"/>
      <w:bookmarkStart w:id="2245" w:name="_Toc441577833"/>
      <w:bookmarkStart w:id="2246" w:name="_Toc441578012"/>
      <w:bookmarkStart w:id="2247" w:name="_Toc441580846"/>
      <w:bookmarkStart w:id="2248" w:name="_Toc441585977"/>
      <w:bookmarkStart w:id="2249" w:name="_Toc441586313"/>
      <w:bookmarkStart w:id="2250" w:name="_Toc441586763"/>
      <w:bookmarkStart w:id="2251" w:name="_Toc441586942"/>
      <w:bookmarkStart w:id="2252" w:name="_Toc441666791"/>
      <w:bookmarkStart w:id="2253" w:name="_Toc441673852"/>
      <w:r w:rsidRPr="001B3A98">
        <w:rPr>
          <w:rFonts w:cs="Traditional Arabic" w:hint="cs"/>
          <w:b/>
          <w:bCs/>
          <w:sz w:val="20"/>
          <w:szCs w:val="30"/>
          <w:rtl/>
          <w:lang w:bidi="ar-EG"/>
        </w:rPr>
        <w:t>الوصف</w:t>
      </w:r>
      <w:bookmarkEnd w:id="2244"/>
      <w:bookmarkEnd w:id="2245"/>
      <w:bookmarkEnd w:id="2246"/>
      <w:bookmarkEnd w:id="2247"/>
      <w:bookmarkEnd w:id="2248"/>
      <w:bookmarkEnd w:id="2249"/>
      <w:bookmarkEnd w:id="2250"/>
      <w:bookmarkEnd w:id="2251"/>
      <w:bookmarkEnd w:id="2252"/>
      <w:bookmarkEnd w:id="2253"/>
    </w:p>
    <w:p w:rsidR="001B3A98" w:rsidRPr="001B3A98" w:rsidRDefault="001B3A98" w:rsidP="0093783C">
      <w:pPr>
        <w:spacing w:after="120" w:line="400" w:lineRule="exact"/>
        <w:jc w:val="both"/>
        <w:rPr>
          <w:rFonts w:cs="Traditional Arabic"/>
          <w:sz w:val="20"/>
          <w:szCs w:val="30"/>
          <w:rtl/>
        </w:rPr>
      </w:pPr>
      <w:r w:rsidRPr="001B3A98">
        <w:rPr>
          <w:rFonts w:cs="Traditional Arabic"/>
          <w:sz w:val="20"/>
          <w:szCs w:val="30"/>
          <w:rtl/>
        </w:rPr>
        <w:t xml:space="preserve">جرى تطوير عدد من التقنيات </w:t>
      </w:r>
      <w:r w:rsidRPr="001B3A98">
        <w:rPr>
          <w:rFonts w:cs="Traditional Arabic" w:hint="cs"/>
          <w:sz w:val="20"/>
          <w:szCs w:val="30"/>
          <w:rtl/>
        </w:rPr>
        <w:t>لضبط</w:t>
      </w:r>
      <w:r w:rsidRPr="001B3A98">
        <w:rPr>
          <w:rFonts w:cs="Traditional Arabic"/>
          <w:sz w:val="20"/>
          <w:szCs w:val="30"/>
          <w:rtl/>
        </w:rPr>
        <w:t xml:space="preserve"> انبعاثات الزئبق الناجمة عن الصهر والتحميص، وذلك على أساس التفاعل</w:t>
      </w:r>
      <w:r w:rsidRPr="001B3A98">
        <w:rPr>
          <w:rFonts w:cs="Traditional Arabic"/>
          <w:bCs/>
          <w:sz w:val="20"/>
          <w:szCs w:val="30"/>
          <w:rtl/>
        </w:rPr>
        <w:t xml:space="preserve"> </w:t>
      </w:r>
      <w:r w:rsidRPr="001B3A98">
        <w:rPr>
          <w:rFonts w:cs="Traditional Arabic"/>
          <w:sz w:val="20"/>
          <w:szCs w:val="30"/>
          <w:rtl/>
        </w:rPr>
        <w:t>مع حمض الكبريتيك</w:t>
      </w:r>
      <w:r w:rsidRPr="001B3A98">
        <w:rPr>
          <w:rFonts w:cs="Traditional Arabic" w:hint="cs"/>
          <w:sz w:val="20"/>
          <w:szCs w:val="30"/>
          <w:rtl/>
        </w:rPr>
        <w:t>. و</w:t>
      </w:r>
      <w:r w:rsidRPr="001B3A98">
        <w:rPr>
          <w:rFonts w:cs="Traditional Arabic"/>
          <w:sz w:val="20"/>
          <w:szCs w:val="30"/>
          <w:rtl/>
        </w:rPr>
        <w:t xml:space="preserve">تجري عملية بولكم </w:t>
      </w:r>
      <w:r w:rsidRPr="001B3A98">
        <w:rPr>
          <w:rFonts w:cs="Times New Roman"/>
          <w:sz w:val="20"/>
          <w:szCs w:val="20"/>
          <w:rtl/>
        </w:rPr>
        <w:t>(</w:t>
      </w:r>
      <w:r w:rsidRPr="001B3A98">
        <w:rPr>
          <w:rFonts w:cs="Times New Roman"/>
          <w:sz w:val="20"/>
          <w:szCs w:val="20"/>
        </w:rPr>
        <w:t>Bolkem process</w:t>
      </w:r>
      <w:r w:rsidRPr="001B3A98">
        <w:rPr>
          <w:rFonts w:cs="Times New Roman"/>
          <w:sz w:val="20"/>
          <w:szCs w:val="20"/>
          <w:rtl/>
        </w:rPr>
        <w:t>)</w:t>
      </w:r>
      <w:r w:rsidRPr="001B3A98">
        <w:rPr>
          <w:rFonts w:cs="Traditional Arabic"/>
          <w:sz w:val="20"/>
          <w:szCs w:val="30"/>
          <w:rtl/>
        </w:rPr>
        <w:t xml:space="preserve"> في منشأة الحمض، حيث تتحقق الإزالة من حمض الكبريتيك بنسبة 99 في المائة.</w:t>
      </w:r>
      <w:r w:rsidRPr="001B3A98">
        <w:rPr>
          <w:rFonts w:cs="Traditional Arabic" w:hint="cs"/>
          <w:sz w:val="20"/>
          <w:szCs w:val="30"/>
          <w:rtl/>
        </w:rPr>
        <w:t xml:space="preserve"> </w:t>
      </w:r>
      <w:r w:rsidRPr="001B3A98">
        <w:rPr>
          <w:rFonts w:cs="Traditional Arabic"/>
          <w:sz w:val="20"/>
          <w:szCs w:val="30"/>
          <w:rtl/>
        </w:rPr>
        <w:t>ويأتي الحمض من قسم الامتصاص في منشأة تصنيع الحمض ويؤكسد الزئبق في درجة حرارة الوسط المحيط. ويحتوي الحمض الناتج على الزئبق، ويجري تخفيفه إلى 80 في المائة، ويترسب الزئبق ككبريتيد مع الثيوكبريتات.</w:t>
      </w:r>
      <w:r w:rsidRPr="001B3A98">
        <w:rPr>
          <w:rFonts w:cs="Traditional Arabic" w:hint="cs"/>
          <w:sz w:val="20"/>
          <w:szCs w:val="30"/>
          <w:rtl/>
        </w:rPr>
        <w:t xml:space="preserve"> </w:t>
      </w:r>
      <w:r w:rsidRPr="001B3A98">
        <w:rPr>
          <w:rFonts w:cs="Traditional Arabic"/>
          <w:sz w:val="20"/>
          <w:szCs w:val="30"/>
          <w:rtl/>
        </w:rPr>
        <w:t>وبعد ترشيح كبريتيد الزئبق، يعاد الحمض إلى مرحلة الامتصاص. ولذلك لا يتم استهلاك الحمض في العملية.</w:t>
      </w:r>
      <w:r w:rsidRPr="001B3A98">
        <w:rPr>
          <w:rFonts w:cs="Traditional Arabic" w:hint="cs"/>
          <w:sz w:val="20"/>
          <w:szCs w:val="30"/>
          <w:rtl/>
        </w:rPr>
        <w:t xml:space="preserve"> </w:t>
      </w:r>
    </w:p>
    <w:p w:rsidR="001B3A98" w:rsidRPr="001B3A98" w:rsidRDefault="001B3A98" w:rsidP="0093783C">
      <w:pPr>
        <w:spacing w:after="120" w:line="400" w:lineRule="exact"/>
        <w:jc w:val="both"/>
        <w:rPr>
          <w:rFonts w:cs="Traditional Arabic"/>
          <w:sz w:val="20"/>
          <w:szCs w:val="30"/>
          <w:rtl/>
        </w:rPr>
      </w:pPr>
      <w:r w:rsidRPr="001B3A98">
        <w:rPr>
          <w:rFonts w:cs="Traditional Arabic"/>
          <w:sz w:val="20"/>
          <w:szCs w:val="30"/>
          <w:rtl/>
        </w:rPr>
        <w:t>ويمكن إزالة الزئبق أيضاً قبل خطوة الغسل في مصنع الحمض.</w:t>
      </w:r>
      <w:r w:rsidRPr="001B3A98">
        <w:rPr>
          <w:rFonts w:cs="Traditional Arabic" w:hint="cs"/>
          <w:sz w:val="20"/>
          <w:szCs w:val="30"/>
          <w:vertAlign w:val="superscript"/>
          <w:rtl/>
        </w:rPr>
        <w:t>(</w:t>
      </w:r>
      <w:r w:rsidRPr="001B3A98">
        <w:rPr>
          <w:rFonts w:cs="Traditional Arabic"/>
          <w:sz w:val="20"/>
          <w:szCs w:val="30"/>
          <w:vertAlign w:val="superscript"/>
          <w:rtl/>
        </w:rPr>
        <w:footnoteReference w:id="52"/>
      </w:r>
      <w:r w:rsidRPr="001B3A98">
        <w:rPr>
          <w:rFonts w:cs="Traditional Arabic" w:hint="cs"/>
          <w:sz w:val="20"/>
          <w:szCs w:val="30"/>
          <w:vertAlign w:val="superscript"/>
          <w:rtl/>
        </w:rPr>
        <w:t>)</w:t>
      </w:r>
      <w:r w:rsidRPr="001B3A98">
        <w:rPr>
          <w:rFonts w:cs="Traditional Arabic" w:hint="cs"/>
          <w:sz w:val="20"/>
          <w:szCs w:val="30"/>
          <w:rtl/>
        </w:rPr>
        <w:t xml:space="preserve"> </w:t>
      </w:r>
      <w:r w:rsidRPr="001B3A98">
        <w:rPr>
          <w:rFonts w:cs="Traditional Arabic"/>
          <w:sz w:val="20"/>
          <w:szCs w:val="30"/>
          <w:rtl/>
        </w:rPr>
        <w:t xml:space="preserve">ويجري غسل الغاز الذي تبلغ درجة حرارته حوالي 350 </w:t>
      </w:r>
      <w:r w:rsidRPr="001B3A98">
        <w:rPr>
          <w:rFonts w:cs="Traditional Arabic" w:hint="cs"/>
          <w:sz w:val="20"/>
          <w:szCs w:val="30"/>
          <w:rtl/>
        </w:rPr>
        <w:t xml:space="preserve">درجة مئوية </w:t>
      </w:r>
      <w:r w:rsidRPr="001B3A98">
        <w:rPr>
          <w:rFonts w:cs="Traditional Arabic"/>
          <w:sz w:val="20"/>
          <w:szCs w:val="30"/>
          <w:rtl/>
        </w:rPr>
        <w:t xml:space="preserve">عكس اتجاه التيار بوساطة حمض كبريتيك </w:t>
      </w:r>
      <w:r w:rsidRPr="001B3A98">
        <w:rPr>
          <w:rFonts w:cs="Traditional Arabic" w:hint="cs"/>
          <w:sz w:val="20"/>
          <w:szCs w:val="30"/>
          <w:rtl/>
        </w:rPr>
        <w:t>الذي يبلغ تركيزه</w:t>
      </w:r>
      <w:r w:rsidRPr="001B3A98">
        <w:rPr>
          <w:rFonts w:cs="Traditional Arabic"/>
          <w:sz w:val="20"/>
          <w:szCs w:val="30"/>
          <w:rtl/>
        </w:rPr>
        <w:t xml:space="preserve"> 90 في المائة في درجة حرارة 190 درجة مئوية، وذلك داخل برج معبأ.</w:t>
      </w:r>
      <w:r w:rsidRPr="001B3A98">
        <w:rPr>
          <w:rFonts w:cs="Traditional Arabic" w:hint="cs"/>
          <w:sz w:val="20"/>
          <w:szCs w:val="30"/>
          <w:rtl/>
        </w:rPr>
        <w:t xml:space="preserve"> </w:t>
      </w:r>
      <w:r w:rsidRPr="001B3A98">
        <w:rPr>
          <w:rFonts w:cs="Traditional Arabic"/>
          <w:sz w:val="20"/>
          <w:szCs w:val="30"/>
          <w:rtl/>
        </w:rPr>
        <w:t xml:space="preserve">ويتكون الحمض في الموقع نفسه من ثلاثي أكسيد الكبريت </w:t>
      </w:r>
      <w:r w:rsidRPr="001B3A98">
        <w:rPr>
          <w:rFonts w:cs="Times New Roman"/>
          <w:sz w:val="20"/>
          <w:szCs w:val="20"/>
          <w:rtl/>
        </w:rPr>
        <w:t>(</w:t>
      </w:r>
      <w:r w:rsidRPr="001B3A98">
        <w:rPr>
          <w:rFonts w:cs="Times New Roman"/>
          <w:sz w:val="20"/>
          <w:szCs w:val="20"/>
        </w:rPr>
        <w:t>SO</w:t>
      </w:r>
      <w:r w:rsidRPr="001B3A98">
        <w:rPr>
          <w:rFonts w:cs="Times New Roman"/>
          <w:sz w:val="20"/>
          <w:szCs w:val="20"/>
          <w:vertAlign w:val="subscript"/>
        </w:rPr>
        <w:t>3</w:t>
      </w:r>
      <w:r w:rsidRPr="001B3A98">
        <w:rPr>
          <w:rFonts w:cs="Times New Roman"/>
          <w:sz w:val="20"/>
          <w:szCs w:val="20"/>
          <w:rtl/>
        </w:rPr>
        <w:t>)</w:t>
      </w:r>
      <w:r w:rsidRPr="001B3A98">
        <w:rPr>
          <w:rFonts w:cs="Traditional Arabic"/>
          <w:sz w:val="20"/>
          <w:szCs w:val="30"/>
          <w:rtl/>
        </w:rPr>
        <w:t xml:space="preserve"> الموجود في الغاز. وتقوم العملية على تحويل الزئبق النقي في الغاز إلى كبريتات.</w:t>
      </w:r>
      <w:r w:rsidRPr="001B3A98">
        <w:rPr>
          <w:rFonts w:cs="Traditional Arabic" w:hint="cs"/>
          <w:sz w:val="20"/>
          <w:szCs w:val="30"/>
          <w:rtl/>
        </w:rPr>
        <w:t xml:space="preserve"> </w:t>
      </w:r>
      <w:r w:rsidRPr="001B3A98">
        <w:rPr>
          <w:rFonts w:cs="Traditional Arabic"/>
          <w:sz w:val="20"/>
          <w:szCs w:val="30"/>
          <w:rtl/>
        </w:rPr>
        <w:t>ويعاد تدوير الحمض حتى يصبح المحلول مشبعاً بكبريتات الزئبق الأحادي</w:t>
      </w:r>
      <w:r w:rsidRPr="001B3A98">
        <w:rPr>
          <w:rFonts w:cs="Traditional Arabic" w:hint="cs"/>
          <w:sz w:val="20"/>
          <w:szCs w:val="30"/>
          <w:rtl/>
        </w:rPr>
        <w:t xml:space="preserve"> التكافؤ</w:t>
      </w:r>
      <w:r w:rsidRPr="001B3A98">
        <w:rPr>
          <w:rFonts w:cs="Traditional Arabic"/>
          <w:sz w:val="20"/>
          <w:szCs w:val="30"/>
          <w:rtl/>
        </w:rPr>
        <w:t xml:space="preserve"> </w:t>
      </w:r>
      <w:r w:rsidRPr="001B3A98">
        <w:rPr>
          <w:rFonts w:cs="Traditional Arabic"/>
          <w:sz w:val="20"/>
          <w:szCs w:val="30"/>
        </w:rPr>
        <w:t>HgSO</w:t>
      </w:r>
      <w:r w:rsidRPr="001B3A98">
        <w:rPr>
          <w:rFonts w:cs="Traditional Arabic"/>
          <w:sz w:val="20"/>
          <w:szCs w:val="30"/>
          <w:vertAlign w:val="subscript"/>
        </w:rPr>
        <w:t>4</w:t>
      </w:r>
      <w:r w:rsidRPr="001B3A98">
        <w:rPr>
          <w:rFonts w:cs="Traditional Arabic"/>
          <w:sz w:val="20"/>
          <w:szCs w:val="30"/>
          <w:rtl/>
        </w:rPr>
        <w:t xml:space="preserve"> ويبدأ الترسيب. وبعد ذلك يجري فصل بلورات كبريتات الزئبق الأحادي </w:t>
      </w:r>
      <w:r w:rsidRPr="001B3A98">
        <w:rPr>
          <w:rFonts w:cs="Traditional Arabic"/>
          <w:sz w:val="20"/>
          <w:szCs w:val="30"/>
        </w:rPr>
        <w:t>HgSO</w:t>
      </w:r>
      <w:r w:rsidRPr="001B3A98">
        <w:rPr>
          <w:rFonts w:cs="Traditional Arabic"/>
          <w:sz w:val="20"/>
          <w:szCs w:val="30"/>
          <w:vertAlign w:val="subscript"/>
        </w:rPr>
        <w:t>4</w:t>
      </w:r>
      <w:r w:rsidRPr="001B3A98">
        <w:rPr>
          <w:rFonts w:cs="Traditional Arabic"/>
          <w:sz w:val="20"/>
          <w:szCs w:val="30"/>
          <w:rtl/>
        </w:rPr>
        <w:t xml:space="preserve"> في جهاز تثخين.</w:t>
      </w:r>
      <w:r w:rsidRPr="001B3A98">
        <w:rPr>
          <w:rFonts w:cs="Traditional Arabic" w:hint="cs"/>
          <w:sz w:val="20"/>
          <w:szCs w:val="30"/>
          <w:rtl/>
        </w:rPr>
        <w:t xml:space="preserve"> </w:t>
      </w:r>
      <w:r w:rsidRPr="001B3A98">
        <w:rPr>
          <w:rFonts w:cs="Traditional Arabic"/>
          <w:sz w:val="20"/>
          <w:szCs w:val="30"/>
          <w:rtl/>
        </w:rPr>
        <w:t>وبالإضافة إلى إزالة الزئبق، ستتم إزالة الملوثات الأخرى الموجودة في الغاز في جهاز الشطف. ويمكن استرداد الزئبق عن طريق خلط المواد الصلبة مع أكسيد الكالسيوم، ثم التسخين لتقطير الزئبق من الخليط، لكي يتم بعد ذلك التعامل معه وفقاً للاتفاقية.</w:t>
      </w:r>
    </w:p>
    <w:p w:rsidR="001B3A98" w:rsidRPr="001B3A98" w:rsidRDefault="001B3A98" w:rsidP="0093783C">
      <w:pPr>
        <w:spacing w:after="120" w:line="400" w:lineRule="exact"/>
        <w:jc w:val="both"/>
        <w:rPr>
          <w:rFonts w:cs="Traditional Arabic"/>
          <w:sz w:val="20"/>
          <w:szCs w:val="30"/>
          <w:rtl/>
        </w:rPr>
      </w:pPr>
      <w:r w:rsidRPr="001B3A98">
        <w:rPr>
          <w:rFonts w:cs="Traditional Arabic"/>
          <w:sz w:val="20"/>
          <w:szCs w:val="30"/>
          <w:rtl/>
        </w:rPr>
        <w:t>وفي طريقة بديلة، يمكن ترسيب الزئبق وإزالة حمأة الزئبق من الحمض المبرد ثم تمريرها بعمليتي ترشيح وغسل. ثم يعاد تدوير جزء من الحمض للاستخدام في خطوة الشطف</w:t>
      </w:r>
      <w:r w:rsidRPr="001B3A98">
        <w:rPr>
          <w:rFonts w:cs="Traditional Arabic" w:hint="cs"/>
          <w:sz w:val="20"/>
          <w:szCs w:val="30"/>
          <w:rtl/>
        </w:rPr>
        <w:t>. و</w:t>
      </w:r>
      <w:r w:rsidRPr="001B3A98">
        <w:rPr>
          <w:rFonts w:cs="Traditional Arabic"/>
          <w:sz w:val="20"/>
          <w:szCs w:val="30"/>
          <w:rtl/>
        </w:rPr>
        <w:t>في طريقة معدلة من هذه العملية، يزال الزئبق من الغازات عن طريق الغسل بمحلول من أيونات السلنيوم، وينتج من ذلك معدن السلنيوم إلى جانب سلنيد الزئبق (ثنائي التكافؤ).</w:t>
      </w:r>
    </w:p>
    <w:p w:rsidR="001B3A98" w:rsidRPr="001B3A98" w:rsidRDefault="00536559" w:rsidP="0093783C">
      <w:pPr>
        <w:spacing w:after="120" w:line="400" w:lineRule="exact"/>
        <w:jc w:val="both"/>
        <w:rPr>
          <w:rFonts w:cs="Traditional Arabic"/>
          <w:sz w:val="20"/>
          <w:szCs w:val="30"/>
          <w:rtl/>
        </w:rPr>
      </w:pPr>
      <w:r>
        <w:rPr>
          <w:rFonts w:cs="Traditional Arabic" w:hint="cs"/>
          <w:sz w:val="20"/>
          <w:szCs w:val="30"/>
          <w:rtl/>
        </w:rPr>
        <w:t>و</w:t>
      </w:r>
      <w:r w:rsidR="001B3A98" w:rsidRPr="001B3A98">
        <w:rPr>
          <w:rFonts w:cs="Traditional Arabic"/>
          <w:sz w:val="20"/>
          <w:szCs w:val="30"/>
          <w:rtl/>
        </w:rPr>
        <w:t xml:space="preserve">وصف </w:t>
      </w:r>
      <w:r>
        <w:rPr>
          <w:rFonts w:cs="Traditional Arabic"/>
          <w:sz w:val="20"/>
          <w:szCs w:val="30"/>
          <w:rtl/>
        </w:rPr>
        <w:t>شولز</w:t>
      </w:r>
      <w:r>
        <w:rPr>
          <w:rFonts w:cs="Traditional Arabic" w:hint="cs"/>
          <w:sz w:val="20"/>
          <w:szCs w:val="30"/>
          <w:rtl/>
        </w:rPr>
        <w:t xml:space="preserve"> أيضاً</w:t>
      </w:r>
      <w:r w:rsidRPr="001B3A98">
        <w:rPr>
          <w:rFonts w:cs="Traditional Arabic"/>
          <w:sz w:val="20"/>
          <w:szCs w:val="30"/>
          <w:rtl/>
        </w:rPr>
        <w:t xml:space="preserve"> </w:t>
      </w:r>
      <w:r w:rsidR="001B3A98" w:rsidRPr="001B3A98">
        <w:rPr>
          <w:rFonts w:cs="Traditional Arabic"/>
          <w:sz w:val="20"/>
          <w:szCs w:val="30"/>
          <w:rtl/>
        </w:rPr>
        <w:t xml:space="preserve">عملية ثيوكبريتات </w:t>
      </w:r>
      <w:r w:rsidR="001B3A98" w:rsidRPr="001B3A98">
        <w:rPr>
          <w:rFonts w:cs="Times New Roman"/>
          <w:sz w:val="20"/>
          <w:szCs w:val="20"/>
          <w:rtl/>
        </w:rPr>
        <w:t>(</w:t>
      </w:r>
      <w:r w:rsidR="001B3A98" w:rsidRPr="001B3A98">
        <w:rPr>
          <w:rFonts w:cs="Times New Roman"/>
          <w:sz w:val="20"/>
          <w:szCs w:val="20"/>
        </w:rPr>
        <w:t>2009</w:t>
      </w:r>
      <w:r w:rsidR="001B3A98" w:rsidRPr="001B3A98">
        <w:rPr>
          <w:rFonts w:cs="Times New Roman"/>
          <w:sz w:val="20"/>
          <w:szCs w:val="20"/>
          <w:rtl/>
        </w:rPr>
        <w:t>)</w:t>
      </w:r>
      <w:r w:rsidR="001B3A98" w:rsidRPr="001B3A98">
        <w:rPr>
          <w:rFonts w:cs="Traditional Arabic"/>
          <w:sz w:val="20"/>
          <w:szCs w:val="30"/>
          <w:rtl/>
        </w:rPr>
        <w:t>. وفي هذه العملية تعتمد كفاءة امتصاص الزئبق على قوة الحمض ودرجة حرارته.</w:t>
      </w:r>
      <w:r w:rsidR="001B3A98" w:rsidRPr="001B3A98">
        <w:rPr>
          <w:rFonts w:cs="Traditional Arabic" w:hint="cs"/>
          <w:sz w:val="20"/>
          <w:szCs w:val="30"/>
          <w:rtl/>
        </w:rPr>
        <w:t xml:space="preserve"> </w:t>
      </w:r>
      <w:r w:rsidR="001B3A98" w:rsidRPr="001B3A98">
        <w:rPr>
          <w:rFonts w:cs="Traditional Arabic"/>
          <w:sz w:val="20"/>
          <w:szCs w:val="30"/>
          <w:rtl/>
        </w:rPr>
        <w:t>وتزداد كفاءة الامتصاص كلما انخفضت درجة الحمض وازداد تركيزه.</w:t>
      </w:r>
      <w:r w:rsidR="001B3A98" w:rsidRPr="001B3A98">
        <w:rPr>
          <w:rFonts w:cs="Traditional Arabic" w:hint="cs"/>
          <w:sz w:val="20"/>
          <w:szCs w:val="30"/>
          <w:rtl/>
        </w:rPr>
        <w:t xml:space="preserve"> </w:t>
      </w:r>
      <w:r w:rsidR="001B3A98" w:rsidRPr="001B3A98">
        <w:rPr>
          <w:rFonts w:cs="Traditional Arabic"/>
          <w:sz w:val="20"/>
          <w:szCs w:val="30"/>
          <w:rtl/>
        </w:rPr>
        <w:t xml:space="preserve">ولتجنب تراكم الزئبق في الحمض الناتج من الضروري أن يتم امتصاص بخار الزئبق في وحدة برج تجفيف ذات مرحلتين، تعمل مع تركيزات مختلفة </w:t>
      </w:r>
      <w:r w:rsidR="001B3A98" w:rsidRPr="001B3A98">
        <w:rPr>
          <w:rFonts w:cs="Traditional Arabic" w:hint="cs"/>
          <w:sz w:val="20"/>
          <w:szCs w:val="30"/>
          <w:rtl/>
        </w:rPr>
        <w:t>لل</w:t>
      </w:r>
      <w:r w:rsidR="001B3A98" w:rsidRPr="001B3A98">
        <w:rPr>
          <w:rFonts w:cs="Traditional Arabic"/>
          <w:sz w:val="20"/>
          <w:szCs w:val="30"/>
          <w:rtl/>
        </w:rPr>
        <w:t>حمض، حيث يكون تركيز الحمض في برج التجفيف الثاني أعلى من تركيزه في وحدة الامتصاص التالية في العملية.</w:t>
      </w:r>
    </w:p>
    <w:p w:rsidR="001B3A98" w:rsidRPr="001B3A98" w:rsidRDefault="001B3A98" w:rsidP="0093783C">
      <w:pPr>
        <w:spacing w:after="120" w:line="400" w:lineRule="exact"/>
        <w:jc w:val="both"/>
        <w:rPr>
          <w:rFonts w:cs="Traditional Arabic"/>
          <w:sz w:val="20"/>
          <w:szCs w:val="30"/>
          <w:rtl/>
        </w:rPr>
      </w:pPr>
      <w:r w:rsidRPr="001B3A98">
        <w:rPr>
          <w:rFonts w:cs="Traditional Arabic"/>
          <w:sz w:val="20"/>
          <w:szCs w:val="30"/>
          <w:rtl/>
        </w:rPr>
        <w:t>ويجب تنظيف حمض أبراج التجفيف المحتوي على الزئبق قبل تصريفه إلى دورة الامتصاص.</w:t>
      </w:r>
      <w:r w:rsidRPr="001B3A98">
        <w:rPr>
          <w:rFonts w:cs="Traditional Arabic" w:hint="cs"/>
          <w:sz w:val="20"/>
          <w:szCs w:val="30"/>
          <w:rtl/>
        </w:rPr>
        <w:t xml:space="preserve"> </w:t>
      </w:r>
      <w:r w:rsidRPr="001B3A98">
        <w:rPr>
          <w:rFonts w:cs="Traditional Arabic"/>
          <w:sz w:val="20"/>
          <w:szCs w:val="30"/>
          <w:rtl/>
        </w:rPr>
        <w:t xml:space="preserve">ولذلك يتم جمع تيارات الحمض ومعالجتها في وحدات تفاعل مع ثيوكبريتات الصوديوم </w:t>
      </w:r>
      <w:r w:rsidRPr="001B3A98">
        <w:rPr>
          <w:rFonts w:cs="Times New Roman"/>
          <w:sz w:val="20"/>
          <w:szCs w:val="20"/>
          <w:rtl/>
        </w:rPr>
        <w:t>(</w:t>
      </w:r>
      <w:r w:rsidRPr="001B3A98">
        <w:rPr>
          <w:rFonts w:cs="Times New Roman"/>
          <w:sz w:val="20"/>
          <w:szCs w:val="20"/>
        </w:rPr>
        <w:t>Na</w:t>
      </w:r>
      <w:r w:rsidRPr="001B3A98">
        <w:rPr>
          <w:rFonts w:cs="Times New Roman"/>
          <w:sz w:val="20"/>
          <w:szCs w:val="20"/>
          <w:vertAlign w:val="subscript"/>
        </w:rPr>
        <w:t>2</w:t>
      </w:r>
      <w:r w:rsidRPr="001B3A98">
        <w:rPr>
          <w:rFonts w:cs="Times New Roman"/>
          <w:sz w:val="20"/>
          <w:szCs w:val="20"/>
        </w:rPr>
        <w:t>S</w:t>
      </w:r>
      <w:r w:rsidRPr="001B3A98">
        <w:rPr>
          <w:rFonts w:cs="Times New Roman"/>
          <w:sz w:val="20"/>
          <w:szCs w:val="20"/>
          <w:vertAlign w:val="subscript"/>
        </w:rPr>
        <w:t>2</w:t>
      </w:r>
      <w:r w:rsidRPr="001B3A98">
        <w:rPr>
          <w:rFonts w:cs="Times New Roman"/>
          <w:sz w:val="20"/>
          <w:szCs w:val="20"/>
        </w:rPr>
        <w:t>O</w:t>
      </w:r>
      <w:r w:rsidRPr="001B3A98">
        <w:rPr>
          <w:rFonts w:cs="Times New Roman"/>
          <w:sz w:val="20"/>
          <w:szCs w:val="20"/>
          <w:vertAlign w:val="subscript"/>
        </w:rPr>
        <w:t>3</w:t>
      </w:r>
      <w:r w:rsidRPr="001B3A98">
        <w:rPr>
          <w:rFonts w:cs="Times New Roman"/>
          <w:sz w:val="20"/>
          <w:szCs w:val="20"/>
        </w:rPr>
        <w:t>.5H</w:t>
      </w:r>
      <w:r w:rsidRPr="001B3A98">
        <w:rPr>
          <w:rFonts w:cs="Times New Roman"/>
          <w:sz w:val="20"/>
          <w:szCs w:val="20"/>
          <w:vertAlign w:val="subscript"/>
        </w:rPr>
        <w:t>2</w:t>
      </w:r>
      <w:r w:rsidRPr="001B3A98">
        <w:rPr>
          <w:rFonts w:cs="Times New Roman"/>
          <w:sz w:val="20"/>
          <w:szCs w:val="20"/>
        </w:rPr>
        <w:t>O</w:t>
      </w:r>
      <w:r w:rsidRPr="001B3A98">
        <w:rPr>
          <w:rFonts w:cs="Times New Roman"/>
          <w:sz w:val="20"/>
          <w:szCs w:val="20"/>
          <w:rtl/>
        </w:rPr>
        <w:t>)</w:t>
      </w:r>
      <w:r w:rsidRPr="001B3A98">
        <w:rPr>
          <w:rFonts w:cs="Traditional Arabic"/>
          <w:sz w:val="20"/>
          <w:szCs w:val="30"/>
          <w:rtl/>
        </w:rPr>
        <w:t>.</w:t>
      </w:r>
    </w:p>
    <w:p w:rsidR="001B3A98" w:rsidRPr="001B3A98" w:rsidRDefault="001B3A98" w:rsidP="0093783C">
      <w:pPr>
        <w:spacing w:after="120" w:line="400" w:lineRule="exact"/>
        <w:jc w:val="both"/>
        <w:rPr>
          <w:rFonts w:cs="Traditional Arabic"/>
          <w:sz w:val="20"/>
          <w:szCs w:val="30"/>
          <w:rtl/>
        </w:rPr>
      </w:pPr>
      <w:r w:rsidRPr="001B3A98">
        <w:rPr>
          <w:rFonts w:cs="Traditional Arabic"/>
          <w:sz w:val="20"/>
          <w:szCs w:val="30"/>
          <w:rtl/>
        </w:rPr>
        <w:t xml:space="preserve">وتجرى عملية تجريد بواسطة الهواء للكمية الكلية من </w:t>
      </w:r>
      <w:r w:rsidRPr="001B3A98">
        <w:rPr>
          <w:rFonts w:cs="Traditional Arabic" w:hint="cs"/>
          <w:sz w:val="20"/>
          <w:szCs w:val="30"/>
          <w:rtl/>
        </w:rPr>
        <w:t>حمض</w:t>
      </w:r>
      <w:r w:rsidRPr="001B3A98">
        <w:rPr>
          <w:rFonts w:cs="Traditional Arabic"/>
          <w:sz w:val="20"/>
          <w:szCs w:val="30"/>
          <w:rtl/>
        </w:rPr>
        <w:t xml:space="preserve"> برجي التجفيف، وذلك في برج تجريد من أجل إزالة ثنائي أكسيد الكبريت الذائب.</w:t>
      </w:r>
      <w:r w:rsidRPr="001B3A98">
        <w:rPr>
          <w:rFonts w:cs="Traditional Arabic" w:hint="cs"/>
          <w:sz w:val="20"/>
          <w:szCs w:val="30"/>
          <w:rtl/>
        </w:rPr>
        <w:t xml:space="preserve"> </w:t>
      </w:r>
      <w:r w:rsidRPr="001B3A98">
        <w:rPr>
          <w:rFonts w:cs="Traditional Arabic"/>
          <w:sz w:val="20"/>
          <w:szCs w:val="30"/>
          <w:rtl/>
        </w:rPr>
        <w:t>ويجري تصريف الحمض الذي تم تجريده إلى حوض تفاعل يضاف إليه محلول مؤلف من 40 في المائة من ثيوكبريتات الصوديوم ووسط مساعد للترشيح.</w:t>
      </w:r>
      <w:r w:rsidRPr="001B3A98">
        <w:rPr>
          <w:rFonts w:cs="Traditional Arabic" w:hint="cs"/>
          <w:sz w:val="20"/>
          <w:szCs w:val="30"/>
          <w:rtl/>
        </w:rPr>
        <w:t xml:space="preserve"> </w:t>
      </w:r>
      <w:r w:rsidRPr="001B3A98">
        <w:rPr>
          <w:rFonts w:cs="Traditional Arabic"/>
          <w:sz w:val="20"/>
          <w:szCs w:val="30"/>
          <w:rtl/>
        </w:rPr>
        <w:t>ويتشكل الكبريت وفقاً للتفاعل التالي:</w:t>
      </w:r>
    </w:p>
    <w:p w:rsidR="001B3A98" w:rsidRPr="001B3A98" w:rsidRDefault="001B3A98" w:rsidP="0093783C">
      <w:pPr>
        <w:spacing w:after="120" w:line="400" w:lineRule="exact"/>
        <w:jc w:val="center"/>
        <w:rPr>
          <w:rFonts w:cs="Traditional Arabic"/>
          <w:sz w:val="20"/>
          <w:szCs w:val="30"/>
          <w:rtl/>
        </w:rPr>
      </w:pPr>
      <w:r w:rsidRPr="001B3A98">
        <w:rPr>
          <w:rFonts w:cs="Traditional Arabic"/>
          <w:sz w:val="20"/>
          <w:szCs w:val="30"/>
        </w:rPr>
        <w:t>H</w:t>
      </w:r>
      <w:r w:rsidRPr="001B3A98">
        <w:rPr>
          <w:rFonts w:cs="Traditional Arabic"/>
          <w:sz w:val="20"/>
          <w:szCs w:val="30"/>
          <w:vertAlign w:val="subscript"/>
        </w:rPr>
        <w:t>2</w:t>
      </w:r>
      <w:r w:rsidRPr="001B3A98">
        <w:rPr>
          <w:rFonts w:cs="Traditional Arabic"/>
          <w:sz w:val="20"/>
          <w:szCs w:val="30"/>
        </w:rPr>
        <w:t>SO</w:t>
      </w:r>
      <w:r w:rsidRPr="001B3A98">
        <w:rPr>
          <w:rFonts w:cs="Traditional Arabic"/>
          <w:sz w:val="20"/>
          <w:szCs w:val="30"/>
          <w:vertAlign w:val="subscript"/>
        </w:rPr>
        <w:t>4</w:t>
      </w:r>
      <w:r w:rsidRPr="001B3A98">
        <w:rPr>
          <w:rFonts w:cs="Traditional Arabic"/>
          <w:sz w:val="20"/>
          <w:szCs w:val="30"/>
        </w:rPr>
        <w:t xml:space="preserve"> + Na</w:t>
      </w:r>
      <w:r w:rsidRPr="001B3A98">
        <w:rPr>
          <w:rFonts w:cs="Traditional Arabic"/>
          <w:sz w:val="20"/>
          <w:szCs w:val="30"/>
          <w:vertAlign w:val="subscript"/>
        </w:rPr>
        <w:t>2</w:t>
      </w:r>
      <w:r w:rsidRPr="001B3A98">
        <w:rPr>
          <w:rFonts w:cs="Traditional Arabic"/>
          <w:sz w:val="20"/>
          <w:szCs w:val="30"/>
        </w:rPr>
        <w:t>S</w:t>
      </w:r>
      <w:r w:rsidRPr="001B3A98">
        <w:rPr>
          <w:rFonts w:cs="Traditional Arabic"/>
          <w:sz w:val="20"/>
          <w:szCs w:val="30"/>
          <w:vertAlign w:val="subscript"/>
        </w:rPr>
        <w:t>2</w:t>
      </w:r>
      <w:r w:rsidRPr="001B3A98">
        <w:rPr>
          <w:rFonts w:cs="Traditional Arabic"/>
          <w:sz w:val="20"/>
          <w:szCs w:val="30"/>
        </w:rPr>
        <w:t>O</w:t>
      </w:r>
      <w:r w:rsidRPr="001B3A98">
        <w:rPr>
          <w:rFonts w:cs="Traditional Arabic"/>
          <w:sz w:val="20"/>
          <w:szCs w:val="30"/>
          <w:vertAlign w:val="subscript"/>
        </w:rPr>
        <w:t>3</w:t>
      </w:r>
      <w:r w:rsidRPr="001B3A98">
        <w:rPr>
          <w:rFonts w:cs="Traditional Arabic"/>
          <w:sz w:val="20"/>
          <w:szCs w:val="30"/>
        </w:rPr>
        <w:t xml:space="preserve"> =&gt; S + SO</w:t>
      </w:r>
      <w:r w:rsidRPr="001B3A98">
        <w:rPr>
          <w:rFonts w:cs="Traditional Arabic"/>
          <w:sz w:val="20"/>
          <w:szCs w:val="30"/>
          <w:vertAlign w:val="subscript"/>
        </w:rPr>
        <w:t>2</w:t>
      </w:r>
      <w:r w:rsidRPr="001B3A98">
        <w:rPr>
          <w:rFonts w:cs="Traditional Arabic"/>
          <w:sz w:val="20"/>
          <w:szCs w:val="30"/>
        </w:rPr>
        <w:t xml:space="preserve"> + Na</w:t>
      </w:r>
      <w:r w:rsidRPr="001B3A98">
        <w:rPr>
          <w:rFonts w:cs="Traditional Arabic"/>
          <w:sz w:val="20"/>
          <w:szCs w:val="30"/>
          <w:vertAlign w:val="subscript"/>
        </w:rPr>
        <w:t>2</w:t>
      </w:r>
      <w:r w:rsidRPr="001B3A98">
        <w:rPr>
          <w:rFonts w:cs="Traditional Arabic"/>
          <w:sz w:val="20"/>
          <w:szCs w:val="30"/>
        </w:rPr>
        <w:t>SO</w:t>
      </w:r>
      <w:r w:rsidRPr="001B3A98">
        <w:rPr>
          <w:rFonts w:cs="Traditional Arabic"/>
          <w:sz w:val="20"/>
          <w:szCs w:val="30"/>
          <w:vertAlign w:val="subscript"/>
        </w:rPr>
        <w:t>4</w:t>
      </w:r>
      <w:r w:rsidRPr="001B3A98">
        <w:rPr>
          <w:rFonts w:cs="Traditional Arabic"/>
          <w:sz w:val="20"/>
          <w:szCs w:val="30"/>
        </w:rPr>
        <w:t xml:space="preserve"> + H</w:t>
      </w:r>
      <w:r w:rsidRPr="001B3A98">
        <w:rPr>
          <w:rFonts w:cs="Traditional Arabic"/>
          <w:sz w:val="20"/>
          <w:szCs w:val="30"/>
          <w:vertAlign w:val="subscript"/>
        </w:rPr>
        <w:t>2</w:t>
      </w:r>
      <w:r w:rsidRPr="001B3A98">
        <w:rPr>
          <w:rFonts w:cs="Traditional Arabic"/>
          <w:sz w:val="20"/>
          <w:szCs w:val="30"/>
        </w:rPr>
        <w:t>O</w:t>
      </w:r>
    </w:p>
    <w:p w:rsidR="001B3A98" w:rsidRPr="001B3A98" w:rsidRDefault="001B3A98" w:rsidP="0093783C">
      <w:pPr>
        <w:spacing w:after="120" w:line="400" w:lineRule="exact"/>
        <w:jc w:val="both"/>
        <w:rPr>
          <w:rFonts w:cs="Traditional Arabic"/>
          <w:sz w:val="20"/>
          <w:szCs w:val="30"/>
          <w:rtl/>
        </w:rPr>
      </w:pPr>
      <w:r w:rsidRPr="001B3A98">
        <w:rPr>
          <w:rFonts w:cs="Traditional Arabic"/>
          <w:sz w:val="20"/>
          <w:szCs w:val="30"/>
          <w:rtl/>
        </w:rPr>
        <w:t>ويتفاعل الكبريت مع الزئبق في الحمض ليشكل كبريتيد الزئبق (ثنائي التكافؤ) الذي يترسب. وتكون درجة الحرارة في هذه المرحلة 50 درجة مئوية في حين يبلغ تركيز الحمض نحو 80 في المائة من الوزن.</w:t>
      </w:r>
      <w:r w:rsidRPr="001B3A98">
        <w:rPr>
          <w:rFonts w:cs="Traditional Arabic" w:hint="cs"/>
          <w:sz w:val="20"/>
          <w:szCs w:val="30"/>
          <w:rtl/>
        </w:rPr>
        <w:t xml:space="preserve"> </w:t>
      </w:r>
      <w:r w:rsidRPr="001B3A98">
        <w:rPr>
          <w:rFonts w:cs="Traditional Arabic"/>
          <w:sz w:val="20"/>
          <w:szCs w:val="30"/>
          <w:rtl/>
        </w:rPr>
        <w:t>ويفيض الحمض الذي تمت معالجته إلى أحواض تخمير حيث يكتمل التفاعل.</w:t>
      </w:r>
      <w:r w:rsidRPr="001B3A98">
        <w:rPr>
          <w:rFonts w:cs="Traditional Arabic" w:hint="cs"/>
          <w:sz w:val="20"/>
          <w:szCs w:val="30"/>
          <w:rtl/>
        </w:rPr>
        <w:t xml:space="preserve"> </w:t>
      </w:r>
    </w:p>
    <w:p w:rsidR="001B3A98" w:rsidRPr="001B3A98" w:rsidRDefault="001B3A98" w:rsidP="0093783C">
      <w:pPr>
        <w:spacing w:after="120" w:line="400" w:lineRule="exact"/>
        <w:jc w:val="both"/>
        <w:rPr>
          <w:rFonts w:cs="Traditional Arabic"/>
          <w:sz w:val="20"/>
          <w:szCs w:val="30"/>
          <w:rtl/>
          <w:lang w:bidi="ar-EG"/>
        </w:rPr>
      </w:pPr>
      <w:r w:rsidRPr="001B3A98">
        <w:rPr>
          <w:rFonts w:cs="Traditional Arabic"/>
          <w:sz w:val="20"/>
          <w:szCs w:val="30"/>
          <w:rtl/>
        </w:rPr>
        <w:t>وقد أدرجت هذه العمليات في هذا القسم.</w:t>
      </w:r>
      <w:r w:rsidRPr="001B3A98">
        <w:rPr>
          <w:rFonts w:cs="Traditional Arabic" w:hint="cs"/>
          <w:sz w:val="20"/>
          <w:szCs w:val="30"/>
          <w:rtl/>
        </w:rPr>
        <w:t xml:space="preserve"> </w:t>
      </w:r>
      <w:r w:rsidRPr="001B3A98">
        <w:rPr>
          <w:rFonts w:cs="Traditional Arabic"/>
          <w:sz w:val="20"/>
          <w:szCs w:val="30"/>
          <w:rtl/>
        </w:rPr>
        <w:t>ولكن لا توجد معلومات واضحة عن عدد منشآت الصهر والتحميص</w:t>
      </w:r>
      <w:r w:rsidRPr="001B3A98">
        <w:rPr>
          <w:rFonts w:cs="Traditional Arabic" w:hint="cs"/>
          <w:sz w:val="20"/>
          <w:szCs w:val="30"/>
          <w:rtl/>
        </w:rPr>
        <w:t xml:space="preserve"> التي تستخدمها</w:t>
      </w:r>
      <w:r w:rsidR="00CE20AD">
        <w:rPr>
          <w:rFonts w:cs="Traditional Arabic" w:hint="cs"/>
          <w:sz w:val="20"/>
          <w:szCs w:val="30"/>
          <w:rtl/>
        </w:rPr>
        <w:t xml:space="preserve"> في الوقت الحالي</w:t>
      </w:r>
      <w:r w:rsidRPr="001B3A98">
        <w:rPr>
          <w:rFonts w:cs="Traditional Arabic" w:hint="cs"/>
          <w:sz w:val="20"/>
          <w:szCs w:val="30"/>
          <w:rtl/>
        </w:rPr>
        <w:t>.</w:t>
      </w:r>
    </w:p>
    <w:p w:rsidR="00E52586" w:rsidRDefault="00E52586">
      <w:pPr>
        <w:bidi w:val="0"/>
        <w:rPr>
          <w:rFonts w:cs="Traditional Arabic"/>
          <w:b/>
          <w:bCs/>
          <w:sz w:val="32"/>
          <w:szCs w:val="32"/>
          <w:rtl/>
        </w:rPr>
      </w:pPr>
      <w:r>
        <w:rPr>
          <w:rFonts w:cs="Traditional Arabic"/>
          <w:b/>
          <w:bCs/>
          <w:sz w:val="32"/>
          <w:szCs w:val="32"/>
          <w:rtl/>
        </w:rPr>
        <w:br w:type="page"/>
      </w:r>
    </w:p>
    <w:p w:rsidR="00786E68" w:rsidRPr="00061672" w:rsidRDefault="00786E68" w:rsidP="00786E68">
      <w:pPr>
        <w:keepNext/>
        <w:spacing w:after="120" w:line="400" w:lineRule="exact"/>
        <w:ind w:left="565" w:hanging="565"/>
        <w:jc w:val="both"/>
        <w:outlineLvl w:val="3"/>
        <w:rPr>
          <w:rFonts w:cs="Traditional Arabic"/>
          <w:b/>
          <w:bCs/>
          <w:sz w:val="32"/>
          <w:szCs w:val="32"/>
          <w:rtl/>
        </w:rPr>
      </w:pPr>
      <w:r w:rsidRPr="00061672">
        <w:rPr>
          <w:rFonts w:cs="Traditional Arabic" w:hint="cs"/>
          <w:b/>
          <w:bCs/>
          <w:sz w:val="32"/>
          <w:szCs w:val="32"/>
          <w:rtl/>
        </w:rPr>
        <w:t>التقنيات الناشئة</w:t>
      </w:r>
      <w:r w:rsidR="00E52586">
        <w:rPr>
          <w:rFonts w:cs="Traditional Arabic" w:hint="cs"/>
          <w:b/>
          <w:bCs/>
          <w:sz w:val="32"/>
          <w:szCs w:val="32"/>
          <w:rtl/>
        </w:rPr>
        <w:t xml:space="preserve"> لمرافق حرق النفايات</w:t>
      </w:r>
    </w:p>
    <w:p w:rsidR="00786E68" w:rsidRPr="00061672" w:rsidRDefault="00D74CA2" w:rsidP="00786E68">
      <w:pPr>
        <w:keepNext/>
        <w:spacing w:before="120" w:after="120" w:line="400" w:lineRule="exact"/>
        <w:ind w:left="709" w:hanging="709"/>
        <w:jc w:val="both"/>
        <w:outlineLvl w:val="3"/>
        <w:rPr>
          <w:rFonts w:cs="Traditional Arabic"/>
          <w:b/>
          <w:bCs/>
          <w:sz w:val="30"/>
          <w:szCs w:val="30"/>
          <w:rtl/>
        </w:rPr>
      </w:pPr>
      <w:r>
        <w:rPr>
          <w:rFonts w:cs="Traditional Arabic" w:hint="cs"/>
          <w:b/>
          <w:bCs/>
          <w:sz w:val="30"/>
          <w:szCs w:val="30"/>
          <w:rtl/>
        </w:rPr>
        <w:t>1-1</w:t>
      </w:r>
      <w:r>
        <w:rPr>
          <w:rFonts w:cs="Traditional Arabic" w:hint="cs"/>
          <w:b/>
          <w:bCs/>
          <w:sz w:val="30"/>
          <w:szCs w:val="30"/>
          <w:rtl/>
        </w:rPr>
        <w:tab/>
      </w:r>
      <w:r w:rsidR="00786E68" w:rsidRPr="00061672">
        <w:rPr>
          <w:rFonts w:cs="Traditional Arabic" w:hint="cs"/>
          <w:b/>
          <w:bCs/>
          <w:sz w:val="30"/>
          <w:szCs w:val="30"/>
          <w:rtl/>
        </w:rPr>
        <w:t xml:space="preserve">الكربون المنشط </w:t>
      </w:r>
      <w:r w:rsidR="00E52586">
        <w:rPr>
          <w:rFonts w:cs="Traditional Arabic" w:hint="cs"/>
          <w:b/>
          <w:bCs/>
          <w:sz w:val="30"/>
          <w:szCs w:val="30"/>
          <w:rtl/>
        </w:rPr>
        <w:t>ال</w:t>
      </w:r>
      <w:r w:rsidR="00786E68" w:rsidRPr="00061672">
        <w:rPr>
          <w:rFonts w:cs="Traditional Arabic" w:hint="cs"/>
          <w:b/>
          <w:bCs/>
          <w:sz w:val="30"/>
          <w:szCs w:val="30"/>
          <w:rtl/>
        </w:rPr>
        <w:t>ممتز العالي الكفاءة</w:t>
      </w:r>
    </w:p>
    <w:p w:rsidR="00786E68" w:rsidRPr="00061672" w:rsidRDefault="00786E68" w:rsidP="00786E68">
      <w:pPr>
        <w:spacing w:after="120" w:line="400" w:lineRule="exact"/>
        <w:jc w:val="both"/>
        <w:rPr>
          <w:rFonts w:cs="Traditional Arabic"/>
          <w:sz w:val="30"/>
          <w:szCs w:val="30"/>
          <w:rtl/>
          <w:lang w:val="en-GB"/>
        </w:rPr>
      </w:pPr>
      <w:r w:rsidRPr="00061672">
        <w:rPr>
          <w:rFonts w:cs="Traditional Arabic" w:hint="cs"/>
          <w:sz w:val="30"/>
          <w:szCs w:val="30"/>
          <w:rtl/>
          <w:lang w:val="en-GB"/>
        </w:rPr>
        <w:t>تم تطوير كربون منشط ممتز عالي الكفاءة وأطلق عليه الاسم التجاري ’’</w:t>
      </w:r>
      <w:r w:rsidRPr="00061672">
        <w:rPr>
          <w:rFonts w:cs="Traditional Arabic"/>
          <w:sz w:val="20"/>
          <w:szCs w:val="22"/>
          <w:lang w:eastAsia="de-DE"/>
        </w:rPr>
        <w:t>JFE-Gas-Clean-DX</w:t>
      </w:r>
      <w:r w:rsidRPr="00061672">
        <w:rPr>
          <w:rFonts w:cs="Traditional Arabic" w:hint="cs"/>
          <w:sz w:val="30"/>
          <w:szCs w:val="30"/>
          <w:rtl/>
          <w:lang w:val="en-GB"/>
        </w:rPr>
        <w:t>‘‘، حيث يعبأ الكربون المنشط في كنانات ذات طبقة قاعدية ثابتة وهيكل يسمح بالتدفق الجانبي مما يؤمن تلامساً فعالاً بين غاز المداخن والكربون المنشط.</w:t>
      </w:r>
    </w:p>
    <w:p w:rsidR="00786E68" w:rsidRPr="00061672" w:rsidRDefault="00786E68" w:rsidP="00E52586">
      <w:pPr>
        <w:spacing w:after="120" w:line="400" w:lineRule="exact"/>
        <w:jc w:val="both"/>
        <w:rPr>
          <w:rFonts w:cs="Traditional Arabic"/>
          <w:sz w:val="30"/>
          <w:szCs w:val="30"/>
          <w:rtl/>
          <w:lang w:val="en-GB"/>
        </w:rPr>
      </w:pPr>
      <w:r w:rsidRPr="00061672">
        <w:rPr>
          <w:rFonts w:cs="Traditional Arabic" w:hint="cs"/>
          <w:sz w:val="30"/>
          <w:szCs w:val="30"/>
          <w:rtl/>
          <w:lang w:val="en-GB"/>
        </w:rPr>
        <w:t xml:space="preserve">ويقدم الشكل </w:t>
      </w:r>
      <w:r w:rsidR="00E52586">
        <w:rPr>
          <w:rFonts w:cs="Traditional Arabic" w:hint="cs"/>
          <w:sz w:val="30"/>
          <w:szCs w:val="30"/>
          <w:rtl/>
          <w:lang w:val="en-GB"/>
        </w:rPr>
        <w:t>1</w:t>
      </w:r>
      <w:r w:rsidRPr="00061672">
        <w:rPr>
          <w:rFonts w:cs="Traditional Arabic" w:hint="cs"/>
          <w:sz w:val="30"/>
          <w:szCs w:val="30"/>
          <w:rtl/>
          <w:lang w:val="en-GB"/>
        </w:rPr>
        <w:t xml:space="preserve"> مخططاً توضيحياً لشكل الجهاز بينما يبين الشكل 8 كنانة الكربون المنشط. ويتكون الجهاز من كنانة كربون منشط ذات حجم صغير يمكن فصلها وتركيبها بسهولة في علبة الجهاز. ويتحقق التلامس العالي الكفاءة بين غاز المداخن والكربون المنشط من خلال وضع قاعدة ثابتة وهيكل يسمح بالتدفق الجانبي.</w:t>
      </w:r>
    </w:p>
    <w:p w:rsidR="00786E68" w:rsidRPr="00061672" w:rsidRDefault="00786E68" w:rsidP="00786E68">
      <w:pPr>
        <w:spacing w:after="120" w:line="240" w:lineRule="atLeast"/>
        <w:rPr>
          <w:rFonts w:cs="Times New Roman"/>
          <w:sz w:val="20"/>
          <w:szCs w:val="24"/>
          <w:lang w:eastAsia="de-DE"/>
        </w:rPr>
      </w:pPr>
      <w:r w:rsidRPr="00061672">
        <w:rPr>
          <w:rFonts w:cs="Times New Roman"/>
          <w:noProof/>
          <w:sz w:val="20"/>
          <w:szCs w:val="24"/>
          <w:lang w:val="en-GB" w:eastAsia="zh-CN"/>
        </w:rPr>
        <w:drawing>
          <wp:inline distT="0" distB="0" distL="0" distR="0" wp14:anchorId="1408FE7E" wp14:editId="3817E930">
            <wp:extent cx="4198620" cy="25920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8620" cy="2592070"/>
                    </a:xfrm>
                    <a:prstGeom prst="rect">
                      <a:avLst/>
                    </a:prstGeom>
                    <a:noFill/>
                    <a:ln>
                      <a:noFill/>
                    </a:ln>
                  </pic:spPr>
                </pic:pic>
              </a:graphicData>
            </a:graphic>
          </wp:inline>
        </w:drawing>
      </w:r>
    </w:p>
    <w:p w:rsidR="00786E68" w:rsidRPr="00061672" w:rsidRDefault="00786E68" w:rsidP="0093783C">
      <w:pPr>
        <w:spacing w:after="120" w:line="255" w:lineRule="exact"/>
        <w:ind w:left="720" w:firstLine="720"/>
        <w:rPr>
          <w:rFonts w:ascii="Traditional Arabic" w:hAnsi="Traditional Arabic" w:cs="Traditional Arabic"/>
          <w:b/>
          <w:bCs/>
          <w:sz w:val="28"/>
          <w:rtl/>
          <w:lang w:val="en-GB" w:eastAsia="de-DE"/>
        </w:rPr>
      </w:pPr>
      <w:r w:rsidRPr="00061672">
        <w:rPr>
          <w:rFonts w:ascii="Traditional Arabic" w:hAnsi="Traditional Arabic" w:cs="Traditional Arabic" w:hint="cs"/>
          <w:b/>
          <w:bCs/>
          <w:sz w:val="28"/>
          <w:rtl/>
          <w:lang w:val="en-GB" w:eastAsia="de-DE"/>
        </w:rPr>
        <w:t xml:space="preserve">الشكل </w:t>
      </w:r>
      <w:r w:rsidR="00E52586">
        <w:rPr>
          <w:rFonts w:ascii="Traditional Arabic" w:hAnsi="Traditional Arabic" w:cs="Traditional Arabic" w:hint="cs"/>
          <w:b/>
          <w:bCs/>
          <w:sz w:val="28"/>
          <w:rtl/>
          <w:lang w:val="en-GB" w:eastAsia="de-DE"/>
        </w:rPr>
        <w:t>1</w:t>
      </w:r>
      <w:r w:rsidR="00DB5CDE">
        <w:rPr>
          <w:rFonts w:ascii="Traditional Arabic" w:hAnsi="Traditional Arabic" w:cs="Traditional Arabic" w:hint="cs"/>
          <w:b/>
          <w:bCs/>
          <w:sz w:val="28"/>
          <w:rtl/>
          <w:lang w:val="en-GB" w:eastAsia="de-DE"/>
        </w:rPr>
        <w:t>.</w:t>
      </w:r>
      <w:r w:rsidRPr="00061672">
        <w:rPr>
          <w:rFonts w:ascii="Traditional Arabic" w:hAnsi="Traditional Arabic" w:cs="Traditional Arabic" w:hint="cs"/>
          <w:b/>
          <w:bCs/>
          <w:sz w:val="28"/>
          <w:rtl/>
          <w:lang w:val="en-GB" w:eastAsia="de-DE"/>
        </w:rPr>
        <w:t xml:space="preserve"> جهاز الامتزاز باستخدام الكربون المنشط</w:t>
      </w:r>
    </w:p>
    <w:p w:rsidR="00786E68" w:rsidRPr="00061672" w:rsidRDefault="00786E68" w:rsidP="00786E68">
      <w:pPr>
        <w:spacing w:after="120" w:line="240" w:lineRule="atLeast"/>
        <w:rPr>
          <w:rFonts w:cs="Times New Roman"/>
          <w:sz w:val="20"/>
          <w:szCs w:val="24"/>
          <w:lang w:eastAsia="de-DE"/>
        </w:rPr>
      </w:pPr>
    </w:p>
    <w:p w:rsidR="0093783C" w:rsidRDefault="00786E68" w:rsidP="0093783C">
      <w:pPr>
        <w:spacing w:after="120" w:line="240" w:lineRule="atLeast"/>
        <w:rPr>
          <w:rFonts w:ascii="Traditional Arabic" w:hAnsi="Traditional Arabic" w:cs="Traditional Arabic"/>
          <w:b/>
          <w:bCs/>
          <w:sz w:val="28"/>
          <w:rtl/>
          <w:lang w:val="en-GB" w:eastAsia="de-DE"/>
        </w:rPr>
      </w:pPr>
      <w:r w:rsidRPr="00061672">
        <w:rPr>
          <w:rFonts w:cs="Times New Roman"/>
          <w:noProof/>
          <w:sz w:val="20"/>
          <w:szCs w:val="24"/>
          <w:lang w:val="en-GB" w:eastAsia="zh-CN"/>
        </w:rPr>
        <w:drawing>
          <wp:inline distT="0" distB="0" distL="0" distR="0" wp14:anchorId="0859B6E0" wp14:editId="74C95A15">
            <wp:extent cx="3829685" cy="273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685" cy="2730500"/>
                    </a:xfrm>
                    <a:prstGeom prst="rect">
                      <a:avLst/>
                    </a:prstGeom>
                    <a:noFill/>
                    <a:ln>
                      <a:noFill/>
                    </a:ln>
                  </pic:spPr>
                </pic:pic>
              </a:graphicData>
            </a:graphic>
          </wp:inline>
        </w:drawing>
      </w:r>
    </w:p>
    <w:p w:rsidR="00786E68" w:rsidRPr="00061672" w:rsidRDefault="00786E68" w:rsidP="0093783C">
      <w:pPr>
        <w:spacing w:after="120" w:line="240" w:lineRule="atLeast"/>
        <w:rPr>
          <w:rFonts w:cs="Times New Roman"/>
          <w:b/>
          <w:bCs/>
          <w:sz w:val="28"/>
          <w:rtl/>
          <w:lang w:val="en-GB" w:eastAsia="de-DE"/>
        </w:rPr>
      </w:pPr>
      <w:r w:rsidRPr="00061672">
        <w:rPr>
          <w:rFonts w:ascii="Traditional Arabic" w:hAnsi="Traditional Arabic" w:cs="Traditional Arabic" w:hint="cs"/>
          <w:b/>
          <w:bCs/>
          <w:sz w:val="28"/>
          <w:rtl/>
          <w:lang w:val="en-GB" w:eastAsia="de-DE"/>
        </w:rPr>
        <w:t xml:space="preserve">الشكل </w:t>
      </w:r>
      <w:r w:rsidR="00E52586">
        <w:rPr>
          <w:rFonts w:ascii="Traditional Arabic" w:hAnsi="Traditional Arabic" w:cs="Traditional Arabic" w:hint="cs"/>
          <w:b/>
          <w:bCs/>
          <w:sz w:val="28"/>
          <w:rtl/>
          <w:lang w:val="en-GB" w:eastAsia="de-DE"/>
        </w:rPr>
        <w:t>2</w:t>
      </w:r>
      <w:r w:rsidR="00DB5CDE">
        <w:rPr>
          <w:rFonts w:ascii="Traditional Arabic" w:hAnsi="Traditional Arabic" w:cs="Traditional Arabic" w:hint="cs"/>
          <w:b/>
          <w:bCs/>
          <w:sz w:val="28"/>
          <w:rtl/>
          <w:lang w:val="en-GB" w:eastAsia="de-DE"/>
        </w:rPr>
        <w:t>.</w:t>
      </w:r>
      <w:r w:rsidRPr="00061672">
        <w:rPr>
          <w:rFonts w:ascii="Traditional Arabic" w:hAnsi="Traditional Arabic" w:cs="Traditional Arabic" w:hint="cs"/>
          <w:b/>
          <w:bCs/>
          <w:sz w:val="28"/>
          <w:rtl/>
          <w:lang w:val="en-GB" w:eastAsia="de-DE"/>
        </w:rPr>
        <w:t xml:space="preserve"> كنانة معبأة بالكربون المنشط</w:t>
      </w:r>
    </w:p>
    <w:p w:rsidR="00786E68" w:rsidRPr="00061672" w:rsidRDefault="00786E68" w:rsidP="0093783C">
      <w:pPr>
        <w:spacing w:after="120" w:line="400" w:lineRule="exact"/>
        <w:jc w:val="both"/>
        <w:rPr>
          <w:rFonts w:cs="Traditional Arabic"/>
          <w:sz w:val="30"/>
          <w:szCs w:val="30"/>
          <w:rtl/>
          <w:lang w:val="en-GB"/>
        </w:rPr>
      </w:pPr>
      <w:r w:rsidRPr="00061672">
        <w:rPr>
          <w:rFonts w:cs="Traditional Arabic" w:hint="cs"/>
          <w:sz w:val="30"/>
          <w:szCs w:val="30"/>
          <w:rtl/>
          <w:lang w:val="en-GB"/>
        </w:rPr>
        <w:t xml:space="preserve">وكما يظهر من الشكل </w:t>
      </w:r>
      <w:r w:rsidR="00DB5CDE">
        <w:rPr>
          <w:rFonts w:cs="Traditional Arabic" w:hint="cs"/>
          <w:sz w:val="30"/>
          <w:szCs w:val="30"/>
          <w:rtl/>
          <w:lang w:val="en-GB"/>
        </w:rPr>
        <w:t>2</w:t>
      </w:r>
      <w:r w:rsidRPr="00061672">
        <w:rPr>
          <w:rFonts w:cs="Traditional Arabic" w:hint="cs"/>
          <w:sz w:val="30"/>
          <w:szCs w:val="30"/>
          <w:rtl/>
          <w:lang w:val="en-GB"/>
        </w:rPr>
        <w:t xml:space="preserve"> فإن غاز المداخن يتوزع بشكل منتظم عند مروره عبر الطبقات الرقيقة المتعددة من الكربون المنشط المركبة في كنانة الكربون المنشط. ونتيجةً لذلك ترتفع كفاءة التلامس بين الكربون المنشط والكميات النزرة من المواد الضارة في غاز المداخن ومن الضروري تحقيق خفض كبير في استخدام كمية الكربون المنشط. وهناك ميزة إضافية حيث أن استخدام طبقات رقيقة من الكربون المنشط يقلل من فقدان الضغط مقارنةً بجهاز الكربون المنشط التقليدي ذي القاعدة المتحركة الذي يصل فقدان الضغط فيه إلى زهاء 2 </w:t>
      </w:r>
      <w:r w:rsidR="0093783C">
        <w:rPr>
          <w:rFonts w:cs="Traditional Arabic" w:hint="cs"/>
          <w:sz w:val="30"/>
          <w:szCs w:val="30"/>
          <w:rtl/>
          <w:lang w:val="en-GB"/>
        </w:rPr>
        <w:t>-</w:t>
      </w:r>
      <w:r w:rsidRPr="00061672">
        <w:rPr>
          <w:rFonts w:cs="Traditional Arabic" w:hint="cs"/>
          <w:sz w:val="30"/>
          <w:szCs w:val="30"/>
          <w:rtl/>
          <w:lang w:val="en-GB"/>
        </w:rPr>
        <w:t xml:space="preserve"> 3 كيلوباسكال. ونظراً لأن الفقدان في الضغط لا يتعدى 0,5 كيلوباسكال لكل كنانة كربون منشط فإنه يمكن الإبقاء على استهلاك الطاقة الكهربائية عند مستوى منخفض. ولمنع انسداد طبقة القاعدة المعبأة بالكربون المنشط بسبب الغبار فإن الطريقة الرئيسية لتطبيق هذا الجهاز هي تركيبه بعد المرشح الكيسي. ولهذا السبب يتعين استخدام كربون منشط يتميز بكفاءة عالية في منع الاشتعال، للسماح بمعالجة حتى درجات حرارة قصوى تبلغ 200مْ، وهذه هي درجة حرارة المرشحات الكيسية الشائعة.</w:t>
      </w:r>
    </w:p>
    <w:p w:rsidR="00786E68" w:rsidRPr="00061672" w:rsidRDefault="00786E68" w:rsidP="00786E68">
      <w:pPr>
        <w:spacing w:after="120" w:line="400" w:lineRule="exact"/>
        <w:jc w:val="both"/>
        <w:rPr>
          <w:rFonts w:cs="Traditional Arabic"/>
          <w:sz w:val="30"/>
          <w:szCs w:val="30"/>
          <w:rtl/>
          <w:lang w:val="en-GB"/>
        </w:rPr>
      </w:pPr>
      <w:r w:rsidRPr="00061672">
        <w:rPr>
          <w:rFonts w:cs="Traditional Arabic" w:hint="cs"/>
          <w:sz w:val="30"/>
          <w:szCs w:val="30"/>
          <w:rtl/>
          <w:lang w:val="en-GB"/>
        </w:rPr>
        <w:t>وأظهرت التجارب في منشأة لحرق النفايات تركيزات زئبق أقل من الحد الأدنى القابل للكشف والبالغ 5 ميكروغرام/م</w:t>
      </w:r>
      <w:r w:rsidRPr="00F233C1">
        <w:rPr>
          <w:rFonts w:cs="Traditional Arabic" w:hint="cs"/>
          <w:sz w:val="30"/>
          <w:szCs w:val="30"/>
          <w:vertAlign w:val="superscript"/>
          <w:rtl/>
          <w:lang w:val="en-GB"/>
        </w:rPr>
        <w:t>3</w:t>
      </w:r>
      <w:r w:rsidRPr="00061672">
        <w:rPr>
          <w:rFonts w:cs="Traditional Arabic" w:hint="cs"/>
          <w:sz w:val="30"/>
          <w:szCs w:val="30"/>
          <w:rtl/>
          <w:lang w:val="en-GB"/>
        </w:rPr>
        <w:t xml:space="preserve"> في الغاز النظيف عند تركيز في المنفذ قدره 65 ميكروغرام/م</w:t>
      </w:r>
      <w:r w:rsidRPr="00F233C1">
        <w:rPr>
          <w:rFonts w:cs="Traditional Arabic" w:hint="cs"/>
          <w:sz w:val="30"/>
          <w:szCs w:val="30"/>
          <w:vertAlign w:val="superscript"/>
          <w:rtl/>
          <w:lang w:val="en-GB"/>
        </w:rPr>
        <w:t>3</w:t>
      </w:r>
      <w:r w:rsidRPr="00061672">
        <w:rPr>
          <w:rFonts w:cs="Traditional Arabic" w:hint="cs"/>
          <w:sz w:val="30"/>
          <w:szCs w:val="30"/>
          <w:rtl/>
          <w:lang w:val="en-GB"/>
        </w:rPr>
        <w:t>. وأمكن الإبقاء على تركيزات الزئبق أقل من الحد الأدنى القابل للكشف بعد ستة أشهر في منشأة حرق النفايات.</w:t>
      </w:r>
    </w:p>
    <w:p w:rsidR="00786E68" w:rsidRPr="00061672" w:rsidRDefault="00786E68" w:rsidP="00786E68">
      <w:pPr>
        <w:spacing w:after="120" w:line="400" w:lineRule="exact"/>
        <w:jc w:val="both"/>
        <w:rPr>
          <w:rFonts w:cs="Traditional Arabic"/>
          <w:i/>
          <w:iCs/>
          <w:sz w:val="30"/>
          <w:szCs w:val="30"/>
          <w:lang w:val="en-GB"/>
        </w:rPr>
      </w:pPr>
      <w:r w:rsidRPr="00061672">
        <w:rPr>
          <w:rFonts w:cs="Traditional Arabic" w:hint="cs"/>
          <w:i/>
          <w:iCs/>
          <w:sz w:val="30"/>
          <w:szCs w:val="30"/>
          <w:rtl/>
          <w:lang w:val="en-GB"/>
        </w:rPr>
        <w:t>المنافع المشتركة</w:t>
      </w:r>
    </w:p>
    <w:p w:rsidR="00786E68" w:rsidRPr="00061672" w:rsidRDefault="00786E68" w:rsidP="00786E68">
      <w:pPr>
        <w:spacing w:after="120" w:line="400" w:lineRule="exact"/>
        <w:jc w:val="both"/>
        <w:rPr>
          <w:rFonts w:cs="Traditional Arabic"/>
          <w:sz w:val="30"/>
          <w:szCs w:val="30"/>
          <w:rtl/>
          <w:lang w:val="en-GB"/>
        </w:rPr>
      </w:pPr>
      <w:r w:rsidRPr="00061672">
        <w:rPr>
          <w:rFonts w:cs="Traditional Arabic" w:hint="cs"/>
          <w:sz w:val="30"/>
          <w:szCs w:val="30"/>
          <w:rtl/>
          <w:lang w:val="en-GB"/>
        </w:rPr>
        <w:t>تشمل المنافع المشتركة خفض كميات المواد الضارة الأخرى مثل الديوكسينات والمعادن الثقيلة الأخرى.</w:t>
      </w:r>
    </w:p>
    <w:p w:rsidR="00786E68" w:rsidRPr="00061672" w:rsidRDefault="00DB5CDE" w:rsidP="00786E68">
      <w:pPr>
        <w:keepNext/>
        <w:spacing w:before="120" w:after="120" w:line="400" w:lineRule="exact"/>
        <w:ind w:left="709" w:hanging="709"/>
        <w:jc w:val="both"/>
        <w:outlineLvl w:val="3"/>
        <w:rPr>
          <w:rFonts w:cs="Traditional Arabic"/>
          <w:b/>
          <w:bCs/>
          <w:sz w:val="30"/>
          <w:szCs w:val="30"/>
          <w:rtl/>
        </w:rPr>
      </w:pPr>
      <w:r>
        <w:rPr>
          <w:rFonts w:cs="Traditional Arabic" w:hint="cs"/>
          <w:b/>
          <w:bCs/>
          <w:sz w:val="30"/>
          <w:szCs w:val="30"/>
          <w:rtl/>
        </w:rPr>
        <w:t>1</w:t>
      </w:r>
      <w:r w:rsidR="00786E68" w:rsidRPr="00061672">
        <w:rPr>
          <w:rFonts w:cs="Traditional Arabic" w:hint="cs"/>
          <w:b/>
          <w:bCs/>
          <w:sz w:val="30"/>
          <w:szCs w:val="30"/>
          <w:rtl/>
        </w:rPr>
        <w:t>-2</w:t>
      </w:r>
      <w:r w:rsidR="00786E68" w:rsidRPr="00061672">
        <w:rPr>
          <w:rFonts w:cs="Traditional Arabic" w:hint="cs"/>
          <w:b/>
          <w:bCs/>
          <w:sz w:val="30"/>
          <w:szCs w:val="30"/>
          <w:rtl/>
        </w:rPr>
        <w:tab/>
        <w:t>فحم جوز الهند كبديل للكربون المنشط القائم على الفحم</w:t>
      </w:r>
    </w:p>
    <w:p w:rsidR="00786E68" w:rsidRPr="00061672" w:rsidRDefault="00786E68" w:rsidP="00786E68">
      <w:pPr>
        <w:spacing w:after="120" w:line="400" w:lineRule="exact"/>
        <w:jc w:val="both"/>
        <w:rPr>
          <w:rFonts w:cs="Traditional Arabic"/>
          <w:sz w:val="30"/>
          <w:szCs w:val="30"/>
          <w:rtl/>
          <w:lang w:val="en-GB"/>
        </w:rPr>
      </w:pPr>
      <w:r w:rsidRPr="00061672">
        <w:rPr>
          <w:rFonts w:cs="Traditional Arabic" w:hint="cs"/>
          <w:sz w:val="30"/>
          <w:szCs w:val="30"/>
          <w:rtl/>
          <w:lang w:val="en-GB"/>
        </w:rPr>
        <w:t>تم تطوير فحم من ألياف جوز الهند ومن لب جوز الهند ليكون بديلاً عن الكربون المنشط. ويعد قشر جوز الهند من النفايات الناتجة عن عملية معالجة جوز الهند ويوجد على نطاق واسع في المناطق المدارية.</w:t>
      </w:r>
    </w:p>
    <w:p w:rsidR="00786E68" w:rsidRPr="00061672" w:rsidRDefault="00786E68" w:rsidP="00786E68">
      <w:pPr>
        <w:spacing w:after="120" w:line="400" w:lineRule="exact"/>
        <w:jc w:val="both"/>
        <w:rPr>
          <w:rFonts w:cs="Traditional Arabic"/>
          <w:sz w:val="30"/>
          <w:szCs w:val="30"/>
          <w:rtl/>
          <w:lang w:val="en-GB"/>
        </w:rPr>
      </w:pPr>
      <w:r w:rsidRPr="00061672">
        <w:rPr>
          <w:rFonts w:cs="Traditional Arabic" w:hint="cs"/>
          <w:sz w:val="30"/>
          <w:szCs w:val="30"/>
          <w:rtl/>
          <w:lang w:val="en-GB"/>
        </w:rPr>
        <w:t>وأظهرت التجارب أن قدرة لب جوز الهند على امتزاز الزئبق النقي أفضل من قدرة ألياف جوز الهند في ظروف التجربة. وفي هذه التجارب كانت قدرة فحم لب جوز الهند على امتزاز الزئبق النقي (3142 ميكروغرام/غرام) وهذا أعلى بكثير من قدرة الكربون المنشط القائم على الفحم (119 ميكروغرام/غرام)، وقد يشير هذا إلى أن أنواع الفحم المنشط من لب جوز الهند يمكن أن تشكل في المستقبل مصدراً محتملاً للمواد الممتزة، التي ستحل محل المواد الممتزة الحالية مثل الكربون المنشط (</w:t>
      </w:r>
      <w:r w:rsidRPr="00061672">
        <w:rPr>
          <w:rFonts w:cs="Times New Roman"/>
          <w:sz w:val="20"/>
          <w:szCs w:val="24"/>
          <w:lang w:val="en-GB" w:eastAsia="de-DE"/>
        </w:rPr>
        <w:t>Khairiraihanna et al. 2015</w:t>
      </w:r>
      <w:r w:rsidRPr="00061672">
        <w:rPr>
          <w:rFonts w:cs="Traditional Arabic" w:hint="cs"/>
          <w:sz w:val="30"/>
          <w:szCs w:val="30"/>
          <w:rtl/>
          <w:lang w:val="en-GB"/>
        </w:rPr>
        <w:t>).</w:t>
      </w:r>
    </w:p>
    <w:p w:rsidR="00786E68" w:rsidRPr="00061672" w:rsidRDefault="00786E68" w:rsidP="00786E68">
      <w:pPr>
        <w:spacing w:after="120" w:line="400" w:lineRule="exact"/>
        <w:jc w:val="both"/>
        <w:rPr>
          <w:rFonts w:cs="Traditional Arabic"/>
          <w:i/>
          <w:iCs/>
          <w:sz w:val="30"/>
          <w:szCs w:val="30"/>
          <w:rtl/>
          <w:lang w:val="en-GB"/>
        </w:rPr>
      </w:pPr>
      <w:r w:rsidRPr="00061672">
        <w:rPr>
          <w:rFonts w:cs="Traditional Arabic" w:hint="cs"/>
          <w:i/>
          <w:iCs/>
          <w:sz w:val="30"/>
          <w:szCs w:val="30"/>
          <w:rtl/>
          <w:lang w:val="en-GB"/>
        </w:rPr>
        <w:t>المنافع المشتركة</w:t>
      </w:r>
    </w:p>
    <w:p w:rsidR="00786E68" w:rsidRPr="00061672" w:rsidRDefault="00786E68" w:rsidP="00786E68">
      <w:pPr>
        <w:spacing w:after="120" w:line="400" w:lineRule="exact"/>
        <w:jc w:val="both"/>
        <w:rPr>
          <w:rFonts w:cs="Traditional Arabic"/>
          <w:sz w:val="30"/>
          <w:szCs w:val="30"/>
          <w:lang w:val="en-GB"/>
        </w:rPr>
      </w:pPr>
      <w:r w:rsidRPr="00061672">
        <w:rPr>
          <w:rFonts w:cs="Traditional Arabic" w:hint="cs"/>
          <w:sz w:val="30"/>
          <w:szCs w:val="30"/>
          <w:rtl/>
          <w:lang w:val="en-GB"/>
        </w:rPr>
        <w:t>يمكن أن يوفر استخدام نفايات من قبيل قشر جوز الهند فوائد اقتصادية إضافةً إلى تقليله من مشاكل التخلص من النفايات نتيجةً لتقليل كميات المواد المضافة. بيد أنه يتعين أيضاً التخلص من فحم جوز الهند الملوث بالزئبق بطريقة ملائمة.</w:t>
      </w:r>
    </w:p>
    <w:p w:rsidR="00DB5CDE" w:rsidRDefault="00DB5CDE">
      <w:pPr>
        <w:bidi w:val="0"/>
        <w:rPr>
          <w:rFonts w:cs="Traditional Arabic"/>
          <w:b/>
          <w:bCs/>
          <w:sz w:val="32"/>
          <w:szCs w:val="32"/>
          <w:rtl/>
        </w:rPr>
      </w:pPr>
      <w:r>
        <w:rPr>
          <w:rFonts w:cs="Traditional Arabic"/>
          <w:b/>
          <w:bCs/>
          <w:sz w:val="32"/>
          <w:szCs w:val="32"/>
          <w:rtl/>
        </w:rPr>
        <w:br w:type="page"/>
      </w:r>
    </w:p>
    <w:p w:rsidR="00DB5CDE" w:rsidRDefault="00DB5CDE" w:rsidP="00786E68">
      <w:pPr>
        <w:rPr>
          <w:rFonts w:cs="Traditional Arabic"/>
          <w:b/>
          <w:bCs/>
          <w:sz w:val="32"/>
          <w:szCs w:val="32"/>
          <w:rtl/>
        </w:rPr>
      </w:pPr>
      <w:r>
        <w:rPr>
          <w:rFonts w:cs="Traditional Arabic" w:hint="cs"/>
          <w:b/>
          <w:bCs/>
          <w:sz w:val="32"/>
          <w:szCs w:val="32"/>
          <w:rtl/>
        </w:rPr>
        <w:t>المراجع</w:t>
      </w:r>
    </w:p>
    <w:p w:rsidR="00FF65A4" w:rsidRPr="00FF65A4" w:rsidRDefault="00FF65A4" w:rsidP="00FF65A4">
      <w:pPr>
        <w:keepNext/>
        <w:suppressAutoHyphens/>
        <w:bidi w:val="0"/>
        <w:spacing w:before="480" w:after="240"/>
        <w:outlineLvl w:val="1"/>
        <w:rPr>
          <w:rFonts w:eastAsiaTheme="minorEastAsia" w:cs="Arial"/>
          <w:b/>
          <w:sz w:val="24"/>
          <w:szCs w:val="24"/>
          <w:lang w:val="en-GB"/>
        </w:rPr>
      </w:pPr>
      <w:r w:rsidRPr="00FF65A4">
        <w:rPr>
          <w:rFonts w:eastAsiaTheme="minorEastAsia" w:cs="Times New Roman"/>
          <w:b/>
          <w:sz w:val="24"/>
          <w:szCs w:val="24"/>
          <w:lang w:val="en-GB"/>
        </w:rPr>
        <w:t>Coal</w:t>
      </w:r>
    </w:p>
    <w:p w:rsidR="00FF65A4" w:rsidRPr="00FF65A4" w:rsidRDefault="00FF65A4" w:rsidP="00FF65A4">
      <w:pPr>
        <w:bidi w:val="0"/>
        <w:spacing w:after="120" w:line="300" w:lineRule="exact"/>
        <w:rPr>
          <w:rFonts w:eastAsia="SimSun" w:cs="Vrinda"/>
          <w:szCs w:val="22"/>
          <w:lang w:val="en-GB" w:eastAsia="zh-CN"/>
        </w:rPr>
      </w:pPr>
      <w:r w:rsidRPr="00FF65A4">
        <w:rPr>
          <w:rFonts w:eastAsia="SimSun" w:cs="Vrinda"/>
          <w:szCs w:val="22"/>
          <w:lang w:val="en-GB" w:eastAsia="de-DE"/>
        </w:rPr>
        <w:t>Du W, Yin L B, Zhuo Y Q, Xu Q S, Zhang L, Chen C H (2015) Performance of CuOx–neutral Al2O3 sorbents on mercury removal from simulated coal combustion flue gas</w:t>
      </w:r>
      <w:r w:rsidRPr="00FF65A4">
        <w:rPr>
          <w:rFonts w:eastAsia="SimSun" w:cs="Vrinda"/>
          <w:szCs w:val="22"/>
          <w:lang w:val="en-GB" w:eastAsia="zh-CN"/>
        </w:rPr>
        <w:t>. Fuel Processing Technology, 131: 403–408</w:t>
      </w:r>
    </w:p>
    <w:p w:rsidR="00FF65A4" w:rsidRPr="00FF65A4" w:rsidRDefault="00FF65A4" w:rsidP="00FF65A4">
      <w:pPr>
        <w:bidi w:val="0"/>
        <w:spacing w:after="120" w:line="300" w:lineRule="exact"/>
        <w:rPr>
          <w:rFonts w:eastAsia="SimSun" w:cs="Vrinda"/>
          <w:szCs w:val="22"/>
          <w:lang w:val="en-GB" w:eastAsia="de-DE"/>
        </w:rPr>
      </w:pPr>
      <w:r w:rsidRPr="00FF65A4">
        <w:rPr>
          <w:rFonts w:eastAsia="SimSun" w:cs="Vrinda"/>
          <w:szCs w:val="22"/>
          <w:lang w:val="en-GB" w:eastAsia="de-DE"/>
        </w:rPr>
        <w:t xml:space="preserve">Hua X Y, Zhou J S, Li Q K, Luo Z Y, Cen K F (2010) </w:t>
      </w:r>
      <w:r w:rsidRPr="00FF65A4">
        <w:rPr>
          <w:rFonts w:ascii="Rosalind Serif" w:hAnsi="Rosalind Serif" w:cs="Arial"/>
          <w:color w:val="111111"/>
          <w:szCs w:val="24"/>
          <w:lang w:val="en" w:eastAsia="de-DE"/>
        </w:rPr>
        <w:t xml:space="preserve">Gas-Phase Elemental Mercury Removal by CeO2 </w:t>
      </w:r>
      <w:r w:rsidRPr="00FF65A4">
        <w:rPr>
          <w:rFonts w:eastAsia="SimSun" w:cs="Vrinda"/>
          <w:szCs w:val="22"/>
          <w:lang w:val="en-GB" w:eastAsia="de-DE"/>
        </w:rPr>
        <w:t>Impregnated Activated Coke. Energy Fuels, 24 (10): 5426–5431</w:t>
      </w:r>
    </w:p>
    <w:p w:rsidR="00FF65A4" w:rsidRPr="00FF65A4" w:rsidRDefault="00FF65A4" w:rsidP="00FF65A4">
      <w:pPr>
        <w:bidi w:val="0"/>
        <w:spacing w:after="120" w:line="300" w:lineRule="exact"/>
        <w:rPr>
          <w:rFonts w:eastAsia="SimSun" w:cs="Vrinda"/>
          <w:szCs w:val="22"/>
          <w:lang w:val="en-GB" w:eastAsia="de-DE"/>
        </w:rPr>
      </w:pPr>
      <w:r w:rsidRPr="00FF65A4">
        <w:rPr>
          <w:rFonts w:eastAsia="SimSun" w:cs="Vrinda"/>
          <w:szCs w:val="22"/>
          <w:lang w:val="en-GB" w:eastAsia="zh-CN"/>
        </w:rPr>
        <w:t>Jia B J, Chen Y, Feng Q Z, Liu L Y (2013)</w:t>
      </w:r>
      <w:r w:rsidRPr="00FF65A4">
        <w:rPr>
          <w:rFonts w:eastAsia="SimSun" w:cs="Vrinda"/>
          <w:szCs w:val="22"/>
          <w:lang w:val="en-GB" w:eastAsia="de-DE"/>
        </w:rPr>
        <w:t xml:space="preserve"> Research progress of plasma technology in treating NO, SO2 and Hg0</w:t>
      </w:r>
      <w:r w:rsidRPr="00FF65A4">
        <w:rPr>
          <w:rFonts w:eastAsia="SimSun" w:cs="Vrinda"/>
          <w:szCs w:val="22"/>
          <w:lang w:val="en-GB" w:eastAsia="zh-CN"/>
        </w:rPr>
        <w:t xml:space="preserve"> </w:t>
      </w:r>
      <w:r w:rsidRPr="00FF65A4">
        <w:rPr>
          <w:rFonts w:eastAsia="SimSun" w:cs="Vrinda"/>
          <w:szCs w:val="22"/>
          <w:lang w:val="en-GB" w:eastAsia="de-DE"/>
        </w:rPr>
        <w:t>from flue gas</w:t>
      </w:r>
      <w:r w:rsidRPr="00FF65A4">
        <w:rPr>
          <w:rFonts w:eastAsia="SimSun" w:cs="Vrinda"/>
          <w:szCs w:val="22"/>
          <w:lang w:val="en-GB" w:eastAsia="zh-CN"/>
        </w:rPr>
        <w:t>. Applied Mechanics and Materials, 295-298: 1293–1298</w:t>
      </w:r>
    </w:p>
    <w:p w:rsidR="00FF65A4" w:rsidRPr="00FF65A4" w:rsidRDefault="00FF65A4" w:rsidP="00FF65A4">
      <w:pPr>
        <w:tabs>
          <w:tab w:val="left" w:pos="720"/>
          <w:tab w:val="left" w:pos="1247"/>
          <w:tab w:val="left" w:pos="1814"/>
          <w:tab w:val="left" w:pos="2381"/>
          <w:tab w:val="left" w:pos="2948"/>
          <w:tab w:val="left" w:pos="3515"/>
        </w:tabs>
        <w:bidi w:val="0"/>
        <w:rPr>
          <w:rFonts w:eastAsia="SimSun" w:cs="Times New Roman"/>
          <w:sz w:val="20"/>
          <w:szCs w:val="22"/>
          <w:lang w:val="en-GB"/>
        </w:rPr>
      </w:pPr>
      <w:r w:rsidRPr="00FF65A4">
        <w:rPr>
          <w:rFonts w:eastAsia="SimSun" w:cs="Times New Roman"/>
          <w:sz w:val="20"/>
          <w:szCs w:val="22"/>
          <w:lang w:val="en-GB" w:eastAsia="zh-CN"/>
        </w:rPr>
        <w:t>Ko K B, Byun Y, Cho M, Hamilton I P, Shin D N, Koh D J, and Kim K T (2008) Pulsed Corona Discharge for Oxidation of Gaseous Elemental Mercury. Chemistry Faculty Publications. Paper 2. http://scholars.wlu.ca/chem_faculty/2.</w:t>
      </w:r>
    </w:p>
    <w:p w:rsidR="00FF65A4" w:rsidRPr="00FF65A4" w:rsidRDefault="00FF65A4" w:rsidP="00FF65A4">
      <w:pPr>
        <w:bidi w:val="0"/>
        <w:spacing w:after="120" w:line="300" w:lineRule="exact"/>
        <w:rPr>
          <w:rFonts w:eastAsia="SimSun" w:cs="Vrinda"/>
          <w:szCs w:val="22"/>
          <w:lang w:val="en-GB" w:eastAsia="de-DE"/>
        </w:rPr>
      </w:pPr>
      <w:r w:rsidRPr="00FF65A4">
        <w:rPr>
          <w:rFonts w:eastAsia="SimSun" w:cs="Vrinda"/>
          <w:szCs w:val="22"/>
          <w:lang w:val="en-GB" w:eastAsia="de-DE"/>
        </w:rPr>
        <w:t xml:space="preserve">Suriawong A, Smallwood M, Li Y, Zhuang Y, Biswas P (2009) </w:t>
      </w:r>
      <w:bookmarkStart w:id="2254" w:name="OLE_LINK3"/>
      <w:r w:rsidRPr="00FF65A4">
        <w:rPr>
          <w:rFonts w:eastAsia="SimSun" w:cs="Vrinda"/>
          <w:szCs w:val="22"/>
          <w:lang w:val="en-GB" w:eastAsia="de-DE"/>
        </w:rPr>
        <w:t>Mercury capture by nano-structured titanium dioxide sorbent during coal combustion: lab-scale to pilot scale studies</w:t>
      </w:r>
      <w:bookmarkEnd w:id="2254"/>
      <w:r w:rsidRPr="00FF65A4">
        <w:rPr>
          <w:rFonts w:eastAsia="SimSun" w:cs="Vrinda"/>
          <w:szCs w:val="22"/>
          <w:lang w:val="en-GB" w:eastAsia="de-DE"/>
        </w:rPr>
        <w:t>. Aerosol and Air Quality Research, 9:394–403</w:t>
      </w:r>
    </w:p>
    <w:p w:rsidR="00FF65A4" w:rsidRPr="00FF65A4" w:rsidRDefault="00FF65A4" w:rsidP="00FF65A4">
      <w:pPr>
        <w:tabs>
          <w:tab w:val="left" w:pos="720"/>
          <w:tab w:val="left" w:pos="1247"/>
          <w:tab w:val="left" w:pos="1814"/>
          <w:tab w:val="left" w:pos="2381"/>
          <w:tab w:val="left" w:pos="2948"/>
          <w:tab w:val="left" w:pos="3515"/>
        </w:tabs>
        <w:bidi w:val="0"/>
        <w:spacing w:after="200"/>
        <w:rPr>
          <w:rFonts w:eastAsia="SimSun" w:cs="Times New Roman"/>
          <w:sz w:val="20"/>
          <w:szCs w:val="22"/>
          <w:lang w:val="en-GB" w:eastAsia="zh-CN"/>
        </w:rPr>
      </w:pPr>
      <w:r w:rsidRPr="00FF65A4">
        <w:rPr>
          <w:rFonts w:eastAsia="SimSun" w:cs="Times New Roman"/>
          <w:sz w:val="20"/>
          <w:szCs w:val="22"/>
          <w:lang w:val="en-GB" w:eastAsia="zh-CN"/>
        </w:rPr>
        <w:t>Xu F, Luo Z, Cao W, Wang P, Wei B, Gao X, Fang M, Cen K (2009) Simultaneous oxidation of NO, SO2 and Hg0 from flue gas by pulsed corona discharge, Journal of Environmental Sciences, 21: 328~332.</w:t>
      </w:r>
    </w:p>
    <w:p w:rsidR="00FF65A4" w:rsidRPr="00FF65A4" w:rsidRDefault="00FF65A4" w:rsidP="00FF65A4">
      <w:pPr>
        <w:tabs>
          <w:tab w:val="left" w:pos="720"/>
          <w:tab w:val="left" w:pos="1247"/>
          <w:tab w:val="left" w:pos="1814"/>
          <w:tab w:val="left" w:pos="2381"/>
          <w:tab w:val="left" w:pos="2948"/>
          <w:tab w:val="left" w:pos="3515"/>
        </w:tabs>
        <w:bidi w:val="0"/>
        <w:rPr>
          <w:rFonts w:eastAsia="SimSun" w:cs="Times New Roman"/>
          <w:sz w:val="20"/>
          <w:szCs w:val="22"/>
          <w:lang w:val="en-GB"/>
        </w:rPr>
      </w:pPr>
      <w:r w:rsidRPr="00FF65A4">
        <w:rPr>
          <w:rFonts w:eastAsia="SimSun" w:cs="Times New Roman"/>
          <w:sz w:val="20"/>
          <w:szCs w:val="22"/>
          <w:lang w:val="en-GB"/>
        </w:rPr>
        <w:t>ZMWG (2015) ZMWG Comments on Guidance on BAT/BEP for Coal</w:t>
      </w:r>
      <w:r w:rsidRPr="00FF65A4">
        <w:rPr>
          <w:rFonts w:ascii="Cambria Math" w:eastAsia="SimSun" w:hAnsi="Cambria Math" w:cs="Cambria Math"/>
          <w:sz w:val="20"/>
          <w:szCs w:val="22"/>
          <w:lang w:val="en-GB"/>
        </w:rPr>
        <w:t>‐</w:t>
      </w:r>
      <w:r w:rsidRPr="00FF65A4">
        <w:rPr>
          <w:rFonts w:eastAsia="SimSun" w:cs="Times New Roman"/>
          <w:sz w:val="20"/>
          <w:szCs w:val="22"/>
          <w:lang w:val="en-GB"/>
        </w:rPr>
        <w:t>fired power plants and Coal</w:t>
      </w:r>
      <w:r w:rsidRPr="00FF65A4">
        <w:rPr>
          <w:rFonts w:ascii="Cambria Math" w:eastAsia="SimSun" w:hAnsi="Cambria Math" w:cs="Cambria Math"/>
          <w:sz w:val="20"/>
          <w:szCs w:val="22"/>
          <w:lang w:val="en-GB"/>
        </w:rPr>
        <w:t>‐</w:t>
      </w:r>
      <w:r w:rsidRPr="00FF65A4">
        <w:rPr>
          <w:rFonts w:eastAsia="SimSun" w:cs="Times New Roman"/>
          <w:sz w:val="20"/>
          <w:szCs w:val="22"/>
          <w:lang w:val="en-GB"/>
        </w:rPr>
        <w:t>fired industrial boilers 1 August 2015; http://mercuryconvention.org/Portals/11/documents/BAT-BEP%20draft%20guidance/Submissions/ZMWG_3.pdf</w:t>
      </w:r>
    </w:p>
    <w:p w:rsidR="00FF65A4" w:rsidRPr="00FF65A4" w:rsidRDefault="00FF65A4" w:rsidP="00FF65A4">
      <w:pPr>
        <w:keepNext/>
        <w:suppressAutoHyphens/>
        <w:bidi w:val="0"/>
        <w:spacing w:before="480" w:after="240"/>
        <w:outlineLvl w:val="1"/>
        <w:rPr>
          <w:rFonts w:eastAsiaTheme="minorEastAsia" w:cs="Times New Roman"/>
          <w:b/>
          <w:sz w:val="24"/>
          <w:szCs w:val="24"/>
          <w:lang w:val="en-GB"/>
        </w:rPr>
      </w:pPr>
      <w:r w:rsidRPr="00FF65A4">
        <w:rPr>
          <w:rFonts w:eastAsiaTheme="minorEastAsia" w:cs="Times New Roman"/>
          <w:b/>
          <w:sz w:val="24"/>
          <w:szCs w:val="24"/>
          <w:lang w:val="en-GB"/>
        </w:rPr>
        <w:t>Smelting and roasting processes used in the production of non-ferrous metals (lead, zinc, copper and industrial gold as specified in Annex D to the Convention)</w:t>
      </w:r>
    </w:p>
    <w:p w:rsidR="00FF65A4" w:rsidRPr="00FF65A4" w:rsidRDefault="00FF65A4" w:rsidP="00FF65A4">
      <w:pPr>
        <w:bidi w:val="0"/>
        <w:spacing w:after="120" w:line="300" w:lineRule="exact"/>
        <w:rPr>
          <w:rFonts w:eastAsia="SimSun" w:cs="Vrinda"/>
          <w:noProof/>
          <w:szCs w:val="24"/>
          <w:lang w:val="en-GB" w:eastAsia="de-DE"/>
        </w:rPr>
      </w:pPr>
      <w:r w:rsidRPr="00FF65A4">
        <w:rPr>
          <w:rFonts w:eastAsia="SimSun" w:cs="Vrinda"/>
          <w:noProof/>
          <w:szCs w:val="24"/>
          <w:lang w:val="en-GB" w:eastAsia="de-DE"/>
        </w:rPr>
        <w:t>Coleman, R.T.J. (1978). Emerging Technology in the Primary Copper Industry. Prepared for the U.S, EPA; data2.collectionscanada.ca/pdf/pdf001/p000001003.pdf; accessed on 7 April 2014, Habashi, F. (1978). Metallurgical plants: how mercury pollution is abated. Environmental Science &amp; Technology 12, pp. 1372–1376.</w:t>
      </w:r>
    </w:p>
    <w:p w:rsidR="00FF65A4" w:rsidRPr="00FF65A4" w:rsidRDefault="00FF65A4" w:rsidP="00FF65A4">
      <w:pPr>
        <w:tabs>
          <w:tab w:val="left" w:pos="1247"/>
          <w:tab w:val="left" w:pos="1814"/>
          <w:tab w:val="left" w:pos="2381"/>
          <w:tab w:val="left" w:pos="2948"/>
          <w:tab w:val="left" w:pos="3515"/>
        </w:tabs>
        <w:bidi w:val="0"/>
        <w:spacing w:before="120" w:after="120"/>
        <w:jc w:val="both"/>
        <w:rPr>
          <w:rFonts w:eastAsia="SimSun" w:cs="Times New Roman"/>
          <w:noProof/>
          <w:sz w:val="20"/>
          <w:szCs w:val="20"/>
          <w:lang w:val="en-GB"/>
        </w:rPr>
      </w:pPr>
      <w:r w:rsidRPr="00FF65A4">
        <w:rPr>
          <w:rFonts w:eastAsia="SimSun" w:cs="Times New Roman"/>
          <w:noProof/>
          <w:sz w:val="20"/>
          <w:szCs w:val="20"/>
          <w:lang w:val="en-GB"/>
        </w:rPr>
        <w:t>Habashi, F. (1978). Metallurgical plants: how mercury pollution is abated. Environmental Science &amp; Technology 12, pp. 1372–1376.</w:t>
      </w:r>
    </w:p>
    <w:p w:rsidR="00FF65A4" w:rsidRPr="00FF65A4" w:rsidRDefault="00FF65A4" w:rsidP="00FF65A4">
      <w:pPr>
        <w:tabs>
          <w:tab w:val="left" w:pos="1247"/>
          <w:tab w:val="left" w:pos="1814"/>
          <w:tab w:val="left" w:pos="2381"/>
          <w:tab w:val="left" w:pos="2948"/>
          <w:tab w:val="left" w:pos="3515"/>
        </w:tabs>
        <w:bidi w:val="0"/>
        <w:spacing w:before="120" w:after="120"/>
        <w:jc w:val="both"/>
        <w:rPr>
          <w:rFonts w:eastAsia="SimSun" w:cs="Times New Roman"/>
          <w:noProof/>
          <w:sz w:val="20"/>
          <w:szCs w:val="20"/>
          <w:lang w:val="en-GB"/>
        </w:rPr>
      </w:pPr>
      <w:r w:rsidRPr="00FF65A4">
        <w:rPr>
          <w:rFonts w:eastAsia="SimSun" w:cs="Times New Roman"/>
          <w:noProof/>
          <w:sz w:val="20"/>
          <w:szCs w:val="20"/>
          <w:lang w:val="en-GB"/>
        </w:rPr>
        <w:t>Reimers, J. H., et al. (1976). A review of Process Technology in Gases in the Nonferrous Metallurgical Industry for the Air Pollution Control Directorate, nepis.epa.gov/Exe/ZyPURL.cgi?Dockey=91018I2W.txt; accessed on 7 April 2014, Jan H. Reimers and Associates Limited, Metturlugical Consulting Engineers, Oakville, Ontario, Canada.</w:t>
      </w:r>
    </w:p>
    <w:p w:rsidR="00FF65A4" w:rsidRPr="00FF65A4" w:rsidRDefault="00FF65A4" w:rsidP="00FF65A4">
      <w:pPr>
        <w:tabs>
          <w:tab w:val="left" w:pos="1247"/>
          <w:tab w:val="left" w:pos="1814"/>
          <w:tab w:val="left" w:pos="2381"/>
          <w:tab w:val="left" w:pos="2948"/>
          <w:tab w:val="left" w:pos="3515"/>
        </w:tabs>
        <w:bidi w:val="0"/>
        <w:spacing w:before="120" w:after="120"/>
        <w:jc w:val="both"/>
        <w:rPr>
          <w:rFonts w:eastAsia="SimSun" w:cs="Times New Roman"/>
          <w:noProof/>
          <w:sz w:val="20"/>
          <w:szCs w:val="20"/>
          <w:lang w:val="en-GB"/>
        </w:rPr>
      </w:pPr>
      <w:r w:rsidRPr="00FF65A4">
        <w:rPr>
          <w:rFonts w:eastAsia="SimSun" w:cs="Times New Roman"/>
          <w:noProof/>
          <w:sz w:val="20"/>
          <w:szCs w:val="20"/>
          <w:lang w:val="en-GB"/>
        </w:rPr>
        <w:t xml:space="preserve">Schulze, A. (2009). Hugo Petersen – Competence in gas cleaning systems downstream nonferrous metalurgical plants. The Southern African Institute of Mining and Metallurgy – Sulphur and Sulphuric Acid Conference 2009, pp. 59–76. </w:t>
      </w:r>
    </w:p>
    <w:p w:rsidR="00FF65A4" w:rsidRPr="00FF65A4" w:rsidRDefault="00FF65A4" w:rsidP="00FF65A4">
      <w:pPr>
        <w:tabs>
          <w:tab w:val="left" w:pos="1247"/>
          <w:tab w:val="left" w:pos="1814"/>
          <w:tab w:val="left" w:pos="2381"/>
          <w:tab w:val="left" w:pos="2948"/>
          <w:tab w:val="left" w:pos="3515"/>
        </w:tabs>
        <w:bidi w:val="0"/>
        <w:spacing w:before="120" w:after="120"/>
        <w:jc w:val="both"/>
        <w:rPr>
          <w:rFonts w:eastAsia="SimSun" w:cs="Times New Roman"/>
          <w:noProof/>
          <w:sz w:val="20"/>
          <w:szCs w:val="20"/>
          <w:lang w:val="en-GB"/>
        </w:rPr>
      </w:pPr>
      <w:r w:rsidRPr="00FF65A4">
        <w:rPr>
          <w:rFonts w:eastAsia="SimSun" w:cs="Times New Roman"/>
          <w:noProof/>
          <w:sz w:val="20"/>
          <w:szCs w:val="20"/>
          <w:lang w:val="en-GB"/>
        </w:rPr>
        <w:t>Sundström, O. (1975). Mercury in Sulfuric Acid: Bolden Process Can Control Hg Levels during or after Manufacture. Sulfur No. 116, The British Sulfur Corp., January–February 1975</w:t>
      </w:r>
      <w:r w:rsidRPr="00FF65A4">
        <w:rPr>
          <w:rFonts w:eastAsia="SimSun" w:cs="Times New Roman"/>
          <w:b/>
          <w:noProof/>
          <w:sz w:val="20"/>
          <w:szCs w:val="20"/>
          <w:lang w:val="en-GB"/>
        </w:rPr>
        <w:t xml:space="preserve">: </w:t>
      </w:r>
      <w:r w:rsidRPr="00FF65A4">
        <w:rPr>
          <w:rFonts w:eastAsia="SimSun" w:cs="Times New Roman"/>
          <w:noProof/>
          <w:sz w:val="20"/>
          <w:szCs w:val="20"/>
          <w:lang w:val="en-GB"/>
        </w:rPr>
        <w:t>pp. 37–43.</w:t>
      </w:r>
    </w:p>
    <w:p w:rsidR="00427EE9" w:rsidRPr="00786E68" w:rsidRDefault="00786E68" w:rsidP="00786E68">
      <w:pPr>
        <w:rPr>
          <w:rFonts w:cs="Traditional Arabic"/>
          <w:b/>
          <w:bCs/>
          <w:sz w:val="20"/>
          <w:szCs w:val="30"/>
          <w:rtl/>
        </w:rPr>
      </w:pPr>
      <w:r w:rsidRPr="00335E4B">
        <w:rPr>
          <w:rFonts w:cs="Traditional Arabic"/>
          <w:b/>
          <w:bCs/>
          <w:sz w:val="32"/>
          <w:szCs w:val="32"/>
          <w:rtl/>
        </w:rPr>
        <w:br w:type="page"/>
      </w:r>
    </w:p>
    <w:p w:rsidR="00076BC9" w:rsidRPr="009F0B78" w:rsidRDefault="00335E4B" w:rsidP="009F0B78">
      <w:pPr>
        <w:tabs>
          <w:tab w:val="left" w:pos="1841"/>
        </w:tabs>
        <w:spacing w:after="240" w:line="400" w:lineRule="exact"/>
        <w:jc w:val="both"/>
        <w:textDirection w:val="tbRlV"/>
        <w:rPr>
          <w:rFonts w:cs="Traditional Arabic"/>
          <w:b/>
          <w:bCs/>
          <w:sz w:val="34"/>
          <w:szCs w:val="34"/>
          <w:rtl/>
        </w:rPr>
      </w:pPr>
      <w:r w:rsidRPr="009F0B78">
        <w:rPr>
          <w:rFonts w:cs="Traditional Arabic" w:hint="cs"/>
          <w:b/>
          <w:bCs/>
          <w:sz w:val="34"/>
          <w:szCs w:val="34"/>
          <w:rtl/>
        </w:rPr>
        <w:t>المرفق الثالث</w:t>
      </w:r>
    </w:p>
    <w:p w:rsidR="001B498C" w:rsidRPr="00AD081A" w:rsidRDefault="001B498C" w:rsidP="00302F5B">
      <w:pPr>
        <w:tabs>
          <w:tab w:val="left" w:pos="1841"/>
        </w:tabs>
        <w:spacing w:after="240" w:line="400" w:lineRule="exact"/>
        <w:ind w:left="1134"/>
        <w:jc w:val="both"/>
        <w:rPr>
          <w:rFonts w:ascii="Traditional Arabic" w:hAnsi="Traditional Arabic" w:cs="Traditional Arabic"/>
          <w:b/>
          <w:bCs/>
          <w:sz w:val="32"/>
          <w:szCs w:val="32"/>
          <w:rtl/>
        </w:rPr>
      </w:pPr>
      <w:r w:rsidRPr="00AD081A">
        <w:rPr>
          <w:rFonts w:ascii="Traditional Arabic" w:hAnsi="Traditional Arabic" w:cs="Traditional Arabic"/>
          <w:b/>
          <w:bCs/>
          <w:sz w:val="32"/>
          <w:szCs w:val="32"/>
          <w:rtl/>
        </w:rPr>
        <w:t>توجي</w:t>
      </w:r>
      <w:r>
        <w:rPr>
          <w:rFonts w:ascii="Traditional Arabic" w:hAnsi="Traditional Arabic" w:cs="Traditional Arabic" w:hint="cs"/>
          <w:b/>
          <w:bCs/>
          <w:sz w:val="32"/>
          <w:szCs w:val="32"/>
          <w:rtl/>
          <w:lang w:val="en-GB"/>
        </w:rPr>
        <w:t>ه</w:t>
      </w:r>
      <w:r w:rsidR="00302F5B">
        <w:rPr>
          <w:rFonts w:ascii="Traditional Arabic" w:hAnsi="Traditional Arabic" w:cs="Traditional Arabic" w:hint="cs"/>
          <w:b/>
          <w:bCs/>
          <w:sz w:val="32"/>
          <w:szCs w:val="32"/>
          <w:rtl/>
          <w:lang w:val="en-GB"/>
        </w:rPr>
        <w:t>ات</w:t>
      </w:r>
      <w:r w:rsidRPr="00AD081A">
        <w:rPr>
          <w:rFonts w:ascii="Traditional Arabic" w:hAnsi="Traditional Arabic" w:cs="Traditional Arabic"/>
          <w:b/>
          <w:bCs/>
          <w:sz w:val="32"/>
          <w:szCs w:val="32"/>
          <w:rtl/>
        </w:rPr>
        <w:t xml:space="preserve"> بشأن توفير الدعم للأطراف في تنف</w:t>
      </w:r>
      <w:r w:rsidR="00302F5B">
        <w:rPr>
          <w:rFonts w:ascii="Traditional Arabic" w:hAnsi="Traditional Arabic" w:cs="Traditional Arabic"/>
          <w:b/>
          <w:bCs/>
          <w:sz w:val="32"/>
          <w:szCs w:val="32"/>
          <w:rtl/>
        </w:rPr>
        <w:t>يذ التدابير الواردة في الفقرة 5</w:t>
      </w:r>
      <w:r w:rsidR="00461F80">
        <w:rPr>
          <w:rFonts w:ascii="Traditional Arabic" w:hAnsi="Traditional Arabic" w:cs="Traditional Arabic" w:hint="cs"/>
          <w:b/>
          <w:bCs/>
          <w:sz w:val="32"/>
          <w:szCs w:val="32"/>
          <w:rtl/>
        </w:rPr>
        <w:t xml:space="preserve"> من المادة 8</w:t>
      </w:r>
      <w:r w:rsidRPr="00AD081A">
        <w:rPr>
          <w:rFonts w:ascii="Traditional Arabic" w:hAnsi="Traditional Arabic" w:cs="Traditional Arabic"/>
          <w:b/>
          <w:bCs/>
          <w:sz w:val="32"/>
          <w:szCs w:val="32"/>
          <w:rtl/>
        </w:rPr>
        <w:t>، وخاصة في تحديد الأهداف وفي وضع قيم حد</w:t>
      </w:r>
      <w:r w:rsidR="00302F5B">
        <w:rPr>
          <w:rFonts w:ascii="Traditional Arabic" w:hAnsi="Traditional Arabic" w:cs="Traditional Arabic" w:hint="cs"/>
          <w:b/>
          <w:bCs/>
          <w:sz w:val="32"/>
          <w:szCs w:val="32"/>
          <w:rtl/>
        </w:rPr>
        <w:t>ية</w:t>
      </w:r>
      <w:r w:rsidRPr="00AD081A">
        <w:rPr>
          <w:rFonts w:ascii="Traditional Arabic" w:hAnsi="Traditional Arabic" w:cs="Traditional Arabic"/>
          <w:b/>
          <w:bCs/>
          <w:sz w:val="32"/>
          <w:szCs w:val="32"/>
          <w:rtl/>
        </w:rPr>
        <w:t xml:space="preserve"> للانبعاثات</w:t>
      </w:r>
    </w:p>
    <w:p w:rsidR="001B498C" w:rsidRPr="00AD081A" w:rsidRDefault="001B498C" w:rsidP="001B498C">
      <w:pPr>
        <w:tabs>
          <w:tab w:val="left" w:pos="1841"/>
        </w:tabs>
        <w:spacing w:after="120" w:line="400" w:lineRule="exact"/>
        <w:ind w:left="1132"/>
        <w:jc w:val="both"/>
        <w:rPr>
          <w:rFonts w:cs="Traditional Arabic"/>
          <w:b/>
          <w:bCs/>
          <w:sz w:val="20"/>
          <w:szCs w:val="30"/>
          <w:rtl/>
        </w:rPr>
      </w:pPr>
      <w:r w:rsidRPr="00AD081A">
        <w:rPr>
          <w:rFonts w:cs="Traditional Arabic" w:hint="cs"/>
          <w:b/>
          <w:bCs/>
          <w:sz w:val="20"/>
          <w:szCs w:val="30"/>
          <w:rtl/>
        </w:rPr>
        <w:t>المعلومات المحددة المتصلة بالفقرة 5</w:t>
      </w:r>
      <w:r w:rsidR="00461F80">
        <w:rPr>
          <w:rFonts w:cs="Traditional Arabic" w:hint="cs"/>
          <w:b/>
          <w:bCs/>
          <w:sz w:val="20"/>
          <w:szCs w:val="30"/>
          <w:rtl/>
        </w:rPr>
        <w:t xml:space="preserve"> من المادة 8</w:t>
      </w:r>
    </w:p>
    <w:p w:rsidR="001B498C" w:rsidRDefault="001B498C" w:rsidP="001B498C">
      <w:pPr>
        <w:tabs>
          <w:tab w:val="left" w:pos="1841"/>
        </w:tabs>
        <w:spacing w:after="120" w:line="400" w:lineRule="exact"/>
        <w:ind w:left="1132"/>
        <w:jc w:val="both"/>
        <w:rPr>
          <w:rFonts w:cs="Traditional Arabic"/>
          <w:sz w:val="20"/>
          <w:szCs w:val="30"/>
          <w:rtl/>
        </w:rPr>
      </w:pPr>
      <w:r>
        <w:rPr>
          <w:rFonts w:cs="Traditional Arabic" w:hint="cs"/>
          <w:sz w:val="20"/>
          <w:szCs w:val="30"/>
          <w:rtl/>
        </w:rPr>
        <w:tab/>
        <w:t>يرجح أن تحتاج الأطراف إلى معلومات تتعلق تحديداً بضبط انبعاثات الزئبق وخفضه في نهاية الأمر من أجل تنفيذ التدابير الواردة في الفقرة 5 من المادة 8. وترد أدناه المعلومات المذكورة التي تشكل جزءاً من الدعم التقني المقدم إلى الأطراف.</w:t>
      </w:r>
    </w:p>
    <w:p w:rsidR="001B498C" w:rsidRPr="00AD081A" w:rsidRDefault="001B498C" w:rsidP="001B498C">
      <w:pPr>
        <w:tabs>
          <w:tab w:val="left" w:pos="1841"/>
        </w:tabs>
        <w:spacing w:after="120" w:line="400" w:lineRule="exact"/>
        <w:ind w:left="1132" w:hanging="708"/>
        <w:jc w:val="both"/>
        <w:rPr>
          <w:rFonts w:ascii="Traditional Arabic" w:hAnsi="Traditional Arabic" w:cs="Traditional Arabic"/>
          <w:b/>
          <w:bCs/>
          <w:sz w:val="30"/>
          <w:szCs w:val="30"/>
          <w:rtl/>
        </w:rPr>
      </w:pPr>
      <w:r w:rsidRPr="00AD081A">
        <w:rPr>
          <w:rFonts w:ascii="Traditional Arabic" w:hAnsi="Traditional Arabic" w:cs="Traditional Arabic"/>
          <w:b/>
          <w:bCs/>
          <w:sz w:val="30"/>
          <w:szCs w:val="30"/>
          <w:rtl/>
        </w:rPr>
        <w:t>ألف -</w:t>
      </w:r>
      <w:r w:rsidRPr="00AD081A">
        <w:rPr>
          <w:rFonts w:ascii="Traditional Arabic" w:hAnsi="Traditional Arabic" w:cs="Traditional Arabic"/>
          <w:b/>
          <w:bCs/>
          <w:sz w:val="30"/>
          <w:szCs w:val="30"/>
          <w:rtl/>
        </w:rPr>
        <w:tab/>
        <w:t>هدف كمّي لضبط، وحيثما أمكن، لخفض الانبعاثات من المصادر ذات الصلة</w:t>
      </w:r>
    </w:p>
    <w:p w:rsidR="001B498C" w:rsidRDefault="001B498C" w:rsidP="001B498C">
      <w:pPr>
        <w:tabs>
          <w:tab w:val="left" w:pos="1841"/>
        </w:tabs>
        <w:spacing w:after="120" w:line="400" w:lineRule="exact"/>
        <w:ind w:left="1132"/>
        <w:jc w:val="both"/>
        <w:rPr>
          <w:rFonts w:cs="Traditional Arabic"/>
          <w:sz w:val="20"/>
          <w:szCs w:val="30"/>
          <w:rtl/>
        </w:rPr>
      </w:pPr>
      <w:r>
        <w:rPr>
          <w:rFonts w:cs="Traditional Arabic" w:hint="cs"/>
          <w:sz w:val="20"/>
          <w:szCs w:val="30"/>
          <w:rtl/>
        </w:rPr>
        <w:tab/>
        <w:t>يعتبر تحديد الأهداف الكمية مقياساً يمكن استخدامه في خفض انبعاثات الزئبق بمرور الوقت. ويمكن وضع أهداف لكي يتم تحقيقها على مدى فترة زمنية قصيرة أو فترة زمنية أطول ( سنوات متعددة). ويمكن أن تتخذ هذه الأهداف الكمية عدداً من الأشكال المختلفة، تشمل تحديد حدود قصوى لمجموع الانبعاثات على مدى فترة سنة. وقد توضع الأهداف أيضاً على أساس تحقيق تخفيض في الانبعاثات بنسبة مئوية معينة. وفي هذه الحالة، لا</w:t>
      </w:r>
      <w:r>
        <w:rPr>
          <w:rFonts w:cs="Traditional Arabic" w:hint="eastAsia"/>
          <w:sz w:val="20"/>
          <w:szCs w:val="30"/>
          <w:rtl/>
        </w:rPr>
        <w:t> </w:t>
      </w:r>
      <w:r>
        <w:rPr>
          <w:rFonts w:cs="Traditional Arabic" w:hint="cs"/>
          <w:sz w:val="20"/>
          <w:szCs w:val="30"/>
          <w:rtl/>
        </w:rPr>
        <w:t>بد من تحديد خط أساس واضح من أجل قياس التقدم المحرز نحو الهدف. كما يمكن أن تحدد الأهداف كمتوسط مستوى انبعاثات يتم تحقيقه، على أساس تركيز انبعاثات معين أو على أساس أي أنواع أخرى من عوامل الانبعاثات. ويمكن أن ينطبق الهدف على مصدر فردي، أو على مجموعة مصادر داخل فئة مصادر تحت المرفق دال، أو حتى داخل مجموعة مصادر عبر فئات مصادر متعددة تحت المرفق دال.</w:t>
      </w:r>
    </w:p>
    <w:p w:rsidR="001B498C" w:rsidRDefault="001B498C" w:rsidP="001B498C">
      <w:pPr>
        <w:tabs>
          <w:tab w:val="left" w:pos="1841"/>
        </w:tabs>
        <w:spacing w:after="120" w:line="400" w:lineRule="exact"/>
        <w:ind w:left="1132"/>
        <w:jc w:val="both"/>
        <w:rPr>
          <w:rFonts w:cs="Traditional Arabic"/>
          <w:sz w:val="20"/>
          <w:szCs w:val="30"/>
          <w:rtl/>
        </w:rPr>
      </w:pPr>
      <w:r>
        <w:rPr>
          <w:rFonts w:cs="Traditional Arabic" w:hint="cs"/>
          <w:sz w:val="20"/>
          <w:szCs w:val="30"/>
          <w:rtl/>
        </w:rPr>
        <w:tab/>
        <w:t>ومن الأشكال الأخرى التي يمكن أن يتخذها الهدف هو تطبيق تدابير تدريجية معينة يمكن تحديدها كمياً لضبط مصادر متعددة على مدى فترة زمنية محددة.</w:t>
      </w:r>
    </w:p>
    <w:p w:rsidR="001B498C" w:rsidRDefault="001B498C" w:rsidP="001B498C">
      <w:pPr>
        <w:tabs>
          <w:tab w:val="left" w:pos="1841"/>
        </w:tabs>
        <w:spacing w:after="120" w:line="400" w:lineRule="exact"/>
        <w:ind w:left="1132"/>
        <w:jc w:val="both"/>
        <w:rPr>
          <w:rFonts w:cs="Traditional Arabic"/>
          <w:sz w:val="20"/>
          <w:szCs w:val="30"/>
          <w:rtl/>
        </w:rPr>
      </w:pPr>
      <w:r>
        <w:rPr>
          <w:rFonts w:cs="Traditional Arabic" w:hint="cs"/>
          <w:sz w:val="20"/>
          <w:szCs w:val="30"/>
          <w:rtl/>
        </w:rPr>
        <w:tab/>
        <w:t>ويمكن أن يستند وضع الهدف على نتائج بيئية وصحية محددة أو على أساس ضبط متوقع للانبعاثات أو خفض متوقع فيها نتيجة لتحقيق الهدف. ويمكن أيضاً تحديد الهدف الكمي باستخدام نهج تصاعدي يشمل مستويات الأداء المتوقعة المرتبطة باستخدام أفضل التقنيات المتاحة.</w:t>
      </w:r>
    </w:p>
    <w:p w:rsidR="001B498C" w:rsidRDefault="001B498C" w:rsidP="001B498C">
      <w:pPr>
        <w:tabs>
          <w:tab w:val="left" w:pos="1841"/>
        </w:tabs>
        <w:spacing w:after="120" w:line="400" w:lineRule="exact"/>
        <w:ind w:left="1132"/>
        <w:jc w:val="both"/>
        <w:rPr>
          <w:rFonts w:cs="Traditional Arabic"/>
          <w:sz w:val="20"/>
          <w:szCs w:val="30"/>
          <w:rtl/>
        </w:rPr>
      </w:pPr>
      <w:r>
        <w:rPr>
          <w:rFonts w:cs="Traditional Arabic" w:hint="cs"/>
          <w:sz w:val="20"/>
          <w:szCs w:val="30"/>
          <w:rtl/>
        </w:rPr>
        <w:tab/>
        <w:t>وينبغي التأكيد على أن وضع الهدف لا ينفي ضرورة ضبط الانبعاثات من جميع المصادر المعينة.</w:t>
      </w:r>
    </w:p>
    <w:p w:rsidR="001B498C" w:rsidRDefault="001B498C" w:rsidP="001B498C">
      <w:pPr>
        <w:tabs>
          <w:tab w:val="left" w:pos="1841"/>
        </w:tabs>
        <w:spacing w:after="120" w:line="400" w:lineRule="exact"/>
        <w:ind w:left="1132"/>
        <w:jc w:val="both"/>
        <w:rPr>
          <w:rFonts w:cs="Traditional Arabic"/>
          <w:sz w:val="20"/>
          <w:szCs w:val="30"/>
          <w:rtl/>
        </w:rPr>
      </w:pPr>
      <w:r>
        <w:rPr>
          <w:rFonts w:cs="Traditional Arabic" w:hint="cs"/>
          <w:sz w:val="20"/>
          <w:szCs w:val="30"/>
          <w:rtl/>
        </w:rPr>
        <w:tab/>
        <w:t>وفيما يمكن التوصية بتدابير استراتيجية، من المحتمل أيضا</w:t>
      </w:r>
      <w:r>
        <w:rPr>
          <w:rFonts w:cs="Traditional Arabic" w:hint="cs"/>
          <w:sz w:val="20"/>
          <w:szCs w:val="30"/>
          <w:rtl/>
          <w:lang w:val="en-GB"/>
        </w:rPr>
        <w:t>ً</w:t>
      </w:r>
      <w:r>
        <w:rPr>
          <w:rFonts w:cs="Traditional Arabic" w:hint="cs"/>
          <w:sz w:val="20"/>
          <w:szCs w:val="30"/>
          <w:rtl/>
        </w:rPr>
        <w:t xml:space="preserve"> التوصية بالمرونة من حيث تدابير الضبط المستخدمة لتحقيق الهدف. وقد يكون من المجدي تنفيذ تدابير الضبط بصورة متسلسلة، يبدأ بأقل تدابير الضبط تكلفة وتستمر حتى يتم تحقيق خفض كاف لبلوغ الهدف المطلوب. وينبغي أن يشمل وضع الهدف آلية جاهزة للإبلاغ عن التقدم المحرز والنجاح المحقق من حيث القدرة على تحقيق الهدف. وفي حين يتعين أن يرتبط الهدف الكمي بضبط الانبعاثات من المصادر المعنية وخفضها، حيثما أمكن ذلك عملياً، هناك عوامل أخرى يمكن وضعها في الاعتبار عند وضع الهدف، ويشمل ذلك النتائج البيئية والصحية المرغوبة.</w:t>
      </w:r>
    </w:p>
    <w:p w:rsidR="001B498C" w:rsidRPr="00AD081A" w:rsidRDefault="001B498C" w:rsidP="001B498C">
      <w:pPr>
        <w:tabs>
          <w:tab w:val="left" w:pos="1841"/>
        </w:tabs>
        <w:spacing w:after="120" w:line="400" w:lineRule="exact"/>
        <w:ind w:left="1132" w:hanging="708"/>
        <w:jc w:val="both"/>
        <w:rPr>
          <w:rFonts w:ascii="Traditional Arabic" w:hAnsi="Traditional Arabic" w:cs="Traditional Arabic"/>
          <w:b/>
          <w:bCs/>
          <w:sz w:val="30"/>
          <w:szCs w:val="30"/>
          <w:rtl/>
        </w:rPr>
      </w:pPr>
      <w:r w:rsidRPr="00AD081A">
        <w:rPr>
          <w:rFonts w:ascii="Traditional Arabic" w:hAnsi="Traditional Arabic" w:cs="Traditional Arabic"/>
          <w:b/>
          <w:bCs/>
          <w:sz w:val="30"/>
          <w:szCs w:val="30"/>
          <w:rtl/>
        </w:rPr>
        <w:t>باء</w:t>
      </w:r>
      <w:r>
        <w:rPr>
          <w:rFonts w:ascii="Traditional Arabic" w:hAnsi="Traditional Arabic" w:cs="Traditional Arabic" w:hint="cs"/>
          <w:b/>
          <w:bCs/>
          <w:sz w:val="30"/>
          <w:szCs w:val="30"/>
          <w:rtl/>
        </w:rPr>
        <w:t xml:space="preserve"> </w:t>
      </w:r>
      <w:r w:rsidRPr="00AD081A">
        <w:rPr>
          <w:rFonts w:ascii="Traditional Arabic" w:hAnsi="Traditional Arabic" w:cs="Traditional Arabic"/>
          <w:b/>
          <w:bCs/>
          <w:sz w:val="30"/>
          <w:szCs w:val="30"/>
          <w:rtl/>
        </w:rPr>
        <w:t>-</w:t>
      </w:r>
      <w:r>
        <w:rPr>
          <w:rFonts w:ascii="Traditional Arabic" w:hAnsi="Traditional Arabic" w:cs="Traditional Arabic" w:hint="cs"/>
          <w:b/>
          <w:bCs/>
          <w:sz w:val="30"/>
          <w:szCs w:val="30"/>
          <w:rtl/>
        </w:rPr>
        <w:tab/>
      </w:r>
      <w:r w:rsidRPr="00AD081A">
        <w:rPr>
          <w:rFonts w:ascii="Traditional Arabic" w:hAnsi="Traditional Arabic" w:cs="Traditional Arabic"/>
          <w:b/>
          <w:bCs/>
          <w:sz w:val="30"/>
          <w:szCs w:val="30"/>
          <w:rtl/>
        </w:rPr>
        <w:t>القِيَم الحدِّيّة للانبعاثات بغية ضبط، وحيثما أمكن، خفض الانبعاثات من المصادر ذات الصلة</w:t>
      </w:r>
    </w:p>
    <w:p w:rsidR="001B498C" w:rsidRDefault="001B498C" w:rsidP="001B498C">
      <w:pPr>
        <w:tabs>
          <w:tab w:val="left" w:pos="1841"/>
        </w:tabs>
        <w:spacing w:after="120" w:line="400" w:lineRule="exact"/>
        <w:ind w:left="1132"/>
        <w:jc w:val="both"/>
        <w:rPr>
          <w:rFonts w:cs="Traditional Arabic"/>
          <w:sz w:val="20"/>
          <w:szCs w:val="30"/>
          <w:rtl/>
        </w:rPr>
      </w:pPr>
      <w:r>
        <w:rPr>
          <w:rFonts w:cs="Traditional Arabic" w:hint="cs"/>
          <w:sz w:val="20"/>
          <w:szCs w:val="30"/>
          <w:rtl/>
        </w:rPr>
        <w:tab/>
        <w:t>و</w:t>
      </w:r>
      <w:r w:rsidRPr="00780747">
        <w:rPr>
          <w:rFonts w:cs="Traditional Arabic"/>
          <w:sz w:val="20"/>
          <w:szCs w:val="30"/>
          <w:rtl/>
        </w:rPr>
        <w:t>’’القيمة الحدية للانبعاثات‘‘</w:t>
      </w:r>
      <w:r>
        <w:rPr>
          <w:rFonts w:cs="Traditional Arabic" w:hint="cs"/>
          <w:sz w:val="20"/>
          <w:szCs w:val="30"/>
          <w:rtl/>
        </w:rPr>
        <w:t>،</w:t>
      </w:r>
      <w:r w:rsidRPr="00780747">
        <w:rPr>
          <w:rFonts w:cs="Traditional Arabic"/>
          <w:sz w:val="20"/>
          <w:szCs w:val="30"/>
          <w:rtl/>
        </w:rPr>
        <w:t xml:space="preserve"> </w:t>
      </w:r>
      <w:r>
        <w:rPr>
          <w:rFonts w:cs="Traditional Arabic" w:hint="cs"/>
          <w:sz w:val="20"/>
          <w:szCs w:val="30"/>
          <w:rtl/>
        </w:rPr>
        <w:t xml:space="preserve">كما هي معرفة في الفقرة 2 (ه) من المادة 8، </w:t>
      </w:r>
      <w:r w:rsidRPr="00780747">
        <w:rPr>
          <w:rFonts w:cs="Traditional Arabic"/>
          <w:sz w:val="20"/>
          <w:szCs w:val="30"/>
          <w:rtl/>
        </w:rPr>
        <w:t>تعني وضع حدّ لتركيزات الزئبق أو مركبات الزئبق أو كتلتها أو معدل انبعاثاتها الناجمة عن مصدر ثابت للانبعاثات، والمعبر عنها غالباً بعبارة ’’الزئبق الكلي‘</w:t>
      </w:r>
      <w:r>
        <w:rPr>
          <w:rFonts w:cs="Traditional Arabic" w:hint="cs"/>
          <w:sz w:val="20"/>
          <w:szCs w:val="30"/>
          <w:rtl/>
        </w:rPr>
        <w:t>‘.</w:t>
      </w:r>
    </w:p>
    <w:p w:rsidR="001B498C" w:rsidRDefault="001B498C" w:rsidP="001B498C">
      <w:pPr>
        <w:tabs>
          <w:tab w:val="left" w:pos="1841"/>
        </w:tabs>
        <w:spacing w:after="120" w:line="400" w:lineRule="exact"/>
        <w:ind w:left="1132"/>
        <w:jc w:val="both"/>
        <w:rPr>
          <w:rFonts w:cs="Traditional Arabic"/>
          <w:sz w:val="20"/>
          <w:szCs w:val="30"/>
          <w:rtl/>
        </w:rPr>
      </w:pPr>
      <w:r>
        <w:rPr>
          <w:rFonts w:cs="Traditional Arabic" w:hint="cs"/>
          <w:sz w:val="20"/>
          <w:szCs w:val="30"/>
          <w:rtl/>
        </w:rPr>
        <w:tab/>
        <w:t>ويمكن تحديد القيم الحدية للانبعاثات من قبل طرف على المستوى الوطني، أو من قبل دولة أو مقاطعة، أو مرفق فردي في إطار استعراض تشغيله المستمر أو الموافقة عليه. وفيما توفر القيم المحددة على المستوى الوطني درجة عالية من الاتساق، توفر القيم المحددة على أساس إقليمي أو على أساس المرفق الواحد قدراً أكبر من المرونة التي تراعي الظروف الخاصة في تلك المنطقة أو في ذلك المرفق.</w:t>
      </w:r>
    </w:p>
    <w:p w:rsidR="001B498C" w:rsidRDefault="001B498C" w:rsidP="001B498C">
      <w:pPr>
        <w:tabs>
          <w:tab w:val="left" w:pos="1841"/>
        </w:tabs>
        <w:spacing w:after="120" w:line="400" w:lineRule="exact"/>
        <w:ind w:left="1132"/>
        <w:jc w:val="both"/>
        <w:rPr>
          <w:rFonts w:cs="Traditional Arabic"/>
          <w:sz w:val="20"/>
          <w:szCs w:val="30"/>
          <w:rtl/>
        </w:rPr>
      </w:pPr>
      <w:r>
        <w:rPr>
          <w:rFonts w:cs="Traditional Arabic" w:hint="cs"/>
          <w:sz w:val="20"/>
          <w:szCs w:val="30"/>
          <w:rtl/>
        </w:rPr>
        <w:tab/>
        <w:t>يمكن أن توضع القيم القصوى للانبعاثات بطرق عديدة منها كنسبة مئوية من مدخل المادة، أو كنسبة مئوية من قيم إنتاج المرفق، أو كتركيز لانبعاثات الملوث في الهواء. والقيمة الرقمية الحقيقية لقيمة الحدود القصوى للانبعاثات قد تختلف تبعاً للظروف الوطنية أو لظروف المرافق كلاً على حدة.</w:t>
      </w:r>
    </w:p>
    <w:p w:rsidR="001B498C" w:rsidRDefault="001B498C" w:rsidP="001B498C">
      <w:pPr>
        <w:tabs>
          <w:tab w:val="left" w:pos="1841"/>
        </w:tabs>
        <w:spacing w:after="120" w:line="400" w:lineRule="exact"/>
        <w:ind w:left="1132"/>
        <w:jc w:val="both"/>
        <w:rPr>
          <w:rFonts w:cs="Traditional Arabic"/>
          <w:sz w:val="20"/>
          <w:szCs w:val="30"/>
          <w:rtl/>
        </w:rPr>
      </w:pPr>
      <w:r>
        <w:rPr>
          <w:rFonts w:cs="Traditional Arabic" w:hint="cs"/>
          <w:sz w:val="20"/>
          <w:szCs w:val="30"/>
          <w:rtl/>
        </w:rPr>
        <w:tab/>
        <w:t>والبلدان التي تستخدم قيم حدود قصوى للانبعاثات عادةً ما تقوم بتحديد قيم تتوافق مع أفضل التقنيات المتاحة، على النحو المعرف في إطارها التنظيمية. ومن ثم، يتم استعراض قيم الحدود القصوى للانبعاثات بصورة منتظمة لتضع في الاعتبار التقدم المحرز في ضوابط الانبعاثات باستخدام التقنيات المتاحة. وتجدر الاشارة إلى أن استخدام قيم الحدود القصوى للانبعاثات لا</w:t>
      </w:r>
      <w:r>
        <w:rPr>
          <w:rFonts w:cs="Traditional Arabic" w:hint="eastAsia"/>
          <w:sz w:val="20"/>
          <w:szCs w:val="30"/>
          <w:rtl/>
        </w:rPr>
        <w:t> </w:t>
      </w:r>
      <w:r>
        <w:rPr>
          <w:rFonts w:cs="Traditional Arabic" w:hint="cs"/>
          <w:sz w:val="20"/>
          <w:szCs w:val="30"/>
          <w:rtl/>
        </w:rPr>
        <w:t>يعني أي إلزام بتطبيق أي تقنيات بعينها. فقيم الحدود القصوى للانبعاثات هي نهج قائم على تحقيق النتائج يضع مستوى معين من الضبط على الانبعاثات، وهذا يمكن تحقيقه عبر مجموعة من التقنيات أو الاستراتيجيات.</w:t>
      </w:r>
    </w:p>
    <w:p w:rsidR="001B498C" w:rsidRDefault="001B498C" w:rsidP="001B498C">
      <w:pPr>
        <w:tabs>
          <w:tab w:val="left" w:pos="1841"/>
        </w:tabs>
        <w:spacing w:after="120" w:line="400" w:lineRule="exact"/>
        <w:ind w:left="1132"/>
        <w:jc w:val="both"/>
        <w:rPr>
          <w:rFonts w:cs="Traditional Arabic"/>
          <w:sz w:val="20"/>
          <w:szCs w:val="30"/>
          <w:rtl/>
        </w:rPr>
      </w:pPr>
      <w:r>
        <w:rPr>
          <w:rFonts w:cs="Traditional Arabic" w:hint="cs"/>
          <w:sz w:val="20"/>
          <w:szCs w:val="30"/>
          <w:rtl/>
        </w:rPr>
        <w:tab/>
        <w:t>وبما أن قيمة الحد الأقصى للانبعاثات توضع على أساس أفضل التقنيات المتاحة، فمن غير المجدي التوصية باستخدام مستويات فعلية لهذه القيم على المستوى العالمي. وينبغي أن يتم الاختيار على ضوء مستويات الانبعاثات التي يتم تحقيقه باستخدام أفضل التقنيات المتاحة لذلك الطرف أو لذلك المرفق المذكور في</w:t>
      </w:r>
      <w:r>
        <w:rPr>
          <w:rFonts w:cs="Traditional Arabic" w:hint="eastAsia"/>
          <w:sz w:val="20"/>
          <w:szCs w:val="30"/>
          <w:rtl/>
        </w:rPr>
        <w:t> </w:t>
      </w:r>
      <w:r>
        <w:rPr>
          <w:rFonts w:cs="Traditional Arabic" w:hint="cs"/>
          <w:sz w:val="20"/>
          <w:szCs w:val="30"/>
          <w:rtl/>
        </w:rPr>
        <w:t>الوثيقة التوجيهية بشأن أفضل التقنيات المتاحة/أفضل الممارسات البيئية، الموضوعة بموجب الفقرة 8 (أ) من المادة 8، التي [اعتمادها مؤتمر الأطراف في اجتماعه الأول].</w:t>
      </w:r>
    </w:p>
    <w:p w:rsidR="001B498C" w:rsidRDefault="001B498C" w:rsidP="001B498C">
      <w:pPr>
        <w:tabs>
          <w:tab w:val="left" w:pos="1841"/>
        </w:tabs>
        <w:spacing w:after="120" w:line="400" w:lineRule="exact"/>
        <w:ind w:left="1132"/>
        <w:jc w:val="both"/>
        <w:rPr>
          <w:rFonts w:cs="Traditional Arabic"/>
          <w:sz w:val="20"/>
          <w:szCs w:val="30"/>
          <w:rtl/>
        </w:rPr>
      </w:pPr>
      <w:r>
        <w:rPr>
          <w:rFonts w:cs="Traditional Arabic" w:hint="cs"/>
          <w:sz w:val="20"/>
          <w:szCs w:val="30"/>
          <w:rtl/>
        </w:rPr>
        <w:tab/>
        <w:t>ويجب أن يكون وضع قيمة الحد الأقصى للانبعاثات مصحوباً بآلية مناسبة لرصد الانبعاثات والابلاغ عنها ومقارنتها بقيمة الحد الأقصى للانبعاثات.</w:t>
      </w:r>
    </w:p>
    <w:p w:rsidR="001B498C" w:rsidRPr="00DB3873" w:rsidRDefault="001B498C" w:rsidP="001B498C">
      <w:pPr>
        <w:tabs>
          <w:tab w:val="left" w:pos="1841"/>
        </w:tabs>
        <w:spacing w:after="120" w:line="400" w:lineRule="exact"/>
        <w:ind w:left="1132" w:hanging="708"/>
        <w:jc w:val="both"/>
        <w:rPr>
          <w:rFonts w:cs="Traditional Arabic"/>
          <w:b/>
          <w:bCs/>
          <w:sz w:val="20"/>
          <w:szCs w:val="30"/>
          <w:rtl/>
        </w:rPr>
      </w:pPr>
      <w:r w:rsidRPr="00DB3873">
        <w:rPr>
          <w:rFonts w:cs="Traditional Arabic" w:hint="cs"/>
          <w:b/>
          <w:bCs/>
          <w:sz w:val="20"/>
          <w:szCs w:val="30"/>
          <w:rtl/>
        </w:rPr>
        <w:t>جيم -</w:t>
      </w:r>
      <w:r w:rsidRPr="00DB3873">
        <w:rPr>
          <w:rFonts w:cs="Traditional Arabic" w:hint="cs"/>
          <w:b/>
          <w:bCs/>
          <w:sz w:val="20"/>
          <w:szCs w:val="30"/>
          <w:rtl/>
        </w:rPr>
        <w:tab/>
      </w:r>
      <w:r>
        <w:rPr>
          <w:rFonts w:cs="Traditional Arabic" w:hint="cs"/>
          <w:b/>
          <w:bCs/>
          <w:sz w:val="20"/>
          <w:szCs w:val="30"/>
          <w:rtl/>
        </w:rPr>
        <w:t>استخدام أفضل التقنيات المتاحة وأفضل الممارسات البيئية لضبط الانبعاثات من المصادر ذات الصلة</w:t>
      </w:r>
    </w:p>
    <w:p w:rsidR="001B498C" w:rsidRDefault="001B498C" w:rsidP="001B498C">
      <w:pPr>
        <w:tabs>
          <w:tab w:val="left" w:pos="1841"/>
        </w:tabs>
        <w:spacing w:after="120" w:line="400" w:lineRule="exact"/>
        <w:ind w:left="1132"/>
        <w:jc w:val="both"/>
        <w:rPr>
          <w:rFonts w:cs="Traditional Arabic"/>
          <w:sz w:val="20"/>
          <w:szCs w:val="30"/>
          <w:rtl/>
        </w:rPr>
      </w:pPr>
      <w:r>
        <w:rPr>
          <w:rFonts w:cs="Traditional Arabic" w:hint="cs"/>
          <w:sz w:val="20"/>
          <w:szCs w:val="30"/>
          <w:rtl/>
        </w:rPr>
        <w:tab/>
        <w:t>يمكن الحصول على المعلومات التقنية المتصلة بالفقرة 5 (ج) من المادة 8، بشأن استخدام أفضل التقنيات المتاحة وأفضل الممارسات البيئية لضبط الانبعاثات من المصادر ذات الصلة بالوثيقة التوجيهية بشأن أفضل التقنيات المتاحة/أفضل الممارسات البيئية. وعلى وجه التحديد، يرد التوجيه بشأن وضع أفضل التقنيات المتاحة في الفرع التمهيدي لذلك التوجيه، فيما يرد وصف التقنيات في الفصل المتعلق بالتقنيات العامة وفي فصول معينة متعلقة بالقطاعات.</w:t>
      </w:r>
    </w:p>
    <w:p w:rsidR="001B498C" w:rsidRDefault="001B498C" w:rsidP="001B498C">
      <w:pPr>
        <w:tabs>
          <w:tab w:val="left" w:pos="1841"/>
        </w:tabs>
        <w:spacing w:after="120" w:line="400" w:lineRule="exact"/>
        <w:ind w:left="1132" w:hanging="708"/>
        <w:jc w:val="both"/>
        <w:rPr>
          <w:rFonts w:cs="Traditional Arabic"/>
          <w:sz w:val="20"/>
          <w:szCs w:val="30"/>
          <w:rtl/>
        </w:rPr>
      </w:pPr>
      <w:r>
        <w:rPr>
          <w:rFonts w:cs="Traditional Arabic" w:hint="cs"/>
          <w:b/>
          <w:bCs/>
          <w:sz w:val="20"/>
          <w:szCs w:val="30"/>
          <w:rtl/>
        </w:rPr>
        <w:t>دال</w:t>
      </w:r>
      <w:r w:rsidRPr="00DB3873">
        <w:rPr>
          <w:rFonts w:cs="Traditional Arabic" w:hint="cs"/>
          <w:b/>
          <w:bCs/>
          <w:sz w:val="20"/>
          <w:szCs w:val="30"/>
          <w:rtl/>
        </w:rPr>
        <w:t xml:space="preserve"> -</w:t>
      </w:r>
      <w:r w:rsidRPr="00DB3873">
        <w:rPr>
          <w:rFonts w:cs="Traditional Arabic" w:hint="cs"/>
          <w:b/>
          <w:bCs/>
          <w:sz w:val="20"/>
          <w:szCs w:val="30"/>
          <w:rtl/>
        </w:rPr>
        <w:tab/>
      </w:r>
      <w:r>
        <w:rPr>
          <w:rFonts w:cs="Traditional Arabic" w:hint="cs"/>
          <w:b/>
          <w:bCs/>
          <w:sz w:val="20"/>
          <w:szCs w:val="30"/>
          <w:rtl/>
        </w:rPr>
        <w:t>استراتيجية لضبط ملوثات متعددة تحقق منافع مشتركة لضبط انبعاثات الزئبق</w:t>
      </w:r>
    </w:p>
    <w:p w:rsidR="001B498C" w:rsidRDefault="001B498C" w:rsidP="001B498C">
      <w:pPr>
        <w:tabs>
          <w:tab w:val="left" w:pos="1841"/>
        </w:tabs>
        <w:spacing w:after="120" w:line="400" w:lineRule="exact"/>
        <w:ind w:left="1132"/>
        <w:jc w:val="both"/>
        <w:rPr>
          <w:rFonts w:cs="Traditional Arabic"/>
          <w:sz w:val="20"/>
          <w:szCs w:val="30"/>
          <w:rtl/>
        </w:rPr>
      </w:pPr>
      <w:r>
        <w:rPr>
          <w:rFonts w:cs="Traditional Arabic" w:hint="cs"/>
          <w:sz w:val="20"/>
          <w:szCs w:val="30"/>
          <w:rtl/>
        </w:rPr>
        <w:tab/>
        <w:t>تعرض في الوثيقة التوجيهية بشأن أفضل التقنيات المتاحة/أفضل الممارسات البيئية تقنيات ضبط الملوثات المتعددة التي تحقق منافع مشتركة فيما يتعلق بالزئبق. فبالنسبة للأطراف التي تختار استخدام هذا التدبير لضبط أو خفض انبعاثات الزئبق قد يكون من المفيد الحصول على معلومات بشأن مستويات الزئبق التي تم تحقيقها باستخدام استراتيجيات الضبط المذكورة حتى يتسنى توضيح مدى فعالية هذه الاستراتيجيات. وتوفر الوثيقة التوجيهية بشأن أفضل التقنيات/أفضل الممارسات البيئية معلومات في هذا الصدد.</w:t>
      </w:r>
    </w:p>
    <w:p w:rsidR="009F0B78" w:rsidRDefault="009F0B78">
      <w:pPr>
        <w:bidi w:val="0"/>
        <w:rPr>
          <w:rFonts w:cs="Traditional Arabic"/>
          <w:b/>
          <w:bCs/>
          <w:sz w:val="20"/>
          <w:szCs w:val="30"/>
          <w:rtl/>
        </w:rPr>
      </w:pPr>
      <w:r>
        <w:rPr>
          <w:rFonts w:cs="Traditional Arabic"/>
          <w:b/>
          <w:bCs/>
          <w:sz w:val="20"/>
          <w:szCs w:val="30"/>
          <w:rtl/>
        </w:rPr>
        <w:br w:type="page"/>
      </w:r>
    </w:p>
    <w:p w:rsidR="001B498C" w:rsidRDefault="001B498C" w:rsidP="001B498C">
      <w:pPr>
        <w:tabs>
          <w:tab w:val="left" w:pos="1841"/>
        </w:tabs>
        <w:spacing w:after="120" w:line="400" w:lineRule="exact"/>
        <w:ind w:left="1132" w:hanging="708"/>
        <w:jc w:val="both"/>
        <w:rPr>
          <w:rFonts w:cs="Traditional Arabic"/>
          <w:sz w:val="20"/>
          <w:szCs w:val="30"/>
          <w:rtl/>
        </w:rPr>
      </w:pPr>
      <w:r>
        <w:rPr>
          <w:rFonts w:cs="Traditional Arabic" w:hint="cs"/>
          <w:b/>
          <w:bCs/>
          <w:sz w:val="20"/>
          <w:szCs w:val="30"/>
          <w:rtl/>
        </w:rPr>
        <w:t>هاء</w:t>
      </w:r>
      <w:r w:rsidRPr="00DB3873">
        <w:rPr>
          <w:rFonts w:cs="Traditional Arabic" w:hint="cs"/>
          <w:b/>
          <w:bCs/>
          <w:sz w:val="20"/>
          <w:szCs w:val="30"/>
          <w:rtl/>
        </w:rPr>
        <w:t xml:space="preserve"> -</w:t>
      </w:r>
      <w:r w:rsidRPr="00DB3873">
        <w:rPr>
          <w:rFonts w:cs="Traditional Arabic" w:hint="cs"/>
          <w:b/>
          <w:bCs/>
          <w:sz w:val="20"/>
          <w:szCs w:val="30"/>
          <w:rtl/>
        </w:rPr>
        <w:tab/>
      </w:r>
      <w:r>
        <w:rPr>
          <w:rFonts w:cs="Traditional Arabic" w:hint="cs"/>
          <w:b/>
          <w:bCs/>
          <w:sz w:val="20"/>
          <w:szCs w:val="30"/>
          <w:rtl/>
        </w:rPr>
        <w:t>تدابير بديلة لخفض الانبعاثات من المصادر ذات الصلة</w:t>
      </w:r>
    </w:p>
    <w:p w:rsidR="001B498C" w:rsidRPr="009F0B78" w:rsidRDefault="001B498C" w:rsidP="001B498C">
      <w:pPr>
        <w:tabs>
          <w:tab w:val="left" w:pos="1841"/>
        </w:tabs>
        <w:spacing w:after="120" w:line="400" w:lineRule="exact"/>
        <w:ind w:left="1134"/>
        <w:jc w:val="both"/>
        <w:rPr>
          <w:rFonts w:ascii="Traditional Arabic" w:hAnsi="Traditional Arabic" w:cs="Traditional Arabic"/>
          <w:sz w:val="30"/>
          <w:szCs w:val="30"/>
          <w:rtl/>
        </w:rPr>
      </w:pPr>
      <w:r w:rsidRPr="00F60EE8">
        <w:rPr>
          <w:rFonts w:ascii="Traditional Arabic" w:hAnsi="Traditional Arabic" w:cs="Traditional Arabic"/>
          <w:sz w:val="30"/>
          <w:szCs w:val="30"/>
          <w:rtl/>
        </w:rPr>
        <w:tab/>
      </w:r>
      <w:r>
        <w:rPr>
          <w:rFonts w:ascii="Traditional Arabic" w:hAnsi="Traditional Arabic" w:cs="Traditional Arabic" w:hint="cs"/>
          <w:sz w:val="30"/>
          <w:szCs w:val="30"/>
          <w:rtl/>
        </w:rPr>
        <w:t>و</w:t>
      </w:r>
      <w:r w:rsidRPr="00F60EE8">
        <w:rPr>
          <w:rFonts w:ascii="Traditional Arabic" w:hAnsi="Traditional Arabic" w:cs="Traditional Arabic"/>
          <w:sz w:val="30"/>
          <w:szCs w:val="30"/>
          <w:rtl/>
          <w:lang w:bidi="ar"/>
        </w:rPr>
        <w:t>يجوز لأي طرف أن يختار أي تدبير بديل آخر لخفض الانبعاثات من المصادر ذات الصلة، و</w:t>
      </w:r>
      <w:r>
        <w:rPr>
          <w:rFonts w:ascii="Traditional Arabic" w:hAnsi="Traditional Arabic" w:cs="Traditional Arabic" w:hint="cs"/>
          <w:sz w:val="30"/>
          <w:szCs w:val="30"/>
          <w:rtl/>
          <w:lang w:bidi="ar"/>
        </w:rPr>
        <w:t>فقاً لل</w:t>
      </w:r>
      <w:r w:rsidRPr="00F60EE8">
        <w:rPr>
          <w:rFonts w:ascii="Traditional Arabic" w:hAnsi="Traditional Arabic" w:cs="Traditional Arabic"/>
          <w:sz w:val="30"/>
          <w:szCs w:val="30"/>
          <w:rtl/>
          <w:lang w:bidi="ar"/>
        </w:rPr>
        <w:t xml:space="preserve">فقرة 6 من المادة 8، </w:t>
      </w:r>
      <w:r>
        <w:rPr>
          <w:rFonts w:ascii="Traditional Arabic" w:hAnsi="Traditional Arabic" w:cs="Traditional Arabic" w:hint="cs"/>
          <w:sz w:val="30"/>
          <w:szCs w:val="30"/>
          <w:rtl/>
          <w:lang w:bidi="ar"/>
        </w:rPr>
        <w:t xml:space="preserve">وذلك </w:t>
      </w:r>
      <w:r w:rsidRPr="00F60EE8">
        <w:rPr>
          <w:rFonts w:ascii="Traditional Arabic" w:hAnsi="Traditional Arabic" w:cs="Traditional Arabic"/>
          <w:sz w:val="30"/>
          <w:szCs w:val="30"/>
          <w:rtl/>
          <w:lang w:bidi="ar"/>
        </w:rPr>
        <w:t>لإظهار أن التدابير ال</w:t>
      </w:r>
      <w:r>
        <w:rPr>
          <w:rFonts w:ascii="Traditional Arabic" w:hAnsi="Traditional Arabic" w:cs="Traditional Arabic" w:hint="cs"/>
          <w:sz w:val="30"/>
          <w:szCs w:val="30"/>
          <w:rtl/>
          <w:lang w:bidi="ar"/>
        </w:rPr>
        <w:t>تي ي</w:t>
      </w:r>
      <w:r w:rsidRPr="00F60EE8">
        <w:rPr>
          <w:rFonts w:ascii="Traditional Arabic" w:hAnsi="Traditional Arabic" w:cs="Traditional Arabic"/>
          <w:sz w:val="30"/>
          <w:szCs w:val="30"/>
          <w:rtl/>
          <w:lang w:bidi="ar"/>
        </w:rPr>
        <w:t>طبق</w:t>
      </w:r>
      <w:r>
        <w:rPr>
          <w:rFonts w:ascii="Traditional Arabic" w:hAnsi="Traditional Arabic" w:cs="Traditional Arabic" w:hint="cs"/>
          <w:sz w:val="30"/>
          <w:szCs w:val="30"/>
          <w:rtl/>
          <w:lang w:bidi="ar"/>
        </w:rPr>
        <w:t xml:space="preserve">ها ذلك الطرف </w:t>
      </w:r>
      <w:r w:rsidRPr="00F60EE8">
        <w:rPr>
          <w:rFonts w:ascii="Traditional Arabic" w:hAnsi="Traditional Arabic" w:cs="Traditional Arabic"/>
          <w:sz w:val="30"/>
          <w:szCs w:val="30"/>
          <w:rtl/>
          <w:lang w:bidi="ar"/>
        </w:rPr>
        <w:t>تحقق تقدما</w:t>
      </w:r>
      <w:r>
        <w:rPr>
          <w:rFonts w:ascii="Traditional Arabic" w:hAnsi="Traditional Arabic" w:cs="Traditional Arabic" w:hint="cs"/>
          <w:sz w:val="30"/>
          <w:szCs w:val="30"/>
          <w:rtl/>
          <w:lang w:bidi="ar"/>
        </w:rPr>
        <w:t>ً</w:t>
      </w:r>
      <w:r w:rsidRPr="00F60EE8">
        <w:rPr>
          <w:rFonts w:ascii="Traditional Arabic" w:hAnsi="Traditional Arabic" w:cs="Traditional Arabic"/>
          <w:sz w:val="30"/>
          <w:szCs w:val="30"/>
          <w:rtl/>
          <w:lang w:bidi="ar"/>
        </w:rPr>
        <w:t xml:space="preserve"> معقولا</w:t>
      </w:r>
      <w:r>
        <w:rPr>
          <w:rFonts w:ascii="Traditional Arabic" w:hAnsi="Traditional Arabic" w:cs="Traditional Arabic" w:hint="cs"/>
          <w:sz w:val="30"/>
          <w:szCs w:val="30"/>
          <w:rtl/>
          <w:lang w:bidi="ar"/>
        </w:rPr>
        <w:t>ً</w:t>
      </w:r>
      <w:r w:rsidRPr="00F60EE8">
        <w:rPr>
          <w:rFonts w:ascii="Traditional Arabic" w:hAnsi="Traditional Arabic" w:cs="Traditional Arabic"/>
          <w:sz w:val="30"/>
          <w:szCs w:val="30"/>
          <w:rtl/>
          <w:lang w:bidi="ar"/>
        </w:rPr>
        <w:t xml:space="preserve"> في </w:t>
      </w:r>
      <w:r>
        <w:rPr>
          <w:rFonts w:ascii="Traditional Arabic" w:hAnsi="Traditional Arabic" w:cs="Traditional Arabic" w:hint="cs"/>
          <w:sz w:val="30"/>
          <w:szCs w:val="30"/>
          <w:rtl/>
          <w:lang w:bidi="ar"/>
        </w:rPr>
        <w:t xml:space="preserve">خفض </w:t>
      </w:r>
      <w:r w:rsidRPr="00F60EE8">
        <w:rPr>
          <w:rFonts w:ascii="Traditional Arabic" w:hAnsi="Traditional Arabic" w:cs="Traditional Arabic"/>
          <w:sz w:val="30"/>
          <w:szCs w:val="30"/>
          <w:rtl/>
          <w:lang w:bidi="ar"/>
        </w:rPr>
        <w:t xml:space="preserve">الانبعاثات </w:t>
      </w:r>
      <w:r>
        <w:rPr>
          <w:rFonts w:ascii="Traditional Arabic" w:hAnsi="Traditional Arabic" w:cs="Traditional Arabic" w:hint="cs"/>
          <w:sz w:val="30"/>
          <w:szCs w:val="30"/>
          <w:rtl/>
          <w:lang w:bidi="ar"/>
        </w:rPr>
        <w:t>ب</w:t>
      </w:r>
      <w:r w:rsidRPr="00F60EE8">
        <w:rPr>
          <w:rFonts w:ascii="Traditional Arabic" w:hAnsi="Traditional Arabic" w:cs="Traditional Arabic"/>
          <w:sz w:val="30"/>
          <w:szCs w:val="30"/>
          <w:rtl/>
          <w:lang w:bidi="ar"/>
        </w:rPr>
        <w:t>مرور الوقت. و</w:t>
      </w:r>
      <w:r>
        <w:rPr>
          <w:rFonts w:ascii="Traditional Arabic" w:hAnsi="Traditional Arabic" w:cs="Traditional Arabic" w:hint="cs"/>
          <w:sz w:val="30"/>
          <w:szCs w:val="30"/>
          <w:rtl/>
          <w:lang w:bidi="ar"/>
        </w:rPr>
        <w:t xml:space="preserve">قد </w:t>
      </w:r>
      <w:r w:rsidRPr="00F60EE8">
        <w:rPr>
          <w:rFonts w:ascii="Traditional Arabic" w:hAnsi="Traditional Arabic" w:cs="Traditional Arabic"/>
          <w:sz w:val="30"/>
          <w:szCs w:val="30"/>
          <w:rtl/>
          <w:lang w:bidi="ar"/>
        </w:rPr>
        <w:t xml:space="preserve">تشمل التدابير، على سبيل المثال، إغلاق </w:t>
      </w:r>
      <w:r>
        <w:rPr>
          <w:rFonts w:ascii="Traditional Arabic" w:hAnsi="Traditional Arabic" w:cs="Traditional Arabic" w:hint="cs"/>
          <w:sz w:val="30"/>
          <w:szCs w:val="30"/>
          <w:rtl/>
          <w:lang w:bidi="ar"/>
        </w:rPr>
        <w:t>ال</w:t>
      </w:r>
      <w:r w:rsidRPr="00F60EE8">
        <w:rPr>
          <w:rFonts w:ascii="Traditional Arabic" w:hAnsi="Traditional Arabic" w:cs="Traditional Arabic"/>
          <w:sz w:val="30"/>
          <w:szCs w:val="30"/>
          <w:rtl/>
          <w:lang w:bidi="ar"/>
        </w:rPr>
        <w:t xml:space="preserve">مرافق </w:t>
      </w:r>
      <w:r>
        <w:rPr>
          <w:rFonts w:ascii="Traditional Arabic" w:hAnsi="Traditional Arabic" w:cs="Traditional Arabic" w:hint="cs"/>
          <w:sz w:val="30"/>
          <w:szCs w:val="30"/>
          <w:rtl/>
          <w:lang w:bidi="ar"/>
        </w:rPr>
        <w:t>ال</w:t>
      </w:r>
      <w:r w:rsidRPr="00F60EE8">
        <w:rPr>
          <w:rFonts w:ascii="Traditional Arabic" w:hAnsi="Traditional Arabic" w:cs="Traditional Arabic"/>
          <w:sz w:val="30"/>
          <w:szCs w:val="30"/>
          <w:rtl/>
          <w:lang w:bidi="ar"/>
        </w:rPr>
        <w:t xml:space="preserve">أصغر (التي قد تكون قديمة أو </w:t>
      </w:r>
      <w:r>
        <w:rPr>
          <w:rFonts w:ascii="Traditional Arabic" w:hAnsi="Traditional Arabic" w:cs="Traditional Arabic" w:hint="cs"/>
          <w:sz w:val="30"/>
          <w:szCs w:val="30"/>
          <w:rtl/>
          <w:lang w:bidi="ar"/>
        </w:rPr>
        <w:t xml:space="preserve">تتسم بضعف </w:t>
      </w:r>
      <w:r w:rsidRPr="00F60EE8">
        <w:rPr>
          <w:rFonts w:ascii="Traditional Arabic" w:hAnsi="Traditional Arabic" w:cs="Traditional Arabic"/>
          <w:sz w:val="30"/>
          <w:szCs w:val="30"/>
          <w:rtl/>
          <w:lang w:bidi="ar"/>
        </w:rPr>
        <w:t>تقنيات ال</w:t>
      </w:r>
      <w:r>
        <w:rPr>
          <w:rFonts w:ascii="Traditional Arabic" w:hAnsi="Traditional Arabic" w:cs="Traditional Arabic" w:hint="cs"/>
          <w:sz w:val="30"/>
          <w:szCs w:val="30"/>
          <w:rtl/>
          <w:lang w:bidi="ar"/>
        </w:rPr>
        <w:t>ضبط فيها</w:t>
      </w:r>
      <w:r w:rsidRPr="00F60EE8">
        <w:rPr>
          <w:rFonts w:ascii="Traditional Arabic" w:hAnsi="Traditional Arabic" w:cs="Traditional Arabic"/>
          <w:sz w:val="30"/>
          <w:szCs w:val="30"/>
          <w:rtl/>
          <w:lang w:bidi="ar"/>
        </w:rPr>
        <w:t>) واست</w:t>
      </w:r>
      <w:r>
        <w:rPr>
          <w:rFonts w:ascii="Traditional Arabic" w:hAnsi="Traditional Arabic" w:cs="Traditional Arabic" w:hint="cs"/>
          <w:sz w:val="30"/>
          <w:szCs w:val="30"/>
          <w:rtl/>
          <w:lang w:bidi="ar"/>
        </w:rPr>
        <w:t>بدالها ب</w:t>
      </w:r>
      <w:r w:rsidRPr="00F60EE8">
        <w:rPr>
          <w:rFonts w:ascii="Traditional Arabic" w:hAnsi="Traditional Arabic" w:cs="Traditional Arabic"/>
          <w:sz w:val="30"/>
          <w:szCs w:val="30"/>
          <w:rtl/>
          <w:lang w:bidi="ar"/>
        </w:rPr>
        <w:t xml:space="preserve">مرافق </w:t>
      </w:r>
      <w:r>
        <w:rPr>
          <w:rFonts w:ascii="Traditional Arabic" w:hAnsi="Traditional Arabic" w:cs="Traditional Arabic" w:hint="cs"/>
          <w:sz w:val="30"/>
          <w:szCs w:val="30"/>
          <w:rtl/>
          <w:lang w:bidi="ar"/>
        </w:rPr>
        <w:t xml:space="preserve">ذات كفاءة </w:t>
      </w:r>
      <w:r w:rsidRPr="00F60EE8">
        <w:rPr>
          <w:rFonts w:ascii="Traditional Arabic" w:hAnsi="Traditional Arabic" w:cs="Traditional Arabic"/>
          <w:sz w:val="30"/>
          <w:szCs w:val="30"/>
          <w:rtl/>
          <w:lang w:bidi="ar"/>
        </w:rPr>
        <w:t xml:space="preserve">أكبر </w:t>
      </w:r>
      <w:r>
        <w:rPr>
          <w:rFonts w:ascii="Traditional Arabic" w:hAnsi="Traditional Arabic" w:cs="Traditional Arabic" w:hint="cs"/>
          <w:sz w:val="30"/>
          <w:szCs w:val="30"/>
          <w:rtl/>
          <w:lang w:bidi="ar"/>
        </w:rPr>
        <w:t xml:space="preserve">حجماً </w:t>
      </w:r>
      <w:r w:rsidRPr="00F60EE8">
        <w:rPr>
          <w:rFonts w:ascii="Traditional Arabic" w:hAnsi="Traditional Arabic" w:cs="Traditional Arabic"/>
          <w:sz w:val="30"/>
          <w:szCs w:val="30"/>
          <w:rtl/>
          <w:lang w:bidi="ar"/>
        </w:rPr>
        <w:t>أو أ</w:t>
      </w:r>
      <w:r>
        <w:rPr>
          <w:rFonts w:ascii="Traditional Arabic" w:hAnsi="Traditional Arabic" w:cs="Traditional Arabic" w:hint="cs"/>
          <w:sz w:val="30"/>
          <w:szCs w:val="30"/>
          <w:rtl/>
          <w:lang w:bidi="ar"/>
        </w:rPr>
        <w:t>حدث وتتميز ب</w:t>
      </w:r>
      <w:r w:rsidRPr="00F60EE8">
        <w:rPr>
          <w:rFonts w:ascii="Traditional Arabic" w:hAnsi="Traditional Arabic" w:cs="Traditional Arabic"/>
          <w:sz w:val="30"/>
          <w:szCs w:val="30"/>
          <w:rtl/>
          <w:lang w:bidi="ar"/>
        </w:rPr>
        <w:t xml:space="preserve">ضوابط انبعاثات أفضل، مما </w:t>
      </w:r>
      <w:r>
        <w:rPr>
          <w:rFonts w:ascii="Traditional Arabic" w:hAnsi="Traditional Arabic" w:cs="Traditional Arabic" w:hint="cs"/>
          <w:sz w:val="30"/>
          <w:szCs w:val="30"/>
          <w:rtl/>
          <w:lang w:bidi="ar"/>
        </w:rPr>
        <w:t xml:space="preserve">ينتج عنه </w:t>
      </w:r>
      <w:r w:rsidRPr="00F60EE8">
        <w:rPr>
          <w:rFonts w:ascii="Traditional Arabic" w:hAnsi="Traditional Arabic" w:cs="Traditional Arabic"/>
          <w:sz w:val="30"/>
          <w:szCs w:val="30"/>
          <w:rtl/>
          <w:lang w:bidi="ar"/>
        </w:rPr>
        <w:t xml:space="preserve">خفض </w:t>
      </w:r>
      <w:r>
        <w:rPr>
          <w:rFonts w:ascii="Traditional Arabic" w:hAnsi="Traditional Arabic" w:cs="Traditional Arabic" w:hint="cs"/>
          <w:sz w:val="30"/>
          <w:szCs w:val="30"/>
          <w:rtl/>
          <w:lang w:bidi="ar"/>
        </w:rPr>
        <w:t xml:space="preserve">عام </w:t>
      </w:r>
      <w:r w:rsidRPr="00F60EE8">
        <w:rPr>
          <w:rFonts w:ascii="Traditional Arabic" w:hAnsi="Traditional Arabic" w:cs="Traditional Arabic"/>
          <w:sz w:val="30"/>
          <w:szCs w:val="30"/>
          <w:rtl/>
          <w:lang w:bidi="ar"/>
        </w:rPr>
        <w:t xml:space="preserve">لانبعاثات الزئبق على المستوى الوطني. </w:t>
      </w:r>
      <w:r>
        <w:rPr>
          <w:rFonts w:ascii="Traditional Arabic" w:hAnsi="Traditional Arabic" w:cs="Traditional Arabic" w:hint="cs"/>
          <w:sz w:val="30"/>
          <w:szCs w:val="30"/>
          <w:rtl/>
          <w:lang w:bidi="ar"/>
        </w:rPr>
        <w:t xml:space="preserve">وقد </w:t>
      </w:r>
      <w:r w:rsidRPr="00F60EE8">
        <w:rPr>
          <w:rFonts w:ascii="Traditional Arabic" w:hAnsi="Traditional Arabic" w:cs="Traditional Arabic"/>
          <w:sz w:val="30"/>
          <w:szCs w:val="30"/>
          <w:rtl/>
          <w:lang w:bidi="ar"/>
        </w:rPr>
        <w:t>يختار</w:t>
      </w:r>
      <w:r>
        <w:rPr>
          <w:rFonts w:ascii="Traditional Arabic" w:hAnsi="Traditional Arabic" w:cs="Traditional Arabic" w:hint="cs"/>
          <w:sz w:val="30"/>
          <w:szCs w:val="30"/>
          <w:rtl/>
          <w:lang w:bidi="ar"/>
        </w:rPr>
        <w:t xml:space="preserve"> الطرف</w:t>
      </w:r>
      <w:r w:rsidRPr="00F60EE8">
        <w:rPr>
          <w:rFonts w:ascii="Traditional Arabic" w:hAnsi="Traditional Arabic" w:cs="Traditional Arabic"/>
          <w:sz w:val="30"/>
          <w:szCs w:val="30"/>
          <w:rtl/>
          <w:lang w:bidi="ar"/>
        </w:rPr>
        <w:t xml:space="preserve"> أيضا</w:t>
      </w:r>
      <w:r>
        <w:rPr>
          <w:rFonts w:ascii="Traditional Arabic" w:hAnsi="Traditional Arabic" w:cs="Traditional Arabic" w:hint="cs"/>
          <w:sz w:val="30"/>
          <w:szCs w:val="30"/>
          <w:rtl/>
          <w:lang w:bidi="ar"/>
        </w:rPr>
        <w:t>ً</w:t>
      </w:r>
      <w:r w:rsidRPr="00F60EE8">
        <w:rPr>
          <w:rFonts w:ascii="Traditional Arabic" w:hAnsi="Traditional Arabic" w:cs="Traditional Arabic"/>
          <w:sz w:val="30"/>
          <w:szCs w:val="30"/>
          <w:rtl/>
          <w:lang w:bidi="ar"/>
        </w:rPr>
        <w:t xml:space="preserve"> </w:t>
      </w:r>
      <w:r>
        <w:rPr>
          <w:rFonts w:ascii="Traditional Arabic" w:hAnsi="Traditional Arabic" w:cs="Traditional Arabic" w:hint="cs"/>
          <w:sz w:val="30"/>
          <w:szCs w:val="30"/>
          <w:rtl/>
          <w:lang w:bidi="ar"/>
        </w:rPr>
        <w:t xml:space="preserve">التصدي </w:t>
      </w:r>
      <w:r w:rsidRPr="00F60EE8">
        <w:rPr>
          <w:rFonts w:ascii="Traditional Arabic" w:hAnsi="Traditional Arabic" w:cs="Traditional Arabic"/>
          <w:sz w:val="30"/>
          <w:szCs w:val="30"/>
          <w:rtl/>
          <w:lang w:bidi="ar"/>
        </w:rPr>
        <w:t xml:space="preserve">للانبعاثات من المصادر ذات الصلة </w:t>
      </w:r>
      <w:r>
        <w:rPr>
          <w:rFonts w:ascii="Traditional Arabic" w:hAnsi="Traditional Arabic" w:cs="Traditional Arabic" w:hint="cs"/>
          <w:sz w:val="30"/>
          <w:szCs w:val="30"/>
          <w:rtl/>
          <w:lang w:bidi="ar"/>
        </w:rPr>
        <w:t>ب</w:t>
      </w:r>
      <w:r w:rsidRPr="00F60EE8">
        <w:rPr>
          <w:rFonts w:ascii="Traditional Arabic" w:hAnsi="Traditional Arabic" w:cs="Traditional Arabic"/>
          <w:sz w:val="30"/>
          <w:szCs w:val="30"/>
          <w:rtl/>
          <w:lang w:bidi="ar"/>
        </w:rPr>
        <w:t>إغلاق المصانع واستبدال مساهمته</w:t>
      </w:r>
      <w:r>
        <w:rPr>
          <w:rFonts w:ascii="Traditional Arabic" w:hAnsi="Traditional Arabic" w:cs="Traditional Arabic" w:hint="cs"/>
          <w:sz w:val="30"/>
          <w:szCs w:val="30"/>
          <w:rtl/>
          <w:lang w:bidi="ar"/>
        </w:rPr>
        <w:t>ا</w:t>
      </w:r>
      <w:r w:rsidRPr="00F60EE8">
        <w:rPr>
          <w:rFonts w:ascii="Traditional Arabic" w:hAnsi="Traditional Arabic" w:cs="Traditional Arabic"/>
          <w:sz w:val="30"/>
          <w:szCs w:val="30"/>
          <w:rtl/>
          <w:lang w:bidi="ar"/>
        </w:rPr>
        <w:t xml:space="preserve">، على سبيل المثال، </w:t>
      </w:r>
      <w:r>
        <w:rPr>
          <w:rFonts w:ascii="Traditional Arabic" w:hAnsi="Traditional Arabic" w:cs="Traditional Arabic" w:hint="cs"/>
          <w:sz w:val="30"/>
          <w:szCs w:val="30"/>
          <w:rtl/>
          <w:lang w:bidi="ar"/>
        </w:rPr>
        <w:t>ب</w:t>
      </w:r>
      <w:r w:rsidRPr="00F60EE8">
        <w:rPr>
          <w:rFonts w:ascii="Traditional Arabic" w:hAnsi="Traditional Arabic" w:cs="Traditional Arabic"/>
          <w:sz w:val="30"/>
          <w:szCs w:val="30"/>
          <w:rtl/>
          <w:lang w:bidi="ar"/>
        </w:rPr>
        <w:t xml:space="preserve">إمدادات </w:t>
      </w:r>
      <w:r>
        <w:rPr>
          <w:rFonts w:ascii="Traditional Arabic" w:hAnsi="Traditional Arabic" w:cs="Traditional Arabic" w:hint="cs"/>
          <w:sz w:val="30"/>
          <w:szCs w:val="30"/>
          <w:rtl/>
          <w:lang w:bidi="ar"/>
        </w:rPr>
        <w:t xml:space="preserve">طاقة </w:t>
      </w:r>
      <w:r w:rsidRPr="00F60EE8">
        <w:rPr>
          <w:rFonts w:ascii="Traditional Arabic" w:hAnsi="Traditional Arabic" w:cs="Traditional Arabic"/>
          <w:sz w:val="30"/>
          <w:szCs w:val="30"/>
          <w:rtl/>
          <w:lang w:bidi="ar"/>
        </w:rPr>
        <w:t>من خلال تطوير مصادر طاقة</w:t>
      </w:r>
      <w:r>
        <w:rPr>
          <w:rFonts w:ascii="Traditional Arabic" w:hAnsi="Traditional Arabic" w:cs="Traditional Arabic" w:hint="cs"/>
          <w:sz w:val="30"/>
          <w:szCs w:val="30"/>
          <w:rtl/>
          <w:lang w:bidi="ar"/>
        </w:rPr>
        <w:t xml:space="preserve"> بديلة </w:t>
      </w:r>
      <w:r>
        <w:rPr>
          <w:rFonts w:ascii="Traditional Arabic" w:hAnsi="Traditional Arabic" w:cs="Traditional Arabic"/>
          <w:sz w:val="30"/>
          <w:szCs w:val="30"/>
          <w:rtl/>
          <w:lang w:bidi="ar"/>
        </w:rPr>
        <w:t xml:space="preserve">أو ممارسات إدارة </w:t>
      </w:r>
      <w:r w:rsidRPr="009F0B78">
        <w:rPr>
          <w:rFonts w:ascii="Traditional Arabic" w:hAnsi="Traditional Arabic" w:cs="Traditional Arabic"/>
          <w:sz w:val="30"/>
          <w:szCs w:val="30"/>
          <w:rtl/>
          <w:lang w:bidi="ar"/>
        </w:rPr>
        <w:t>نفايات لا</w:t>
      </w:r>
      <w:r w:rsidRPr="009F0B78">
        <w:rPr>
          <w:rFonts w:ascii="Traditional Arabic" w:hAnsi="Traditional Arabic" w:cs="Traditional Arabic" w:hint="cs"/>
          <w:sz w:val="30"/>
          <w:szCs w:val="30"/>
          <w:rtl/>
          <w:lang w:bidi="ar"/>
        </w:rPr>
        <w:t> </w:t>
      </w:r>
      <w:r w:rsidRPr="009F0B78">
        <w:rPr>
          <w:rFonts w:ascii="Traditional Arabic" w:hAnsi="Traditional Arabic" w:cs="Traditional Arabic"/>
          <w:sz w:val="30"/>
          <w:szCs w:val="30"/>
          <w:rtl/>
          <w:lang w:bidi="ar"/>
        </w:rPr>
        <w:t xml:space="preserve">تعتمد على </w:t>
      </w:r>
      <w:r w:rsidRPr="009F0B78">
        <w:rPr>
          <w:rFonts w:ascii="Traditional Arabic" w:hAnsi="Traditional Arabic" w:cs="Traditional Arabic" w:hint="cs"/>
          <w:sz w:val="30"/>
          <w:szCs w:val="30"/>
          <w:rtl/>
          <w:lang w:bidi="ar"/>
        </w:rPr>
        <w:t>الترميد</w:t>
      </w:r>
      <w:r w:rsidRPr="009F0B78">
        <w:rPr>
          <w:rFonts w:ascii="Traditional Arabic" w:hAnsi="Traditional Arabic" w:cs="Traditional Arabic"/>
          <w:sz w:val="30"/>
          <w:szCs w:val="30"/>
          <w:rtl/>
          <w:lang w:bidi="ar"/>
        </w:rPr>
        <w:t>.</w:t>
      </w:r>
    </w:p>
    <w:p w:rsidR="00335E4B" w:rsidRPr="009F0B78" w:rsidRDefault="00E52429" w:rsidP="00CC71D8">
      <w:pPr>
        <w:tabs>
          <w:tab w:val="left" w:pos="1841"/>
        </w:tabs>
        <w:spacing w:after="120" w:line="400" w:lineRule="exact"/>
        <w:ind w:left="1132"/>
        <w:jc w:val="center"/>
        <w:textDirection w:val="tbRlV"/>
        <w:rPr>
          <w:rFonts w:cs="Traditional Arabic"/>
          <w:sz w:val="20"/>
          <w:szCs w:val="30"/>
          <w:rtl/>
        </w:rPr>
      </w:pPr>
      <w:r w:rsidRPr="009F0B78">
        <w:rPr>
          <w:rFonts w:cs="Traditional Arabic" w:hint="cs"/>
          <w:sz w:val="20"/>
          <w:szCs w:val="30"/>
          <w:rtl/>
        </w:rPr>
        <w:t>_______________</w:t>
      </w:r>
    </w:p>
    <w:sectPr w:rsidR="00335E4B" w:rsidRPr="009F0B78" w:rsidSect="008F1516">
      <w:headerReference w:type="even" r:id="rId84"/>
      <w:headerReference w:type="default" r:id="rId85"/>
      <w:footerReference w:type="even" r:id="rId86"/>
      <w:footerReference w:type="default" r:id="rId87"/>
      <w:footerReference w:type="first" r:id="rId88"/>
      <w:endnotePr>
        <w:numFmt w:val="lowerLetter"/>
      </w:endnotePr>
      <w:pgSz w:w="11906" w:h="16838" w:code="9"/>
      <w:pgMar w:top="907" w:right="1418" w:bottom="1418" w:left="992" w:header="539" w:footer="975" w:gutter="0"/>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B77" w:rsidRDefault="00F37B77">
      <w:r>
        <w:separator/>
      </w:r>
    </w:p>
  </w:endnote>
  <w:endnote w:type="continuationSeparator" w:id="0">
    <w:p w:rsidR="00F37B77" w:rsidRDefault="00F37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Times">
    <w:panose1 w:val="02020603050405020304"/>
    <w:charset w:val="00"/>
    <w:family w:val="roman"/>
    <w:notTrueType/>
    <w:pitch w:val="variable"/>
    <w:sig w:usb0="00000003" w:usb1="00000000" w:usb2="00000000" w:usb3="00000000" w:csb0="00000001" w:csb1="00000000"/>
  </w:font>
  <w:font w:name="Arabic Transparent">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khbar MT">
    <w:panose1 w:val="00000000000000000000"/>
    <w:charset w:val="B2"/>
    <w:family w:val="auto"/>
    <w:pitch w:val="variable"/>
    <w:sig w:usb0="00002001" w:usb1="00000000" w:usb2="00000000" w:usb3="00000000" w:csb0="00000040" w:csb1="00000000"/>
  </w:font>
  <w:font w:name="Times New Roman Bold">
    <w:panose1 w:val="02020803070505020304"/>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dvTimes">
    <w:panose1 w:val="00000000000000000000"/>
    <w:charset w:val="00"/>
    <w:family w:val="auto"/>
    <w:notTrueType/>
    <w:pitch w:val="default"/>
    <w:sig w:usb0="00000003" w:usb1="00000000" w:usb2="00000000" w:usb3="00000000" w:csb0="00000001" w:csb1="00000000"/>
  </w:font>
  <w:font w:name="PalatinoLinotype-Roman">
    <w:altName w:val="MS Mincho"/>
    <w:panose1 w:val="00000000000000000000"/>
    <w:charset w:val="80"/>
    <w:family w:val="auto"/>
    <w:notTrueType/>
    <w:pitch w:val="default"/>
    <w:sig w:usb0="00000000" w:usb1="08070000" w:usb2="00000010" w:usb3="00000000" w:csb0="00020000" w:csb1="00000000"/>
  </w:font>
  <w:font w:name="PalatinoLinotype-Italic">
    <w:altName w:val="MS Mincho"/>
    <w:panose1 w:val="00000000000000000000"/>
    <w:charset w:val="80"/>
    <w:family w:val="auto"/>
    <w:notTrueType/>
    <w:pitch w:val="default"/>
    <w:sig w:usb0="00000000" w:usb1="08070000" w:usb2="00000010" w:usb3="00000000" w:csb0="00020000" w:csb1="00000000"/>
  </w:font>
  <w:font w:name="KodchiangUPC">
    <w:panose1 w:val="02020603050405020304"/>
    <w:charset w:val="00"/>
    <w:family w:val="roman"/>
    <w:pitch w:val="variable"/>
    <w:sig w:usb0="01000007" w:usb1="00000002" w:usb2="00000000" w:usb3="00000000" w:csb0="00010001" w:csb1="00000000"/>
  </w:font>
  <w:font w:name="Vrinda">
    <w:panose1 w:val="020B0502040204020203"/>
    <w:charset w:val="00"/>
    <w:family w:val="swiss"/>
    <w:pitch w:val="variable"/>
    <w:sig w:usb0="00010003" w:usb1="00000000" w:usb2="00000000" w:usb3="00000000" w:csb0="00000001" w:csb1="00000000"/>
  </w:font>
  <w:font w:name="Rosalind Se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B40" w:rsidRPr="00D06B01" w:rsidRDefault="00670B40" w:rsidP="000A4605">
    <w:pPr>
      <w:pStyle w:val="Footer"/>
      <w:bidi w:val="0"/>
      <w:rPr>
        <w:rFonts w:asciiTheme="majorBidi" w:hAnsiTheme="majorBidi" w:cstheme="majorBidi"/>
        <w:sz w:val="18"/>
        <w:szCs w:val="18"/>
      </w:rPr>
    </w:pPr>
    <w:r w:rsidRPr="00D06B01">
      <w:rPr>
        <w:rFonts w:asciiTheme="majorBidi" w:hAnsiTheme="majorBidi" w:cstheme="majorBidi"/>
        <w:noProof w:val="0"/>
        <w:sz w:val="18"/>
        <w:szCs w:val="18"/>
      </w:rPr>
      <w:fldChar w:fldCharType="begin"/>
    </w:r>
    <w:r w:rsidRPr="00D06B01">
      <w:rPr>
        <w:rFonts w:asciiTheme="majorBidi" w:hAnsiTheme="majorBidi" w:cstheme="majorBidi"/>
        <w:sz w:val="18"/>
        <w:szCs w:val="18"/>
      </w:rPr>
      <w:instrText xml:space="preserve"> PAGE   \* MERGEFORMAT </w:instrText>
    </w:r>
    <w:r w:rsidRPr="00D06B01">
      <w:rPr>
        <w:rFonts w:asciiTheme="majorBidi" w:hAnsiTheme="majorBidi" w:cstheme="majorBidi"/>
        <w:noProof w:val="0"/>
        <w:sz w:val="18"/>
        <w:szCs w:val="18"/>
      </w:rPr>
      <w:fldChar w:fldCharType="separate"/>
    </w:r>
    <w:r w:rsidR="003033D5">
      <w:rPr>
        <w:rFonts w:asciiTheme="majorBidi" w:hAnsiTheme="majorBidi" w:cstheme="majorBidi"/>
        <w:sz w:val="18"/>
        <w:szCs w:val="18"/>
      </w:rPr>
      <w:t>30</w:t>
    </w:r>
    <w:r w:rsidRPr="00D06B01">
      <w:rPr>
        <w:rFonts w:asciiTheme="majorBidi" w:hAnsiTheme="majorBidi" w:cstheme="majorBid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B40" w:rsidRPr="00D06B01" w:rsidRDefault="00670B40" w:rsidP="000A4605">
    <w:pPr>
      <w:pStyle w:val="Footer"/>
      <w:bidi w:val="0"/>
      <w:jc w:val="left"/>
      <w:rPr>
        <w:rFonts w:asciiTheme="majorBidi" w:hAnsiTheme="majorBidi" w:cstheme="majorBidi"/>
        <w:sz w:val="18"/>
        <w:szCs w:val="18"/>
      </w:rPr>
    </w:pPr>
    <w:r w:rsidRPr="000A4605">
      <w:rPr>
        <w:noProof w:val="0"/>
        <w:sz w:val="18"/>
        <w:szCs w:val="18"/>
      </w:rPr>
      <w:fldChar w:fldCharType="begin"/>
    </w:r>
    <w:r w:rsidRPr="000A4605">
      <w:rPr>
        <w:sz w:val="18"/>
        <w:szCs w:val="18"/>
      </w:rPr>
      <w:instrText xml:space="preserve"> PAGE   \* MERGEFORMAT </w:instrText>
    </w:r>
    <w:r w:rsidRPr="000A4605">
      <w:rPr>
        <w:noProof w:val="0"/>
        <w:sz w:val="18"/>
        <w:szCs w:val="18"/>
      </w:rPr>
      <w:fldChar w:fldCharType="separate"/>
    </w:r>
    <w:r w:rsidR="003033D5">
      <w:rPr>
        <w:sz w:val="18"/>
        <w:szCs w:val="18"/>
      </w:rPr>
      <w:t>29</w:t>
    </w:r>
    <w:r w:rsidRPr="000A4605">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B40" w:rsidRPr="00A85453" w:rsidRDefault="00670B40" w:rsidP="00512DD6">
    <w:pPr>
      <w:pStyle w:val="Footer"/>
      <w:tabs>
        <w:tab w:val="clear" w:pos="4153"/>
        <w:tab w:val="clear" w:pos="8306"/>
      </w:tabs>
      <w:jc w:val="left"/>
      <w:rPr>
        <w:rtl/>
      </w:rPr>
    </w:pPr>
    <w:r>
      <w:t>K1703431</w:t>
    </w:r>
    <w:r>
      <w:tab/>
    </w:r>
    <w:r w:rsidR="00512DD6">
      <w:t>050717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B40" w:rsidRPr="00862C3F" w:rsidRDefault="00670B40" w:rsidP="00D002D1">
    <w:pPr>
      <w:pStyle w:val="Footer"/>
      <w:tabs>
        <w:tab w:val="clear" w:pos="4153"/>
        <w:tab w:val="clear" w:pos="8306"/>
      </w:tabs>
      <w:spacing w:before="40"/>
      <w:jc w:val="left"/>
    </w:pPr>
    <w:r>
      <w:rPr>
        <w:noProof w:val="0"/>
      </w:rPr>
      <w:fldChar w:fldCharType="begin"/>
    </w:r>
    <w:r>
      <w:instrText xml:space="preserve"> PAGE   \* MERGEFORMAT </w:instrText>
    </w:r>
    <w:r>
      <w:rPr>
        <w:noProof w:val="0"/>
      </w:rPr>
      <w:fldChar w:fldCharType="separate"/>
    </w:r>
    <w:r>
      <w:t>113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B40" w:rsidRPr="006A53CC" w:rsidRDefault="00670B40" w:rsidP="00E6607F">
    <w:pPr>
      <w:pStyle w:val="Footer"/>
      <w:bidi w:val="0"/>
      <w:rPr>
        <w:sz w:val="18"/>
        <w:szCs w:val="18"/>
      </w:rPr>
    </w:pPr>
    <w:r w:rsidRPr="006A53CC">
      <w:rPr>
        <w:rStyle w:val="PageNumber"/>
        <w:sz w:val="18"/>
        <w:szCs w:val="18"/>
      </w:rPr>
      <w:fldChar w:fldCharType="begin"/>
    </w:r>
    <w:r w:rsidRPr="006A53CC">
      <w:rPr>
        <w:rStyle w:val="PageNumber"/>
        <w:sz w:val="18"/>
        <w:szCs w:val="18"/>
      </w:rPr>
      <w:instrText xml:space="preserve"> PAGE </w:instrText>
    </w:r>
    <w:r w:rsidRPr="006A53CC">
      <w:rPr>
        <w:rStyle w:val="PageNumber"/>
        <w:sz w:val="18"/>
        <w:szCs w:val="18"/>
      </w:rPr>
      <w:fldChar w:fldCharType="separate"/>
    </w:r>
    <w:r w:rsidR="003033D5">
      <w:rPr>
        <w:rStyle w:val="PageNumber"/>
        <w:sz w:val="18"/>
        <w:szCs w:val="18"/>
      </w:rPr>
      <w:t>212</w:t>
    </w:r>
    <w:r w:rsidRPr="006A53CC">
      <w:rPr>
        <w:rStyle w:val="PageNumber"/>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B40" w:rsidRPr="006A53CC" w:rsidRDefault="00670B40" w:rsidP="00582D5A">
    <w:pPr>
      <w:pStyle w:val="Footer"/>
      <w:tabs>
        <w:tab w:val="clear" w:pos="4153"/>
      </w:tabs>
      <w:bidi w:val="0"/>
      <w:spacing w:line="240" w:lineRule="exact"/>
      <w:jc w:val="left"/>
      <w:rPr>
        <w:sz w:val="18"/>
        <w:szCs w:val="18"/>
        <w:lang w:bidi="ar-EG"/>
      </w:rPr>
    </w:pPr>
    <w:r w:rsidRPr="006A53CC">
      <w:rPr>
        <w:rStyle w:val="PageNumber"/>
        <w:sz w:val="18"/>
        <w:szCs w:val="18"/>
      </w:rPr>
      <w:fldChar w:fldCharType="begin"/>
    </w:r>
    <w:r w:rsidRPr="006A53CC">
      <w:rPr>
        <w:rStyle w:val="PageNumber"/>
        <w:sz w:val="18"/>
        <w:szCs w:val="18"/>
      </w:rPr>
      <w:instrText xml:space="preserve"> PAGE </w:instrText>
    </w:r>
    <w:r w:rsidRPr="006A53CC">
      <w:rPr>
        <w:rStyle w:val="PageNumber"/>
        <w:sz w:val="18"/>
        <w:szCs w:val="18"/>
      </w:rPr>
      <w:fldChar w:fldCharType="separate"/>
    </w:r>
    <w:r w:rsidR="003033D5">
      <w:rPr>
        <w:rStyle w:val="PageNumber"/>
        <w:sz w:val="18"/>
        <w:szCs w:val="18"/>
      </w:rPr>
      <w:t>211</w:t>
    </w:r>
    <w:r w:rsidRPr="006A53CC">
      <w:rPr>
        <w:rStyle w:val="PageNumber"/>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B40" w:rsidRDefault="00670B40" w:rsidP="00076BC9">
    <w:pPr>
      <w:spacing w:before="240" w:line="240" w:lineRule="exact"/>
      <w:jc w:val="both"/>
      <w:rPr>
        <w:rFonts w:cs="Traditional Arabic"/>
        <w:szCs w:val="30"/>
        <w:rtl/>
      </w:rPr>
    </w:pPr>
    <w:r>
      <w:rPr>
        <w:sz w:val="20"/>
        <w:szCs w:val="20"/>
      </w:rPr>
      <w:t>K1703431</w:t>
    </w:r>
    <w:r>
      <w:rPr>
        <w:sz w:val="20"/>
        <w:szCs w:val="20"/>
      </w:rPr>
      <w:tab/>
      <w:t>220617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B77" w:rsidRDefault="00F37B77" w:rsidP="008A5D49">
      <w:pPr>
        <w:jc w:val="both"/>
      </w:pPr>
      <w:r>
        <w:separator/>
      </w:r>
    </w:p>
  </w:footnote>
  <w:footnote w:type="continuationSeparator" w:id="0">
    <w:p w:rsidR="00F37B77" w:rsidRDefault="00F37B77">
      <w:r>
        <w:continuationSeparator/>
      </w:r>
    </w:p>
  </w:footnote>
  <w:footnote w:id="1">
    <w:p w:rsidR="00670B40" w:rsidRPr="00E371AF" w:rsidRDefault="00670B40" w:rsidP="000A4605">
      <w:pPr>
        <w:pStyle w:val="FootnoteText"/>
        <w:spacing w:after="40" w:line="300" w:lineRule="exact"/>
        <w:ind w:left="1134"/>
        <w:jc w:val="left"/>
        <w:rPr>
          <w:rFonts w:ascii="Times New Roman" w:hAnsi="Times New Roman" w:cs="Times New Roman"/>
          <w:sz w:val="18"/>
          <w:szCs w:val="26"/>
          <w:rtl/>
        </w:rPr>
      </w:pPr>
      <w:r w:rsidRPr="00E371AF">
        <w:rPr>
          <w:rStyle w:val="FootnoteReference"/>
          <w:rFonts w:ascii="Times New Roman" w:hAnsi="Times New Roman" w:cs="Times New Roman"/>
          <w:sz w:val="18"/>
          <w:szCs w:val="26"/>
          <w:rtl/>
        </w:rPr>
        <w:t>*</w:t>
      </w:r>
      <w:r w:rsidRPr="00E371AF">
        <w:rPr>
          <w:rFonts w:ascii="Times New Roman" w:hAnsi="Times New Roman" w:cs="Times New Roman" w:hint="cs"/>
          <w:sz w:val="18"/>
          <w:szCs w:val="26"/>
          <w:rtl/>
        </w:rPr>
        <w:t xml:space="preserve"> </w:t>
      </w:r>
      <w:r w:rsidRPr="00E371AF">
        <w:rPr>
          <w:rFonts w:ascii="Times New Roman" w:hAnsi="Times New Roman" w:cs="Times New Roman"/>
          <w:sz w:val="18"/>
          <w:szCs w:val="26"/>
          <w:rtl/>
        </w:rPr>
        <w:t xml:space="preserve"> </w:t>
      </w:r>
      <w:r w:rsidRPr="00E371AF">
        <w:rPr>
          <w:rFonts w:ascii="Times New Roman" w:hAnsi="Times New Roman" w:cs="Times New Roman"/>
          <w:sz w:val="18"/>
          <w:szCs w:val="26"/>
        </w:rPr>
        <w:t>UNEP/MC/COP.1/1</w:t>
      </w:r>
      <w:r w:rsidRPr="00E371AF">
        <w:rPr>
          <w:rFonts w:ascii="Times New Roman" w:hAnsi="Times New Roman" w:cs="Times New Roman"/>
          <w:sz w:val="18"/>
          <w:szCs w:val="26"/>
          <w:rtl/>
        </w:rPr>
        <w:t>.</w:t>
      </w:r>
    </w:p>
  </w:footnote>
  <w:footnote w:id="2">
    <w:p w:rsidR="00A260EF" w:rsidRPr="003033D5" w:rsidRDefault="00A260EF" w:rsidP="003033D5">
      <w:pPr>
        <w:pStyle w:val="FootnoteText"/>
        <w:jc w:val="both"/>
        <w:rPr>
          <w:rFonts w:ascii="Traditional Arabic" w:hAnsi="Traditional Arabic" w:cs="Traditional Arabic"/>
          <w:sz w:val="26"/>
          <w:szCs w:val="26"/>
          <w:rtl/>
        </w:rPr>
      </w:pPr>
      <w:r w:rsidRPr="00A260EF">
        <w:rPr>
          <w:rFonts w:ascii="Traditional Arabic" w:hAnsi="Traditional Arabic" w:cs="Traditional Arabic" w:hint="cs"/>
          <w:sz w:val="26"/>
          <w:szCs w:val="26"/>
          <w:rtl/>
        </w:rPr>
        <w:t>(</w:t>
      </w:r>
      <w:r w:rsidRPr="003033D5">
        <w:rPr>
          <w:rStyle w:val="FootnoteReference"/>
          <w:rFonts w:ascii="Traditional Arabic" w:hAnsi="Traditional Arabic" w:cs="Traditional Arabic"/>
          <w:sz w:val="26"/>
          <w:szCs w:val="26"/>
          <w:vertAlign w:val="baseline"/>
        </w:rPr>
        <w:footnoteRef/>
      </w:r>
      <w:r w:rsidRPr="00A260EF">
        <w:rPr>
          <w:rFonts w:ascii="Traditional Arabic" w:hAnsi="Traditional Arabic" w:cs="Traditional Arabic"/>
          <w:sz w:val="26"/>
          <w:szCs w:val="26"/>
          <w:rtl/>
        </w:rPr>
        <w:t xml:space="preserve">) </w:t>
      </w:r>
      <w:r>
        <w:rPr>
          <w:rFonts w:ascii="Traditional Arabic" w:hAnsi="Traditional Arabic" w:cs="Traditional Arabic" w:hint="cs"/>
          <w:sz w:val="26"/>
          <w:szCs w:val="26"/>
          <w:rtl/>
        </w:rPr>
        <w:t>استنسخت التوجيهات الواردة في المرفقات دون تحريرها بصورة رسمية.</w:t>
      </w:r>
    </w:p>
  </w:footnote>
  <w:footnote w:id="3">
    <w:p w:rsidR="00670B40" w:rsidRPr="00D06B01" w:rsidRDefault="00670B40" w:rsidP="00D06B01">
      <w:pPr>
        <w:pStyle w:val="FootnoteText"/>
        <w:spacing w:after="40" w:line="300" w:lineRule="exact"/>
        <w:ind w:left="567"/>
        <w:jc w:val="both"/>
        <w:rPr>
          <w:rFonts w:ascii="Traditional Arabic" w:hAnsi="Traditional Arabic" w:cs="Traditional Arabic"/>
          <w:sz w:val="18"/>
          <w:szCs w:val="26"/>
        </w:rPr>
      </w:pPr>
      <w:r w:rsidRPr="00D06B01">
        <w:rPr>
          <w:rFonts w:ascii="Traditional Arabic" w:hAnsi="Traditional Arabic" w:cs="Traditional Arabic"/>
          <w:noProof w:val="0"/>
          <w:kern w:val="14"/>
          <w:sz w:val="18"/>
          <w:szCs w:val="26"/>
          <w:rtl/>
        </w:rPr>
        <w:t>(</w:t>
      </w:r>
      <w:r w:rsidRPr="00D06B01">
        <w:rPr>
          <w:rStyle w:val="FootnoteReference"/>
          <w:rFonts w:ascii="Traditional Arabic" w:hAnsi="Traditional Arabic" w:cs="Traditional Arabic"/>
          <w:noProof w:val="0"/>
          <w:kern w:val="14"/>
          <w:sz w:val="18"/>
          <w:szCs w:val="26"/>
          <w:vertAlign w:val="baseline"/>
          <w:rtl/>
        </w:rPr>
        <w:footnoteRef/>
      </w:r>
      <w:r w:rsidRPr="00D06B01">
        <w:rPr>
          <w:rFonts w:ascii="Traditional Arabic" w:hAnsi="Traditional Arabic" w:cs="Traditional Arabic"/>
          <w:noProof w:val="0"/>
          <w:kern w:val="14"/>
          <w:sz w:val="18"/>
          <w:szCs w:val="26"/>
          <w:rtl/>
        </w:rPr>
        <w:t>)</w:t>
      </w:r>
      <w:r w:rsidRPr="00D06B01">
        <w:rPr>
          <w:rFonts w:ascii="Traditional Arabic" w:hAnsi="Traditional Arabic" w:cs="Traditional Arabic"/>
          <w:noProof w:val="0"/>
          <w:kern w:val="14"/>
          <w:sz w:val="18"/>
          <w:szCs w:val="26"/>
        </w:rPr>
        <w:t xml:space="preserve">  </w:t>
      </w:r>
      <w:r w:rsidRPr="00D06B01">
        <w:rPr>
          <w:rFonts w:ascii="Traditional Arabic" w:hAnsi="Traditional Arabic" w:cs="Traditional Arabic"/>
          <w:noProof w:val="0"/>
          <w:kern w:val="14"/>
          <w:sz w:val="18"/>
          <w:szCs w:val="26"/>
          <w:rtl/>
        </w:rPr>
        <w:t>انظر نص الاتفاقية، المادتان 1 و2.</w:t>
      </w:r>
    </w:p>
  </w:footnote>
  <w:footnote w:id="4">
    <w:p w:rsidR="00670B40" w:rsidRPr="007A6821" w:rsidRDefault="00670B40" w:rsidP="000A4605">
      <w:pPr>
        <w:pStyle w:val="FootnoteText"/>
        <w:spacing w:after="40" w:line="300" w:lineRule="exact"/>
        <w:ind w:left="565"/>
        <w:jc w:val="both"/>
        <w:rPr>
          <w:rFonts w:ascii="Traditional Arabic" w:hAnsi="Traditional Arabic" w:cs="Traditional Arabic"/>
          <w:sz w:val="18"/>
          <w:szCs w:val="26"/>
        </w:rPr>
      </w:pPr>
      <w:r w:rsidRPr="007A6821">
        <w:rPr>
          <w:rFonts w:ascii="Traditional Arabic" w:hAnsi="Traditional Arabic" w:cs="Traditional Arabic"/>
          <w:noProof w:val="0"/>
          <w:kern w:val="14"/>
          <w:sz w:val="18"/>
          <w:szCs w:val="26"/>
          <w:rtl/>
        </w:rPr>
        <w:t>(</w:t>
      </w:r>
      <w:r w:rsidRPr="007A6821">
        <w:rPr>
          <w:rStyle w:val="FootnoteReference"/>
          <w:rFonts w:ascii="Traditional Arabic" w:hAnsi="Traditional Arabic" w:cs="Traditional Arabic"/>
          <w:noProof w:val="0"/>
          <w:kern w:val="14"/>
          <w:sz w:val="18"/>
          <w:szCs w:val="26"/>
          <w:vertAlign w:val="baseline"/>
          <w:rtl/>
        </w:rPr>
        <w:footnoteRef/>
      </w:r>
      <w:r w:rsidRPr="007A6821">
        <w:rPr>
          <w:rFonts w:ascii="Traditional Arabic" w:hAnsi="Traditional Arabic" w:cs="Traditional Arabic"/>
          <w:noProof w:val="0"/>
          <w:kern w:val="14"/>
          <w:sz w:val="18"/>
          <w:szCs w:val="26"/>
          <w:rtl/>
        </w:rPr>
        <w:t>)</w:t>
      </w:r>
      <w:r w:rsidRPr="007A6821">
        <w:rPr>
          <w:rFonts w:ascii="Traditional Arabic" w:hAnsi="Traditional Arabic" w:cs="Traditional Arabic"/>
          <w:noProof w:val="0"/>
          <w:kern w:val="14"/>
          <w:sz w:val="18"/>
          <w:szCs w:val="26"/>
        </w:rPr>
        <w:t xml:space="preserve">  </w:t>
      </w:r>
      <w:r w:rsidRPr="007A6821">
        <w:rPr>
          <w:rFonts w:ascii="Traditional Arabic" w:hAnsi="Traditional Arabic" w:cs="Traditional Arabic"/>
          <w:noProof w:val="0"/>
          <w:kern w:val="14"/>
          <w:sz w:val="18"/>
          <w:szCs w:val="26"/>
          <w:rtl/>
        </w:rPr>
        <w:t>في ديباجة الاتفاقية، على سبيل المثال.</w:t>
      </w:r>
    </w:p>
  </w:footnote>
  <w:footnote w:id="5">
    <w:p w:rsidR="00670B40" w:rsidRPr="00E371AF" w:rsidRDefault="00670B40" w:rsidP="000A4605">
      <w:pPr>
        <w:pStyle w:val="FootnoteText"/>
        <w:spacing w:after="40" w:line="300" w:lineRule="exact"/>
        <w:ind w:left="565"/>
        <w:jc w:val="both"/>
        <w:rPr>
          <w:rFonts w:ascii="Times New Roman" w:hAnsi="Times New Roman" w:cs="Times New Roman"/>
          <w:sz w:val="18"/>
          <w:szCs w:val="26"/>
        </w:rPr>
      </w:pPr>
      <w:r w:rsidRPr="007A6821">
        <w:rPr>
          <w:rFonts w:ascii="Traditional Arabic" w:hAnsi="Traditional Arabic" w:cs="Traditional Arabic"/>
          <w:noProof w:val="0"/>
          <w:kern w:val="14"/>
          <w:sz w:val="18"/>
          <w:szCs w:val="26"/>
          <w:rtl/>
        </w:rPr>
        <w:t>(</w:t>
      </w:r>
      <w:r w:rsidRPr="007A6821">
        <w:rPr>
          <w:rStyle w:val="FootnoteReference"/>
          <w:rFonts w:ascii="Traditional Arabic" w:hAnsi="Traditional Arabic" w:cs="Traditional Arabic"/>
          <w:noProof w:val="0"/>
          <w:kern w:val="14"/>
          <w:sz w:val="18"/>
          <w:szCs w:val="26"/>
          <w:vertAlign w:val="baseline"/>
          <w:rtl/>
        </w:rPr>
        <w:footnoteRef/>
      </w:r>
      <w:r w:rsidRPr="007A6821">
        <w:rPr>
          <w:rFonts w:ascii="Traditional Arabic" w:hAnsi="Traditional Arabic" w:cs="Traditional Arabic"/>
          <w:noProof w:val="0"/>
          <w:kern w:val="14"/>
          <w:sz w:val="18"/>
          <w:szCs w:val="26"/>
          <w:rtl/>
        </w:rPr>
        <w:t>)</w:t>
      </w:r>
      <w:r w:rsidRPr="007A6821">
        <w:rPr>
          <w:rFonts w:ascii="Traditional Arabic" w:hAnsi="Traditional Arabic" w:cs="Traditional Arabic"/>
          <w:noProof w:val="0"/>
          <w:kern w:val="14"/>
          <w:sz w:val="18"/>
          <w:szCs w:val="26"/>
        </w:rPr>
        <w:t xml:space="preserve">  </w:t>
      </w:r>
      <w:r w:rsidRPr="007A6821">
        <w:rPr>
          <w:rFonts w:ascii="Traditional Arabic" w:hAnsi="Traditional Arabic" w:cs="Traditional Arabic"/>
          <w:noProof w:val="0"/>
          <w:kern w:val="14"/>
          <w:sz w:val="18"/>
          <w:szCs w:val="26"/>
          <w:rtl/>
        </w:rPr>
        <w:t>يمكن الاطلاع على مزيد من المعلومات عن الآثار الصحية للزئبق في الموقع:</w:t>
      </w:r>
      <w:r w:rsidRPr="00E371AF">
        <w:rPr>
          <w:rFonts w:ascii="Times New Roman" w:hAnsi="Times New Roman" w:cs="Times New Roman" w:hint="cs"/>
          <w:noProof w:val="0"/>
          <w:kern w:val="14"/>
          <w:sz w:val="18"/>
          <w:szCs w:val="26"/>
          <w:rtl/>
        </w:rPr>
        <w:t xml:space="preserve"> </w:t>
      </w:r>
      <w:r w:rsidRPr="007A6821">
        <w:rPr>
          <w:rFonts w:ascii="Times New Roman" w:eastAsia="MS Mincho" w:hAnsi="Times New Roman" w:cs="Times New Roman"/>
          <w:sz w:val="17"/>
          <w:szCs w:val="17"/>
          <w:lang w:val="en-GB" w:eastAsia="ja-JP"/>
        </w:rPr>
        <w:t>http://www.who.int/mediacentre/factsheets/fs361/en</w:t>
      </w:r>
      <w:r w:rsidRPr="007A6821">
        <w:rPr>
          <w:rFonts w:ascii="Traditional Arabic" w:hAnsi="Traditional Arabic" w:cs="Traditional Arabic"/>
          <w:noProof w:val="0"/>
          <w:kern w:val="14"/>
          <w:sz w:val="18"/>
          <w:szCs w:val="26"/>
          <w:rtl/>
          <w:lang w:val="en-GB" w:bidi="ar-EG"/>
        </w:rPr>
        <w:t>.</w:t>
      </w:r>
    </w:p>
  </w:footnote>
  <w:footnote w:id="6">
    <w:p w:rsidR="00670B40" w:rsidRPr="007A6821" w:rsidRDefault="00670B40" w:rsidP="000A4605">
      <w:pPr>
        <w:pStyle w:val="FootnoteText"/>
        <w:spacing w:after="40" w:line="300" w:lineRule="exact"/>
        <w:ind w:left="565"/>
        <w:jc w:val="both"/>
        <w:rPr>
          <w:rFonts w:ascii="Traditional Arabic" w:hAnsi="Traditional Arabic" w:cs="Traditional Arabic"/>
          <w:sz w:val="18"/>
          <w:szCs w:val="26"/>
        </w:rPr>
      </w:pPr>
      <w:r w:rsidRPr="007A6821">
        <w:rPr>
          <w:rFonts w:ascii="Traditional Arabic" w:hAnsi="Traditional Arabic" w:cs="Traditional Arabic"/>
          <w:noProof w:val="0"/>
          <w:kern w:val="14"/>
          <w:sz w:val="18"/>
          <w:szCs w:val="26"/>
          <w:rtl/>
        </w:rPr>
        <w:t>(</w:t>
      </w:r>
      <w:r w:rsidRPr="007A6821">
        <w:rPr>
          <w:rStyle w:val="FootnoteReference"/>
          <w:rFonts w:ascii="Traditional Arabic" w:hAnsi="Traditional Arabic" w:cs="Traditional Arabic"/>
          <w:noProof w:val="0"/>
          <w:kern w:val="14"/>
          <w:sz w:val="18"/>
          <w:szCs w:val="26"/>
          <w:vertAlign w:val="baseline"/>
          <w:rtl/>
        </w:rPr>
        <w:footnoteRef/>
      </w:r>
      <w:r w:rsidRPr="007A6821">
        <w:rPr>
          <w:rFonts w:ascii="Traditional Arabic" w:hAnsi="Traditional Arabic" w:cs="Traditional Arabic"/>
          <w:noProof w:val="0"/>
          <w:kern w:val="14"/>
          <w:sz w:val="18"/>
          <w:szCs w:val="26"/>
          <w:rtl/>
        </w:rPr>
        <w:t>)</w:t>
      </w:r>
      <w:r w:rsidRPr="007A6821">
        <w:rPr>
          <w:rFonts w:ascii="Traditional Arabic" w:hAnsi="Traditional Arabic" w:cs="Traditional Arabic"/>
          <w:noProof w:val="0"/>
          <w:kern w:val="14"/>
          <w:sz w:val="18"/>
          <w:szCs w:val="26"/>
        </w:rPr>
        <w:t xml:space="preserve">  </w:t>
      </w:r>
      <w:r w:rsidRPr="007A6821">
        <w:rPr>
          <w:rFonts w:ascii="Traditional Arabic" w:hAnsi="Traditional Arabic" w:cs="Traditional Arabic"/>
          <w:noProof w:val="0"/>
          <w:kern w:val="14"/>
          <w:sz w:val="18"/>
          <w:szCs w:val="26"/>
          <w:rtl/>
        </w:rPr>
        <w:t>برنامج الأمم المتحدة للبيئة (2013) التقييم العالمي للزئبق.</w:t>
      </w:r>
    </w:p>
  </w:footnote>
  <w:footnote w:id="7">
    <w:p w:rsidR="00670B40" w:rsidRPr="00E371AF" w:rsidRDefault="00670B40" w:rsidP="000A4605">
      <w:pPr>
        <w:pStyle w:val="FootnoteText"/>
        <w:spacing w:after="40" w:line="300" w:lineRule="exact"/>
        <w:ind w:left="565"/>
        <w:jc w:val="both"/>
        <w:rPr>
          <w:rFonts w:ascii="Times New Roman" w:hAnsi="Times New Roman" w:cs="Times New Roman"/>
          <w:sz w:val="18"/>
          <w:szCs w:val="26"/>
        </w:rPr>
      </w:pPr>
      <w:r w:rsidRPr="007A6821">
        <w:rPr>
          <w:rFonts w:ascii="Traditional Arabic" w:hAnsi="Traditional Arabic" w:cs="Traditional Arabic"/>
          <w:noProof w:val="0"/>
          <w:kern w:val="14"/>
          <w:sz w:val="18"/>
          <w:szCs w:val="26"/>
          <w:rtl/>
        </w:rPr>
        <w:t>(</w:t>
      </w:r>
      <w:r w:rsidRPr="007A6821">
        <w:rPr>
          <w:rStyle w:val="FootnoteReference"/>
          <w:rFonts w:ascii="Traditional Arabic" w:hAnsi="Traditional Arabic" w:cs="Traditional Arabic"/>
          <w:noProof w:val="0"/>
          <w:kern w:val="14"/>
          <w:sz w:val="18"/>
          <w:szCs w:val="26"/>
          <w:vertAlign w:val="baseline"/>
          <w:rtl/>
        </w:rPr>
        <w:footnoteRef/>
      </w:r>
      <w:r w:rsidRPr="007A6821">
        <w:rPr>
          <w:rFonts w:ascii="Traditional Arabic" w:hAnsi="Traditional Arabic" w:cs="Traditional Arabic"/>
          <w:noProof w:val="0"/>
          <w:kern w:val="14"/>
          <w:sz w:val="18"/>
          <w:szCs w:val="26"/>
          <w:rtl/>
        </w:rPr>
        <w:t>)</w:t>
      </w:r>
      <w:r w:rsidRPr="007A6821">
        <w:rPr>
          <w:rFonts w:ascii="Traditional Arabic" w:hAnsi="Traditional Arabic" w:cs="Traditional Arabic"/>
          <w:noProof w:val="0"/>
          <w:kern w:val="14"/>
          <w:sz w:val="18"/>
          <w:szCs w:val="26"/>
        </w:rPr>
        <w:t xml:space="preserve">  </w:t>
      </w:r>
      <w:r w:rsidRPr="007A6821">
        <w:rPr>
          <w:rFonts w:ascii="Traditional Arabic" w:hAnsi="Traditional Arabic" w:cs="Traditional Arabic"/>
          <w:noProof w:val="0"/>
          <w:kern w:val="14"/>
          <w:sz w:val="18"/>
          <w:szCs w:val="26"/>
          <w:rtl/>
        </w:rPr>
        <w:t xml:space="preserve">على سبيل المثال، </w:t>
      </w:r>
      <w:r w:rsidRPr="00E371AF">
        <w:rPr>
          <w:rFonts w:ascii="Times New Roman" w:hAnsi="Times New Roman" w:cs="Times New Roman"/>
          <w:sz w:val="18"/>
          <w:szCs w:val="26"/>
          <w:lang w:val="en-GB"/>
        </w:rPr>
        <w:t>K. Sundseth, J.M. Pacyna, E.G. Pacyna M. Belhaj and S. Astrom. (2010). Economic benefits from decreased mercury emissions: Projections for 2020. Journal of Cleaner Production. 18: 386–394</w:t>
      </w:r>
      <w:r w:rsidRPr="00E371AF">
        <w:rPr>
          <w:rFonts w:ascii="Times New Roman" w:hAnsi="Times New Roman" w:cs="Times New Roman"/>
          <w:noProof w:val="0"/>
          <w:kern w:val="14"/>
          <w:sz w:val="18"/>
          <w:szCs w:val="26"/>
          <w:rtl/>
        </w:rPr>
        <w:t>.</w:t>
      </w:r>
    </w:p>
  </w:footnote>
  <w:footnote w:id="8">
    <w:p w:rsidR="00670B40" w:rsidRPr="007A6821" w:rsidRDefault="00670B40" w:rsidP="000A4605">
      <w:pPr>
        <w:pStyle w:val="FootnoteText"/>
        <w:spacing w:after="40" w:line="300" w:lineRule="exact"/>
        <w:ind w:left="565"/>
        <w:jc w:val="both"/>
        <w:rPr>
          <w:rFonts w:ascii="Traditional Arabic" w:hAnsi="Traditional Arabic" w:cs="Traditional Arabic"/>
          <w:sz w:val="18"/>
          <w:szCs w:val="26"/>
        </w:rPr>
      </w:pPr>
      <w:r w:rsidRPr="007A6821">
        <w:rPr>
          <w:rFonts w:ascii="Traditional Arabic" w:hAnsi="Traditional Arabic" w:cs="Traditional Arabic"/>
          <w:noProof w:val="0"/>
          <w:kern w:val="14"/>
          <w:sz w:val="18"/>
          <w:szCs w:val="26"/>
          <w:rtl/>
        </w:rPr>
        <w:t>(</w:t>
      </w:r>
      <w:r w:rsidRPr="007A6821">
        <w:rPr>
          <w:rStyle w:val="FootnoteReference"/>
          <w:rFonts w:ascii="Traditional Arabic" w:hAnsi="Traditional Arabic" w:cs="Traditional Arabic"/>
          <w:noProof w:val="0"/>
          <w:kern w:val="14"/>
          <w:sz w:val="18"/>
          <w:szCs w:val="26"/>
          <w:vertAlign w:val="baseline"/>
          <w:rtl/>
        </w:rPr>
        <w:footnoteRef/>
      </w:r>
      <w:r w:rsidRPr="007A6821">
        <w:rPr>
          <w:rFonts w:ascii="Traditional Arabic" w:hAnsi="Traditional Arabic" w:cs="Traditional Arabic"/>
          <w:noProof w:val="0"/>
          <w:kern w:val="14"/>
          <w:sz w:val="18"/>
          <w:szCs w:val="26"/>
          <w:rtl/>
        </w:rPr>
        <w:t>)</w:t>
      </w:r>
      <w:r w:rsidRPr="007A6821">
        <w:rPr>
          <w:rFonts w:ascii="Traditional Arabic" w:hAnsi="Traditional Arabic" w:cs="Traditional Arabic"/>
          <w:noProof w:val="0"/>
          <w:kern w:val="14"/>
          <w:sz w:val="18"/>
          <w:szCs w:val="26"/>
        </w:rPr>
        <w:t xml:space="preserve">  </w:t>
      </w:r>
      <w:r w:rsidRPr="007A6821">
        <w:rPr>
          <w:rFonts w:ascii="Traditional Arabic" w:hAnsi="Traditional Arabic" w:cs="Traditional Arabic"/>
          <w:noProof w:val="0"/>
          <w:kern w:val="14"/>
          <w:sz w:val="18"/>
          <w:szCs w:val="26"/>
          <w:rtl/>
        </w:rPr>
        <w:t>لهذه الأغراض، تشير ”المعادن غير الحديدية“ إلى الرصاص والزنك والنحاس الأحمر والذهب الصناعي.</w:t>
      </w:r>
    </w:p>
  </w:footnote>
  <w:footnote w:id="9">
    <w:p w:rsidR="00670B40" w:rsidRPr="00E371AF" w:rsidRDefault="00670B40" w:rsidP="000A4605">
      <w:pPr>
        <w:pStyle w:val="FootnoteText"/>
        <w:spacing w:after="40" w:line="300" w:lineRule="exact"/>
        <w:ind w:left="565"/>
        <w:jc w:val="both"/>
        <w:rPr>
          <w:rFonts w:ascii="Times New Roman" w:hAnsi="Times New Roman" w:cs="Times New Roman"/>
          <w:sz w:val="18"/>
          <w:szCs w:val="26"/>
        </w:rPr>
      </w:pPr>
      <w:r w:rsidRPr="00A906F3">
        <w:rPr>
          <w:rFonts w:ascii="Traditional Arabic" w:hAnsi="Traditional Arabic" w:cs="Traditional Arabic"/>
          <w:noProof w:val="0"/>
          <w:kern w:val="14"/>
          <w:sz w:val="18"/>
          <w:szCs w:val="26"/>
          <w:rtl/>
        </w:rPr>
        <w:t>(</w:t>
      </w:r>
      <w:r w:rsidRPr="00A906F3">
        <w:rPr>
          <w:rStyle w:val="FootnoteReference"/>
          <w:rFonts w:ascii="Traditional Arabic" w:hAnsi="Traditional Arabic" w:cs="Traditional Arabic"/>
          <w:noProof w:val="0"/>
          <w:kern w:val="14"/>
          <w:sz w:val="18"/>
          <w:szCs w:val="26"/>
          <w:vertAlign w:val="baseline"/>
          <w:rtl/>
        </w:rPr>
        <w:footnoteRef/>
      </w:r>
      <w:r w:rsidRPr="00A906F3">
        <w:rPr>
          <w:rFonts w:ascii="Traditional Arabic" w:hAnsi="Traditional Arabic" w:cs="Traditional Arabic"/>
          <w:noProof w:val="0"/>
          <w:kern w:val="14"/>
          <w:sz w:val="18"/>
          <w:szCs w:val="26"/>
          <w:rtl/>
        </w:rPr>
        <w:t>)</w:t>
      </w:r>
      <w:r w:rsidRPr="00A906F3">
        <w:rPr>
          <w:rFonts w:ascii="Traditional Arabic" w:hAnsi="Traditional Arabic" w:cs="Traditional Arabic"/>
          <w:noProof w:val="0"/>
          <w:kern w:val="14"/>
          <w:sz w:val="18"/>
          <w:szCs w:val="26"/>
        </w:rPr>
        <w:t xml:space="preserve">  </w:t>
      </w:r>
      <w:r w:rsidRPr="00A906F3">
        <w:rPr>
          <w:rFonts w:ascii="Traditional Arabic" w:hAnsi="Traditional Arabic" w:cs="Traditional Arabic"/>
          <w:noProof w:val="0"/>
          <w:kern w:val="14"/>
          <w:sz w:val="18"/>
          <w:szCs w:val="26"/>
          <w:rtl/>
        </w:rPr>
        <w:t>يمكن الاطلاع على توجيهات تفصيلية بشأن استخدام أفضل التقنيات المتاحة/أفضل الممارسات البيئية للوفاء بمتطلبات تلك الاتفاقية في الموقع:</w:t>
      </w:r>
      <w:r w:rsidRPr="00E371AF">
        <w:rPr>
          <w:rFonts w:ascii="Times New Roman" w:hAnsi="Times New Roman" w:cs="Times New Roman"/>
          <w:noProof w:val="0"/>
          <w:kern w:val="14"/>
          <w:sz w:val="18"/>
          <w:szCs w:val="26"/>
          <w:rtl/>
        </w:rPr>
        <w:t xml:space="preserve"> </w:t>
      </w:r>
      <w:r w:rsidRPr="00E371AF">
        <w:rPr>
          <w:rFonts w:ascii="Times New Roman" w:hAnsi="Times New Roman" w:cs="Times New Roman"/>
          <w:sz w:val="18"/>
          <w:szCs w:val="26"/>
          <w:lang w:val="en-GB"/>
        </w:rPr>
        <w:t>http://chm.pops.int/Implementation/BATandBEP/Overview/tabid/371/Default.aspx</w:t>
      </w:r>
      <w:r w:rsidRPr="00E371AF">
        <w:rPr>
          <w:rFonts w:ascii="Times New Roman" w:hAnsi="Times New Roman" w:cs="Times New Roman"/>
          <w:noProof w:val="0"/>
          <w:kern w:val="14"/>
          <w:sz w:val="18"/>
          <w:szCs w:val="26"/>
          <w:rtl/>
          <w:lang w:val="en-GB" w:bidi="ar-EG"/>
        </w:rPr>
        <w:t>.</w:t>
      </w:r>
    </w:p>
  </w:footnote>
  <w:footnote w:id="10">
    <w:p w:rsidR="00670B40" w:rsidRPr="00A906F3" w:rsidRDefault="00670B40" w:rsidP="00AE2304">
      <w:pPr>
        <w:pStyle w:val="FootnoteText"/>
        <w:spacing w:line="300" w:lineRule="exact"/>
        <w:ind w:left="567"/>
        <w:jc w:val="both"/>
        <w:rPr>
          <w:rFonts w:ascii="Traditional Arabic" w:hAnsi="Traditional Arabic" w:cs="Traditional Arabic"/>
          <w:noProof w:val="0"/>
          <w:kern w:val="14"/>
          <w:sz w:val="18"/>
          <w:szCs w:val="26"/>
          <w:rtl/>
        </w:rPr>
      </w:pPr>
      <w:r w:rsidRPr="00A906F3">
        <w:rPr>
          <w:rFonts w:ascii="Traditional Arabic" w:hAnsi="Traditional Arabic" w:cs="Traditional Arabic"/>
          <w:noProof w:val="0"/>
          <w:kern w:val="14"/>
          <w:sz w:val="18"/>
          <w:szCs w:val="26"/>
          <w:rtl/>
        </w:rPr>
        <w:t>(</w:t>
      </w:r>
      <w:r w:rsidRPr="00A906F3">
        <w:rPr>
          <w:rStyle w:val="FootnoteReference"/>
          <w:rFonts w:ascii="Traditional Arabic" w:hAnsi="Traditional Arabic" w:cs="Traditional Arabic"/>
          <w:noProof w:val="0"/>
          <w:kern w:val="14"/>
          <w:sz w:val="18"/>
          <w:szCs w:val="26"/>
          <w:vertAlign w:val="baseline"/>
          <w:rtl/>
        </w:rPr>
        <w:footnoteRef/>
      </w:r>
      <w:r w:rsidRPr="00A906F3">
        <w:rPr>
          <w:rFonts w:ascii="Traditional Arabic" w:hAnsi="Traditional Arabic" w:cs="Traditional Arabic"/>
          <w:noProof w:val="0"/>
          <w:kern w:val="14"/>
          <w:sz w:val="18"/>
          <w:szCs w:val="26"/>
          <w:rtl/>
        </w:rPr>
        <w:t>)</w:t>
      </w:r>
      <w:r w:rsidRPr="00A906F3">
        <w:rPr>
          <w:rFonts w:ascii="Traditional Arabic" w:hAnsi="Traditional Arabic" w:cs="Traditional Arabic"/>
          <w:noProof w:val="0"/>
          <w:kern w:val="14"/>
          <w:sz w:val="18"/>
          <w:szCs w:val="26"/>
        </w:rPr>
        <w:t xml:space="preserve">  </w:t>
      </w:r>
      <w:r w:rsidRPr="00A906F3">
        <w:rPr>
          <w:rFonts w:ascii="Traditional Arabic" w:hAnsi="Traditional Arabic" w:cs="Traditional Arabic"/>
          <w:noProof w:val="0"/>
          <w:kern w:val="14"/>
          <w:sz w:val="18"/>
          <w:szCs w:val="26"/>
          <w:rtl/>
        </w:rPr>
        <w:t>توجد المبادئ التوجيهية التقنية في الموقع:</w:t>
      </w:r>
    </w:p>
    <w:p w:rsidR="00670B40" w:rsidRPr="00E371AF" w:rsidRDefault="00670B40" w:rsidP="002609DC">
      <w:pPr>
        <w:pStyle w:val="FootnoteText"/>
        <w:spacing w:after="40" w:line="300" w:lineRule="exact"/>
        <w:ind w:left="565"/>
        <w:jc w:val="both"/>
        <w:rPr>
          <w:rFonts w:ascii="Times New Roman" w:hAnsi="Times New Roman" w:cs="Times New Roman"/>
          <w:sz w:val="18"/>
          <w:szCs w:val="26"/>
        </w:rPr>
      </w:pPr>
      <w:r w:rsidRPr="00E371AF">
        <w:rPr>
          <w:rFonts w:ascii="Times New Roman" w:hAnsi="Times New Roman" w:cs="Times New Roman"/>
          <w:noProof w:val="0"/>
          <w:kern w:val="14"/>
          <w:sz w:val="18"/>
          <w:szCs w:val="26"/>
          <w:rtl/>
        </w:rPr>
        <w:t xml:space="preserve"> </w:t>
      </w:r>
      <w:r w:rsidRPr="00AE2304">
        <w:rPr>
          <w:rFonts w:ascii="Times New Roman" w:hAnsi="Times New Roman" w:cs="Times New Roman"/>
          <w:sz w:val="16"/>
          <w:szCs w:val="16"/>
          <w:lang w:val="en-GB"/>
        </w:rPr>
        <w:t>http://www.basel.int/Implementation/Publications/TechnicalGuidelines/tabid/2362/Default.aspx</w:t>
      </w:r>
      <w:r w:rsidRPr="00E371AF">
        <w:rPr>
          <w:rFonts w:ascii="Times New Roman" w:hAnsi="Times New Roman" w:cs="Times New Roman"/>
          <w:noProof w:val="0"/>
          <w:kern w:val="14"/>
          <w:sz w:val="18"/>
          <w:szCs w:val="26"/>
          <w:rtl/>
          <w:lang w:val="en-GB" w:bidi="ar-EG"/>
        </w:rPr>
        <w:t>.</w:t>
      </w:r>
    </w:p>
  </w:footnote>
  <w:footnote w:id="11">
    <w:p w:rsidR="00670B40" w:rsidRPr="00A906F3" w:rsidRDefault="00670B40" w:rsidP="000A4605">
      <w:pPr>
        <w:pStyle w:val="FootnoteText"/>
        <w:spacing w:after="40" w:line="300" w:lineRule="exact"/>
        <w:ind w:left="565"/>
        <w:jc w:val="both"/>
        <w:rPr>
          <w:rFonts w:ascii="Traditional Arabic" w:hAnsi="Traditional Arabic" w:cs="Traditional Arabic"/>
          <w:sz w:val="18"/>
          <w:szCs w:val="26"/>
        </w:rPr>
      </w:pPr>
      <w:r w:rsidRPr="00A906F3">
        <w:rPr>
          <w:rFonts w:ascii="Traditional Arabic" w:hAnsi="Traditional Arabic" w:cs="Traditional Arabic"/>
          <w:noProof w:val="0"/>
          <w:kern w:val="14"/>
          <w:sz w:val="18"/>
          <w:szCs w:val="26"/>
          <w:rtl/>
        </w:rPr>
        <w:t>(</w:t>
      </w:r>
      <w:r w:rsidRPr="00A906F3">
        <w:rPr>
          <w:rStyle w:val="FootnoteReference"/>
          <w:rFonts w:ascii="Traditional Arabic" w:hAnsi="Traditional Arabic" w:cs="Traditional Arabic"/>
          <w:noProof w:val="0"/>
          <w:kern w:val="14"/>
          <w:sz w:val="18"/>
          <w:szCs w:val="26"/>
          <w:vertAlign w:val="baseline"/>
          <w:rtl/>
        </w:rPr>
        <w:footnoteRef/>
      </w:r>
      <w:r w:rsidRPr="00A906F3">
        <w:rPr>
          <w:rFonts w:ascii="Traditional Arabic" w:hAnsi="Traditional Arabic" w:cs="Traditional Arabic"/>
          <w:noProof w:val="0"/>
          <w:kern w:val="14"/>
          <w:sz w:val="18"/>
          <w:szCs w:val="26"/>
          <w:rtl/>
        </w:rPr>
        <w:t>)</w:t>
      </w:r>
      <w:r w:rsidRPr="00A906F3">
        <w:rPr>
          <w:rFonts w:ascii="Traditional Arabic" w:hAnsi="Traditional Arabic" w:cs="Traditional Arabic"/>
          <w:noProof w:val="0"/>
          <w:kern w:val="14"/>
          <w:sz w:val="18"/>
          <w:szCs w:val="26"/>
        </w:rPr>
        <w:t xml:space="preserve">  </w:t>
      </w:r>
      <w:r w:rsidRPr="00A906F3">
        <w:rPr>
          <w:rFonts w:ascii="Traditional Arabic" w:hAnsi="Traditional Arabic" w:cs="Traditional Arabic"/>
          <w:noProof w:val="0"/>
          <w:kern w:val="14"/>
          <w:sz w:val="18"/>
          <w:szCs w:val="26"/>
          <w:rtl/>
        </w:rPr>
        <w:t>قرار مجلس إدارة برنامج الأمم المتحدة للبيئة 23/9.</w:t>
      </w:r>
    </w:p>
  </w:footnote>
  <w:footnote w:id="12">
    <w:p w:rsidR="00670B40" w:rsidRPr="00A906F3" w:rsidRDefault="00670B40" w:rsidP="000A4605">
      <w:pPr>
        <w:pStyle w:val="FootnoteText"/>
        <w:spacing w:after="40" w:line="300" w:lineRule="exact"/>
        <w:ind w:left="565"/>
        <w:jc w:val="both"/>
        <w:rPr>
          <w:rFonts w:ascii="Traditional Arabic" w:hAnsi="Traditional Arabic" w:cs="Traditional Arabic"/>
          <w:sz w:val="18"/>
          <w:szCs w:val="26"/>
        </w:rPr>
      </w:pPr>
      <w:r w:rsidRPr="00A906F3">
        <w:rPr>
          <w:rFonts w:ascii="Traditional Arabic" w:hAnsi="Traditional Arabic" w:cs="Traditional Arabic"/>
          <w:noProof w:val="0"/>
          <w:kern w:val="14"/>
          <w:sz w:val="18"/>
          <w:szCs w:val="26"/>
          <w:rtl/>
        </w:rPr>
        <w:t>(</w:t>
      </w:r>
      <w:r w:rsidRPr="00A906F3">
        <w:rPr>
          <w:rStyle w:val="FootnoteReference"/>
          <w:rFonts w:ascii="Traditional Arabic" w:hAnsi="Traditional Arabic" w:cs="Traditional Arabic"/>
          <w:noProof w:val="0"/>
          <w:kern w:val="14"/>
          <w:sz w:val="18"/>
          <w:szCs w:val="26"/>
          <w:vertAlign w:val="baseline"/>
          <w:rtl/>
        </w:rPr>
        <w:footnoteRef/>
      </w:r>
      <w:r w:rsidRPr="00A906F3">
        <w:rPr>
          <w:rFonts w:ascii="Traditional Arabic" w:hAnsi="Traditional Arabic" w:cs="Traditional Arabic"/>
          <w:noProof w:val="0"/>
          <w:kern w:val="14"/>
          <w:sz w:val="18"/>
          <w:szCs w:val="26"/>
          <w:rtl/>
        </w:rPr>
        <w:t>)</w:t>
      </w:r>
      <w:r w:rsidRPr="00A906F3">
        <w:rPr>
          <w:rFonts w:ascii="Traditional Arabic" w:hAnsi="Traditional Arabic" w:cs="Traditional Arabic"/>
          <w:noProof w:val="0"/>
          <w:kern w:val="14"/>
          <w:sz w:val="18"/>
          <w:szCs w:val="26"/>
        </w:rPr>
        <w:t xml:space="preserve">  </w:t>
      </w:r>
      <w:r w:rsidRPr="00A906F3">
        <w:rPr>
          <w:rFonts w:ascii="Traditional Arabic" w:hAnsi="Traditional Arabic" w:cs="Traditional Arabic"/>
          <w:noProof w:val="0"/>
          <w:kern w:val="14"/>
          <w:sz w:val="18"/>
          <w:szCs w:val="26"/>
          <w:rtl/>
        </w:rPr>
        <w:t>يلاحظ وجود خلاف بشأن مستويات الأكسجين المستعملة للتمثيل عن كمية التخفيف الحاصل، وينبغي القيام بمزيد من البحث.</w:t>
      </w:r>
    </w:p>
  </w:footnote>
  <w:footnote w:id="13">
    <w:p w:rsidR="00670B40" w:rsidRPr="00E97AB7" w:rsidRDefault="00670B40" w:rsidP="00003660">
      <w:pPr>
        <w:pStyle w:val="FootnoteText"/>
        <w:spacing w:after="40" w:line="300" w:lineRule="exact"/>
        <w:ind w:left="565"/>
        <w:jc w:val="both"/>
        <w:rPr>
          <w:rFonts w:ascii="Traditional Arabic" w:hAnsi="Traditional Arabic" w:cs="Traditional Arabic"/>
          <w:noProof w:val="0"/>
          <w:sz w:val="18"/>
          <w:szCs w:val="26"/>
        </w:rPr>
      </w:pPr>
      <w:r w:rsidRPr="00E97AB7">
        <w:rPr>
          <w:rFonts w:ascii="Traditional Arabic" w:hAnsi="Traditional Arabic" w:cs="Traditional Arabic"/>
          <w:noProof w:val="0"/>
          <w:kern w:val="14"/>
          <w:sz w:val="18"/>
          <w:szCs w:val="26"/>
          <w:rtl/>
        </w:rPr>
        <w:t>(</w:t>
      </w:r>
      <w:r w:rsidRPr="00E97AB7">
        <w:rPr>
          <w:rStyle w:val="FootnoteReference"/>
          <w:rFonts w:ascii="Traditional Arabic" w:hAnsi="Traditional Arabic" w:cs="Traditional Arabic"/>
          <w:noProof w:val="0"/>
          <w:kern w:val="14"/>
          <w:sz w:val="18"/>
          <w:szCs w:val="26"/>
          <w:vertAlign w:val="baseline"/>
          <w:rtl/>
        </w:rPr>
        <w:footnoteRef/>
      </w:r>
      <w:r w:rsidRPr="00E97AB7">
        <w:rPr>
          <w:rFonts w:ascii="Traditional Arabic" w:hAnsi="Traditional Arabic" w:cs="Traditional Arabic"/>
          <w:noProof w:val="0"/>
          <w:kern w:val="14"/>
          <w:sz w:val="18"/>
          <w:szCs w:val="26"/>
          <w:rtl/>
        </w:rPr>
        <w:t>)</w:t>
      </w:r>
      <w:r w:rsidRPr="00E97AB7">
        <w:rPr>
          <w:rFonts w:ascii="Traditional Arabic" w:hAnsi="Traditional Arabic" w:cs="Traditional Arabic"/>
          <w:noProof w:val="0"/>
          <w:kern w:val="14"/>
          <w:sz w:val="18"/>
          <w:szCs w:val="26"/>
        </w:rPr>
        <w:t xml:space="preserve">  </w:t>
      </w:r>
      <w:r w:rsidRPr="00E97AB7">
        <w:rPr>
          <w:rFonts w:ascii="Traditional Arabic" w:hAnsi="Traditional Arabic" w:cs="Traditional Arabic"/>
          <w:noProof w:val="0"/>
          <w:sz w:val="18"/>
          <w:szCs w:val="26"/>
          <w:rtl/>
        </w:rPr>
        <w:t xml:space="preserve">اللجنة الأوروبية للتوحيد القياسي </w:t>
      </w:r>
      <w:r w:rsidRPr="00E371AF">
        <w:rPr>
          <w:rFonts w:ascii="Times New Roman" w:hAnsi="Times New Roman" w:cs="Times New Roman"/>
          <w:noProof w:val="0"/>
          <w:sz w:val="18"/>
          <w:szCs w:val="26"/>
          <w:rtl/>
        </w:rPr>
        <w:t>”</w:t>
      </w:r>
      <w:r w:rsidRPr="00E371AF">
        <w:rPr>
          <w:rFonts w:ascii="Times New Roman" w:hAnsi="Times New Roman" w:cs="Times New Roman"/>
          <w:noProof w:val="0"/>
          <w:sz w:val="18"/>
          <w:szCs w:val="26"/>
        </w:rPr>
        <w:t>EN 15259: 2007</w:t>
      </w:r>
      <w:r w:rsidRPr="00E97AB7">
        <w:rPr>
          <w:rFonts w:ascii="Traditional Arabic" w:hAnsi="Traditional Arabic" w:cs="Traditional Arabic"/>
          <w:noProof w:val="0"/>
          <w:sz w:val="18"/>
          <w:szCs w:val="26"/>
          <w:rtl/>
        </w:rPr>
        <w:t>: نوعية الهواء، قياس انبعاثات المصادر الثابتة - اشتراطات أقسام ومواقع القياس وهدف وخطة وتقرير القياس“، 18 آب/أغسطس 2007:</w:t>
      </w:r>
    </w:p>
    <w:p w:rsidR="00670B40" w:rsidRPr="00E371AF" w:rsidRDefault="00F37B77" w:rsidP="000A4605">
      <w:pPr>
        <w:pStyle w:val="FootnoteText"/>
        <w:spacing w:after="40" w:line="300" w:lineRule="exact"/>
        <w:ind w:left="565"/>
        <w:jc w:val="both"/>
        <w:rPr>
          <w:rFonts w:ascii="Times New Roman" w:hAnsi="Times New Roman" w:cs="Times New Roman"/>
          <w:sz w:val="18"/>
          <w:szCs w:val="26"/>
        </w:rPr>
      </w:pPr>
      <w:hyperlink r:id="rId1" w:history="1">
        <w:r w:rsidR="00670B40" w:rsidRPr="003033D5">
          <w:rPr>
            <w:rStyle w:val="Hyperlink"/>
            <w:rFonts w:ascii="Times New Roman" w:hAnsi="Times New Roman" w:cs="Times New Roman"/>
            <w:color w:val="auto"/>
            <w:sz w:val="18"/>
            <w:szCs w:val="26"/>
            <w:u w:val="none"/>
          </w:rPr>
          <w:t>http://standards.cen.eu/dyn/www/f?p=204:110:0::::FSP_PROJECT:22623&amp;cs=106F3444821A456A90F21590F3BFF8582</w:t>
        </w:r>
      </w:hyperlink>
    </w:p>
  </w:footnote>
  <w:footnote w:id="14">
    <w:p w:rsidR="00670B40" w:rsidRPr="00E97AB7" w:rsidRDefault="00670B40" w:rsidP="000A4605">
      <w:pPr>
        <w:pStyle w:val="FootnoteText"/>
        <w:spacing w:after="40" w:line="300" w:lineRule="exact"/>
        <w:ind w:left="565"/>
        <w:jc w:val="both"/>
        <w:rPr>
          <w:rFonts w:ascii="Traditional Arabic" w:hAnsi="Traditional Arabic" w:cs="Traditional Arabic"/>
          <w:sz w:val="18"/>
          <w:szCs w:val="26"/>
        </w:rPr>
      </w:pPr>
      <w:r w:rsidRPr="00E97AB7">
        <w:rPr>
          <w:rFonts w:ascii="Traditional Arabic" w:hAnsi="Traditional Arabic" w:cs="Traditional Arabic"/>
          <w:noProof w:val="0"/>
          <w:kern w:val="14"/>
          <w:sz w:val="26"/>
          <w:szCs w:val="26"/>
          <w:rtl/>
        </w:rPr>
        <w:t>(</w:t>
      </w:r>
      <w:r w:rsidRPr="00E97AB7">
        <w:rPr>
          <w:rStyle w:val="FootnoteReference"/>
          <w:rFonts w:ascii="Traditional Arabic" w:hAnsi="Traditional Arabic" w:cs="Traditional Arabic"/>
          <w:noProof w:val="0"/>
          <w:kern w:val="14"/>
          <w:sz w:val="26"/>
          <w:szCs w:val="26"/>
          <w:vertAlign w:val="baseline"/>
          <w:rtl/>
        </w:rPr>
        <w:footnoteRef/>
      </w:r>
      <w:r w:rsidRPr="00E97AB7">
        <w:rPr>
          <w:rFonts w:ascii="Traditional Arabic" w:hAnsi="Traditional Arabic" w:cs="Traditional Arabic"/>
          <w:noProof w:val="0"/>
          <w:kern w:val="14"/>
          <w:sz w:val="26"/>
          <w:szCs w:val="26"/>
          <w:rtl/>
        </w:rPr>
        <w:t>)</w:t>
      </w:r>
      <w:r w:rsidRPr="00E371AF">
        <w:rPr>
          <w:rFonts w:ascii="Times New Roman" w:hAnsi="Times New Roman" w:cs="Times New Roman"/>
          <w:sz w:val="18"/>
          <w:szCs w:val="26"/>
          <w:lang w:val="de-CH"/>
        </w:rPr>
        <w:t xml:space="preserve">EU IPPCB, NFM BREF Draft  </w:t>
      </w:r>
      <w:r w:rsidRPr="00E97AB7">
        <w:rPr>
          <w:rFonts w:ascii="Traditional Arabic" w:hAnsi="Traditional Arabic" w:cs="Traditional Arabic"/>
          <w:noProof w:val="0"/>
          <w:sz w:val="18"/>
          <w:szCs w:val="26"/>
          <w:rtl/>
        </w:rPr>
        <w:t>، شباط/فبراير 2013، ص 67.</w:t>
      </w:r>
    </w:p>
  </w:footnote>
  <w:footnote w:id="15">
    <w:p w:rsidR="00670B40" w:rsidRPr="00E371AF" w:rsidRDefault="00670B40" w:rsidP="000A4605">
      <w:pPr>
        <w:pStyle w:val="FootnoteText"/>
        <w:spacing w:after="40" w:line="300" w:lineRule="exact"/>
        <w:ind w:left="565"/>
        <w:jc w:val="both"/>
        <w:rPr>
          <w:rFonts w:ascii="Times New Roman" w:hAnsi="Times New Roman" w:cs="Times New Roman"/>
          <w:noProof w:val="0"/>
          <w:kern w:val="14"/>
          <w:sz w:val="18"/>
          <w:szCs w:val="26"/>
          <w:rtl/>
          <w:lang w:val="en-GB" w:bidi="ar-EG"/>
        </w:rPr>
      </w:pPr>
      <w:r w:rsidRPr="00E97AB7">
        <w:rPr>
          <w:rFonts w:ascii="Traditional Arabic" w:hAnsi="Traditional Arabic" w:cs="Traditional Arabic"/>
          <w:noProof w:val="0"/>
          <w:kern w:val="14"/>
          <w:sz w:val="18"/>
          <w:szCs w:val="26"/>
          <w:rtl/>
        </w:rPr>
        <w:t>(</w:t>
      </w:r>
      <w:r w:rsidRPr="00E97AB7">
        <w:rPr>
          <w:rStyle w:val="FootnoteReference"/>
          <w:rFonts w:ascii="Traditional Arabic" w:hAnsi="Traditional Arabic" w:cs="Traditional Arabic"/>
          <w:noProof w:val="0"/>
          <w:kern w:val="14"/>
          <w:sz w:val="18"/>
          <w:szCs w:val="26"/>
          <w:vertAlign w:val="baseline"/>
          <w:rtl/>
        </w:rPr>
        <w:footnoteRef/>
      </w:r>
      <w:r w:rsidRPr="00E97AB7">
        <w:rPr>
          <w:rFonts w:ascii="Traditional Arabic" w:hAnsi="Traditional Arabic" w:cs="Traditional Arabic"/>
          <w:noProof w:val="0"/>
          <w:kern w:val="14"/>
          <w:sz w:val="18"/>
          <w:szCs w:val="26"/>
          <w:rtl/>
        </w:rPr>
        <w:t>)</w:t>
      </w:r>
      <w:r w:rsidRPr="00E97AB7">
        <w:rPr>
          <w:rFonts w:ascii="Traditional Arabic" w:hAnsi="Traditional Arabic" w:cs="Traditional Arabic"/>
          <w:noProof w:val="0"/>
          <w:kern w:val="14"/>
          <w:sz w:val="18"/>
          <w:szCs w:val="26"/>
        </w:rPr>
        <w:t xml:space="preserve">  </w:t>
      </w:r>
      <w:r w:rsidRPr="00E97AB7">
        <w:rPr>
          <w:rFonts w:ascii="Traditional Arabic" w:hAnsi="Traditional Arabic" w:cs="Traditional Arabic"/>
          <w:noProof w:val="0"/>
          <w:kern w:val="14"/>
          <w:sz w:val="18"/>
          <w:szCs w:val="26"/>
          <w:rtl/>
        </w:rPr>
        <w:t>اللجنة الأوروبية للتوحيد القياسي،</w:t>
      </w:r>
      <w:r w:rsidRPr="00E371AF">
        <w:rPr>
          <w:rFonts w:ascii="Times New Roman" w:hAnsi="Times New Roman" w:cs="Times New Roman"/>
          <w:noProof w:val="0"/>
          <w:kern w:val="14"/>
          <w:sz w:val="18"/>
          <w:szCs w:val="26"/>
          <w:rtl/>
        </w:rPr>
        <w:t xml:space="preserve"> </w:t>
      </w:r>
      <w:r w:rsidRPr="00E371AF">
        <w:rPr>
          <w:rFonts w:ascii="Times New Roman" w:hAnsi="Times New Roman" w:cs="Times New Roman"/>
          <w:sz w:val="18"/>
          <w:szCs w:val="26"/>
          <w:lang w:val="en-GB"/>
        </w:rPr>
        <w:t>EN 13211:2001/AC:2005</w:t>
      </w:r>
      <w:r w:rsidRPr="00E97AB7">
        <w:rPr>
          <w:rFonts w:ascii="Traditional Arabic" w:hAnsi="Traditional Arabic" w:cs="Traditional Arabic"/>
          <w:noProof w:val="0"/>
          <w:kern w:val="14"/>
          <w:sz w:val="18"/>
          <w:szCs w:val="26"/>
          <w:rtl/>
          <w:lang w:val="en-GB" w:bidi="ar-EG"/>
        </w:rPr>
        <w:t xml:space="preserve">: </w:t>
      </w:r>
      <w:r w:rsidRPr="00E97AB7">
        <w:rPr>
          <w:rFonts w:ascii="Traditional Arabic" w:hAnsi="Traditional Arabic" w:cs="Traditional Arabic"/>
          <w:noProof w:val="0"/>
          <w:sz w:val="18"/>
          <w:szCs w:val="26"/>
          <w:rtl/>
        </w:rPr>
        <w:t>نوعية الهواء -انبعاثات المصادر الثابتة - الأسلوب اليدوي لإجمالي تركز مجموع الزئبق</w:t>
      </w:r>
      <w:r w:rsidRPr="00E97AB7">
        <w:rPr>
          <w:rFonts w:ascii="Traditional Arabic" w:hAnsi="Traditional Arabic" w:cs="Traditional Arabic"/>
          <w:noProof w:val="0"/>
          <w:kern w:val="14"/>
          <w:sz w:val="18"/>
          <w:szCs w:val="26"/>
          <w:rtl/>
          <w:lang w:val="en-GB" w:bidi="ar-EG"/>
        </w:rPr>
        <w:t>، 15 شباط/فبراير 2005.</w:t>
      </w:r>
    </w:p>
    <w:p w:rsidR="00670B40" w:rsidRPr="00F02867" w:rsidRDefault="00F37B77" w:rsidP="000A4605">
      <w:pPr>
        <w:pStyle w:val="FootnoteText"/>
        <w:spacing w:after="40" w:line="300" w:lineRule="exact"/>
        <w:ind w:left="565"/>
        <w:jc w:val="both"/>
        <w:rPr>
          <w:rFonts w:ascii="Times New Roman" w:hAnsi="Times New Roman" w:cs="Times New Roman"/>
          <w:sz w:val="18"/>
          <w:szCs w:val="26"/>
        </w:rPr>
      </w:pPr>
      <w:hyperlink r:id="rId2" w:history="1">
        <w:r w:rsidR="00670B40" w:rsidRPr="00F02867">
          <w:rPr>
            <w:rStyle w:val="Hyperlink"/>
            <w:rFonts w:ascii="Times New Roman" w:hAnsi="Times New Roman" w:cs="Times New Roman"/>
            <w:color w:val="auto"/>
            <w:sz w:val="18"/>
            <w:szCs w:val="26"/>
            <w:u w:val="none"/>
          </w:rPr>
          <w:t>http://standards.cen.eu/dyn/www/f?p=204:110:0::::FSP_PROJECT,FSP_ORG_ID:25042,6245&amp;cs=19B884B499893080A731C45504F6F2FB2</w:t>
        </w:r>
      </w:hyperlink>
      <w:r w:rsidR="00670B40" w:rsidRPr="00F02867">
        <w:rPr>
          <w:rFonts w:ascii="Times New Roman" w:hAnsi="Times New Roman" w:cs="Times New Roman"/>
          <w:noProof w:val="0"/>
          <w:kern w:val="14"/>
          <w:sz w:val="18"/>
          <w:szCs w:val="26"/>
          <w:rtl/>
          <w:lang w:val="en-GB" w:bidi="ar-EG"/>
        </w:rPr>
        <w:t>.</w:t>
      </w:r>
    </w:p>
  </w:footnote>
  <w:footnote w:id="16">
    <w:p w:rsidR="00670B40" w:rsidRPr="00E97AB7" w:rsidRDefault="00670B40" w:rsidP="000A4605">
      <w:pPr>
        <w:pStyle w:val="FootnoteText"/>
        <w:spacing w:after="40" w:line="300" w:lineRule="exact"/>
        <w:ind w:left="565"/>
        <w:jc w:val="both"/>
        <w:rPr>
          <w:rFonts w:ascii="Traditional Arabic" w:hAnsi="Traditional Arabic" w:cs="Traditional Arabic"/>
          <w:noProof w:val="0"/>
          <w:kern w:val="14"/>
          <w:sz w:val="18"/>
          <w:szCs w:val="26"/>
          <w:rtl/>
        </w:rPr>
      </w:pPr>
      <w:r w:rsidRPr="00E97AB7">
        <w:rPr>
          <w:rFonts w:ascii="Traditional Arabic" w:hAnsi="Traditional Arabic" w:cs="Traditional Arabic"/>
          <w:noProof w:val="0"/>
          <w:kern w:val="14"/>
          <w:sz w:val="18"/>
          <w:szCs w:val="26"/>
          <w:rtl/>
        </w:rPr>
        <w:t>(</w:t>
      </w:r>
      <w:r w:rsidRPr="00E97AB7">
        <w:rPr>
          <w:rStyle w:val="FootnoteReference"/>
          <w:rFonts w:ascii="Traditional Arabic" w:hAnsi="Traditional Arabic" w:cs="Traditional Arabic"/>
          <w:noProof w:val="0"/>
          <w:kern w:val="14"/>
          <w:sz w:val="18"/>
          <w:szCs w:val="26"/>
          <w:vertAlign w:val="baseline"/>
          <w:rtl/>
        </w:rPr>
        <w:footnoteRef/>
      </w:r>
      <w:r w:rsidRPr="00E97AB7">
        <w:rPr>
          <w:rFonts w:ascii="Traditional Arabic" w:hAnsi="Traditional Arabic" w:cs="Traditional Arabic"/>
          <w:noProof w:val="0"/>
          <w:kern w:val="14"/>
          <w:sz w:val="18"/>
          <w:szCs w:val="26"/>
          <w:rtl/>
        </w:rPr>
        <w:t>)</w:t>
      </w:r>
      <w:r w:rsidRPr="00E97AB7">
        <w:rPr>
          <w:rFonts w:ascii="Traditional Arabic" w:hAnsi="Traditional Arabic" w:cs="Traditional Arabic"/>
          <w:noProof w:val="0"/>
          <w:kern w:val="14"/>
          <w:sz w:val="18"/>
          <w:szCs w:val="26"/>
        </w:rPr>
        <w:t xml:space="preserve">  </w:t>
      </w:r>
      <w:r w:rsidRPr="00E97AB7">
        <w:rPr>
          <w:rFonts w:ascii="Traditional Arabic" w:hAnsi="Traditional Arabic" w:cs="Traditional Arabic"/>
          <w:noProof w:val="0"/>
          <w:kern w:val="14"/>
          <w:sz w:val="18"/>
          <w:szCs w:val="26"/>
          <w:rtl/>
        </w:rPr>
        <w:t>وكالة حماية البيئة في الولايات المتحدة الأمريكية، ”الأسلوب 29- الانبعاثات المعدنية من المصادر الثابتة“</w:t>
      </w:r>
    </w:p>
    <w:p w:rsidR="00670B40" w:rsidRPr="00E371AF" w:rsidRDefault="00F37B77" w:rsidP="000A4605">
      <w:pPr>
        <w:pStyle w:val="FootnoteText"/>
        <w:spacing w:after="40" w:line="300" w:lineRule="exact"/>
        <w:ind w:left="565"/>
        <w:jc w:val="both"/>
        <w:rPr>
          <w:rFonts w:ascii="Times New Roman" w:hAnsi="Times New Roman" w:cs="Times New Roman"/>
          <w:sz w:val="18"/>
          <w:szCs w:val="26"/>
        </w:rPr>
      </w:pPr>
      <w:hyperlink r:id="rId3" w:history="1">
        <w:r w:rsidR="00670B40" w:rsidRPr="00E371AF">
          <w:rPr>
            <w:rStyle w:val="Hyperlink"/>
            <w:rFonts w:ascii="Times New Roman" w:hAnsi="Times New Roman" w:cs="Times New Roman"/>
            <w:color w:val="auto"/>
            <w:sz w:val="18"/>
            <w:szCs w:val="26"/>
            <w:u w:val="none"/>
            <w:lang w:val="en-GB"/>
          </w:rPr>
          <w:t>http://www.epa.gov/ttn/emc/methods/method29.html</w:t>
        </w:r>
      </w:hyperlink>
      <w:r w:rsidR="00670B40" w:rsidRPr="00E371AF">
        <w:rPr>
          <w:rStyle w:val="Hyperlink"/>
          <w:rFonts w:ascii="Times New Roman" w:hAnsi="Times New Roman" w:cs="Times New Roman"/>
          <w:noProof w:val="0"/>
          <w:color w:val="auto"/>
          <w:sz w:val="18"/>
          <w:szCs w:val="26"/>
          <w:u w:val="none"/>
          <w:rtl/>
          <w:lang w:val="en-GB" w:bidi="ar-EG"/>
        </w:rPr>
        <w:t>.</w:t>
      </w:r>
    </w:p>
  </w:footnote>
  <w:footnote w:id="17">
    <w:p w:rsidR="00670B40" w:rsidRPr="00E97AB7" w:rsidRDefault="00670B40" w:rsidP="00F02867">
      <w:pPr>
        <w:pStyle w:val="FootnoteText"/>
        <w:spacing w:after="30" w:line="300" w:lineRule="exact"/>
        <w:ind w:left="567"/>
        <w:jc w:val="both"/>
        <w:rPr>
          <w:rFonts w:ascii="Traditional Arabic" w:hAnsi="Traditional Arabic" w:cs="Traditional Arabic"/>
          <w:noProof w:val="0"/>
          <w:kern w:val="14"/>
          <w:sz w:val="18"/>
          <w:szCs w:val="26"/>
          <w:rtl/>
        </w:rPr>
      </w:pPr>
      <w:r w:rsidRPr="00E97AB7">
        <w:rPr>
          <w:rFonts w:ascii="Traditional Arabic" w:hAnsi="Traditional Arabic" w:cs="Traditional Arabic"/>
          <w:noProof w:val="0"/>
          <w:kern w:val="14"/>
          <w:sz w:val="18"/>
          <w:szCs w:val="26"/>
          <w:rtl/>
        </w:rPr>
        <w:t>(</w:t>
      </w:r>
      <w:r w:rsidRPr="00E97AB7">
        <w:rPr>
          <w:rStyle w:val="FootnoteReference"/>
          <w:rFonts w:ascii="Traditional Arabic" w:hAnsi="Traditional Arabic" w:cs="Traditional Arabic"/>
          <w:noProof w:val="0"/>
          <w:kern w:val="14"/>
          <w:sz w:val="18"/>
          <w:szCs w:val="26"/>
          <w:vertAlign w:val="baseline"/>
          <w:rtl/>
        </w:rPr>
        <w:footnoteRef/>
      </w:r>
      <w:r w:rsidRPr="00E97AB7">
        <w:rPr>
          <w:rFonts w:ascii="Traditional Arabic" w:hAnsi="Traditional Arabic" w:cs="Traditional Arabic"/>
          <w:noProof w:val="0"/>
          <w:kern w:val="14"/>
          <w:sz w:val="18"/>
          <w:szCs w:val="26"/>
          <w:rtl/>
        </w:rPr>
        <w:t>)</w:t>
      </w:r>
      <w:r w:rsidRPr="00E97AB7">
        <w:rPr>
          <w:rFonts w:ascii="Traditional Arabic" w:hAnsi="Traditional Arabic" w:cs="Traditional Arabic"/>
          <w:noProof w:val="0"/>
          <w:kern w:val="14"/>
          <w:sz w:val="18"/>
          <w:szCs w:val="26"/>
        </w:rPr>
        <w:t xml:space="preserve">  </w:t>
      </w:r>
      <w:r w:rsidRPr="00E97AB7">
        <w:rPr>
          <w:rFonts w:ascii="Traditional Arabic" w:hAnsi="Traditional Arabic" w:cs="Traditional Arabic"/>
          <w:noProof w:val="0"/>
          <w:kern w:val="14"/>
          <w:sz w:val="18"/>
          <w:szCs w:val="26"/>
          <w:rtl/>
        </w:rPr>
        <w:t>وكالة حماية البيئة في الولايات المتحدة، ”</w:t>
      </w:r>
      <w:r w:rsidRPr="00E371AF">
        <w:rPr>
          <w:rFonts w:ascii="Times New Roman" w:hAnsi="Times New Roman" w:cs="Times New Roman"/>
          <w:noProof w:val="0"/>
          <w:kern w:val="14"/>
          <w:sz w:val="18"/>
          <w:szCs w:val="26"/>
        </w:rPr>
        <w:t>Method 0060</w:t>
      </w:r>
      <w:r w:rsidRPr="00E97AB7">
        <w:rPr>
          <w:rFonts w:ascii="Traditional Arabic" w:hAnsi="Traditional Arabic" w:cs="Traditional Arabic"/>
          <w:noProof w:val="0"/>
          <w:kern w:val="14"/>
          <w:sz w:val="18"/>
          <w:szCs w:val="26"/>
          <w:rtl/>
        </w:rPr>
        <w:t>- تحديد المعادن من انبعاثات المداخن“.</w:t>
      </w:r>
    </w:p>
    <w:p w:rsidR="00670B40" w:rsidRPr="00E371AF" w:rsidRDefault="00670B40" w:rsidP="00F02867">
      <w:pPr>
        <w:pStyle w:val="FootnoteText"/>
        <w:spacing w:after="30" w:line="300" w:lineRule="exact"/>
        <w:ind w:left="567"/>
        <w:jc w:val="both"/>
        <w:rPr>
          <w:rFonts w:ascii="Times New Roman" w:hAnsi="Times New Roman" w:cs="Times New Roman"/>
          <w:sz w:val="18"/>
          <w:szCs w:val="26"/>
        </w:rPr>
      </w:pPr>
      <w:r w:rsidRPr="00E371AF">
        <w:rPr>
          <w:rFonts w:ascii="Times New Roman" w:hAnsi="Times New Roman" w:cs="Times New Roman"/>
          <w:noProof w:val="0"/>
          <w:kern w:val="14"/>
          <w:sz w:val="18"/>
          <w:szCs w:val="26"/>
          <w:rtl/>
        </w:rPr>
        <w:t>.</w:t>
      </w:r>
      <w:r w:rsidRPr="00E371AF">
        <w:rPr>
          <w:rFonts w:ascii="Times New Roman" w:hAnsi="Times New Roman" w:cs="Times New Roman"/>
          <w:sz w:val="18"/>
          <w:szCs w:val="26"/>
          <w:lang w:val="en-GB"/>
        </w:rPr>
        <w:t>http://www.epa.gov/wastes/hazard/testmethods/sw846/pdfs/0060.pdf</w:t>
      </w:r>
      <w:r w:rsidRPr="00E371AF">
        <w:rPr>
          <w:rFonts w:ascii="Times New Roman" w:hAnsi="Times New Roman" w:cs="Times New Roman"/>
          <w:noProof w:val="0"/>
          <w:kern w:val="14"/>
          <w:sz w:val="18"/>
          <w:szCs w:val="26"/>
          <w:rtl/>
          <w:lang w:val="en-GB" w:bidi="ar-EG"/>
        </w:rPr>
        <w:t>.</w:t>
      </w:r>
    </w:p>
  </w:footnote>
  <w:footnote w:id="18">
    <w:p w:rsidR="00670B40" w:rsidRPr="00E371AF" w:rsidRDefault="00670B40" w:rsidP="00F02867">
      <w:pPr>
        <w:pStyle w:val="FootnoteText"/>
        <w:spacing w:after="30" w:line="300" w:lineRule="exact"/>
        <w:ind w:left="567"/>
        <w:jc w:val="both"/>
        <w:rPr>
          <w:rFonts w:ascii="Times New Roman" w:hAnsi="Times New Roman" w:cs="Times New Roman"/>
          <w:sz w:val="18"/>
          <w:szCs w:val="26"/>
        </w:rPr>
      </w:pPr>
      <w:r w:rsidRPr="00F02867">
        <w:rPr>
          <w:rFonts w:ascii="Traditional Arabic" w:hAnsi="Traditional Arabic" w:cs="Traditional Arabic"/>
          <w:noProof w:val="0"/>
          <w:kern w:val="14"/>
          <w:sz w:val="18"/>
          <w:szCs w:val="26"/>
          <w:rtl/>
        </w:rPr>
        <w:t>(</w:t>
      </w:r>
      <w:r w:rsidRPr="00F02867">
        <w:rPr>
          <w:rStyle w:val="FootnoteReference"/>
          <w:rFonts w:ascii="Traditional Arabic" w:hAnsi="Traditional Arabic" w:cs="Traditional Arabic"/>
          <w:noProof w:val="0"/>
          <w:kern w:val="14"/>
          <w:sz w:val="18"/>
          <w:szCs w:val="26"/>
          <w:vertAlign w:val="baseline"/>
          <w:rtl/>
        </w:rPr>
        <w:footnoteRef/>
      </w:r>
      <w:r w:rsidRPr="00F02867">
        <w:rPr>
          <w:rFonts w:ascii="Traditional Arabic" w:hAnsi="Traditional Arabic" w:cs="Traditional Arabic"/>
          <w:noProof w:val="0"/>
          <w:kern w:val="14"/>
          <w:sz w:val="18"/>
          <w:szCs w:val="26"/>
          <w:rtl/>
        </w:rPr>
        <w:t>)</w:t>
      </w:r>
      <w:r w:rsidRPr="00F02867">
        <w:rPr>
          <w:rFonts w:ascii="Traditional Arabic" w:hAnsi="Traditional Arabic" w:cs="Traditional Arabic"/>
          <w:noProof w:val="0"/>
          <w:kern w:val="14"/>
          <w:sz w:val="18"/>
          <w:szCs w:val="26"/>
        </w:rPr>
        <w:t xml:space="preserve">  </w:t>
      </w:r>
      <w:r w:rsidRPr="00F02867">
        <w:rPr>
          <w:rFonts w:ascii="Traditional Arabic" w:hAnsi="Traditional Arabic" w:cs="Traditional Arabic"/>
          <w:noProof w:val="0"/>
          <w:kern w:val="14"/>
          <w:sz w:val="18"/>
          <w:szCs w:val="26"/>
          <w:rtl/>
        </w:rPr>
        <w:t>الجمعية الأمريكية للاختبارات والمواد</w:t>
      </w:r>
      <w:r w:rsidRPr="00E371AF">
        <w:rPr>
          <w:rFonts w:ascii="Times New Roman" w:hAnsi="Times New Roman" w:cs="Times New Roman"/>
          <w:noProof w:val="0"/>
          <w:kern w:val="14"/>
          <w:sz w:val="18"/>
          <w:szCs w:val="26"/>
          <w:rtl/>
        </w:rPr>
        <w:t xml:space="preserve"> </w:t>
      </w:r>
      <w:r w:rsidRPr="00A43DF5">
        <w:rPr>
          <w:rFonts w:asciiTheme="majorBidi" w:hAnsiTheme="majorBidi" w:cstheme="majorBidi"/>
          <w:noProof w:val="0"/>
          <w:kern w:val="14"/>
          <w:sz w:val="17"/>
          <w:szCs w:val="17"/>
          <w:rtl/>
        </w:rPr>
        <w:t>(</w:t>
      </w:r>
      <w:r w:rsidRPr="00A43DF5">
        <w:rPr>
          <w:rFonts w:asciiTheme="majorBidi" w:hAnsiTheme="majorBidi" w:cstheme="majorBidi"/>
          <w:noProof w:val="0"/>
          <w:kern w:val="14"/>
          <w:sz w:val="17"/>
          <w:szCs w:val="17"/>
        </w:rPr>
        <w:t>ASTM</w:t>
      </w:r>
      <w:r w:rsidRPr="00A43DF5">
        <w:rPr>
          <w:rFonts w:asciiTheme="majorBidi" w:hAnsiTheme="majorBidi" w:cstheme="majorBidi"/>
          <w:noProof w:val="0"/>
          <w:kern w:val="14"/>
          <w:sz w:val="17"/>
          <w:szCs w:val="17"/>
          <w:rtl/>
        </w:rPr>
        <w:t>)</w:t>
      </w:r>
      <w:r w:rsidRPr="00F02867">
        <w:rPr>
          <w:rFonts w:ascii="Traditional Arabic" w:hAnsi="Traditional Arabic" w:cs="Traditional Arabic"/>
          <w:noProof w:val="0"/>
          <w:kern w:val="14"/>
          <w:sz w:val="18"/>
          <w:szCs w:val="26"/>
          <w:rtl/>
        </w:rPr>
        <w:t xml:space="preserve"> ”أسلوب الاختبار الموحد بشأن الزئبق النقي والمؤكسد والجسيمي ومجموع الزئبق في غاز المداخن المولَّدة من مصادر ثابتة تعمل بحرق الفحم (طريقة أونتريو هيدرو)“؛ 2008.</w:t>
      </w:r>
      <w:r w:rsidRPr="00E371AF">
        <w:rPr>
          <w:rFonts w:ascii="Times New Roman" w:hAnsi="Times New Roman" w:cs="Times New Roman"/>
          <w:noProof w:val="0"/>
          <w:kern w:val="14"/>
          <w:sz w:val="18"/>
          <w:szCs w:val="26"/>
          <w:rtl/>
        </w:rPr>
        <w:t xml:space="preserve"> </w:t>
      </w:r>
      <w:hyperlink r:id="rId4" w:history="1">
        <w:r w:rsidRPr="00A43DF5">
          <w:rPr>
            <w:rStyle w:val="Hyperlink"/>
            <w:rFonts w:ascii="Times New Roman" w:hAnsi="Times New Roman" w:cs="Times New Roman"/>
            <w:color w:val="auto"/>
            <w:sz w:val="16"/>
            <w:szCs w:val="16"/>
            <w:u w:val="none"/>
            <w:lang w:val="en-GB"/>
          </w:rPr>
          <w:t>http://www.astm.org/Standards/D6784.htm</w:t>
        </w:r>
      </w:hyperlink>
      <w:r w:rsidRPr="00E371AF">
        <w:rPr>
          <w:rFonts w:ascii="Times New Roman" w:hAnsi="Times New Roman" w:cs="Times New Roman"/>
          <w:noProof w:val="0"/>
          <w:kern w:val="14"/>
          <w:sz w:val="18"/>
          <w:szCs w:val="26"/>
          <w:rtl/>
        </w:rPr>
        <w:t>.</w:t>
      </w:r>
    </w:p>
  </w:footnote>
  <w:footnote w:id="19">
    <w:p w:rsidR="00670B40" w:rsidRPr="00E371AF" w:rsidRDefault="00670B40" w:rsidP="00F02867">
      <w:pPr>
        <w:pStyle w:val="FootnoteText"/>
        <w:spacing w:after="30" w:line="300" w:lineRule="exact"/>
        <w:ind w:left="567"/>
        <w:jc w:val="both"/>
        <w:rPr>
          <w:rFonts w:ascii="Times New Roman" w:hAnsi="Times New Roman" w:cs="Times New Roman"/>
          <w:sz w:val="18"/>
          <w:szCs w:val="26"/>
        </w:rPr>
      </w:pPr>
      <w:r w:rsidRPr="00F02867">
        <w:rPr>
          <w:rFonts w:ascii="Traditional Arabic" w:hAnsi="Traditional Arabic" w:cs="Traditional Arabic"/>
          <w:noProof w:val="0"/>
          <w:kern w:val="14"/>
          <w:sz w:val="18"/>
          <w:szCs w:val="26"/>
          <w:rtl/>
        </w:rPr>
        <w:t>(</w:t>
      </w:r>
      <w:r w:rsidRPr="00F02867">
        <w:rPr>
          <w:rStyle w:val="FootnoteReference"/>
          <w:rFonts w:ascii="Traditional Arabic" w:hAnsi="Traditional Arabic" w:cs="Traditional Arabic"/>
          <w:noProof w:val="0"/>
          <w:kern w:val="14"/>
          <w:sz w:val="18"/>
          <w:szCs w:val="26"/>
          <w:vertAlign w:val="baseline"/>
          <w:rtl/>
        </w:rPr>
        <w:footnoteRef/>
      </w:r>
      <w:r w:rsidRPr="00F02867">
        <w:rPr>
          <w:rFonts w:ascii="Traditional Arabic" w:hAnsi="Traditional Arabic" w:cs="Traditional Arabic"/>
          <w:noProof w:val="0"/>
          <w:kern w:val="14"/>
          <w:sz w:val="18"/>
          <w:szCs w:val="26"/>
          <w:rtl/>
        </w:rPr>
        <w:t>)</w:t>
      </w:r>
      <w:r w:rsidRPr="00F02867">
        <w:rPr>
          <w:rFonts w:ascii="Traditional Arabic" w:hAnsi="Traditional Arabic" w:cs="Traditional Arabic"/>
          <w:noProof w:val="0"/>
          <w:kern w:val="14"/>
          <w:sz w:val="18"/>
          <w:szCs w:val="26"/>
        </w:rPr>
        <w:t xml:space="preserve">  </w:t>
      </w:r>
      <w:r w:rsidRPr="00F02867">
        <w:rPr>
          <w:rFonts w:ascii="Traditional Arabic" w:hAnsi="Traditional Arabic" w:cs="Traditional Arabic"/>
          <w:noProof w:val="0"/>
          <w:kern w:val="14"/>
          <w:sz w:val="18"/>
          <w:szCs w:val="26"/>
          <w:rtl/>
        </w:rPr>
        <w:t>رابطة المعايير اليابانية، ”</w:t>
      </w:r>
      <w:r w:rsidRPr="00E371AF">
        <w:rPr>
          <w:rFonts w:ascii="Times New Roman" w:hAnsi="Times New Roman" w:cs="Times New Roman"/>
          <w:noProof w:val="0"/>
          <w:kern w:val="14"/>
          <w:sz w:val="18"/>
          <w:szCs w:val="26"/>
        </w:rPr>
        <w:t>JIS K0222</w:t>
      </w:r>
      <w:r w:rsidRPr="00F02867">
        <w:rPr>
          <w:rFonts w:ascii="Traditional Arabic" w:hAnsi="Traditional Arabic" w:cs="Traditional Arabic"/>
          <w:noProof w:val="0"/>
          <w:kern w:val="14"/>
          <w:sz w:val="18"/>
          <w:szCs w:val="26"/>
          <w:rtl/>
        </w:rPr>
        <w:t>؛ 1997؛ أساليب تحديد الزئبق في غاز المداخن“، 20 آب/أغسطس 1997.</w:t>
      </w:r>
    </w:p>
  </w:footnote>
  <w:footnote w:id="20">
    <w:p w:rsidR="00670B40" w:rsidRPr="00F02867" w:rsidRDefault="00670B40" w:rsidP="000A4605">
      <w:pPr>
        <w:pStyle w:val="FootnoteText"/>
        <w:spacing w:after="40" w:line="300" w:lineRule="exact"/>
        <w:ind w:left="565"/>
        <w:jc w:val="both"/>
        <w:rPr>
          <w:rFonts w:ascii="Traditional Arabic" w:hAnsi="Traditional Arabic" w:cs="Traditional Arabic"/>
          <w:sz w:val="18"/>
          <w:szCs w:val="26"/>
        </w:rPr>
      </w:pPr>
      <w:r w:rsidRPr="00F02867">
        <w:rPr>
          <w:rFonts w:ascii="Traditional Arabic" w:hAnsi="Traditional Arabic" w:cs="Traditional Arabic"/>
          <w:noProof w:val="0"/>
          <w:kern w:val="14"/>
          <w:sz w:val="18"/>
          <w:szCs w:val="26"/>
          <w:rtl/>
        </w:rPr>
        <w:t>(</w:t>
      </w:r>
      <w:r w:rsidRPr="00F02867">
        <w:rPr>
          <w:rStyle w:val="FootnoteReference"/>
          <w:rFonts w:ascii="Traditional Arabic" w:hAnsi="Traditional Arabic" w:cs="Traditional Arabic"/>
          <w:noProof w:val="0"/>
          <w:kern w:val="14"/>
          <w:sz w:val="18"/>
          <w:szCs w:val="26"/>
          <w:vertAlign w:val="baseline"/>
          <w:rtl/>
        </w:rPr>
        <w:footnoteRef/>
      </w:r>
      <w:r w:rsidRPr="00F02867">
        <w:rPr>
          <w:rFonts w:ascii="Traditional Arabic" w:hAnsi="Traditional Arabic" w:cs="Traditional Arabic"/>
          <w:noProof w:val="0"/>
          <w:kern w:val="14"/>
          <w:sz w:val="18"/>
          <w:szCs w:val="26"/>
          <w:rtl/>
        </w:rPr>
        <w:t>)</w:t>
      </w:r>
      <w:r w:rsidRPr="00F02867">
        <w:rPr>
          <w:rFonts w:ascii="Traditional Arabic" w:hAnsi="Traditional Arabic" w:cs="Traditional Arabic"/>
          <w:noProof w:val="0"/>
          <w:kern w:val="14"/>
          <w:sz w:val="18"/>
          <w:szCs w:val="26"/>
        </w:rPr>
        <w:t xml:space="preserve">  </w:t>
      </w:r>
      <w:r w:rsidRPr="00F02867">
        <w:rPr>
          <w:rFonts w:ascii="Traditional Arabic" w:hAnsi="Traditional Arabic" w:cs="Traditional Arabic"/>
          <w:noProof w:val="0"/>
          <w:kern w:val="14"/>
          <w:sz w:val="18"/>
          <w:szCs w:val="26"/>
          <w:rtl/>
        </w:rPr>
        <w:t>رابطة المعايير اليابانية، ”</w:t>
      </w:r>
      <w:r w:rsidRPr="00E371AF">
        <w:rPr>
          <w:rFonts w:ascii="Times New Roman" w:hAnsi="Times New Roman" w:cs="Times New Roman"/>
          <w:noProof w:val="0"/>
          <w:kern w:val="14"/>
          <w:sz w:val="18"/>
          <w:szCs w:val="26"/>
        </w:rPr>
        <w:t>JISZ8808</w:t>
      </w:r>
      <w:r w:rsidRPr="00F02867">
        <w:rPr>
          <w:rFonts w:ascii="Traditional Arabic" w:hAnsi="Traditional Arabic" w:cs="Traditional Arabic"/>
          <w:noProof w:val="0"/>
          <w:kern w:val="14"/>
          <w:sz w:val="18"/>
          <w:szCs w:val="26"/>
          <w:rtl/>
        </w:rPr>
        <w:t>: 2013: أساليب قياس تركيز الغبار في غاز المدخنة“، 20 آب/أغسطس 2013.</w:t>
      </w:r>
    </w:p>
  </w:footnote>
  <w:footnote w:id="21">
    <w:p w:rsidR="00670B40" w:rsidRPr="00E371AF" w:rsidRDefault="00670B40" w:rsidP="000A4605">
      <w:pPr>
        <w:pStyle w:val="FootnoteText"/>
        <w:spacing w:after="40" w:line="300" w:lineRule="exact"/>
        <w:ind w:left="565"/>
        <w:jc w:val="both"/>
        <w:rPr>
          <w:rFonts w:ascii="Times New Roman" w:hAnsi="Times New Roman" w:cs="Times New Roman"/>
          <w:sz w:val="18"/>
          <w:szCs w:val="26"/>
        </w:rPr>
      </w:pPr>
      <w:r w:rsidRPr="00F02867">
        <w:rPr>
          <w:rFonts w:ascii="Traditional Arabic" w:hAnsi="Traditional Arabic" w:cs="Traditional Arabic"/>
          <w:noProof w:val="0"/>
          <w:kern w:val="14"/>
          <w:sz w:val="18"/>
          <w:szCs w:val="26"/>
          <w:rtl/>
        </w:rPr>
        <w:t>(</w:t>
      </w:r>
      <w:r w:rsidRPr="00F02867">
        <w:rPr>
          <w:rStyle w:val="FootnoteReference"/>
          <w:rFonts w:ascii="Traditional Arabic" w:hAnsi="Traditional Arabic" w:cs="Traditional Arabic"/>
          <w:noProof w:val="0"/>
          <w:kern w:val="14"/>
          <w:sz w:val="18"/>
          <w:szCs w:val="26"/>
          <w:vertAlign w:val="baseline"/>
          <w:rtl/>
        </w:rPr>
        <w:footnoteRef/>
      </w:r>
      <w:r w:rsidRPr="00F02867">
        <w:rPr>
          <w:rFonts w:ascii="Traditional Arabic" w:hAnsi="Traditional Arabic" w:cs="Traditional Arabic"/>
          <w:noProof w:val="0"/>
          <w:kern w:val="14"/>
          <w:sz w:val="18"/>
          <w:szCs w:val="26"/>
          <w:rtl/>
        </w:rPr>
        <w:t>)</w:t>
      </w:r>
      <w:r w:rsidRPr="00F02867">
        <w:rPr>
          <w:rFonts w:ascii="Traditional Arabic" w:hAnsi="Traditional Arabic" w:cs="Traditional Arabic"/>
          <w:noProof w:val="0"/>
          <w:kern w:val="14"/>
          <w:sz w:val="18"/>
          <w:szCs w:val="26"/>
        </w:rPr>
        <w:t xml:space="preserve">  </w:t>
      </w:r>
      <w:r w:rsidRPr="00F02867">
        <w:rPr>
          <w:rFonts w:ascii="Traditional Arabic" w:hAnsi="Traditional Arabic" w:cs="Traditional Arabic"/>
          <w:noProof w:val="0"/>
          <w:kern w:val="14"/>
          <w:sz w:val="18"/>
          <w:szCs w:val="26"/>
          <w:rtl/>
        </w:rPr>
        <w:t>وكالة حماية البيئة في الولايات المتحدة، الأسلوب</w:t>
      </w:r>
      <w:r w:rsidRPr="00E371AF">
        <w:rPr>
          <w:rFonts w:ascii="Times New Roman" w:hAnsi="Times New Roman" w:cs="Times New Roman"/>
          <w:noProof w:val="0"/>
          <w:kern w:val="14"/>
          <w:sz w:val="18"/>
          <w:szCs w:val="26"/>
          <w:rtl/>
        </w:rPr>
        <w:t xml:space="preserve"> </w:t>
      </w:r>
      <w:r w:rsidRPr="00E371AF">
        <w:rPr>
          <w:rFonts w:ascii="Times New Roman" w:hAnsi="Times New Roman" w:cs="Times New Roman"/>
          <w:noProof w:val="0"/>
          <w:kern w:val="14"/>
          <w:sz w:val="18"/>
          <w:szCs w:val="26"/>
        </w:rPr>
        <w:t>30 B</w:t>
      </w:r>
      <w:r w:rsidRPr="00F02867">
        <w:rPr>
          <w:rFonts w:ascii="Times New Roman" w:hAnsi="Times New Roman" w:cs="Times New Roman"/>
          <w:noProof w:val="0"/>
          <w:kern w:val="14"/>
          <w:sz w:val="18"/>
          <w:szCs w:val="18"/>
          <w:rtl/>
        </w:rPr>
        <w:t>،</w:t>
      </w:r>
      <w:r w:rsidRPr="00E371AF">
        <w:rPr>
          <w:rFonts w:ascii="Times New Roman" w:hAnsi="Times New Roman" w:cs="Times New Roman"/>
          <w:noProof w:val="0"/>
          <w:kern w:val="14"/>
          <w:sz w:val="18"/>
          <w:szCs w:val="26"/>
          <w:rtl/>
        </w:rPr>
        <w:t xml:space="preserve"> </w:t>
      </w:r>
      <w:hyperlink r:id="rId5" w:history="1">
        <w:r w:rsidRPr="00E371AF">
          <w:rPr>
            <w:rStyle w:val="Hyperlink"/>
            <w:rFonts w:ascii="Times New Roman" w:hAnsi="Times New Roman" w:cs="Times New Roman"/>
            <w:color w:val="auto"/>
            <w:sz w:val="18"/>
            <w:szCs w:val="26"/>
            <w:u w:val="none"/>
            <w:lang w:val="en-GB"/>
          </w:rPr>
          <w:t>http://www.epa.gov/ttn/emc/promgate/Meth30B.pdf</w:t>
        </w:r>
      </w:hyperlink>
      <w:r w:rsidRPr="00F02867">
        <w:rPr>
          <w:rFonts w:ascii="Traditional Arabic" w:hAnsi="Traditional Arabic" w:cs="Traditional Arabic"/>
          <w:noProof w:val="0"/>
          <w:kern w:val="14"/>
          <w:sz w:val="18"/>
          <w:szCs w:val="26"/>
          <w:rtl/>
          <w:lang w:val="en-GB" w:bidi="ar-EG"/>
        </w:rPr>
        <w:t>.</w:t>
      </w:r>
    </w:p>
  </w:footnote>
  <w:footnote w:id="22">
    <w:p w:rsidR="00670B40" w:rsidRPr="00F02867" w:rsidRDefault="00670B40" w:rsidP="000A4605">
      <w:pPr>
        <w:pStyle w:val="FootnoteText"/>
        <w:spacing w:after="40" w:line="300" w:lineRule="exact"/>
        <w:ind w:left="565"/>
        <w:jc w:val="both"/>
        <w:rPr>
          <w:rFonts w:ascii="Traditional Arabic" w:hAnsi="Traditional Arabic" w:cs="Traditional Arabic"/>
          <w:sz w:val="18"/>
          <w:szCs w:val="26"/>
        </w:rPr>
      </w:pPr>
      <w:r w:rsidRPr="00F02867">
        <w:rPr>
          <w:rFonts w:ascii="Traditional Arabic" w:hAnsi="Traditional Arabic" w:cs="Traditional Arabic"/>
          <w:noProof w:val="0"/>
          <w:kern w:val="14"/>
          <w:sz w:val="18"/>
          <w:szCs w:val="26"/>
          <w:rtl/>
        </w:rPr>
        <w:t>(</w:t>
      </w:r>
      <w:r w:rsidRPr="00F02867">
        <w:rPr>
          <w:rStyle w:val="FootnoteReference"/>
          <w:rFonts w:ascii="Traditional Arabic" w:hAnsi="Traditional Arabic" w:cs="Traditional Arabic"/>
          <w:noProof w:val="0"/>
          <w:kern w:val="14"/>
          <w:sz w:val="18"/>
          <w:szCs w:val="26"/>
          <w:vertAlign w:val="baseline"/>
          <w:rtl/>
        </w:rPr>
        <w:footnoteRef/>
      </w:r>
      <w:r w:rsidRPr="00F02867">
        <w:rPr>
          <w:rFonts w:ascii="Traditional Arabic" w:hAnsi="Traditional Arabic" w:cs="Traditional Arabic"/>
          <w:noProof w:val="0"/>
          <w:kern w:val="14"/>
          <w:sz w:val="18"/>
          <w:szCs w:val="26"/>
          <w:rtl/>
        </w:rPr>
        <w:t>)</w:t>
      </w:r>
      <w:r w:rsidRPr="00F02867">
        <w:rPr>
          <w:rFonts w:ascii="Traditional Arabic" w:hAnsi="Traditional Arabic" w:cs="Traditional Arabic"/>
          <w:noProof w:val="0"/>
          <w:kern w:val="14"/>
          <w:sz w:val="18"/>
          <w:szCs w:val="26"/>
        </w:rPr>
        <w:t xml:space="preserve">  </w:t>
      </w:r>
      <w:r w:rsidRPr="00F02867">
        <w:rPr>
          <w:rFonts w:ascii="Traditional Arabic" w:hAnsi="Traditional Arabic" w:cs="Traditional Arabic"/>
          <w:noProof w:val="0"/>
          <w:kern w:val="14"/>
          <w:sz w:val="18"/>
          <w:szCs w:val="26"/>
          <w:rtl/>
        </w:rPr>
        <w:t>رابطة المعايير اليابانية،</w:t>
      </w:r>
      <w:r w:rsidRPr="00E371AF">
        <w:rPr>
          <w:rFonts w:ascii="Times New Roman" w:hAnsi="Times New Roman" w:cs="Times New Roman"/>
          <w:noProof w:val="0"/>
          <w:kern w:val="14"/>
          <w:sz w:val="18"/>
          <w:szCs w:val="26"/>
          <w:rtl/>
        </w:rPr>
        <w:t xml:space="preserve"> </w:t>
      </w:r>
      <w:r w:rsidRPr="00E371AF">
        <w:rPr>
          <w:rFonts w:ascii="Times New Roman" w:hAnsi="Times New Roman" w:cs="Times New Roman"/>
          <w:noProof w:val="0"/>
          <w:kern w:val="14"/>
          <w:sz w:val="18"/>
          <w:szCs w:val="26"/>
        </w:rPr>
        <w:t>JIS K0222</w:t>
      </w:r>
      <w:r w:rsidRPr="00F02867">
        <w:rPr>
          <w:rFonts w:ascii="Traditional Arabic" w:hAnsi="Traditional Arabic" w:cs="Traditional Arabic"/>
          <w:noProof w:val="0"/>
          <w:kern w:val="14"/>
          <w:sz w:val="18"/>
          <w:szCs w:val="26"/>
          <w:rtl/>
        </w:rPr>
        <w:t>؛ 1997؛ أساليب تحديد الزئبق في غاز المداخن“، 20آب/أغسطس 1997.</w:t>
      </w:r>
    </w:p>
  </w:footnote>
  <w:footnote w:id="23">
    <w:p w:rsidR="00670B40" w:rsidRPr="00E371AF" w:rsidRDefault="00670B40" w:rsidP="000A4605">
      <w:pPr>
        <w:pStyle w:val="FootnoteText"/>
        <w:spacing w:after="40" w:line="300" w:lineRule="exact"/>
        <w:ind w:left="565"/>
        <w:jc w:val="both"/>
        <w:rPr>
          <w:rFonts w:ascii="Times New Roman" w:hAnsi="Times New Roman" w:cs="Times New Roman"/>
          <w:sz w:val="18"/>
          <w:szCs w:val="26"/>
        </w:rPr>
      </w:pPr>
      <w:r w:rsidRPr="00F02867">
        <w:rPr>
          <w:rFonts w:ascii="Traditional Arabic" w:hAnsi="Traditional Arabic" w:cs="Traditional Arabic"/>
          <w:noProof w:val="0"/>
          <w:kern w:val="14"/>
          <w:sz w:val="18"/>
          <w:szCs w:val="26"/>
          <w:rtl/>
        </w:rPr>
        <w:t>(</w:t>
      </w:r>
      <w:r w:rsidRPr="00F02867">
        <w:rPr>
          <w:rStyle w:val="FootnoteReference"/>
          <w:rFonts w:ascii="Traditional Arabic" w:hAnsi="Traditional Arabic" w:cs="Traditional Arabic"/>
          <w:noProof w:val="0"/>
          <w:kern w:val="14"/>
          <w:sz w:val="18"/>
          <w:szCs w:val="26"/>
          <w:vertAlign w:val="baseline"/>
          <w:rtl/>
        </w:rPr>
        <w:footnoteRef/>
      </w:r>
      <w:r w:rsidRPr="00F02867">
        <w:rPr>
          <w:rFonts w:ascii="Traditional Arabic" w:hAnsi="Traditional Arabic" w:cs="Traditional Arabic"/>
          <w:noProof w:val="0"/>
          <w:kern w:val="14"/>
          <w:sz w:val="18"/>
          <w:szCs w:val="26"/>
          <w:rtl/>
        </w:rPr>
        <w:t>)</w:t>
      </w:r>
      <w:r w:rsidRPr="00F02867">
        <w:rPr>
          <w:rFonts w:ascii="Traditional Arabic" w:hAnsi="Traditional Arabic" w:cs="Traditional Arabic"/>
          <w:noProof w:val="0"/>
          <w:kern w:val="14"/>
          <w:sz w:val="18"/>
          <w:szCs w:val="26"/>
        </w:rPr>
        <w:t xml:space="preserve">  </w:t>
      </w:r>
      <w:r w:rsidRPr="00F02867">
        <w:rPr>
          <w:rFonts w:ascii="Traditional Arabic" w:hAnsi="Traditional Arabic" w:cs="Traditional Arabic"/>
          <w:noProof w:val="0"/>
          <w:kern w:val="14"/>
          <w:sz w:val="18"/>
          <w:szCs w:val="26"/>
          <w:rtl/>
        </w:rPr>
        <w:t>وكالة حماية البيئة في الولايات المتحدة، الأسلوب</w:t>
      </w:r>
      <w:r w:rsidRPr="00E371AF">
        <w:rPr>
          <w:rFonts w:ascii="Times New Roman" w:hAnsi="Times New Roman" w:cs="Times New Roman"/>
          <w:noProof w:val="0"/>
          <w:kern w:val="14"/>
          <w:sz w:val="18"/>
          <w:szCs w:val="26"/>
          <w:rtl/>
        </w:rPr>
        <w:t xml:space="preserve"> </w:t>
      </w:r>
      <w:r w:rsidRPr="00E371AF">
        <w:rPr>
          <w:rFonts w:ascii="Times New Roman" w:hAnsi="Times New Roman" w:cs="Times New Roman"/>
          <w:noProof w:val="0"/>
          <w:kern w:val="14"/>
          <w:sz w:val="18"/>
          <w:szCs w:val="26"/>
        </w:rPr>
        <w:t>30A</w:t>
      </w:r>
      <w:r w:rsidRPr="00F02867">
        <w:rPr>
          <w:rFonts w:ascii="Times New Roman" w:hAnsi="Times New Roman" w:cs="Times New Roman"/>
          <w:noProof w:val="0"/>
          <w:kern w:val="14"/>
          <w:sz w:val="18"/>
          <w:szCs w:val="18"/>
          <w:rtl/>
        </w:rPr>
        <w:t>،</w:t>
      </w:r>
      <w:r w:rsidRPr="00E371AF">
        <w:rPr>
          <w:rFonts w:ascii="Times New Roman" w:hAnsi="Times New Roman" w:cs="Times New Roman"/>
          <w:noProof w:val="0"/>
          <w:kern w:val="14"/>
          <w:sz w:val="18"/>
          <w:szCs w:val="26"/>
          <w:rtl/>
        </w:rPr>
        <w:t xml:space="preserve"> </w:t>
      </w:r>
      <w:hyperlink r:id="rId6" w:history="1">
        <w:r w:rsidRPr="00E371AF">
          <w:rPr>
            <w:rStyle w:val="Hyperlink"/>
            <w:rFonts w:ascii="Times New Roman" w:hAnsi="Times New Roman" w:cs="Times New Roman"/>
            <w:color w:val="auto"/>
            <w:sz w:val="18"/>
            <w:szCs w:val="26"/>
            <w:u w:val="none"/>
            <w:lang w:val="en-GB"/>
          </w:rPr>
          <w:t>http://www.epa.gov/ttnemc01/promgate/Meth30A.pdf</w:t>
        </w:r>
      </w:hyperlink>
      <w:r w:rsidRPr="00E371AF">
        <w:rPr>
          <w:rFonts w:ascii="Times New Roman" w:hAnsi="Times New Roman" w:cs="Times New Roman"/>
          <w:noProof w:val="0"/>
          <w:kern w:val="14"/>
          <w:sz w:val="18"/>
          <w:szCs w:val="26"/>
          <w:rtl/>
          <w:lang w:val="en-GB" w:bidi="ar-EG"/>
        </w:rPr>
        <w:t>.</w:t>
      </w:r>
    </w:p>
  </w:footnote>
  <w:footnote w:id="24">
    <w:p w:rsidR="00670B40" w:rsidRPr="00E371AF" w:rsidRDefault="00670B40" w:rsidP="000A4605">
      <w:pPr>
        <w:pStyle w:val="FootnoteText"/>
        <w:spacing w:after="40" w:line="300" w:lineRule="exact"/>
        <w:ind w:left="565"/>
        <w:jc w:val="both"/>
        <w:rPr>
          <w:rFonts w:ascii="Times New Roman" w:hAnsi="Times New Roman" w:cs="Times New Roman"/>
          <w:sz w:val="18"/>
          <w:szCs w:val="26"/>
        </w:rPr>
      </w:pPr>
      <w:r w:rsidRPr="00F02867">
        <w:rPr>
          <w:rFonts w:ascii="Traditional Arabic" w:hAnsi="Traditional Arabic" w:cs="Traditional Arabic"/>
          <w:noProof w:val="0"/>
          <w:kern w:val="14"/>
          <w:sz w:val="18"/>
          <w:szCs w:val="26"/>
          <w:rtl/>
        </w:rPr>
        <w:t>(</w:t>
      </w:r>
      <w:r w:rsidRPr="00F02867">
        <w:rPr>
          <w:rStyle w:val="FootnoteReference"/>
          <w:rFonts w:ascii="Traditional Arabic" w:hAnsi="Traditional Arabic" w:cs="Traditional Arabic"/>
          <w:noProof w:val="0"/>
          <w:kern w:val="14"/>
          <w:sz w:val="18"/>
          <w:szCs w:val="26"/>
          <w:vertAlign w:val="baseline"/>
          <w:rtl/>
        </w:rPr>
        <w:footnoteRef/>
      </w:r>
      <w:r w:rsidRPr="00F02867">
        <w:rPr>
          <w:rFonts w:ascii="Traditional Arabic" w:hAnsi="Traditional Arabic" w:cs="Traditional Arabic"/>
          <w:noProof w:val="0"/>
          <w:kern w:val="14"/>
          <w:sz w:val="18"/>
          <w:szCs w:val="26"/>
          <w:rtl/>
        </w:rPr>
        <w:t>)</w:t>
      </w:r>
      <w:r w:rsidRPr="00F02867">
        <w:rPr>
          <w:rFonts w:ascii="Traditional Arabic" w:hAnsi="Traditional Arabic" w:cs="Traditional Arabic"/>
          <w:noProof w:val="0"/>
          <w:kern w:val="14"/>
          <w:sz w:val="18"/>
          <w:szCs w:val="26"/>
        </w:rPr>
        <w:t xml:space="preserve">  </w:t>
      </w:r>
      <w:r w:rsidRPr="00F02867">
        <w:rPr>
          <w:rFonts w:ascii="Traditional Arabic" w:hAnsi="Traditional Arabic" w:cs="Traditional Arabic"/>
          <w:noProof w:val="0"/>
          <w:kern w:val="14"/>
          <w:sz w:val="18"/>
          <w:szCs w:val="26"/>
          <w:rtl/>
        </w:rPr>
        <w:t>وكالة حماية البيئة في الولايات المتحدة، مواصفة الأداء</w:t>
      </w:r>
      <w:r w:rsidRPr="00E371AF">
        <w:rPr>
          <w:rFonts w:ascii="Times New Roman" w:hAnsi="Times New Roman" w:cs="Times New Roman"/>
          <w:noProof w:val="0"/>
          <w:kern w:val="14"/>
          <w:sz w:val="18"/>
          <w:szCs w:val="26"/>
          <w:rtl/>
        </w:rPr>
        <w:t xml:space="preserve"> </w:t>
      </w:r>
      <w:r w:rsidRPr="00E371AF">
        <w:rPr>
          <w:rFonts w:ascii="Times New Roman" w:hAnsi="Times New Roman" w:cs="Times New Roman"/>
          <w:noProof w:val="0"/>
          <w:kern w:val="14"/>
          <w:sz w:val="18"/>
          <w:szCs w:val="26"/>
        </w:rPr>
        <w:t>12B</w:t>
      </w:r>
      <w:r w:rsidRPr="00F02867">
        <w:rPr>
          <w:rFonts w:ascii="Traditional Arabic" w:hAnsi="Traditional Arabic" w:cs="Traditional Arabic"/>
          <w:noProof w:val="0"/>
          <w:kern w:val="14"/>
          <w:sz w:val="18"/>
          <w:szCs w:val="26"/>
          <w:rtl/>
        </w:rPr>
        <w:t>، ص 13</w:t>
      </w:r>
      <w:r w:rsidRPr="00E371AF">
        <w:rPr>
          <w:rFonts w:ascii="Times New Roman" w:hAnsi="Times New Roman" w:cs="Times New Roman"/>
          <w:noProof w:val="0"/>
          <w:kern w:val="14"/>
          <w:sz w:val="18"/>
          <w:szCs w:val="26"/>
          <w:rtl/>
        </w:rPr>
        <w:t>.</w:t>
      </w:r>
      <w:r w:rsidRPr="00E371AF">
        <w:rPr>
          <w:rFonts w:ascii="Times New Roman" w:hAnsi="Times New Roman" w:cs="Times New Roman"/>
          <w:noProof w:val="0"/>
          <w:sz w:val="18"/>
          <w:szCs w:val="26"/>
          <w:rtl/>
        </w:rPr>
        <w:t xml:space="preserve"> </w:t>
      </w:r>
      <w:hyperlink r:id="rId7" w:history="1">
        <w:r w:rsidRPr="00E371AF">
          <w:rPr>
            <w:rStyle w:val="Hyperlink"/>
            <w:rFonts w:ascii="Times New Roman" w:hAnsi="Times New Roman" w:cs="Times New Roman"/>
            <w:color w:val="auto"/>
            <w:sz w:val="18"/>
            <w:szCs w:val="26"/>
            <w:u w:val="none"/>
            <w:lang w:val="en-GB"/>
          </w:rPr>
          <w:t>http://www.epa.gov/ttn/emc/perfspec.html</w:t>
        </w:r>
      </w:hyperlink>
      <w:r w:rsidRPr="00E371AF">
        <w:rPr>
          <w:rFonts w:ascii="Times New Roman" w:hAnsi="Times New Roman" w:cs="Times New Roman"/>
          <w:noProof w:val="0"/>
          <w:kern w:val="14"/>
          <w:sz w:val="18"/>
          <w:szCs w:val="26"/>
          <w:rtl/>
        </w:rPr>
        <w:t>.</w:t>
      </w:r>
    </w:p>
  </w:footnote>
  <w:footnote w:id="25">
    <w:p w:rsidR="00670B40" w:rsidRPr="00E371AF" w:rsidRDefault="00670B40" w:rsidP="000A4605">
      <w:pPr>
        <w:pStyle w:val="FootnoteText"/>
        <w:spacing w:after="40" w:line="300" w:lineRule="exact"/>
        <w:ind w:left="565"/>
        <w:jc w:val="both"/>
        <w:rPr>
          <w:rFonts w:ascii="Times New Roman" w:hAnsi="Times New Roman" w:cs="Times New Roman"/>
          <w:sz w:val="18"/>
          <w:szCs w:val="26"/>
        </w:rPr>
      </w:pPr>
      <w:r w:rsidRPr="00F02867">
        <w:rPr>
          <w:rFonts w:ascii="Traditional Arabic" w:hAnsi="Traditional Arabic" w:cs="Traditional Arabic"/>
          <w:noProof w:val="0"/>
          <w:kern w:val="14"/>
          <w:sz w:val="18"/>
          <w:szCs w:val="26"/>
          <w:rtl/>
        </w:rPr>
        <w:t>(</w:t>
      </w:r>
      <w:r w:rsidRPr="00F02867">
        <w:rPr>
          <w:rStyle w:val="FootnoteReference"/>
          <w:rFonts w:ascii="Traditional Arabic" w:hAnsi="Traditional Arabic" w:cs="Traditional Arabic"/>
          <w:noProof w:val="0"/>
          <w:kern w:val="14"/>
          <w:sz w:val="18"/>
          <w:szCs w:val="26"/>
          <w:vertAlign w:val="baseline"/>
          <w:rtl/>
        </w:rPr>
        <w:footnoteRef/>
      </w:r>
      <w:r w:rsidRPr="00F02867">
        <w:rPr>
          <w:rFonts w:ascii="Traditional Arabic" w:hAnsi="Traditional Arabic" w:cs="Traditional Arabic"/>
          <w:noProof w:val="0"/>
          <w:kern w:val="14"/>
          <w:sz w:val="18"/>
          <w:szCs w:val="26"/>
          <w:rtl/>
        </w:rPr>
        <w:t>)</w:t>
      </w:r>
      <w:r w:rsidRPr="00F02867">
        <w:rPr>
          <w:rFonts w:ascii="Traditional Arabic" w:hAnsi="Traditional Arabic" w:cs="Traditional Arabic"/>
          <w:noProof w:val="0"/>
          <w:kern w:val="14"/>
          <w:sz w:val="18"/>
          <w:szCs w:val="26"/>
        </w:rPr>
        <w:t xml:space="preserve">  </w:t>
      </w:r>
      <w:r w:rsidRPr="00F02867">
        <w:rPr>
          <w:rFonts w:ascii="Traditional Arabic" w:hAnsi="Traditional Arabic" w:cs="Traditional Arabic"/>
          <w:noProof w:val="0"/>
          <w:kern w:val="14"/>
          <w:sz w:val="18"/>
          <w:szCs w:val="26"/>
          <w:rtl/>
        </w:rPr>
        <w:t xml:space="preserve">ب. أمار، وس. سينيور و ر. ألفونسو وج. شتودت (2010) </w:t>
      </w:r>
      <w:r w:rsidRPr="00E371AF">
        <w:rPr>
          <w:rFonts w:ascii="Times New Roman" w:hAnsi="Times New Roman" w:cs="Times New Roman"/>
          <w:sz w:val="18"/>
          <w:szCs w:val="26"/>
          <w:lang w:val="en-GB"/>
        </w:rPr>
        <w:t>NESCAUM Report</w:t>
      </w:r>
      <w:r w:rsidRPr="00E371AF">
        <w:rPr>
          <w:rFonts w:ascii="Times New Roman" w:hAnsi="Times New Roman" w:cs="Times New Roman"/>
          <w:sz w:val="18"/>
          <w:szCs w:val="26"/>
          <w:rtl/>
          <w:lang w:val="en-GB"/>
        </w:rPr>
        <w:t xml:space="preserve"> </w:t>
      </w:r>
      <w:r w:rsidRPr="00F02867">
        <w:rPr>
          <w:rFonts w:ascii="Traditional Arabic" w:hAnsi="Traditional Arabic" w:cs="Traditional Arabic"/>
          <w:noProof w:val="0"/>
          <w:sz w:val="18"/>
          <w:szCs w:val="26"/>
          <w:rtl/>
          <w:lang w:val="en-GB" w:bidi="ar-EG"/>
        </w:rPr>
        <w:t>(تقرير رابطة الشمال الشرقي لتنسيق إدارة استخدام الهواء)</w:t>
      </w:r>
      <w:r w:rsidRPr="00E371AF">
        <w:rPr>
          <w:rFonts w:ascii="Times New Roman" w:hAnsi="Times New Roman" w:cs="Times New Roman"/>
          <w:sz w:val="18"/>
          <w:szCs w:val="26"/>
          <w:lang w:val="en-GB"/>
        </w:rPr>
        <w:t xml:space="preserve"> “Technologies for Control and Measurement of Mercury Emissions from Coal-Fired Power Plants in the United States: A 2010 Status Report</w:t>
      </w:r>
      <w:r w:rsidRPr="00F02867">
        <w:rPr>
          <w:rFonts w:ascii="Traditional Arabic" w:hAnsi="Traditional Arabic" w:cs="Traditional Arabic"/>
          <w:sz w:val="26"/>
          <w:szCs w:val="26"/>
          <w:lang w:val="en-GB"/>
        </w:rPr>
        <w:t>”</w:t>
      </w:r>
      <w:r w:rsidRPr="00F02867">
        <w:rPr>
          <w:rFonts w:ascii="Traditional Arabic" w:hAnsi="Traditional Arabic" w:cs="Traditional Arabic"/>
          <w:noProof w:val="0"/>
          <w:kern w:val="14"/>
          <w:sz w:val="26"/>
          <w:szCs w:val="26"/>
          <w:rtl/>
          <w:lang w:val="en-GB" w:bidi="ar-EG"/>
        </w:rPr>
        <w:t>، تموز/يوليه 2010، الصفحات 2-22.</w:t>
      </w:r>
      <w:r w:rsidRPr="00E371AF">
        <w:rPr>
          <w:rFonts w:ascii="Times New Roman" w:hAnsi="Times New Roman" w:cs="Times New Roman"/>
          <w:noProof w:val="0"/>
          <w:kern w:val="14"/>
          <w:sz w:val="18"/>
          <w:szCs w:val="26"/>
          <w:rtl/>
          <w:lang w:val="en-GB" w:bidi="ar-EG"/>
        </w:rPr>
        <w:t xml:space="preserve"> </w:t>
      </w:r>
      <w:hyperlink r:id="rId8" w:history="1">
        <w:r w:rsidRPr="00E371AF">
          <w:rPr>
            <w:rStyle w:val="Hyperlink"/>
            <w:rFonts w:ascii="Times New Roman" w:hAnsi="Times New Roman" w:cs="Times New Roman"/>
            <w:color w:val="auto"/>
            <w:sz w:val="18"/>
            <w:szCs w:val="26"/>
            <w:u w:val="none"/>
            <w:lang w:val="en-GB"/>
          </w:rPr>
          <w:t>http://www.nescaum.org/activities/major-reports</w:t>
        </w:r>
      </w:hyperlink>
      <w:r w:rsidRPr="00E371AF">
        <w:rPr>
          <w:rFonts w:ascii="Times New Roman" w:hAnsi="Times New Roman" w:cs="Times New Roman"/>
          <w:noProof w:val="0"/>
          <w:kern w:val="14"/>
          <w:sz w:val="18"/>
          <w:szCs w:val="26"/>
          <w:rtl/>
          <w:lang w:val="en-GB" w:bidi="ar-EG"/>
        </w:rPr>
        <w:t>.</w:t>
      </w:r>
    </w:p>
  </w:footnote>
  <w:footnote w:id="26">
    <w:p w:rsidR="00670B40" w:rsidRPr="00E371AF" w:rsidRDefault="00670B40" w:rsidP="00EE438F">
      <w:pPr>
        <w:pStyle w:val="FootnoteText"/>
        <w:spacing w:after="40" w:line="300" w:lineRule="exact"/>
        <w:ind w:left="565"/>
        <w:jc w:val="both"/>
        <w:rPr>
          <w:rFonts w:ascii="Times New Roman" w:hAnsi="Times New Roman" w:cs="Times New Roman"/>
          <w:sz w:val="18"/>
          <w:szCs w:val="26"/>
        </w:rPr>
      </w:pPr>
      <w:r w:rsidRPr="00F02867">
        <w:rPr>
          <w:rFonts w:ascii="Traditional Arabic" w:hAnsi="Traditional Arabic" w:cs="Traditional Arabic"/>
          <w:noProof w:val="0"/>
          <w:kern w:val="14"/>
          <w:sz w:val="18"/>
          <w:szCs w:val="26"/>
          <w:rtl/>
        </w:rPr>
        <w:t>(</w:t>
      </w:r>
      <w:r w:rsidRPr="00F02867">
        <w:rPr>
          <w:rStyle w:val="FootnoteReference"/>
          <w:rFonts w:ascii="Traditional Arabic" w:hAnsi="Traditional Arabic" w:cs="Traditional Arabic"/>
          <w:noProof w:val="0"/>
          <w:kern w:val="14"/>
          <w:sz w:val="18"/>
          <w:szCs w:val="26"/>
          <w:vertAlign w:val="baseline"/>
          <w:rtl/>
        </w:rPr>
        <w:footnoteRef/>
      </w:r>
      <w:r w:rsidRPr="00F02867">
        <w:rPr>
          <w:rFonts w:ascii="Traditional Arabic" w:hAnsi="Traditional Arabic" w:cs="Traditional Arabic"/>
          <w:noProof w:val="0"/>
          <w:kern w:val="14"/>
          <w:sz w:val="18"/>
          <w:szCs w:val="26"/>
          <w:rtl/>
        </w:rPr>
        <w:t>)</w:t>
      </w:r>
      <w:r w:rsidRPr="00F02867">
        <w:rPr>
          <w:rFonts w:ascii="Traditional Arabic" w:hAnsi="Traditional Arabic" w:cs="Traditional Arabic"/>
          <w:noProof w:val="0"/>
          <w:kern w:val="14"/>
          <w:sz w:val="18"/>
          <w:szCs w:val="26"/>
        </w:rPr>
        <w:t xml:space="preserve">  </w:t>
      </w:r>
      <w:r w:rsidRPr="00F02867">
        <w:rPr>
          <w:rFonts w:ascii="Traditional Arabic" w:hAnsi="Traditional Arabic" w:cs="Traditional Arabic"/>
          <w:noProof w:val="0"/>
          <w:kern w:val="14"/>
          <w:sz w:val="18"/>
          <w:szCs w:val="26"/>
          <w:rtl/>
        </w:rPr>
        <w:t xml:space="preserve">وكالة حماية البيئية في الولايات المتحدة - مواصفة الأداء </w:t>
      </w:r>
      <w:r w:rsidRPr="00E371AF">
        <w:rPr>
          <w:rFonts w:ascii="Times New Roman" w:hAnsi="Times New Roman" w:cs="Times New Roman"/>
          <w:noProof w:val="0"/>
          <w:kern w:val="14"/>
          <w:sz w:val="18"/>
          <w:szCs w:val="26"/>
        </w:rPr>
        <w:t>12B</w:t>
      </w:r>
      <w:r w:rsidRPr="00E371AF">
        <w:rPr>
          <w:rFonts w:ascii="Times New Roman" w:hAnsi="Times New Roman" w:cs="Times New Roman"/>
          <w:noProof w:val="0"/>
          <w:kern w:val="14"/>
          <w:sz w:val="18"/>
          <w:szCs w:val="26"/>
          <w:rtl/>
        </w:rPr>
        <w:t xml:space="preserve">. </w:t>
      </w:r>
      <w:hyperlink r:id="rId9" w:history="1">
        <w:r w:rsidRPr="00E371AF">
          <w:rPr>
            <w:rStyle w:val="Hyperlink"/>
            <w:rFonts w:ascii="Times New Roman" w:hAnsi="Times New Roman" w:cs="Times New Roman"/>
            <w:color w:val="auto"/>
            <w:sz w:val="18"/>
            <w:szCs w:val="26"/>
            <w:u w:val="none"/>
            <w:lang w:val="en-GB"/>
          </w:rPr>
          <w:t>http://www.epa.gov/ttn/emc/perfspec.html</w:t>
        </w:r>
      </w:hyperlink>
      <w:r w:rsidRPr="00E371AF">
        <w:rPr>
          <w:rFonts w:ascii="Times New Roman" w:hAnsi="Times New Roman" w:cs="Times New Roman"/>
          <w:noProof w:val="0"/>
          <w:kern w:val="14"/>
          <w:sz w:val="18"/>
          <w:szCs w:val="26"/>
          <w:rtl/>
        </w:rPr>
        <w:t>.</w:t>
      </w:r>
    </w:p>
  </w:footnote>
  <w:footnote w:id="27">
    <w:p w:rsidR="00670B40" w:rsidRPr="00E371AF" w:rsidRDefault="00670B40" w:rsidP="000A4605">
      <w:pPr>
        <w:pStyle w:val="FootnoteText"/>
        <w:spacing w:after="40" w:line="300" w:lineRule="exact"/>
        <w:ind w:left="565"/>
        <w:jc w:val="both"/>
        <w:rPr>
          <w:rFonts w:ascii="Times New Roman" w:hAnsi="Times New Roman" w:cs="Times New Roman"/>
          <w:sz w:val="18"/>
          <w:szCs w:val="26"/>
        </w:rPr>
      </w:pPr>
      <w:r w:rsidRPr="00F02867">
        <w:rPr>
          <w:rFonts w:ascii="Traditional Arabic" w:hAnsi="Traditional Arabic" w:cs="Traditional Arabic"/>
          <w:noProof w:val="0"/>
          <w:kern w:val="14"/>
          <w:sz w:val="18"/>
          <w:szCs w:val="26"/>
          <w:rtl/>
        </w:rPr>
        <w:t>(</w:t>
      </w:r>
      <w:r w:rsidRPr="00F02867">
        <w:rPr>
          <w:rStyle w:val="FootnoteReference"/>
          <w:rFonts w:ascii="Traditional Arabic" w:hAnsi="Traditional Arabic" w:cs="Traditional Arabic"/>
          <w:noProof w:val="0"/>
          <w:kern w:val="14"/>
          <w:sz w:val="18"/>
          <w:szCs w:val="26"/>
          <w:vertAlign w:val="baseline"/>
          <w:rtl/>
        </w:rPr>
        <w:footnoteRef/>
      </w:r>
      <w:r w:rsidRPr="00F02867">
        <w:rPr>
          <w:rFonts w:ascii="Traditional Arabic" w:hAnsi="Traditional Arabic" w:cs="Traditional Arabic"/>
          <w:noProof w:val="0"/>
          <w:kern w:val="14"/>
          <w:sz w:val="18"/>
          <w:szCs w:val="26"/>
          <w:rtl/>
        </w:rPr>
        <w:t>)</w:t>
      </w:r>
      <w:r w:rsidRPr="00F02867">
        <w:rPr>
          <w:rFonts w:ascii="Traditional Arabic" w:hAnsi="Traditional Arabic" w:cs="Traditional Arabic"/>
          <w:noProof w:val="0"/>
          <w:kern w:val="14"/>
          <w:sz w:val="18"/>
          <w:szCs w:val="26"/>
        </w:rPr>
        <w:t xml:space="preserve">  </w:t>
      </w:r>
      <w:r w:rsidRPr="00F02867">
        <w:rPr>
          <w:rFonts w:ascii="Traditional Arabic" w:hAnsi="Traditional Arabic" w:cs="Traditional Arabic"/>
          <w:noProof w:val="0"/>
          <w:kern w:val="14"/>
          <w:sz w:val="18"/>
          <w:szCs w:val="26"/>
          <w:rtl/>
        </w:rPr>
        <w:t xml:space="preserve">ب. أمار، وس. سينيور ور. ألفونسو وج. شتودت (2010) </w:t>
      </w:r>
      <w:r w:rsidRPr="00E371AF">
        <w:rPr>
          <w:rFonts w:ascii="Times New Roman" w:hAnsi="Times New Roman" w:cs="Times New Roman"/>
          <w:sz w:val="18"/>
          <w:szCs w:val="26"/>
          <w:lang w:val="en-GB"/>
        </w:rPr>
        <w:t>NESCAUM Report</w:t>
      </w:r>
      <w:r w:rsidRPr="00E371AF">
        <w:rPr>
          <w:rFonts w:ascii="Times New Roman" w:hAnsi="Times New Roman" w:cs="Times New Roman"/>
          <w:sz w:val="18"/>
          <w:szCs w:val="26"/>
          <w:rtl/>
          <w:lang w:val="en-GB"/>
        </w:rPr>
        <w:t xml:space="preserve"> </w:t>
      </w:r>
      <w:r w:rsidRPr="00E371AF">
        <w:rPr>
          <w:rFonts w:ascii="Times New Roman" w:hAnsi="Times New Roman" w:cs="Times New Roman"/>
          <w:noProof w:val="0"/>
          <w:sz w:val="18"/>
          <w:szCs w:val="26"/>
          <w:rtl/>
          <w:lang w:val="en-GB" w:bidi="ar-EG"/>
        </w:rPr>
        <w:t>(</w:t>
      </w:r>
      <w:r w:rsidRPr="00F02867">
        <w:rPr>
          <w:rFonts w:ascii="Traditional Arabic" w:hAnsi="Traditional Arabic" w:cs="Traditional Arabic"/>
          <w:noProof w:val="0"/>
          <w:sz w:val="18"/>
          <w:szCs w:val="26"/>
          <w:rtl/>
          <w:lang w:val="en-GB" w:bidi="ar-EG"/>
        </w:rPr>
        <w:t>تقرير رابطة الشمال الشرقي لتنسيق إدارة استخدام الهواء)</w:t>
      </w:r>
      <w:r w:rsidRPr="00E371AF">
        <w:rPr>
          <w:rFonts w:ascii="Times New Roman" w:hAnsi="Times New Roman" w:cs="Times New Roman"/>
          <w:sz w:val="18"/>
          <w:szCs w:val="26"/>
          <w:lang w:val="en-GB"/>
        </w:rPr>
        <w:t xml:space="preserve"> “Technologies for Control and Measurement of Mercury Emissions from Coal-Fired Power Plants in the United States: A 2010 Status Report</w:t>
      </w:r>
      <w:r w:rsidRPr="00F02867">
        <w:rPr>
          <w:rFonts w:ascii="Traditional Arabic" w:hAnsi="Traditional Arabic" w:cs="Traditional Arabic"/>
          <w:sz w:val="26"/>
          <w:szCs w:val="26"/>
          <w:lang w:val="en-GB"/>
        </w:rPr>
        <w:t>.”</w:t>
      </w:r>
      <w:r w:rsidRPr="00F02867">
        <w:rPr>
          <w:rFonts w:ascii="Traditional Arabic" w:hAnsi="Traditional Arabic" w:cs="Traditional Arabic"/>
          <w:noProof w:val="0"/>
          <w:kern w:val="14"/>
          <w:sz w:val="26"/>
          <w:szCs w:val="26"/>
          <w:rtl/>
          <w:lang w:val="en-GB" w:bidi="ar-EG"/>
        </w:rPr>
        <w:t>، تموز/يوليه 2010، الصفحات</w:t>
      </w:r>
      <w:r w:rsidRPr="00F02867">
        <w:rPr>
          <w:rFonts w:ascii="Traditional Arabic" w:hAnsi="Traditional Arabic" w:cs="Traditional Arabic"/>
          <w:noProof w:val="0"/>
          <w:kern w:val="14"/>
          <w:sz w:val="26"/>
          <w:szCs w:val="26"/>
          <w:lang w:val="en-GB" w:bidi="ar-EG"/>
        </w:rPr>
        <w:t xml:space="preserve"> </w:t>
      </w:r>
      <w:r w:rsidRPr="00F02867">
        <w:rPr>
          <w:rFonts w:ascii="Traditional Arabic" w:hAnsi="Traditional Arabic" w:cs="Traditional Arabic"/>
          <w:noProof w:val="0"/>
          <w:kern w:val="14"/>
          <w:sz w:val="26"/>
          <w:szCs w:val="26"/>
          <w:rtl/>
          <w:lang w:val="en-GB" w:bidi="ar-EG"/>
        </w:rPr>
        <w:t>2-7</w:t>
      </w:r>
      <w:r w:rsidRPr="00E371AF">
        <w:rPr>
          <w:rFonts w:ascii="Times New Roman" w:hAnsi="Times New Roman" w:cs="Times New Roman"/>
          <w:noProof w:val="0"/>
          <w:kern w:val="14"/>
          <w:sz w:val="18"/>
          <w:szCs w:val="26"/>
          <w:rtl/>
          <w:lang w:val="en-GB" w:bidi="ar-EG"/>
        </w:rPr>
        <w:t xml:space="preserve"> </w:t>
      </w:r>
      <w:hyperlink r:id="rId10" w:history="1">
        <w:r w:rsidRPr="00290AD9">
          <w:rPr>
            <w:rStyle w:val="Hyperlink"/>
            <w:rFonts w:asciiTheme="majorBidi" w:hAnsiTheme="majorBidi" w:cstheme="majorBidi"/>
            <w:color w:val="auto"/>
            <w:sz w:val="17"/>
            <w:szCs w:val="17"/>
            <w:u w:val="none"/>
            <w:lang w:val="en-GB"/>
          </w:rPr>
          <w:t>http://www.nescaum.org/activities/major-reports</w:t>
        </w:r>
      </w:hyperlink>
      <w:r w:rsidRPr="00E371AF">
        <w:rPr>
          <w:rFonts w:ascii="Times New Roman" w:hAnsi="Times New Roman" w:cs="Times New Roman"/>
          <w:noProof w:val="0"/>
          <w:kern w:val="14"/>
          <w:sz w:val="18"/>
          <w:szCs w:val="26"/>
          <w:rtl/>
          <w:lang w:val="en-GB" w:bidi="ar-EG"/>
        </w:rPr>
        <w:t>.</w:t>
      </w:r>
    </w:p>
  </w:footnote>
  <w:footnote w:id="28">
    <w:p w:rsidR="00670B40" w:rsidRPr="00290AD9" w:rsidRDefault="00670B40" w:rsidP="000A4605">
      <w:pPr>
        <w:pStyle w:val="FootnoteText"/>
        <w:spacing w:after="40" w:line="300" w:lineRule="exact"/>
        <w:ind w:left="565"/>
        <w:jc w:val="both"/>
        <w:rPr>
          <w:rFonts w:ascii="Traditional Arabic" w:hAnsi="Traditional Arabic" w:cs="Traditional Arabic"/>
          <w:sz w:val="18"/>
          <w:szCs w:val="26"/>
        </w:rPr>
      </w:pPr>
      <w:r w:rsidRPr="00290AD9">
        <w:rPr>
          <w:rFonts w:ascii="Traditional Arabic" w:hAnsi="Traditional Arabic" w:cs="Traditional Arabic"/>
          <w:noProof w:val="0"/>
          <w:kern w:val="14"/>
          <w:sz w:val="18"/>
          <w:szCs w:val="26"/>
          <w:rtl/>
        </w:rPr>
        <w:t>(</w:t>
      </w:r>
      <w:r w:rsidRPr="00290AD9">
        <w:rPr>
          <w:rStyle w:val="FootnoteReference"/>
          <w:rFonts w:ascii="Traditional Arabic" w:hAnsi="Traditional Arabic" w:cs="Traditional Arabic"/>
          <w:noProof w:val="0"/>
          <w:kern w:val="14"/>
          <w:sz w:val="18"/>
          <w:szCs w:val="26"/>
          <w:vertAlign w:val="baseline"/>
          <w:rtl/>
        </w:rPr>
        <w:footnoteRef/>
      </w:r>
      <w:r w:rsidRPr="00290AD9">
        <w:rPr>
          <w:rFonts w:ascii="Traditional Arabic" w:hAnsi="Traditional Arabic" w:cs="Traditional Arabic"/>
          <w:noProof w:val="0"/>
          <w:kern w:val="14"/>
          <w:sz w:val="18"/>
          <w:szCs w:val="26"/>
          <w:rtl/>
        </w:rPr>
        <w:t>)</w:t>
      </w:r>
      <w:r w:rsidRPr="00290AD9">
        <w:rPr>
          <w:rFonts w:ascii="Traditional Arabic" w:hAnsi="Traditional Arabic" w:cs="Traditional Arabic"/>
          <w:noProof w:val="0"/>
          <w:kern w:val="14"/>
          <w:sz w:val="18"/>
          <w:szCs w:val="26"/>
        </w:rPr>
        <w:t xml:space="preserve">  </w:t>
      </w:r>
      <w:r w:rsidRPr="00290AD9">
        <w:rPr>
          <w:rFonts w:ascii="Traditional Arabic" w:hAnsi="Traditional Arabic" w:cs="Traditional Arabic"/>
          <w:noProof w:val="0"/>
          <w:kern w:val="14"/>
          <w:sz w:val="18"/>
          <w:szCs w:val="26"/>
          <w:rtl/>
        </w:rPr>
        <w:t>ف. غيرتر وأ. ج. سيك، ألمانيا، رسالة شخصية. أيلول/سبتمبر 2015.</w:t>
      </w:r>
    </w:p>
  </w:footnote>
  <w:footnote w:id="29">
    <w:p w:rsidR="00670B40" w:rsidRPr="00E371AF" w:rsidRDefault="00670B40" w:rsidP="000A4605">
      <w:pPr>
        <w:pStyle w:val="FootnoteText"/>
        <w:spacing w:after="40" w:line="300" w:lineRule="exact"/>
        <w:ind w:left="567"/>
        <w:jc w:val="both"/>
        <w:rPr>
          <w:rFonts w:ascii="Times New Roman" w:hAnsi="Times New Roman" w:cs="Times New Roman"/>
          <w:sz w:val="18"/>
          <w:szCs w:val="26"/>
        </w:rPr>
      </w:pPr>
      <w:r w:rsidRPr="00290AD9">
        <w:rPr>
          <w:rFonts w:ascii="Traditional Arabic" w:hAnsi="Traditional Arabic" w:cs="Traditional Arabic"/>
          <w:noProof w:val="0"/>
          <w:kern w:val="14"/>
          <w:sz w:val="18"/>
          <w:szCs w:val="26"/>
          <w:rtl/>
        </w:rPr>
        <w:t>(</w:t>
      </w:r>
      <w:r w:rsidRPr="00290AD9">
        <w:rPr>
          <w:rStyle w:val="FootnoteReference"/>
          <w:rFonts w:ascii="Traditional Arabic" w:hAnsi="Traditional Arabic" w:cs="Traditional Arabic"/>
          <w:noProof w:val="0"/>
          <w:kern w:val="14"/>
          <w:sz w:val="18"/>
          <w:szCs w:val="26"/>
          <w:vertAlign w:val="baseline"/>
          <w:rtl/>
        </w:rPr>
        <w:footnoteRef/>
      </w:r>
      <w:r w:rsidRPr="00290AD9">
        <w:rPr>
          <w:rFonts w:ascii="Traditional Arabic" w:hAnsi="Traditional Arabic" w:cs="Traditional Arabic"/>
          <w:noProof w:val="0"/>
          <w:kern w:val="14"/>
          <w:sz w:val="18"/>
          <w:szCs w:val="26"/>
          <w:rtl/>
        </w:rPr>
        <w:t>)</w:t>
      </w:r>
      <w:r w:rsidRPr="00290AD9">
        <w:rPr>
          <w:rFonts w:ascii="Traditional Arabic" w:hAnsi="Traditional Arabic" w:cs="Traditional Arabic"/>
          <w:noProof w:val="0"/>
          <w:kern w:val="14"/>
          <w:sz w:val="18"/>
          <w:szCs w:val="26"/>
        </w:rPr>
        <w:t xml:space="preserve">  </w:t>
      </w:r>
      <w:r w:rsidRPr="00290AD9">
        <w:rPr>
          <w:rFonts w:ascii="Traditional Arabic" w:hAnsi="Traditional Arabic" w:cs="Traditional Arabic"/>
          <w:noProof w:val="0"/>
          <w:kern w:val="14"/>
          <w:sz w:val="18"/>
          <w:szCs w:val="26"/>
          <w:rtl/>
        </w:rPr>
        <w:t>وكالة حماية البيئة في الولايات، مواصفة الأداء</w:t>
      </w:r>
      <w:r w:rsidRPr="00E371AF">
        <w:rPr>
          <w:rFonts w:ascii="Times New Roman" w:hAnsi="Times New Roman" w:cs="Times New Roman"/>
          <w:noProof w:val="0"/>
          <w:kern w:val="14"/>
          <w:sz w:val="18"/>
          <w:szCs w:val="26"/>
          <w:rtl/>
        </w:rPr>
        <w:t xml:space="preserve"> </w:t>
      </w:r>
      <w:r w:rsidRPr="00E371AF">
        <w:rPr>
          <w:rFonts w:ascii="Times New Roman" w:hAnsi="Times New Roman" w:cs="Times New Roman"/>
          <w:noProof w:val="0"/>
          <w:kern w:val="14"/>
          <w:sz w:val="18"/>
          <w:szCs w:val="26"/>
        </w:rPr>
        <w:t>12A</w:t>
      </w:r>
      <w:r w:rsidRPr="00E371AF">
        <w:rPr>
          <w:rFonts w:ascii="Times New Roman" w:hAnsi="Times New Roman" w:cs="Times New Roman"/>
          <w:noProof w:val="0"/>
          <w:kern w:val="14"/>
          <w:sz w:val="18"/>
          <w:szCs w:val="26"/>
          <w:rtl/>
        </w:rPr>
        <w:t xml:space="preserve">. </w:t>
      </w:r>
      <w:hyperlink r:id="rId11" w:history="1">
        <w:r w:rsidRPr="00E371AF">
          <w:rPr>
            <w:rStyle w:val="Hyperlink"/>
            <w:rFonts w:ascii="Times New Roman" w:hAnsi="Times New Roman" w:cs="Times New Roman"/>
            <w:color w:val="auto"/>
            <w:sz w:val="18"/>
            <w:szCs w:val="26"/>
            <w:u w:val="none"/>
            <w:lang w:val="en-GB"/>
          </w:rPr>
          <w:t>http://www.epa.gov/ttn/emc/perfspec.html</w:t>
        </w:r>
      </w:hyperlink>
      <w:r w:rsidRPr="00E371AF">
        <w:rPr>
          <w:rFonts w:ascii="Times New Roman" w:hAnsi="Times New Roman" w:cs="Times New Roman"/>
          <w:noProof w:val="0"/>
          <w:kern w:val="14"/>
          <w:sz w:val="18"/>
          <w:szCs w:val="26"/>
          <w:rtl/>
        </w:rPr>
        <w:t>.</w:t>
      </w:r>
    </w:p>
  </w:footnote>
  <w:footnote w:id="30">
    <w:p w:rsidR="00670B40" w:rsidRPr="00290AD9" w:rsidRDefault="00670B40" w:rsidP="009F44ED">
      <w:pPr>
        <w:pStyle w:val="FootnoteText"/>
        <w:spacing w:after="40" w:line="300" w:lineRule="exact"/>
        <w:ind w:left="567"/>
        <w:jc w:val="both"/>
        <w:rPr>
          <w:rFonts w:ascii="Traditional Arabic" w:hAnsi="Traditional Arabic" w:cs="Traditional Arabic"/>
          <w:noProof w:val="0"/>
          <w:kern w:val="14"/>
          <w:sz w:val="18"/>
          <w:szCs w:val="26"/>
        </w:rPr>
      </w:pPr>
      <w:r w:rsidRPr="00290AD9">
        <w:rPr>
          <w:rFonts w:ascii="Traditional Arabic" w:hAnsi="Traditional Arabic" w:cs="Traditional Arabic"/>
          <w:noProof w:val="0"/>
          <w:kern w:val="14"/>
          <w:sz w:val="18"/>
          <w:szCs w:val="26"/>
          <w:rtl/>
        </w:rPr>
        <w:t>(</w:t>
      </w:r>
      <w:r w:rsidRPr="00290AD9">
        <w:rPr>
          <w:rStyle w:val="FootnoteReference"/>
          <w:rFonts w:ascii="Traditional Arabic" w:hAnsi="Traditional Arabic" w:cs="Traditional Arabic"/>
          <w:noProof w:val="0"/>
          <w:kern w:val="14"/>
          <w:sz w:val="18"/>
          <w:szCs w:val="26"/>
          <w:vertAlign w:val="baseline"/>
          <w:rtl/>
        </w:rPr>
        <w:footnoteRef/>
      </w:r>
      <w:r w:rsidRPr="00290AD9">
        <w:rPr>
          <w:rFonts w:ascii="Traditional Arabic" w:hAnsi="Traditional Arabic" w:cs="Traditional Arabic"/>
          <w:noProof w:val="0"/>
          <w:kern w:val="14"/>
          <w:sz w:val="18"/>
          <w:szCs w:val="26"/>
          <w:rtl/>
        </w:rPr>
        <w:t>)</w:t>
      </w:r>
      <w:r w:rsidRPr="00290AD9">
        <w:rPr>
          <w:rFonts w:ascii="Traditional Arabic" w:hAnsi="Traditional Arabic" w:cs="Traditional Arabic"/>
          <w:noProof w:val="0"/>
          <w:kern w:val="14"/>
          <w:sz w:val="18"/>
          <w:szCs w:val="26"/>
        </w:rPr>
        <w:t xml:space="preserve">  </w:t>
      </w:r>
      <w:r w:rsidRPr="00290AD9">
        <w:rPr>
          <w:rFonts w:ascii="Traditional Arabic" w:hAnsi="Traditional Arabic" w:cs="Traditional Arabic"/>
          <w:noProof w:val="0"/>
          <w:kern w:val="14"/>
          <w:sz w:val="18"/>
          <w:szCs w:val="26"/>
          <w:rtl/>
        </w:rPr>
        <w:t>اللجنة الأوروبية للتوحيد القياسي، ”</w:t>
      </w:r>
      <w:r w:rsidRPr="00E371AF">
        <w:rPr>
          <w:rFonts w:ascii="Times New Roman" w:hAnsi="Times New Roman" w:cs="Times New Roman"/>
          <w:sz w:val="18"/>
          <w:szCs w:val="26"/>
          <w:lang w:val="en-GB"/>
        </w:rPr>
        <w:t>EN 14884:2005</w:t>
      </w:r>
      <w:r w:rsidRPr="00E371AF">
        <w:rPr>
          <w:rFonts w:ascii="Times New Roman" w:hAnsi="Times New Roman" w:cs="Times New Roman"/>
          <w:noProof w:val="0"/>
          <w:kern w:val="14"/>
          <w:sz w:val="18"/>
          <w:szCs w:val="26"/>
        </w:rPr>
        <w:t>:</w:t>
      </w:r>
      <w:r w:rsidRPr="00E371AF">
        <w:rPr>
          <w:rFonts w:ascii="Times New Roman" w:hAnsi="Times New Roman" w:cs="Times New Roman"/>
          <w:noProof w:val="0"/>
          <w:kern w:val="14"/>
          <w:sz w:val="18"/>
          <w:szCs w:val="26"/>
          <w:rtl/>
        </w:rPr>
        <w:t xml:space="preserve"> </w:t>
      </w:r>
      <w:r w:rsidRPr="00290AD9">
        <w:rPr>
          <w:rFonts w:ascii="Traditional Arabic" w:hAnsi="Traditional Arabic" w:cs="Traditional Arabic"/>
          <w:noProof w:val="0"/>
          <w:kern w:val="14"/>
          <w:sz w:val="18"/>
          <w:szCs w:val="26"/>
          <w:rtl/>
        </w:rPr>
        <w:t>نوعية الهواء - انبعاثات المصادر الثابتة - تحديد مجموع الزئبق: نُظم القياس الأوتوماتية“</w:t>
      </w:r>
      <w:r w:rsidRPr="00290AD9">
        <w:rPr>
          <w:rFonts w:ascii="Traditional Arabic" w:hAnsi="Traditional Arabic" w:cs="Traditional Arabic"/>
          <w:noProof w:val="0"/>
          <w:sz w:val="18"/>
          <w:szCs w:val="26"/>
          <w:rtl/>
          <w:lang w:val="en-GB" w:bidi="ar-EG"/>
        </w:rPr>
        <w:t xml:space="preserve">، </w:t>
      </w:r>
      <w:r w:rsidRPr="00290AD9">
        <w:rPr>
          <w:rFonts w:ascii="Traditional Arabic" w:hAnsi="Traditional Arabic" w:cs="Traditional Arabic"/>
          <w:noProof w:val="0"/>
          <w:kern w:val="14"/>
          <w:sz w:val="18"/>
          <w:szCs w:val="26"/>
          <w:rtl/>
        </w:rPr>
        <w:t>28 تشرين الثاني/نوفمبر 2005</w:t>
      </w:r>
      <w:r>
        <w:rPr>
          <w:rFonts w:ascii="Traditional Arabic" w:hAnsi="Traditional Arabic" w:cs="Traditional Arabic" w:hint="cs"/>
          <w:noProof w:val="0"/>
          <w:kern w:val="14"/>
          <w:sz w:val="18"/>
          <w:szCs w:val="26"/>
          <w:rtl/>
        </w:rPr>
        <w:t>.</w:t>
      </w:r>
    </w:p>
    <w:p w:rsidR="00670B40" w:rsidRPr="00290AD9" w:rsidRDefault="00F37B77" w:rsidP="000A4605">
      <w:pPr>
        <w:pStyle w:val="FootnoteText"/>
        <w:spacing w:after="40" w:line="300" w:lineRule="exact"/>
        <w:ind w:left="567"/>
        <w:jc w:val="both"/>
        <w:rPr>
          <w:rFonts w:asciiTheme="majorBidi" w:hAnsiTheme="majorBidi" w:cstheme="majorBidi"/>
          <w:sz w:val="17"/>
          <w:szCs w:val="17"/>
        </w:rPr>
      </w:pPr>
      <w:hyperlink r:id="rId12" w:history="1">
        <w:r w:rsidR="00670B40" w:rsidRPr="00290AD9">
          <w:rPr>
            <w:rStyle w:val="Hyperlink"/>
            <w:rFonts w:asciiTheme="majorBidi" w:hAnsiTheme="majorBidi" w:cstheme="majorBidi"/>
            <w:color w:val="auto"/>
            <w:sz w:val="17"/>
            <w:szCs w:val="17"/>
            <w:u w:val="none"/>
          </w:rPr>
          <w:t>http://standards.cen.eu/dyn/www/f?p=204:110:0::::FSP_PROJECT:22225&amp;cs=1D527AD08718E6354287EA554A53ADF26</w:t>
        </w:r>
      </w:hyperlink>
      <w:r w:rsidR="00670B40" w:rsidRPr="00290AD9">
        <w:rPr>
          <w:rFonts w:asciiTheme="majorBidi" w:hAnsiTheme="majorBidi" w:cstheme="majorBidi"/>
          <w:noProof w:val="0"/>
          <w:kern w:val="14"/>
          <w:sz w:val="17"/>
          <w:szCs w:val="17"/>
          <w:rtl/>
          <w:lang w:val="en-GB" w:bidi="ar-EG"/>
        </w:rPr>
        <w:t>.</w:t>
      </w:r>
    </w:p>
  </w:footnote>
  <w:footnote w:id="31">
    <w:p w:rsidR="00670B40" w:rsidRPr="00290AD9" w:rsidRDefault="00670B40" w:rsidP="009F44ED">
      <w:pPr>
        <w:pStyle w:val="FootnoteText"/>
        <w:spacing w:after="40" w:line="300" w:lineRule="exact"/>
        <w:ind w:left="567"/>
        <w:jc w:val="both"/>
        <w:rPr>
          <w:rFonts w:ascii="Traditional Arabic" w:hAnsi="Traditional Arabic" w:cs="Traditional Arabic"/>
          <w:noProof w:val="0"/>
          <w:kern w:val="14"/>
          <w:sz w:val="18"/>
          <w:szCs w:val="26"/>
        </w:rPr>
      </w:pPr>
      <w:r w:rsidRPr="00290AD9">
        <w:rPr>
          <w:rFonts w:ascii="Traditional Arabic" w:hAnsi="Traditional Arabic" w:cs="Traditional Arabic"/>
          <w:noProof w:val="0"/>
          <w:kern w:val="14"/>
          <w:sz w:val="18"/>
          <w:szCs w:val="26"/>
          <w:rtl/>
        </w:rPr>
        <w:t>(</w:t>
      </w:r>
      <w:r w:rsidRPr="00290AD9">
        <w:rPr>
          <w:rStyle w:val="FootnoteReference"/>
          <w:rFonts w:ascii="Traditional Arabic" w:hAnsi="Traditional Arabic" w:cs="Traditional Arabic"/>
          <w:noProof w:val="0"/>
          <w:kern w:val="14"/>
          <w:sz w:val="18"/>
          <w:szCs w:val="26"/>
          <w:vertAlign w:val="baseline"/>
          <w:rtl/>
        </w:rPr>
        <w:footnoteRef/>
      </w:r>
      <w:r w:rsidRPr="00290AD9">
        <w:rPr>
          <w:rFonts w:ascii="Traditional Arabic" w:hAnsi="Traditional Arabic" w:cs="Traditional Arabic"/>
          <w:noProof w:val="0"/>
          <w:kern w:val="14"/>
          <w:sz w:val="18"/>
          <w:szCs w:val="26"/>
          <w:rtl/>
        </w:rPr>
        <w:t>)</w:t>
      </w:r>
      <w:r w:rsidRPr="00290AD9">
        <w:rPr>
          <w:rFonts w:ascii="Traditional Arabic" w:hAnsi="Traditional Arabic" w:cs="Traditional Arabic"/>
          <w:noProof w:val="0"/>
          <w:kern w:val="14"/>
          <w:sz w:val="18"/>
          <w:szCs w:val="26"/>
        </w:rPr>
        <w:t xml:space="preserve">  </w:t>
      </w:r>
      <w:r w:rsidRPr="00290AD9">
        <w:rPr>
          <w:rFonts w:ascii="Traditional Arabic" w:hAnsi="Traditional Arabic" w:cs="Traditional Arabic"/>
          <w:noProof w:val="0"/>
          <w:kern w:val="14"/>
          <w:sz w:val="18"/>
          <w:szCs w:val="26"/>
          <w:rtl/>
        </w:rPr>
        <w:t>اللجنة الأوروبية للتوحيد القياسي، ”</w:t>
      </w:r>
      <w:r w:rsidRPr="00E371AF">
        <w:rPr>
          <w:rFonts w:ascii="Times New Roman" w:hAnsi="Times New Roman" w:cs="Times New Roman"/>
          <w:sz w:val="18"/>
          <w:szCs w:val="26"/>
          <w:lang w:val="en-GB"/>
        </w:rPr>
        <w:t>EN 14181:2014</w:t>
      </w:r>
      <w:r w:rsidRPr="00290AD9">
        <w:rPr>
          <w:rFonts w:ascii="Traditional Arabic" w:hAnsi="Traditional Arabic" w:cs="Traditional Arabic"/>
          <w:noProof w:val="0"/>
          <w:kern w:val="14"/>
          <w:sz w:val="18"/>
          <w:szCs w:val="26"/>
          <w:rtl/>
        </w:rPr>
        <w:t>: انبعاثات المصادر الثابتة - ضمان نوعية نُظم القياس الأوتوماتية“، 11 تشرين الأول/أكتوبر 2014</w:t>
      </w:r>
      <w:r>
        <w:rPr>
          <w:rFonts w:ascii="Traditional Arabic" w:hAnsi="Traditional Arabic" w:cs="Traditional Arabic" w:hint="cs"/>
          <w:noProof w:val="0"/>
          <w:kern w:val="14"/>
          <w:sz w:val="18"/>
          <w:szCs w:val="26"/>
          <w:rtl/>
        </w:rPr>
        <w:t>.</w:t>
      </w:r>
    </w:p>
    <w:p w:rsidR="00670B40" w:rsidRPr="00290AD9" w:rsidRDefault="00F37B77" w:rsidP="000A4605">
      <w:pPr>
        <w:pStyle w:val="FootnoteText"/>
        <w:spacing w:after="40" w:line="300" w:lineRule="exact"/>
        <w:ind w:left="567"/>
        <w:jc w:val="both"/>
        <w:rPr>
          <w:rFonts w:asciiTheme="majorBidi" w:hAnsiTheme="majorBidi" w:cstheme="majorBidi"/>
          <w:sz w:val="17"/>
          <w:szCs w:val="17"/>
        </w:rPr>
      </w:pPr>
      <w:hyperlink r:id="rId13" w:history="1">
        <w:r w:rsidR="00670B40" w:rsidRPr="003033D5">
          <w:rPr>
            <w:rStyle w:val="Hyperlink"/>
            <w:rFonts w:asciiTheme="majorBidi" w:hAnsiTheme="majorBidi" w:cstheme="majorBidi"/>
            <w:color w:val="auto"/>
            <w:sz w:val="17"/>
            <w:szCs w:val="17"/>
            <w:u w:val="none"/>
          </w:rPr>
          <w:t>http://standards.cen.eu/dyn/www/f?p=204:110:0::::FSP_PROJECT:33416&amp;cs=1D563C09742AECB59945D4E1D645A5DCB</w:t>
        </w:r>
      </w:hyperlink>
      <w:r w:rsidR="00670B40" w:rsidRPr="00290AD9">
        <w:rPr>
          <w:rFonts w:asciiTheme="majorBidi" w:hAnsiTheme="majorBidi" w:cstheme="majorBidi"/>
          <w:noProof w:val="0"/>
          <w:kern w:val="14"/>
          <w:sz w:val="17"/>
          <w:szCs w:val="17"/>
          <w:rtl/>
          <w:lang w:val="en-GB" w:bidi="ar-EG"/>
        </w:rPr>
        <w:t>.</w:t>
      </w:r>
    </w:p>
  </w:footnote>
  <w:footnote w:id="32">
    <w:p w:rsidR="00670B40" w:rsidRPr="00290AD9" w:rsidRDefault="00670B40" w:rsidP="009F44ED">
      <w:pPr>
        <w:pStyle w:val="FootnoteText"/>
        <w:spacing w:after="40" w:line="300" w:lineRule="exact"/>
        <w:ind w:left="567"/>
        <w:jc w:val="both"/>
        <w:rPr>
          <w:rFonts w:ascii="Traditional Arabic" w:hAnsi="Traditional Arabic" w:cs="Traditional Arabic"/>
          <w:sz w:val="18"/>
          <w:szCs w:val="26"/>
        </w:rPr>
      </w:pPr>
      <w:r w:rsidRPr="00290AD9">
        <w:rPr>
          <w:rFonts w:ascii="Traditional Arabic" w:hAnsi="Traditional Arabic" w:cs="Traditional Arabic"/>
          <w:noProof w:val="0"/>
          <w:kern w:val="14"/>
          <w:sz w:val="18"/>
          <w:szCs w:val="26"/>
          <w:rtl/>
        </w:rPr>
        <w:t>(</w:t>
      </w:r>
      <w:r w:rsidRPr="00290AD9">
        <w:rPr>
          <w:rStyle w:val="FootnoteReference"/>
          <w:rFonts w:ascii="Traditional Arabic" w:hAnsi="Traditional Arabic" w:cs="Traditional Arabic"/>
          <w:noProof w:val="0"/>
          <w:kern w:val="14"/>
          <w:sz w:val="18"/>
          <w:szCs w:val="26"/>
          <w:vertAlign w:val="baseline"/>
          <w:rtl/>
        </w:rPr>
        <w:footnoteRef/>
      </w:r>
      <w:r w:rsidRPr="00290AD9">
        <w:rPr>
          <w:rFonts w:ascii="Traditional Arabic" w:hAnsi="Traditional Arabic" w:cs="Traditional Arabic"/>
          <w:noProof w:val="0"/>
          <w:kern w:val="14"/>
          <w:sz w:val="18"/>
          <w:szCs w:val="26"/>
          <w:rtl/>
        </w:rPr>
        <w:t xml:space="preserve">)  </w:t>
      </w:r>
      <w:r w:rsidRPr="00E371AF">
        <w:rPr>
          <w:rFonts w:ascii="Times New Roman" w:hAnsi="Times New Roman" w:cs="Times New Roman"/>
          <w:sz w:val="18"/>
          <w:szCs w:val="26"/>
          <w:lang w:val="en-GB"/>
        </w:rPr>
        <w:t>EN 15267-1</w:t>
      </w:r>
      <w:r w:rsidRPr="00E371AF">
        <w:rPr>
          <w:rFonts w:ascii="Times New Roman" w:hAnsi="Times New Roman" w:cs="Times New Roman"/>
          <w:noProof w:val="0"/>
          <w:kern w:val="14"/>
          <w:sz w:val="18"/>
          <w:szCs w:val="26"/>
          <w:rtl/>
        </w:rPr>
        <w:t xml:space="preserve"> </w:t>
      </w:r>
      <w:r w:rsidRPr="00290AD9">
        <w:rPr>
          <w:rFonts w:ascii="Traditional Arabic" w:hAnsi="Traditional Arabic" w:cs="Traditional Arabic"/>
          <w:noProof w:val="0"/>
          <w:kern w:val="14"/>
          <w:sz w:val="18"/>
          <w:szCs w:val="26"/>
          <w:rtl/>
        </w:rPr>
        <w:t>نوعية الهواء - شهادة صلاحية نُظم القياس الأوتوماتية - الجزء 1: المبادئ العامة،</w:t>
      </w:r>
      <w:r w:rsidRPr="00E371AF">
        <w:rPr>
          <w:rFonts w:ascii="Times New Roman" w:hAnsi="Times New Roman" w:cs="Times New Roman"/>
          <w:noProof w:val="0"/>
          <w:kern w:val="14"/>
          <w:sz w:val="18"/>
          <w:szCs w:val="26"/>
          <w:rtl/>
        </w:rPr>
        <w:t xml:space="preserve"> </w:t>
      </w:r>
      <w:r w:rsidRPr="00E371AF">
        <w:rPr>
          <w:rFonts w:ascii="Times New Roman" w:hAnsi="Times New Roman" w:cs="Times New Roman"/>
          <w:sz w:val="18"/>
          <w:szCs w:val="26"/>
          <w:lang w:val="en-GB"/>
        </w:rPr>
        <w:t>EN 15267-2</w:t>
      </w:r>
      <w:r w:rsidRPr="00290AD9">
        <w:rPr>
          <w:rFonts w:ascii="Traditional Arabic" w:hAnsi="Traditional Arabic" w:cs="Traditional Arabic"/>
          <w:noProof w:val="0"/>
          <w:kern w:val="14"/>
          <w:sz w:val="18"/>
          <w:szCs w:val="26"/>
          <w:rtl/>
        </w:rPr>
        <w:t xml:space="preserve">: نوعية الهواء - شهادة صلاحية نُظم القياس الأوتوماتية - الجزء 2: التقييم الأوَّلي لنظام إدارة النوعية لصانع نظام القياس الأوتوماتي والمراقبة بعد إصدار شهادة الصلاحية لعملية التصنيع، </w:t>
      </w:r>
      <w:r w:rsidRPr="00E371AF">
        <w:rPr>
          <w:rFonts w:ascii="Times New Roman" w:hAnsi="Times New Roman" w:cs="Times New Roman"/>
          <w:sz w:val="18"/>
          <w:szCs w:val="26"/>
          <w:lang w:val="en-GB"/>
        </w:rPr>
        <w:t>EN 15267-3</w:t>
      </w:r>
      <w:r w:rsidRPr="00290AD9">
        <w:rPr>
          <w:rFonts w:ascii="Traditional Arabic" w:hAnsi="Traditional Arabic" w:cs="Traditional Arabic"/>
          <w:noProof w:val="0"/>
          <w:kern w:val="14"/>
          <w:sz w:val="18"/>
          <w:szCs w:val="26"/>
          <w:rtl/>
        </w:rPr>
        <w:t>: نوعية الهواء - شهادة صلاحية نُظم القياس الأوتوماتية - الجزء 3: معايير الأداء وإجراءات الاختبار لنُظم القياس الأوتوماتية لرصد الانبعاثات من المصادر الثابتة.</w:t>
      </w:r>
    </w:p>
  </w:footnote>
  <w:footnote w:id="33">
    <w:p w:rsidR="00670B40" w:rsidRPr="00290AD9" w:rsidRDefault="00670B40" w:rsidP="009F44ED">
      <w:pPr>
        <w:pStyle w:val="FootnoteText"/>
        <w:spacing w:after="40" w:line="300" w:lineRule="exact"/>
        <w:ind w:left="567"/>
        <w:jc w:val="both"/>
        <w:rPr>
          <w:rFonts w:ascii="Traditional Arabic" w:hAnsi="Traditional Arabic" w:cs="Traditional Arabic"/>
          <w:noProof w:val="0"/>
          <w:kern w:val="14"/>
          <w:sz w:val="18"/>
          <w:szCs w:val="26"/>
          <w:rtl/>
        </w:rPr>
      </w:pPr>
      <w:r w:rsidRPr="00290AD9">
        <w:rPr>
          <w:rFonts w:ascii="Traditional Arabic" w:hAnsi="Traditional Arabic" w:cs="Traditional Arabic"/>
          <w:noProof w:val="0"/>
          <w:kern w:val="14"/>
          <w:sz w:val="18"/>
          <w:szCs w:val="26"/>
          <w:rtl/>
        </w:rPr>
        <w:t>(</w:t>
      </w:r>
      <w:r w:rsidRPr="00290AD9">
        <w:rPr>
          <w:rStyle w:val="FootnoteReference"/>
          <w:rFonts w:ascii="Traditional Arabic" w:hAnsi="Traditional Arabic" w:cs="Traditional Arabic"/>
          <w:noProof w:val="0"/>
          <w:kern w:val="14"/>
          <w:sz w:val="18"/>
          <w:szCs w:val="26"/>
          <w:vertAlign w:val="baseline"/>
          <w:rtl/>
        </w:rPr>
        <w:footnoteRef/>
      </w:r>
      <w:r w:rsidRPr="00290AD9">
        <w:rPr>
          <w:rFonts w:ascii="Traditional Arabic" w:hAnsi="Traditional Arabic" w:cs="Traditional Arabic"/>
          <w:noProof w:val="0"/>
          <w:kern w:val="14"/>
          <w:sz w:val="18"/>
          <w:szCs w:val="26"/>
          <w:rtl/>
        </w:rPr>
        <w:t>)</w:t>
      </w:r>
      <w:r w:rsidRPr="00290AD9">
        <w:rPr>
          <w:rFonts w:ascii="Traditional Arabic" w:hAnsi="Traditional Arabic" w:cs="Traditional Arabic"/>
          <w:noProof w:val="0"/>
          <w:kern w:val="14"/>
          <w:sz w:val="18"/>
          <w:szCs w:val="26"/>
        </w:rPr>
        <w:t xml:space="preserve">  </w:t>
      </w:r>
      <w:r w:rsidRPr="00290AD9">
        <w:rPr>
          <w:rFonts w:ascii="Traditional Arabic" w:hAnsi="Traditional Arabic" w:cs="Traditional Arabic"/>
          <w:noProof w:val="0"/>
          <w:kern w:val="14"/>
          <w:sz w:val="18"/>
          <w:szCs w:val="26"/>
          <w:rtl/>
        </w:rPr>
        <w:t>اللجنة الأوروبية للتوحيد القياسي، ”</w:t>
      </w:r>
      <w:r w:rsidRPr="00E371AF">
        <w:rPr>
          <w:rFonts w:ascii="Times New Roman" w:hAnsi="Times New Roman" w:cs="Times New Roman"/>
          <w:sz w:val="18"/>
          <w:szCs w:val="26"/>
          <w:lang w:val="en-GB"/>
        </w:rPr>
        <w:t>EN 13211:2001/AC:2005</w:t>
      </w:r>
      <w:r w:rsidRPr="00290AD9">
        <w:rPr>
          <w:rFonts w:ascii="Traditional Arabic" w:hAnsi="Traditional Arabic" w:cs="Traditional Arabic"/>
          <w:noProof w:val="0"/>
          <w:kern w:val="14"/>
          <w:sz w:val="18"/>
          <w:szCs w:val="26"/>
          <w:rtl/>
        </w:rPr>
        <w:t>: نوعية الهواء - انبعاثات المصادر الثابتة - الأسلوب اليدوي لتحديد تركيز مجموع الزئبق“، 15 شباط/فبراير 2005،</w:t>
      </w:r>
    </w:p>
    <w:p w:rsidR="00670B40" w:rsidRPr="00E371AF" w:rsidRDefault="00F37B77" w:rsidP="000A4605">
      <w:pPr>
        <w:pStyle w:val="FootnoteText"/>
        <w:spacing w:after="40" w:line="300" w:lineRule="exact"/>
        <w:ind w:left="567"/>
        <w:jc w:val="both"/>
        <w:rPr>
          <w:rFonts w:ascii="Times New Roman" w:hAnsi="Times New Roman" w:cs="Times New Roman"/>
          <w:sz w:val="18"/>
          <w:szCs w:val="26"/>
        </w:rPr>
      </w:pPr>
      <w:hyperlink r:id="rId14" w:history="1">
        <w:r w:rsidR="00670B40" w:rsidRPr="00E371AF">
          <w:rPr>
            <w:rStyle w:val="Hyperlink"/>
            <w:rFonts w:ascii="Times New Roman" w:hAnsi="Times New Roman" w:cs="Times New Roman"/>
            <w:color w:val="auto"/>
            <w:sz w:val="18"/>
            <w:szCs w:val="26"/>
            <w:u w:val="none"/>
            <w:lang w:val="de-DE"/>
          </w:rPr>
          <w:t>http://standards.cen.eu/dyn/www/f?p=204:110:0::::FSP_PROJECT,FSP_ORG_ID:25042,6245&amp;cs=19B884B499893080A731C45504F6F2FB2</w:t>
        </w:r>
      </w:hyperlink>
      <w:r w:rsidR="00670B40" w:rsidRPr="00E371AF">
        <w:rPr>
          <w:rFonts w:ascii="Times New Roman" w:hAnsi="Times New Roman" w:cs="Times New Roman"/>
          <w:noProof w:val="0"/>
          <w:kern w:val="14"/>
          <w:sz w:val="18"/>
          <w:szCs w:val="26"/>
          <w:rtl/>
          <w:lang w:val="en-GB" w:bidi="ar-EG"/>
        </w:rPr>
        <w:t>.</w:t>
      </w:r>
    </w:p>
  </w:footnote>
  <w:footnote w:id="34">
    <w:p w:rsidR="00670B40" w:rsidRPr="00E371AF" w:rsidRDefault="00670B40" w:rsidP="009F44ED">
      <w:pPr>
        <w:pStyle w:val="FootnoteText"/>
        <w:spacing w:after="40" w:line="300" w:lineRule="exact"/>
        <w:ind w:left="565"/>
        <w:jc w:val="both"/>
        <w:rPr>
          <w:rFonts w:ascii="Times New Roman" w:hAnsi="Times New Roman" w:cs="Times New Roman"/>
          <w:sz w:val="18"/>
          <w:szCs w:val="26"/>
        </w:rPr>
      </w:pPr>
      <w:r w:rsidRPr="00290AD9">
        <w:rPr>
          <w:rFonts w:ascii="Traditional Arabic" w:hAnsi="Traditional Arabic" w:cs="Traditional Arabic"/>
          <w:noProof w:val="0"/>
          <w:kern w:val="14"/>
          <w:sz w:val="18"/>
          <w:szCs w:val="26"/>
          <w:rtl/>
        </w:rPr>
        <w:t>(</w:t>
      </w:r>
      <w:r w:rsidRPr="00290AD9">
        <w:rPr>
          <w:rStyle w:val="FootnoteReference"/>
          <w:rFonts w:ascii="Traditional Arabic" w:hAnsi="Traditional Arabic" w:cs="Traditional Arabic"/>
          <w:noProof w:val="0"/>
          <w:kern w:val="14"/>
          <w:sz w:val="18"/>
          <w:szCs w:val="26"/>
          <w:vertAlign w:val="baseline"/>
          <w:rtl/>
        </w:rPr>
        <w:footnoteRef/>
      </w:r>
      <w:r w:rsidRPr="00290AD9">
        <w:rPr>
          <w:rFonts w:ascii="Traditional Arabic" w:hAnsi="Traditional Arabic" w:cs="Traditional Arabic"/>
          <w:noProof w:val="0"/>
          <w:kern w:val="14"/>
          <w:sz w:val="18"/>
          <w:szCs w:val="26"/>
          <w:rtl/>
        </w:rPr>
        <w:t>)</w:t>
      </w:r>
      <w:r w:rsidRPr="00290AD9">
        <w:rPr>
          <w:rFonts w:ascii="Traditional Arabic" w:hAnsi="Traditional Arabic" w:cs="Traditional Arabic"/>
          <w:noProof w:val="0"/>
          <w:kern w:val="14"/>
          <w:sz w:val="18"/>
          <w:szCs w:val="26"/>
        </w:rPr>
        <w:t xml:space="preserve">  </w:t>
      </w:r>
      <w:r w:rsidRPr="00290AD9">
        <w:rPr>
          <w:rFonts w:ascii="Traditional Arabic" w:hAnsi="Traditional Arabic" w:cs="Traditional Arabic"/>
          <w:noProof w:val="0"/>
          <w:kern w:val="14"/>
          <w:sz w:val="18"/>
          <w:szCs w:val="26"/>
          <w:rtl/>
        </w:rPr>
        <w:t>رابطة المعايير اليابانية، ”</w:t>
      </w:r>
      <w:r w:rsidRPr="00E371AF">
        <w:rPr>
          <w:rFonts w:ascii="Times New Roman" w:hAnsi="Times New Roman" w:cs="Times New Roman"/>
          <w:sz w:val="18"/>
          <w:szCs w:val="26"/>
          <w:lang w:val="en-GB"/>
        </w:rPr>
        <w:t>JIS K0222;1997</w:t>
      </w:r>
      <w:r w:rsidRPr="00290AD9">
        <w:rPr>
          <w:rFonts w:ascii="Traditional Arabic" w:hAnsi="Traditional Arabic" w:cs="Traditional Arabic"/>
          <w:noProof w:val="0"/>
          <w:kern w:val="14"/>
          <w:sz w:val="18"/>
          <w:szCs w:val="26"/>
          <w:rtl/>
        </w:rPr>
        <w:t>؛ أساليب تحديد الزئبق في غاز المداخن“، 20 آب/أغسطس 1997.</w:t>
      </w:r>
    </w:p>
  </w:footnote>
  <w:footnote w:id="35">
    <w:p w:rsidR="00670B40" w:rsidRPr="00E371AF" w:rsidRDefault="00670B40" w:rsidP="000A4605">
      <w:pPr>
        <w:pStyle w:val="FootnoteText"/>
        <w:spacing w:after="40" w:line="300" w:lineRule="exact"/>
        <w:ind w:left="565"/>
        <w:jc w:val="both"/>
        <w:rPr>
          <w:rFonts w:ascii="Times New Roman" w:hAnsi="Times New Roman" w:cs="Times New Roman"/>
          <w:sz w:val="18"/>
          <w:szCs w:val="26"/>
        </w:rPr>
      </w:pPr>
      <w:r w:rsidRPr="00290AD9">
        <w:rPr>
          <w:rFonts w:ascii="Traditional Arabic" w:hAnsi="Traditional Arabic" w:cs="Traditional Arabic"/>
          <w:noProof w:val="0"/>
          <w:kern w:val="14"/>
          <w:sz w:val="18"/>
          <w:szCs w:val="26"/>
          <w:rtl/>
        </w:rPr>
        <w:t>(</w:t>
      </w:r>
      <w:r w:rsidRPr="00290AD9">
        <w:rPr>
          <w:rStyle w:val="FootnoteReference"/>
          <w:rFonts w:ascii="Traditional Arabic" w:hAnsi="Traditional Arabic" w:cs="Traditional Arabic"/>
          <w:noProof w:val="0"/>
          <w:kern w:val="14"/>
          <w:sz w:val="18"/>
          <w:szCs w:val="26"/>
          <w:vertAlign w:val="baseline"/>
          <w:rtl/>
        </w:rPr>
        <w:footnoteRef/>
      </w:r>
      <w:r w:rsidRPr="00290AD9">
        <w:rPr>
          <w:rFonts w:ascii="Traditional Arabic" w:hAnsi="Traditional Arabic" w:cs="Traditional Arabic"/>
          <w:noProof w:val="0"/>
          <w:kern w:val="14"/>
          <w:sz w:val="18"/>
          <w:szCs w:val="26"/>
          <w:rtl/>
        </w:rPr>
        <w:t>)</w:t>
      </w:r>
      <w:r w:rsidRPr="00290AD9">
        <w:rPr>
          <w:rFonts w:ascii="Traditional Arabic" w:hAnsi="Traditional Arabic" w:cs="Traditional Arabic"/>
          <w:noProof w:val="0"/>
          <w:kern w:val="14"/>
          <w:sz w:val="18"/>
          <w:szCs w:val="26"/>
        </w:rPr>
        <w:t xml:space="preserve">  </w:t>
      </w:r>
      <w:r w:rsidRPr="00290AD9">
        <w:rPr>
          <w:rFonts w:ascii="Traditional Arabic" w:hAnsi="Traditional Arabic" w:cs="Traditional Arabic"/>
          <w:noProof w:val="0"/>
          <w:kern w:val="14"/>
          <w:sz w:val="18"/>
          <w:szCs w:val="26"/>
          <w:rtl/>
        </w:rPr>
        <w:t>هيئة البيئة في كندا، ”</w:t>
      </w:r>
      <w:r w:rsidRPr="00E371AF">
        <w:rPr>
          <w:rFonts w:ascii="Times New Roman" w:hAnsi="Times New Roman" w:cs="Times New Roman"/>
          <w:sz w:val="18"/>
          <w:szCs w:val="26"/>
          <w:lang w:val="en-GB"/>
        </w:rPr>
        <w:t xml:space="preserve"> Guide for Reporting to the National Pollutant Release Inventory (</w:t>
      </w:r>
      <w:r w:rsidRPr="00290AD9">
        <w:rPr>
          <w:rFonts w:asciiTheme="majorBidi" w:hAnsiTheme="majorBidi" w:cstheme="majorBidi"/>
          <w:sz w:val="18"/>
          <w:szCs w:val="18"/>
          <w:lang w:val="en-GB"/>
        </w:rPr>
        <w:t>NPRI)</w:t>
      </w:r>
      <w:r w:rsidRPr="00290AD9">
        <w:rPr>
          <w:rFonts w:ascii="Traditional Arabic" w:hAnsi="Traditional Arabic" w:cs="Traditional Arabic"/>
          <w:noProof w:val="0"/>
          <w:sz w:val="26"/>
          <w:szCs w:val="26"/>
          <w:rtl/>
          <w:lang w:val="en-GB" w:bidi="ar-EG"/>
        </w:rPr>
        <w:t xml:space="preserve"> (دليل تقديم التقارير إلى القائمة الوطنية لإطلاق الملوثات) </w:t>
      </w:r>
      <w:r w:rsidRPr="00E371AF">
        <w:rPr>
          <w:rFonts w:ascii="Times New Roman" w:hAnsi="Times New Roman" w:cs="Times New Roman"/>
          <w:sz w:val="18"/>
          <w:szCs w:val="26"/>
          <w:lang w:val="en-GB"/>
        </w:rPr>
        <w:t>2012 and 2013</w:t>
      </w:r>
      <w:r w:rsidRPr="00E371AF">
        <w:rPr>
          <w:rFonts w:ascii="Times New Roman" w:hAnsi="Times New Roman" w:cs="Times New Roman"/>
          <w:noProof w:val="0"/>
          <w:sz w:val="18"/>
          <w:szCs w:val="26"/>
          <w:rtl/>
          <w:lang w:val="en-GB" w:bidi="ar-EG"/>
        </w:rPr>
        <w:t xml:space="preserve"> </w:t>
      </w:r>
      <w:r w:rsidRPr="00290AD9">
        <w:rPr>
          <w:rFonts w:ascii="Traditional Arabic" w:hAnsi="Traditional Arabic" w:cs="Traditional Arabic"/>
          <w:noProof w:val="0"/>
          <w:sz w:val="18"/>
          <w:szCs w:val="26"/>
          <w:rtl/>
          <w:lang w:val="en-GB" w:bidi="ar-EG"/>
        </w:rPr>
        <w:t>قانون حماية البيئة الكندي، 1999</w:t>
      </w:r>
      <w:r w:rsidRPr="00E371AF">
        <w:rPr>
          <w:rFonts w:ascii="Times New Roman" w:hAnsi="Times New Roman" w:cs="Times New Roman"/>
          <w:noProof w:val="0"/>
          <w:sz w:val="18"/>
          <w:szCs w:val="26"/>
          <w:rtl/>
          <w:lang w:val="en-GB" w:bidi="ar-EG"/>
        </w:rPr>
        <w:t xml:space="preserve"> </w:t>
      </w:r>
      <w:r w:rsidRPr="00290AD9">
        <w:rPr>
          <w:rFonts w:ascii="Times New Roman" w:hAnsi="Times New Roman" w:cs="Times New Roman"/>
          <w:noProof w:val="0"/>
          <w:sz w:val="18"/>
          <w:szCs w:val="18"/>
          <w:rtl/>
          <w:lang w:val="en-GB" w:bidi="ar-EG"/>
        </w:rPr>
        <w:t>(</w:t>
      </w:r>
      <w:r w:rsidRPr="00290AD9">
        <w:rPr>
          <w:rFonts w:ascii="Times New Roman" w:hAnsi="Times New Roman" w:cs="Times New Roman"/>
          <w:noProof w:val="0"/>
          <w:sz w:val="18"/>
          <w:szCs w:val="18"/>
        </w:rPr>
        <w:t>CEPA 1999</w:t>
      </w:r>
      <w:r w:rsidRPr="00290AD9">
        <w:rPr>
          <w:rFonts w:ascii="Times New Roman" w:hAnsi="Times New Roman" w:cs="Times New Roman"/>
          <w:noProof w:val="0"/>
          <w:sz w:val="18"/>
          <w:szCs w:val="18"/>
          <w:rtl/>
        </w:rPr>
        <w:t>)</w:t>
      </w:r>
      <w:r w:rsidRPr="00290AD9">
        <w:rPr>
          <w:rFonts w:ascii="Traditional Arabic" w:hAnsi="Traditional Arabic" w:cs="Traditional Arabic"/>
          <w:noProof w:val="0"/>
          <w:sz w:val="18"/>
          <w:szCs w:val="26"/>
          <w:rtl/>
        </w:rPr>
        <w:t xml:space="preserve">“، 2013، الصفحة 18. </w:t>
      </w:r>
      <w:hyperlink r:id="rId15" w:history="1">
        <w:r w:rsidRPr="00E371AF">
          <w:rPr>
            <w:rStyle w:val="Hyperlink"/>
            <w:rFonts w:ascii="Times New Roman" w:hAnsi="Times New Roman" w:cs="Times New Roman"/>
            <w:color w:val="auto"/>
            <w:sz w:val="18"/>
            <w:szCs w:val="26"/>
            <w:u w:val="none"/>
          </w:rPr>
          <w:t>https://www.ec.gc.ca/inrp-npri/default.asp?lang=En&amp;n=28C24172-1</w:t>
        </w:r>
      </w:hyperlink>
      <w:r w:rsidRPr="00E371AF">
        <w:rPr>
          <w:rFonts w:ascii="Times New Roman" w:hAnsi="Times New Roman" w:cs="Times New Roman"/>
          <w:noProof w:val="0"/>
          <w:sz w:val="18"/>
          <w:szCs w:val="26"/>
          <w:rtl/>
          <w:lang w:val="en-GB"/>
        </w:rPr>
        <w:t>.</w:t>
      </w:r>
    </w:p>
  </w:footnote>
  <w:footnote w:id="36">
    <w:p w:rsidR="00670B40" w:rsidRPr="00E371AF" w:rsidRDefault="00670B40" w:rsidP="00C30591">
      <w:pPr>
        <w:pStyle w:val="FootnoteText"/>
        <w:spacing w:after="40" w:line="300" w:lineRule="exact"/>
        <w:ind w:left="565"/>
        <w:jc w:val="both"/>
        <w:rPr>
          <w:rFonts w:ascii="Times New Roman" w:hAnsi="Times New Roman" w:cs="Traditional Arabic"/>
          <w:kern w:val="14"/>
          <w:sz w:val="18"/>
          <w:szCs w:val="26"/>
          <w:rtl/>
          <w:lang w:val="en-GB" w:bidi="ar-EG"/>
        </w:rPr>
      </w:pPr>
      <w:r w:rsidRPr="00E371AF">
        <w:rPr>
          <w:rFonts w:ascii="Times New Roman" w:hAnsi="Times New Roman" w:cs="Traditional Arabic"/>
          <w:kern w:val="14"/>
          <w:sz w:val="18"/>
          <w:szCs w:val="26"/>
          <w:rtl/>
          <w:lang w:bidi="ar-EG"/>
        </w:rPr>
        <w:t>(</w:t>
      </w:r>
      <w:r w:rsidRPr="00E371AF">
        <w:rPr>
          <w:rStyle w:val="FootnoteReference"/>
          <w:rFonts w:ascii="Times New Roman" w:hAnsi="Times New Roman" w:cs="Traditional Arabic"/>
          <w:kern w:val="14"/>
          <w:sz w:val="18"/>
          <w:szCs w:val="26"/>
          <w:vertAlign w:val="baseline"/>
          <w:rtl/>
          <w:lang w:bidi="ar-EG"/>
        </w:rPr>
        <w:footnoteRef/>
      </w:r>
      <w:r w:rsidRPr="00E371AF">
        <w:rPr>
          <w:rFonts w:ascii="Times New Roman" w:hAnsi="Times New Roman" w:cs="Traditional Arabic"/>
          <w:kern w:val="14"/>
          <w:sz w:val="18"/>
          <w:szCs w:val="26"/>
          <w:rtl/>
          <w:lang w:bidi="ar-EG"/>
        </w:rPr>
        <w:t>)</w:t>
      </w:r>
      <w:r w:rsidRPr="00E371AF">
        <w:rPr>
          <w:rFonts w:ascii="Times New Roman" w:hAnsi="Times New Roman" w:cs="Traditional Arabic"/>
          <w:kern w:val="14"/>
          <w:sz w:val="18"/>
          <w:szCs w:val="26"/>
          <w:lang w:bidi="ar-EG"/>
        </w:rPr>
        <w:t xml:space="preserve">  </w:t>
      </w:r>
      <w:r w:rsidRPr="00E371AF">
        <w:rPr>
          <w:rFonts w:ascii="Times New Roman" w:hAnsi="Times New Roman" w:cs="Traditional Arabic" w:hint="cs"/>
          <w:kern w:val="14"/>
          <w:sz w:val="18"/>
          <w:szCs w:val="26"/>
          <w:rtl/>
          <w:lang w:bidi="ar-EG"/>
        </w:rPr>
        <w:t>قامت وكالة حماية البيئة في الولايات المتحدة بصياغة أساليب اختبار النض المستخدمة في هذه الدراسة في اختبارات معيارية</w:t>
      </w:r>
      <w:r>
        <w:rPr>
          <w:rFonts w:ascii="Times New Roman" w:hAnsi="Times New Roman" w:cs="Traditional Arabic" w:hint="eastAsia"/>
          <w:kern w:val="14"/>
          <w:sz w:val="18"/>
          <w:szCs w:val="26"/>
          <w:rtl/>
          <w:lang w:bidi="ar-EG"/>
        </w:rPr>
        <w:t> </w:t>
      </w:r>
      <w:r w:rsidRPr="00E371AF">
        <w:rPr>
          <w:rFonts w:ascii="Times New Roman" w:hAnsi="Times New Roman" w:cs="Traditional Arabic" w:hint="cs"/>
          <w:kern w:val="14"/>
          <w:sz w:val="18"/>
          <w:szCs w:val="26"/>
          <w:rtl/>
          <w:lang w:bidi="ar-EG"/>
        </w:rPr>
        <w:t>تُعرف</w:t>
      </w:r>
      <w:r>
        <w:rPr>
          <w:rFonts w:ascii="Times New Roman" w:hAnsi="Times New Roman" w:cs="Traditional Arabic" w:hint="eastAsia"/>
          <w:kern w:val="14"/>
          <w:sz w:val="18"/>
          <w:szCs w:val="26"/>
          <w:rtl/>
          <w:lang w:bidi="ar-EG"/>
        </w:rPr>
        <w:t> </w:t>
      </w:r>
      <w:r w:rsidRPr="00E371AF">
        <w:rPr>
          <w:rFonts w:ascii="Times New Roman" w:hAnsi="Times New Roman" w:cs="Traditional Arabic" w:hint="cs"/>
          <w:kern w:val="14"/>
          <w:sz w:val="18"/>
          <w:szCs w:val="26"/>
          <w:rtl/>
          <w:lang w:bidi="ar-EG"/>
        </w:rPr>
        <w:t xml:space="preserve">باسم أساليب </w:t>
      </w:r>
      <w:r w:rsidRPr="00E371AF">
        <w:rPr>
          <w:rFonts w:ascii="Times New Roman" w:hAnsi="Times New Roman" w:cs="Traditional Arabic" w:hint="eastAsia"/>
          <w:kern w:val="14"/>
          <w:sz w:val="18"/>
          <w:szCs w:val="26"/>
          <w:rtl/>
          <w:lang w:bidi="ar-EG"/>
        </w:rPr>
        <w:t>”</w:t>
      </w:r>
      <w:r w:rsidRPr="00E371AF">
        <w:rPr>
          <w:rFonts w:ascii="Times New Roman" w:hAnsi="Times New Roman" w:cs="Traditional Arabic"/>
          <w:kern w:val="14"/>
          <w:sz w:val="18"/>
          <w:szCs w:val="26"/>
          <w:lang w:bidi="ar-EG"/>
        </w:rPr>
        <w:t>LEAF</w:t>
      </w:r>
      <w:r w:rsidRPr="00E371AF">
        <w:rPr>
          <w:rFonts w:ascii="Times New Roman" w:hAnsi="Times New Roman" w:cs="Traditional Arabic" w:hint="eastAsia"/>
          <w:kern w:val="14"/>
          <w:sz w:val="18"/>
          <w:szCs w:val="26"/>
          <w:rtl/>
          <w:lang w:bidi="ar-EG"/>
        </w:rPr>
        <w:t xml:space="preserve">“. </w:t>
      </w:r>
      <w:r w:rsidRPr="00E371AF">
        <w:rPr>
          <w:rFonts w:ascii="Times New Roman" w:hAnsi="Times New Roman" w:cs="Traditional Arabic" w:hint="cs"/>
          <w:kern w:val="14"/>
          <w:sz w:val="18"/>
          <w:szCs w:val="26"/>
          <w:rtl/>
          <w:lang w:bidi="ar-EG"/>
        </w:rPr>
        <w:t xml:space="preserve">وهذه الأساليب تحمل الأرقام 1313-1316 ويمكن الاطلاع عليها في: </w:t>
      </w:r>
      <w:r w:rsidRPr="00E371AF">
        <w:rPr>
          <w:rFonts w:ascii="Times New Roman" w:hAnsi="Times New Roman" w:cs="Traditional Arabic"/>
          <w:sz w:val="18"/>
          <w:szCs w:val="26"/>
          <w:lang w:val="en-GB"/>
        </w:rPr>
        <w:t>http://epa.gov/wastes/hazard/testmethods/sw846/new_meth.htm</w:t>
      </w:r>
      <w:r w:rsidRPr="00E371AF">
        <w:rPr>
          <w:rFonts w:ascii="Times New Roman" w:hAnsi="Times New Roman" w:cs="Traditional Arabic" w:hint="cs"/>
          <w:sz w:val="18"/>
          <w:szCs w:val="26"/>
          <w:rtl/>
          <w:lang w:val="en-GB"/>
        </w:rPr>
        <w:t>.</w:t>
      </w:r>
    </w:p>
  </w:footnote>
  <w:footnote w:id="37">
    <w:p w:rsidR="00670B40" w:rsidRPr="00E371AF" w:rsidRDefault="00670B40" w:rsidP="000A4605">
      <w:pPr>
        <w:pStyle w:val="FootnoteText"/>
        <w:spacing w:after="40" w:line="300" w:lineRule="exact"/>
        <w:ind w:left="565"/>
        <w:jc w:val="both"/>
        <w:textDirection w:val="tbRlV"/>
        <w:rPr>
          <w:rFonts w:ascii="Times New Roman" w:hAnsi="Times New Roman" w:cs="Times New Roman"/>
          <w:sz w:val="18"/>
          <w:szCs w:val="26"/>
          <w:rtl/>
          <w:lang w:val="en-GB" w:eastAsia="zh-TW"/>
        </w:rPr>
      </w:pPr>
      <w:r w:rsidRPr="009F6006">
        <w:rPr>
          <w:rFonts w:ascii="Traditional Arabic" w:hAnsi="Traditional Arabic" w:cs="Traditional Arabic"/>
          <w:sz w:val="18"/>
          <w:szCs w:val="26"/>
          <w:rtl/>
          <w:lang w:val="en-GB" w:eastAsia="zh-TW"/>
        </w:rPr>
        <w:t>(</w:t>
      </w:r>
      <w:r w:rsidRPr="009F6006">
        <w:rPr>
          <w:rStyle w:val="FootnoteReference"/>
          <w:rFonts w:ascii="Traditional Arabic" w:hAnsi="Traditional Arabic" w:cs="Traditional Arabic"/>
          <w:sz w:val="18"/>
          <w:szCs w:val="26"/>
          <w:vertAlign w:val="baseline"/>
          <w:rtl/>
          <w:lang w:val="en-GB" w:eastAsia="zh-TW"/>
        </w:rPr>
        <w:footnoteRef/>
      </w:r>
      <w:r w:rsidRPr="009F6006">
        <w:rPr>
          <w:rFonts w:ascii="Traditional Arabic" w:hAnsi="Traditional Arabic" w:cs="Traditional Arabic"/>
          <w:sz w:val="18"/>
          <w:szCs w:val="26"/>
          <w:rtl/>
          <w:lang w:val="en-GB" w:eastAsia="zh-TW"/>
        </w:rPr>
        <w:t xml:space="preserve">)  </w:t>
      </w:r>
      <w:r w:rsidRPr="00E371AF">
        <w:rPr>
          <w:rFonts w:ascii="Times New Roman" w:hAnsi="Times New Roman" w:cs="Times New Roman"/>
          <w:sz w:val="18"/>
          <w:szCs w:val="26"/>
          <w:lang w:val="en-GB" w:eastAsia="zh-TW"/>
        </w:rPr>
        <w:t>www.mercuryconvention.org/Portals/11/.../EG1/EU_information.pdf; accessed 24 March 2015</w:t>
      </w:r>
      <w:r w:rsidRPr="00E371AF">
        <w:rPr>
          <w:rFonts w:ascii="Times New Roman" w:hAnsi="Times New Roman" w:cs="Times New Roman"/>
          <w:sz w:val="18"/>
          <w:szCs w:val="26"/>
          <w:rtl/>
          <w:lang w:val="en-GB" w:eastAsia="zh-TW"/>
        </w:rPr>
        <w:t>.</w:t>
      </w:r>
    </w:p>
  </w:footnote>
  <w:footnote w:id="38">
    <w:p w:rsidR="00670B40" w:rsidRPr="00E371AF" w:rsidRDefault="00670B40" w:rsidP="000A4605">
      <w:pPr>
        <w:pStyle w:val="FootnoteText"/>
        <w:spacing w:after="40" w:line="300" w:lineRule="exact"/>
        <w:ind w:left="565"/>
        <w:jc w:val="both"/>
        <w:textDirection w:val="tbRlV"/>
        <w:rPr>
          <w:rFonts w:ascii="Times New Roman" w:hAnsi="Times New Roman" w:cs="Times New Roman"/>
          <w:sz w:val="18"/>
          <w:szCs w:val="26"/>
          <w:rtl/>
          <w:lang w:val="en-GB" w:eastAsia="zh-TW"/>
        </w:rPr>
      </w:pPr>
      <w:r w:rsidRPr="009F6006">
        <w:rPr>
          <w:rFonts w:ascii="Traditional Arabic" w:hAnsi="Traditional Arabic" w:cs="Traditional Arabic"/>
          <w:sz w:val="18"/>
          <w:szCs w:val="26"/>
          <w:rtl/>
          <w:lang w:val="en-GB" w:eastAsia="zh-TW"/>
        </w:rPr>
        <w:t>(</w:t>
      </w:r>
      <w:r w:rsidRPr="009F6006">
        <w:rPr>
          <w:rStyle w:val="FootnoteReference"/>
          <w:rFonts w:ascii="Traditional Arabic" w:hAnsi="Traditional Arabic" w:cs="Traditional Arabic"/>
          <w:sz w:val="18"/>
          <w:szCs w:val="26"/>
          <w:vertAlign w:val="baseline"/>
          <w:rtl/>
          <w:lang w:val="en-GB" w:eastAsia="zh-TW"/>
        </w:rPr>
        <w:footnoteRef/>
      </w:r>
      <w:r w:rsidRPr="009F6006">
        <w:rPr>
          <w:rFonts w:ascii="Traditional Arabic" w:hAnsi="Traditional Arabic" w:cs="Traditional Arabic"/>
          <w:sz w:val="18"/>
          <w:szCs w:val="26"/>
          <w:rtl/>
          <w:lang w:val="en-GB" w:eastAsia="zh-TW"/>
        </w:rPr>
        <w:t xml:space="preserve">)  </w:t>
      </w:r>
      <w:r w:rsidRPr="00E371AF">
        <w:rPr>
          <w:rFonts w:ascii="Times New Roman" w:hAnsi="Times New Roman" w:cs="Times New Roman"/>
          <w:sz w:val="18"/>
          <w:szCs w:val="26"/>
          <w:lang w:val="en-GB" w:eastAsia="zh-TW"/>
        </w:rPr>
        <w:t>http://www.sulphuric-acid.com/techmanual/Properties/properties_acid_quality.htm; accessed 24 March 2015</w:t>
      </w:r>
      <w:r w:rsidRPr="00E371AF">
        <w:rPr>
          <w:rFonts w:ascii="Times New Roman" w:hAnsi="Times New Roman" w:cs="Times New Roman"/>
          <w:sz w:val="18"/>
          <w:szCs w:val="26"/>
          <w:rtl/>
          <w:lang w:val="en-GB" w:eastAsia="zh-TW"/>
        </w:rPr>
        <w:t>.</w:t>
      </w:r>
    </w:p>
  </w:footnote>
  <w:footnote w:id="39">
    <w:p w:rsidR="00670B40" w:rsidRPr="00E371AF" w:rsidRDefault="00670B40" w:rsidP="000A4605">
      <w:pPr>
        <w:pStyle w:val="FootnoteText"/>
        <w:spacing w:after="40" w:line="300" w:lineRule="exact"/>
        <w:ind w:left="565"/>
        <w:jc w:val="both"/>
        <w:textDirection w:val="tbRlV"/>
        <w:rPr>
          <w:rFonts w:ascii="Times New Roman" w:hAnsi="Times New Roman" w:cs="Times New Roman"/>
          <w:sz w:val="18"/>
          <w:szCs w:val="26"/>
          <w:rtl/>
          <w:lang w:val="en-GB" w:eastAsia="zh-TW"/>
        </w:rPr>
      </w:pPr>
      <w:r w:rsidRPr="009F6006">
        <w:rPr>
          <w:rFonts w:ascii="Traditional Arabic" w:hAnsi="Traditional Arabic" w:cs="Traditional Arabic"/>
          <w:sz w:val="18"/>
          <w:szCs w:val="26"/>
          <w:rtl/>
          <w:lang w:val="en-GB" w:eastAsia="zh-TW"/>
        </w:rPr>
        <w:t>(</w:t>
      </w:r>
      <w:r w:rsidRPr="009F6006">
        <w:rPr>
          <w:rStyle w:val="FootnoteReference"/>
          <w:rFonts w:ascii="Traditional Arabic" w:hAnsi="Traditional Arabic" w:cs="Traditional Arabic"/>
          <w:sz w:val="18"/>
          <w:szCs w:val="26"/>
          <w:vertAlign w:val="baseline"/>
          <w:rtl/>
          <w:lang w:val="en-GB" w:eastAsia="zh-TW"/>
        </w:rPr>
        <w:footnoteRef/>
      </w:r>
      <w:r w:rsidRPr="009F6006">
        <w:rPr>
          <w:rFonts w:ascii="Traditional Arabic" w:hAnsi="Traditional Arabic" w:cs="Traditional Arabic"/>
          <w:sz w:val="18"/>
          <w:szCs w:val="26"/>
          <w:rtl/>
          <w:lang w:val="en-GB" w:eastAsia="zh-TW"/>
        </w:rPr>
        <w:t>)</w:t>
      </w:r>
      <w:r w:rsidRPr="00E371AF">
        <w:rPr>
          <w:rFonts w:ascii="Times New Roman" w:hAnsi="Times New Roman" w:cs="Times New Roman"/>
          <w:sz w:val="18"/>
          <w:szCs w:val="26"/>
          <w:rtl/>
          <w:lang w:val="en-GB" w:eastAsia="zh-TW"/>
        </w:rPr>
        <w:t xml:space="preserve"> </w:t>
      </w:r>
      <w:r w:rsidRPr="00E371AF">
        <w:rPr>
          <w:rFonts w:ascii="Times New Roman" w:hAnsi="Times New Roman" w:cs="Times New Roman"/>
          <w:sz w:val="18"/>
          <w:szCs w:val="26"/>
          <w:lang w:val="en-GB" w:eastAsia="zh-TW"/>
        </w:rPr>
        <w:t>http://www.outotec.com/en/About-us/Our-technologies/Gas-cleaning/Mercury-removal/#tabid-2. accessed 24 March 2015</w:t>
      </w:r>
      <w:r w:rsidRPr="00E371AF">
        <w:rPr>
          <w:rFonts w:ascii="Times New Roman" w:hAnsi="Times New Roman" w:cs="Times New Roman" w:hint="cs"/>
          <w:sz w:val="18"/>
          <w:szCs w:val="26"/>
          <w:rtl/>
          <w:lang w:val="en-GB" w:eastAsia="zh-TW"/>
        </w:rPr>
        <w:t>.</w:t>
      </w:r>
    </w:p>
  </w:footnote>
  <w:footnote w:id="40">
    <w:p w:rsidR="00670B40" w:rsidRPr="00E371AF" w:rsidRDefault="00670B40" w:rsidP="000A4605">
      <w:pPr>
        <w:pStyle w:val="FootnoteText"/>
        <w:spacing w:after="40" w:line="300" w:lineRule="exact"/>
        <w:ind w:left="565"/>
        <w:jc w:val="both"/>
        <w:textDirection w:val="tbRlV"/>
        <w:rPr>
          <w:rFonts w:ascii="Times New Roman" w:hAnsi="Times New Roman" w:cs="Times New Roman"/>
          <w:sz w:val="18"/>
          <w:szCs w:val="26"/>
          <w:rtl/>
          <w:lang w:val="en-GB" w:eastAsia="zh-TW"/>
        </w:rPr>
      </w:pPr>
      <w:r w:rsidRPr="009F6006">
        <w:rPr>
          <w:rFonts w:ascii="Traditional Arabic" w:hAnsi="Traditional Arabic" w:cs="Traditional Arabic"/>
          <w:sz w:val="18"/>
          <w:szCs w:val="26"/>
          <w:rtl/>
          <w:lang w:val="en-GB" w:eastAsia="zh-TW"/>
        </w:rPr>
        <w:t>(</w:t>
      </w:r>
      <w:r w:rsidRPr="009F6006">
        <w:rPr>
          <w:rStyle w:val="FootnoteReference"/>
          <w:rFonts w:ascii="Traditional Arabic" w:hAnsi="Traditional Arabic" w:cs="Traditional Arabic"/>
          <w:sz w:val="18"/>
          <w:szCs w:val="26"/>
          <w:vertAlign w:val="baseline"/>
          <w:rtl/>
          <w:lang w:val="en-GB" w:eastAsia="zh-TW"/>
        </w:rPr>
        <w:footnoteRef/>
      </w:r>
      <w:r w:rsidRPr="009F6006">
        <w:rPr>
          <w:rFonts w:ascii="Traditional Arabic" w:hAnsi="Traditional Arabic" w:cs="Traditional Arabic"/>
          <w:sz w:val="18"/>
          <w:szCs w:val="26"/>
          <w:rtl/>
          <w:lang w:val="en-GB" w:eastAsia="zh-TW"/>
        </w:rPr>
        <w:t xml:space="preserve">)  </w:t>
      </w:r>
      <w:r w:rsidRPr="00E371AF">
        <w:rPr>
          <w:rFonts w:ascii="Times New Roman" w:hAnsi="Times New Roman" w:cs="Times New Roman"/>
          <w:sz w:val="18"/>
          <w:szCs w:val="26"/>
          <w:lang w:val="en-GB" w:eastAsia="zh-TW"/>
        </w:rPr>
        <w:t>http://www.sulphuric-acid.com/techmanual/Properties/properties_acid_quality.htm; accessed 24 March 2015</w:t>
      </w:r>
      <w:r w:rsidRPr="00E371AF">
        <w:rPr>
          <w:rFonts w:ascii="Times New Roman" w:hAnsi="Times New Roman" w:cs="Times New Roman"/>
          <w:sz w:val="18"/>
          <w:szCs w:val="26"/>
          <w:rtl/>
          <w:lang w:val="en-GB" w:eastAsia="zh-TW"/>
        </w:rPr>
        <w:t>.</w:t>
      </w:r>
    </w:p>
  </w:footnote>
  <w:footnote w:id="41">
    <w:p w:rsidR="00670B40" w:rsidRPr="00E371AF" w:rsidRDefault="00670B40" w:rsidP="000A4605">
      <w:pPr>
        <w:pStyle w:val="FootnoteText"/>
        <w:spacing w:after="40" w:line="300" w:lineRule="exact"/>
        <w:ind w:left="565"/>
        <w:jc w:val="both"/>
        <w:textDirection w:val="tbRlV"/>
        <w:rPr>
          <w:rFonts w:ascii="Times New Roman" w:hAnsi="Times New Roman" w:cs="Times New Roman"/>
          <w:sz w:val="18"/>
          <w:szCs w:val="26"/>
          <w:rtl/>
          <w:lang w:val="en-GB" w:eastAsia="zh-TW"/>
        </w:rPr>
      </w:pPr>
      <w:r w:rsidRPr="0050351E">
        <w:rPr>
          <w:rFonts w:ascii="Traditional Arabic" w:hAnsi="Traditional Arabic" w:cs="Traditional Arabic"/>
          <w:sz w:val="18"/>
          <w:szCs w:val="26"/>
          <w:rtl/>
          <w:lang w:val="en-GB" w:eastAsia="zh-TW"/>
        </w:rPr>
        <w:t>(</w:t>
      </w:r>
      <w:r w:rsidRPr="0050351E">
        <w:rPr>
          <w:rFonts w:ascii="Traditional Arabic" w:hAnsi="Traditional Arabic" w:cs="Traditional Arabic"/>
          <w:sz w:val="18"/>
          <w:szCs w:val="26"/>
          <w:rtl/>
        </w:rPr>
        <w:footnoteRef/>
      </w:r>
      <w:r w:rsidRPr="0050351E">
        <w:rPr>
          <w:rFonts w:ascii="Traditional Arabic" w:hAnsi="Traditional Arabic" w:cs="Traditional Arabic"/>
          <w:sz w:val="18"/>
          <w:szCs w:val="26"/>
          <w:rtl/>
          <w:lang w:val="en-GB" w:eastAsia="zh-TW"/>
        </w:rPr>
        <w:t xml:space="preserve">)  </w:t>
      </w:r>
      <w:r w:rsidRPr="00E371AF">
        <w:rPr>
          <w:rFonts w:ascii="Times New Roman" w:hAnsi="Times New Roman" w:cs="Times New Roman"/>
          <w:sz w:val="18"/>
          <w:szCs w:val="26"/>
          <w:lang w:val="en-GB" w:eastAsia="zh-TW"/>
        </w:rPr>
        <w:t>http://www.outotec.com/en/About-us/Our-technologies/Gas-cleaning/Mercury-removal/; accessed 24 March 2015</w:t>
      </w:r>
      <w:r w:rsidRPr="00E371AF">
        <w:rPr>
          <w:rFonts w:ascii="Times New Roman" w:hAnsi="Times New Roman" w:cs="Times New Roman"/>
          <w:sz w:val="18"/>
          <w:szCs w:val="26"/>
          <w:rtl/>
          <w:lang w:val="en-GB" w:eastAsia="zh-TW"/>
        </w:rPr>
        <w:t>.</w:t>
      </w:r>
    </w:p>
  </w:footnote>
  <w:footnote w:id="42">
    <w:p w:rsidR="00670B40" w:rsidRPr="0050351E" w:rsidRDefault="00670B40" w:rsidP="000A4605">
      <w:pPr>
        <w:pStyle w:val="FootnoteText"/>
        <w:spacing w:after="40" w:line="300" w:lineRule="exact"/>
        <w:ind w:left="565"/>
        <w:jc w:val="both"/>
        <w:textDirection w:val="tbRlV"/>
        <w:rPr>
          <w:rFonts w:ascii="Traditional Arabic" w:hAnsi="Traditional Arabic" w:cs="Traditional Arabic"/>
          <w:sz w:val="18"/>
          <w:szCs w:val="26"/>
          <w:rtl/>
          <w:lang w:val="en-GB" w:eastAsia="zh-TW"/>
        </w:rPr>
      </w:pPr>
      <w:r w:rsidRPr="0050351E">
        <w:rPr>
          <w:rFonts w:ascii="Traditional Arabic" w:hAnsi="Traditional Arabic" w:cs="Traditional Arabic"/>
          <w:sz w:val="18"/>
          <w:szCs w:val="26"/>
          <w:rtl/>
          <w:lang w:val="en-GB" w:eastAsia="zh-TW"/>
        </w:rPr>
        <w:t>(</w:t>
      </w:r>
      <w:r w:rsidRPr="0050351E">
        <w:rPr>
          <w:rFonts w:ascii="Traditional Arabic" w:hAnsi="Traditional Arabic" w:cs="Traditional Arabic"/>
          <w:sz w:val="18"/>
          <w:szCs w:val="26"/>
          <w:rtl/>
        </w:rPr>
        <w:footnoteRef/>
      </w:r>
      <w:r w:rsidRPr="0050351E">
        <w:rPr>
          <w:rFonts w:ascii="Traditional Arabic" w:hAnsi="Traditional Arabic" w:cs="Traditional Arabic"/>
          <w:sz w:val="18"/>
          <w:szCs w:val="26"/>
          <w:rtl/>
          <w:lang w:val="en-GB" w:eastAsia="zh-TW"/>
        </w:rPr>
        <w:t xml:space="preserve">)  </w:t>
      </w:r>
      <w:r w:rsidRPr="00E371AF">
        <w:rPr>
          <w:rFonts w:ascii="Times New Roman" w:hAnsi="Times New Roman" w:cs="Times New Roman"/>
          <w:sz w:val="18"/>
          <w:szCs w:val="26"/>
          <w:lang w:val="en-GB" w:eastAsia="zh-TW"/>
        </w:rPr>
        <w:t>Nm3</w:t>
      </w:r>
      <w:r w:rsidRPr="00E371AF">
        <w:rPr>
          <w:rFonts w:ascii="Times New Roman" w:hAnsi="Times New Roman" w:cs="Times New Roman"/>
          <w:sz w:val="18"/>
          <w:szCs w:val="26"/>
          <w:rtl/>
          <w:lang w:val="en-GB" w:eastAsia="zh-TW"/>
        </w:rPr>
        <w:t xml:space="preserve"> </w:t>
      </w:r>
      <w:r w:rsidRPr="0050351E">
        <w:rPr>
          <w:rFonts w:ascii="Traditional Arabic" w:hAnsi="Traditional Arabic" w:cs="Traditional Arabic"/>
          <w:sz w:val="18"/>
          <w:szCs w:val="26"/>
          <w:rtl/>
          <w:lang w:val="en-GB" w:eastAsia="zh-TW"/>
        </w:rPr>
        <w:t xml:space="preserve">هو المتر المكعب في الظروف العادية </w:t>
      </w:r>
      <w:r w:rsidRPr="0050351E">
        <w:rPr>
          <w:rFonts w:ascii="Times New Roman" w:hAnsi="Times New Roman" w:cs="Times New Roman"/>
          <w:sz w:val="18"/>
          <w:szCs w:val="18"/>
          <w:rtl/>
          <w:lang w:val="en-GB" w:eastAsia="zh-TW"/>
        </w:rPr>
        <w:t>(</w:t>
      </w:r>
      <w:r w:rsidRPr="0050351E">
        <w:rPr>
          <w:rFonts w:ascii="Times New Roman" w:hAnsi="Times New Roman" w:cs="Times New Roman"/>
          <w:sz w:val="18"/>
          <w:szCs w:val="18"/>
          <w:lang w:val="en-GB" w:eastAsia="zh-TW"/>
        </w:rPr>
        <w:t>normal cubic metre</w:t>
      </w:r>
      <w:r w:rsidRPr="0050351E">
        <w:rPr>
          <w:rFonts w:ascii="Times New Roman" w:hAnsi="Times New Roman" w:cs="Times New Roman"/>
          <w:sz w:val="18"/>
          <w:szCs w:val="18"/>
          <w:rtl/>
          <w:lang w:val="en-GB" w:eastAsia="zh-TW"/>
        </w:rPr>
        <w:t>)</w:t>
      </w:r>
      <w:r w:rsidRPr="00E371AF">
        <w:rPr>
          <w:rFonts w:ascii="Times New Roman" w:hAnsi="Times New Roman" w:cs="Times New Roman"/>
          <w:sz w:val="18"/>
          <w:szCs w:val="26"/>
          <w:rtl/>
          <w:lang w:val="en-GB" w:eastAsia="zh-TW"/>
        </w:rPr>
        <w:t xml:space="preserve"> </w:t>
      </w:r>
      <w:r w:rsidRPr="0050351E">
        <w:rPr>
          <w:rFonts w:ascii="Traditional Arabic" w:hAnsi="Traditional Arabic" w:cs="Traditional Arabic"/>
          <w:sz w:val="18"/>
          <w:szCs w:val="26"/>
          <w:rtl/>
          <w:lang w:val="en-GB" w:eastAsia="zh-TW"/>
        </w:rPr>
        <w:t>ويشير إلى الغاز المقاس عند ضغط جوي 1 ودرجة حرارة صفر درجة مئوية.</w:t>
      </w:r>
    </w:p>
  </w:footnote>
  <w:footnote w:id="43">
    <w:p w:rsidR="00670B40" w:rsidRPr="0050351E" w:rsidRDefault="00670B40" w:rsidP="0050351E">
      <w:pPr>
        <w:pStyle w:val="FootnoteText"/>
        <w:spacing w:after="40" w:line="300" w:lineRule="exact"/>
        <w:ind w:left="565"/>
        <w:jc w:val="both"/>
        <w:textDirection w:val="tbRlV"/>
        <w:rPr>
          <w:rFonts w:ascii="Traditional Arabic" w:hAnsi="Traditional Arabic" w:cs="Traditional Arabic"/>
          <w:sz w:val="18"/>
          <w:szCs w:val="26"/>
          <w:rtl/>
          <w:lang w:val="en-GB" w:eastAsia="zh-TW"/>
        </w:rPr>
      </w:pPr>
      <w:r w:rsidRPr="0050351E">
        <w:rPr>
          <w:rFonts w:ascii="Traditional Arabic" w:hAnsi="Traditional Arabic" w:cs="Traditional Arabic"/>
          <w:sz w:val="25"/>
          <w:szCs w:val="25"/>
          <w:rtl/>
          <w:lang w:val="en-GB" w:eastAsia="zh-TW"/>
        </w:rPr>
        <w:t>(</w:t>
      </w:r>
      <w:r w:rsidRPr="0050351E">
        <w:rPr>
          <w:rFonts w:ascii="Traditional Arabic" w:hAnsi="Traditional Arabic" w:cs="Traditional Arabic"/>
          <w:sz w:val="25"/>
          <w:szCs w:val="25"/>
          <w:rtl/>
        </w:rPr>
        <w:footnoteRef/>
      </w:r>
      <w:r w:rsidRPr="0050351E">
        <w:rPr>
          <w:rFonts w:ascii="Traditional Arabic" w:hAnsi="Traditional Arabic" w:cs="Traditional Arabic"/>
          <w:sz w:val="25"/>
          <w:szCs w:val="25"/>
          <w:rtl/>
          <w:lang w:val="en-GB" w:eastAsia="zh-TW"/>
        </w:rPr>
        <w:t>)  لجنة الأمم المتحدة الاقتصادية لأوروبا، بروتوكول المعادن الثقيلة، المتاح على الرابط:</w:t>
      </w:r>
      <w:r w:rsidRPr="0050351E">
        <w:rPr>
          <w:rFonts w:ascii="Traditional Arabic" w:hAnsi="Traditional Arabic" w:cs="Traditional Arabic"/>
          <w:rtl/>
          <w:lang w:val="en-GB" w:eastAsia="zh-TW"/>
        </w:rPr>
        <w:t xml:space="preserve"> </w:t>
      </w:r>
      <w:r w:rsidRPr="00E371AF">
        <w:rPr>
          <w:rFonts w:ascii="Times New Roman" w:hAnsi="Times New Roman" w:cs="Times New Roman"/>
          <w:sz w:val="18"/>
          <w:szCs w:val="26"/>
          <w:lang w:val="en-GB" w:eastAsia="zh-TW"/>
        </w:rPr>
        <w:t>http://www.unece.org/env/lrtap/hm_h1.html</w:t>
      </w:r>
      <w:r w:rsidRPr="0050351E">
        <w:rPr>
          <w:rFonts w:ascii="Traditional Arabic" w:hAnsi="Traditional Arabic" w:cs="Traditional Arabic"/>
          <w:sz w:val="18"/>
          <w:szCs w:val="26"/>
          <w:rtl/>
          <w:lang w:val="en-GB" w:eastAsia="zh-TW"/>
        </w:rPr>
        <w:t>؛ جرى الاطلاع على الصفحة في 24 آذار/مارس 2015.</w:t>
      </w:r>
    </w:p>
  </w:footnote>
  <w:footnote w:id="44">
    <w:p w:rsidR="00670B40" w:rsidRPr="0050351E" w:rsidRDefault="00670B40" w:rsidP="000A4605">
      <w:pPr>
        <w:pStyle w:val="FootnoteText"/>
        <w:spacing w:after="40" w:line="300" w:lineRule="exact"/>
        <w:ind w:left="565"/>
        <w:jc w:val="both"/>
        <w:textDirection w:val="tbRlV"/>
        <w:rPr>
          <w:rFonts w:ascii="Traditional Arabic" w:hAnsi="Traditional Arabic" w:cs="Traditional Arabic"/>
          <w:sz w:val="18"/>
          <w:szCs w:val="26"/>
          <w:rtl/>
          <w:lang w:val="en-GB" w:eastAsia="zh-TW"/>
        </w:rPr>
      </w:pPr>
      <w:r w:rsidRPr="0050351E">
        <w:rPr>
          <w:rFonts w:ascii="Traditional Arabic" w:hAnsi="Traditional Arabic" w:cs="Traditional Arabic"/>
          <w:sz w:val="18"/>
          <w:szCs w:val="26"/>
          <w:rtl/>
          <w:lang w:val="en-GB" w:eastAsia="zh-TW"/>
        </w:rPr>
        <w:t>(</w:t>
      </w:r>
      <w:r w:rsidRPr="0050351E">
        <w:rPr>
          <w:rFonts w:ascii="Traditional Arabic" w:hAnsi="Traditional Arabic" w:cs="Traditional Arabic"/>
          <w:sz w:val="18"/>
          <w:szCs w:val="26"/>
          <w:rtl/>
        </w:rPr>
        <w:footnoteRef/>
      </w:r>
      <w:r w:rsidRPr="0050351E">
        <w:rPr>
          <w:rFonts w:ascii="Traditional Arabic" w:hAnsi="Traditional Arabic" w:cs="Traditional Arabic"/>
          <w:sz w:val="18"/>
          <w:szCs w:val="26"/>
          <w:rtl/>
          <w:lang w:val="en-GB" w:eastAsia="zh-TW"/>
        </w:rPr>
        <w:t>)  هناك أنواع أخرى من الكربون المنشط، بما في ذلك الكربون المنشط المشبع بالهالوجين والفلوريد واليود والبروم، وهذه تستخدم أيضاً لضبط الزئبق ولكن ليس من الواضح ما إذا كان قطاع المعادن غير الحديدية يستخدم فعلياً هذه الأنواع من الكربون المنشط. وقد يكون المكان الأنسب لهذه الأنواع في قسمنا المتعلق بالتكنولوجيات الناشئة. ولهذا السبب، سيكون تركيز هذا الفصل على الكربون المشبع بالكبريت.</w:t>
      </w:r>
    </w:p>
  </w:footnote>
  <w:footnote w:id="45">
    <w:p w:rsidR="00670B40" w:rsidRPr="002606E2" w:rsidRDefault="00670B40" w:rsidP="000876B6">
      <w:pPr>
        <w:pStyle w:val="FootnoteText"/>
        <w:spacing w:line="280" w:lineRule="exact"/>
        <w:ind w:left="567"/>
        <w:jc w:val="both"/>
        <w:textDirection w:val="tbRlV"/>
        <w:rPr>
          <w:rFonts w:ascii="Traditional Arabic" w:hAnsi="Traditional Arabic" w:cs="Traditional Arabic"/>
          <w:sz w:val="26"/>
          <w:szCs w:val="26"/>
          <w:rtl/>
          <w:lang w:val="en-GB" w:eastAsia="zh-TW"/>
        </w:rPr>
      </w:pPr>
      <w:r w:rsidRPr="002606E2">
        <w:rPr>
          <w:rFonts w:ascii="Traditional Arabic" w:hAnsi="Traditional Arabic" w:cs="Traditional Arabic"/>
          <w:sz w:val="18"/>
          <w:szCs w:val="26"/>
          <w:rtl/>
          <w:lang w:val="en-GB" w:eastAsia="zh-TW"/>
        </w:rPr>
        <w:t>(</w:t>
      </w:r>
      <w:r w:rsidRPr="002606E2">
        <w:rPr>
          <w:rFonts w:ascii="Traditional Arabic" w:hAnsi="Traditional Arabic" w:cs="Traditional Arabic"/>
          <w:sz w:val="18"/>
          <w:szCs w:val="26"/>
          <w:rtl/>
        </w:rPr>
        <w:footnoteRef/>
      </w:r>
      <w:r w:rsidRPr="002606E2">
        <w:rPr>
          <w:rFonts w:ascii="Traditional Arabic" w:hAnsi="Traditional Arabic" w:cs="Traditional Arabic"/>
          <w:sz w:val="18"/>
          <w:szCs w:val="26"/>
          <w:rtl/>
          <w:lang w:val="en-GB" w:eastAsia="zh-TW"/>
        </w:rPr>
        <w:t xml:space="preserve">) </w:t>
      </w:r>
      <w:r w:rsidRPr="00E371AF">
        <w:rPr>
          <w:rFonts w:ascii="Times New Roman" w:hAnsi="Times New Roman" w:cs="Times New Roman"/>
          <w:sz w:val="18"/>
          <w:szCs w:val="26"/>
          <w:lang w:val="en-GB" w:eastAsia="zh-TW"/>
        </w:rPr>
        <w:t xml:space="preserve">[JMIA bulletin “Kozan (http://www.mmf.or.jp/) ” for the April 2015] Takashi Shimizu: Mercury Removal from the Nonferrous Smelter’s Off-gas in Japan </w:t>
      </w:r>
      <w:r w:rsidRPr="00E371AF">
        <w:rPr>
          <w:rFonts w:ascii="Times New Roman" w:hAnsi="Times New Roman" w:cs="Times New Roman" w:hint="cs"/>
          <w:sz w:val="18"/>
          <w:szCs w:val="26"/>
          <w:rtl/>
          <w:lang w:val="en-GB" w:eastAsia="zh-TW"/>
        </w:rPr>
        <w:t>.</w:t>
      </w:r>
      <w:r>
        <w:rPr>
          <w:rFonts w:ascii="Times New Roman" w:hAnsi="Times New Roman" w:cs="Times New Roman" w:hint="cs"/>
          <w:sz w:val="18"/>
          <w:szCs w:val="26"/>
          <w:rtl/>
          <w:lang w:val="en-GB" w:eastAsia="zh-TW"/>
        </w:rPr>
        <w:t xml:space="preserve"> </w:t>
      </w:r>
      <w:r w:rsidRPr="002606E2">
        <w:rPr>
          <w:rFonts w:ascii="Traditional Arabic" w:hAnsi="Traditional Arabic" w:cs="Traditional Arabic"/>
          <w:sz w:val="18"/>
          <w:szCs w:val="26"/>
          <w:rtl/>
          <w:lang w:val="en-GB" w:eastAsia="zh-TW"/>
        </w:rPr>
        <w:t>(نشرة</w:t>
      </w:r>
      <w:r w:rsidRPr="00E371AF">
        <w:rPr>
          <w:rFonts w:ascii="Times New Roman" w:hAnsi="Times New Roman" w:cs="Times New Roman"/>
          <w:sz w:val="18"/>
          <w:szCs w:val="26"/>
          <w:lang w:val="en-GB" w:eastAsia="zh-TW"/>
        </w:rPr>
        <w:t xml:space="preserve"> JMIA </w:t>
      </w:r>
      <w:r w:rsidRPr="002606E2">
        <w:rPr>
          <w:rFonts w:ascii="Traditional Arabic" w:hAnsi="Traditional Arabic" w:cs="Traditional Arabic"/>
          <w:sz w:val="26"/>
          <w:szCs w:val="26"/>
          <w:rtl/>
          <w:lang w:val="en-GB" w:eastAsia="zh-TW"/>
        </w:rPr>
        <w:t>عن نيسان/أبريل 2015 - تاكاشي شيميزو: إزالة الزئبق من الغازات الناتجة عن مصاهر المعادن غير الحديدية في اليابان)</w:t>
      </w:r>
      <w:r w:rsidRPr="002606E2">
        <w:rPr>
          <w:rFonts w:ascii="Traditional Arabic" w:hAnsi="Traditional Arabic" w:cs="Traditional Arabic"/>
          <w:sz w:val="26"/>
          <w:szCs w:val="26"/>
          <w:lang w:val="en-GB" w:eastAsia="zh-TW"/>
        </w:rPr>
        <w:t>.</w:t>
      </w:r>
    </w:p>
  </w:footnote>
  <w:footnote w:id="46">
    <w:p w:rsidR="00670B40" w:rsidRPr="004862A0" w:rsidRDefault="00670B40" w:rsidP="000A4605">
      <w:pPr>
        <w:pStyle w:val="FootnoteText"/>
        <w:spacing w:after="40" w:line="300" w:lineRule="exact"/>
        <w:ind w:left="565"/>
        <w:jc w:val="both"/>
        <w:rPr>
          <w:rFonts w:ascii="Traditional Arabic" w:hAnsi="Traditional Arabic" w:cs="Traditional Arabic"/>
          <w:sz w:val="26"/>
          <w:szCs w:val="26"/>
          <w:rtl/>
        </w:rPr>
      </w:pPr>
      <w:r w:rsidRPr="004862A0">
        <w:rPr>
          <w:rFonts w:ascii="Traditional Arabic" w:hAnsi="Traditional Arabic" w:cs="Traditional Arabic"/>
          <w:sz w:val="26"/>
          <w:szCs w:val="26"/>
          <w:rtl/>
        </w:rPr>
        <w:t>(</w:t>
      </w:r>
      <w:r w:rsidRPr="004862A0">
        <w:rPr>
          <w:rFonts w:ascii="Traditional Arabic" w:hAnsi="Traditional Arabic" w:cs="Traditional Arabic"/>
          <w:sz w:val="26"/>
          <w:szCs w:val="26"/>
        </w:rPr>
        <w:footnoteRef/>
      </w:r>
      <w:r w:rsidRPr="004862A0">
        <w:rPr>
          <w:rFonts w:ascii="Traditional Arabic" w:hAnsi="Traditional Arabic" w:cs="Traditional Arabic"/>
          <w:sz w:val="26"/>
          <w:szCs w:val="26"/>
          <w:rtl/>
        </w:rPr>
        <w:t xml:space="preserve">) </w:t>
      </w:r>
      <w:r w:rsidRPr="00E371AF">
        <w:rPr>
          <w:rFonts w:ascii="Times New Roman" w:hAnsi="Times New Roman" w:cs="Times New Roman"/>
          <w:sz w:val="18"/>
          <w:szCs w:val="26"/>
          <w:lang w:val="en-GB"/>
        </w:rPr>
        <w:t>ASTM Method D2234</w:t>
      </w:r>
      <w:r w:rsidRPr="004862A0">
        <w:rPr>
          <w:rFonts w:ascii="Traditional Arabic" w:hAnsi="Traditional Arabic" w:cs="Traditional Arabic"/>
          <w:sz w:val="26"/>
          <w:szCs w:val="26"/>
          <w:rtl/>
        </w:rPr>
        <w:t>: الممارسات القياسية لجمع عينة إجمالية من الفحم.</w:t>
      </w:r>
    </w:p>
  </w:footnote>
  <w:footnote w:id="47">
    <w:p w:rsidR="00670B40" w:rsidRPr="004862A0" w:rsidRDefault="00670B40" w:rsidP="000A4605">
      <w:pPr>
        <w:pStyle w:val="FootnoteText"/>
        <w:spacing w:after="40" w:line="300" w:lineRule="exact"/>
        <w:ind w:left="565"/>
        <w:jc w:val="both"/>
        <w:rPr>
          <w:rFonts w:ascii="Traditional Arabic" w:hAnsi="Traditional Arabic" w:cs="Traditional Arabic"/>
          <w:sz w:val="26"/>
          <w:szCs w:val="26"/>
          <w:rtl/>
        </w:rPr>
      </w:pPr>
      <w:r w:rsidRPr="004862A0">
        <w:rPr>
          <w:rFonts w:ascii="Traditional Arabic" w:hAnsi="Traditional Arabic" w:cs="Traditional Arabic"/>
          <w:sz w:val="26"/>
          <w:szCs w:val="26"/>
          <w:rtl/>
        </w:rPr>
        <w:t>(</w:t>
      </w:r>
      <w:r w:rsidRPr="004862A0">
        <w:rPr>
          <w:rFonts w:ascii="Traditional Arabic" w:hAnsi="Traditional Arabic" w:cs="Traditional Arabic"/>
          <w:sz w:val="26"/>
          <w:szCs w:val="26"/>
        </w:rPr>
        <w:footnoteRef/>
      </w:r>
      <w:r w:rsidRPr="004862A0">
        <w:rPr>
          <w:rFonts w:ascii="Traditional Arabic" w:hAnsi="Traditional Arabic" w:cs="Traditional Arabic"/>
          <w:sz w:val="26"/>
          <w:szCs w:val="26"/>
          <w:rtl/>
        </w:rPr>
        <w:t xml:space="preserve">) </w:t>
      </w:r>
      <w:r w:rsidRPr="00E371AF">
        <w:rPr>
          <w:rFonts w:ascii="Times New Roman" w:hAnsi="Times New Roman" w:cs="Times New Roman"/>
          <w:sz w:val="18"/>
          <w:szCs w:val="26"/>
          <w:lang w:val="en-GB"/>
        </w:rPr>
        <w:t>ASTM Method D2013</w:t>
      </w:r>
      <w:r w:rsidRPr="004862A0">
        <w:rPr>
          <w:rFonts w:ascii="Traditional Arabic" w:hAnsi="Traditional Arabic" w:cs="Traditional Arabic"/>
          <w:sz w:val="26"/>
          <w:szCs w:val="26"/>
          <w:rtl/>
        </w:rPr>
        <w:t>: الطريقة القياسية لتحضير عينات الفحم للتحليل.</w:t>
      </w:r>
    </w:p>
  </w:footnote>
  <w:footnote w:id="48">
    <w:p w:rsidR="00670B40" w:rsidRPr="004862A0" w:rsidRDefault="00670B40" w:rsidP="000A4605">
      <w:pPr>
        <w:pStyle w:val="FootnoteText"/>
        <w:spacing w:after="40" w:line="300" w:lineRule="exact"/>
        <w:ind w:left="565"/>
        <w:jc w:val="both"/>
        <w:rPr>
          <w:rFonts w:ascii="Traditional Arabic" w:hAnsi="Traditional Arabic" w:cs="Traditional Arabic"/>
          <w:sz w:val="26"/>
          <w:szCs w:val="26"/>
          <w:rtl/>
        </w:rPr>
      </w:pPr>
      <w:r w:rsidRPr="004862A0">
        <w:rPr>
          <w:rFonts w:ascii="Traditional Arabic" w:hAnsi="Traditional Arabic" w:cs="Traditional Arabic"/>
          <w:sz w:val="26"/>
          <w:szCs w:val="26"/>
          <w:rtl/>
        </w:rPr>
        <w:t>(</w:t>
      </w:r>
      <w:r w:rsidRPr="004862A0">
        <w:rPr>
          <w:rFonts w:ascii="Traditional Arabic" w:hAnsi="Traditional Arabic" w:cs="Traditional Arabic"/>
          <w:sz w:val="26"/>
          <w:szCs w:val="26"/>
        </w:rPr>
        <w:footnoteRef/>
      </w:r>
      <w:r w:rsidRPr="004862A0">
        <w:rPr>
          <w:rFonts w:ascii="Traditional Arabic" w:hAnsi="Traditional Arabic" w:cs="Traditional Arabic"/>
          <w:sz w:val="26"/>
          <w:szCs w:val="26"/>
          <w:rtl/>
        </w:rPr>
        <w:t xml:space="preserve">) المعيار الأوروبي </w:t>
      </w:r>
      <w:r w:rsidRPr="00E371AF">
        <w:rPr>
          <w:rFonts w:ascii="Times New Roman" w:hAnsi="Times New Roman" w:cs="Times New Roman"/>
          <w:sz w:val="18"/>
          <w:szCs w:val="26"/>
          <w:lang w:val="en-GB"/>
        </w:rPr>
        <w:t>EN 932-1</w:t>
      </w:r>
      <w:r w:rsidRPr="004862A0">
        <w:rPr>
          <w:rFonts w:ascii="Traditional Arabic" w:hAnsi="Traditional Arabic" w:cs="Traditional Arabic"/>
          <w:sz w:val="26"/>
          <w:szCs w:val="26"/>
          <w:rtl/>
        </w:rPr>
        <w:t>: اختبارات الخواص العامة للعينات المجمعة. طرق لأخذ العينات.</w:t>
      </w:r>
    </w:p>
  </w:footnote>
  <w:footnote w:id="49">
    <w:p w:rsidR="00670B40" w:rsidRPr="004862A0" w:rsidRDefault="00670B40" w:rsidP="000A4605">
      <w:pPr>
        <w:pStyle w:val="FootnoteText"/>
        <w:spacing w:after="40" w:line="300" w:lineRule="exact"/>
        <w:ind w:left="565"/>
        <w:jc w:val="both"/>
        <w:rPr>
          <w:rFonts w:ascii="Traditional Arabic" w:hAnsi="Traditional Arabic" w:cs="Traditional Arabic"/>
          <w:sz w:val="26"/>
          <w:szCs w:val="26"/>
          <w:rtl/>
        </w:rPr>
      </w:pPr>
      <w:r w:rsidRPr="004862A0">
        <w:rPr>
          <w:rFonts w:ascii="Traditional Arabic" w:hAnsi="Traditional Arabic" w:cs="Traditional Arabic"/>
          <w:sz w:val="26"/>
          <w:szCs w:val="26"/>
          <w:rtl/>
        </w:rPr>
        <w:t>(</w:t>
      </w:r>
      <w:r w:rsidRPr="004862A0">
        <w:rPr>
          <w:rFonts w:ascii="Traditional Arabic" w:hAnsi="Traditional Arabic" w:cs="Traditional Arabic"/>
          <w:sz w:val="26"/>
          <w:szCs w:val="26"/>
        </w:rPr>
        <w:footnoteRef/>
      </w:r>
      <w:r w:rsidRPr="004862A0">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E371AF">
        <w:rPr>
          <w:rFonts w:ascii="Times New Roman" w:hAnsi="Times New Roman" w:cs="Times New Roman"/>
          <w:sz w:val="18"/>
          <w:szCs w:val="26"/>
          <w:lang w:val="en-GB"/>
        </w:rPr>
        <w:t>US.EPA Method 1631</w:t>
      </w:r>
      <w:r w:rsidRPr="004862A0">
        <w:rPr>
          <w:rFonts w:ascii="Traditional Arabic" w:hAnsi="Traditional Arabic" w:cs="Traditional Arabic"/>
          <w:sz w:val="26"/>
          <w:szCs w:val="26"/>
          <w:rtl/>
        </w:rPr>
        <w:t>: الزئبق في الماء عن طريق التأكسد والتنظيف والاحتجاز، والقياس الطيفي للفلورة الذرية للبخار البارد. التنقيح هاء، آب/أغسطس 2012.</w:t>
      </w:r>
    </w:p>
  </w:footnote>
  <w:footnote w:id="50">
    <w:p w:rsidR="00670B40" w:rsidRPr="004862A0" w:rsidRDefault="00670B40" w:rsidP="000A4605">
      <w:pPr>
        <w:pStyle w:val="FootnoteText"/>
        <w:spacing w:after="40" w:line="300" w:lineRule="exact"/>
        <w:ind w:left="565"/>
        <w:jc w:val="both"/>
        <w:rPr>
          <w:rFonts w:ascii="Traditional Arabic" w:hAnsi="Traditional Arabic" w:cs="Traditional Arabic"/>
          <w:sz w:val="18"/>
          <w:szCs w:val="26"/>
          <w:rtl/>
        </w:rPr>
      </w:pPr>
      <w:r w:rsidRPr="004862A0">
        <w:rPr>
          <w:rFonts w:ascii="Traditional Arabic" w:hAnsi="Traditional Arabic" w:cs="Traditional Arabic"/>
          <w:sz w:val="26"/>
          <w:szCs w:val="26"/>
          <w:rtl/>
        </w:rPr>
        <w:t>(</w:t>
      </w:r>
      <w:r w:rsidRPr="004862A0">
        <w:rPr>
          <w:rFonts w:ascii="Traditional Arabic" w:hAnsi="Traditional Arabic" w:cs="Traditional Arabic"/>
          <w:sz w:val="26"/>
          <w:szCs w:val="26"/>
        </w:rPr>
        <w:footnoteRef/>
      </w:r>
      <w:r w:rsidRPr="004862A0">
        <w:rPr>
          <w:rFonts w:ascii="Traditional Arabic" w:hAnsi="Traditional Arabic" w:cs="Traditional Arabic"/>
          <w:sz w:val="26"/>
          <w:szCs w:val="26"/>
          <w:rtl/>
        </w:rPr>
        <w:t xml:space="preserve">) </w:t>
      </w:r>
      <w:r w:rsidRPr="00E371AF">
        <w:rPr>
          <w:rFonts w:ascii="Times New Roman" w:hAnsi="Times New Roman" w:cs="Times New Roman"/>
          <w:sz w:val="18"/>
          <w:szCs w:val="26"/>
          <w:lang w:val="en-GB"/>
        </w:rPr>
        <w:t>US.EPA Method 7471b</w:t>
      </w:r>
      <w:r w:rsidRPr="004862A0">
        <w:rPr>
          <w:rFonts w:ascii="Traditional Arabic" w:hAnsi="Traditional Arabic" w:cs="Traditional Arabic"/>
          <w:sz w:val="18"/>
          <w:szCs w:val="26"/>
          <w:rtl/>
        </w:rPr>
        <w:t>: الزئبق في النفايات الصلبة أو شبه الصلبة (تقنية البخار البارد اليدوية). التنقيح 2، شباط/فبراير 2007.</w:t>
      </w:r>
    </w:p>
  </w:footnote>
  <w:footnote w:id="51">
    <w:p w:rsidR="00670B40" w:rsidRPr="00E371AF" w:rsidRDefault="00670B40" w:rsidP="004862A0">
      <w:pPr>
        <w:pStyle w:val="FootnoteText"/>
        <w:spacing w:after="40" w:line="300" w:lineRule="exact"/>
        <w:ind w:left="565"/>
        <w:jc w:val="both"/>
        <w:rPr>
          <w:rFonts w:ascii="Times New Roman" w:hAnsi="Times New Roman" w:cs="Times New Roman"/>
          <w:sz w:val="18"/>
          <w:szCs w:val="26"/>
          <w:rtl/>
        </w:rPr>
      </w:pPr>
      <w:r w:rsidRPr="004862A0">
        <w:rPr>
          <w:rFonts w:ascii="Traditional Arabic" w:hAnsi="Traditional Arabic" w:cs="Traditional Arabic"/>
          <w:sz w:val="26"/>
          <w:szCs w:val="26"/>
          <w:rtl/>
        </w:rPr>
        <w:t>(</w:t>
      </w:r>
      <w:r w:rsidRPr="004862A0">
        <w:rPr>
          <w:rFonts w:ascii="Traditional Arabic" w:hAnsi="Traditional Arabic" w:cs="Traditional Arabic"/>
          <w:sz w:val="26"/>
          <w:szCs w:val="26"/>
        </w:rPr>
        <w:footnoteRef/>
      </w:r>
      <w:r w:rsidRPr="004862A0">
        <w:rPr>
          <w:rFonts w:ascii="Traditional Arabic" w:hAnsi="Traditional Arabic" w:cs="Traditional Arabic"/>
          <w:sz w:val="26"/>
          <w:szCs w:val="26"/>
          <w:rtl/>
        </w:rPr>
        <w:t>) مميزات ومساوئ جميع الطرق، لمحطات الطاقة العاملة بالفحم، تستند أساساً إلى:</w:t>
      </w:r>
      <w:r w:rsidRPr="00E371AF">
        <w:rPr>
          <w:rFonts w:ascii="Times New Roman" w:hAnsi="Times New Roman" w:cs="Times New Roman"/>
          <w:sz w:val="18"/>
          <w:szCs w:val="26"/>
          <w:lang w:val="en-GB"/>
        </w:rPr>
        <w:t>E. Mazzi, Glesmann, S., Bell, A (2006). Canada Wide Standards Mercury Measurements methodologies for coal-fired power plants. EPRI-EPA-DOE-AW&amp;MA Power Plant Air Pollutant Control “MEGA” Symposium, 28–31 August 2006, Baltimore, Maryland, United States. http://www.ires.ubc.ca/files/2010/05/MazziMegapaper152006final.pdf.</w:t>
      </w:r>
    </w:p>
  </w:footnote>
  <w:footnote w:id="52">
    <w:p w:rsidR="00670B40" w:rsidRPr="0093783C" w:rsidRDefault="00670B40" w:rsidP="0093783C">
      <w:pPr>
        <w:pStyle w:val="FootnoteText"/>
        <w:spacing w:after="40" w:line="300" w:lineRule="exact"/>
        <w:ind w:left="565"/>
        <w:jc w:val="both"/>
        <w:rPr>
          <w:rFonts w:ascii="Times New Roman" w:hAnsi="Times New Roman" w:cs="Times New Roman"/>
          <w:sz w:val="18"/>
          <w:szCs w:val="26"/>
          <w:rtl/>
          <w:lang w:val="en-GB" w:eastAsia="zh-TW"/>
        </w:rPr>
      </w:pPr>
      <w:r w:rsidRPr="0093783C">
        <w:rPr>
          <w:rFonts w:ascii="Traditional Arabic" w:hAnsi="Traditional Arabic" w:cs="Traditional Arabic"/>
          <w:sz w:val="18"/>
          <w:szCs w:val="26"/>
          <w:rtl/>
          <w:lang w:val="en-GB" w:eastAsia="zh-TW"/>
        </w:rPr>
        <w:t>(</w:t>
      </w:r>
      <w:r w:rsidRPr="0093783C">
        <w:rPr>
          <w:rFonts w:ascii="Traditional Arabic" w:hAnsi="Traditional Arabic" w:cs="Traditional Arabic"/>
          <w:sz w:val="18"/>
          <w:szCs w:val="26"/>
          <w:rtl/>
          <w:lang w:val="en-GB" w:eastAsia="zh-TW"/>
        </w:rPr>
        <w:footnoteRef/>
      </w:r>
      <w:r w:rsidRPr="0093783C">
        <w:rPr>
          <w:rFonts w:ascii="Traditional Arabic" w:hAnsi="Traditional Arabic" w:cs="Traditional Arabic"/>
          <w:sz w:val="18"/>
          <w:szCs w:val="26"/>
          <w:rtl/>
          <w:lang w:val="en-GB" w:eastAsia="zh-TW"/>
        </w:rPr>
        <w:t xml:space="preserve">)  </w:t>
      </w:r>
      <w:hyperlink r:id="rId16" w:history="1">
        <w:r w:rsidRPr="0093783C">
          <w:rPr>
            <w:rStyle w:val="DeltaViewInsertion"/>
            <w:rFonts w:ascii="Times New Roman" w:hAnsi="Times New Roman" w:cs="Times New Roman"/>
            <w:color w:val="auto"/>
            <w:sz w:val="18"/>
            <w:szCs w:val="26"/>
            <w:u w:val="none"/>
            <w:lang w:val="en-GB"/>
          </w:rPr>
          <w:t>http://www.sulphuric-acid.com/techmanual/GasCleaning/gcl_hg.htm</w:t>
        </w:r>
      </w:hyperlink>
      <w:r w:rsidRPr="0093783C">
        <w:rPr>
          <w:rStyle w:val="DeltaViewInsertion"/>
          <w:rFonts w:ascii="Traditional Arabic" w:hAnsi="Traditional Arabic" w:cs="Traditional Arabic"/>
          <w:color w:val="auto"/>
          <w:sz w:val="18"/>
          <w:szCs w:val="26"/>
          <w:u w:val="none"/>
          <w:rtl/>
          <w:lang w:val="en-GB"/>
        </w:rPr>
        <w:t xml:space="preserve"> (جرى الاطلاع عليها في 16 نيسان/أبريل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B40" w:rsidRDefault="00670B40" w:rsidP="000A4605">
    <w:pPr>
      <w:pStyle w:val="Header"/>
      <w:pBdr>
        <w:bottom w:val="single" w:sz="4" w:space="1" w:color="auto"/>
      </w:pBdr>
      <w:tabs>
        <w:tab w:val="clear" w:pos="4153"/>
        <w:tab w:val="clear" w:pos="8306"/>
      </w:tabs>
      <w:spacing w:before="20" w:after="40"/>
      <w:jc w:val="left"/>
      <w:rPr>
        <w:rtl/>
      </w:rPr>
    </w:pPr>
    <w:r w:rsidRPr="00316903">
      <w:rPr>
        <w:rStyle w:val="PageNumber"/>
        <w:b/>
        <w:bCs/>
        <w:sz w:val="17"/>
        <w:szCs w:val="17"/>
        <w:lang w:val="fr-FR"/>
      </w:rPr>
      <w:t>UNEP</w:t>
    </w:r>
    <w:r>
      <w:rPr>
        <w:rFonts w:cs="Times New Roman"/>
        <w:b/>
        <w:bCs/>
        <w:sz w:val="17"/>
        <w:szCs w:val="17"/>
      </w:rPr>
      <w:t>/MC/COP.1/7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B40" w:rsidRPr="00283C0F" w:rsidRDefault="00670B40" w:rsidP="000A4605">
    <w:pPr>
      <w:pStyle w:val="Header"/>
      <w:pBdr>
        <w:bottom w:val="single" w:sz="4" w:space="1" w:color="auto"/>
      </w:pBdr>
      <w:tabs>
        <w:tab w:val="clear" w:pos="4153"/>
        <w:tab w:val="clear" w:pos="8306"/>
      </w:tabs>
      <w:spacing w:before="20" w:after="40"/>
    </w:pPr>
    <w:r w:rsidRPr="00316903">
      <w:rPr>
        <w:rStyle w:val="PageNumber"/>
        <w:b/>
        <w:bCs/>
        <w:sz w:val="17"/>
        <w:szCs w:val="17"/>
        <w:lang w:val="fr-FR"/>
      </w:rPr>
      <w:t>UNEP</w:t>
    </w:r>
    <w:r>
      <w:rPr>
        <w:rFonts w:cs="Times New Roman"/>
        <w:b/>
        <w:bCs/>
        <w:sz w:val="17"/>
        <w:szCs w:val="17"/>
      </w:rPr>
      <w:t>/MC/COP.1/7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B40" w:rsidRDefault="00670B40" w:rsidP="00D002D1">
    <w:pPr>
      <w:pStyle w:val="Header"/>
      <w:spacing w:line="2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B40" w:rsidRPr="00283C0F" w:rsidRDefault="00670B40" w:rsidP="008F1516">
    <w:pPr>
      <w:pStyle w:val="Header"/>
      <w:pBdr>
        <w:bottom w:val="single" w:sz="4" w:space="1" w:color="auto"/>
      </w:pBdr>
      <w:tabs>
        <w:tab w:val="clear" w:pos="4153"/>
        <w:tab w:val="clear" w:pos="8306"/>
      </w:tabs>
      <w:spacing w:before="20" w:after="40"/>
      <w:jc w:val="left"/>
    </w:pPr>
    <w:r w:rsidRPr="00316903">
      <w:rPr>
        <w:rStyle w:val="PageNumber"/>
        <w:b/>
        <w:bCs/>
        <w:sz w:val="17"/>
        <w:szCs w:val="17"/>
        <w:lang w:val="fr-FR"/>
      </w:rPr>
      <w:t>UNEP</w:t>
    </w:r>
    <w:r>
      <w:rPr>
        <w:rFonts w:cs="Times New Roman"/>
        <w:b/>
        <w:bCs/>
        <w:sz w:val="17"/>
        <w:szCs w:val="17"/>
      </w:rPr>
      <w:t>/MC/COP.1/7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B40" w:rsidRPr="00316903" w:rsidRDefault="00670B40" w:rsidP="00076BC9">
    <w:pPr>
      <w:pBdr>
        <w:bottom w:val="single" w:sz="4" w:space="1" w:color="auto"/>
      </w:pBdr>
      <w:bidi w:val="0"/>
      <w:spacing w:before="20" w:after="40"/>
      <w:jc w:val="right"/>
      <w:rPr>
        <w:rStyle w:val="PageNumber"/>
        <w:b/>
        <w:bCs/>
        <w:sz w:val="17"/>
        <w:szCs w:val="17"/>
      </w:rPr>
    </w:pPr>
    <w:r w:rsidRPr="00316903">
      <w:rPr>
        <w:rStyle w:val="PageNumber"/>
        <w:b/>
        <w:bCs/>
        <w:sz w:val="17"/>
        <w:szCs w:val="17"/>
        <w:lang w:val="fr-FR"/>
      </w:rPr>
      <w:t>UNEP</w:t>
    </w:r>
    <w:r>
      <w:rPr>
        <w:rStyle w:val="PageNumber"/>
        <w:b/>
        <w:bCs/>
        <w:sz w:val="17"/>
        <w:szCs w:val="17"/>
        <w:lang w:val="fr-FR"/>
      </w:rPr>
      <w:t>/MC</w:t>
    </w:r>
    <w:r>
      <w:rPr>
        <w:rFonts w:cs="Times New Roman"/>
        <w:b/>
        <w:bCs/>
        <w:sz w:val="17"/>
        <w:szCs w:val="17"/>
      </w:rPr>
      <w:t>/COP.1/</w:t>
    </w:r>
    <w:r>
      <w:rPr>
        <w:rStyle w:val="PageNumber"/>
        <w:b/>
        <w:bCs/>
        <w:sz w:val="17"/>
        <w:szCs w:val="17"/>
      </w:rPr>
      <w:t>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B40" w:rsidRPr="00316903" w:rsidRDefault="00670B40" w:rsidP="00954E71">
    <w:pPr>
      <w:pBdr>
        <w:bottom w:val="single" w:sz="4" w:space="1" w:color="auto"/>
      </w:pBdr>
      <w:bidi w:val="0"/>
      <w:spacing w:before="20" w:after="40"/>
      <w:rPr>
        <w:rStyle w:val="PageNumber"/>
        <w:b/>
        <w:bCs/>
        <w:sz w:val="17"/>
        <w:szCs w:val="17"/>
      </w:rPr>
    </w:pPr>
    <w:r w:rsidRPr="00316903">
      <w:rPr>
        <w:rStyle w:val="PageNumber"/>
        <w:b/>
        <w:bCs/>
        <w:sz w:val="17"/>
        <w:szCs w:val="17"/>
        <w:lang w:val="fr-FR"/>
      </w:rPr>
      <w:t>UNEP</w:t>
    </w:r>
    <w:r>
      <w:rPr>
        <w:rStyle w:val="PageNumber"/>
        <w:b/>
        <w:bCs/>
        <w:sz w:val="17"/>
        <w:szCs w:val="17"/>
      </w:rPr>
      <w:t>/MC</w:t>
    </w:r>
    <w:r>
      <w:rPr>
        <w:rFonts w:cs="Times New Roman"/>
        <w:b/>
        <w:bCs/>
        <w:sz w:val="17"/>
        <w:szCs w:val="17"/>
      </w:rPr>
      <w:t>/COP.1/7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C7329"/>
    <w:multiLevelType w:val="hybridMultilevel"/>
    <w:tmpl w:val="F8AC72FA"/>
    <w:lvl w:ilvl="0" w:tplc="4B6E0A7A">
      <w:start w:val="1"/>
      <w:numFmt w:val="bullet"/>
      <w:lvlText w:val=""/>
      <w:lvlJc w:val="left"/>
      <w:pPr>
        <w:ind w:left="1145" w:hanging="360"/>
      </w:pPr>
      <w:rPr>
        <w:rFonts w:ascii="Symbol" w:hAnsi="Symbol" w:hint="default"/>
        <w:sz w:val="20"/>
        <w:szCs w:val="2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
    <w:nsid w:val="0E6F74D7"/>
    <w:multiLevelType w:val="hybridMultilevel"/>
    <w:tmpl w:val="3DAEB3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FF6A6D"/>
    <w:multiLevelType w:val="hybridMultilevel"/>
    <w:tmpl w:val="0708F702"/>
    <w:lvl w:ilvl="0" w:tplc="9EE2BF0A">
      <w:start w:val="1"/>
      <w:numFmt w:val="bullet"/>
      <w:lvlText w:val=""/>
      <w:lvlJc w:val="left"/>
      <w:pPr>
        <w:ind w:left="1145" w:hanging="360"/>
      </w:pPr>
      <w:rPr>
        <w:rFonts w:ascii="Symbol" w:hAnsi="Symbol" w:hint="default"/>
        <w:sz w:val="20"/>
        <w:szCs w:val="2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
    <w:nsid w:val="10257D89"/>
    <w:multiLevelType w:val="hybridMultilevel"/>
    <w:tmpl w:val="6D84CDA2"/>
    <w:lvl w:ilvl="0" w:tplc="B718CD3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
    <w:nsid w:val="13862EB7"/>
    <w:multiLevelType w:val="singleLevel"/>
    <w:tmpl w:val="7E2CE5E8"/>
    <w:lvl w:ilvl="0">
      <w:start w:val="1"/>
      <w:numFmt w:val="decimal"/>
      <w:pStyle w:val="Paralevel1"/>
      <w:lvlText w:val="%1."/>
      <w:lvlJc w:val="left"/>
      <w:pPr>
        <w:tabs>
          <w:tab w:val="num" w:pos="360"/>
        </w:tabs>
        <w:ind w:left="0" w:firstLine="0"/>
      </w:pPr>
      <w:rPr>
        <w:rFonts w:ascii="Times New Roman" w:hAnsi="Times New Roman" w:hint="default"/>
        <w:b w:val="0"/>
        <w:i w:val="0"/>
        <w:sz w:val="20"/>
        <w:szCs w:val="20"/>
      </w:rPr>
    </w:lvl>
  </w:abstractNum>
  <w:abstractNum w:abstractNumId="5">
    <w:nsid w:val="16185D0A"/>
    <w:multiLevelType w:val="hybridMultilevel"/>
    <w:tmpl w:val="2EDC1570"/>
    <w:lvl w:ilvl="0" w:tplc="CBE6ABF4">
      <w:start w:val="1"/>
      <w:numFmt w:val="bullet"/>
      <w:lvlText w:val=""/>
      <w:lvlJc w:val="left"/>
      <w:pPr>
        <w:ind w:left="1145" w:hanging="360"/>
      </w:pPr>
      <w:rPr>
        <w:rFonts w:ascii="Symbol" w:hAnsi="Symbol" w:hint="default"/>
        <w:sz w:val="20"/>
        <w:szCs w:val="2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
    <w:nsid w:val="1CE11350"/>
    <w:multiLevelType w:val="hybridMultilevel"/>
    <w:tmpl w:val="2B747816"/>
    <w:lvl w:ilvl="0" w:tplc="74345AAA">
      <w:start w:val="1"/>
      <w:numFmt w:val="bullet"/>
      <w:lvlText w:val="o"/>
      <w:lvlJc w:val="left"/>
      <w:pPr>
        <w:ind w:left="1145" w:hanging="360"/>
      </w:pPr>
      <w:rPr>
        <w:rFonts w:ascii="Courier New" w:hAnsi="Courier New" w:cs="Courier New" w:hint="default"/>
        <w:sz w:val="20"/>
        <w:szCs w:val="2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
    <w:nsid w:val="244D5C00"/>
    <w:multiLevelType w:val="hybridMultilevel"/>
    <w:tmpl w:val="AA8AE18C"/>
    <w:lvl w:ilvl="0" w:tplc="4D22AB1A">
      <w:start w:val="1"/>
      <w:numFmt w:val="decimal"/>
      <w:lvlText w:val="%1 -"/>
      <w:lvlJc w:val="left"/>
      <w:pPr>
        <w:ind w:left="1967" w:hanging="360"/>
      </w:pPr>
      <w:rPr>
        <w:rFonts w:hint="default"/>
        <w:b w:val="0"/>
      </w:rPr>
    </w:lvl>
    <w:lvl w:ilvl="1" w:tplc="04090019">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8">
    <w:nsid w:val="24C0067F"/>
    <w:multiLevelType w:val="hybridMultilevel"/>
    <w:tmpl w:val="EBD621D0"/>
    <w:lvl w:ilvl="0" w:tplc="95F21412">
      <w:start w:val="1"/>
      <w:numFmt w:val="bullet"/>
      <w:lvlText w:val=""/>
      <w:lvlJc w:val="left"/>
      <w:pPr>
        <w:ind w:left="2585" w:hanging="360"/>
      </w:pPr>
      <w:rPr>
        <w:rFonts w:ascii="Symbol" w:hAnsi="Symbol" w:hint="default"/>
        <w:sz w:val="20"/>
        <w:szCs w:val="20"/>
      </w:rPr>
    </w:lvl>
    <w:lvl w:ilvl="1" w:tplc="04090003" w:tentative="1">
      <w:start w:val="1"/>
      <w:numFmt w:val="bullet"/>
      <w:lvlText w:val="o"/>
      <w:lvlJc w:val="left"/>
      <w:pPr>
        <w:ind w:left="3305" w:hanging="360"/>
      </w:pPr>
      <w:rPr>
        <w:rFonts w:ascii="Courier New" w:hAnsi="Courier New" w:cs="Courier New" w:hint="default"/>
      </w:rPr>
    </w:lvl>
    <w:lvl w:ilvl="2" w:tplc="04090005" w:tentative="1">
      <w:start w:val="1"/>
      <w:numFmt w:val="bullet"/>
      <w:lvlText w:val=""/>
      <w:lvlJc w:val="left"/>
      <w:pPr>
        <w:ind w:left="4025" w:hanging="360"/>
      </w:pPr>
      <w:rPr>
        <w:rFonts w:ascii="Wingdings" w:hAnsi="Wingdings" w:hint="default"/>
      </w:rPr>
    </w:lvl>
    <w:lvl w:ilvl="3" w:tplc="04090001" w:tentative="1">
      <w:start w:val="1"/>
      <w:numFmt w:val="bullet"/>
      <w:lvlText w:val=""/>
      <w:lvlJc w:val="left"/>
      <w:pPr>
        <w:ind w:left="4745" w:hanging="360"/>
      </w:pPr>
      <w:rPr>
        <w:rFonts w:ascii="Symbol" w:hAnsi="Symbol" w:hint="default"/>
      </w:rPr>
    </w:lvl>
    <w:lvl w:ilvl="4" w:tplc="04090003" w:tentative="1">
      <w:start w:val="1"/>
      <w:numFmt w:val="bullet"/>
      <w:lvlText w:val="o"/>
      <w:lvlJc w:val="left"/>
      <w:pPr>
        <w:ind w:left="5465" w:hanging="360"/>
      </w:pPr>
      <w:rPr>
        <w:rFonts w:ascii="Courier New" w:hAnsi="Courier New" w:cs="Courier New" w:hint="default"/>
      </w:rPr>
    </w:lvl>
    <w:lvl w:ilvl="5" w:tplc="04090005" w:tentative="1">
      <w:start w:val="1"/>
      <w:numFmt w:val="bullet"/>
      <w:lvlText w:val=""/>
      <w:lvlJc w:val="left"/>
      <w:pPr>
        <w:ind w:left="6185" w:hanging="360"/>
      </w:pPr>
      <w:rPr>
        <w:rFonts w:ascii="Wingdings" w:hAnsi="Wingdings" w:hint="default"/>
      </w:rPr>
    </w:lvl>
    <w:lvl w:ilvl="6" w:tplc="04090001" w:tentative="1">
      <w:start w:val="1"/>
      <w:numFmt w:val="bullet"/>
      <w:lvlText w:val=""/>
      <w:lvlJc w:val="left"/>
      <w:pPr>
        <w:ind w:left="6905" w:hanging="360"/>
      </w:pPr>
      <w:rPr>
        <w:rFonts w:ascii="Symbol" w:hAnsi="Symbol" w:hint="default"/>
      </w:rPr>
    </w:lvl>
    <w:lvl w:ilvl="7" w:tplc="04090003" w:tentative="1">
      <w:start w:val="1"/>
      <w:numFmt w:val="bullet"/>
      <w:lvlText w:val="o"/>
      <w:lvlJc w:val="left"/>
      <w:pPr>
        <w:ind w:left="7625" w:hanging="360"/>
      </w:pPr>
      <w:rPr>
        <w:rFonts w:ascii="Courier New" w:hAnsi="Courier New" w:cs="Courier New" w:hint="default"/>
      </w:rPr>
    </w:lvl>
    <w:lvl w:ilvl="8" w:tplc="04090005" w:tentative="1">
      <w:start w:val="1"/>
      <w:numFmt w:val="bullet"/>
      <w:lvlText w:val=""/>
      <w:lvlJc w:val="left"/>
      <w:pPr>
        <w:ind w:left="8345" w:hanging="360"/>
      </w:pPr>
      <w:rPr>
        <w:rFonts w:ascii="Wingdings" w:hAnsi="Wingdings" w:hint="default"/>
      </w:rPr>
    </w:lvl>
  </w:abstractNum>
  <w:abstractNum w:abstractNumId="9">
    <w:nsid w:val="263E5657"/>
    <w:multiLevelType w:val="hybridMultilevel"/>
    <w:tmpl w:val="D50E33D8"/>
    <w:lvl w:ilvl="0" w:tplc="367C888C">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6997855"/>
    <w:multiLevelType w:val="hybridMultilevel"/>
    <w:tmpl w:val="4FF27458"/>
    <w:lvl w:ilvl="0" w:tplc="B718CD3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0EC7AEE"/>
    <w:multiLevelType w:val="hybridMultilevel"/>
    <w:tmpl w:val="7D1ABCCA"/>
    <w:lvl w:ilvl="0" w:tplc="B718CD3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4ED1B3D"/>
    <w:multiLevelType w:val="hybridMultilevel"/>
    <w:tmpl w:val="77CAE43E"/>
    <w:lvl w:ilvl="0" w:tplc="4C269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7F518A"/>
    <w:multiLevelType w:val="hybridMultilevel"/>
    <w:tmpl w:val="650CDA7E"/>
    <w:lvl w:ilvl="0" w:tplc="BBD2F1EC">
      <w:start w:val="1"/>
      <w:numFmt w:val="bullet"/>
      <w:lvlText w:val=""/>
      <w:lvlJc w:val="left"/>
      <w:pPr>
        <w:tabs>
          <w:tab w:val="num" w:pos="644"/>
        </w:tabs>
        <w:ind w:left="644"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40246370"/>
    <w:multiLevelType w:val="hybridMultilevel"/>
    <w:tmpl w:val="BF66530E"/>
    <w:lvl w:ilvl="0" w:tplc="180A9302">
      <w:start w:val="1"/>
      <w:numFmt w:val="bullet"/>
      <w:lvlText w:val=""/>
      <w:lvlJc w:val="left"/>
      <w:pPr>
        <w:tabs>
          <w:tab w:val="num" w:pos="644"/>
        </w:tabs>
        <w:ind w:left="644"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06F1BB5"/>
    <w:multiLevelType w:val="hybridMultilevel"/>
    <w:tmpl w:val="2FE0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3A7D1E"/>
    <w:multiLevelType w:val="hybridMultilevel"/>
    <w:tmpl w:val="286E6808"/>
    <w:lvl w:ilvl="0" w:tplc="61567E2C">
      <w:start w:val="1"/>
      <w:numFmt w:val="bullet"/>
      <w:lvlText w:val=""/>
      <w:lvlJc w:val="left"/>
      <w:pPr>
        <w:ind w:left="1145" w:hanging="360"/>
      </w:pPr>
      <w:rPr>
        <w:rFonts w:ascii="Symbol" w:hAnsi="Symbol" w:hint="default"/>
        <w:sz w:val="20"/>
        <w:szCs w:val="2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7">
    <w:nsid w:val="467670BE"/>
    <w:multiLevelType w:val="hybridMultilevel"/>
    <w:tmpl w:val="B992B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B0830CD"/>
    <w:multiLevelType w:val="hybridMultilevel"/>
    <w:tmpl w:val="E80A67CA"/>
    <w:lvl w:ilvl="0" w:tplc="1472D7D6">
      <w:start w:val="1"/>
      <w:numFmt w:val="bullet"/>
      <w:lvlText w:val=""/>
      <w:lvlJc w:val="left"/>
      <w:pPr>
        <w:ind w:left="1145" w:hanging="360"/>
      </w:pPr>
      <w:rPr>
        <w:rFonts w:ascii="Symbol" w:hAnsi="Symbol" w:hint="default"/>
        <w:sz w:val="20"/>
        <w:szCs w:val="2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nsid w:val="4B7053E6"/>
    <w:multiLevelType w:val="hybridMultilevel"/>
    <w:tmpl w:val="E25C65DE"/>
    <w:lvl w:ilvl="0" w:tplc="64E4F234">
      <w:start w:val="1"/>
      <w:numFmt w:val="arabicAbjad"/>
      <w:lvlText w:val="(%1)"/>
      <w:lvlJc w:val="left"/>
      <w:pPr>
        <w:tabs>
          <w:tab w:val="num" w:pos="360"/>
        </w:tabs>
        <w:ind w:left="360" w:hanging="360"/>
      </w:pPr>
      <w:rPr>
        <w:rFonts w:hint="default"/>
        <w:sz w:val="2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4B747792"/>
    <w:multiLevelType w:val="hybridMultilevel"/>
    <w:tmpl w:val="760ADF9A"/>
    <w:lvl w:ilvl="0" w:tplc="B81A751E">
      <w:start w:val="1"/>
      <w:numFmt w:val="bullet"/>
      <w:lvlText w:val=""/>
      <w:lvlJc w:val="left"/>
      <w:pPr>
        <w:ind w:left="1145" w:hanging="360"/>
      </w:pPr>
      <w:rPr>
        <w:rFonts w:ascii="Symbol" w:hAnsi="Symbol" w:hint="default"/>
        <w:sz w:val="20"/>
        <w:szCs w:val="2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1">
    <w:nsid w:val="51FC66F2"/>
    <w:multiLevelType w:val="hybridMultilevel"/>
    <w:tmpl w:val="1CF4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A66A9D"/>
    <w:multiLevelType w:val="multilevel"/>
    <w:tmpl w:val="FD4A9076"/>
    <w:styleLink w:val="Normallist"/>
    <w:lvl w:ilvl="0">
      <w:start w:val="1"/>
      <w:numFmt w:val="decimal"/>
      <w:pStyle w:val="Normalnumber"/>
      <w:lvlText w:val="%1-"/>
      <w:lvlJc w:val="left"/>
      <w:pPr>
        <w:tabs>
          <w:tab w:val="num" w:pos="1134"/>
        </w:tabs>
        <w:ind w:left="1247" w:firstLine="0"/>
      </w:pPr>
      <w:rPr>
        <w:rFonts w:cs="Traditional Arabic" w:hint="default"/>
        <w:bCs w:val="0"/>
        <w:iCs w:val="0"/>
        <w:szCs w:val="30"/>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3">
    <w:nsid w:val="55B13B60"/>
    <w:multiLevelType w:val="hybridMultilevel"/>
    <w:tmpl w:val="54D60884"/>
    <w:lvl w:ilvl="0" w:tplc="F4561A5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471E30"/>
    <w:multiLevelType w:val="hybridMultilevel"/>
    <w:tmpl w:val="A6521E34"/>
    <w:lvl w:ilvl="0" w:tplc="0409000F">
      <w:start w:val="1"/>
      <w:numFmt w:val="decimal"/>
      <w:lvlText w:val="%1."/>
      <w:lvlJc w:val="left"/>
      <w:pPr>
        <w:tabs>
          <w:tab w:val="num" w:pos="833"/>
        </w:tabs>
        <w:ind w:left="833" w:hanging="360"/>
      </w:pPr>
    </w:lvl>
    <w:lvl w:ilvl="1" w:tplc="04090019" w:tentative="1">
      <w:start w:val="1"/>
      <w:numFmt w:val="lowerLetter"/>
      <w:lvlText w:val="%2."/>
      <w:lvlJc w:val="left"/>
      <w:pPr>
        <w:tabs>
          <w:tab w:val="num" w:pos="1553"/>
        </w:tabs>
        <w:ind w:left="1553" w:hanging="360"/>
      </w:pPr>
    </w:lvl>
    <w:lvl w:ilvl="2" w:tplc="0409001B" w:tentative="1">
      <w:start w:val="1"/>
      <w:numFmt w:val="lowerRoman"/>
      <w:lvlText w:val="%3."/>
      <w:lvlJc w:val="right"/>
      <w:pPr>
        <w:tabs>
          <w:tab w:val="num" w:pos="2273"/>
        </w:tabs>
        <w:ind w:left="2273" w:hanging="180"/>
      </w:pPr>
    </w:lvl>
    <w:lvl w:ilvl="3" w:tplc="0409000F" w:tentative="1">
      <w:start w:val="1"/>
      <w:numFmt w:val="decimal"/>
      <w:lvlText w:val="%4."/>
      <w:lvlJc w:val="left"/>
      <w:pPr>
        <w:tabs>
          <w:tab w:val="num" w:pos="2993"/>
        </w:tabs>
        <w:ind w:left="2993" w:hanging="360"/>
      </w:pPr>
    </w:lvl>
    <w:lvl w:ilvl="4" w:tplc="04090019" w:tentative="1">
      <w:start w:val="1"/>
      <w:numFmt w:val="lowerLetter"/>
      <w:lvlText w:val="%5."/>
      <w:lvlJc w:val="left"/>
      <w:pPr>
        <w:tabs>
          <w:tab w:val="num" w:pos="3713"/>
        </w:tabs>
        <w:ind w:left="3713" w:hanging="360"/>
      </w:pPr>
    </w:lvl>
    <w:lvl w:ilvl="5" w:tplc="0409001B" w:tentative="1">
      <w:start w:val="1"/>
      <w:numFmt w:val="lowerRoman"/>
      <w:lvlText w:val="%6."/>
      <w:lvlJc w:val="right"/>
      <w:pPr>
        <w:tabs>
          <w:tab w:val="num" w:pos="4433"/>
        </w:tabs>
        <w:ind w:left="4433" w:hanging="180"/>
      </w:pPr>
    </w:lvl>
    <w:lvl w:ilvl="6" w:tplc="0409000F" w:tentative="1">
      <w:start w:val="1"/>
      <w:numFmt w:val="decimal"/>
      <w:lvlText w:val="%7."/>
      <w:lvlJc w:val="left"/>
      <w:pPr>
        <w:tabs>
          <w:tab w:val="num" w:pos="5153"/>
        </w:tabs>
        <w:ind w:left="5153" w:hanging="360"/>
      </w:pPr>
    </w:lvl>
    <w:lvl w:ilvl="7" w:tplc="04090019" w:tentative="1">
      <w:start w:val="1"/>
      <w:numFmt w:val="lowerLetter"/>
      <w:lvlText w:val="%8."/>
      <w:lvlJc w:val="left"/>
      <w:pPr>
        <w:tabs>
          <w:tab w:val="num" w:pos="5873"/>
        </w:tabs>
        <w:ind w:left="5873" w:hanging="360"/>
      </w:pPr>
    </w:lvl>
    <w:lvl w:ilvl="8" w:tplc="0409001B" w:tentative="1">
      <w:start w:val="1"/>
      <w:numFmt w:val="lowerRoman"/>
      <w:lvlText w:val="%9."/>
      <w:lvlJc w:val="right"/>
      <w:pPr>
        <w:tabs>
          <w:tab w:val="num" w:pos="6593"/>
        </w:tabs>
        <w:ind w:left="6593" w:hanging="180"/>
      </w:pPr>
    </w:lvl>
  </w:abstractNum>
  <w:abstractNum w:abstractNumId="25">
    <w:nsid w:val="5AC32854"/>
    <w:multiLevelType w:val="hybridMultilevel"/>
    <w:tmpl w:val="92F8B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F225E7D"/>
    <w:multiLevelType w:val="hybridMultilevel"/>
    <w:tmpl w:val="B0A665A4"/>
    <w:lvl w:ilvl="0" w:tplc="8D00AB50">
      <w:numFmt w:val="bullet"/>
      <w:lvlText w:val="-"/>
      <w:lvlJc w:val="left"/>
      <w:pPr>
        <w:ind w:left="785" w:hanging="360"/>
      </w:pPr>
      <w:rPr>
        <w:rFonts w:ascii="Traditional Arabic" w:eastAsia="Times New Roman" w:hAnsi="Traditional Arabic" w:cs="Traditional Arabic"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7">
    <w:nsid w:val="61B068FA"/>
    <w:multiLevelType w:val="hybridMultilevel"/>
    <w:tmpl w:val="6CA09482"/>
    <w:lvl w:ilvl="0" w:tplc="0C2C46AA">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8597931"/>
    <w:multiLevelType w:val="hybridMultilevel"/>
    <w:tmpl w:val="53C40016"/>
    <w:lvl w:ilvl="0" w:tplc="0409000F">
      <w:start w:val="1"/>
      <w:numFmt w:val="decimal"/>
      <w:lvlText w:val="%1."/>
      <w:lvlJc w:val="left"/>
      <w:pPr>
        <w:tabs>
          <w:tab w:val="num" w:pos="833"/>
        </w:tabs>
        <w:ind w:left="833" w:hanging="360"/>
      </w:pPr>
    </w:lvl>
    <w:lvl w:ilvl="1" w:tplc="04090019" w:tentative="1">
      <w:start w:val="1"/>
      <w:numFmt w:val="lowerLetter"/>
      <w:lvlText w:val="%2."/>
      <w:lvlJc w:val="left"/>
      <w:pPr>
        <w:tabs>
          <w:tab w:val="num" w:pos="1553"/>
        </w:tabs>
        <w:ind w:left="1553" w:hanging="360"/>
      </w:pPr>
    </w:lvl>
    <w:lvl w:ilvl="2" w:tplc="0409001B" w:tentative="1">
      <w:start w:val="1"/>
      <w:numFmt w:val="lowerRoman"/>
      <w:lvlText w:val="%3."/>
      <w:lvlJc w:val="right"/>
      <w:pPr>
        <w:tabs>
          <w:tab w:val="num" w:pos="2273"/>
        </w:tabs>
        <w:ind w:left="2273" w:hanging="180"/>
      </w:pPr>
    </w:lvl>
    <w:lvl w:ilvl="3" w:tplc="0409000F" w:tentative="1">
      <w:start w:val="1"/>
      <w:numFmt w:val="decimal"/>
      <w:lvlText w:val="%4."/>
      <w:lvlJc w:val="left"/>
      <w:pPr>
        <w:tabs>
          <w:tab w:val="num" w:pos="2993"/>
        </w:tabs>
        <w:ind w:left="2993" w:hanging="360"/>
      </w:pPr>
    </w:lvl>
    <w:lvl w:ilvl="4" w:tplc="04090019" w:tentative="1">
      <w:start w:val="1"/>
      <w:numFmt w:val="lowerLetter"/>
      <w:lvlText w:val="%5."/>
      <w:lvlJc w:val="left"/>
      <w:pPr>
        <w:tabs>
          <w:tab w:val="num" w:pos="3713"/>
        </w:tabs>
        <w:ind w:left="3713" w:hanging="360"/>
      </w:pPr>
    </w:lvl>
    <w:lvl w:ilvl="5" w:tplc="0409001B" w:tentative="1">
      <w:start w:val="1"/>
      <w:numFmt w:val="lowerRoman"/>
      <w:lvlText w:val="%6."/>
      <w:lvlJc w:val="right"/>
      <w:pPr>
        <w:tabs>
          <w:tab w:val="num" w:pos="4433"/>
        </w:tabs>
        <w:ind w:left="4433" w:hanging="180"/>
      </w:pPr>
    </w:lvl>
    <w:lvl w:ilvl="6" w:tplc="0409000F" w:tentative="1">
      <w:start w:val="1"/>
      <w:numFmt w:val="decimal"/>
      <w:lvlText w:val="%7."/>
      <w:lvlJc w:val="left"/>
      <w:pPr>
        <w:tabs>
          <w:tab w:val="num" w:pos="5153"/>
        </w:tabs>
        <w:ind w:left="5153" w:hanging="360"/>
      </w:pPr>
    </w:lvl>
    <w:lvl w:ilvl="7" w:tplc="04090019" w:tentative="1">
      <w:start w:val="1"/>
      <w:numFmt w:val="lowerLetter"/>
      <w:lvlText w:val="%8."/>
      <w:lvlJc w:val="left"/>
      <w:pPr>
        <w:tabs>
          <w:tab w:val="num" w:pos="5873"/>
        </w:tabs>
        <w:ind w:left="5873" w:hanging="360"/>
      </w:pPr>
    </w:lvl>
    <w:lvl w:ilvl="8" w:tplc="0409001B" w:tentative="1">
      <w:start w:val="1"/>
      <w:numFmt w:val="lowerRoman"/>
      <w:lvlText w:val="%9."/>
      <w:lvlJc w:val="right"/>
      <w:pPr>
        <w:tabs>
          <w:tab w:val="num" w:pos="6593"/>
        </w:tabs>
        <w:ind w:left="6593" w:hanging="180"/>
      </w:pPr>
    </w:lvl>
  </w:abstractNum>
  <w:abstractNum w:abstractNumId="29">
    <w:nsid w:val="6AA50DB1"/>
    <w:multiLevelType w:val="singleLevel"/>
    <w:tmpl w:val="0C00B568"/>
    <w:lvl w:ilvl="0">
      <w:start w:val="1"/>
      <w:numFmt w:val="decimal"/>
      <w:lvlText w:val="%1."/>
      <w:lvlJc w:val="left"/>
      <w:pPr>
        <w:tabs>
          <w:tab w:val="num" w:pos="360"/>
        </w:tabs>
        <w:ind w:left="0" w:firstLine="0"/>
      </w:pPr>
      <w:rPr>
        <w:rFonts w:ascii="Times New Roman" w:hAnsi="Times New Roman" w:hint="default"/>
        <w:b w:val="0"/>
        <w:i w:val="0"/>
        <w:sz w:val="22"/>
      </w:rPr>
    </w:lvl>
  </w:abstractNum>
  <w:abstractNum w:abstractNumId="30">
    <w:nsid w:val="715A476E"/>
    <w:multiLevelType w:val="hybridMultilevel"/>
    <w:tmpl w:val="04BE3176"/>
    <w:lvl w:ilvl="0" w:tplc="D62E5350">
      <w:start w:val="1"/>
      <w:numFmt w:val="bullet"/>
      <w:lvlText w:val=""/>
      <w:lvlJc w:val="left"/>
      <w:pPr>
        <w:ind w:left="1145" w:hanging="360"/>
      </w:pPr>
      <w:rPr>
        <w:rFonts w:ascii="Symbol" w:hAnsi="Symbol" w:hint="default"/>
        <w:sz w:val="20"/>
        <w:szCs w:val="2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1">
    <w:nsid w:val="757C7727"/>
    <w:multiLevelType w:val="hybridMultilevel"/>
    <w:tmpl w:val="E57E9666"/>
    <w:lvl w:ilvl="0" w:tplc="5456E826">
      <w:start w:val="1"/>
      <w:numFmt w:val="bullet"/>
      <w:lvlText w:val="o"/>
      <w:lvlJc w:val="left"/>
      <w:pPr>
        <w:ind w:left="1145" w:hanging="360"/>
      </w:pPr>
      <w:rPr>
        <w:rFonts w:ascii="Courier New" w:hAnsi="Courier New" w:cs="Courier New" w:hint="default"/>
        <w:sz w:val="20"/>
        <w:szCs w:val="2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2">
    <w:nsid w:val="75B02B9C"/>
    <w:multiLevelType w:val="hybridMultilevel"/>
    <w:tmpl w:val="349EE07C"/>
    <w:lvl w:ilvl="0" w:tplc="AF2833D0">
      <w:start w:val="1"/>
      <w:numFmt w:val="bullet"/>
      <w:lvlText w:val=""/>
      <w:lvlJc w:val="left"/>
      <w:pPr>
        <w:ind w:left="1145" w:hanging="360"/>
      </w:pPr>
      <w:rPr>
        <w:rFonts w:ascii="Symbol" w:hAnsi="Symbol" w:hint="default"/>
        <w:sz w:val="20"/>
        <w:szCs w:val="2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3">
    <w:nsid w:val="7ABB325B"/>
    <w:multiLevelType w:val="hybridMultilevel"/>
    <w:tmpl w:val="FA4C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6823EB"/>
    <w:multiLevelType w:val="hybridMultilevel"/>
    <w:tmpl w:val="4EFECF22"/>
    <w:lvl w:ilvl="0" w:tplc="0409000F">
      <w:start w:val="1"/>
      <w:numFmt w:val="decimal"/>
      <w:lvlText w:val="%1."/>
      <w:lvlJc w:val="left"/>
      <w:pPr>
        <w:tabs>
          <w:tab w:val="num" w:pos="833"/>
        </w:tabs>
        <w:ind w:left="833" w:hanging="360"/>
      </w:pPr>
    </w:lvl>
    <w:lvl w:ilvl="1" w:tplc="04090019" w:tentative="1">
      <w:start w:val="1"/>
      <w:numFmt w:val="lowerLetter"/>
      <w:lvlText w:val="%2."/>
      <w:lvlJc w:val="left"/>
      <w:pPr>
        <w:tabs>
          <w:tab w:val="num" w:pos="1553"/>
        </w:tabs>
        <w:ind w:left="1553" w:hanging="360"/>
      </w:pPr>
    </w:lvl>
    <w:lvl w:ilvl="2" w:tplc="0409001B" w:tentative="1">
      <w:start w:val="1"/>
      <w:numFmt w:val="lowerRoman"/>
      <w:lvlText w:val="%3."/>
      <w:lvlJc w:val="right"/>
      <w:pPr>
        <w:tabs>
          <w:tab w:val="num" w:pos="2273"/>
        </w:tabs>
        <w:ind w:left="2273" w:hanging="180"/>
      </w:pPr>
    </w:lvl>
    <w:lvl w:ilvl="3" w:tplc="0409000F" w:tentative="1">
      <w:start w:val="1"/>
      <w:numFmt w:val="decimal"/>
      <w:lvlText w:val="%4."/>
      <w:lvlJc w:val="left"/>
      <w:pPr>
        <w:tabs>
          <w:tab w:val="num" w:pos="2993"/>
        </w:tabs>
        <w:ind w:left="2993" w:hanging="360"/>
      </w:pPr>
    </w:lvl>
    <w:lvl w:ilvl="4" w:tplc="04090019" w:tentative="1">
      <w:start w:val="1"/>
      <w:numFmt w:val="lowerLetter"/>
      <w:lvlText w:val="%5."/>
      <w:lvlJc w:val="left"/>
      <w:pPr>
        <w:tabs>
          <w:tab w:val="num" w:pos="3713"/>
        </w:tabs>
        <w:ind w:left="3713" w:hanging="360"/>
      </w:pPr>
    </w:lvl>
    <w:lvl w:ilvl="5" w:tplc="0409001B" w:tentative="1">
      <w:start w:val="1"/>
      <w:numFmt w:val="lowerRoman"/>
      <w:lvlText w:val="%6."/>
      <w:lvlJc w:val="right"/>
      <w:pPr>
        <w:tabs>
          <w:tab w:val="num" w:pos="4433"/>
        </w:tabs>
        <w:ind w:left="4433" w:hanging="180"/>
      </w:pPr>
    </w:lvl>
    <w:lvl w:ilvl="6" w:tplc="0409000F" w:tentative="1">
      <w:start w:val="1"/>
      <w:numFmt w:val="decimal"/>
      <w:lvlText w:val="%7."/>
      <w:lvlJc w:val="left"/>
      <w:pPr>
        <w:tabs>
          <w:tab w:val="num" w:pos="5153"/>
        </w:tabs>
        <w:ind w:left="5153" w:hanging="360"/>
      </w:pPr>
    </w:lvl>
    <w:lvl w:ilvl="7" w:tplc="04090019" w:tentative="1">
      <w:start w:val="1"/>
      <w:numFmt w:val="lowerLetter"/>
      <w:lvlText w:val="%8."/>
      <w:lvlJc w:val="left"/>
      <w:pPr>
        <w:tabs>
          <w:tab w:val="num" w:pos="5873"/>
        </w:tabs>
        <w:ind w:left="5873" w:hanging="360"/>
      </w:pPr>
    </w:lvl>
    <w:lvl w:ilvl="8" w:tplc="0409001B" w:tentative="1">
      <w:start w:val="1"/>
      <w:numFmt w:val="lowerRoman"/>
      <w:lvlText w:val="%9."/>
      <w:lvlJc w:val="right"/>
      <w:pPr>
        <w:tabs>
          <w:tab w:val="num" w:pos="6593"/>
        </w:tabs>
        <w:ind w:left="6593" w:hanging="180"/>
      </w:pPr>
    </w:lvl>
  </w:abstractNum>
  <w:num w:numId="1">
    <w:abstractNumId w:val="19"/>
  </w:num>
  <w:num w:numId="2">
    <w:abstractNumId w:val="4"/>
  </w:num>
  <w:num w:numId="3">
    <w:abstractNumId w:val="27"/>
  </w:num>
  <w:num w:numId="4">
    <w:abstractNumId w:val="1"/>
  </w:num>
  <w:num w:numId="5">
    <w:abstractNumId w:val="24"/>
  </w:num>
  <w:num w:numId="6">
    <w:abstractNumId w:val="34"/>
  </w:num>
  <w:num w:numId="7">
    <w:abstractNumId w:val="28"/>
  </w:num>
  <w:num w:numId="8">
    <w:abstractNumId w:val="7"/>
  </w:num>
  <w:num w:numId="9">
    <w:abstractNumId w:val="29"/>
  </w:num>
  <w:num w:numId="10">
    <w:abstractNumId w:val="22"/>
  </w:num>
  <w:num w:numId="11">
    <w:abstractNumId w:val="10"/>
  </w:num>
  <w:num w:numId="12">
    <w:abstractNumId w:val="13"/>
  </w:num>
  <w:num w:numId="13">
    <w:abstractNumId w:val="14"/>
  </w:num>
  <w:num w:numId="14">
    <w:abstractNumId w:val="25"/>
  </w:num>
  <w:num w:numId="15">
    <w:abstractNumId w:val="21"/>
  </w:num>
  <w:num w:numId="16">
    <w:abstractNumId w:val="33"/>
  </w:num>
  <w:num w:numId="17">
    <w:abstractNumId w:val="11"/>
  </w:num>
  <w:num w:numId="18">
    <w:abstractNumId w:val="3"/>
  </w:num>
  <w:num w:numId="19">
    <w:abstractNumId w:val="15"/>
  </w:num>
  <w:num w:numId="20">
    <w:abstractNumId w:val="17"/>
  </w:num>
  <w:num w:numId="21">
    <w:abstractNumId w:val="5"/>
  </w:num>
  <w:num w:numId="22">
    <w:abstractNumId w:val="18"/>
  </w:num>
  <w:num w:numId="23">
    <w:abstractNumId w:val="2"/>
  </w:num>
  <w:num w:numId="24">
    <w:abstractNumId w:val="23"/>
  </w:num>
  <w:num w:numId="25">
    <w:abstractNumId w:val="8"/>
  </w:num>
  <w:num w:numId="26">
    <w:abstractNumId w:val="32"/>
  </w:num>
  <w:num w:numId="27">
    <w:abstractNumId w:val="30"/>
  </w:num>
  <w:num w:numId="28">
    <w:abstractNumId w:val="31"/>
  </w:num>
  <w:num w:numId="29">
    <w:abstractNumId w:val="0"/>
  </w:num>
  <w:num w:numId="30">
    <w:abstractNumId w:val="6"/>
  </w:num>
  <w:num w:numId="31">
    <w:abstractNumId w:val="12"/>
  </w:num>
  <w:num w:numId="32">
    <w:abstractNumId w:val="20"/>
  </w:num>
  <w:num w:numId="33">
    <w:abstractNumId w:val="9"/>
  </w:num>
  <w:num w:numId="34">
    <w:abstractNumId w:val="16"/>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drawingGridHorizontalSpacing w:val="171"/>
  <w:drawingGridVerticalSpacing w:val="233"/>
  <w:displayHorizontalDrawingGridEvery w:val="0"/>
  <w:noPunctuationKerning/>
  <w:characterSpacingControl w:val="doNotCompress"/>
  <w:savePreviewPicture/>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02B"/>
    <w:rsid w:val="00003660"/>
    <w:rsid w:val="00007CF5"/>
    <w:rsid w:val="00011138"/>
    <w:rsid w:val="0001171E"/>
    <w:rsid w:val="00011E5C"/>
    <w:rsid w:val="0001271E"/>
    <w:rsid w:val="000134B8"/>
    <w:rsid w:val="000136BA"/>
    <w:rsid w:val="00016A2D"/>
    <w:rsid w:val="0001781E"/>
    <w:rsid w:val="00020389"/>
    <w:rsid w:val="000205D1"/>
    <w:rsid w:val="00021934"/>
    <w:rsid w:val="00022334"/>
    <w:rsid w:val="00022A53"/>
    <w:rsid w:val="00022EC4"/>
    <w:rsid w:val="00023E9F"/>
    <w:rsid w:val="000252A9"/>
    <w:rsid w:val="0003274D"/>
    <w:rsid w:val="0003305F"/>
    <w:rsid w:val="0003307A"/>
    <w:rsid w:val="0003433D"/>
    <w:rsid w:val="000354FE"/>
    <w:rsid w:val="00036A6D"/>
    <w:rsid w:val="00037DF4"/>
    <w:rsid w:val="00040D1A"/>
    <w:rsid w:val="000413F5"/>
    <w:rsid w:val="00043573"/>
    <w:rsid w:val="000436AD"/>
    <w:rsid w:val="0004506D"/>
    <w:rsid w:val="00046EF9"/>
    <w:rsid w:val="00052C80"/>
    <w:rsid w:val="000604A2"/>
    <w:rsid w:val="00060630"/>
    <w:rsid w:val="00060CC4"/>
    <w:rsid w:val="00061672"/>
    <w:rsid w:val="0006335F"/>
    <w:rsid w:val="000634FF"/>
    <w:rsid w:val="00064142"/>
    <w:rsid w:val="0006589F"/>
    <w:rsid w:val="00074790"/>
    <w:rsid w:val="00075143"/>
    <w:rsid w:val="00075B3D"/>
    <w:rsid w:val="00076BC9"/>
    <w:rsid w:val="00076E00"/>
    <w:rsid w:val="0007714D"/>
    <w:rsid w:val="00080FD6"/>
    <w:rsid w:val="00081373"/>
    <w:rsid w:val="000844F9"/>
    <w:rsid w:val="0008508D"/>
    <w:rsid w:val="00085BD9"/>
    <w:rsid w:val="000876B6"/>
    <w:rsid w:val="00090FDC"/>
    <w:rsid w:val="00097172"/>
    <w:rsid w:val="000A131C"/>
    <w:rsid w:val="000A267C"/>
    <w:rsid w:val="000A4605"/>
    <w:rsid w:val="000B05D8"/>
    <w:rsid w:val="000B2EBA"/>
    <w:rsid w:val="000B4FC7"/>
    <w:rsid w:val="000B549D"/>
    <w:rsid w:val="000B5F09"/>
    <w:rsid w:val="000B64F3"/>
    <w:rsid w:val="000C16F6"/>
    <w:rsid w:val="000C1F59"/>
    <w:rsid w:val="000C2E45"/>
    <w:rsid w:val="000C4EE0"/>
    <w:rsid w:val="000C50A4"/>
    <w:rsid w:val="000C5A0C"/>
    <w:rsid w:val="000C6478"/>
    <w:rsid w:val="000C7828"/>
    <w:rsid w:val="000C7DA1"/>
    <w:rsid w:val="000D0732"/>
    <w:rsid w:val="000D1DCB"/>
    <w:rsid w:val="000D6672"/>
    <w:rsid w:val="000E3202"/>
    <w:rsid w:val="000E3656"/>
    <w:rsid w:val="000E4915"/>
    <w:rsid w:val="000E56D0"/>
    <w:rsid w:val="000F155C"/>
    <w:rsid w:val="000F1803"/>
    <w:rsid w:val="000F1E60"/>
    <w:rsid w:val="000F2C69"/>
    <w:rsid w:val="000F584D"/>
    <w:rsid w:val="000F5A5E"/>
    <w:rsid w:val="000F7BB3"/>
    <w:rsid w:val="001011DA"/>
    <w:rsid w:val="00102D38"/>
    <w:rsid w:val="00107BC4"/>
    <w:rsid w:val="0011347E"/>
    <w:rsid w:val="001155D4"/>
    <w:rsid w:val="00116E22"/>
    <w:rsid w:val="00120093"/>
    <w:rsid w:val="0012040B"/>
    <w:rsid w:val="00122B43"/>
    <w:rsid w:val="00123425"/>
    <w:rsid w:val="00124F66"/>
    <w:rsid w:val="001254C4"/>
    <w:rsid w:val="00126567"/>
    <w:rsid w:val="00131285"/>
    <w:rsid w:val="00131A8B"/>
    <w:rsid w:val="00131CE1"/>
    <w:rsid w:val="0013211B"/>
    <w:rsid w:val="00133C35"/>
    <w:rsid w:val="00137C2B"/>
    <w:rsid w:val="00142AD4"/>
    <w:rsid w:val="0014305E"/>
    <w:rsid w:val="0014453D"/>
    <w:rsid w:val="00147522"/>
    <w:rsid w:val="00147608"/>
    <w:rsid w:val="00152D51"/>
    <w:rsid w:val="001537B7"/>
    <w:rsid w:val="00153CD0"/>
    <w:rsid w:val="00154CC2"/>
    <w:rsid w:val="0015544B"/>
    <w:rsid w:val="00156517"/>
    <w:rsid w:val="00161BAC"/>
    <w:rsid w:val="00165BE3"/>
    <w:rsid w:val="00166687"/>
    <w:rsid w:val="00166D4B"/>
    <w:rsid w:val="00170DDD"/>
    <w:rsid w:val="0017264E"/>
    <w:rsid w:val="00174858"/>
    <w:rsid w:val="00176661"/>
    <w:rsid w:val="00176ADA"/>
    <w:rsid w:val="00176B25"/>
    <w:rsid w:val="001816AE"/>
    <w:rsid w:val="0018422D"/>
    <w:rsid w:val="00184CAF"/>
    <w:rsid w:val="001857FE"/>
    <w:rsid w:val="00185C59"/>
    <w:rsid w:val="00191DBA"/>
    <w:rsid w:val="00194C2F"/>
    <w:rsid w:val="0019577A"/>
    <w:rsid w:val="00197F67"/>
    <w:rsid w:val="001A16F8"/>
    <w:rsid w:val="001A25C6"/>
    <w:rsid w:val="001B04C3"/>
    <w:rsid w:val="001B2DDC"/>
    <w:rsid w:val="001B3A98"/>
    <w:rsid w:val="001B432A"/>
    <w:rsid w:val="001B456D"/>
    <w:rsid w:val="001B498C"/>
    <w:rsid w:val="001B4AB9"/>
    <w:rsid w:val="001B562F"/>
    <w:rsid w:val="001B5C09"/>
    <w:rsid w:val="001B6EF2"/>
    <w:rsid w:val="001B7943"/>
    <w:rsid w:val="001B7EAA"/>
    <w:rsid w:val="001C0D99"/>
    <w:rsid w:val="001C2326"/>
    <w:rsid w:val="001C619A"/>
    <w:rsid w:val="001C77DE"/>
    <w:rsid w:val="001D056E"/>
    <w:rsid w:val="001D12A2"/>
    <w:rsid w:val="001D3FEB"/>
    <w:rsid w:val="001E2FB8"/>
    <w:rsid w:val="001E4795"/>
    <w:rsid w:val="001E5F0E"/>
    <w:rsid w:val="001E655B"/>
    <w:rsid w:val="001F03C2"/>
    <w:rsid w:val="001F1E3F"/>
    <w:rsid w:val="001F3801"/>
    <w:rsid w:val="001F4286"/>
    <w:rsid w:val="001F52AC"/>
    <w:rsid w:val="001F7D2C"/>
    <w:rsid w:val="00201903"/>
    <w:rsid w:val="00201A3A"/>
    <w:rsid w:val="00206C07"/>
    <w:rsid w:val="00207799"/>
    <w:rsid w:val="00212642"/>
    <w:rsid w:val="00212DA4"/>
    <w:rsid w:val="0021374E"/>
    <w:rsid w:val="002167C2"/>
    <w:rsid w:val="00216E3D"/>
    <w:rsid w:val="00220317"/>
    <w:rsid w:val="00221A8B"/>
    <w:rsid w:val="002235F6"/>
    <w:rsid w:val="00235811"/>
    <w:rsid w:val="00240EEE"/>
    <w:rsid w:val="00246F2C"/>
    <w:rsid w:val="00246F6C"/>
    <w:rsid w:val="00247729"/>
    <w:rsid w:val="00250B24"/>
    <w:rsid w:val="002524DE"/>
    <w:rsid w:val="0025508F"/>
    <w:rsid w:val="002606E2"/>
    <w:rsid w:val="002609DC"/>
    <w:rsid w:val="00260C3B"/>
    <w:rsid w:val="00261451"/>
    <w:rsid w:val="00262DD3"/>
    <w:rsid w:val="00264AAC"/>
    <w:rsid w:val="00264E17"/>
    <w:rsid w:val="002673D7"/>
    <w:rsid w:val="0026761A"/>
    <w:rsid w:val="00267C33"/>
    <w:rsid w:val="002709A8"/>
    <w:rsid w:val="0027136F"/>
    <w:rsid w:val="00271D9E"/>
    <w:rsid w:val="00276722"/>
    <w:rsid w:val="00276BF0"/>
    <w:rsid w:val="00276EF7"/>
    <w:rsid w:val="00280383"/>
    <w:rsid w:val="00281240"/>
    <w:rsid w:val="00283C0F"/>
    <w:rsid w:val="00284B97"/>
    <w:rsid w:val="00287E85"/>
    <w:rsid w:val="00290AD9"/>
    <w:rsid w:val="00290E96"/>
    <w:rsid w:val="0029220B"/>
    <w:rsid w:val="0029487E"/>
    <w:rsid w:val="00295E12"/>
    <w:rsid w:val="002A1FFA"/>
    <w:rsid w:val="002A2C76"/>
    <w:rsid w:val="002A44F8"/>
    <w:rsid w:val="002A46BA"/>
    <w:rsid w:val="002A4EF2"/>
    <w:rsid w:val="002A56F8"/>
    <w:rsid w:val="002B10C7"/>
    <w:rsid w:val="002B2F66"/>
    <w:rsid w:val="002B30FE"/>
    <w:rsid w:val="002B36BF"/>
    <w:rsid w:val="002B3905"/>
    <w:rsid w:val="002B5AB7"/>
    <w:rsid w:val="002B765F"/>
    <w:rsid w:val="002C0EAC"/>
    <w:rsid w:val="002C21BE"/>
    <w:rsid w:val="002C4671"/>
    <w:rsid w:val="002C60AD"/>
    <w:rsid w:val="002C6E42"/>
    <w:rsid w:val="002D0A19"/>
    <w:rsid w:val="002D19DB"/>
    <w:rsid w:val="002D3018"/>
    <w:rsid w:val="002D3105"/>
    <w:rsid w:val="002D3B19"/>
    <w:rsid w:val="002D3BF5"/>
    <w:rsid w:val="002D5A0D"/>
    <w:rsid w:val="002D7A70"/>
    <w:rsid w:val="002E0921"/>
    <w:rsid w:val="002E1B41"/>
    <w:rsid w:val="002E1C60"/>
    <w:rsid w:val="002E75B3"/>
    <w:rsid w:val="002F1DF0"/>
    <w:rsid w:val="002F5A82"/>
    <w:rsid w:val="002F6100"/>
    <w:rsid w:val="00300C09"/>
    <w:rsid w:val="00300CDD"/>
    <w:rsid w:val="00301ECC"/>
    <w:rsid w:val="00302CDB"/>
    <w:rsid w:val="00302F5B"/>
    <w:rsid w:val="003031C9"/>
    <w:rsid w:val="003033D5"/>
    <w:rsid w:val="003036AE"/>
    <w:rsid w:val="003054AC"/>
    <w:rsid w:val="00305897"/>
    <w:rsid w:val="00307239"/>
    <w:rsid w:val="00310FC3"/>
    <w:rsid w:val="00313E03"/>
    <w:rsid w:val="0031410A"/>
    <w:rsid w:val="00314404"/>
    <w:rsid w:val="00314F58"/>
    <w:rsid w:val="00316903"/>
    <w:rsid w:val="0032206D"/>
    <w:rsid w:val="00322228"/>
    <w:rsid w:val="00323026"/>
    <w:rsid w:val="003238A3"/>
    <w:rsid w:val="00324683"/>
    <w:rsid w:val="00327779"/>
    <w:rsid w:val="0033011D"/>
    <w:rsid w:val="0033032A"/>
    <w:rsid w:val="00330B72"/>
    <w:rsid w:val="00331D80"/>
    <w:rsid w:val="00332470"/>
    <w:rsid w:val="003325B6"/>
    <w:rsid w:val="00333583"/>
    <w:rsid w:val="00335042"/>
    <w:rsid w:val="00335E4B"/>
    <w:rsid w:val="00337A3A"/>
    <w:rsid w:val="00340072"/>
    <w:rsid w:val="00342858"/>
    <w:rsid w:val="00342F5B"/>
    <w:rsid w:val="00343AEA"/>
    <w:rsid w:val="003440E4"/>
    <w:rsid w:val="00344691"/>
    <w:rsid w:val="0034765E"/>
    <w:rsid w:val="00350A5D"/>
    <w:rsid w:val="0035134F"/>
    <w:rsid w:val="0035279E"/>
    <w:rsid w:val="003530AB"/>
    <w:rsid w:val="00362596"/>
    <w:rsid w:val="00362FB0"/>
    <w:rsid w:val="003634FB"/>
    <w:rsid w:val="003637A4"/>
    <w:rsid w:val="003653DD"/>
    <w:rsid w:val="0036569D"/>
    <w:rsid w:val="003661B7"/>
    <w:rsid w:val="0036655B"/>
    <w:rsid w:val="0036677F"/>
    <w:rsid w:val="00367934"/>
    <w:rsid w:val="00370610"/>
    <w:rsid w:val="00370A0F"/>
    <w:rsid w:val="00370D32"/>
    <w:rsid w:val="00371112"/>
    <w:rsid w:val="00371F6A"/>
    <w:rsid w:val="003724A2"/>
    <w:rsid w:val="00374861"/>
    <w:rsid w:val="00374DF8"/>
    <w:rsid w:val="0037741C"/>
    <w:rsid w:val="00380CBC"/>
    <w:rsid w:val="0038338B"/>
    <w:rsid w:val="0038369F"/>
    <w:rsid w:val="003842A7"/>
    <w:rsid w:val="00385EC3"/>
    <w:rsid w:val="003868EA"/>
    <w:rsid w:val="00386BEC"/>
    <w:rsid w:val="00387A40"/>
    <w:rsid w:val="00391271"/>
    <w:rsid w:val="003926DE"/>
    <w:rsid w:val="0039298D"/>
    <w:rsid w:val="00393F53"/>
    <w:rsid w:val="003968A2"/>
    <w:rsid w:val="00396A37"/>
    <w:rsid w:val="00397A11"/>
    <w:rsid w:val="00397A83"/>
    <w:rsid w:val="003A2A51"/>
    <w:rsid w:val="003A314D"/>
    <w:rsid w:val="003A3A84"/>
    <w:rsid w:val="003A48F3"/>
    <w:rsid w:val="003A50B3"/>
    <w:rsid w:val="003A5FB9"/>
    <w:rsid w:val="003A7648"/>
    <w:rsid w:val="003B539B"/>
    <w:rsid w:val="003C1CEC"/>
    <w:rsid w:val="003C3F5F"/>
    <w:rsid w:val="003C77CE"/>
    <w:rsid w:val="003D42DB"/>
    <w:rsid w:val="003D5529"/>
    <w:rsid w:val="003D5FB6"/>
    <w:rsid w:val="003D6675"/>
    <w:rsid w:val="003E158D"/>
    <w:rsid w:val="003E3D65"/>
    <w:rsid w:val="003E3E0F"/>
    <w:rsid w:val="003E3E5D"/>
    <w:rsid w:val="003E4E41"/>
    <w:rsid w:val="003E661D"/>
    <w:rsid w:val="003F02DE"/>
    <w:rsid w:val="003F1E60"/>
    <w:rsid w:val="003F31C3"/>
    <w:rsid w:val="003F3B4B"/>
    <w:rsid w:val="003F4DDE"/>
    <w:rsid w:val="003F5BC2"/>
    <w:rsid w:val="003F69C5"/>
    <w:rsid w:val="003F7513"/>
    <w:rsid w:val="004014AC"/>
    <w:rsid w:val="0040197F"/>
    <w:rsid w:val="00403CA8"/>
    <w:rsid w:val="00405211"/>
    <w:rsid w:val="004103CD"/>
    <w:rsid w:val="004104C1"/>
    <w:rsid w:val="00414D4B"/>
    <w:rsid w:val="0042305D"/>
    <w:rsid w:val="0042661C"/>
    <w:rsid w:val="00427EE9"/>
    <w:rsid w:val="00427FFA"/>
    <w:rsid w:val="00432C31"/>
    <w:rsid w:val="00435D82"/>
    <w:rsid w:val="00435FF5"/>
    <w:rsid w:val="004373C1"/>
    <w:rsid w:val="00437F75"/>
    <w:rsid w:val="004418D8"/>
    <w:rsid w:val="00441E18"/>
    <w:rsid w:val="00442A41"/>
    <w:rsid w:val="00443CA4"/>
    <w:rsid w:val="0045125E"/>
    <w:rsid w:val="00451916"/>
    <w:rsid w:val="004534E8"/>
    <w:rsid w:val="0045368B"/>
    <w:rsid w:val="004573EF"/>
    <w:rsid w:val="00457E5E"/>
    <w:rsid w:val="00461F80"/>
    <w:rsid w:val="00462C98"/>
    <w:rsid w:val="00463AD0"/>
    <w:rsid w:val="00467385"/>
    <w:rsid w:val="004675D6"/>
    <w:rsid w:val="00467B6B"/>
    <w:rsid w:val="004709F1"/>
    <w:rsid w:val="00471A90"/>
    <w:rsid w:val="00477F6D"/>
    <w:rsid w:val="00483B2D"/>
    <w:rsid w:val="00484438"/>
    <w:rsid w:val="00484904"/>
    <w:rsid w:val="00484CFB"/>
    <w:rsid w:val="004858BF"/>
    <w:rsid w:val="004862A0"/>
    <w:rsid w:val="00486576"/>
    <w:rsid w:val="004865F8"/>
    <w:rsid w:val="004867FB"/>
    <w:rsid w:val="004902E3"/>
    <w:rsid w:val="0049380A"/>
    <w:rsid w:val="00496FC1"/>
    <w:rsid w:val="004973ED"/>
    <w:rsid w:val="0049783F"/>
    <w:rsid w:val="004A25D5"/>
    <w:rsid w:val="004A2FA4"/>
    <w:rsid w:val="004A32DB"/>
    <w:rsid w:val="004A400F"/>
    <w:rsid w:val="004A4B3B"/>
    <w:rsid w:val="004A5265"/>
    <w:rsid w:val="004A7BFB"/>
    <w:rsid w:val="004B0A17"/>
    <w:rsid w:val="004B1CD8"/>
    <w:rsid w:val="004B34F2"/>
    <w:rsid w:val="004B39E9"/>
    <w:rsid w:val="004B5C60"/>
    <w:rsid w:val="004C047F"/>
    <w:rsid w:val="004C1574"/>
    <w:rsid w:val="004C7AE3"/>
    <w:rsid w:val="004D0264"/>
    <w:rsid w:val="004D2959"/>
    <w:rsid w:val="004D2B12"/>
    <w:rsid w:val="004D31B6"/>
    <w:rsid w:val="004D3D36"/>
    <w:rsid w:val="004E0249"/>
    <w:rsid w:val="004E02A8"/>
    <w:rsid w:val="004E25F1"/>
    <w:rsid w:val="004E2984"/>
    <w:rsid w:val="004E39F1"/>
    <w:rsid w:val="004E5370"/>
    <w:rsid w:val="004E7297"/>
    <w:rsid w:val="004E7906"/>
    <w:rsid w:val="004E7AAC"/>
    <w:rsid w:val="004F4716"/>
    <w:rsid w:val="004F5C55"/>
    <w:rsid w:val="005012AE"/>
    <w:rsid w:val="00501B34"/>
    <w:rsid w:val="0050351E"/>
    <w:rsid w:val="00505B62"/>
    <w:rsid w:val="00505D21"/>
    <w:rsid w:val="005060F5"/>
    <w:rsid w:val="00512DD6"/>
    <w:rsid w:val="0051355C"/>
    <w:rsid w:val="00516782"/>
    <w:rsid w:val="00516EDB"/>
    <w:rsid w:val="00517833"/>
    <w:rsid w:val="00525770"/>
    <w:rsid w:val="00525CE5"/>
    <w:rsid w:val="00526742"/>
    <w:rsid w:val="005272CD"/>
    <w:rsid w:val="00530F46"/>
    <w:rsid w:val="00535AF4"/>
    <w:rsid w:val="00536559"/>
    <w:rsid w:val="00536D0E"/>
    <w:rsid w:val="005371E3"/>
    <w:rsid w:val="005419F3"/>
    <w:rsid w:val="005422CC"/>
    <w:rsid w:val="00542B2A"/>
    <w:rsid w:val="00542EF4"/>
    <w:rsid w:val="005443C7"/>
    <w:rsid w:val="0054788C"/>
    <w:rsid w:val="0055254E"/>
    <w:rsid w:val="005527B1"/>
    <w:rsid w:val="0055582C"/>
    <w:rsid w:val="00560713"/>
    <w:rsid w:val="00560C47"/>
    <w:rsid w:val="0056177B"/>
    <w:rsid w:val="00562305"/>
    <w:rsid w:val="005633E9"/>
    <w:rsid w:val="00563FA0"/>
    <w:rsid w:val="005676C2"/>
    <w:rsid w:val="005738BC"/>
    <w:rsid w:val="00574B98"/>
    <w:rsid w:val="00575A7A"/>
    <w:rsid w:val="005800D5"/>
    <w:rsid w:val="00580B6C"/>
    <w:rsid w:val="005817E0"/>
    <w:rsid w:val="00582D5A"/>
    <w:rsid w:val="00583647"/>
    <w:rsid w:val="0058367C"/>
    <w:rsid w:val="00584C49"/>
    <w:rsid w:val="00586213"/>
    <w:rsid w:val="00591C54"/>
    <w:rsid w:val="00591EBB"/>
    <w:rsid w:val="00591F6B"/>
    <w:rsid w:val="005928D1"/>
    <w:rsid w:val="00592B30"/>
    <w:rsid w:val="005945AA"/>
    <w:rsid w:val="005A1EF4"/>
    <w:rsid w:val="005A3BA8"/>
    <w:rsid w:val="005B253F"/>
    <w:rsid w:val="005B2F61"/>
    <w:rsid w:val="005C09B8"/>
    <w:rsid w:val="005C24CF"/>
    <w:rsid w:val="005C3296"/>
    <w:rsid w:val="005C4D64"/>
    <w:rsid w:val="005C55FF"/>
    <w:rsid w:val="005C647F"/>
    <w:rsid w:val="005C6F64"/>
    <w:rsid w:val="005C7040"/>
    <w:rsid w:val="005D2B87"/>
    <w:rsid w:val="005D3D70"/>
    <w:rsid w:val="005D524E"/>
    <w:rsid w:val="005E06C5"/>
    <w:rsid w:val="005E23B3"/>
    <w:rsid w:val="005E31DE"/>
    <w:rsid w:val="005E38C6"/>
    <w:rsid w:val="005E4CE9"/>
    <w:rsid w:val="005E62C3"/>
    <w:rsid w:val="005E686E"/>
    <w:rsid w:val="005E6959"/>
    <w:rsid w:val="005E74BF"/>
    <w:rsid w:val="005F1B46"/>
    <w:rsid w:val="005F3E4E"/>
    <w:rsid w:val="00600FA0"/>
    <w:rsid w:val="00604FC2"/>
    <w:rsid w:val="0060772E"/>
    <w:rsid w:val="00612CA8"/>
    <w:rsid w:val="006131D0"/>
    <w:rsid w:val="00615961"/>
    <w:rsid w:val="006160A4"/>
    <w:rsid w:val="006205FE"/>
    <w:rsid w:val="00621308"/>
    <w:rsid w:val="00621CBB"/>
    <w:rsid w:val="0062202B"/>
    <w:rsid w:val="00622E99"/>
    <w:rsid w:val="006234BD"/>
    <w:rsid w:val="00624F9C"/>
    <w:rsid w:val="006255ED"/>
    <w:rsid w:val="00627515"/>
    <w:rsid w:val="0062755C"/>
    <w:rsid w:val="00632116"/>
    <w:rsid w:val="00633CB7"/>
    <w:rsid w:val="006350BB"/>
    <w:rsid w:val="00636B5E"/>
    <w:rsid w:val="00637AFE"/>
    <w:rsid w:val="00640922"/>
    <w:rsid w:val="00641CED"/>
    <w:rsid w:val="006457C5"/>
    <w:rsid w:val="00645C0B"/>
    <w:rsid w:val="0064798D"/>
    <w:rsid w:val="00650F10"/>
    <w:rsid w:val="0065316F"/>
    <w:rsid w:val="00654612"/>
    <w:rsid w:val="00655636"/>
    <w:rsid w:val="00655780"/>
    <w:rsid w:val="00655F29"/>
    <w:rsid w:val="006569D5"/>
    <w:rsid w:val="00656DD1"/>
    <w:rsid w:val="00657EA8"/>
    <w:rsid w:val="006603B4"/>
    <w:rsid w:val="006625D6"/>
    <w:rsid w:val="006631E6"/>
    <w:rsid w:val="00664669"/>
    <w:rsid w:val="00664693"/>
    <w:rsid w:val="00664B9F"/>
    <w:rsid w:val="00666D6B"/>
    <w:rsid w:val="00667F82"/>
    <w:rsid w:val="00667FBF"/>
    <w:rsid w:val="00670A2B"/>
    <w:rsid w:val="00670B40"/>
    <w:rsid w:val="00670B8B"/>
    <w:rsid w:val="00671875"/>
    <w:rsid w:val="0067520F"/>
    <w:rsid w:val="0067586B"/>
    <w:rsid w:val="00676553"/>
    <w:rsid w:val="00683585"/>
    <w:rsid w:val="006847FA"/>
    <w:rsid w:val="00684D1D"/>
    <w:rsid w:val="00685B8E"/>
    <w:rsid w:val="00685E84"/>
    <w:rsid w:val="006861DE"/>
    <w:rsid w:val="0069217D"/>
    <w:rsid w:val="00692FBC"/>
    <w:rsid w:val="006A53CC"/>
    <w:rsid w:val="006A6CB6"/>
    <w:rsid w:val="006B166D"/>
    <w:rsid w:val="006B18EF"/>
    <w:rsid w:val="006B1C85"/>
    <w:rsid w:val="006B3539"/>
    <w:rsid w:val="006B3C16"/>
    <w:rsid w:val="006B5C86"/>
    <w:rsid w:val="006B5EC4"/>
    <w:rsid w:val="006B70CA"/>
    <w:rsid w:val="006C1B62"/>
    <w:rsid w:val="006C405D"/>
    <w:rsid w:val="006C535D"/>
    <w:rsid w:val="006C560D"/>
    <w:rsid w:val="006C7209"/>
    <w:rsid w:val="006C7ECA"/>
    <w:rsid w:val="006D019B"/>
    <w:rsid w:val="006D0344"/>
    <w:rsid w:val="006D2C36"/>
    <w:rsid w:val="006D53F5"/>
    <w:rsid w:val="006D56E2"/>
    <w:rsid w:val="006E1A0E"/>
    <w:rsid w:val="006E287B"/>
    <w:rsid w:val="006E4A33"/>
    <w:rsid w:val="006E4BE0"/>
    <w:rsid w:val="006E4EA1"/>
    <w:rsid w:val="006E69CA"/>
    <w:rsid w:val="006E7091"/>
    <w:rsid w:val="006F02DC"/>
    <w:rsid w:val="006F1536"/>
    <w:rsid w:val="006F5657"/>
    <w:rsid w:val="006F5B6A"/>
    <w:rsid w:val="006F629E"/>
    <w:rsid w:val="006F657A"/>
    <w:rsid w:val="006F7165"/>
    <w:rsid w:val="0070006A"/>
    <w:rsid w:val="007055F9"/>
    <w:rsid w:val="00705D56"/>
    <w:rsid w:val="00706081"/>
    <w:rsid w:val="00706168"/>
    <w:rsid w:val="00706465"/>
    <w:rsid w:val="00706852"/>
    <w:rsid w:val="0070719D"/>
    <w:rsid w:val="00710528"/>
    <w:rsid w:val="007115C7"/>
    <w:rsid w:val="0071373B"/>
    <w:rsid w:val="0071421D"/>
    <w:rsid w:val="00714B07"/>
    <w:rsid w:val="0071522F"/>
    <w:rsid w:val="007176CB"/>
    <w:rsid w:val="00717A6A"/>
    <w:rsid w:val="0072022B"/>
    <w:rsid w:val="00722D8B"/>
    <w:rsid w:val="0072442F"/>
    <w:rsid w:val="00724F50"/>
    <w:rsid w:val="0072591C"/>
    <w:rsid w:val="0072625B"/>
    <w:rsid w:val="007307EA"/>
    <w:rsid w:val="00730AE2"/>
    <w:rsid w:val="007336E6"/>
    <w:rsid w:val="007352E0"/>
    <w:rsid w:val="00735CB1"/>
    <w:rsid w:val="00735E95"/>
    <w:rsid w:val="0073720F"/>
    <w:rsid w:val="0073757D"/>
    <w:rsid w:val="00741CBE"/>
    <w:rsid w:val="00741EAC"/>
    <w:rsid w:val="00742BF5"/>
    <w:rsid w:val="00744A28"/>
    <w:rsid w:val="00745D4B"/>
    <w:rsid w:val="00753AD7"/>
    <w:rsid w:val="00754F06"/>
    <w:rsid w:val="007559D2"/>
    <w:rsid w:val="0075735A"/>
    <w:rsid w:val="007575E5"/>
    <w:rsid w:val="00761155"/>
    <w:rsid w:val="0076163A"/>
    <w:rsid w:val="00765FA9"/>
    <w:rsid w:val="00774962"/>
    <w:rsid w:val="00775FAE"/>
    <w:rsid w:val="00780C79"/>
    <w:rsid w:val="007818C5"/>
    <w:rsid w:val="00782112"/>
    <w:rsid w:val="0078448F"/>
    <w:rsid w:val="00786E68"/>
    <w:rsid w:val="00787E20"/>
    <w:rsid w:val="007911CF"/>
    <w:rsid w:val="00793FF3"/>
    <w:rsid w:val="0079422E"/>
    <w:rsid w:val="007A0251"/>
    <w:rsid w:val="007A0462"/>
    <w:rsid w:val="007A2731"/>
    <w:rsid w:val="007A6821"/>
    <w:rsid w:val="007A68F7"/>
    <w:rsid w:val="007B023C"/>
    <w:rsid w:val="007B2BF5"/>
    <w:rsid w:val="007B3E5C"/>
    <w:rsid w:val="007B4977"/>
    <w:rsid w:val="007B4C68"/>
    <w:rsid w:val="007B56E9"/>
    <w:rsid w:val="007B627A"/>
    <w:rsid w:val="007B66D7"/>
    <w:rsid w:val="007B69E3"/>
    <w:rsid w:val="007B773E"/>
    <w:rsid w:val="007B782B"/>
    <w:rsid w:val="007C126D"/>
    <w:rsid w:val="007C20E4"/>
    <w:rsid w:val="007C2C25"/>
    <w:rsid w:val="007C69E1"/>
    <w:rsid w:val="007C79D0"/>
    <w:rsid w:val="007D055F"/>
    <w:rsid w:val="007D26B5"/>
    <w:rsid w:val="007D2A1B"/>
    <w:rsid w:val="007D5136"/>
    <w:rsid w:val="007E3123"/>
    <w:rsid w:val="007E347B"/>
    <w:rsid w:val="007E62C4"/>
    <w:rsid w:val="007E744F"/>
    <w:rsid w:val="007E7673"/>
    <w:rsid w:val="007F0010"/>
    <w:rsid w:val="007F1240"/>
    <w:rsid w:val="007F2864"/>
    <w:rsid w:val="007F2DEA"/>
    <w:rsid w:val="007F54B7"/>
    <w:rsid w:val="007F59C6"/>
    <w:rsid w:val="007F7D2B"/>
    <w:rsid w:val="007F7DB2"/>
    <w:rsid w:val="008058AC"/>
    <w:rsid w:val="00806572"/>
    <w:rsid w:val="00811FB6"/>
    <w:rsid w:val="00812942"/>
    <w:rsid w:val="00812C67"/>
    <w:rsid w:val="00812E80"/>
    <w:rsid w:val="008139FB"/>
    <w:rsid w:val="00813B0E"/>
    <w:rsid w:val="00816F52"/>
    <w:rsid w:val="00817997"/>
    <w:rsid w:val="0082057C"/>
    <w:rsid w:val="00820974"/>
    <w:rsid w:val="008213C7"/>
    <w:rsid w:val="00822106"/>
    <w:rsid w:val="00822269"/>
    <w:rsid w:val="00822B7C"/>
    <w:rsid w:val="0082330F"/>
    <w:rsid w:val="00824202"/>
    <w:rsid w:val="008318BD"/>
    <w:rsid w:val="00832D42"/>
    <w:rsid w:val="00832F3F"/>
    <w:rsid w:val="00833FE8"/>
    <w:rsid w:val="00834852"/>
    <w:rsid w:val="00834FF4"/>
    <w:rsid w:val="00840DDB"/>
    <w:rsid w:val="00841ADA"/>
    <w:rsid w:val="00843B40"/>
    <w:rsid w:val="008462CA"/>
    <w:rsid w:val="00846735"/>
    <w:rsid w:val="0084698E"/>
    <w:rsid w:val="00846A7F"/>
    <w:rsid w:val="00847D77"/>
    <w:rsid w:val="00850690"/>
    <w:rsid w:val="0085136E"/>
    <w:rsid w:val="008513AE"/>
    <w:rsid w:val="00851C11"/>
    <w:rsid w:val="00852426"/>
    <w:rsid w:val="00852BC4"/>
    <w:rsid w:val="00855514"/>
    <w:rsid w:val="00860CD4"/>
    <w:rsid w:val="008627D8"/>
    <w:rsid w:val="0086306E"/>
    <w:rsid w:val="008649D2"/>
    <w:rsid w:val="00867890"/>
    <w:rsid w:val="00871459"/>
    <w:rsid w:val="00871919"/>
    <w:rsid w:val="00872BD4"/>
    <w:rsid w:val="00874661"/>
    <w:rsid w:val="0087531F"/>
    <w:rsid w:val="0087626E"/>
    <w:rsid w:val="00884F30"/>
    <w:rsid w:val="008877BE"/>
    <w:rsid w:val="00895AF3"/>
    <w:rsid w:val="008A0316"/>
    <w:rsid w:val="008A33E4"/>
    <w:rsid w:val="008A5C75"/>
    <w:rsid w:val="008A5D49"/>
    <w:rsid w:val="008B1A4C"/>
    <w:rsid w:val="008B455F"/>
    <w:rsid w:val="008B78CB"/>
    <w:rsid w:val="008C02B1"/>
    <w:rsid w:val="008C0C41"/>
    <w:rsid w:val="008C2304"/>
    <w:rsid w:val="008C4396"/>
    <w:rsid w:val="008C575E"/>
    <w:rsid w:val="008C640E"/>
    <w:rsid w:val="008C759E"/>
    <w:rsid w:val="008D1DB4"/>
    <w:rsid w:val="008D4EC4"/>
    <w:rsid w:val="008E0081"/>
    <w:rsid w:val="008E02F1"/>
    <w:rsid w:val="008E3266"/>
    <w:rsid w:val="008E33B2"/>
    <w:rsid w:val="008E6B73"/>
    <w:rsid w:val="008E7256"/>
    <w:rsid w:val="008F1516"/>
    <w:rsid w:val="008F2CDD"/>
    <w:rsid w:val="008F4C6B"/>
    <w:rsid w:val="008F541D"/>
    <w:rsid w:val="0090002B"/>
    <w:rsid w:val="00900A2C"/>
    <w:rsid w:val="00901AF9"/>
    <w:rsid w:val="00902032"/>
    <w:rsid w:val="00903C6D"/>
    <w:rsid w:val="00904120"/>
    <w:rsid w:val="009072D5"/>
    <w:rsid w:val="00915182"/>
    <w:rsid w:val="00915223"/>
    <w:rsid w:val="00916DA1"/>
    <w:rsid w:val="00920E54"/>
    <w:rsid w:val="009224A6"/>
    <w:rsid w:val="00922BC1"/>
    <w:rsid w:val="00924DF1"/>
    <w:rsid w:val="00926C1F"/>
    <w:rsid w:val="00926FED"/>
    <w:rsid w:val="0092731C"/>
    <w:rsid w:val="0093335A"/>
    <w:rsid w:val="009346F3"/>
    <w:rsid w:val="00934A88"/>
    <w:rsid w:val="00935119"/>
    <w:rsid w:val="0093670D"/>
    <w:rsid w:val="00936735"/>
    <w:rsid w:val="0093783C"/>
    <w:rsid w:val="00941100"/>
    <w:rsid w:val="0094139B"/>
    <w:rsid w:val="009417D3"/>
    <w:rsid w:val="00941A9A"/>
    <w:rsid w:val="00942AEA"/>
    <w:rsid w:val="00945903"/>
    <w:rsid w:val="00946A4A"/>
    <w:rsid w:val="009507E9"/>
    <w:rsid w:val="0095113A"/>
    <w:rsid w:val="00951818"/>
    <w:rsid w:val="0095418D"/>
    <w:rsid w:val="00954E71"/>
    <w:rsid w:val="009570E2"/>
    <w:rsid w:val="009603AA"/>
    <w:rsid w:val="00961869"/>
    <w:rsid w:val="009619EE"/>
    <w:rsid w:val="0096235E"/>
    <w:rsid w:val="00963EFC"/>
    <w:rsid w:val="00971357"/>
    <w:rsid w:val="009722F0"/>
    <w:rsid w:val="0097318F"/>
    <w:rsid w:val="00974399"/>
    <w:rsid w:val="00975B02"/>
    <w:rsid w:val="00976396"/>
    <w:rsid w:val="00977B5B"/>
    <w:rsid w:val="00977BAF"/>
    <w:rsid w:val="009800E0"/>
    <w:rsid w:val="00980F65"/>
    <w:rsid w:val="009819E2"/>
    <w:rsid w:val="00985C53"/>
    <w:rsid w:val="009902D1"/>
    <w:rsid w:val="00990689"/>
    <w:rsid w:val="009906A9"/>
    <w:rsid w:val="00991B44"/>
    <w:rsid w:val="00992602"/>
    <w:rsid w:val="00992FBF"/>
    <w:rsid w:val="009939D1"/>
    <w:rsid w:val="00993D46"/>
    <w:rsid w:val="00994E0A"/>
    <w:rsid w:val="00995E6D"/>
    <w:rsid w:val="00996CD5"/>
    <w:rsid w:val="009A1B4D"/>
    <w:rsid w:val="009A5C44"/>
    <w:rsid w:val="009B0687"/>
    <w:rsid w:val="009B51F7"/>
    <w:rsid w:val="009B5711"/>
    <w:rsid w:val="009B7C36"/>
    <w:rsid w:val="009C1451"/>
    <w:rsid w:val="009C168D"/>
    <w:rsid w:val="009C1994"/>
    <w:rsid w:val="009C222D"/>
    <w:rsid w:val="009C4BAA"/>
    <w:rsid w:val="009C4E0C"/>
    <w:rsid w:val="009C532E"/>
    <w:rsid w:val="009C5341"/>
    <w:rsid w:val="009C66CC"/>
    <w:rsid w:val="009C7F2C"/>
    <w:rsid w:val="009D321A"/>
    <w:rsid w:val="009D47D4"/>
    <w:rsid w:val="009D483D"/>
    <w:rsid w:val="009E10BA"/>
    <w:rsid w:val="009E210A"/>
    <w:rsid w:val="009F0B78"/>
    <w:rsid w:val="009F2D79"/>
    <w:rsid w:val="009F2DB1"/>
    <w:rsid w:val="009F3875"/>
    <w:rsid w:val="009F44ED"/>
    <w:rsid w:val="009F475D"/>
    <w:rsid w:val="009F5C8D"/>
    <w:rsid w:val="009F6006"/>
    <w:rsid w:val="00A032CA"/>
    <w:rsid w:val="00A05E9D"/>
    <w:rsid w:val="00A05ECC"/>
    <w:rsid w:val="00A07161"/>
    <w:rsid w:val="00A1142F"/>
    <w:rsid w:val="00A123CB"/>
    <w:rsid w:val="00A14E7D"/>
    <w:rsid w:val="00A1565D"/>
    <w:rsid w:val="00A15BE6"/>
    <w:rsid w:val="00A20B47"/>
    <w:rsid w:val="00A20BAE"/>
    <w:rsid w:val="00A260EF"/>
    <w:rsid w:val="00A33D21"/>
    <w:rsid w:val="00A34F3D"/>
    <w:rsid w:val="00A377BA"/>
    <w:rsid w:val="00A43DF5"/>
    <w:rsid w:val="00A4536B"/>
    <w:rsid w:val="00A468D8"/>
    <w:rsid w:val="00A47D74"/>
    <w:rsid w:val="00A51C30"/>
    <w:rsid w:val="00A51C71"/>
    <w:rsid w:val="00A5253E"/>
    <w:rsid w:val="00A52A2D"/>
    <w:rsid w:val="00A5415E"/>
    <w:rsid w:val="00A552F2"/>
    <w:rsid w:val="00A579AB"/>
    <w:rsid w:val="00A579D1"/>
    <w:rsid w:val="00A6028F"/>
    <w:rsid w:val="00A603BC"/>
    <w:rsid w:val="00A615B8"/>
    <w:rsid w:val="00A63666"/>
    <w:rsid w:val="00A66BBB"/>
    <w:rsid w:val="00A71D59"/>
    <w:rsid w:val="00A72CB9"/>
    <w:rsid w:val="00A76C93"/>
    <w:rsid w:val="00A80EDA"/>
    <w:rsid w:val="00A83036"/>
    <w:rsid w:val="00A90042"/>
    <w:rsid w:val="00A9008C"/>
    <w:rsid w:val="00A906F3"/>
    <w:rsid w:val="00A909FD"/>
    <w:rsid w:val="00A9123F"/>
    <w:rsid w:val="00A91B48"/>
    <w:rsid w:val="00A94ED3"/>
    <w:rsid w:val="00A95E9C"/>
    <w:rsid w:val="00A964CE"/>
    <w:rsid w:val="00A969A0"/>
    <w:rsid w:val="00A97C27"/>
    <w:rsid w:val="00AA0C88"/>
    <w:rsid w:val="00AA20A4"/>
    <w:rsid w:val="00AA2A8B"/>
    <w:rsid w:val="00AA3FAF"/>
    <w:rsid w:val="00AA582F"/>
    <w:rsid w:val="00AA60A1"/>
    <w:rsid w:val="00AB0AC7"/>
    <w:rsid w:val="00AB1E5D"/>
    <w:rsid w:val="00AB705F"/>
    <w:rsid w:val="00AB7085"/>
    <w:rsid w:val="00AC3BDD"/>
    <w:rsid w:val="00AC3D31"/>
    <w:rsid w:val="00AC4FB1"/>
    <w:rsid w:val="00AC797E"/>
    <w:rsid w:val="00AD070D"/>
    <w:rsid w:val="00AD096E"/>
    <w:rsid w:val="00AD0D12"/>
    <w:rsid w:val="00AD1750"/>
    <w:rsid w:val="00AD1844"/>
    <w:rsid w:val="00AD1CBE"/>
    <w:rsid w:val="00AD293A"/>
    <w:rsid w:val="00AD30BF"/>
    <w:rsid w:val="00AD6022"/>
    <w:rsid w:val="00AD6FE9"/>
    <w:rsid w:val="00AE08C8"/>
    <w:rsid w:val="00AE2304"/>
    <w:rsid w:val="00AE23F9"/>
    <w:rsid w:val="00AE2C2C"/>
    <w:rsid w:val="00AE402F"/>
    <w:rsid w:val="00AF06B1"/>
    <w:rsid w:val="00AF0D6B"/>
    <w:rsid w:val="00AF4EB8"/>
    <w:rsid w:val="00AF66D3"/>
    <w:rsid w:val="00B01608"/>
    <w:rsid w:val="00B03E0B"/>
    <w:rsid w:val="00B050A9"/>
    <w:rsid w:val="00B05782"/>
    <w:rsid w:val="00B114B7"/>
    <w:rsid w:val="00B148CC"/>
    <w:rsid w:val="00B15C0D"/>
    <w:rsid w:val="00B1696B"/>
    <w:rsid w:val="00B248D4"/>
    <w:rsid w:val="00B252FE"/>
    <w:rsid w:val="00B25B17"/>
    <w:rsid w:val="00B25CC0"/>
    <w:rsid w:val="00B3578D"/>
    <w:rsid w:val="00B35802"/>
    <w:rsid w:val="00B365E3"/>
    <w:rsid w:val="00B36961"/>
    <w:rsid w:val="00B36D5D"/>
    <w:rsid w:val="00B3779B"/>
    <w:rsid w:val="00B42898"/>
    <w:rsid w:val="00B44377"/>
    <w:rsid w:val="00B4595A"/>
    <w:rsid w:val="00B500ED"/>
    <w:rsid w:val="00B50FE6"/>
    <w:rsid w:val="00B51AAE"/>
    <w:rsid w:val="00B5203B"/>
    <w:rsid w:val="00B52B28"/>
    <w:rsid w:val="00B56E42"/>
    <w:rsid w:val="00B57AEE"/>
    <w:rsid w:val="00B60FE2"/>
    <w:rsid w:val="00B610D5"/>
    <w:rsid w:val="00B6138F"/>
    <w:rsid w:val="00B62376"/>
    <w:rsid w:val="00B6271C"/>
    <w:rsid w:val="00B62903"/>
    <w:rsid w:val="00B64F60"/>
    <w:rsid w:val="00B66CA0"/>
    <w:rsid w:val="00B70363"/>
    <w:rsid w:val="00B72BB9"/>
    <w:rsid w:val="00B73331"/>
    <w:rsid w:val="00B754FF"/>
    <w:rsid w:val="00B776E9"/>
    <w:rsid w:val="00B8282A"/>
    <w:rsid w:val="00B84C62"/>
    <w:rsid w:val="00B85830"/>
    <w:rsid w:val="00B9202F"/>
    <w:rsid w:val="00B93AEB"/>
    <w:rsid w:val="00B94BFC"/>
    <w:rsid w:val="00B97DDC"/>
    <w:rsid w:val="00BA3DAF"/>
    <w:rsid w:val="00BA4A15"/>
    <w:rsid w:val="00BA5906"/>
    <w:rsid w:val="00BA6ED1"/>
    <w:rsid w:val="00BB13A0"/>
    <w:rsid w:val="00BB1B1F"/>
    <w:rsid w:val="00BB2CD5"/>
    <w:rsid w:val="00BB528B"/>
    <w:rsid w:val="00BB5A66"/>
    <w:rsid w:val="00BB5EAC"/>
    <w:rsid w:val="00BB6522"/>
    <w:rsid w:val="00BC1945"/>
    <w:rsid w:val="00BC1DB4"/>
    <w:rsid w:val="00BC1E10"/>
    <w:rsid w:val="00BC2087"/>
    <w:rsid w:val="00BC47E3"/>
    <w:rsid w:val="00BC5C6C"/>
    <w:rsid w:val="00BC7E39"/>
    <w:rsid w:val="00BD0008"/>
    <w:rsid w:val="00BD37EA"/>
    <w:rsid w:val="00BD4613"/>
    <w:rsid w:val="00BD63FD"/>
    <w:rsid w:val="00BD7A9A"/>
    <w:rsid w:val="00BE0FD1"/>
    <w:rsid w:val="00BE3259"/>
    <w:rsid w:val="00BE35BC"/>
    <w:rsid w:val="00BE417F"/>
    <w:rsid w:val="00BE5819"/>
    <w:rsid w:val="00BE6C05"/>
    <w:rsid w:val="00BE79C6"/>
    <w:rsid w:val="00BF0327"/>
    <w:rsid w:val="00BF0B2B"/>
    <w:rsid w:val="00BF1BF9"/>
    <w:rsid w:val="00BF1F0E"/>
    <w:rsid w:val="00BF2554"/>
    <w:rsid w:val="00BF5CFA"/>
    <w:rsid w:val="00BF76FB"/>
    <w:rsid w:val="00BF799D"/>
    <w:rsid w:val="00C01992"/>
    <w:rsid w:val="00C034D6"/>
    <w:rsid w:val="00C04280"/>
    <w:rsid w:val="00C2009D"/>
    <w:rsid w:val="00C218A0"/>
    <w:rsid w:val="00C22DD7"/>
    <w:rsid w:val="00C238B5"/>
    <w:rsid w:val="00C2417E"/>
    <w:rsid w:val="00C25140"/>
    <w:rsid w:val="00C30591"/>
    <w:rsid w:val="00C30665"/>
    <w:rsid w:val="00C35A36"/>
    <w:rsid w:val="00C36B71"/>
    <w:rsid w:val="00C36B8F"/>
    <w:rsid w:val="00C374A4"/>
    <w:rsid w:val="00C37FE2"/>
    <w:rsid w:val="00C407FF"/>
    <w:rsid w:val="00C4145B"/>
    <w:rsid w:val="00C416FB"/>
    <w:rsid w:val="00C42C06"/>
    <w:rsid w:val="00C45101"/>
    <w:rsid w:val="00C4517B"/>
    <w:rsid w:val="00C4738E"/>
    <w:rsid w:val="00C503B7"/>
    <w:rsid w:val="00C52BF7"/>
    <w:rsid w:val="00C52EC1"/>
    <w:rsid w:val="00C54DDF"/>
    <w:rsid w:val="00C56205"/>
    <w:rsid w:val="00C562B0"/>
    <w:rsid w:val="00C61307"/>
    <w:rsid w:val="00C6199D"/>
    <w:rsid w:val="00C63597"/>
    <w:rsid w:val="00C660A6"/>
    <w:rsid w:val="00C72628"/>
    <w:rsid w:val="00C7689F"/>
    <w:rsid w:val="00C779E1"/>
    <w:rsid w:val="00C84078"/>
    <w:rsid w:val="00C85728"/>
    <w:rsid w:val="00C85F3C"/>
    <w:rsid w:val="00C904F5"/>
    <w:rsid w:val="00C90D04"/>
    <w:rsid w:val="00C90D8D"/>
    <w:rsid w:val="00C946ED"/>
    <w:rsid w:val="00C972EC"/>
    <w:rsid w:val="00C979E7"/>
    <w:rsid w:val="00C97CE0"/>
    <w:rsid w:val="00CA1203"/>
    <w:rsid w:val="00CA1777"/>
    <w:rsid w:val="00CA4863"/>
    <w:rsid w:val="00CA4F8C"/>
    <w:rsid w:val="00CA6197"/>
    <w:rsid w:val="00CA73CE"/>
    <w:rsid w:val="00CA78B4"/>
    <w:rsid w:val="00CB303E"/>
    <w:rsid w:val="00CB3A2C"/>
    <w:rsid w:val="00CB72E4"/>
    <w:rsid w:val="00CC010E"/>
    <w:rsid w:val="00CC3D5E"/>
    <w:rsid w:val="00CC4E0A"/>
    <w:rsid w:val="00CC641F"/>
    <w:rsid w:val="00CC71D8"/>
    <w:rsid w:val="00CD2F9A"/>
    <w:rsid w:val="00CD4504"/>
    <w:rsid w:val="00CD60BE"/>
    <w:rsid w:val="00CD6C73"/>
    <w:rsid w:val="00CD7554"/>
    <w:rsid w:val="00CE06FE"/>
    <w:rsid w:val="00CE13B5"/>
    <w:rsid w:val="00CE20AD"/>
    <w:rsid w:val="00CE5533"/>
    <w:rsid w:val="00CE775F"/>
    <w:rsid w:val="00CF05A3"/>
    <w:rsid w:val="00CF1AAC"/>
    <w:rsid w:val="00CF32C3"/>
    <w:rsid w:val="00CF4C35"/>
    <w:rsid w:val="00CF5FDA"/>
    <w:rsid w:val="00D002D1"/>
    <w:rsid w:val="00D02517"/>
    <w:rsid w:val="00D05152"/>
    <w:rsid w:val="00D05592"/>
    <w:rsid w:val="00D05DCB"/>
    <w:rsid w:val="00D06B01"/>
    <w:rsid w:val="00D07440"/>
    <w:rsid w:val="00D10407"/>
    <w:rsid w:val="00D118C5"/>
    <w:rsid w:val="00D11EF2"/>
    <w:rsid w:val="00D12791"/>
    <w:rsid w:val="00D13036"/>
    <w:rsid w:val="00D137C1"/>
    <w:rsid w:val="00D16C0D"/>
    <w:rsid w:val="00D20AA1"/>
    <w:rsid w:val="00D234BA"/>
    <w:rsid w:val="00D25170"/>
    <w:rsid w:val="00D26546"/>
    <w:rsid w:val="00D3075D"/>
    <w:rsid w:val="00D3724B"/>
    <w:rsid w:val="00D375E7"/>
    <w:rsid w:val="00D37F24"/>
    <w:rsid w:val="00D4020F"/>
    <w:rsid w:val="00D40C2A"/>
    <w:rsid w:val="00D415F7"/>
    <w:rsid w:val="00D42221"/>
    <w:rsid w:val="00D4276B"/>
    <w:rsid w:val="00D47870"/>
    <w:rsid w:val="00D502F6"/>
    <w:rsid w:val="00D51DC2"/>
    <w:rsid w:val="00D55641"/>
    <w:rsid w:val="00D55763"/>
    <w:rsid w:val="00D578BF"/>
    <w:rsid w:val="00D602CF"/>
    <w:rsid w:val="00D61AC4"/>
    <w:rsid w:val="00D61DA9"/>
    <w:rsid w:val="00D6201B"/>
    <w:rsid w:val="00D636C1"/>
    <w:rsid w:val="00D640F8"/>
    <w:rsid w:val="00D65A3D"/>
    <w:rsid w:val="00D71822"/>
    <w:rsid w:val="00D71E07"/>
    <w:rsid w:val="00D73DF8"/>
    <w:rsid w:val="00D74CA2"/>
    <w:rsid w:val="00D75505"/>
    <w:rsid w:val="00D75555"/>
    <w:rsid w:val="00D76887"/>
    <w:rsid w:val="00D76F71"/>
    <w:rsid w:val="00D76FE9"/>
    <w:rsid w:val="00D844F0"/>
    <w:rsid w:val="00D85201"/>
    <w:rsid w:val="00D9173E"/>
    <w:rsid w:val="00D91942"/>
    <w:rsid w:val="00D91C80"/>
    <w:rsid w:val="00D91FA0"/>
    <w:rsid w:val="00D92207"/>
    <w:rsid w:val="00D956A1"/>
    <w:rsid w:val="00D9574A"/>
    <w:rsid w:val="00D962EC"/>
    <w:rsid w:val="00D967E6"/>
    <w:rsid w:val="00D97203"/>
    <w:rsid w:val="00D97FFB"/>
    <w:rsid w:val="00DA2AF6"/>
    <w:rsid w:val="00DA2D0C"/>
    <w:rsid w:val="00DA563F"/>
    <w:rsid w:val="00DA79DC"/>
    <w:rsid w:val="00DB42EE"/>
    <w:rsid w:val="00DB588B"/>
    <w:rsid w:val="00DB5CDE"/>
    <w:rsid w:val="00DB5E91"/>
    <w:rsid w:val="00DC14AA"/>
    <w:rsid w:val="00DC321F"/>
    <w:rsid w:val="00DC35E7"/>
    <w:rsid w:val="00DC372D"/>
    <w:rsid w:val="00DC4329"/>
    <w:rsid w:val="00DC48E9"/>
    <w:rsid w:val="00DC58A6"/>
    <w:rsid w:val="00DC7927"/>
    <w:rsid w:val="00DD0638"/>
    <w:rsid w:val="00DD3366"/>
    <w:rsid w:val="00DD3DD8"/>
    <w:rsid w:val="00DD6560"/>
    <w:rsid w:val="00DE08D3"/>
    <w:rsid w:val="00DE1469"/>
    <w:rsid w:val="00DE16BF"/>
    <w:rsid w:val="00DE46D8"/>
    <w:rsid w:val="00DE4D5F"/>
    <w:rsid w:val="00DE5818"/>
    <w:rsid w:val="00DE796A"/>
    <w:rsid w:val="00DE7FDA"/>
    <w:rsid w:val="00DF286B"/>
    <w:rsid w:val="00DF505F"/>
    <w:rsid w:val="00DF75C7"/>
    <w:rsid w:val="00DF7F4C"/>
    <w:rsid w:val="00E0051E"/>
    <w:rsid w:val="00E02BCE"/>
    <w:rsid w:val="00E04236"/>
    <w:rsid w:val="00E074C4"/>
    <w:rsid w:val="00E103DC"/>
    <w:rsid w:val="00E132AE"/>
    <w:rsid w:val="00E13ABD"/>
    <w:rsid w:val="00E142BE"/>
    <w:rsid w:val="00E151B3"/>
    <w:rsid w:val="00E158D9"/>
    <w:rsid w:val="00E1626F"/>
    <w:rsid w:val="00E16314"/>
    <w:rsid w:val="00E20772"/>
    <w:rsid w:val="00E22079"/>
    <w:rsid w:val="00E25CBF"/>
    <w:rsid w:val="00E26E9E"/>
    <w:rsid w:val="00E276C2"/>
    <w:rsid w:val="00E31245"/>
    <w:rsid w:val="00E358BB"/>
    <w:rsid w:val="00E36111"/>
    <w:rsid w:val="00E36C06"/>
    <w:rsid w:val="00E371AF"/>
    <w:rsid w:val="00E41742"/>
    <w:rsid w:val="00E41C9B"/>
    <w:rsid w:val="00E42458"/>
    <w:rsid w:val="00E42C76"/>
    <w:rsid w:val="00E439A9"/>
    <w:rsid w:val="00E456CD"/>
    <w:rsid w:val="00E465CB"/>
    <w:rsid w:val="00E466C8"/>
    <w:rsid w:val="00E46A1B"/>
    <w:rsid w:val="00E5075E"/>
    <w:rsid w:val="00E52429"/>
    <w:rsid w:val="00E52586"/>
    <w:rsid w:val="00E53999"/>
    <w:rsid w:val="00E54431"/>
    <w:rsid w:val="00E5472D"/>
    <w:rsid w:val="00E571D0"/>
    <w:rsid w:val="00E604F8"/>
    <w:rsid w:val="00E619E0"/>
    <w:rsid w:val="00E62886"/>
    <w:rsid w:val="00E64FF7"/>
    <w:rsid w:val="00E65B53"/>
    <w:rsid w:val="00E6607F"/>
    <w:rsid w:val="00E667C3"/>
    <w:rsid w:val="00E7178F"/>
    <w:rsid w:val="00E73511"/>
    <w:rsid w:val="00E73ABD"/>
    <w:rsid w:val="00E760C7"/>
    <w:rsid w:val="00E81463"/>
    <w:rsid w:val="00E816ED"/>
    <w:rsid w:val="00E81AE7"/>
    <w:rsid w:val="00E81C7D"/>
    <w:rsid w:val="00E8249E"/>
    <w:rsid w:val="00E82E1B"/>
    <w:rsid w:val="00E845E3"/>
    <w:rsid w:val="00E84DAA"/>
    <w:rsid w:val="00E84EFE"/>
    <w:rsid w:val="00E862D7"/>
    <w:rsid w:val="00E879D3"/>
    <w:rsid w:val="00E909A8"/>
    <w:rsid w:val="00E92CD3"/>
    <w:rsid w:val="00E97AB7"/>
    <w:rsid w:val="00EA2C5E"/>
    <w:rsid w:val="00EA7C6C"/>
    <w:rsid w:val="00EB37AB"/>
    <w:rsid w:val="00EB3BC9"/>
    <w:rsid w:val="00EB463F"/>
    <w:rsid w:val="00EB7C2F"/>
    <w:rsid w:val="00EC0CBC"/>
    <w:rsid w:val="00EC353C"/>
    <w:rsid w:val="00EC3A5F"/>
    <w:rsid w:val="00ED04BF"/>
    <w:rsid w:val="00ED254D"/>
    <w:rsid w:val="00ED7008"/>
    <w:rsid w:val="00ED760C"/>
    <w:rsid w:val="00ED7FC2"/>
    <w:rsid w:val="00EE1B44"/>
    <w:rsid w:val="00EE2A61"/>
    <w:rsid w:val="00EE2A92"/>
    <w:rsid w:val="00EE38AA"/>
    <w:rsid w:val="00EE438F"/>
    <w:rsid w:val="00EE4AA5"/>
    <w:rsid w:val="00EE4C4D"/>
    <w:rsid w:val="00EE5EF5"/>
    <w:rsid w:val="00EE6B6B"/>
    <w:rsid w:val="00EF1E15"/>
    <w:rsid w:val="00EF4923"/>
    <w:rsid w:val="00EF4A77"/>
    <w:rsid w:val="00EF50BF"/>
    <w:rsid w:val="00EF644A"/>
    <w:rsid w:val="00F01A50"/>
    <w:rsid w:val="00F01D0A"/>
    <w:rsid w:val="00F02474"/>
    <w:rsid w:val="00F02867"/>
    <w:rsid w:val="00F03C24"/>
    <w:rsid w:val="00F05C9D"/>
    <w:rsid w:val="00F070B2"/>
    <w:rsid w:val="00F078E4"/>
    <w:rsid w:val="00F157CD"/>
    <w:rsid w:val="00F157FD"/>
    <w:rsid w:val="00F15DA2"/>
    <w:rsid w:val="00F211B9"/>
    <w:rsid w:val="00F23011"/>
    <w:rsid w:val="00F233C1"/>
    <w:rsid w:val="00F240DC"/>
    <w:rsid w:val="00F24C6A"/>
    <w:rsid w:val="00F25F7E"/>
    <w:rsid w:val="00F303F8"/>
    <w:rsid w:val="00F321FD"/>
    <w:rsid w:val="00F34B2D"/>
    <w:rsid w:val="00F37B77"/>
    <w:rsid w:val="00F42116"/>
    <w:rsid w:val="00F4270B"/>
    <w:rsid w:val="00F44E77"/>
    <w:rsid w:val="00F44F54"/>
    <w:rsid w:val="00F45938"/>
    <w:rsid w:val="00F50390"/>
    <w:rsid w:val="00F51F10"/>
    <w:rsid w:val="00F5666E"/>
    <w:rsid w:val="00F62BF3"/>
    <w:rsid w:val="00F62C2A"/>
    <w:rsid w:val="00F631B1"/>
    <w:rsid w:val="00F73CC1"/>
    <w:rsid w:val="00F7639B"/>
    <w:rsid w:val="00F76A3B"/>
    <w:rsid w:val="00F811BF"/>
    <w:rsid w:val="00F81C26"/>
    <w:rsid w:val="00F81E62"/>
    <w:rsid w:val="00F82635"/>
    <w:rsid w:val="00F82FB7"/>
    <w:rsid w:val="00F84923"/>
    <w:rsid w:val="00F854B4"/>
    <w:rsid w:val="00F87A00"/>
    <w:rsid w:val="00F87C04"/>
    <w:rsid w:val="00F93F8E"/>
    <w:rsid w:val="00FA4FFC"/>
    <w:rsid w:val="00FA540F"/>
    <w:rsid w:val="00FA6534"/>
    <w:rsid w:val="00FB1E2D"/>
    <w:rsid w:val="00FB4182"/>
    <w:rsid w:val="00FB4467"/>
    <w:rsid w:val="00FC1E34"/>
    <w:rsid w:val="00FC21D4"/>
    <w:rsid w:val="00FC593C"/>
    <w:rsid w:val="00FC6303"/>
    <w:rsid w:val="00FC7601"/>
    <w:rsid w:val="00FD0346"/>
    <w:rsid w:val="00FE0832"/>
    <w:rsid w:val="00FE1662"/>
    <w:rsid w:val="00FE3C31"/>
    <w:rsid w:val="00FE61CB"/>
    <w:rsid w:val="00FE6A24"/>
    <w:rsid w:val="00FF1A0E"/>
    <w:rsid w:val="00FF2FD8"/>
    <w:rsid w:val="00FF4A79"/>
    <w:rsid w:val="00FF4D23"/>
    <w:rsid w:val="00FF65A4"/>
    <w:rsid w:val="00FF6F68"/>
    <w:rsid w:val="00FF7870"/>
    <w:rsid w:val="00FF78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Body Text 2" w:uiPriority="99"/>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6EF7"/>
    <w:pPr>
      <w:bidi/>
    </w:pPr>
    <w:rPr>
      <w:rFonts w:cs="Simplified Arabic"/>
      <w:sz w:val="22"/>
      <w:szCs w:val="28"/>
    </w:rPr>
  </w:style>
  <w:style w:type="paragraph" w:styleId="Heading1">
    <w:name w:val="heading 1"/>
    <w:basedOn w:val="Normal"/>
    <w:next w:val="Normal"/>
    <w:link w:val="Heading1Char"/>
    <w:qFormat/>
    <w:pPr>
      <w:keepNext/>
      <w:spacing w:before="120" w:after="120" w:line="360" w:lineRule="exact"/>
      <w:jc w:val="center"/>
      <w:outlineLvl w:val="0"/>
    </w:pPr>
    <w:rPr>
      <w:u w:val="single"/>
    </w:rPr>
  </w:style>
  <w:style w:type="paragraph" w:styleId="Heading2">
    <w:name w:val="heading 2"/>
    <w:basedOn w:val="Normal"/>
    <w:next w:val="Normal"/>
    <w:link w:val="Heading2Char"/>
    <w:qFormat/>
    <w:pPr>
      <w:keepNext/>
      <w:spacing w:before="120" w:after="120" w:line="360" w:lineRule="exact"/>
      <w:jc w:val="center"/>
      <w:outlineLvl w:val="1"/>
    </w:pPr>
    <w:rPr>
      <w:u w:val="single"/>
    </w:rPr>
  </w:style>
  <w:style w:type="paragraph" w:styleId="Heading3">
    <w:name w:val="heading 3"/>
    <w:basedOn w:val="Normal"/>
    <w:next w:val="Normal"/>
    <w:link w:val="Heading3Char"/>
    <w:qFormat/>
    <w:pPr>
      <w:keepNext/>
      <w:spacing w:before="120" w:after="120" w:line="360" w:lineRule="exact"/>
      <w:jc w:val="both"/>
      <w:outlineLvl w:val="2"/>
    </w:pPr>
    <w:rPr>
      <w:u w:val="single"/>
    </w:rPr>
  </w:style>
  <w:style w:type="paragraph" w:styleId="Heading4">
    <w:name w:val="heading 4"/>
    <w:basedOn w:val="Normal"/>
    <w:next w:val="Normal"/>
    <w:link w:val="Heading4Char"/>
    <w:qFormat/>
    <w:pPr>
      <w:keepNext/>
      <w:spacing w:before="120" w:after="120" w:line="360" w:lineRule="exact"/>
      <w:jc w:val="both"/>
      <w:outlineLvl w:val="3"/>
    </w:pPr>
  </w:style>
  <w:style w:type="paragraph" w:styleId="Heading5">
    <w:name w:val="heading 5"/>
    <w:basedOn w:val="Normal"/>
    <w:next w:val="Normal"/>
    <w:link w:val="Heading5Char"/>
    <w:qFormat/>
    <w:pPr>
      <w:keepNext/>
      <w:jc w:val="right"/>
      <w:outlineLvl w:val="4"/>
    </w:pPr>
    <w:rPr>
      <w:rFonts w:ascii="Times" w:hAnsi="Times" w:cs="Arabic Transparent"/>
      <w:b/>
      <w:bCs/>
      <w:noProof/>
      <w:sz w:val="20"/>
      <w:szCs w:val="44"/>
    </w:rPr>
  </w:style>
  <w:style w:type="paragraph" w:styleId="Heading6">
    <w:name w:val="heading 6"/>
    <w:basedOn w:val="Normal"/>
    <w:next w:val="Normal"/>
    <w:link w:val="Heading6Char"/>
    <w:qFormat/>
    <w:pPr>
      <w:keepNext/>
      <w:spacing w:before="120" w:after="120" w:line="360" w:lineRule="exact"/>
      <w:jc w:val="both"/>
      <w:outlineLvl w:val="5"/>
    </w:pPr>
    <w:rPr>
      <w:u w:val="single"/>
    </w:rPr>
  </w:style>
  <w:style w:type="paragraph" w:styleId="Heading7">
    <w:name w:val="heading 7"/>
    <w:basedOn w:val="Normal"/>
    <w:next w:val="Normal"/>
    <w:link w:val="Heading7Char"/>
    <w:uiPriority w:val="99"/>
    <w:qFormat/>
    <w:pPr>
      <w:keepNext/>
      <w:jc w:val="center"/>
      <w:outlineLvl w:val="6"/>
    </w:pPr>
    <w:rPr>
      <w:rFonts w:ascii="Times" w:hAnsi="Times"/>
      <w:b/>
      <w:bCs/>
      <w:noProof/>
      <w:sz w:val="20"/>
    </w:rPr>
  </w:style>
  <w:style w:type="paragraph" w:styleId="Heading8">
    <w:name w:val="heading 8"/>
    <w:basedOn w:val="Normal"/>
    <w:next w:val="Normal"/>
    <w:link w:val="Heading8Char"/>
    <w:uiPriority w:val="99"/>
    <w:qFormat/>
    <w:pPr>
      <w:keepNext/>
      <w:jc w:val="center"/>
      <w:outlineLvl w:val="7"/>
    </w:pPr>
    <w:rPr>
      <w:b/>
      <w:bCs/>
      <w:sz w:val="30"/>
      <w:szCs w:val="30"/>
    </w:rPr>
  </w:style>
  <w:style w:type="paragraph" w:styleId="Heading9">
    <w:name w:val="heading 9"/>
    <w:basedOn w:val="Normal"/>
    <w:next w:val="Normal"/>
    <w:link w:val="Heading9Char"/>
    <w:uiPriority w:val="99"/>
    <w:qFormat/>
    <w:pPr>
      <w:keepNext/>
      <w:spacing w:line="360" w:lineRule="exact"/>
      <w:jc w:val="center"/>
      <w:outlineLvl w:val="8"/>
    </w:pPr>
    <w:rPr>
      <w:rFonts w:ascii="Times" w:hAnsi="Times"/>
      <w:b/>
      <w:bCs/>
      <w:noProof/>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jc w:val="right"/>
    </w:pPr>
    <w:rPr>
      <w:rFonts w:ascii="Times" w:hAnsi="Times"/>
      <w:noProof/>
      <w:sz w:val="20"/>
      <w:szCs w:val="24"/>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jc w:val="right"/>
    </w:pPr>
    <w:rPr>
      <w:rFonts w:ascii="Times" w:hAnsi="Times"/>
      <w:noProof/>
      <w:sz w:val="20"/>
      <w:szCs w:val="24"/>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
    <w:link w:val="FootnoteTextChar"/>
    <w:uiPriority w:val="99"/>
    <w:pPr>
      <w:jc w:val="right"/>
    </w:pPr>
    <w:rPr>
      <w:rFonts w:ascii="Times" w:hAnsi="Times"/>
      <w:noProof/>
      <w:sz w:val="20"/>
      <w:szCs w:val="20"/>
    </w:rPr>
  </w:style>
  <w:style w:type="character" w:styleId="FootnoteReference">
    <w:name w:val="footnote reference"/>
    <w:aliases w:val="16 Point,Superscript 6 Point,ftref,(Ref. de nota al pie),number,SUPERS,Footnote Reference Superscript"/>
    <w:uiPriority w:val="99"/>
    <w:rPr>
      <w:vertAlign w:val="superscript"/>
    </w:rPr>
  </w:style>
  <w:style w:type="paragraph" w:customStyle="1" w:styleId="Level1">
    <w:name w:val="Level1"/>
    <w:basedOn w:val="Normal"/>
    <w:pPr>
      <w:tabs>
        <w:tab w:val="left" w:pos="578"/>
        <w:tab w:val="left" w:pos="1157"/>
      </w:tabs>
      <w:bidi w:val="0"/>
      <w:spacing w:after="240"/>
    </w:pPr>
    <w:rPr>
      <w:rFonts w:cs="Times New Roman"/>
      <w:szCs w:val="22"/>
      <w:lang w:val="en-GB" w:eastAsia="fr-FR"/>
    </w:rPr>
  </w:style>
  <w:style w:type="paragraph" w:customStyle="1" w:styleId="font6">
    <w:name w:val="font6"/>
    <w:basedOn w:val="Normal"/>
    <w:pPr>
      <w:bidi w:val="0"/>
      <w:spacing w:before="100" w:beforeAutospacing="1" w:after="100" w:afterAutospacing="1"/>
    </w:pPr>
    <w:rPr>
      <w:rFonts w:ascii="Arial" w:eastAsia="Arial Unicode MS" w:hAnsi="Arial" w:cs="Arial"/>
      <w:sz w:val="20"/>
      <w:szCs w:val="20"/>
      <w:lang w:val="fr-FR" w:eastAsia="fr-FR"/>
    </w:rPr>
  </w:style>
  <w:style w:type="paragraph" w:styleId="BodyText">
    <w:name w:val="Body Text"/>
    <w:basedOn w:val="Normal"/>
    <w:link w:val="BodyTextChar"/>
    <w:uiPriority w:val="99"/>
    <w:pPr>
      <w:bidi w:val="0"/>
    </w:pPr>
    <w:rPr>
      <w:rFonts w:ascii="Times" w:hAnsi="Times"/>
      <w:sz w:val="20"/>
    </w:rPr>
  </w:style>
  <w:style w:type="paragraph" w:styleId="BodyText2">
    <w:name w:val="Body Text 2"/>
    <w:basedOn w:val="Normal"/>
    <w:link w:val="BodyText2Char"/>
    <w:uiPriority w:val="99"/>
    <w:pPr>
      <w:jc w:val="both"/>
    </w:pPr>
    <w:rPr>
      <w:rFonts w:ascii="Times" w:hAnsi="Times"/>
      <w:noProof/>
      <w:sz w:val="28"/>
    </w:rPr>
  </w:style>
  <w:style w:type="paragraph" w:styleId="BodyText3">
    <w:name w:val="Body Text 3"/>
    <w:basedOn w:val="Normal"/>
    <w:link w:val="BodyText3Char"/>
    <w:rsid w:val="00E46A1B"/>
    <w:pPr>
      <w:spacing w:line="200" w:lineRule="exact"/>
      <w:jc w:val="both"/>
    </w:pPr>
    <w:rPr>
      <w:rFonts w:ascii="Times" w:hAnsi="Times"/>
      <w:w w:val="66"/>
      <w:sz w:val="20"/>
      <w:szCs w:val="20"/>
    </w:rPr>
  </w:style>
  <w:style w:type="paragraph" w:styleId="BodyTextIndent2">
    <w:name w:val="Body Text Indent 2"/>
    <w:basedOn w:val="Normal"/>
    <w:link w:val="BodyTextIndent2Char"/>
    <w:rsid w:val="00E46A1B"/>
    <w:pPr>
      <w:spacing w:line="240" w:lineRule="exact"/>
      <w:ind w:left="565"/>
      <w:jc w:val="both"/>
    </w:pPr>
    <w:rPr>
      <w:rFonts w:ascii="Times" w:hAnsi="Times"/>
      <w:w w:val="80"/>
      <w:sz w:val="20"/>
      <w:szCs w:val="20"/>
    </w:rPr>
  </w:style>
  <w:style w:type="paragraph" w:styleId="BodyTextIndent">
    <w:name w:val="Body Text Indent"/>
    <w:basedOn w:val="Normal"/>
    <w:link w:val="BodyTextIndentChar"/>
    <w:rsid w:val="00E46A1B"/>
    <w:pPr>
      <w:spacing w:before="120"/>
      <w:ind w:firstLine="720"/>
      <w:jc w:val="both"/>
    </w:pPr>
    <w:rPr>
      <w:noProof/>
      <w:sz w:val="28"/>
    </w:rPr>
  </w:style>
  <w:style w:type="paragraph" w:styleId="Title">
    <w:name w:val="Title"/>
    <w:basedOn w:val="Normal"/>
    <w:link w:val="TitleChar"/>
    <w:qFormat/>
    <w:rsid w:val="00E46A1B"/>
    <w:pPr>
      <w:bidi w:val="0"/>
      <w:jc w:val="center"/>
    </w:pPr>
    <w:rPr>
      <w:sz w:val="28"/>
      <w:u w:val="single"/>
    </w:rPr>
  </w:style>
  <w:style w:type="paragraph" w:styleId="BodyTextIndent3">
    <w:name w:val="Body Text Indent 3"/>
    <w:basedOn w:val="Normal"/>
    <w:link w:val="BodyTextIndent3Char"/>
    <w:rsid w:val="00E46A1B"/>
    <w:pPr>
      <w:spacing w:line="360" w:lineRule="exact"/>
      <w:ind w:left="139"/>
      <w:jc w:val="both"/>
    </w:pPr>
    <w:rPr>
      <w:sz w:val="24"/>
      <w:szCs w:val="24"/>
    </w:rPr>
  </w:style>
  <w:style w:type="table" w:styleId="TableGrid">
    <w:name w:val="Table Grid"/>
    <w:basedOn w:val="TableNormal"/>
    <w:rsid w:val="00E46A1B"/>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2"/>
    <w:basedOn w:val="Level1"/>
    <w:rsid w:val="00486576"/>
    <w:pPr>
      <w:suppressAutoHyphens/>
    </w:pPr>
    <w:rPr>
      <w:sz w:val="20"/>
      <w:szCs w:val="20"/>
      <w:lang w:eastAsia="zh-CN"/>
    </w:rPr>
  </w:style>
  <w:style w:type="paragraph" w:styleId="EndnoteText">
    <w:name w:val="endnote text"/>
    <w:basedOn w:val="Normal"/>
    <w:link w:val="EndnoteTextChar"/>
    <w:rsid w:val="00E13ABD"/>
    <w:rPr>
      <w:sz w:val="20"/>
      <w:szCs w:val="20"/>
    </w:rPr>
  </w:style>
  <w:style w:type="character" w:styleId="EndnoteReference">
    <w:name w:val="endnote reference"/>
    <w:rsid w:val="00E13ABD"/>
    <w:rPr>
      <w:vertAlign w:val="superscript"/>
    </w:rPr>
  </w:style>
  <w:style w:type="paragraph" w:customStyle="1" w:styleId="Paralevel1">
    <w:name w:val="Para level1"/>
    <w:basedOn w:val="Normal"/>
    <w:autoRedefine/>
    <w:rsid w:val="006F629E"/>
    <w:pPr>
      <w:numPr>
        <w:numId w:val="2"/>
      </w:numPr>
      <w:tabs>
        <w:tab w:val="clear" w:pos="360"/>
      </w:tabs>
      <w:suppressAutoHyphens/>
      <w:bidi w:val="0"/>
      <w:spacing w:after="120"/>
      <w:ind w:left="1247"/>
    </w:pPr>
    <w:rPr>
      <w:rFonts w:cs="Times New Roman"/>
      <w:sz w:val="20"/>
      <w:szCs w:val="20"/>
      <w:lang w:val="en-GB"/>
    </w:rPr>
  </w:style>
  <w:style w:type="paragraph" w:styleId="BalloonText">
    <w:name w:val="Balloon Text"/>
    <w:basedOn w:val="Normal"/>
    <w:link w:val="BalloonTextChar"/>
    <w:uiPriority w:val="99"/>
    <w:rsid w:val="00075143"/>
    <w:rPr>
      <w:rFonts w:ascii="Tahoma" w:hAnsi="Tahoma" w:cs="Tahoma"/>
      <w:sz w:val="16"/>
      <w:szCs w:val="16"/>
    </w:rPr>
  </w:style>
  <w:style w:type="paragraph" w:customStyle="1" w:styleId="Level10">
    <w:name w:val="Level 1"/>
    <w:basedOn w:val="Normal"/>
    <w:rsid w:val="00D11EF2"/>
    <w:pPr>
      <w:widowControl w:val="0"/>
      <w:autoSpaceDE w:val="0"/>
      <w:autoSpaceDN w:val="0"/>
      <w:bidi w:val="0"/>
      <w:adjustRightInd w:val="0"/>
      <w:ind w:left="720" w:hanging="720"/>
    </w:pPr>
    <w:rPr>
      <w:rFonts w:cs="Times New Roman"/>
      <w:sz w:val="24"/>
      <w:szCs w:val="24"/>
    </w:rPr>
  </w:style>
  <w:style w:type="character" w:styleId="Hyperlink">
    <w:name w:val="Hyperlink"/>
    <w:uiPriority w:val="99"/>
    <w:rsid w:val="00D11EF2"/>
    <w:rPr>
      <w:color w:val="0000FF"/>
      <w:u w:val="single"/>
    </w:rPr>
  </w:style>
  <w:style w:type="character" w:customStyle="1" w:styleId="Heading5Char">
    <w:name w:val="Heading 5 Char"/>
    <w:link w:val="Heading5"/>
    <w:rsid w:val="008E0081"/>
    <w:rPr>
      <w:rFonts w:ascii="Times" w:hAnsi="Times" w:cs="Arabic Transparent"/>
      <w:b/>
      <w:bCs/>
      <w:noProof/>
      <w:szCs w:val="44"/>
    </w:rPr>
  </w:style>
  <w:style w:type="character" w:customStyle="1" w:styleId="Heading7Char">
    <w:name w:val="Heading 7 Char"/>
    <w:link w:val="Heading7"/>
    <w:uiPriority w:val="99"/>
    <w:rsid w:val="008E0081"/>
    <w:rPr>
      <w:rFonts w:ascii="Times" w:hAnsi="Times" w:cs="Simplified Arabic"/>
      <w:b/>
      <w:bCs/>
      <w:noProof/>
      <w:szCs w:val="28"/>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uiPriority w:val="99"/>
    <w:rsid w:val="008E0081"/>
    <w:rPr>
      <w:rFonts w:ascii="Times" w:hAnsi="Times" w:cs="Simplified Arabic"/>
      <w:noProof/>
    </w:rPr>
  </w:style>
  <w:style w:type="character" w:customStyle="1" w:styleId="hps">
    <w:name w:val="hps"/>
    <w:rsid w:val="00787E20"/>
  </w:style>
  <w:style w:type="paragraph" w:customStyle="1" w:styleId="Normal-pool">
    <w:name w:val="Normal-pool"/>
    <w:link w:val="Normal-poolChar"/>
    <w:rsid w:val="0018422D"/>
    <w:pPr>
      <w:tabs>
        <w:tab w:val="left" w:pos="1247"/>
        <w:tab w:val="left" w:pos="1814"/>
        <w:tab w:val="left" w:pos="2381"/>
        <w:tab w:val="left" w:pos="2948"/>
        <w:tab w:val="left" w:pos="3515"/>
        <w:tab w:val="left" w:pos="4082"/>
      </w:tabs>
    </w:pPr>
    <w:rPr>
      <w:rFonts w:cs="Times New Roman"/>
      <w:lang w:val="en-GB"/>
    </w:rPr>
  </w:style>
  <w:style w:type="character" w:customStyle="1" w:styleId="Normal-poolChar">
    <w:name w:val="Normal-pool Char"/>
    <w:link w:val="Normal-pool"/>
    <w:rsid w:val="0018422D"/>
    <w:rPr>
      <w:rFonts w:cs="Times New Roman"/>
      <w:lang w:val="en-GB"/>
    </w:rPr>
  </w:style>
  <w:style w:type="numbering" w:customStyle="1" w:styleId="NoList1">
    <w:name w:val="No List1"/>
    <w:next w:val="NoList"/>
    <w:uiPriority w:val="99"/>
    <w:semiHidden/>
    <w:unhideWhenUsed/>
    <w:rsid w:val="00335E4B"/>
  </w:style>
  <w:style w:type="character" w:customStyle="1" w:styleId="Heading1Char">
    <w:name w:val="Heading 1 Char"/>
    <w:basedOn w:val="DefaultParagraphFont"/>
    <w:link w:val="Heading1"/>
    <w:rsid w:val="00335E4B"/>
    <w:rPr>
      <w:rFonts w:cs="Simplified Arabic"/>
      <w:sz w:val="22"/>
      <w:szCs w:val="28"/>
      <w:u w:val="single"/>
    </w:rPr>
  </w:style>
  <w:style w:type="character" w:customStyle="1" w:styleId="Heading2Char">
    <w:name w:val="Heading 2 Char"/>
    <w:basedOn w:val="DefaultParagraphFont"/>
    <w:link w:val="Heading2"/>
    <w:rsid w:val="00335E4B"/>
    <w:rPr>
      <w:rFonts w:cs="Simplified Arabic"/>
      <w:sz w:val="22"/>
      <w:szCs w:val="28"/>
      <w:u w:val="single"/>
    </w:rPr>
  </w:style>
  <w:style w:type="character" w:customStyle="1" w:styleId="Heading3Char">
    <w:name w:val="Heading 3 Char"/>
    <w:basedOn w:val="DefaultParagraphFont"/>
    <w:link w:val="Heading3"/>
    <w:rsid w:val="00335E4B"/>
    <w:rPr>
      <w:rFonts w:cs="Simplified Arabic"/>
      <w:sz w:val="22"/>
      <w:szCs w:val="28"/>
      <w:u w:val="single"/>
    </w:rPr>
  </w:style>
  <w:style w:type="character" w:customStyle="1" w:styleId="Heading4Char">
    <w:name w:val="Heading 4 Char"/>
    <w:basedOn w:val="DefaultParagraphFont"/>
    <w:link w:val="Heading4"/>
    <w:rsid w:val="00335E4B"/>
    <w:rPr>
      <w:rFonts w:cs="Simplified Arabic"/>
      <w:sz w:val="22"/>
      <w:szCs w:val="28"/>
    </w:rPr>
  </w:style>
  <w:style w:type="character" w:customStyle="1" w:styleId="Heading6Char">
    <w:name w:val="Heading 6 Char"/>
    <w:basedOn w:val="DefaultParagraphFont"/>
    <w:link w:val="Heading6"/>
    <w:rsid w:val="00335E4B"/>
    <w:rPr>
      <w:rFonts w:cs="Simplified Arabic"/>
      <w:sz w:val="22"/>
      <w:szCs w:val="28"/>
      <w:u w:val="single"/>
    </w:rPr>
  </w:style>
  <w:style w:type="character" w:customStyle="1" w:styleId="Heading8Char">
    <w:name w:val="Heading 8 Char"/>
    <w:basedOn w:val="DefaultParagraphFont"/>
    <w:link w:val="Heading8"/>
    <w:uiPriority w:val="99"/>
    <w:rsid w:val="00335E4B"/>
    <w:rPr>
      <w:rFonts w:cs="Simplified Arabic"/>
      <w:b/>
      <w:bCs/>
      <w:sz w:val="30"/>
      <w:szCs w:val="30"/>
    </w:rPr>
  </w:style>
  <w:style w:type="character" w:customStyle="1" w:styleId="Heading9Char">
    <w:name w:val="Heading 9 Char"/>
    <w:basedOn w:val="DefaultParagraphFont"/>
    <w:link w:val="Heading9"/>
    <w:uiPriority w:val="99"/>
    <w:rsid w:val="00335E4B"/>
    <w:rPr>
      <w:rFonts w:ascii="Times" w:hAnsi="Times" w:cs="Simplified Arabic"/>
      <w:b/>
      <w:bCs/>
      <w:noProof/>
      <w:szCs w:val="28"/>
      <w:u w:val="single"/>
    </w:rPr>
  </w:style>
  <w:style w:type="character" w:customStyle="1" w:styleId="HeaderChar">
    <w:name w:val="Header Char"/>
    <w:basedOn w:val="DefaultParagraphFont"/>
    <w:link w:val="Header"/>
    <w:uiPriority w:val="99"/>
    <w:rsid w:val="00335E4B"/>
    <w:rPr>
      <w:rFonts w:ascii="Times" w:hAnsi="Times" w:cs="Simplified Arabic"/>
      <w:noProof/>
      <w:szCs w:val="24"/>
    </w:rPr>
  </w:style>
  <w:style w:type="character" w:customStyle="1" w:styleId="FooterChar">
    <w:name w:val="Footer Char"/>
    <w:basedOn w:val="DefaultParagraphFont"/>
    <w:link w:val="Footer"/>
    <w:uiPriority w:val="99"/>
    <w:rsid w:val="00335E4B"/>
    <w:rPr>
      <w:rFonts w:ascii="Times" w:hAnsi="Times" w:cs="Simplified Arabic"/>
      <w:noProof/>
      <w:szCs w:val="24"/>
    </w:rPr>
  </w:style>
  <w:style w:type="character" w:customStyle="1" w:styleId="BodyTextChar">
    <w:name w:val="Body Text Char"/>
    <w:basedOn w:val="DefaultParagraphFont"/>
    <w:link w:val="BodyText"/>
    <w:uiPriority w:val="99"/>
    <w:rsid w:val="00335E4B"/>
    <w:rPr>
      <w:rFonts w:ascii="Times" w:hAnsi="Times" w:cs="Simplified Arabic"/>
      <w:szCs w:val="28"/>
    </w:rPr>
  </w:style>
  <w:style w:type="character" w:customStyle="1" w:styleId="BodyText2Char">
    <w:name w:val="Body Text 2 Char"/>
    <w:basedOn w:val="DefaultParagraphFont"/>
    <w:link w:val="BodyText2"/>
    <w:uiPriority w:val="99"/>
    <w:rsid w:val="00335E4B"/>
    <w:rPr>
      <w:rFonts w:ascii="Times" w:hAnsi="Times" w:cs="Simplified Arabic"/>
      <w:noProof/>
      <w:sz w:val="28"/>
      <w:szCs w:val="28"/>
    </w:rPr>
  </w:style>
  <w:style w:type="paragraph" w:customStyle="1" w:styleId="SingleTxt">
    <w:name w:val="__Single Txt"/>
    <w:basedOn w:val="Normal"/>
    <w:rsid w:val="00335E4B"/>
    <w:pPr>
      <w:tabs>
        <w:tab w:val="left" w:pos="1267"/>
        <w:tab w:val="left" w:pos="1930"/>
        <w:tab w:val="left" w:pos="2592"/>
        <w:tab w:val="left" w:pos="3254"/>
        <w:tab w:val="left" w:pos="3917"/>
        <w:tab w:val="left" w:pos="4579"/>
        <w:tab w:val="left" w:pos="5242"/>
        <w:tab w:val="left" w:pos="5904"/>
        <w:tab w:val="left" w:pos="6566"/>
      </w:tabs>
      <w:bidi w:val="0"/>
      <w:spacing w:after="120" w:line="400" w:lineRule="exact"/>
      <w:ind w:left="1267" w:right="1267"/>
      <w:jc w:val="lowKashida"/>
    </w:pPr>
    <w:rPr>
      <w:rFonts w:cs="Traditional Arabic"/>
      <w:w w:val="103"/>
      <w:kern w:val="14"/>
      <w:sz w:val="20"/>
      <w:szCs w:val="30"/>
    </w:rPr>
  </w:style>
  <w:style w:type="paragraph" w:customStyle="1" w:styleId="ListParagraph1">
    <w:name w:val="List Paragraph1"/>
    <w:basedOn w:val="Normal"/>
    <w:rsid w:val="00335E4B"/>
    <w:pPr>
      <w:bidi w:val="0"/>
      <w:spacing w:after="120"/>
      <w:ind w:left="720"/>
      <w:contextualSpacing/>
      <w:jc w:val="both"/>
    </w:pPr>
    <w:rPr>
      <w:rFonts w:ascii="Cambria" w:eastAsia="MS Mincho" w:hAnsi="Cambria" w:cs="Times New Roman"/>
      <w:sz w:val="24"/>
      <w:szCs w:val="20"/>
      <w:lang w:val="de-DE"/>
    </w:rPr>
  </w:style>
  <w:style w:type="paragraph" w:customStyle="1" w:styleId="ZZAnxheader">
    <w:name w:val="ZZ_Anx_header"/>
    <w:basedOn w:val="Normal-pool"/>
    <w:rsid w:val="00335E4B"/>
    <w:pPr>
      <w:tabs>
        <w:tab w:val="clear" w:pos="4082"/>
      </w:tabs>
    </w:pPr>
    <w:rPr>
      <w:b/>
      <w:bCs/>
      <w:sz w:val="28"/>
      <w:szCs w:val="22"/>
    </w:rPr>
  </w:style>
  <w:style w:type="character" w:customStyle="1" w:styleId="BalloonTextChar">
    <w:name w:val="Balloon Text Char"/>
    <w:basedOn w:val="DefaultParagraphFont"/>
    <w:link w:val="BalloonText"/>
    <w:uiPriority w:val="99"/>
    <w:rsid w:val="00335E4B"/>
    <w:rPr>
      <w:rFonts w:ascii="Tahoma" w:hAnsi="Tahoma" w:cs="Tahoma"/>
      <w:sz w:val="16"/>
      <w:szCs w:val="16"/>
    </w:rPr>
  </w:style>
  <w:style w:type="numbering" w:customStyle="1" w:styleId="Normallist">
    <w:name w:val="Normal_list"/>
    <w:basedOn w:val="NoList"/>
    <w:rsid w:val="00335E4B"/>
    <w:pPr>
      <w:numPr>
        <w:numId w:val="10"/>
      </w:numPr>
    </w:pPr>
  </w:style>
  <w:style w:type="paragraph" w:customStyle="1" w:styleId="Normalnumber">
    <w:name w:val="Normal_number"/>
    <w:basedOn w:val="Normal"/>
    <w:rsid w:val="00335E4B"/>
    <w:pPr>
      <w:numPr>
        <w:numId w:val="10"/>
      </w:numPr>
      <w:tabs>
        <w:tab w:val="left" w:pos="624"/>
        <w:tab w:val="left" w:pos="1247"/>
        <w:tab w:val="left" w:pos="1871"/>
        <w:tab w:val="left" w:pos="2495"/>
        <w:tab w:val="left" w:pos="3119"/>
      </w:tabs>
      <w:bidi w:val="0"/>
      <w:spacing w:after="120"/>
    </w:pPr>
    <w:rPr>
      <w:rFonts w:cs="Times New Roman"/>
      <w:sz w:val="20"/>
      <w:szCs w:val="20"/>
      <w:lang w:val="en-GB"/>
    </w:rPr>
  </w:style>
  <w:style w:type="paragraph" w:customStyle="1" w:styleId="ZZAnxtitle">
    <w:name w:val="ZZ_Anx_title"/>
    <w:basedOn w:val="Normal"/>
    <w:link w:val="ZZAnxtitleChar"/>
    <w:rsid w:val="00335E4B"/>
    <w:pPr>
      <w:tabs>
        <w:tab w:val="left" w:pos="1247"/>
        <w:tab w:val="left" w:pos="1814"/>
        <w:tab w:val="left" w:pos="2381"/>
        <w:tab w:val="left" w:pos="2948"/>
        <w:tab w:val="left" w:pos="3515"/>
        <w:tab w:val="left" w:pos="4082"/>
      </w:tabs>
      <w:bidi w:val="0"/>
      <w:spacing w:before="360" w:after="120"/>
      <w:ind w:left="1247"/>
    </w:pPr>
    <w:rPr>
      <w:rFonts w:cs="Times New Roman"/>
      <w:b/>
      <w:bCs/>
      <w:sz w:val="28"/>
      <w:szCs w:val="26"/>
      <w:lang w:val="en-GB" w:eastAsia="x-none"/>
    </w:rPr>
  </w:style>
  <w:style w:type="character" w:customStyle="1" w:styleId="ZZAnxtitleChar">
    <w:name w:val="ZZ_Anx_title Char"/>
    <w:link w:val="ZZAnxtitle"/>
    <w:rsid w:val="00335E4B"/>
    <w:rPr>
      <w:rFonts w:cs="Times New Roman"/>
      <w:b/>
      <w:bCs/>
      <w:sz w:val="28"/>
      <w:szCs w:val="26"/>
      <w:lang w:val="en-GB" w:eastAsia="x-none"/>
    </w:rPr>
  </w:style>
  <w:style w:type="character" w:customStyle="1" w:styleId="BodyText3Char">
    <w:name w:val="Body Text 3 Char"/>
    <w:basedOn w:val="DefaultParagraphFont"/>
    <w:link w:val="BodyText3"/>
    <w:rsid w:val="00335E4B"/>
    <w:rPr>
      <w:rFonts w:ascii="Times" w:hAnsi="Times" w:cs="Simplified Arabic"/>
      <w:w w:val="66"/>
    </w:rPr>
  </w:style>
  <w:style w:type="character" w:customStyle="1" w:styleId="BodyTextIndent2Char">
    <w:name w:val="Body Text Indent 2 Char"/>
    <w:basedOn w:val="DefaultParagraphFont"/>
    <w:link w:val="BodyTextIndent2"/>
    <w:rsid w:val="00335E4B"/>
    <w:rPr>
      <w:rFonts w:ascii="Times" w:hAnsi="Times" w:cs="Simplified Arabic"/>
      <w:w w:val="80"/>
    </w:rPr>
  </w:style>
  <w:style w:type="character" w:customStyle="1" w:styleId="BodyTextIndentChar">
    <w:name w:val="Body Text Indent Char"/>
    <w:basedOn w:val="DefaultParagraphFont"/>
    <w:link w:val="BodyTextIndent"/>
    <w:rsid w:val="00335E4B"/>
    <w:rPr>
      <w:rFonts w:cs="Simplified Arabic"/>
      <w:noProof/>
      <w:sz w:val="28"/>
      <w:szCs w:val="28"/>
    </w:rPr>
  </w:style>
  <w:style w:type="character" w:customStyle="1" w:styleId="TitleChar">
    <w:name w:val="Title Char"/>
    <w:basedOn w:val="DefaultParagraphFont"/>
    <w:link w:val="Title"/>
    <w:rsid w:val="00335E4B"/>
    <w:rPr>
      <w:rFonts w:cs="Simplified Arabic"/>
      <w:sz w:val="28"/>
      <w:szCs w:val="28"/>
      <w:u w:val="single"/>
    </w:rPr>
  </w:style>
  <w:style w:type="character" w:customStyle="1" w:styleId="BodyTextIndent3Char">
    <w:name w:val="Body Text Indent 3 Char"/>
    <w:basedOn w:val="DefaultParagraphFont"/>
    <w:link w:val="BodyTextIndent3"/>
    <w:rsid w:val="00335E4B"/>
    <w:rPr>
      <w:rFonts w:cs="Simplified Arabic"/>
      <w:sz w:val="24"/>
      <w:szCs w:val="24"/>
    </w:rPr>
  </w:style>
  <w:style w:type="character" w:customStyle="1" w:styleId="EndnoteTextChar">
    <w:name w:val="Endnote Text Char"/>
    <w:basedOn w:val="DefaultParagraphFont"/>
    <w:link w:val="EndnoteText"/>
    <w:rsid w:val="00335E4B"/>
    <w:rPr>
      <w:rFonts w:cs="Simplified Arabic"/>
    </w:rPr>
  </w:style>
  <w:style w:type="paragraph" w:styleId="TOCHeading">
    <w:name w:val="TOC Heading"/>
    <w:basedOn w:val="Heading1"/>
    <w:next w:val="Normal"/>
    <w:uiPriority w:val="39"/>
    <w:semiHidden/>
    <w:unhideWhenUsed/>
    <w:qFormat/>
    <w:rsid w:val="00335E4B"/>
    <w:pPr>
      <w:keepLines/>
      <w:bidi w:val="0"/>
      <w:spacing w:before="480" w:after="0" w:line="276" w:lineRule="auto"/>
      <w:jc w:val="left"/>
      <w:outlineLvl w:val="9"/>
    </w:pPr>
    <w:rPr>
      <w:rFonts w:ascii="Cambria" w:eastAsia="MS Gothic" w:hAnsi="Cambria" w:cs="Times New Roman"/>
      <w:b/>
      <w:bCs/>
      <w:color w:val="365F91"/>
      <w:sz w:val="28"/>
      <w:u w:val="none"/>
      <w:lang w:eastAsia="ja-JP"/>
    </w:rPr>
  </w:style>
  <w:style w:type="paragraph" w:styleId="TOC1">
    <w:name w:val="toc 1"/>
    <w:basedOn w:val="Normal"/>
    <w:next w:val="Normal"/>
    <w:autoRedefine/>
    <w:uiPriority w:val="39"/>
    <w:qFormat/>
    <w:rsid w:val="00335E4B"/>
    <w:pPr>
      <w:tabs>
        <w:tab w:val="left" w:pos="707"/>
        <w:tab w:val="right" w:leader="dot" w:pos="9212"/>
      </w:tabs>
      <w:spacing w:after="120" w:line="340" w:lineRule="exact"/>
      <w:ind w:left="849" w:hanging="851"/>
    </w:pPr>
    <w:rPr>
      <w:rFonts w:cs="Traditional Arabic"/>
      <w:noProof/>
      <w:sz w:val="18"/>
      <w:lang w:bidi="ar-EG"/>
    </w:rPr>
  </w:style>
  <w:style w:type="paragraph" w:styleId="TOC2">
    <w:name w:val="toc 2"/>
    <w:basedOn w:val="Normal"/>
    <w:next w:val="Normal"/>
    <w:autoRedefine/>
    <w:uiPriority w:val="39"/>
    <w:qFormat/>
    <w:rsid w:val="00335E4B"/>
    <w:pPr>
      <w:tabs>
        <w:tab w:val="right" w:leader="dot" w:pos="9486"/>
      </w:tabs>
      <w:spacing w:after="120" w:line="320" w:lineRule="exact"/>
      <w:ind w:left="1416" w:hanging="567"/>
    </w:pPr>
    <w:rPr>
      <w:rFonts w:cs="Traditional Arabic"/>
      <w:noProof/>
      <w:sz w:val="18"/>
      <w:lang w:bidi="ar-EG"/>
    </w:rPr>
  </w:style>
  <w:style w:type="paragraph" w:styleId="TOC3">
    <w:name w:val="toc 3"/>
    <w:basedOn w:val="Normal"/>
    <w:next w:val="Normal"/>
    <w:autoRedefine/>
    <w:uiPriority w:val="39"/>
    <w:unhideWhenUsed/>
    <w:qFormat/>
    <w:rsid w:val="00335E4B"/>
    <w:pPr>
      <w:tabs>
        <w:tab w:val="right" w:leader="dot" w:pos="9486"/>
      </w:tabs>
      <w:spacing w:line="360" w:lineRule="exact"/>
      <w:ind w:left="1132" w:hanging="1134"/>
    </w:pPr>
    <w:rPr>
      <w:rFonts w:cs="Traditional Arabic"/>
      <w:b/>
      <w:noProof/>
      <w:sz w:val="18"/>
    </w:rPr>
  </w:style>
  <w:style w:type="paragraph" w:styleId="TOC4">
    <w:name w:val="toc 4"/>
    <w:basedOn w:val="Normal"/>
    <w:next w:val="Normal"/>
    <w:autoRedefine/>
    <w:uiPriority w:val="39"/>
    <w:unhideWhenUsed/>
    <w:rsid w:val="00335E4B"/>
    <w:pPr>
      <w:bidi w:val="0"/>
      <w:spacing w:after="100" w:line="276" w:lineRule="auto"/>
      <w:ind w:left="660"/>
    </w:pPr>
    <w:rPr>
      <w:rFonts w:ascii="Calibri" w:hAnsi="Calibri" w:cs="Arial"/>
      <w:szCs w:val="22"/>
    </w:rPr>
  </w:style>
  <w:style w:type="paragraph" w:styleId="TOC5">
    <w:name w:val="toc 5"/>
    <w:basedOn w:val="Normal"/>
    <w:next w:val="Normal"/>
    <w:autoRedefine/>
    <w:uiPriority w:val="39"/>
    <w:unhideWhenUsed/>
    <w:rsid w:val="00335E4B"/>
    <w:pPr>
      <w:bidi w:val="0"/>
      <w:spacing w:after="100" w:line="276" w:lineRule="auto"/>
      <w:ind w:left="880"/>
    </w:pPr>
    <w:rPr>
      <w:rFonts w:ascii="Calibri" w:hAnsi="Calibri" w:cs="Arial"/>
      <w:szCs w:val="22"/>
    </w:rPr>
  </w:style>
  <w:style w:type="paragraph" w:styleId="TOC6">
    <w:name w:val="toc 6"/>
    <w:basedOn w:val="Normal"/>
    <w:next w:val="Normal"/>
    <w:autoRedefine/>
    <w:uiPriority w:val="39"/>
    <w:unhideWhenUsed/>
    <w:rsid w:val="00335E4B"/>
    <w:pPr>
      <w:bidi w:val="0"/>
      <w:spacing w:after="100" w:line="276" w:lineRule="auto"/>
      <w:ind w:left="1100"/>
    </w:pPr>
    <w:rPr>
      <w:rFonts w:ascii="Calibri" w:hAnsi="Calibri" w:cs="Arial"/>
      <w:szCs w:val="22"/>
    </w:rPr>
  </w:style>
  <w:style w:type="paragraph" w:styleId="TOC7">
    <w:name w:val="toc 7"/>
    <w:basedOn w:val="Normal"/>
    <w:next w:val="Normal"/>
    <w:autoRedefine/>
    <w:uiPriority w:val="39"/>
    <w:unhideWhenUsed/>
    <w:rsid w:val="00335E4B"/>
    <w:pPr>
      <w:bidi w:val="0"/>
      <w:spacing w:after="100" w:line="276" w:lineRule="auto"/>
      <w:ind w:left="1320"/>
    </w:pPr>
    <w:rPr>
      <w:rFonts w:ascii="Calibri" w:hAnsi="Calibri" w:cs="Arial"/>
      <w:szCs w:val="22"/>
    </w:rPr>
  </w:style>
  <w:style w:type="paragraph" w:styleId="TOC8">
    <w:name w:val="toc 8"/>
    <w:basedOn w:val="Normal"/>
    <w:next w:val="Normal"/>
    <w:autoRedefine/>
    <w:uiPriority w:val="39"/>
    <w:unhideWhenUsed/>
    <w:rsid w:val="00335E4B"/>
    <w:pPr>
      <w:bidi w:val="0"/>
      <w:spacing w:after="100" w:line="276" w:lineRule="auto"/>
      <w:ind w:left="1540"/>
    </w:pPr>
    <w:rPr>
      <w:rFonts w:ascii="Calibri" w:hAnsi="Calibri" w:cs="Arial"/>
      <w:szCs w:val="22"/>
    </w:rPr>
  </w:style>
  <w:style w:type="paragraph" w:styleId="TOC9">
    <w:name w:val="toc 9"/>
    <w:basedOn w:val="Normal"/>
    <w:next w:val="Normal"/>
    <w:autoRedefine/>
    <w:uiPriority w:val="39"/>
    <w:unhideWhenUsed/>
    <w:rsid w:val="00335E4B"/>
    <w:pPr>
      <w:bidi w:val="0"/>
      <w:spacing w:after="100" w:line="276" w:lineRule="auto"/>
      <w:ind w:left="1760"/>
    </w:pPr>
    <w:rPr>
      <w:rFonts w:ascii="Calibri" w:hAnsi="Calibri" w:cs="Arial"/>
      <w:szCs w:val="22"/>
    </w:rPr>
  </w:style>
  <w:style w:type="paragraph" w:styleId="NormalWeb">
    <w:name w:val="Normal (Web)"/>
    <w:basedOn w:val="Normal"/>
    <w:uiPriority w:val="99"/>
    <w:unhideWhenUsed/>
    <w:rsid w:val="00335E4B"/>
    <w:pPr>
      <w:bidi w:val="0"/>
      <w:spacing w:before="100" w:beforeAutospacing="1" w:after="100" w:afterAutospacing="1"/>
    </w:pPr>
    <w:rPr>
      <w:rFonts w:cs="Times New Roman"/>
      <w:sz w:val="24"/>
      <w:szCs w:val="24"/>
    </w:rPr>
  </w:style>
  <w:style w:type="paragraph" w:styleId="ListParagraph">
    <w:name w:val="List Paragraph"/>
    <w:basedOn w:val="Normal"/>
    <w:uiPriority w:val="34"/>
    <w:qFormat/>
    <w:rsid w:val="00335E4B"/>
    <w:pPr>
      <w:ind w:left="720"/>
      <w:contextualSpacing/>
    </w:pPr>
    <w:rPr>
      <w:sz w:val="24"/>
    </w:rPr>
  </w:style>
  <w:style w:type="numbering" w:customStyle="1" w:styleId="NoList11">
    <w:name w:val="No List11"/>
    <w:next w:val="NoList"/>
    <w:uiPriority w:val="99"/>
    <w:semiHidden/>
    <w:unhideWhenUsed/>
    <w:rsid w:val="00335E4B"/>
  </w:style>
  <w:style w:type="paragraph" w:customStyle="1" w:styleId="Heading1-nonumbering">
    <w:name w:val="Heading 1 - no numbering"/>
    <w:basedOn w:val="Heading1"/>
    <w:autoRedefine/>
    <w:qFormat/>
    <w:rsid w:val="00335E4B"/>
    <w:pPr>
      <w:pageBreakBefore/>
      <w:suppressAutoHyphens/>
      <w:spacing w:before="0" w:line="400" w:lineRule="exact"/>
      <w:ind w:left="720" w:hanging="720"/>
      <w:jc w:val="left"/>
    </w:pPr>
    <w:rPr>
      <w:rFonts w:ascii="Traditional Arabic" w:eastAsia="SimSun" w:hAnsi="Traditional Arabic" w:cs="Traditional Arabic"/>
      <w:bCs/>
      <w:sz w:val="32"/>
      <w:szCs w:val="32"/>
      <w:u w:val="none"/>
      <w:lang w:eastAsia="ar-SA" w:bidi="ar-EG"/>
    </w:rPr>
  </w:style>
  <w:style w:type="character" w:customStyle="1" w:styleId="DeltaViewInsertion">
    <w:name w:val="DeltaView Insertion"/>
    <w:uiPriority w:val="99"/>
    <w:rsid w:val="00786E68"/>
    <w:rPr>
      <w:color w:val="0000FF"/>
      <w:u w:val="doub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Body Text 2" w:uiPriority="99"/>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6EF7"/>
    <w:pPr>
      <w:bidi/>
    </w:pPr>
    <w:rPr>
      <w:rFonts w:cs="Simplified Arabic"/>
      <w:sz w:val="22"/>
      <w:szCs w:val="28"/>
    </w:rPr>
  </w:style>
  <w:style w:type="paragraph" w:styleId="Heading1">
    <w:name w:val="heading 1"/>
    <w:basedOn w:val="Normal"/>
    <w:next w:val="Normal"/>
    <w:link w:val="Heading1Char"/>
    <w:qFormat/>
    <w:pPr>
      <w:keepNext/>
      <w:spacing w:before="120" w:after="120" w:line="360" w:lineRule="exact"/>
      <w:jc w:val="center"/>
      <w:outlineLvl w:val="0"/>
    </w:pPr>
    <w:rPr>
      <w:u w:val="single"/>
    </w:rPr>
  </w:style>
  <w:style w:type="paragraph" w:styleId="Heading2">
    <w:name w:val="heading 2"/>
    <w:basedOn w:val="Normal"/>
    <w:next w:val="Normal"/>
    <w:link w:val="Heading2Char"/>
    <w:qFormat/>
    <w:pPr>
      <w:keepNext/>
      <w:spacing w:before="120" w:after="120" w:line="360" w:lineRule="exact"/>
      <w:jc w:val="center"/>
      <w:outlineLvl w:val="1"/>
    </w:pPr>
    <w:rPr>
      <w:u w:val="single"/>
    </w:rPr>
  </w:style>
  <w:style w:type="paragraph" w:styleId="Heading3">
    <w:name w:val="heading 3"/>
    <w:basedOn w:val="Normal"/>
    <w:next w:val="Normal"/>
    <w:link w:val="Heading3Char"/>
    <w:qFormat/>
    <w:pPr>
      <w:keepNext/>
      <w:spacing w:before="120" w:after="120" w:line="360" w:lineRule="exact"/>
      <w:jc w:val="both"/>
      <w:outlineLvl w:val="2"/>
    </w:pPr>
    <w:rPr>
      <w:u w:val="single"/>
    </w:rPr>
  </w:style>
  <w:style w:type="paragraph" w:styleId="Heading4">
    <w:name w:val="heading 4"/>
    <w:basedOn w:val="Normal"/>
    <w:next w:val="Normal"/>
    <w:link w:val="Heading4Char"/>
    <w:qFormat/>
    <w:pPr>
      <w:keepNext/>
      <w:spacing w:before="120" w:after="120" w:line="360" w:lineRule="exact"/>
      <w:jc w:val="both"/>
      <w:outlineLvl w:val="3"/>
    </w:pPr>
  </w:style>
  <w:style w:type="paragraph" w:styleId="Heading5">
    <w:name w:val="heading 5"/>
    <w:basedOn w:val="Normal"/>
    <w:next w:val="Normal"/>
    <w:link w:val="Heading5Char"/>
    <w:qFormat/>
    <w:pPr>
      <w:keepNext/>
      <w:jc w:val="right"/>
      <w:outlineLvl w:val="4"/>
    </w:pPr>
    <w:rPr>
      <w:rFonts w:ascii="Times" w:hAnsi="Times" w:cs="Arabic Transparent"/>
      <w:b/>
      <w:bCs/>
      <w:noProof/>
      <w:sz w:val="20"/>
      <w:szCs w:val="44"/>
    </w:rPr>
  </w:style>
  <w:style w:type="paragraph" w:styleId="Heading6">
    <w:name w:val="heading 6"/>
    <w:basedOn w:val="Normal"/>
    <w:next w:val="Normal"/>
    <w:link w:val="Heading6Char"/>
    <w:qFormat/>
    <w:pPr>
      <w:keepNext/>
      <w:spacing w:before="120" w:after="120" w:line="360" w:lineRule="exact"/>
      <w:jc w:val="both"/>
      <w:outlineLvl w:val="5"/>
    </w:pPr>
    <w:rPr>
      <w:u w:val="single"/>
    </w:rPr>
  </w:style>
  <w:style w:type="paragraph" w:styleId="Heading7">
    <w:name w:val="heading 7"/>
    <w:basedOn w:val="Normal"/>
    <w:next w:val="Normal"/>
    <w:link w:val="Heading7Char"/>
    <w:uiPriority w:val="99"/>
    <w:qFormat/>
    <w:pPr>
      <w:keepNext/>
      <w:jc w:val="center"/>
      <w:outlineLvl w:val="6"/>
    </w:pPr>
    <w:rPr>
      <w:rFonts w:ascii="Times" w:hAnsi="Times"/>
      <w:b/>
      <w:bCs/>
      <w:noProof/>
      <w:sz w:val="20"/>
    </w:rPr>
  </w:style>
  <w:style w:type="paragraph" w:styleId="Heading8">
    <w:name w:val="heading 8"/>
    <w:basedOn w:val="Normal"/>
    <w:next w:val="Normal"/>
    <w:link w:val="Heading8Char"/>
    <w:uiPriority w:val="99"/>
    <w:qFormat/>
    <w:pPr>
      <w:keepNext/>
      <w:jc w:val="center"/>
      <w:outlineLvl w:val="7"/>
    </w:pPr>
    <w:rPr>
      <w:b/>
      <w:bCs/>
      <w:sz w:val="30"/>
      <w:szCs w:val="30"/>
    </w:rPr>
  </w:style>
  <w:style w:type="paragraph" w:styleId="Heading9">
    <w:name w:val="heading 9"/>
    <w:basedOn w:val="Normal"/>
    <w:next w:val="Normal"/>
    <w:link w:val="Heading9Char"/>
    <w:uiPriority w:val="99"/>
    <w:qFormat/>
    <w:pPr>
      <w:keepNext/>
      <w:spacing w:line="360" w:lineRule="exact"/>
      <w:jc w:val="center"/>
      <w:outlineLvl w:val="8"/>
    </w:pPr>
    <w:rPr>
      <w:rFonts w:ascii="Times" w:hAnsi="Times"/>
      <w:b/>
      <w:bCs/>
      <w:noProof/>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jc w:val="right"/>
    </w:pPr>
    <w:rPr>
      <w:rFonts w:ascii="Times" w:hAnsi="Times"/>
      <w:noProof/>
      <w:sz w:val="20"/>
      <w:szCs w:val="24"/>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jc w:val="right"/>
    </w:pPr>
    <w:rPr>
      <w:rFonts w:ascii="Times" w:hAnsi="Times"/>
      <w:noProof/>
      <w:sz w:val="20"/>
      <w:szCs w:val="24"/>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
    <w:link w:val="FootnoteTextChar"/>
    <w:uiPriority w:val="99"/>
    <w:pPr>
      <w:jc w:val="right"/>
    </w:pPr>
    <w:rPr>
      <w:rFonts w:ascii="Times" w:hAnsi="Times"/>
      <w:noProof/>
      <w:sz w:val="20"/>
      <w:szCs w:val="20"/>
    </w:rPr>
  </w:style>
  <w:style w:type="character" w:styleId="FootnoteReference">
    <w:name w:val="footnote reference"/>
    <w:aliases w:val="16 Point,Superscript 6 Point,ftref,(Ref. de nota al pie),number,SUPERS,Footnote Reference Superscript"/>
    <w:uiPriority w:val="99"/>
    <w:rPr>
      <w:vertAlign w:val="superscript"/>
    </w:rPr>
  </w:style>
  <w:style w:type="paragraph" w:customStyle="1" w:styleId="Level1">
    <w:name w:val="Level1"/>
    <w:basedOn w:val="Normal"/>
    <w:pPr>
      <w:tabs>
        <w:tab w:val="left" w:pos="578"/>
        <w:tab w:val="left" w:pos="1157"/>
      </w:tabs>
      <w:bidi w:val="0"/>
      <w:spacing w:after="240"/>
    </w:pPr>
    <w:rPr>
      <w:rFonts w:cs="Times New Roman"/>
      <w:szCs w:val="22"/>
      <w:lang w:val="en-GB" w:eastAsia="fr-FR"/>
    </w:rPr>
  </w:style>
  <w:style w:type="paragraph" w:customStyle="1" w:styleId="font6">
    <w:name w:val="font6"/>
    <w:basedOn w:val="Normal"/>
    <w:pPr>
      <w:bidi w:val="0"/>
      <w:spacing w:before="100" w:beforeAutospacing="1" w:after="100" w:afterAutospacing="1"/>
    </w:pPr>
    <w:rPr>
      <w:rFonts w:ascii="Arial" w:eastAsia="Arial Unicode MS" w:hAnsi="Arial" w:cs="Arial"/>
      <w:sz w:val="20"/>
      <w:szCs w:val="20"/>
      <w:lang w:val="fr-FR" w:eastAsia="fr-FR"/>
    </w:rPr>
  </w:style>
  <w:style w:type="paragraph" w:styleId="BodyText">
    <w:name w:val="Body Text"/>
    <w:basedOn w:val="Normal"/>
    <w:link w:val="BodyTextChar"/>
    <w:uiPriority w:val="99"/>
    <w:pPr>
      <w:bidi w:val="0"/>
    </w:pPr>
    <w:rPr>
      <w:rFonts w:ascii="Times" w:hAnsi="Times"/>
      <w:sz w:val="20"/>
    </w:rPr>
  </w:style>
  <w:style w:type="paragraph" w:styleId="BodyText2">
    <w:name w:val="Body Text 2"/>
    <w:basedOn w:val="Normal"/>
    <w:link w:val="BodyText2Char"/>
    <w:uiPriority w:val="99"/>
    <w:pPr>
      <w:jc w:val="both"/>
    </w:pPr>
    <w:rPr>
      <w:rFonts w:ascii="Times" w:hAnsi="Times"/>
      <w:noProof/>
      <w:sz w:val="28"/>
    </w:rPr>
  </w:style>
  <w:style w:type="paragraph" w:styleId="BodyText3">
    <w:name w:val="Body Text 3"/>
    <w:basedOn w:val="Normal"/>
    <w:link w:val="BodyText3Char"/>
    <w:rsid w:val="00E46A1B"/>
    <w:pPr>
      <w:spacing w:line="200" w:lineRule="exact"/>
      <w:jc w:val="both"/>
    </w:pPr>
    <w:rPr>
      <w:rFonts w:ascii="Times" w:hAnsi="Times"/>
      <w:w w:val="66"/>
      <w:sz w:val="20"/>
      <w:szCs w:val="20"/>
    </w:rPr>
  </w:style>
  <w:style w:type="paragraph" w:styleId="BodyTextIndent2">
    <w:name w:val="Body Text Indent 2"/>
    <w:basedOn w:val="Normal"/>
    <w:link w:val="BodyTextIndent2Char"/>
    <w:rsid w:val="00E46A1B"/>
    <w:pPr>
      <w:spacing w:line="240" w:lineRule="exact"/>
      <w:ind w:left="565"/>
      <w:jc w:val="both"/>
    </w:pPr>
    <w:rPr>
      <w:rFonts w:ascii="Times" w:hAnsi="Times"/>
      <w:w w:val="80"/>
      <w:sz w:val="20"/>
      <w:szCs w:val="20"/>
    </w:rPr>
  </w:style>
  <w:style w:type="paragraph" w:styleId="BodyTextIndent">
    <w:name w:val="Body Text Indent"/>
    <w:basedOn w:val="Normal"/>
    <w:link w:val="BodyTextIndentChar"/>
    <w:rsid w:val="00E46A1B"/>
    <w:pPr>
      <w:spacing w:before="120"/>
      <w:ind w:firstLine="720"/>
      <w:jc w:val="both"/>
    </w:pPr>
    <w:rPr>
      <w:noProof/>
      <w:sz w:val="28"/>
    </w:rPr>
  </w:style>
  <w:style w:type="paragraph" w:styleId="Title">
    <w:name w:val="Title"/>
    <w:basedOn w:val="Normal"/>
    <w:link w:val="TitleChar"/>
    <w:qFormat/>
    <w:rsid w:val="00E46A1B"/>
    <w:pPr>
      <w:bidi w:val="0"/>
      <w:jc w:val="center"/>
    </w:pPr>
    <w:rPr>
      <w:sz w:val="28"/>
      <w:u w:val="single"/>
    </w:rPr>
  </w:style>
  <w:style w:type="paragraph" w:styleId="BodyTextIndent3">
    <w:name w:val="Body Text Indent 3"/>
    <w:basedOn w:val="Normal"/>
    <w:link w:val="BodyTextIndent3Char"/>
    <w:rsid w:val="00E46A1B"/>
    <w:pPr>
      <w:spacing w:line="360" w:lineRule="exact"/>
      <w:ind w:left="139"/>
      <w:jc w:val="both"/>
    </w:pPr>
    <w:rPr>
      <w:sz w:val="24"/>
      <w:szCs w:val="24"/>
    </w:rPr>
  </w:style>
  <w:style w:type="table" w:styleId="TableGrid">
    <w:name w:val="Table Grid"/>
    <w:basedOn w:val="TableNormal"/>
    <w:rsid w:val="00E46A1B"/>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2"/>
    <w:basedOn w:val="Level1"/>
    <w:rsid w:val="00486576"/>
    <w:pPr>
      <w:suppressAutoHyphens/>
    </w:pPr>
    <w:rPr>
      <w:sz w:val="20"/>
      <w:szCs w:val="20"/>
      <w:lang w:eastAsia="zh-CN"/>
    </w:rPr>
  </w:style>
  <w:style w:type="paragraph" w:styleId="EndnoteText">
    <w:name w:val="endnote text"/>
    <w:basedOn w:val="Normal"/>
    <w:link w:val="EndnoteTextChar"/>
    <w:rsid w:val="00E13ABD"/>
    <w:rPr>
      <w:sz w:val="20"/>
      <w:szCs w:val="20"/>
    </w:rPr>
  </w:style>
  <w:style w:type="character" w:styleId="EndnoteReference">
    <w:name w:val="endnote reference"/>
    <w:rsid w:val="00E13ABD"/>
    <w:rPr>
      <w:vertAlign w:val="superscript"/>
    </w:rPr>
  </w:style>
  <w:style w:type="paragraph" w:customStyle="1" w:styleId="Paralevel1">
    <w:name w:val="Para level1"/>
    <w:basedOn w:val="Normal"/>
    <w:autoRedefine/>
    <w:rsid w:val="006F629E"/>
    <w:pPr>
      <w:numPr>
        <w:numId w:val="2"/>
      </w:numPr>
      <w:tabs>
        <w:tab w:val="clear" w:pos="360"/>
      </w:tabs>
      <w:suppressAutoHyphens/>
      <w:bidi w:val="0"/>
      <w:spacing w:after="120"/>
      <w:ind w:left="1247"/>
    </w:pPr>
    <w:rPr>
      <w:rFonts w:cs="Times New Roman"/>
      <w:sz w:val="20"/>
      <w:szCs w:val="20"/>
      <w:lang w:val="en-GB"/>
    </w:rPr>
  </w:style>
  <w:style w:type="paragraph" w:styleId="BalloonText">
    <w:name w:val="Balloon Text"/>
    <w:basedOn w:val="Normal"/>
    <w:link w:val="BalloonTextChar"/>
    <w:uiPriority w:val="99"/>
    <w:rsid w:val="00075143"/>
    <w:rPr>
      <w:rFonts w:ascii="Tahoma" w:hAnsi="Tahoma" w:cs="Tahoma"/>
      <w:sz w:val="16"/>
      <w:szCs w:val="16"/>
    </w:rPr>
  </w:style>
  <w:style w:type="paragraph" w:customStyle="1" w:styleId="Level10">
    <w:name w:val="Level 1"/>
    <w:basedOn w:val="Normal"/>
    <w:rsid w:val="00D11EF2"/>
    <w:pPr>
      <w:widowControl w:val="0"/>
      <w:autoSpaceDE w:val="0"/>
      <w:autoSpaceDN w:val="0"/>
      <w:bidi w:val="0"/>
      <w:adjustRightInd w:val="0"/>
      <w:ind w:left="720" w:hanging="720"/>
    </w:pPr>
    <w:rPr>
      <w:rFonts w:cs="Times New Roman"/>
      <w:sz w:val="24"/>
      <w:szCs w:val="24"/>
    </w:rPr>
  </w:style>
  <w:style w:type="character" w:styleId="Hyperlink">
    <w:name w:val="Hyperlink"/>
    <w:uiPriority w:val="99"/>
    <w:rsid w:val="00D11EF2"/>
    <w:rPr>
      <w:color w:val="0000FF"/>
      <w:u w:val="single"/>
    </w:rPr>
  </w:style>
  <w:style w:type="character" w:customStyle="1" w:styleId="Heading5Char">
    <w:name w:val="Heading 5 Char"/>
    <w:link w:val="Heading5"/>
    <w:rsid w:val="008E0081"/>
    <w:rPr>
      <w:rFonts w:ascii="Times" w:hAnsi="Times" w:cs="Arabic Transparent"/>
      <w:b/>
      <w:bCs/>
      <w:noProof/>
      <w:szCs w:val="44"/>
    </w:rPr>
  </w:style>
  <w:style w:type="character" w:customStyle="1" w:styleId="Heading7Char">
    <w:name w:val="Heading 7 Char"/>
    <w:link w:val="Heading7"/>
    <w:uiPriority w:val="99"/>
    <w:rsid w:val="008E0081"/>
    <w:rPr>
      <w:rFonts w:ascii="Times" w:hAnsi="Times" w:cs="Simplified Arabic"/>
      <w:b/>
      <w:bCs/>
      <w:noProof/>
      <w:szCs w:val="28"/>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uiPriority w:val="99"/>
    <w:rsid w:val="008E0081"/>
    <w:rPr>
      <w:rFonts w:ascii="Times" w:hAnsi="Times" w:cs="Simplified Arabic"/>
      <w:noProof/>
    </w:rPr>
  </w:style>
  <w:style w:type="character" w:customStyle="1" w:styleId="hps">
    <w:name w:val="hps"/>
    <w:rsid w:val="00787E20"/>
  </w:style>
  <w:style w:type="paragraph" w:customStyle="1" w:styleId="Normal-pool">
    <w:name w:val="Normal-pool"/>
    <w:link w:val="Normal-poolChar"/>
    <w:rsid w:val="0018422D"/>
    <w:pPr>
      <w:tabs>
        <w:tab w:val="left" w:pos="1247"/>
        <w:tab w:val="left" w:pos="1814"/>
        <w:tab w:val="left" w:pos="2381"/>
        <w:tab w:val="left" w:pos="2948"/>
        <w:tab w:val="left" w:pos="3515"/>
        <w:tab w:val="left" w:pos="4082"/>
      </w:tabs>
    </w:pPr>
    <w:rPr>
      <w:rFonts w:cs="Times New Roman"/>
      <w:lang w:val="en-GB"/>
    </w:rPr>
  </w:style>
  <w:style w:type="character" w:customStyle="1" w:styleId="Normal-poolChar">
    <w:name w:val="Normal-pool Char"/>
    <w:link w:val="Normal-pool"/>
    <w:rsid w:val="0018422D"/>
    <w:rPr>
      <w:rFonts w:cs="Times New Roman"/>
      <w:lang w:val="en-GB"/>
    </w:rPr>
  </w:style>
  <w:style w:type="numbering" w:customStyle="1" w:styleId="NoList1">
    <w:name w:val="No List1"/>
    <w:next w:val="NoList"/>
    <w:uiPriority w:val="99"/>
    <w:semiHidden/>
    <w:unhideWhenUsed/>
    <w:rsid w:val="00335E4B"/>
  </w:style>
  <w:style w:type="character" w:customStyle="1" w:styleId="Heading1Char">
    <w:name w:val="Heading 1 Char"/>
    <w:basedOn w:val="DefaultParagraphFont"/>
    <w:link w:val="Heading1"/>
    <w:rsid w:val="00335E4B"/>
    <w:rPr>
      <w:rFonts w:cs="Simplified Arabic"/>
      <w:sz w:val="22"/>
      <w:szCs w:val="28"/>
      <w:u w:val="single"/>
    </w:rPr>
  </w:style>
  <w:style w:type="character" w:customStyle="1" w:styleId="Heading2Char">
    <w:name w:val="Heading 2 Char"/>
    <w:basedOn w:val="DefaultParagraphFont"/>
    <w:link w:val="Heading2"/>
    <w:rsid w:val="00335E4B"/>
    <w:rPr>
      <w:rFonts w:cs="Simplified Arabic"/>
      <w:sz w:val="22"/>
      <w:szCs w:val="28"/>
      <w:u w:val="single"/>
    </w:rPr>
  </w:style>
  <w:style w:type="character" w:customStyle="1" w:styleId="Heading3Char">
    <w:name w:val="Heading 3 Char"/>
    <w:basedOn w:val="DefaultParagraphFont"/>
    <w:link w:val="Heading3"/>
    <w:rsid w:val="00335E4B"/>
    <w:rPr>
      <w:rFonts w:cs="Simplified Arabic"/>
      <w:sz w:val="22"/>
      <w:szCs w:val="28"/>
      <w:u w:val="single"/>
    </w:rPr>
  </w:style>
  <w:style w:type="character" w:customStyle="1" w:styleId="Heading4Char">
    <w:name w:val="Heading 4 Char"/>
    <w:basedOn w:val="DefaultParagraphFont"/>
    <w:link w:val="Heading4"/>
    <w:rsid w:val="00335E4B"/>
    <w:rPr>
      <w:rFonts w:cs="Simplified Arabic"/>
      <w:sz w:val="22"/>
      <w:szCs w:val="28"/>
    </w:rPr>
  </w:style>
  <w:style w:type="character" w:customStyle="1" w:styleId="Heading6Char">
    <w:name w:val="Heading 6 Char"/>
    <w:basedOn w:val="DefaultParagraphFont"/>
    <w:link w:val="Heading6"/>
    <w:rsid w:val="00335E4B"/>
    <w:rPr>
      <w:rFonts w:cs="Simplified Arabic"/>
      <w:sz w:val="22"/>
      <w:szCs w:val="28"/>
      <w:u w:val="single"/>
    </w:rPr>
  </w:style>
  <w:style w:type="character" w:customStyle="1" w:styleId="Heading8Char">
    <w:name w:val="Heading 8 Char"/>
    <w:basedOn w:val="DefaultParagraphFont"/>
    <w:link w:val="Heading8"/>
    <w:uiPriority w:val="99"/>
    <w:rsid w:val="00335E4B"/>
    <w:rPr>
      <w:rFonts w:cs="Simplified Arabic"/>
      <w:b/>
      <w:bCs/>
      <w:sz w:val="30"/>
      <w:szCs w:val="30"/>
    </w:rPr>
  </w:style>
  <w:style w:type="character" w:customStyle="1" w:styleId="Heading9Char">
    <w:name w:val="Heading 9 Char"/>
    <w:basedOn w:val="DefaultParagraphFont"/>
    <w:link w:val="Heading9"/>
    <w:uiPriority w:val="99"/>
    <w:rsid w:val="00335E4B"/>
    <w:rPr>
      <w:rFonts w:ascii="Times" w:hAnsi="Times" w:cs="Simplified Arabic"/>
      <w:b/>
      <w:bCs/>
      <w:noProof/>
      <w:szCs w:val="28"/>
      <w:u w:val="single"/>
    </w:rPr>
  </w:style>
  <w:style w:type="character" w:customStyle="1" w:styleId="HeaderChar">
    <w:name w:val="Header Char"/>
    <w:basedOn w:val="DefaultParagraphFont"/>
    <w:link w:val="Header"/>
    <w:uiPriority w:val="99"/>
    <w:rsid w:val="00335E4B"/>
    <w:rPr>
      <w:rFonts w:ascii="Times" w:hAnsi="Times" w:cs="Simplified Arabic"/>
      <w:noProof/>
      <w:szCs w:val="24"/>
    </w:rPr>
  </w:style>
  <w:style w:type="character" w:customStyle="1" w:styleId="FooterChar">
    <w:name w:val="Footer Char"/>
    <w:basedOn w:val="DefaultParagraphFont"/>
    <w:link w:val="Footer"/>
    <w:uiPriority w:val="99"/>
    <w:rsid w:val="00335E4B"/>
    <w:rPr>
      <w:rFonts w:ascii="Times" w:hAnsi="Times" w:cs="Simplified Arabic"/>
      <w:noProof/>
      <w:szCs w:val="24"/>
    </w:rPr>
  </w:style>
  <w:style w:type="character" w:customStyle="1" w:styleId="BodyTextChar">
    <w:name w:val="Body Text Char"/>
    <w:basedOn w:val="DefaultParagraphFont"/>
    <w:link w:val="BodyText"/>
    <w:uiPriority w:val="99"/>
    <w:rsid w:val="00335E4B"/>
    <w:rPr>
      <w:rFonts w:ascii="Times" w:hAnsi="Times" w:cs="Simplified Arabic"/>
      <w:szCs w:val="28"/>
    </w:rPr>
  </w:style>
  <w:style w:type="character" w:customStyle="1" w:styleId="BodyText2Char">
    <w:name w:val="Body Text 2 Char"/>
    <w:basedOn w:val="DefaultParagraphFont"/>
    <w:link w:val="BodyText2"/>
    <w:uiPriority w:val="99"/>
    <w:rsid w:val="00335E4B"/>
    <w:rPr>
      <w:rFonts w:ascii="Times" w:hAnsi="Times" w:cs="Simplified Arabic"/>
      <w:noProof/>
      <w:sz w:val="28"/>
      <w:szCs w:val="28"/>
    </w:rPr>
  </w:style>
  <w:style w:type="paragraph" w:customStyle="1" w:styleId="SingleTxt">
    <w:name w:val="__Single Txt"/>
    <w:basedOn w:val="Normal"/>
    <w:rsid w:val="00335E4B"/>
    <w:pPr>
      <w:tabs>
        <w:tab w:val="left" w:pos="1267"/>
        <w:tab w:val="left" w:pos="1930"/>
        <w:tab w:val="left" w:pos="2592"/>
        <w:tab w:val="left" w:pos="3254"/>
        <w:tab w:val="left" w:pos="3917"/>
        <w:tab w:val="left" w:pos="4579"/>
        <w:tab w:val="left" w:pos="5242"/>
        <w:tab w:val="left" w:pos="5904"/>
        <w:tab w:val="left" w:pos="6566"/>
      </w:tabs>
      <w:bidi w:val="0"/>
      <w:spacing w:after="120" w:line="400" w:lineRule="exact"/>
      <w:ind w:left="1267" w:right="1267"/>
      <w:jc w:val="lowKashida"/>
    </w:pPr>
    <w:rPr>
      <w:rFonts w:cs="Traditional Arabic"/>
      <w:w w:val="103"/>
      <w:kern w:val="14"/>
      <w:sz w:val="20"/>
      <w:szCs w:val="30"/>
    </w:rPr>
  </w:style>
  <w:style w:type="paragraph" w:customStyle="1" w:styleId="ListParagraph1">
    <w:name w:val="List Paragraph1"/>
    <w:basedOn w:val="Normal"/>
    <w:rsid w:val="00335E4B"/>
    <w:pPr>
      <w:bidi w:val="0"/>
      <w:spacing w:after="120"/>
      <w:ind w:left="720"/>
      <w:contextualSpacing/>
      <w:jc w:val="both"/>
    </w:pPr>
    <w:rPr>
      <w:rFonts w:ascii="Cambria" w:eastAsia="MS Mincho" w:hAnsi="Cambria" w:cs="Times New Roman"/>
      <w:sz w:val="24"/>
      <w:szCs w:val="20"/>
      <w:lang w:val="de-DE"/>
    </w:rPr>
  </w:style>
  <w:style w:type="paragraph" w:customStyle="1" w:styleId="ZZAnxheader">
    <w:name w:val="ZZ_Anx_header"/>
    <w:basedOn w:val="Normal-pool"/>
    <w:rsid w:val="00335E4B"/>
    <w:pPr>
      <w:tabs>
        <w:tab w:val="clear" w:pos="4082"/>
      </w:tabs>
    </w:pPr>
    <w:rPr>
      <w:b/>
      <w:bCs/>
      <w:sz w:val="28"/>
      <w:szCs w:val="22"/>
    </w:rPr>
  </w:style>
  <w:style w:type="character" w:customStyle="1" w:styleId="BalloonTextChar">
    <w:name w:val="Balloon Text Char"/>
    <w:basedOn w:val="DefaultParagraphFont"/>
    <w:link w:val="BalloonText"/>
    <w:uiPriority w:val="99"/>
    <w:rsid w:val="00335E4B"/>
    <w:rPr>
      <w:rFonts w:ascii="Tahoma" w:hAnsi="Tahoma" w:cs="Tahoma"/>
      <w:sz w:val="16"/>
      <w:szCs w:val="16"/>
    </w:rPr>
  </w:style>
  <w:style w:type="numbering" w:customStyle="1" w:styleId="Normallist">
    <w:name w:val="Normal_list"/>
    <w:basedOn w:val="NoList"/>
    <w:rsid w:val="00335E4B"/>
    <w:pPr>
      <w:numPr>
        <w:numId w:val="10"/>
      </w:numPr>
    </w:pPr>
  </w:style>
  <w:style w:type="paragraph" w:customStyle="1" w:styleId="Normalnumber">
    <w:name w:val="Normal_number"/>
    <w:basedOn w:val="Normal"/>
    <w:rsid w:val="00335E4B"/>
    <w:pPr>
      <w:numPr>
        <w:numId w:val="10"/>
      </w:numPr>
      <w:tabs>
        <w:tab w:val="left" w:pos="624"/>
        <w:tab w:val="left" w:pos="1247"/>
        <w:tab w:val="left" w:pos="1871"/>
        <w:tab w:val="left" w:pos="2495"/>
        <w:tab w:val="left" w:pos="3119"/>
      </w:tabs>
      <w:bidi w:val="0"/>
      <w:spacing w:after="120"/>
    </w:pPr>
    <w:rPr>
      <w:rFonts w:cs="Times New Roman"/>
      <w:sz w:val="20"/>
      <w:szCs w:val="20"/>
      <w:lang w:val="en-GB"/>
    </w:rPr>
  </w:style>
  <w:style w:type="paragraph" w:customStyle="1" w:styleId="ZZAnxtitle">
    <w:name w:val="ZZ_Anx_title"/>
    <w:basedOn w:val="Normal"/>
    <w:link w:val="ZZAnxtitleChar"/>
    <w:rsid w:val="00335E4B"/>
    <w:pPr>
      <w:tabs>
        <w:tab w:val="left" w:pos="1247"/>
        <w:tab w:val="left" w:pos="1814"/>
        <w:tab w:val="left" w:pos="2381"/>
        <w:tab w:val="left" w:pos="2948"/>
        <w:tab w:val="left" w:pos="3515"/>
        <w:tab w:val="left" w:pos="4082"/>
      </w:tabs>
      <w:bidi w:val="0"/>
      <w:spacing w:before="360" w:after="120"/>
      <w:ind w:left="1247"/>
    </w:pPr>
    <w:rPr>
      <w:rFonts w:cs="Times New Roman"/>
      <w:b/>
      <w:bCs/>
      <w:sz w:val="28"/>
      <w:szCs w:val="26"/>
      <w:lang w:val="en-GB" w:eastAsia="x-none"/>
    </w:rPr>
  </w:style>
  <w:style w:type="character" w:customStyle="1" w:styleId="ZZAnxtitleChar">
    <w:name w:val="ZZ_Anx_title Char"/>
    <w:link w:val="ZZAnxtitle"/>
    <w:rsid w:val="00335E4B"/>
    <w:rPr>
      <w:rFonts w:cs="Times New Roman"/>
      <w:b/>
      <w:bCs/>
      <w:sz w:val="28"/>
      <w:szCs w:val="26"/>
      <w:lang w:val="en-GB" w:eastAsia="x-none"/>
    </w:rPr>
  </w:style>
  <w:style w:type="character" w:customStyle="1" w:styleId="BodyText3Char">
    <w:name w:val="Body Text 3 Char"/>
    <w:basedOn w:val="DefaultParagraphFont"/>
    <w:link w:val="BodyText3"/>
    <w:rsid w:val="00335E4B"/>
    <w:rPr>
      <w:rFonts w:ascii="Times" w:hAnsi="Times" w:cs="Simplified Arabic"/>
      <w:w w:val="66"/>
    </w:rPr>
  </w:style>
  <w:style w:type="character" w:customStyle="1" w:styleId="BodyTextIndent2Char">
    <w:name w:val="Body Text Indent 2 Char"/>
    <w:basedOn w:val="DefaultParagraphFont"/>
    <w:link w:val="BodyTextIndent2"/>
    <w:rsid w:val="00335E4B"/>
    <w:rPr>
      <w:rFonts w:ascii="Times" w:hAnsi="Times" w:cs="Simplified Arabic"/>
      <w:w w:val="80"/>
    </w:rPr>
  </w:style>
  <w:style w:type="character" w:customStyle="1" w:styleId="BodyTextIndentChar">
    <w:name w:val="Body Text Indent Char"/>
    <w:basedOn w:val="DefaultParagraphFont"/>
    <w:link w:val="BodyTextIndent"/>
    <w:rsid w:val="00335E4B"/>
    <w:rPr>
      <w:rFonts w:cs="Simplified Arabic"/>
      <w:noProof/>
      <w:sz w:val="28"/>
      <w:szCs w:val="28"/>
    </w:rPr>
  </w:style>
  <w:style w:type="character" w:customStyle="1" w:styleId="TitleChar">
    <w:name w:val="Title Char"/>
    <w:basedOn w:val="DefaultParagraphFont"/>
    <w:link w:val="Title"/>
    <w:rsid w:val="00335E4B"/>
    <w:rPr>
      <w:rFonts w:cs="Simplified Arabic"/>
      <w:sz w:val="28"/>
      <w:szCs w:val="28"/>
      <w:u w:val="single"/>
    </w:rPr>
  </w:style>
  <w:style w:type="character" w:customStyle="1" w:styleId="BodyTextIndent3Char">
    <w:name w:val="Body Text Indent 3 Char"/>
    <w:basedOn w:val="DefaultParagraphFont"/>
    <w:link w:val="BodyTextIndent3"/>
    <w:rsid w:val="00335E4B"/>
    <w:rPr>
      <w:rFonts w:cs="Simplified Arabic"/>
      <w:sz w:val="24"/>
      <w:szCs w:val="24"/>
    </w:rPr>
  </w:style>
  <w:style w:type="character" w:customStyle="1" w:styleId="EndnoteTextChar">
    <w:name w:val="Endnote Text Char"/>
    <w:basedOn w:val="DefaultParagraphFont"/>
    <w:link w:val="EndnoteText"/>
    <w:rsid w:val="00335E4B"/>
    <w:rPr>
      <w:rFonts w:cs="Simplified Arabic"/>
    </w:rPr>
  </w:style>
  <w:style w:type="paragraph" w:styleId="TOCHeading">
    <w:name w:val="TOC Heading"/>
    <w:basedOn w:val="Heading1"/>
    <w:next w:val="Normal"/>
    <w:uiPriority w:val="39"/>
    <w:semiHidden/>
    <w:unhideWhenUsed/>
    <w:qFormat/>
    <w:rsid w:val="00335E4B"/>
    <w:pPr>
      <w:keepLines/>
      <w:bidi w:val="0"/>
      <w:spacing w:before="480" w:after="0" w:line="276" w:lineRule="auto"/>
      <w:jc w:val="left"/>
      <w:outlineLvl w:val="9"/>
    </w:pPr>
    <w:rPr>
      <w:rFonts w:ascii="Cambria" w:eastAsia="MS Gothic" w:hAnsi="Cambria" w:cs="Times New Roman"/>
      <w:b/>
      <w:bCs/>
      <w:color w:val="365F91"/>
      <w:sz w:val="28"/>
      <w:u w:val="none"/>
      <w:lang w:eastAsia="ja-JP"/>
    </w:rPr>
  </w:style>
  <w:style w:type="paragraph" w:styleId="TOC1">
    <w:name w:val="toc 1"/>
    <w:basedOn w:val="Normal"/>
    <w:next w:val="Normal"/>
    <w:autoRedefine/>
    <w:uiPriority w:val="39"/>
    <w:qFormat/>
    <w:rsid w:val="00335E4B"/>
    <w:pPr>
      <w:tabs>
        <w:tab w:val="left" w:pos="707"/>
        <w:tab w:val="right" w:leader="dot" w:pos="9212"/>
      </w:tabs>
      <w:spacing w:after="120" w:line="340" w:lineRule="exact"/>
      <w:ind w:left="849" w:hanging="851"/>
    </w:pPr>
    <w:rPr>
      <w:rFonts w:cs="Traditional Arabic"/>
      <w:noProof/>
      <w:sz w:val="18"/>
      <w:lang w:bidi="ar-EG"/>
    </w:rPr>
  </w:style>
  <w:style w:type="paragraph" w:styleId="TOC2">
    <w:name w:val="toc 2"/>
    <w:basedOn w:val="Normal"/>
    <w:next w:val="Normal"/>
    <w:autoRedefine/>
    <w:uiPriority w:val="39"/>
    <w:qFormat/>
    <w:rsid w:val="00335E4B"/>
    <w:pPr>
      <w:tabs>
        <w:tab w:val="right" w:leader="dot" w:pos="9486"/>
      </w:tabs>
      <w:spacing w:after="120" w:line="320" w:lineRule="exact"/>
      <w:ind w:left="1416" w:hanging="567"/>
    </w:pPr>
    <w:rPr>
      <w:rFonts w:cs="Traditional Arabic"/>
      <w:noProof/>
      <w:sz w:val="18"/>
      <w:lang w:bidi="ar-EG"/>
    </w:rPr>
  </w:style>
  <w:style w:type="paragraph" w:styleId="TOC3">
    <w:name w:val="toc 3"/>
    <w:basedOn w:val="Normal"/>
    <w:next w:val="Normal"/>
    <w:autoRedefine/>
    <w:uiPriority w:val="39"/>
    <w:unhideWhenUsed/>
    <w:qFormat/>
    <w:rsid w:val="00335E4B"/>
    <w:pPr>
      <w:tabs>
        <w:tab w:val="right" w:leader="dot" w:pos="9486"/>
      </w:tabs>
      <w:spacing w:line="360" w:lineRule="exact"/>
      <w:ind w:left="1132" w:hanging="1134"/>
    </w:pPr>
    <w:rPr>
      <w:rFonts w:cs="Traditional Arabic"/>
      <w:b/>
      <w:noProof/>
      <w:sz w:val="18"/>
    </w:rPr>
  </w:style>
  <w:style w:type="paragraph" w:styleId="TOC4">
    <w:name w:val="toc 4"/>
    <w:basedOn w:val="Normal"/>
    <w:next w:val="Normal"/>
    <w:autoRedefine/>
    <w:uiPriority w:val="39"/>
    <w:unhideWhenUsed/>
    <w:rsid w:val="00335E4B"/>
    <w:pPr>
      <w:bidi w:val="0"/>
      <w:spacing w:after="100" w:line="276" w:lineRule="auto"/>
      <w:ind w:left="660"/>
    </w:pPr>
    <w:rPr>
      <w:rFonts w:ascii="Calibri" w:hAnsi="Calibri" w:cs="Arial"/>
      <w:szCs w:val="22"/>
    </w:rPr>
  </w:style>
  <w:style w:type="paragraph" w:styleId="TOC5">
    <w:name w:val="toc 5"/>
    <w:basedOn w:val="Normal"/>
    <w:next w:val="Normal"/>
    <w:autoRedefine/>
    <w:uiPriority w:val="39"/>
    <w:unhideWhenUsed/>
    <w:rsid w:val="00335E4B"/>
    <w:pPr>
      <w:bidi w:val="0"/>
      <w:spacing w:after="100" w:line="276" w:lineRule="auto"/>
      <w:ind w:left="880"/>
    </w:pPr>
    <w:rPr>
      <w:rFonts w:ascii="Calibri" w:hAnsi="Calibri" w:cs="Arial"/>
      <w:szCs w:val="22"/>
    </w:rPr>
  </w:style>
  <w:style w:type="paragraph" w:styleId="TOC6">
    <w:name w:val="toc 6"/>
    <w:basedOn w:val="Normal"/>
    <w:next w:val="Normal"/>
    <w:autoRedefine/>
    <w:uiPriority w:val="39"/>
    <w:unhideWhenUsed/>
    <w:rsid w:val="00335E4B"/>
    <w:pPr>
      <w:bidi w:val="0"/>
      <w:spacing w:after="100" w:line="276" w:lineRule="auto"/>
      <w:ind w:left="1100"/>
    </w:pPr>
    <w:rPr>
      <w:rFonts w:ascii="Calibri" w:hAnsi="Calibri" w:cs="Arial"/>
      <w:szCs w:val="22"/>
    </w:rPr>
  </w:style>
  <w:style w:type="paragraph" w:styleId="TOC7">
    <w:name w:val="toc 7"/>
    <w:basedOn w:val="Normal"/>
    <w:next w:val="Normal"/>
    <w:autoRedefine/>
    <w:uiPriority w:val="39"/>
    <w:unhideWhenUsed/>
    <w:rsid w:val="00335E4B"/>
    <w:pPr>
      <w:bidi w:val="0"/>
      <w:spacing w:after="100" w:line="276" w:lineRule="auto"/>
      <w:ind w:left="1320"/>
    </w:pPr>
    <w:rPr>
      <w:rFonts w:ascii="Calibri" w:hAnsi="Calibri" w:cs="Arial"/>
      <w:szCs w:val="22"/>
    </w:rPr>
  </w:style>
  <w:style w:type="paragraph" w:styleId="TOC8">
    <w:name w:val="toc 8"/>
    <w:basedOn w:val="Normal"/>
    <w:next w:val="Normal"/>
    <w:autoRedefine/>
    <w:uiPriority w:val="39"/>
    <w:unhideWhenUsed/>
    <w:rsid w:val="00335E4B"/>
    <w:pPr>
      <w:bidi w:val="0"/>
      <w:spacing w:after="100" w:line="276" w:lineRule="auto"/>
      <w:ind w:left="1540"/>
    </w:pPr>
    <w:rPr>
      <w:rFonts w:ascii="Calibri" w:hAnsi="Calibri" w:cs="Arial"/>
      <w:szCs w:val="22"/>
    </w:rPr>
  </w:style>
  <w:style w:type="paragraph" w:styleId="TOC9">
    <w:name w:val="toc 9"/>
    <w:basedOn w:val="Normal"/>
    <w:next w:val="Normal"/>
    <w:autoRedefine/>
    <w:uiPriority w:val="39"/>
    <w:unhideWhenUsed/>
    <w:rsid w:val="00335E4B"/>
    <w:pPr>
      <w:bidi w:val="0"/>
      <w:spacing w:after="100" w:line="276" w:lineRule="auto"/>
      <w:ind w:left="1760"/>
    </w:pPr>
    <w:rPr>
      <w:rFonts w:ascii="Calibri" w:hAnsi="Calibri" w:cs="Arial"/>
      <w:szCs w:val="22"/>
    </w:rPr>
  </w:style>
  <w:style w:type="paragraph" w:styleId="NormalWeb">
    <w:name w:val="Normal (Web)"/>
    <w:basedOn w:val="Normal"/>
    <w:uiPriority w:val="99"/>
    <w:unhideWhenUsed/>
    <w:rsid w:val="00335E4B"/>
    <w:pPr>
      <w:bidi w:val="0"/>
      <w:spacing w:before="100" w:beforeAutospacing="1" w:after="100" w:afterAutospacing="1"/>
    </w:pPr>
    <w:rPr>
      <w:rFonts w:cs="Times New Roman"/>
      <w:sz w:val="24"/>
      <w:szCs w:val="24"/>
    </w:rPr>
  </w:style>
  <w:style w:type="paragraph" w:styleId="ListParagraph">
    <w:name w:val="List Paragraph"/>
    <w:basedOn w:val="Normal"/>
    <w:uiPriority w:val="34"/>
    <w:qFormat/>
    <w:rsid w:val="00335E4B"/>
    <w:pPr>
      <w:ind w:left="720"/>
      <w:contextualSpacing/>
    </w:pPr>
    <w:rPr>
      <w:sz w:val="24"/>
    </w:rPr>
  </w:style>
  <w:style w:type="numbering" w:customStyle="1" w:styleId="NoList11">
    <w:name w:val="No List11"/>
    <w:next w:val="NoList"/>
    <w:uiPriority w:val="99"/>
    <w:semiHidden/>
    <w:unhideWhenUsed/>
    <w:rsid w:val="00335E4B"/>
  </w:style>
  <w:style w:type="paragraph" w:customStyle="1" w:styleId="Heading1-nonumbering">
    <w:name w:val="Heading 1 - no numbering"/>
    <w:basedOn w:val="Heading1"/>
    <w:autoRedefine/>
    <w:qFormat/>
    <w:rsid w:val="00335E4B"/>
    <w:pPr>
      <w:pageBreakBefore/>
      <w:suppressAutoHyphens/>
      <w:spacing w:before="0" w:line="400" w:lineRule="exact"/>
      <w:ind w:left="720" w:hanging="720"/>
      <w:jc w:val="left"/>
    </w:pPr>
    <w:rPr>
      <w:rFonts w:ascii="Traditional Arabic" w:eastAsia="SimSun" w:hAnsi="Traditional Arabic" w:cs="Traditional Arabic"/>
      <w:bCs/>
      <w:sz w:val="32"/>
      <w:szCs w:val="32"/>
      <w:u w:val="none"/>
      <w:lang w:eastAsia="ar-SA" w:bidi="ar-EG"/>
    </w:rPr>
  </w:style>
  <w:style w:type="character" w:customStyle="1" w:styleId="DeltaViewInsertion">
    <w:name w:val="DeltaView Insertion"/>
    <w:uiPriority w:val="99"/>
    <w:rsid w:val="00786E68"/>
    <w:rPr>
      <w:color w:val="0000FF"/>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9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emf"/><Relationship Id="rId39" Type="http://schemas.openxmlformats.org/officeDocument/2006/relationships/hyperlink" Target="http://www.worldcoal.org/coal/what-is-coal/" TargetMode="External"/><Relationship Id="rId21" Type="http://schemas.openxmlformats.org/officeDocument/2006/relationships/image" Target="media/image6.emf"/><Relationship Id="rId34" Type="http://schemas.openxmlformats.org/officeDocument/2006/relationships/hyperlink" Target="http://www.unep.org/chemicalsandwaste/Portals/9/Mercury/Documents/coal/FINAL%20Chinese_Coal%20Report%20-%2011%20March%202011.pdf" TargetMode="External"/><Relationship Id="rId42" Type="http://schemas.openxmlformats.org/officeDocument/2006/relationships/image" Target="media/image14.emf"/><Relationship Id="rId47" Type="http://schemas.openxmlformats.org/officeDocument/2006/relationships/image" Target="media/image16.jpeg"/><Relationship Id="rId50" Type="http://schemas.openxmlformats.org/officeDocument/2006/relationships/image" Target="media/image18.jpeg"/><Relationship Id="rId55" Type="http://schemas.openxmlformats.org/officeDocument/2006/relationships/hyperlink" Target="https://getinfo.de/app/subject-search?action=search&amp;author=%22Lindgren%2c+P.%22&amp;form=advanced" TargetMode="External"/><Relationship Id="rId63" Type="http://schemas.openxmlformats.org/officeDocument/2006/relationships/image" Target="media/image24.emf"/><Relationship Id="rId68" Type="http://schemas.openxmlformats.org/officeDocument/2006/relationships/image" Target="media/image29.png"/><Relationship Id="rId76" Type="http://schemas.openxmlformats.org/officeDocument/2006/relationships/image" Target="media/image37.png"/><Relationship Id="rId84" Type="http://schemas.openxmlformats.org/officeDocument/2006/relationships/header" Target="header5.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icac.com" TargetMode="External"/><Relationship Id="rId11" Type="http://schemas.openxmlformats.org/officeDocument/2006/relationships/hyperlink" Target="http://www.unep.org/chemicalsandwaste/Mercury/GlobalMercuryPartnership/tabid/1253/Default.aspx" TargetMode="External"/><Relationship Id="rId24" Type="http://schemas.openxmlformats.org/officeDocument/2006/relationships/image" Target="media/image9.png"/><Relationship Id="rId32" Type="http://schemas.openxmlformats.org/officeDocument/2006/relationships/hyperlink" Target="http://aepevents.com/files/presentations/2013-general-session-bromine-additon-for-mercury-capturesrinivasan-and-dene-epri-1378922295.pdf" TargetMode="External"/><Relationship Id="rId37" Type="http://schemas.openxmlformats.org/officeDocument/2006/relationships/hyperlink" Target="http://nepis.epa.gov/Adobe/PDF/P1005ODM.pdf" TargetMode="External"/><Relationship Id="rId40" Type="http://schemas.openxmlformats.org/officeDocument/2006/relationships/image" Target="media/image13.gif"/><Relationship Id="rId45" Type="http://schemas.openxmlformats.org/officeDocument/2006/relationships/hyperlink" Target="http://eippcb.jrc.ec.europa.eu/reference/BREF/NFM_Final_Draft_10_2014.pdf" TargetMode="External"/><Relationship Id="rId53" Type="http://schemas.openxmlformats.org/officeDocument/2006/relationships/image" Target="media/image21.png"/><Relationship Id="rId58" Type="http://schemas.openxmlformats.org/officeDocument/2006/relationships/hyperlink" Target="http://english.arnika.org/files/documents/ASH_report.pdf" TargetMode="External"/><Relationship Id="rId66"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image" Target="media/image22.png"/><Relationship Id="rId82" Type="http://schemas.openxmlformats.org/officeDocument/2006/relationships/image" Target="media/image43.png"/><Relationship Id="rId90" Type="http://schemas.openxmlformats.org/officeDocument/2006/relationships/theme" Target="theme/theme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www.icac.com" TargetMode="External"/><Relationship Id="rId35" Type="http://schemas.openxmlformats.org/officeDocument/2006/relationships/hyperlink" Target="http://www.unep.org/PDF/PressReleases/GlobalMercuryAssessment2013.pdf" TargetMode="External"/><Relationship Id="rId43" Type="http://schemas.openxmlformats.org/officeDocument/2006/relationships/header" Target="header4.xml"/><Relationship Id="rId48" Type="http://schemas.openxmlformats.org/officeDocument/2006/relationships/hyperlink" Target="http://www.hitemptech.com" TargetMode="External"/><Relationship Id="rId56" Type="http://schemas.openxmlformats.org/officeDocument/2006/relationships/hyperlink" Target="http://www.bsh.ch/upload/public/0/71/BSH-Umweltservice-AG-Saure-Flugaschenwaesche-FLUWA-Verfahren.pdf" TargetMode="External"/><Relationship Id="rId64" Type="http://schemas.openxmlformats.org/officeDocument/2006/relationships/image" Target="media/image25.emf"/><Relationship Id="rId69" Type="http://schemas.openxmlformats.org/officeDocument/2006/relationships/image" Target="media/image30.emf"/><Relationship Id="rId77"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emf"/><Relationship Id="rId33" Type="http://schemas.openxmlformats.org/officeDocument/2006/relationships/hyperlink" Target="http://pubs.usgs.gov/of/2010/1196/" TargetMode="External"/><Relationship Id="rId38" Type="http://schemas.openxmlformats.org/officeDocument/2006/relationships/hyperlink" Target="http://www.epa.gov/airmarkets/programs/ipm/psmodel.html" TargetMode="External"/><Relationship Id="rId46" Type="http://schemas.openxmlformats.org/officeDocument/2006/relationships/image" Target="media/image15.png"/><Relationship Id="rId59" Type="http://schemas.openxmlformats.org/officeDocument/2006/relationships/hyperlink" Target="http://www.unece.org/env/lrtap/full%20text/1998.POPs.e.pdf" TargetMode="External"/><Relationship Id="rId67" Type="http://schemas.openxmlformats.org/officeDocument/2006/relationships/image" Target="media/image28.emf"/><Relationship Id="rId20" Type="http://schemas.openxmlformats.org/officeDocument/2006/relationships/image" Target="media/image5.emf"/><Relationship Id="rId41" Type="http://schemas.openxmlformats.org/officeDocument/2006/relationships/image" Target="media/image13.png"/><Relationship Id="rId54" Type="http://schemas.openxmlformats.org/officeDocument/2006/relationships/hyperlink" Target="https://getinfo.de/app/subject-search?action=search&amp;author=%22Andersson%2c+S.%22&amp;form=advanced" TargetMode="External"/><Relationship Id="rId62" Type="http://schemas.openxmlformats.org/officeDocument/2006/relationships/image" Target="media/image23.emf"/><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4.png"/><Relationship Id="rId88"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hyperlink" Target="http://eippcb.jrc.ec.europa.eu/reference/BREF/LCP_D1_June2013_online.pdf" TargetMode="External"/><Relationship Id="rId36" Type="http://schemas.openxmlformats.org/officeDocument/2006/relationships/hyperlink" Target="http://www.unep.org/chemicalsandwaste/Portals/9/Mercury/Documents/coal/Report%20Demo-Toliatti%20FINAL%20Report%2027%20Nov%202013.pdf" TargetMode="External"/><Relationship Id="rId49" Type="http://schemas.openxmlformats.org/officeDocument/2006/relationships/image" Target="media/image17.png"/><Relationship Id="rId57" Type="http://schemas.openxmlformats.org/officeDocument/2006/relationships/hyperlink" Target="http://www.degremont-technologies.com/IMG/pdf/tech_infilco_FGD-Mercury.pdf" TargetMode="External"/><Relationship Id="rId10" Type="http://schemas.openxmlformats.org/officeDocument/2006/relationships/image" Target="media/image2.png"/><Relationship Id="rId31" Type="http://schemas.openxmlformats.org/officeDocument/2006/relationships/hyperlink" Target="http://www.eecpowerindia.com/codelibrary/ckeditor/ckfinder/userfiles/files/Session%202%20%20module%202-%20Fuels%20and%20its%20Combustion%20in%20Boiler.pdf" TargetMode="External"/><Relationship Id="rId44" Type="http://schemas.openxmlformats.org/officeDocument/2006/relationships/footer" Target="footer4.xml"/><Relationship Id="rId52" Type="http://schemas.openxmlformats.org/officeDocument/2006/relationships/image" Target="media/image20.png"/><Relationship Id="rId60" Type="http://schemas.openxmlformats.org/officeDocument/2006/relationships/hyperlink" Target="http://www.greenpeace.org.uk/media/reports/alan-watson-comments-on-the-byker-ash-report" TargetMode="External"/><Relationship Id="rId65" Type="http://schemas.openxmlformats.org/officeDocument/2006/relationships/image" Target="media/image26.emf"/><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www.nescaum.org/activities/major-reports" TargetMode="External"/><Relationship Id="rId13" Type="http://schemas.openxmlformats.org/officeDocument/2006/relationships/hyperlink" Target="http://standards.cen.eu/dyn/www/f?p=204:110:0::::FSP_PROJECT:33416&amp;cs=1D563C09742AECB59945D4E1D645A5DCB" TargetMode="External"/><Relationship Id="rId3" Type="http://schemas.openxmlformats.org/officeDocument/2006/relationships/hyperlink" Target="http://www.epa.gov/ttn/emc/methods/method29.html" TargetMode="External"/><Relationship Id="rId7" Type="http://schemas.openxmlformats.org/officeDocument/2006/relationships/hyperlink" Target="http://www.epa.gov/ttn/emc/perfspec.html" TargetMode="External"/><Relationship Id="rId12" Type="http://schemas.openxmlformats.org/officeDocument/2006/relationships/hyperlink" Target="http://standards.cen.eu/dyn/www/f?p=204:110:0::::FSP_PROJECT:22225&amp;cs=1D527AD08718E6354287EA554A53ADF26" TargetMode="External"/><Relationship Id="rId2" Type="http://schemas.openxmlformats.org/officeDocument/2006/relationships/hyperlink" Target="http://standards.cen.eu/dyn/www/f?p=204:110:0::::FSP_PROJECT,FSP_ORG_ID:25042,6245&amp;cs=19B884B499893080A731C45504F6F2FB2" TargetMode="External"/><Relationship Id="rId16" Type="http://schemas.openxmlformats.org/officeDocument/2006/relationships/hyperlink" Target="http://www.sulphuric-acid.com/techmanual/GasCleaning/gcl_hg.htm" TargetMode="External"/><Relationship Id="rId1" Type="http://schemas.openxmlformats.org/officeDocument/2006/relationships/hyperlink" Target="http://standards.cen.eu/dyn/www/f?p=204:110:0::::FSP_PROJECT:22623&amp;cs=106F3444821A456A90F21590F3BFF8582" TargetMode="External"/><Relationship Id="rId6" Type="http://schemas.openxmlformats.org/officeDocument/2006/relationships/hyperlink" Target="http://www.epa.gov/ttnemc01/promgate/Meth30A.pdf" TargetMode="External"/><Relationship Id="rId11" Type="http://schemas.openxmlformats.org/officeDocument/2006/relationships/hyperlink" Target="http://www.epa.gov/ttn/emc/perfspec.html" TargetMode="External"/><Relationship Id="rId5" Type="http://schemas.openxmlformats.org/officeDocument/2006/relationships/hyperlink" Target="http://www.epa.gov/ttn/emc/promgate/Meth30B.pdf" TargetMode="External"/><Relationship Id="rId15" Type="http://schemas.openxmlformats.org/officeDocument/2006/relationships/hyperlink" Target="https://www.ec.gc.ca/inrp-npri/default.asp?lang=En&amp;n=28C24172-1" TargetMode="External"/><Relationship Id="rId10" Type="http://schemas.openxmlformats.org/officeDocument/2006/relationships/hyperlink" Target="http://www.nescaum.org/activities/major-reports" TargetMode="External"/><Relationship Id="rId4" Type="http://schemas.openxmlformats.org/officeDocument/2006/relationships/hyperlink" Target="http://www.astm.org/Standards/D6784.htm" TargetMode="External"/><Relationship Id="rId9" Type="http://schemas.openxmlformats.org/officeDocument/2006/relationships/hyperlink" Target="http://www.epa.gov/ttn/emc/perfspec.html" TargetMode="External"/><Relationship Id="rId14" Type="http://schemas.openxmlformats.org/officeDocument/2006/relationships/hyperlink" Target="http://standards.cen.eu/dyn/www/f?p=204:110:0::::FSP_PROJECT,FSP_ORG_ID:25042,6245&amp;cs=19B884B499893080A731C45504F6F2F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1B1A8-9E89-456B-8BC4-D914F47D1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213</Pages>
  <Words>78774</Words>
  <Characters>449018</Characters>
  <Application>Microsoft Office Word</Application>
  <DocSecurity>0</DocSecurity>
  <Lines>3741</Lines>
  <Paragraphs>1053</Paragraphs>
  <ScaleCrop>false</ScaleCrop>
  <HeadingPairs>
    <vt:vector size="2" baseType="variant">
      <vt:variant>
        <vt:lpstr>Title</vt:lpstr>
      </vt:variant>
      <vt:variant>
        <vt:i4>1</vt:i4>
      </vt:variant>
    </vt:vector>
  </HeadingPairs>
  <TitlesOfParts>
    <vt:vector size="1" baseType="lpstr">
      <vt:lpstr>UNEP/GC.24/00</vt:lpstr>
    </vt:vector>
  </TitlesOfParts>
  <Company>UNON</Company>
  <LinksUpToDate>false</LinksUpToDate>
  <CharactersWithSpaces>526739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UNEP/GC.24/00</dc:title>
  <dc:creator>ARABIC UNIT</dc:creator>
  <cp:lastModifiedBy>LOGAN</cp:lastModifiedBy>
  <cp:revision>4</cp:revision>
  <cp:lastPrinted>2017-07-05T12:50:00Z</cp:lastPrinted>
  <dcterms:created xsi:type="dcterms:W3CDTF">2017-07-05T12:50:00Z</dcterms:created>
  <dcterms:modified xsi:type="dcterms:W3CDTF">2017-07-13T02:52:00Z</dcterms:modified>
</cp:coreProperties>
</file>