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proofErr w:type="gramStart"/>
            <w:r w:rsidRPr="000844F9">
              <w:rPr>
                <w:rFonts w:hint="cs"/>
                <w:b/>
                <w:bCs/>
                <w:sz w:val="44"/>
                <w:szCs w:val="44"/>
                <w:rtl/>
              </w:rPr>
              <w:t>الأمم</w:t>
            </w:r>
            <w:proofErr w:type="gramEnd"/>
            <w:r w:rsidRPr="000844F9">
              <w:rPr>
                <w:rFonts w:hint="cs"/>
                <w:b/>
                <w:bCs/>
                <w:sz w:val="44"/>
                <w:szCs w:val="44"/>
                <w:rtl/>
              </w:rPr>
              <w:t xml:space="preserve">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8C3857">
            <w:pPr>
              <w:rPr>
                <w:rFonts w:cs="Times New Roman"/>
                <w:b/>
                <w:bCs/>
                <w:szCs w:val="20"/>
              </w:rPr>
            </w:pPr>
            <w:r w:rsidRPr="00AB507F">
              <w:rPr>
                <w:rFonts w:cs="Times New Roman"/>
                <w:b/>
                <w:bCs/>
                <w:sz w:val="28"/>
              </w:rPr>
              <w:t>UNEP</w:t>
            </w:r>
            <w:r w:rsidRPr="00FA1D7E">
              <w:rPr>
                <w:rFonts w:cs="Times New Roman"/>
                <w:b/>
                <w:bCs/>
                <w:sz w:val="28"/>
              </w:rPr>
              <w:t>/</w:t>
            </w:r>
            <w:r w:rsidR="00934FB6">
              <w:rPr>
                <w:rFonts w:cs="Times New Roman"/>
                <w:szCs w:val="20"/>
              </w:rPr>
              <w:t>MC/COP.1/</w:t>
            </w:r>
            <w:r w:rsidR="00BA111A">
              <w:rPr>
                <w:rFonts w:cs="Times New Roman"/>
                <w:szCs w:val="20"/>
              </w:rPr>
              <w:t>4</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0347C0" w:rsidP="00934FB6">
            <w:pPr>
              <w:jc w:val="both"/>
              <w:rPr>
                <w:rFonts w:cs="Times New Roman"/>
                <w:szCs w:val="20"/>
              </w:rPr>
            </w:pPr>
            <w:r>
              <w:rPr>
                <w:rFonts w:cs="Times New Roman"/>
                <w:szCs w:val="20"/>
              </w:rPr>
              <w:t>9 June</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bookmarkStart w:id="0" w:name="_GoBack"/>
            <w:bookmarkEnd w:id="0"/>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rPr>
              <w:drawing>
                <wp:anchor distT="0" distB="0" distL="114300" distR="114300" simplePos="0" relativeHeight="251658240"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20706">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6E1D97">
            <w:pPr>
              <w:bidi/>
              <w:spacing w:line="360" w:lineRule="exact"/>
              <w:ind w:left="142" w:right="2019"/>
              <w:jc w:val="both"/>
              <w:rPr>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proofErr w:type="gramStart"/>
            <w:r>
              <w:rPr>
                <w:rFonts w:hint="cs"/>
                <w:b/>
                <w:bCs/>
                <w:sz w:val="30"/>
                <w:rtl/>
              </w:rPr>
              <w:t>الاجتماع</w:t>
            </w:r>
            <w:proofErr w:type="gramEnd"/>
            <w:r>
              <w:rPr>
                <w:rFonts w:hint="cs"/>
                <w:b/>
                <w:bCs/>
                <w:sz w:val="30"/>
                <w:rtl/>
              </w:rPr>
              <w:t xml:space="preserve">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proofErr w:type="gramStart"/>
            <w:r>
              <w:rPr>
                <w:rFonts w:ascii="Traditional Arabic" w:hAnsi="Traditional Arabic" w:hint="cs"/>
                <w:sz w:val="30"/>
                <w:rtl/>
              </w:rPr>
              <w:t>أيلول</w:t>
            </w:r>
            <w:proofErr w:type="gramEnd"/>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Pr="00252FE5" w:rsidRDefault="00934FB6" w:rsidP="00BA111A">
            <w:pPr>
              <w:bidi/>
              <w:spacing w:line="360" w:lineRule="exact"/>
              <w:ind w:left="142"/>
              <w:jc w:val="both"/>
              <w:rPr>
                <w:b/>
                <w:bCs/>
                <w:sz w:val="28"/>
                <w:szCs w:val="28"/>
                <w:rtl/>
              </w:rPr>
            </w:pPr>
            <w:r>
              <w:rPr>
                <w:rFonts w:ascii="Traditional Arabic" w:hAnsi="Traditional Arabic" w:hint="cs"/>
                <w:sz w:val="30"/>
                <w:rtl/>
              </w:rPr>
              <w:t xml:space="preserve">البند </w:t>
            </w:r>
            <w:r w:rsidR="00BA111A">
              <w:rPr>
                <w:rFonts w:ascii="Traditional Arabic" w:hAnsi="Traditional Arabic" w:hint="cs"/>
                <w:sz w:val="30"/>
                <w:rtl/>
              </w:rPr>
              <w:t>4</w:t>
            </w:r>
            <w:r>
              <w:rPr>
                <w:rFonts w:ascii="Traditional Arabic" w:hAnsi="Traditional Arabic" w:hint="cs"/>
                <w:sz w:val="30"/>
                <w:rtl/>
              </w:rPr>
              <w:t xml:space="preserve"> </w:t>
            </w:r>
            <w:proofErr w:type="gramStart"/>
            <w:r>
              <w:rPr>
                <w:rFonts w:ascii="Traditional Arabic" w:hAnsi="Traditional Arabic" w:hint="cs"/>
                <w:sz w:val="30"/>
                <w:rtl/>
              </w:rPr>
              <w:t>من</w:t>
            </w:r>
            <w:proofErr w:type="gramEnd"/>
            <w:r>
              <w:rPr>
                <w:rFonts w:ascii="Traditional Arabic" w:hAnsi="Traditional Arabic" w:hint="cs"/>
                <w:sz w:val="30"/>
                <w:rtl/>
              </w:rPr>
              <w:t xml:space="preserve"> جدول الأعمال المؤقت</w:t>
            </w:r>
            <w:r w:rsidRPr="00980912">
              <w:rPr>
                <w:rStyle w:val="FootnoteReference"/>
                <w:rFonts w:cs="Times New Roman"/>
                <w:sz w:val="24"/>
                <w:szCs w:val="24"/>
                <w:rtl/>
              </w:rPr>
              <w:footnoteReference w:customMarkFollows="1" w:id="1"/>
              <w:t>*</w:t>
            </w:r>
          </w:p>
        </w:tc>
      </w:tr>
    </w:tbl>
    <w:p w:rsidR="00D113A9" w:rsidRPr="00BA111A" w:rsidRDefault="00BA111A" w:rsidP="000347C0">
      <w:pPr>
        <w:pStyle w:val="Title"/>
        <w:spacing w:after="360" w:line="340" w:lineRule="exact"/>
        <w:ind w:left="284" w:right="5387"/>
        <w:jc w:val="both"/>
        <w:rPr>
          <w:rFonts w:cs="Traditional Arabic"/>
          <w:b/>
          <w:bCs/>
          <w:sz w:val="28"/>
          <w:u w:val="none"/>
          <w:rtl/>
        </w:rPr>
      </w:pPr>
      <w:r w:rsidRPr="00BA111A">
        <w:rPr>
          <w:rFonts w:ascii="Traditional Arabic" w:hAnsi="Traditional Arabic" w:cs="Traditional Arabic"/>
          <w:b/>
          <w:bCs/>
          <w:sz w:val="28"/>
          <w:u w:val="none"/>
          <w:rtl/>
          <w:lang w:eastAsia="zh-TW"/>
        </w:rPr>
        <w:t>تقرير عن إنجازات لجنة التفاوض الحكومية الدولية لإعداد صك عالمي ملزم قانوناً بشأن الزئبق</w:t>
      </w:r>
    </w:p>
    <w:p w:rsidR="00FD6629" w:rsidRPr="00FD6629" w:rsidRDefault="00FD6629" w:rsidP="000347C0">
      <w:pPr>
        <w:pStyle w:val="BBTitle"/>
        <w:bidi/>
        <w:spacing w:before="0" w:after="360" w:line="400" w:lineRule="exact"/>
        <w:ind w:left="1134" w:right="0"/>
        <w:jc w:val="both"/>
        <w:textDirection w:val="tbRlV"/>
        <w:rPr>
          <w:rFonts w:cs="Traditional Arabic"/>
          <w:b w:val="0"/>
          <w:bCs/>
          <w:sz w:val="34"/>
          <w:szCs w:val="34"/>
          <w:rtl/>
          <w:lang w:eastAsia="zh-TW"/>
        </w:rPr>
      </w:pPr>
      <w:r w:rsidRPr="00FD6629">
        <w:rPr>
          <w:rFonts w:ascii="Traditional Arabic" w:hAnsi="Traditional Arabic" w:cs="Traditional Arabic"/>
          <w:b w:val="0"/>
          <w:bCs/>
          <w:sz w:val="34"/>
          <w:szCs w:val="34"/>
          <w:rtl/>
          <w:lang w:eastAsia="zh-TW"/>
        </w:rPr>
        <w:t xml:space="preserve">تقرير عن </w:t>
      </w:r>
      <w:r w:rsidRPr="00FD6629">
        <w:rPr>
          <w:rFonts w:cs="Traditional Arabic"/>
          <w:b w:val="0"/>
          <w:bCs/>
          <w:sz w:val="34"/>
          <w:szCs w:val="34"/>
          <w:rtl/>
          <w:lang w:eastAsia="zh-TW"/>
        </w:rPr>
        <w:t>إنجازات لجنة التفاوض الحكومية الدولية لإعداد صك عالمي ملزم قانوناً بشأن الزئبق</w:t>
      </w:r>
    </w:p>
    <w:p w:rsidR="00FD6629" w:rsidRPr="00FD6629" w:rsidRDefault="00FD6629" w:rsidP="00FD6629">
      <w:pPr>
        <w:pStyle w:val="CH2"/>
        <w:bidi/>
        <w:spacing w:before="0" w:line="400" w:lineRule="exact"/>
        <w:ind w:left="1134" w:right="0" w:firstLine="0"/>
        <w:jc w:val="both"/>
        <w:textDirection w:val="tbRlV"/>
        <w:rPr>
          <w:rFonts w:cs="Traditional Arabic"/>
          <w:bCs/>
          <w:sz w:val="32"/>
          <w:szCs w:val="32"/>
          <w:rtl/>
          <w:lang w:eastAsia="zh-TW"/>
        </w:rPr>
      </w:pPr>
      <w:proofErr w:type="gramStart"/>
      <w:r w:rsidRPr="00FD6629">
        <w:rPr>
          <w:rFonts w:cs="Traditional Arabic"/>
          <w:bCs/>
          <w:sz w:val="32"/>
          <w:szCs w:val="32"/>
          <w:rtl/>
          <w:lang w:eastAsia="zh-TW"/>
        </w:rPr>
        <w:t>مذكرة</w:t>
      </w:r>
      <w:proofErr w:type="gramEnd"/>
      <w:r w:rsidRPr="00FD6629">
        <w:rPr>
          <w:rFonts w:cs="Traditional Arabic"/>
          <w:bCs/>
          <w:sz w:val="32"/>
          <w:szCs w:val="32"/>
          <w:rtl/>
          <w:lang w:eastAsia="zh-TW"/>
        </w:rPr>
        <w:t xml:space="preserve"> من الأمانة</w:t>
      </w:r>
    </w:p>
    <w:p w:rsidR="00FD6629" w:rsidRPr="00FD6629" w:rsidRDefault="00FD6629" w:rsidP="00C97376">
      <w:pPr>
        <w:pStyle w:val="Normalnumber"/>
        <w:numPr>
          <w:ilvl w:val="0"/>
          <w:numId w:val="20"/>
        </w:numPr>
        <w:tabs>
          <w:tab w:val="left" w:pos="1699"/>
        </w:tabs>
        <w:bidi/>
        <w:spacing w:line="400" w:lineRule="exact"/>
        <w:ind w:left="1132" w:firstLine="0"/>
        <w:jc w:val="both"/>
        <w:textDirection w:val="tbRlV"/>
        <w:rPr>
          <w:rFonts w:cs="Traditional Arabic"/>
          <w:szCs w:val="30"/>
          <w:rtl/>
          <w:lang w:eastAsia="zh-TW"/>
        </w:rPr>
      </w:pPr>
      <w:r w:rsidRPr="00FD6629">
        <w:rPr>
          <w:rFonts w:cs="Traditional Arabic"/>
          <w:szCs w:val="30"/>
          <w:rtl/>
          <w:lang w:eastAsia="zh-TW"/>
        </w:rPr>
        <w:t>تتشرف الأمانة بأن تقدم في مرفق هذه المذكرة موجزا</w:t>
      </w:r>
      <w:r w:rsidR="008C3857">
        <w:rPr>
          <w:rFonts w:cs="Traditional Arabic" w:hint="cs"/>
          <w:szCs w:val="30"/>
          <w:rtl/>
          <w:lang w:eastAsia="zh-TW"/>
        </w:rPr>
        <w:t>ً</w:t>
      </w:r>
      <w:r w:rsidRPr="00FD6629">
        <w:rPr>
          <w:rFonts w:cs="Traditional Arabic"/>
          <w:szCs w:val="30"/>
          <w:rtl/>
          <w:lang w:eastAsia="zh-TW"/>
        </w:rPr>
        <w:t xml:space="preserve"> للأعمال التي اضطلعت بها لجنة التفاوض الحكومية الدولية لإعداد صك عالمي ملزم قانونا</w:t>
      </w:r>
      <w:r w:rsidR="008C3857">
        <w:rPr>
          <w:rFonts w:cs="Traditional Arabic" w:hint="cs"/>
          <w:szCs w:val="30"/>
          <w:rtl/>
          <w:lang w:eastAsia="zh-TW"/>
        </w:rPr>
        <w:t>ً</w:t>
      </w:r>
      <w:r w:rsidRPr="00FD6629">
        <w:rPr>
          <w:rFonts w:cs="Traditional Arabic"/>
          <w:szCs w:val="30"/>
          <w:rtl/>
          <w:lang w:eastAsia="zh-TW"/>
        </w:rPr>
        <w:t xml:space="preserve"> بشأن الزئبق، المنشأة بموجب المقرر 25/5 لمجلس إدارة برنامج الأمم المتحدة للبيئة. ويغطي التقرير الفترة الممتدة من الدورة الأولى للجنة المعقودة في حزيران/يونيه ٢٠١٠ إلى الاجتماع الأول لمؤتمر الأطراف في اتفاقية ميناماتا بشأن الزئب</w:t>
      </w:r>
      <w:r w:rsidR="00C97376">
        <w:rPr>
          <w:rFonts w:cs="Traditional Arabic"/>
          <w:szCs w:val="30"/>
          <w:rtl/>
          <w:lang w:eastAsia="zh-TW"/>
        </w:rPr>
        <w:t>ق المعقود في أيلول/سبتمبر ٢٠١٧.</w:t>
      </w:r>
    </w:p>
    <w:p w:rsidR="00FD6629" w:rsidRPr="00FD6629" w:rsidRDefault="00FD6629" w:rsidP="00C97376">
      <w:pPr>
        <w:pStyle w:val="Normalnumber"/>
        <w:numPr>
          <w:ilvl w:val="0"/>
          <w:numId w:val="20"/>
        </w:numPr>
        <w:tabs>
          <w:tab w:val="left" w:pos="1699"/>
        </w:tabs>
        <w:bidi/>
        <w:spacing w:line="400" w:lineRule="exact"/>
        <w:ind w:left="1132" w:firstLine="0"/>
        <w:jc w:val="both"/>
        <w:textDirection w:val="tbRlV"/>
        <w:rPr>
          <w:rFonts w:cs="Traditional Arabic"/>
          <w:szCs w:val="30"/>
          <w:rtl/>
          <w:lang w:eastAsia="zh-TW"/>
        </w:rPr>
      </w:pPr>
      <w:proofErr w:type="gramStart"/>
      <w:r w:rsidRPr="00FD6629">
        <w:rPr>
          <w:rFonts w:cs="Traditional Arabic"/>
          <w:szCs w:val="30"/>
          <w:rtl/>
          <w:lang w:eastAsia="zh-TW"/>
        </w:rPr>
        <w:t>وقد</w:t>
      </w:r>
      <w:proofErr w:type="gramEnd"/>
      <w:r w:rsidRPr="00FD6629">
        <w:rPr>
          <w:rFonts w:cs="Traditional Arabic"/>
          <w:szCs w:val="30"/>
          <w:rtl/>
          <w:lang w:eastAsia="zh-TW"/>
        </w:rPr>
        <w:t xml:space="preserve"> يود مؤتمر الأطراف أن يحيط علما</w:t>
      </w:r>
      <w:r w:rsidR="008C3857">
        <w:rPr>
          <w:rFonts w:cs="Traditional Arabic" w:hint="cs"/>
          <w:szCs w:val="30"/>
          <w:rtl/>
          <w:lang w:eastAsia="zh-TW"/>
        </w:rPr>
        <w:t>ً</w:t>
      </w:r>
      <w:r w:rsidRPr="00FD6629">
        <w:rPr>
          <w:rFonts w:cs="Traditional Arabic"/>
          <w:szCs w:val="30"/>
          <w:rtl/>
          <w:lang w:eastAsia="zh-TW"/>
        </w:rPr>
        <w:t xml:space="preserve"> بالتقرير ويُعرب عن تقديره للجنة التفاوض الحكومية الدولية لكل ما حققته من إنجازات.</w:t>
      </w:r>
    </w:p>
    <w:p w:rsidR="00FD6629" w:rsidRPr="00FD6629" w:rsidRDefault="00FD6629" w:rsidP="00FD6629">
      <w:pPr>
        <w:bidi/>
        <w:spacing w:after="120" w:line="400" w:lineRule="exact"/>
        <w:ind w:left="1134"/>
        <w:jc w:val="both"/>
        <w:rPr>
          <w:rtl/>
          <w:lang w:eastAsia="zh-TW"/>
        </w:rPr>
      </w:pPr>
      <w:r w:rsidRPr="00FD6629">
        <w:rPr>
          <w:rtl/>
          <w:lang w:eastAsia="zh-TW"/>
        </w:rPr>
        <w:br w:type="page"/>
      </w:r>
    </w:p>
    <w:p w:rsidR="00FD6629" w:rsidRPr="00C97376" w:rsidRDefault="00FD6629" w:rsidP="00C97376">
      <w:pPr>
        <w:pStyle w:val="ZZAnxheader"/>
        <w:tabs>
          <w:tab w:val="clear" w:pos="1247"/>
          <w:tab w:val="clear" w:pos="1814"/>
          <w:tab w:val="clear" w:pos="2381"/>
          <w:tab w:val="clear" w:pos="2948"/>
          <w:tab w:val="clear" w:pos="3515"/>
        </w:tabs>
        <w:bidi/>
        <w:spacing w:after="120" w:line="400" w:lineRule="exact"/>
        <w:ind w:left="-2"/>
        <w:jc w:val="both"/>
        <w:textDirection w:val="tbRlV"/>
        <w:rPr>
          <w:rFonts w:cs="Traditional Arabic"/>
          <w:sz w:val="34"/>
          <w:szCs w:val="34"/>
          <w:rtl/>
          <w:lang w:eastAsia="zh-TW"/>
        </w:rPr>
      </w:pPr>
      <w:r w:rsidRPr="00C97376">
        <w:rPr>
          <w:rFonts w:cs="Traditional Arabic"/>
          <w:sz w:val="34"/>
          <w:szCs w:val="34"/>
          <w:rtl/>
          <w:lang w:eastAsia="zh-TW"/>
        </w:rPr>
        <w:lastRenderedPageBreak/>
        <w:t>المرفق</w:t>
      </w:r>
    </w:p>
    <w:p w:rsidR="00FD6629" w:rsidRPr="00C97376" w:rsidRDefault="00FD6629" w:rsidP="00C97376">
      <w:pPr>
        <w:pStyle w:val="ZZAnxtitle"/>
        <w:bidi/>
        <w:spacing w:before="0" w:after="240" w:line="400" w:lineRule="exact"/>
        <w:ind w:left="1134"/>
        <w:jc w:val="both"/>
        <w:textDirection w:val="tbRlV"/>
        <w:rPr>
          <w:rFonts w:cs="Traditional Arabic"/>
          <w:sz w:val="32"/>
          <w:szCs w:val="32"/>
          <w:rtl/>
          <w:lang w:eastAsia="zh-TW"/>
        </w:rPr>
      </w:pPr>
      <w:r w:rsidRPr="00C97376">
        <w:rPr>
          <w:rFonts w:cs="Traditional Arabic"/>
          <w:sz w:val="32"/>
          <w:szCs w:val="32"/>
          <w:rtl/>
          <w:lang w:eastAsia="zh-TW"/>
        </w:rPr>
        <w:t>تقرير عن إنجازات لجنة التفاوض الحكومية الدولية لإعداد صك عالمي ملزم قانوناً بشأن الزئبق</w:t>
      </w:r>
    </w:p>
    <w:p w:rsidR="00FD6629" w:rsidRPr="00C97376" w:rsidRDefault="00C97376" w:rsidP="00C97376">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852"/>
        <w:jc w:val="both"/>
        <w:textDirection w:val="tbRlV"/>
        <w:rPr>
          <w:rFonts w:cs="Traditional Arabic"/>
          <w:bCs/>
          <w:sz w:val="32"/>
          <w:szCs w:val="32"/>
          <w:rtl/>
          <w:lang w:eastAsia="zh-TW"/>
        </w:rPr>
      </w:pPr>
      <w:r>
        <w:rPr>
          <w:rFonts w:cs="Traditional Arabic" w:hint="cs"/>
          <w:bCs/>
          <w:sz w:val="32"/>
          <w:szCs w:val="32"/>
          <w:rtl/>
          <w:lang w:eastAsia="zh-TW"/>
        </w:rPr>
        <w:t>أولاً-</w:t>
      </w:r>
      <w:r>
        <w:rPr>
          <w:rFonts w:cs="Traditional Arabic" w:hint="cs"/>
          <w:bCs/>
          <w:sz w:val="32"/>
          <w:szCs w:val="32"/>
          <w:rtl/>
          <w:lang w:eastAsia="zh-TW"/>
        </w:rPr>
        <w:tab/>
      </w:r>
      <w:proofErr w:type="gramStart"/>
      <w:r w:rsidR="00FD6629" w:rsidRPr="00C97376">
        <w:rPr>
          <w:rFonts w:cs="Traditional Arabic"/>
          <w:bCs/>
          <w:sz w:val="32"/>
          <w:szCs w:val="32"/>
          <w:rtl/>
          <w:lang w:eastAsia="zh-TW"/>
        </w:rPr>
        <w:t>مقدمة</w:t>
      </w:r>
      <w:proofErr w:type="gramEnd"/>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جرى النظر في أنسب آلية لمعالجة مسألة الزئبق العالمية خلال الفترة من عام ٢٠٠٧ إلى عام ٢٠٠٩، وشمل</w:t>
      </w:r>
      <w:r w:rsidRPr="00FD6629">
        <w:rPr>
          <w:rFonts w:cs="Traditional Arabic" w:hint="cs"/>
          <w:szCs w:val="30"/>
          <w:rtl/>
          <w:lang w:eastAsia="zh-TW"/>
        </w:rPr>
        <w:t>ت العملية في نفس الوقت</w:t>
      </w:r>
      <w:r w:rsidRPr="00FD6629">
        <w:rPr>
          <w:rFonts w:cs="Traditional Arabic"/>
          <w:szCs w:val="30"/>
          <w:rtl/>
          <w:lang w:eastAsia="zh-TW"/>
        </w:rPr>
        <w:t xml:space="preserve"> النهج الطوعية والملزمة قانونا</w:t>
      </w:r>
      <w:r w:rsidR="008C3857">
        <w:rPr>
          <w:rFonts w:cs="Traditional Arabic" w:hint="cs"/>
          <w:szCs w:val="30"/>
          <w:rtl/>
          <w:lang w:eastAsia="zh-TW"/>
        </w:rPr>
        <w:t>ً</w:t>
      </w:r>
      <w:r w:rsidRPr="00FD6629">
        <w:rPr>
          <w:rFonts w:cs="Traditional Arabic"/>
          <w:szCs w:val="30"/>
          <w:rtl/>
          <w:lang w:eastAsia="zh-TW"/>
        </w:rPr>
        <w:t>. وفي شباط/فبراير ٢٠٠٩ طلب مجلس إدارة برنامج الأمم المتحدة للبيئة إلى المدير التنفيذي تشكيل لجنة تفاوض حكومية دولية تُكلف بمهمة إعداد صك عالمي ملزم قانونا</w:t>
      </w:r>
      <w:r w:rsidR="008C3857">
        <w:rPr>
          <w:rFonts w:cs="Traditional Arabic" w:hint="cs"/>
          <w:szCs w:val="30"/>
          <w:rtl/>
          <w:lang w:eastAsia="zh-TW"/>
        </w:rPr>
        <w:t>ً</w:t>
      </w:r>
      <w:r w:rsidRPr="00FD6629">
        <w:rPr>
          <w:rFonts w:cs="Traditional Arabic"/>
          <w:szCs w:val="30"/>
          <w:rtl/>
          <w:lang w:eastAsia="zh-TW"/>
        </w:rPr>
        <w:t xml:space="preserve"> بشأن الزئبق. </w:t>
      </w:r>
      <w:proofErr w:type="gramStart"/>
      <w:r w:rsidRPr="00FD6629">
        <w:rPr>
          <w:rFonts w:cs="Traditional Arabic"/>
          <w:szCs w:val="30"/>
          <w:rtl/>
          <w:lang w:eastAsia="zh-TW"/>
        </w:rPr>
        <w:t>وأكد</w:t>
      </w:r>
      <w:proofErr w:type="gramEnd"/>
      <w:r w:rsidRPr="00FD6629">
        <w:rPr>
          <w:rFonts w:cs="Traditional Arabic"/>
          <w:szCs w:val="30"/>
          <w:rtl/>
          <w:lang w:eastAsia="zh-TW"/>
        </w:rPr>
        <w:t xml:space="preserve"> مجلس الإدارة مجددا</w:t>
      </w:r>
      <w:r w:rsidR="008C3857">
        <w:rPr>
          <w:rFonts w:cs="Traditional Arabic" w:hint="cs"/>
          <w:szCs w:val="30"/>
          <w:rtl/>
          <w:lang w:eastAsia="zh-TW"/>
        </w:rPr>
        <w:t>ً</w:t>
      </w:r>
      <w:r w:rsidRPr="00FD6629">
        <w:rPr>
          <w:rFonts w:cs="Traditional Arabic"/>
          <w:szCs w:val="30"/>
          <w:rtl/>
          <w:lang w:eastAsia="zh-TW"/>
        </w:rPr>
        <w:t xml:space="preserve"> في مقرره ٢٦/٣ الصادر في ٢٤ شباط/فبراير ٢٠١١ على ولاية اللجنة المبينة في الجزء الثالث من مقرره ٢٥/٥؛ وكان القراران السابقان، وهما القراران 23/9 و24/3، قد مهدا الطريق لبدء عملية التفاوض.</w:t>
      </w:r>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proofErr w:type="gramStart"/>
      <w:r w:rsidRPr="00FD6629">
        <w:rPr>
          <w:rFonts w:cs="Traditional Arabic"/>
          <w:szCs w:val="30"/>
          <w:rtl/>
          <w:lang w:eastAsia="zh-TW"/>
        </w:rPr>
        <w:t>ونص</w:t>
      </w:r>
      <w:proofErr w:type="gramEnd"/>
      <w:r w:rsidRPr="00FD6629">
        <w:rPr>
          <w:rFonts w:cs="Traditional Arabic"/>
          <w:szCs w:val="30"/>
          <w:rtl/>
          <w:lang w:eastAsia="zh-TW"/>
        </w:rPr>
        <w:t xml:space="preserve"> المقرر 25/5 على أن تنجز اللجنة عملها قبل الدورة العادية السابعة والعشرين لمجلس الإدارة المقرر عقدها في عام ٢٠١٣. وتمشيا</w:t>
      </w:r>
      <w:r w:rsidR="008C3857">
        <w:rPr>
          <w:rFonts w:cs="Traditional Arabic" w:hint="cs"/>
          <w:szCs w:val="30"/>
          <w:rtl/>
          <w:lang w:eastAsia="zh-TW"/>
        </w:rPr>
        <w:t>ً</w:t>
      </w:r>
      <w:r w:rsidRPr="00FD6629">
        <w:rPr>
          <w:rFonts w:cs="Traditional Arabic"/>
          <w:szCs w:val="30"/>
          <w:rtl/>
          <w:lang w:eastAsia="zh-TW"/>
        </w:rPr>
        <w:t xml:space="preserve"> مع تلك </w:t>
      </w:r>
      <w:proofErr w:type="gramStart"/>
      <w:r w:rsidRPr="00FD6629">
        <w:rPr>
          <w:rFonts w:cs="Traditional Arabic"/>
          <w:szCs w:val="30"/>
          <w:rtl/>
          <w:lang w:eastAsia="zh-TW"/>
        </w:rPr>
        <w:t>الولاية</w:t>
      </w:r>
      <w:proofErr w:type="gramEnd"/>
      <w:r w:rsidRPr="00FD6629">
        <w:rPr>
          <w:rFonts w:cs="Traditional Arabic"/>
          <w:szCs w:val="30"/>
          <w:rtl/>
          <w:lang w:eastAsia="zh-TW"/>
        </w:rPr>
        <w:t xml:space="preserve">، عقدت اللجنة خمس دورات. وتوصلت اللجنة في دورتها الخامسة إلى اتفاق بخصوص الصيغة النهائية لنص مشروع اتفاقية ميناماتا بشأن الزئبق، التي اعتُمدت وفتح باب التوقيع عليها خلال مؤتمر دبلوماسي عقد في </w:t>
      </w:r>
      <w:proofErr w:type="spellStart"/>
      <w:r w:rsidRPr="00FD6629">
        <w:rPr>
          <w:rFonts w:cs="Traditional Arabic"/>
          <w:szCs w:val="30"/>
          <w:rtl/>
          <w:lang w:eastAsia="zh-TW"/>
        </w:rPr>
        <w:t>كوماموتو</w:t>
      </w:r>
      <w:proofErr w:type="spellEnd"/>
      <w:r w:rsidRPr="00FD6629">
        <w:rPr>
          <w:rFonts w:cs="Traditional Arabic"/>
          <w:szCs w:val="30"/>
          <w:rtl/>
          <w:lang w:eastAsia="zh-TW"/>
        </w:rPr>
        <w:t xml:space="preserve"> باليابان في تشرين الأول/أكتوبر ٢٠١٣. ثم عقدت اللجنة اجتماعين، أحدهما في بانكوك في تشرين الثاني/نوفمبر ٢٠١٤، والثاني في البحر الميت بالأردن في آذار/مارس ٢٠١٦، لتيسير التعجيل بدخول الاتفاقية حيز النفاذ وتنفيذها على نحو فعال بعد دخولها حيز النفاذ.</w:t>
      </w:r>
    </w:p>
    <w:p w:rsidR="00FD6629" w:rsidRPr="00C97376" w:rsidRDefault="00C97376" w:rsidP="00C97376">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852"/>
        <w:jc w:val="both"/>
        <w:textDirection w:val="tbRlV"/>
        <w:rPr>
          <w:rFonts w:cs="Traditional Arabic"/>
          <w:bCs/>
          <w:sz w:val="32"/>
          <w:szCs w:val="32"/>
          <w:rtl/>
          <w:lang w:eastAsia="zh-TW"/>
        </w:rPr>
      </w:pPr>
      <w:r>
        <w:rPr>
          <w:rFonts w:cs="Traditional Arabic" w:hint="cs"/>
          <w:bCs/>
          <w:sz w:val="32"/>
          <w:szCs w:val="32"/>
          <w:rtl/>
          <w:lang w:eastAsia="zh-TW"/>
        </w:rPr>
        <w:t>ثانياً-</w:t>
      </w:r>
      <w:r w:rsidR="00FD6629" w:rsidRPr="00C97376">
        <w:rPr>
          <w:rFonts w:cs="Traditional Arabic"/>
          <w:bCs/>
          <w:sz w:val="32"/>
          <w:szCs w:val="32"/>
          <w:rtl/>
          <w:lang w:eastAsia="zh-TW"/>
        </w:rPr>
        <w:tab/>
        <w:t>وضع صك ملزم قانونا</w:t>
      </w:r>
      <w:r w:rsidR="008C3857">
        <w:rPr>
          <w:rFonts w:cs="Traditional Arabic" w:hint="cs"/>
          <w:bCs/>
          <w:sz w:val="32"/>
          <w:szCs w:val="32"/>
          <w:rtl/>
          <w:lang w:eastAsia="zh-TW"/>
        </w:rPr>
        <w:t>ً</w:t>
      </w:r>
      <w:r w:rsidR="00FD6629" w:rsidRPr="00C97376">
        <w:rPr>
          <w:rFonts w:cs="Traditional Arabic"/>
          <w:bCs/>
          <w:sz w:val="32"/>
          <w:szCs w:val="32"/>
          <w:rtl/>
          <w:lang w:eastAsia="zh-TW"/>
        </w:rPr>
        <w:t xml:space="preserve"> بشأن الزئبق</w:t>
      </w:r>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شكلت الدورة الأولى للجنة، المعقودة في استكهولم في الفترة من 7 إلى 11 حزيران/يونيه ٢٠١٠، نقطة الانطلاق الرسمية للمفاوضات، وذلك باعتماد النظام الداخلي الذي سينظم عمل اللجنة، وانتخاب رئيسها فرناندو لوغريس (أوروغواي) وتسعة نواب للرئيس، يشكلون معا</w:t>
      </w:r>
      <w:r w:rsidR="008C3857">
        <w:rPr>
          <w:rFonts w:cs="Traditional Arabic" w:hint="cs"/>
          <w:szCs w:val="30"/>
          <w:rtl/>
          <w:lang w:eastAsia="zh-TW"/>
        </w:rPr>
        <w:t>ً</w:t>
      </w:r>
      <w:r w:rsidRPr="00FD6629">
        <w:rPr>
          <w:rFonts w:cs="Traditional Arabic"/>
          <w:szCs w:val="30"/>
          <w:rtl/>
          <w:lang w:eastAsia="zh-TW"/>
        </w:rPr>
        <w:t xml:space="preserve"> مكتب اللجنة. ثم أُتيحت الفرصة للمندوبين لعرض آرائهم بصورة أولية عن كل من الأحكام المدرجة في الولاية التفاوضية. واختتمت اللجنة عملها بأن طلبت إلى الأمانة إعداد وثائق إضافية لدعم المناقشة خلال الدورة الثانية للجنة، بما في ذلك ورقة تتضمن مشروع العناصر المحتملة للإطار الشامل والمناسب بشأن الزئبق ع</w:t>
      </w:r>
      <w:r w:rsidR="00C97376">
        <w:rPr>
          <w:rFonts w:cs="Traditional Arabic"/>
          <w:szCs w:val="30"/>
          <w:rtl/>
          <w:lang w:eastAsia="zh-TW"/>
        </w:rPr>
        <w:t>لى نحو ما دعا إليه المقرر 25/5.</w:t>
      </w:r>
    </w:p>
    <w:p w:rsidR="00FD6629" w:rsidRPr="00FD6629" w:rsidRDefault="00FD6629" w:rsidP="008C3857">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وأجرت اللجنة استعراضا</w:t>
      </w:r>
      <w:r w:rsidR="008C3857">
        <w:rPr>
          <w:rFonts w:cs="Traditional Arabic" w:hint="cs"/>
          <w:szCs w:val="30"/>
          <w:rtl/>
          <w:lang w:eastAsia="zh-TW"/>
        </w:rPr>
        <w:t>ً</w:t>
      </w:r>
      <w:r w:rsidRPr="00FD6629">
        <w:rPr>
          <w:rFonts w:cs="Traditional Arabic"/>
          <w:szCs w:val="30"/>
          <w:rtl/>
          <w:lang w:eastAsia="zh-TW"/>
        </w:rPr>
        <w:t xml:space="preserve"> شاملا</w:t>
      </w:r>
      <w:r w:rsidR="008C3857">
        <w:rPr>
          <w:rFonts w:cs="Traditional Arabic" w:hint="cs"/>
          <w:szCs w:val="30"/>
          <w:rtl/>
          <w:lang w:eastAsia="zh-TW"/>
        </w:rPr>
        <w:t>ً</w:t>
      </w:r>
      <w:r w:rsidRPr="00FD6629">
        <w:rPr>
          <w:rFonts w:cs="Traditional Arabic"/>
          <w:szCs w:val="30"/>
          <w:rtl/>
          <w:lang w:eastAsia="zh-TW"/>
        </w:rPr>
        <w:t xml:space="preserve"> للصيغ المتعاقبة لمشاريع العناصر ومشروع النهج الشامل والمناسب لنص صك عالمي ملزم قانونا</w:t>
      </w:r>
      <w:r w:rsidR="008C3857">
        <w:rPr>
          <w:rFonts w:cs="Traditional Arabic" w:hint="cs"/>
          <w:szCs w:val="30"/>
          <w:rtl/>
          <w:lang w:eastAsia="zh-TW"/>
        </w:rPr>
        <w:t>ً</w:t>
      </w:r>
      <w:r w:rsidRPr="00FD6629">
        <w:rPr>
          <w:rFonts w:cs="Traditional Arabic"/>
          <w:szCs w:val="30"/>
          <w:rtl/>
          <w:lang w:eastAsia="zh-TW"/>
        </w:rPr>
        <w:t xml:space="preserve"> بشأن الزئبق في دوراتها الثانية المعقودة في شيبا باليابان في الفترة من 24 إلى 28 كانون الثاني/يناير 2011، والثالثة المعقودة في نيروبي في الفترة 31 من تشرين الأول/أكتوبر إلى 4 تشرين الثاني/نوفمبر 2011، والرابعة المعقودة في بونتا ديل </w:t>
      </w:r>
      <w:proofErr w:type="spellStart"/>
      <w:r w:rsidRPr="00FD6629">
        <w:rPr>
          <w:rFonts w:cs="Traditional Arabic"/>
          <w:szCs w:val="30"/>
          <w:rtl/>
          <w:lang w:eastAsia="zh-TW"/>
        </w:rPr>
        <w:t>إستي</w:t>
      </w:r>
      <w:proofErr w:type="spellEnd"/>
      <w:r w:rsidRPr="00FD6629">
        <w:rPr>
          <w:rFonts w:cs="Traditional Arabic"/>
          <w:szCs w:val="30"/>
          <w:rtl/>
          <w:lang w:eastAsia="zh-TW"/>
        </w:rPr>
        <w:t xml:space="preserve"> بأوروغواي في الفترة من 27 حزيران/يونيه إلى 2 تموز/يوليه 2012 (انظر الوث</w:t>
      </w:r>
      <w:r w:rsidRPr="00FD6629">
        <w:rPr>
          <w:rFonts w:cs="Traditional Arabic" w:hint="cs"/>
          <w:szCs w:val="30"/>
          <w:rtl/>
          <w:lang w:eastAsia="zh-TW"/>
        </w:rPr>
        <w:t>ائق</w:t>
      </w:r>
      <w:r w:rsidRPr="00FD6629">
        <w:rPr>
          <w:rFonts w:cs="Traditional Arabic"/>
          <w:szCs w:val="30"/>
          <w:rtl/>
          <w:lang w:eastAsia="zh-TW"/>
        </w:rPr>
        <w:t xml:space="preserve"> </w:t>
      </w:r>
      <w:r w:rsidRPr="00FD6629">
        <w:rPr>
          <w:rFonts w:cs="Traditional Arabic"/>
          <w:szCs w:val="30"/>
          <w:lang w:eastAsia="zh-TW"/>
        </w:rPr>
        <w:t>UNEP(DTIE)/Hg/INC.2/3</w:t>
      </w:r>
      <w:r w:rsidRPr="00FD6629">
        <w:rPr>
          <w:rFonts w:cs="Traditional Arabic" w:hint="cs"/>
          <w:szCs w:val="30"/>
          <w:rtl/>
          <w:lang w:eastAsia="zh-TW"/>
        </w:rPr>
        <w:t xml:space="preserve"> </w:t>
      </w:r>
      <w:proofErr w:type="gramStart"/>
      <w:r w:rsidRPr="00FD6629">
        <w:rPr>
          <w:rFonts w:cs="Traditional Arabic" w:hint="cs"/>
          <w:szCs w:val="30"/>
          <w:rtl/>
          <w:lang w:eastAsia="zh-TW"/>
        </w:rPr>
        <w:t>و</w:t>
      </w:r>
      <w:r w:rsidRPr="00FD6629">
        <w:rPr>
          <w:rFonts w:cs="Traditional Arabic"/>
          <w:szCs w:val="30"/>
          <w:lang w:eastAsia="zh-TW"/>
        </w:rPr>
        <w:t>UNEP(</w:t>
      </w:r>
      <w:proofErr w:type="gramEnd"/>
      <w:r w:rsidRPr="00FD6629">
        <w:rPr>
          <w:rFonts w:cs="Traditional Arabic"/>
          <w:szCs w:val="30"/>
          <w:lang w:eastAsia="zh-TW"/>
        </w:rPr>
        <w:t>DTIE)/Hg/INC.3/3</w:t>
      </w:r>
      <w:r w:rsidRPr="00FD6629">
        <w:rPr>
          <w:rFonts w:cs="Traditional Arabic"/>
          <w:szCs w:val="30"/>
          <w:rtl/>
          <w:lang w:eastAsia="zh-TW"/>
        </w:rPr>
        <w:t xml:space="preserve"> و</w:t>
      </w:r>
      <w:r w:rsidRPr="00FD6629">
        <w:rPr>
          <w:rFonts w:cs="Traditional Arabic"/>
          <w:szCs w:val="30"/>
          <w:lang w:eastAsia="zh-TW"/>
        </w:rPr>
        <w:t>UNEP(DTIE)/Hg/INC.4/3</w:t>
      </w:r>
      <w:r w:rsidRPr="00FD6629">
        <w:rPr>
          <w:rFonts w:cs="Traditional Arabic"/>
          <w:szCs w:val="30"/>
          <w:rtl/>
          <w:lang w:eastAsia="zh-TW"/>
        </w:rPr>
        <w:t>)، وهي صيغ أعدتها الأمانة لكل دورة على أساس الآراء المعرب عنها أثناء المناقشات و</w:t>
      </w:r>
      <w:r w:rsidRPr="00FD6629">
        <w:rPr>
          <w:rFonts w:cs="Traditional Arabic" w:hint="cs"/>
          <w:szCs w:val="30"/>
          <w:rtl/>
          <w:lang w:eastAsia="zh-TW"/>
        </w:rPr>
        <w:t>الآراء</w:t>
      </w:r>
      <w:r w:rsidRPr="00FD6629">
        <w:rPr>
          <w:rFonts w:cs="Traditional Arabic"/>
          <w:szCs w:val="30"/>
          <w:rtl/>
          <w:lang w:eastAsia="zh-TW"/>
        </w:rPr>
        <w:t xml:space="preserve"> المقدمة خطيا</w:t>
      </w:r>
      <w:r w:rsidR="008C3857">
        <w:rPr>
          <w:rFonts w:cs="Traditional Arabic" w:hint="cs"/>
          <w:szCs w:val="30"/>
          <w:rtl/>
          <w:lang w:eastAsia="zh-TW"/>
        </w:rPr>
        <w:t>ً</w:t>
      </w:r>
      <w:r w:rsidRPr="00FD6629">
        <w:rPr>
          <w:rFonts w:cs="Traditional Arabic"/>
          <w:szCs w:val="30"/>
          <w:rtl/>
          <w:lang w:eastAsia="zh-TW"/>
        </w:rPr>
        <w:t>. واختتمت اللجنة دورتها الرابعة بأن طلبت إلى الرئيس أن يُعد مشروع نص للرئيس لكي تنظر فيه في دورتها الخامسة، وهو عبارة عن صيغة لنص م</w:t>
      </w:r>
      <w:r w:rsidR="008C3857">
        <w:rPr>
          <w:rFonts w:cs="Traditional Arabic" w:hint="cs"/>
          <w:szCs w:val="30"/>
          <w:rtl/>
          <w:lang w:eastAsia="zh-TW"/>
        </w:rPr>
        <w:t>ش</w:t>
      </w:r>
      <w:r w:rsidRPr="00FD6629">
        <w:rPr>
          <w:rFonts w:cs="Traditional Arabic"/>
          <w:szCs w:val="30"/>
          <w:rtl/>
          <w:lang w:eastAsia="zh-TW"/>
        </w:rPr>
        <w:t>روع الصك بشأن الزئبق، اقترح فيه الرئيس نصا</w:t>
      </w:r>
      <w:r w:rsidR="008C3857">
        <w:rPr>
          <w:rFonts w:cs="Traditional Arabic" w:hint="cs"/>
          <w:szCs w:val="30"/>
          <w:rtl/>
          <w:lang w:eastAsia="zh-TW"/>
        </w:rPr>
        <w:t>ً</w:t>
      </w:r>
      <w:r w:rsidRPr="00FD6629">
        <w:rPr>
          <w:rFonts w:cs="Traditional Arabic"/>
          <w:szCs w:val="30"/>
          <w:rtl/>
          <w:lang w:eastAsia="zh-TW"/>
        </w:rPr>
        <w:t xml:space="preserve"> توافقيا</w:t>
      </w:r>
      <w:r w:rsidR="008C3857">
        <w:rPr>
          <w:rFonts w:cs="Traditional Arabic" w:hint="cs"/>
          <w:szCs w:val="30"/>
          <w:rtl/>
          <w:lang w:eastAsia="zh-TW"/>
        </w:rPr>
        <w:t>ً</w:t>
      </w:r>
      <w:r w:rsidRPr="00FD6629">
        <w:rPr>
          <w:rFonts w:cs="Traditional Arabic"/>
          <w:szCs w:val="30"/>
          <w:rtl/>
          <w:lang w:eastAsia="zh-TW"/>
        </w:rPr>
        <w:t xml:space="preserve"> سعى فيه إلى تضييق هوة الخلافات بين مختلف المواقف التي تبنتها الأطراف. </w:t>
      </w:r>
      <w:proofErr w:type="gramStart"/>
      <w:r w:rsidRPr="00FD6629">
        <w:rPr>
          <w:rFonts w:cs="Traditional Arabic"/>
          <w:szCs w:val="30"/>
          <w:rtl/>
          <w:lang w:eastAsia="zh-TW"/>
        </w:rPr>
        <w:t>وفي</w:t>
      </w:r>
      <w:proofErr w:type="gramEnd"/>
      <w:r w:rsidRPr="00FD6629">
        <w:rPr>
          <w:rFonts w:cs="Traditional Arabic"/>
          <w:szCs w:val="30"/>
          <w:rtl/>
          <w:lang w:eastAsia="zh-TW"/>
        </w:rPr>
        <w:t xml:space="preserve"> الدورة نفسها كلفت اللجنة الأمانة بإعداد مشروع عناصر الوثيقة الختامية المقرر اعتمادها خلال مؤتمر المفوضين الذي تم فيه اعتماد الاتفاقية وفتح باب التوقيع عليها. وكان من المقرر أن يتناول ذلك المشروع جملة أمور منها كيفية الترويج لصك الزئبق والتأهب لتنفيذه المبكر؛ وترتيبات الفترة الانتقالية الممتدة بين تاريخ توقيع الصك وتاريخ دخوله حيز النفاذ، بما في ذلك ترتيبات المساعدة المالية والتقنية خلال تلك الفترة؛ والترتيبات المتعلقة بالأمانة</w:t>
      </w:r>
      <w:r w:rsidRPr="00FD6629">
        <w:rPr>
          <w:rFonts w:cs="Traditional Arabic" w:hint="cs"/>
          <w:szCs w:val="30"/>
          <w:rtl/>
          <w:lang w:eastAsia="zh-TW"/>
        </w:rPr>
        <w:t>.</w:t>
      </w:r>
    </w:p>
    <w:p w:rsidR="00FD6629" w:rsidRPr="00FD6629" w:rsidRDefault="00FD6629" w:rsidP="008C3857">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 xml:space="preserve">وفي الدورة الخامسة المعقودة في جنيف في الفترة من 13 إلى 18 كانون الثاني/يناير ٢٠١٣، استخدمت اللجنة المشروع الذي أعده الرئيس (انظر </w:t>
      </w:r>
      <w:r w:rsidRPr="00FD6629">
        <w:rPr>
          <w:rFonts w:cs="Traditional Arabic"/>
          <w:szCs w:val="30"/>
          <w:lang w:eastAsia="zh-TW"/>
        </w:rPr>
        <w:t>UNEP(DTIE)/Hg/INC.5/3</w:t>
      </w:r>
      <w:r w:rsidRPr="00FD6629">
        <w:rPr>
          <w:rFonts w:cs="Traditional Arabic"/>
          <w:szCs w:val="30"/>
          <w:rtl/>
          <w:lang w:eastAsia="zh-TW"/>
        </w:rPr>
        <w:t>) كأساس للمناقشة. وسمح النص بسد عدد من الثغرات، مما أدى إلى إحراز تقدم سريع في بعض المجالات، و</w:t>
      </w:r>
      <w:r w:rsidR="008C3857">
        <w:rPr>
          <w:rFonts w:cs="Traditional Arabic" w:hint="cs"/>
          <w:szCs w:val="30"/>
          <w:rtl/>
          <w:lang w:eastAsia="zh-TW"/>
        </w:rPr>
        <w:t>تمخض</w:t>
      </w:r>
      <w:r w:rsidRPr="00FD6629">
        <w:rPr>
          <w:rFonts w:cs="Traditional Arabic"/>
          <w:szCs w:val="30"/>
          <w:rtl/>
          <w:lang w:eastAsia="zh-TW"/>
        </w:rPr>
        <w:t xml:space="preserve"> عن نص صك عالمي ملزم قانونا</w:t>
      </w:r>
      <w:r w:rsidR="008C3857">
        <w:rPr>
          <w:rFonts w:cs="Traditional Arabic" w:hint="cs"/>
          <w:szCs w:val="30"/>
          <w:rtl/>
          <w:lang w:eastAsia="zh-TW"/>
        </w:rPr>
        <w:t>ً</w:t>
      </w:r>
      <w:r w:rsidRPr="00FD6629">
        <w:rPr>
          <w:rFonts w:cs="Traditional Arabic"/>
          <w:szCs w:val="30"/>
          <w:rtl/>
          <w:lang w:eastAsia="zh-TW"/>
        </w:rPr>
        <w:t xml:space="preserve"> بشأن الزئبق بعد ساعات طويلة من المفاوضات، وبذلك وُلدت اتفاقية ميناماتا بشأن الزئبق. وطلبت اللجنة أيضا</w:t>
      </w:r>
      <w:r w:rsidR="008C3857">
        <w:rPr>
          <w:rFonts w:cs="Traditional Arabic" w:hint="cs"/>
          <w:szCs w:val="30"/>
          <w:rtl/>
          <w:lang w:eastAsia="zh-TW"/>
        </w:rPr>
        <w:t>ً</w:t>
      </w:r>
      <w:r w:rsidRPr="00FD6629">
        <w:rPr>
          <w:rFonts w:cs="Traditional Arabic"/>
          <w:szCs w:val="30"/>
          <w:rtl/>
          <w:lang w:eastAsia="zh-TW"/>
        </w:rPr>
        <w:t xml:space="preserve"> إلى الأمانة تحديث عناصر مشروع الوثيقة النهائية التي أعدتها </w:t>
      </w:r>
      <w:r w:rsidRPr="00FD6629">
        <w:rPr>
          <w:rFonts w:cs="Traditional Arabic" w:hint="cs"/>
          <w:szCs w:val="30"/>
          <w:rtl/>
          <w:lang w:eastAsia="zh-TW"/>
        </w:rPr>
        <w:t>في أعقاب</w:t>
      </w:r>
      <w:r w:rsidRPr="00FD6629">
        <w:rPr>
          <w:rFonts w:cs="Traditional Arabic"/>
          <w:szCs w:val="30"/>
          <w:rtl/>
          <w:lang w:eastAsia="zh-TW"/>
        </w:rPr>
        <w:t xml:space="preserve"> الدورة الرابعة (</w:t>
      </w:r>
      <w:proofErr w:type="gramStart"/>
      <w:r w:rsidRPr="00FD6629">
        <w:rPr>
          <w:rFonts w:cs="Traditional Arabic"/>
          <w:szCs w:val="30"/>
          <w:rtl/>
          <w:lang w:eastAsia="zh-TW"/>
        </w:rPr>
        <w:t>انظر</w:t>
      </w:r>
      <w:proofErr w:type="gramEnd"/>
      <w:r w:rsidRPr="00FD6629">
        <w:rPr>
          <w:rFonts w:cs="Traditional Arabic"/>
          <w:szCs w:val="30"/>
          <w:rtl/>
          <w:lang w:eastAsia="zh-TW"/>
        </w:rPr>
        <w:t xml:space="preserve"> </w:t>
      </w:r>
      <w:r w:rsidRPr="00FD6629">
        <w:rPr>
          <w:rFonts w:cs="Traditional Arabic"/>
          <w:szCs w:val="30"/>
          <w:lang w:eastAsia="zh-TW"/>
        </w:rPr>
        <w:t>UNEP(DTIE)/Hg/INC.5/6</w:t>
      </w:r>
      <w:r w:rsidR="00C97376">
        <w:rPr>
          <w:rFonts w:cs="Traditional Arabic"/>
          <w:szCs w:val="30"/>
          <w:rtl/>
          <w:lang w:eastAsia="zh-TW"/>
        </w:rPr>
        <w:t>).</w:t>
      </w:r>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 xml:space="preserve">وجرت الأعمال أثناء دورات اللجنة في هيئة جلسات عامة، إلى جانب الاجتماعات المصغرة، بما في ذلك أفرقة الاتصال والصياغة والأفرقة الأخرى. وخلال الدورة الثانية للجنة أنشئ فريق قانوني برئاسة سوزان </w:t>
      </w:r>
      <w:proofErr w:type="spellStart"/>
      <w:r w:rsidRPr="00FD6629">
        <w:rPr>
          <w:rFonts w:cs="Traditional Arabic"/>
          <w:szCs w:val="30"/>
          <w:rtl/>
          <w:lang w:eastAsia="zh-TW"/>
        </w:rPr>
        <w:t>بينياز</w:t>
      </w:r>
      <w:proofErr w:type="spellEnd"/>
      <w:r w:rsidRPr="00FD6629">
        <w:rPr>
          <w:rFonts w:cs="Traditional Arabic"/>
          <w:szCs w:val="30"/>
          <w:rtl/>
          <w:lang w:eastAsia="zh-TW"/>
        </w:rPr>
        <w:t xml:space="preserve"> (الولايات المتحدة الأمريكية) لدراسة العناصر التي تم التوصل إلى اتفاق جوهري بشأنها، لكفالة مراعاة نوايا اللجنة وتجسيدها على نحو صحيح قانونيا</w:t>
      </w:r>
      <w:r w:rsidR="008C3857">
        <w:rPr>
          <w:rFonts w:cs="Traditional Arabic" w:hint="cs"/>
          <w:szCs w:val="30"/>
          <w:rtl/>
          <w:lang w:eastAsia="zh-TW"/>
        </w:rPr>
        <w:t>ً</w:t>
      </w:r>
      <w:r w:rsidRPr="00FD6629">
        <w:rPr>
          <w:rFonts w:cs="Traditional Arabic"/>
          <w:szCs w:val="30"/>
          <w:rtl/>
          <w:lang w:eastAsia="zh-TW"/>
        </w:rPr>
        <w:t xml:space="preserve"> في نص العناصر الفردية وفي العلاقات بينها، مع </w:t>
      </w:r>
      <w:r w:rsidRPr="00FD6629">
        <w:rPr>
          <w:rFonts w:cs="Traditional Arabic" w:hint="cs"/>
          <w:szCs w:val="30"/>
          <w:rtl/>
          <w:lang w:eastAsia="zh-TW"/>
        </w:rPr>
        <w:t xml:space="preserve">تسليط الضوء على </w:t>
      </w:r>
      <w:r w:rsidRPr="00FD6629">
        <w:rPr>
          <w:rFonts w:cs="Traditional Arabic"/>
          <w:szCs w:val="30"/>
          <w:rtl/>
          <w:lang w:eastAsia="zh-TW"/>
        </w:rPr>
        <w:t>أي غموض أو تعارض محتمل يمكن أن يتطلبا مواصلة اللجنة النظر في المسألة. وقبل الدورة الخامسة للجنة، أعد الفريق القانوني مشاريع أحكام الصك استنادا</w:t>
      </w:r>
      <w:r w:rsidR="008C3857">
        <w:rPr>
          <w:rFonts w:cs="Traditional Arabic" w:hint="cs"/>
          <w:szCs w:val="30"/>
          <w:rtl/>
          <w:lang w:eastAsia="zh-TW"/>
        </w:rPr>
        <w:t>ً</w:t>
      </w:r>
      <w:r w:rsidRPr="00FD6629">
        <w:rPr>
          <w:rFonts w:cs="Traditional Arabic"/>
          <w:szCs w:val="30"/>
          <w:rtl/>
          <w:lang w:eastAsia="zh-TW"/>
        </w:rPr>
        <w:t xml:space="preserve"> إلى نهج السياسات التي وافقت عليها اللجنة؛ واستعرض مشاريع الأحكام التي أعدتها اللجنة والأفرقة الأخرى؛ ودرس مدى اتساق مختلف مشاريع الأحكام، مع مواءمتها حسب الاقتضاء؛ وأسد</w:t>
      </w:r>
      <w:r w:rsidRPr="00FD6629">
        <w:rPr>
          <w:rFonts w:cs="Traditional Arabic" w:hint="cs"/>
          <w:szCs w:val="30"/>
          <w:rtl/>
          <w:lang w:eastAsia="zh-TW"/>
        </w:rPr>
        <w:t>ى</w:t>
      </w:r>
      <w:r w:rsidRPr="00FD6629">
        <w:rPr>
          <w:rFonts w:cs="Traditional Arabic"/>
          <w:szCs w:val="30"/>
          <w:rtl/>
          <w:lang w:eastAsia="zh-TW"/>
        </w:rPr>
        <w:t xml:space="preserve"> المش</w:t>
      </w:r>
      <w:r w:rsidRPr="00FD6629">
        <w:rPr>
          <w:rFonts w:cs="Traditional Arabic" w:hint="cs"/>
          <w:szCs w:val="30"/>
          <w:rtl/>
          <w:lang w:eastAsia="zh-TW"/>
        </w:rPr>
        <w:t>و</w:t>
      </w:r>
      <w:r w:rsidRPr="00FD6629">
        <w:rPr>
          <w:rFonts w:cs="Traditional Arabic"/>
          <w:szCs w:val="30"/>
          <w:rtl/>
          <w:lang w:eastAsia="zh-TW"/>
        </w:rPr>
        <w:t xml:space="preserve">رة للجنة أو الأفرقة الأخرى بشأن أية مسائل قانونية تنشأ. </w:t>
      </w:r>
      <w:proofErr w:type="gramStart"/>
      <w:r w:rsidRPr="00FD6629">
        <w:rPr>
          <w:rFonts w:cs="Traditional Arabic"/>
          <w:szCs w:val="30"/>
          <w:rtl/>
          <w:lang w:eastAsia="zh-TW"/>
        </w:rPr>
        <w:t>وخلال</w:t>
      </w:r>
      <w:proofErr w:type="gramEnd"/>
      <w:r w:rsidRPr="00FD6629">
        <w:rPr>
          <w:rFonts w:cs="Traditional Arabic"/>
          <w:szCs w:val="30"/>
          <w:rtl/>
          <w:lang w:eastAsia="zh-TW"/>
        </w:rPr>
        <w:t xml:space="preserve"> الدورة الخامسة للجنة، استعرض الفريق القانوني جميع النصوص التي أعدتها أفرقة الاتصال و</w:t>
      </w:r>
      <w:r w:rsidRPr="00FD6629">
        <w:rPr>
          <w:rFonts w:cs="Traditional Arabic" w:hint="cs"/>
          <w:szCs w:val="30"/>
          <w:rtl/>
          <w:lang w:eastAsia="zh-TW"/>
        </w:rPr>
        <w:t>أبدى</w:t>
      </w:r>
      <w:r w:rsidRPr="00FD6629">
        <w:rPr>
          <w:rFonts w:cs="Traditional Arabic"/>
          <w:szCs w:val="30"/>
          <w:rtl/>
          <w:lang w:eastAsia="zh-TW"/>
        </w:rPr>
        <w:t xml:space="preserve"> تعليقات ذات طبيعة قانونية بشأنها قب</w:t>
      </w:r>
      <w:r w:rsidR="00C97376">
        <w:rPr>
          <w:rFonts w:cs="Traditional Arabic"/>
          <w:szCs w:val="30"/>
          <w:rtl/>
          <w:lang w:eastAsia="zh-TW"/>
        </w:rPr>
        <w:t>ل إحالتها إلى اللجنة لاعتمادها.</w:t>
      </w:r>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proofErr w:type="gramStart"/>
      <w:r w:rsidRPr="00FD6629">
        <w:rPr>
          <w:rFonts w:cs="Traditional Arabic"/>
          <w:szCs w:val="30"/>
          <w:rtl/>
          <w:lang w:eastAsia="zh-TW"/>
        </w:rPr>
        <w:t>وبالإضافة</w:t>
      </w:r>
      <w:proofErr w:type="gramEnd"/>
      <w:r w:rsidRPr="00FD6629">
        <w:rPr>
          <w:rFonts w:cs="Traditional Arabic"/>
          <w:szCs w:val="30"/>
          <w:rtl/>
          <w:lang w:eastAsia="zh-TW"/>
        </w:rPr>
        <w:t xml:space="preserve"> إلى ذلك أُنجزت أعمال هامة خلال فترات ما بين الدورات، بين الدورتين الأولى والخامسة. ودُعيت الحكومات إلى الإسهام بتقارير خطية والمشاركة </w:t>
      </w:r>
      <w:proofErr w:type="gramStart"/>
      <w:r w:rsidRPr="00FD6629">
        <w:rPr>
          <w:rFonts w:cs="Traditional Arabic"/>
          <w:szCs w:val="30"/>
          <w:rtl/>
          <w:lang w:eastAsia="zh-TW"/>
        </w:rPr>
        <w:t>في</w:t>
      </w:r>
      <w:proofErr w:type="gramEnd"/>
      <w:r w:rsidRPr="00FD6629">
        <w:rPr>
          <w:rFonts w:cs="Traditional Arabic"/>
          <w:szCs w:val="30"/>
          <w:rtl/>
          <w:lang w:eastAsia="zh-TW"/>
        </w:rPr>
        <w:t xml:space="preserve"> عدد من المشاورات الإقليمية وغيرها. وأنشئ خلال الدورة الثالثة اجتماع للخبراء بين الدورات معني بالموارد المالية والمساعدة التقنية والمساعدة في مجال التنفيذ، برئاسة عادل الشافعي عثمان (مصر) وجوهانا </w:t>
      </w:r>
      <w:proofErr w:type="spellStart"/>
      <w:r w:rsidRPr="00FD6629">
        <w:rPr>
          <w:rFonts w:cs="Traditional Arabic"/>
          <w:szCs w:val="30"/>
          <w:rtl/>
          <w:lang w:eastAsia="zh-TW"/>
        </w:rPr>
        <w:t>ليسنغر</w:t>
      </w:r>
      <w:proofErr w:type="spellEnd"/>
      <w:r w:rsidRPr="00FD6629">
        <w:rPr>
          <w:rFonts w:cs="Traditional Arabic"/>
          <w:szCs w:val="30"/>
          <w:rtl/>
          <w:lang w:eastAsia="zh-TW"/>
        </w:rPr>
        <w:t xml:space="preserve"> </w:t>
      </w:r>
      <w:proofErr w:type="spellStart"/>
      <w:r w:rsidRPr="00FD6629">
        <w:rPr>
          <w:rFonts w:cs="Traditional Arabic"/>
          <w:szCs w:val="30"/>
          <w:rtl/>
          <w:lang w:eastAsia="zh-TW"/>
        </w:rPr>
        <w:t>بيتز</w:t>
      </w:r>
      <w:proofErr w:type="spellEnd"/>
      <w:r w:rsidRPr="00FD6629">
        <w:rPr>
          <w:rFonts w:cs="Traditional Arabic"/>
          <w:szCs w:val="30"/>
          <w:rtl/>
          <w:lang w:eastAsia="zh-TW"/>
        </w:rPr>
        <w:t xml:space="preserve"> (السويد). وكذلك أتيح عدد كبير من الوثائق لدعم مناقشات اللجنة، حيث أُصدر في المجموع ما يبلغ 64 من وثائق الاجتماعات و29 من وثائق المعلومات خلال الفترة بين الدو</w:t>
      </w:r>
      <w:r w:rsidR="00C97376">
        <w:rPr>
          <w:rFonts w:cs="Traditional Arabic"/>
          <w:szCs w:val="30"/>
          <w:rtl/>
          <w:lang w:eastAsia="zh-TW"/>
        </w:rPr>
        <w:t>رتين الأولى والخامسة.</w:t>
      </w:r>
    </w:p>
    <w:p w:rsidR="00FD6629" w:rsidRPr="00C97376" w:rsidRDefault="00C97376" w:rsidP="00C97376">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852"/>
        <w:jc w:val="both"/>
        <w:textDirection w:val="tbRlV"/>
        <w:rPr>
          <w:rFonts w:cs="Traditional Arabic"/>
          <w:bCs/>
          <w:sz w:val="32"/>
          <w:szCs w:val="32"/>
          <w:rtl/>
          <w:lang w:eastAsia="zh-TW"/>
        </w:rPr>
      </w:pPr>
      <w:r>
        <w:rPr>
          <w:rFonts w:cs="Traditional Arabic" w:hint="cs"/>
          <w:bCs/>
          <w:sz w:val="32"/>
          <w:szCs w:val="32"/>
          <w:rtl/>
          <w:lang w:eastAsia="zh-TW"/>
        </w:rPr>
        <w:t>ثالثاً-</w:t>
      </w:r>
      <w:r w:rsidR="00FD6629" w:rsidRPr="00C97376">
        <w:rPr>
          <w:rFonts w:cs="Traditional Arabic"/>
          <w:bCs/>
          <w:sz w:val="32"/>
          <w:szCs w:val="32"/>
          <w:rtl/>
          <w:lang w:eastAsia="zh-TW"/>
        </w:rPr>
        <w:tab/>
        <w:t xml:space="preserve">اعتماد اتفاقية ميناماتا والوثيقة الختامية وفتح باب التوقيع عليهما </w:t>
      </w:r>
    </w:p>
    <w:p w:rsidR="00FD6629" w:rsidRPr="00FD6629" w:rsidRDefault="00FD6629" w:rsidP="0056066C">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 xml:space="preserve">عُقد مؤتمر المفوضين بشأن اتفاقية ميناماتا في </w:t>
      </w:r>
      <w:proofErr w:type="spellStart"/>
      <w:r w:rsidRPr="00FD6629">
        <w:rPr>
          <w:rFonts w:cs="Traditional Arabic"/>
          <w:szCs w:val="30"/>
          <w:rtl/>
          <w:lang w:eastAsia="zh-TW"/>
        </w:rPr>
        <w:t>كوماموتو</w:t>
      </w:r>
      <w:proofErr w:type="spellEnd"/>
      <w:r w:rsidRPr="00FD6629">
        <w:rPr>
          <w:rFonts w:cs="Traditional Arabic"/>
          <w:szCs w:val="30"/>
          <w:rtl/>
          <w:lang w:eastAsia="zh-TW"/>
        </w:rPr>
        <w:t xml:space="preserve"> باليابان يومي 10 و11 تش</w:t>
      </w:r>
      <w:r w:rsidR="00C97376">
        <w:rPr>
          <w:rFonts w:cs="Traditional Arabic"/>
          <w:szCs w:val="30"/>
          <w:rtl/>
          <w:lang w:eastAsia="zh-TW"/>
        </w:rPr>
        <w:t>رين الأول/أكتوبر ٢٠١٣ عقب حفل ا</w:t>
      </w:r>
      <w:r w:rsidR="00C97376">
        <w:rPr>
          <w:rFonts w:cs="Traditional Arabic" w:hint="cs"/>
          <w:szCs w:val="30"/>
          <w:rtl/>
          <w:lang w:eastAsia="zh-TW"/>
        </w:rPr>
        <w:t>ف</w:t>
      </w:r>
      <w:r w:rsidRPr="00FD6629">
        <w:rPr>
          <w:rFonts w:cs="Traditional Arabic"/>
          <w:szCs w:val="30"/>
          <w:rtl/>
          <w:lang w:eastAsia="zh-TW"/>
        </w:rPr>
        <w:t xml:space="preserve">تتاحي في ميناماتا يوم ٩ تشرين الأول/أكتوبر واجتماع تحضيري في </w:t>
      </w:r>
      <w:proofErr w:type="spellStart"/>
      <w:r w:rsidRPr="00FD6629">
        <w:rPr>
          <w:rFonts w:cs="Traditional Arabic"/>
          <w:szCs w:val="30"/>
          <w:rtl/>
          <w:lang w:eastAsia="zh-TW"/>
        </w:rPr>
        <w:t>كوماموتو</w:t>
      </w:r>
      <w:proofErr w:type="spellEnd"/>
      <w:r w:rsidRPr="00FD6629">
        <w:rPr>
          <w:rFonts w:cs="Traditional Arabic"/>
          <w:szCs w:val="30"/>
          <w:rtl/>
          <w:lang w:eastAsia="zh-TW"/>
        </w:rPr>
        <w:t xml:space="preserve"> يومي 7 و8 تشرين الأول/أكتوبر. واعتمد المؤتمر نص الاتفاقية والوثيقة الختامية والقرارات الواردة فيها، وفُتح باب التوقيع على </w:t>
      </w:r>
      <w:r w:rsidR="0056066C">
        <w:rPr>
          <w:rFonts w:cs="Traditional Arabic" w:hint="cs"/>
          <w:szCs w:val="30"/>
          <w:rtl/>
          <w:lang w:eastAsia="zh-TW"/>
        </w:rPr>
        <w:t xml:space="preserve">الاتفاقية والوثيقة الختامية، </w:t>
      </w:r>
      <w:r w:rsidR="008C3857">
        <w:rPr>
          <w:rFonts w:cs="Traditional Arabic" w:hint="cs"/>
          <w:szCs w:val="30"/>
          <w:rtl/>
          <w:lang w:eastAsia="zh-TW"/>
        </w:rPr>
        <w:t xml:space="preserve">ووقعت الاتفاقية </w:t>
      </w:r>
      <w:r w:rsidRPr="00FD6629">
        <w:rPr>
          <w:rFonts w:cs="Traditional Arabic"/>
          <w:szCs w:val="30"/>
          <w:rtl/>
          <w:lang w:eastAsia="zh-TW"/>
        </w:rPr>
        <w:t xml:space="preserve">92 دولة </w:t>
      </w:r>
      <w:r w:rsidR="008C3857">
        <w:rPr>
          <w:rFonts w:cs="Traditional Arabic" w:hint="cs"/>
          <w:szCs w:val="30"/>
          <w:rtl/>
          <w:lang w:eastAsia="zh-TW"/>
        </w:rPr>
        <w:t xml:space="preserve">ومنظمة إقليمية للتكامل الاقتصادي </w:t>
      </w:r>
      <w:r w:rsidR="00313A00">
        <w:rPr>
          <w:rFonts w:cs="Traditional Arabic" w:hint="cs"/>
          <w:szCs w:val="30"/>
          <w:rtl/>
          <w:lang w:eastAsia="zh-TW"/>
        </w:rPr>
        <w:t xml:space="preserve">ووقعت الوثيقة الختامية 112 </w:t>
      </w:r>
      <w:r w:rsidRPr="00FD6629">
        <w:rPr>
          <w:rFonts w:cs="Traditional Arabic"/>
          <w:szCs w:val="30"/>
          <w:rtl/>
          <w:lang w:eastAsia="zh-TW"/>
        </w:rPr>
        <w:t>دول</w:t>
      </w:r>
      <w:r w:rsidR="00313A00">
        <w:rPr>
          <w:rFonts w:cs="Traditional Arabic" w:hint="cs"/>
          <w:szCs w:val="30"/>
          <w:rtl/>
          <w:lang w:eastAsia="zh-TW"/>
        </w:rPr>
        <w:t>ة</w:t>
      </w:r>
      <w:r w:rsidRPr="00FD6629">
        <w:rPr>
          <w:rFonts w:cs="Traditional Arabic"/>
          <w:szCs w:val="30"/>
          <w:rtl/>
          <w:lang w:eastAsia="zh-TW"/>
        </w:rPr>
        <w:t xml:space="preserve"> ومنظم</w:t>
      </w:r>
      <w:r w:rsidR="00313A00">
        <w:rPr>
          <w:rFonts w:cs="Traditional Arabic" w:hint="cs"/>
          <w:szCs w:val="30"/>
          <w:rtl/>
          <w:lang w:eastAsia="zh-TW"/>
        </w:rPr>
        <w:t>ة اقليمية ل</w:t>
      </w:r>
      <w:r w:rsidRPr="00FD6629">
        <w:rPr>
          <w:rFonts w:cs="Traditional Arabic"/>
          <w:szCs w:val="30"/>
          <w:rtl/>
          <w:lang w:eastAsia="zh-TW"/>
        </w:rPr>
        <w:t>لتكامل ا</w:t>
      </w:r>
      <w:r w:rsidR="00C97376">
        <w:rPr>
          <w:rFonts w:cs="Traditional Arabic"/>
          <w:szCs w:val="30"/>
          <w:rtl/>
          <w:lang w:eastAsia="zh-TW"/>
        </w:rPr>
        <w:t>لاقتصادي خلال المؤتمر.</w:t>
      </w:r>
    </w:p>
    <w:p w:rsidR="00FD6629" w:rsidRPr="00C97376" w:rsidRDefault="00C97376" w:rsidP="00C97376">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852"/>
        <w:jc w:val="both"/>
        <w:textDirection w:val="tbRlV"/>
        <w:rPr>
          <w:rFonts w:cs="Traditional Arabic"/>
          <w:bCs/>
          <w:sz w:val="32"/>
          <w:szCs w:val="32"/>
          <w:rtl/>
          <w:lang w:eastAsia="zh-TW"/>
        </w:rPr>
      </w:pPr>
      <w:r>
        <w:rPr>
          <w:rFonts w:cs="Traditional Arabic" w:hint="cs"/>
          <w:bCs/>
          <w:sz w:val="32"/>
          <w:szCs w:val="32"/>
          <w:rtl/>
          <w:lang w:eastAsia="zh-TW"/>
        </w:rPr>
        <w:t>رابعاً-</w:t>
      </w:r>
      <w:r>
        <w:rPr>
          <w:rFonts w:cs="Traditional Arabic" w:hint="cs"/>
          <w:bCs/>
          <w:sz w:val="32"/>
          <w:szCs w:val="32"/>
          <w:rtl/>
          <w:lang w:eastAsia="zh-TW"/>
        </w:rPr>
        <w:tab/>
      </w:r>
      <w:r w:rsidR="00FD6629" w:rsidRPr="00C97376">
        <w:rPr>
          <w:rFonts w:cs="Traditional Arabic"/>
          <w:bCs/>
          <w:sz w:val="32"/>
          <w:szCs w:val="32"/>
          <w:rtl/>
          <w:lang w:eastAsia="zh-TW"/>
        </w:rPr>
        <w:t>التحضير لدخول الاتفاقية حيز النفاذ</w:t>
      </w:r>
      <w:r>
        <w:rPr>
          <w:rFonts w:cs="Traditional Arabic"/>
          <w:bCs/>
          <w:sz w:val="32"/>
          <w:szCs w:val="32"/>
          <w:rtl/>
          <w:lang w:eastAsia="zh-TW"/>
        </w:rPr>
        <w:t xml:space="preserve"> وللاجتماع الأول لمؤتمر الأطراف</w:t>
      </w:r>
    </w:p>
    <w:p w:rsidR="00FD6629" w:rsidRPr="00FD6629" w:rsidRDefault="00FD6629" w:rsidP="0056066C">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ت</w:t>
      </w:r>
      <w:r w:rsidRPr="00FD6629">
        <w:rPr>
          <w:rFonts w:cs="Traditional Arabic" w:hint="cs"/>
          <w:szCs w:val="30"/>
          <w:rtl/>
          <w:lang w:eastAsia="zh-TW"/>
        </w:rPr>
        <w:t>سهيلا</w:t>
      </w:r>
      <w:r w:rsidR="00313A00">
        <w:rPr>
          <w:rFonts w:cs="Traditional Arabic" w:hint="cs"/>
          <w:szCs w:val="30"/>
          <w:rtl/>
          <w:lang w:eastAsia="zh-TW"/>
        </w:rPr>
        <w:t>ً</w:t>
      </w:r>
      <w:r w:rsidRPr="00FD6629">
        <w:rPr>
          <w:rFonts w:cs="Traditional Arabic"/>
          <w:szCs w:val="30"/>
          <w:rtl/>
          <w:lang w:eastAsia="zh-TW"/>
        </w:rPr>
        <w:t xml:space="preserve"> لدخول الاتفاقية حيز النفاذ على نحو سريع وتنفيذها على نحو فعال </w:t>
      </w:r>
      <w:r w:rsidRPr="00FD6629">
        <w:rPr>
          <w:rFonts w:cs="Traditional Arabic" w:hint="cs"/>
          <w:szCs w:val="30"/>
          <w:rtl/>
          <w:lang w:eastAsia="zh-TW"/>
        </w:rPr>
        <w:t>بعد</w:t>
      </w:r>
      <w:r w:rsidRPr="00FD6629">
        <w:rPr>
          <w:rFonts w:cs="Traditional Arabic"/>
          <w:szCs w:val="30"/>
          <w:rtl/>
          <w:lang w:eastAsia="zh-TW"/>
        </w:rPr>
        <w:t xml:space="preserve"> دخولها حيز النفاذ،  ومن أجل تيسير التعجيل ببدء نفاذ الاتفاقية وتنفيذها على نحو فعال </w:t>
      </w:r>
      <w:r w:rsidRPr="00FD6629">
        <w:rPr>
          <w:rFonts w:cs="Traditional Arabic" w:hint="cs"/>
          <w:szCs w:val="30"/>
          <w:rtl/>
          <w:lang w:eastAsia="zh-TW"/>
        </w:rPr>
        <w:t>بعد</w:t>
      </w:r>
      <w:r w:rsidRPr="00FD6629">
        <w:rPr>
          <w:rFonts w:cs="Traditional Arabic"/>
          <w:szCs w:val="30"/>
          <w:rtl/>
          <w:lang w:eastAsia="zh-TW"/>
        </w:rPr>
        <w:t xml:space="preserve"> دخوله</w:t>
      </w:r>
      <w:r w:rsidRPr="00FD6629">
        <w:rPr>
          <w:rFonts w:cs="Traditional Arabic" w:hint="cs"/>
          <w:szCs w:val="30"/>
          <w:rtl/>
          <w:lang w:eastAsia="zh-TW"/>
        </w:rPr>
        <w:t>ا</w:t>
      </w:r>
      <w:r w:rsidRPr="00FD6629">
        <w:rPr>
          <w:rFonts w:cs="Traditional Arabic"/>
          <w:szCs w:val="30"/>
          <w:rtl/>
          <w:lang w:eastAsia="zh-TW"/>
        </w:rPr>
        <w:t xml:space="preserve"> حيز النفاذ، دعا مؤتمر المفوضين في قراره المتعلق بالترتيبات في الفترة الانتقالية، كما دعا المدير التنفيذي لبرنامج الأمم المتحدة للبيئة إلى عقد اجتماعات أخرى للجنة التفاوض الحكومية الدولية خلال الفترة بين تاريخ فتح باب التوقيع عليها وموعد افتتاح الاجتماع الأول لمؤتمر الأطراف في ال</w:t>
      </w:r>
      <w:r w:rsidR="00C97376">
        <w:rPr>
          <w:rFonts w:cs="Traditional Arabic"/>
          <w:szCs w:val="30"/>
          <w:rtl/>
          <w:lang w:eastAsia="zh-TW"/>
        </w:rPr>
        <w:t>اتفاقية.</w:t>
      </w:r>
    </w:p>
    <w:p w:rsidR="00FD6629" w:rsidRPr="00FD6629" w:rsidRDefault="00FD6629" w:rsidP="00E74E00">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ونتيجة لذلك نظمت اللجنة اجتماعين آخرين خلال تلك الفترة، حيث عقدت دورتها السادسة ف</w:t>
      </w:r>
      <w:r w:rsidRPr="00FD6629">
        <w:rPr>
          <w:rFonts w:cs="Traditional Arabic" w:hint="cs"/>
          <w:szCs w:val="30"/>
          <w:rtl/>
          <w:lang w:eastAsia="zh-TW"/>
        </w:rPr>
        <w:t>ي</w:t>
      </w:r>
      <w:r w:rsidRPr="00FD6629">
        <w:rPr>
          <w:rFonts w:cs="Traditional Arabic"/>
          <w:szCs w:val="30"/>
          <w:rtl/>
          <w:lang w:eastAsia="zh-TW"/>
        </w:rPr>
        <w:t xml:space="preserve"> بانكوك في الفترة من ٣ إلى ٧ تشرين الثاني/نوفمبر ٢٠١٤، ودورتها السابعة في البحر الميت بالأردن في الفترة من ١٠ إلى ١٥ آذار/مارس ٢٠١٦. واسترشدت اللجنة في عملها بالمهام التي حددها مؤتمر المفوضين في الفقرات من ٥ إلى ٨ من قراره بشأن الترتيبات في الفترة الانتقالية، فيما يتعلق بوضع البنود اللازمة للتنفيذ الفعال للاتفاقية </w:t>
      </w:r>
      <w:r w:rsidRPr="00FD6629">
        <w:rPr>
          <w:rFonts w:cs="Traditional Arabic" w:hint="cs"/>
          <w:szCs w:val="30"/>
          <w:rtl/>
          <w:lang w:eastAsia="zh-TW"/>
        </w:rPr>
        <w:t>بعد</w:t>
      </w:r>
      <w:r w:rsidRPr="00FD6629">
        <w:rPr>
          <w:rFonts w:cs="Traditional Arabic"/>
          <w:szCs w:val="30"/>
          <w:rtl/>
          <w:lang w:eastAsia="zh-TW"/>
        </w:rPr>
        <w:t xml:space="preserve"> دخولها حيز النفاذ </w:t>
      </w:r>
      <w:r w:rsidR="00E74E00">
        <w:rPr>
          <w:rFonts w:cs="Traditional Arabic" w:hint="cs"/>
          <w:szCs w:val="30"/>
          <w:rtl/>
          <w:lang w:eastAsia="zh-TW"/>
        </w:rPr>
        <w:t xml:space="preserve">واعتمادها بصورة مؤقتة </w:t>
      </w:r>
      <w:r w:rsidRPr="00FD6629">
        <w:rPr>
          <w:rFonts w:cs="Traditional Arabic"/>
          <w:szCs w:val="30"/>
          <w:rtl/>
          <w:lang w:eastAsia="zh-TW"/>
        </w:rPr>
        <w:t>(الفقرة ٥)؛ والمسائل التي تقتضي الاتفاقية أن يبت فيها مؤتمر الأطراف في اجتماعه الأول (الفقرة 6)؛ والاعتماد المؤقت للتوجيهات والإجراءات في انتظار اعتمادها رسميا</w:t>
      </w:r>
      <w:r w:rsidR="00313A00">
        <w:rPr>
          <w:rFonts w:cs="Traditional Arabic" w:hint="cs"/>
          <w:szCs w:val="30"/>
          <w:rtl/>
          <w:lang w:eastAsia="zh-TW"/>
        </w:rPr>
        <w:t>ً</w:t>
      </w:r>
      <w:r w:rsidRPr="00FD6629">
        <w:rPr>
          <w:rFonts w:cs="Traditional Arabic"/>
          <w:szCs w:val="30"/>
          <w:rtl/>
          <w:lang w:eastAsia="zh-TW"/>
        </w:rPr>
        <w:t xml:space="preserve"> من جانب مؤتمر الأطراف</w:t>
      </w:r>
      <w:r w:rsidR="00313A00">
        <w:rPr>
          <w:rFonts w:cs="Traditional Arabic" w:hint="cs"/>
          <w:szCs w:val="30"/>
          <w:rtl/>
          <w:lang w:eastAsia="zh-TW"/>
        </w:rPr>
        <w:t xml:space="preserve"> (الفقرة 7)</w:t>
      </w:r>
      <w:r w:rsidRPr="00FD6629">
        <w:rPr>
          <w:rFonts w:cs="Traditional Arabic"/>
          <w:szCs w:val="30"/>
          <w:rtl/>
          <w:lang w:eastAsia="zh-TW"/>
        </w:rPr>
        <w:t>؛ وتقديم الدعم إلى الأنشطة التي تطلبها الاتفاقية أو تشجعها لتيسير التعجيل بدخول الاتفاقية حيز النفاذ وتنفيذها الفعال بعد دخولها حيز النفاذ</w:t>
      </w:r>
      <w:r w:rsidR="00313A00">
        <w:rPr>
          <w:rFonts w:cs="Traditional Arabic" w:hint="cs"/>
          <w:szCs w:val="30"/>
          <w:rtl/>
          <w:lang w:eastAsia="zh-TW"/>
        </w:rPr>
        <w:t xml:space="preserve"> (الفقرة 8)</w:t>
      </w:r>
      <w:r w:rsidRPr="00FD6629">
        <w:rPr>
          <w:rFonts w:cs="Traditional Arabic"/>
          <w:szCs w:val="30"/>
          <w:rtl/>
          <w:lang w:eastAsia="zh-TW"/>
        </w:rPr>
        <w:t>.</w:t>
      </w:r>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وأحرزت اللجنة خلال تلك الدورات تقدما</w:t>
      </w:r>
      <w:r w:rsidR="00313A00">
        <w:rPr>
          <w:rFonts w:cs="Traditional Arabic" w:hint="cs"/>
          <w:szCs w:val="30"/>
          <w:rtl/>
          <w:lang w:eastAsia="zh-TW"/>
        </w:rPr>
        <w:t>ً</w:t>
      </w:r>
      <w:r w:rsidRPr="00FD6629">
        <w:rPr>
          <w:rFonts w:cs="Traditional Arabic"/>
          <w:szCs w:val="30"/>
          <w:rtl/>
          <w:lang w:eastAsia="zh-TW"/>
        </w:rPr>
        <w:t xml:space="preserve"> كبيرا</w:t>
      </w:r>
      <w:r w:rsidR="00313A00">
        <w:rPr>
          <w:rFonts w:cs="Traditional Arabic" w:hint="cs"/>
          <w:szCs w:val="30"/>
          <w:rtl/>
          <w:lang w:eastAsia="zh-TW"/>
        </w:rPr>
        <w:t>ً</w:t>
      </w:r>
      <w:r w:rsidRPr="00FD6629">
        <w:rPr>
          <w:rFonts w:cs="Traditional Arabic"/>
          <w:szCs w:val="30"/>
          <w:rtl/>
          <w:lang w:eastAsia="zh-TW"/>
        </w:rPr>
        <w:t xml:space="preserve"> في عدد من المجالات، حيث اعتمدت- بصورة مؤقتة في انتظار الاعتماد الرسمي من جانب مؤتمر الأطراف</w:t>
      </w:r>
      <w:r w:rsidR="00313A00">
        <w:rPr>
          <w:rFonts w:cs="Traditional Arabic" w:hint="cs"/>
          <w:szCs w:val="30"/>
          <w:rtl/>
          <w:lang w:eastAsia="zh-TW"/>
        </w:rPr>
        <w:t xml:space="preserve"> </w:t>
      </w:r>
      <w:r w:rsidRPr="00FD6629">
        <w:rPr>
          <w:rFonts w:cs="Traditional Arabic"/>
          <w:szCs w:val="30"/>
          <w:rtl/>
          <w:lang w:eastAsia="zh-TW"/>
        </w:rPr>
        <w:t xml:space="preserve">- النماذج والتوجيهات ذات الصلة لاستخدامها بموجب المادة ٣ من الاتفاقية، </w:t>
      </w:r>
      <w:r w:rsidRPr="00FD6629">
        <w:rPr>
          <w:rFonts w:cs="Traditional Arabic" w:hint="cs"/>
          <w:szCs w:val="30"/>
          <w:rtl/>
          <w:lang w:eastAsia="zh-TW"/>
        </w:rPr>
        <w:t xml:space="preserve">المتعلقة </w:t>
      </w:r>
      <w:r w:rsidRPr="00FD6629">
        <w:rPr>
          <w:rFonts w:cs="Traditional Arabic"/>
          <w:szCs w:val="30"/>
          <w:rtl/>
          <w:lang w:eastAsia="zh-TW"/>
        </w:rPr>
        <w:t>بمصادر الإمداد بالزئبق وتجارته، والمادة ٦ المتعلقة بالإعفاءات المتاحة للأطراف عند الطلب، والمادة ٨ المتعلقة بالانبعاثات. وفي الدورة السابعة، وافقت اللجنة أيضا</w:t>
      </w:r>
      <w:r w:rsidR="00313A00">
        <w:rPr>
          <w:rFonts w:cs="Traditional Arabic" w:hint="cs"/>
          <w:szCs w:val="30"/>
          <w:rtl/>
          <w:lang w:eastAsia="zh-TW"/>
        </w:rPr>
        <w:t>ً</w:t>
      </w:r>
      <w:r w:rsidRPr="00FD6629">
        <w:rPr>
          <w:rFonts w:cs="Traditional Arabic"/>
          <w:szCs w:val="30"/>
          <w:rtl/>
          <w:lang w:eastAsia="zh-TW"/>
        </w:rPr>
        <w:t xml:space="preserve"> على الاستخدام المؤقت للتوجيهات في إطار المادة ٧ المتعلقة بوضع خطة عمل وطنية للتقليل من استخدام الزئبق، والتخلص منه حيثما أمكن، في مجال تعدين الذهب حِرَفيا</w:t>
      </w:r>
      <w:r w:rsidR="00313A00">
        <w:rPr>
          <w:rFonts w:cs="Traditional Arabic" w:hint="cs"/>
          <w:szCs w:val="30"/>
          <w:rtl/>
          <w:lang w:eastAsia="zh-TW"/>
        </w:rPr>
        <w:t>ً</w:t>
      </w:r>
      <w:r w:rsidRPr="00FD6629">
        <w:rPr>
          <w:rFonts w:cs="Traditional Arabic"/>
          <w:szCs w:val="30"/>
          <w:rtl/>
          <w:lang w:eastAsia="zh-TW"/>
        </w:rPr>
        <w:t xml:space="preserve"> وعلى نطاق ضيق، </w:t>
      </w:r>
      <w:r w:rsidRPr="00FD6629">
        <w:rPr>
          <w:rFonts w:cs="Traditional Arabic" w:hint="cs"/>
          <w:szCs w:val="30"/>
          <w:rtl/>
          <w:lang w:eastAsia="zh-TW"/>
        </w:rPr>
        <w:t xml:space="preserve">وهي توجيهات </w:t>
      </w:r>
      <w:r w:rsidRPr="00FD6629">
        <w:rPr>
          <w:rFonts w:cs="Traditional Arabic"/>
          <w:szCs w:val="30"/>
          <w:rtl/>
          <w:lang w:eastAsia="zh-TW"/>
        </w:rPr>
        <w:t xml:space="preserve">تساعد البلدان في شكلها الحالي خلال فترة ما بين الدورة </w:t>
      </w:r>
      <w:r w:rsidR="00C97376">
        <w:rPr>
          <w:rFonts w:cs="Traditional Arabic"/>
          <w:szCs w:val="30"/>
          <w:rtl/>
          <w:lang w:eastAsia="zh-TW"/>
        </w:rPr>
        <w:t>والاجتماع الأول لمؤتمر الأطراف.</w:t>
      </w:r>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proofErr w:type="gramStart"/>
      <w:r w:rsidRPr="00FD6629">
        <w:rPr>
          <w:rFonts w:cs="Traditional Arabic"/>
          <w:szCs w:val="30"/>
          <w:rtl/>
          <w:lang w:eastAsia="zh-TW"/>
        </w:rPr>
        <w:t>وقد</w:t>
      </w:r>
      <w:proofErr w:type="gramEnd"/>
      <w:r w:rsidRPr="00FD6629">
        <w:rPr>
          <w:rFonts w:cs="Traditional Arabic"/>
          <w:szCs w:val="30"/>
          <w:rtl/>
          <w:lang w:eastAsia="zh-TW"/>
        </w:rPr>
        <w:t xml:space="preserve"> تحققت النتيجة الناجحة فيما يتعلق بالمادة ٨ بفضل العمل الشاق الذي اضطلع به فريق الخبراء التقنيين الذي أنشأه مؤتمر المفوضين كهيئة فرعية تحت إشراف اللجنة من أجل وضع التوجيهات المطلوبة في المادة ٨ من الاتفاقية. وعلى وجه الخصوص، قام الفريق برئاسة عادل الشافعي عثمان (مصر) وجون روبرتس (المملكة المتحدة لبريطانيا العظمى وأيرلندا الشمالية) بإعداد مشروع توجيهات بشأن أفضل التقنيات المتاحة وأفضل الممارسات البيئية، وبشأن المعايير التي قد تضعها الأطراف بموجب الفقرة 2 (ب) من المادة 8، وبشأن إعداد قوائم جرد الانبعاثات، وكذلك بشأن تقديم الدعم للأطراف في تنفيذ التدابير الواردة في الفقرة 5 من المادة 8، ولاسيما تحديد الأهداف والحدود القصوى للانبعاثات، وأحال ذلك المشروع إلى اللجنة في دورتها السابعة.</w:t>
      </w:r>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وأُحرز التقدم أيضا</w:t>
      </w:r>
      <w:r w:rsidR="00313A00">
        <w:rPr>
          <w:rFonts w:cs="Traditional Arabic" w:hint="cs"/>
          <w:szCs w:val="30"/>
          <w:rtl/>
          <w:lang w:eastAsia="zh-TW"/>
        </w:rPr>
        <w:t>ً</w:t>
      </w:r>
      <w:r w:rsidRPr="00FD6629">
        <w:rPr>
          <w:rFonts w:cs="Traditional Arabic"/>
          <w:szCs w:val="30"/>
          <w:rtl/>
          <w:lang w:eastAsia="zh-TW"/>
        </w:rPr>
        <w:t xml:space="preserve"> في إطار المادة ١٣ المتعلقة بالآلية المالية للاتفاقية، بما في ذلك إنشاء فريق خبراء عامل مخصص معني بالتمويل خلال الدورة السادسة للجنة، يشترك في رئاسته جيليان </w:t>
      </w:r>
      <w:proofErr w:type="spellStart"/>
      <w:r w:rsidRPr="00FD6629">
        <w:rPr>
          <w:rFonts w:cs="Traditional Arabic"/>
          <w:szCs w:val="30"/>
          <w:rtl/>
          <w:lang w:eastAsia="zh-TW"/>
        </w:rPr>
        <w:t>غوتري</w:t>
      </w:r>
      <w:proofErr w:type="spellEnd"/>
      <w:r w:rsidRPr="00FD6629">
        <w:rPr>
          <w:rFonts w:cs="Traditional Arabic"/>
          <w:szCs w:val="30"/>
          <w:rtl/>
          <w:lang w:eastAsia="zh-TW"/>
        </w:rPr>
        <w:t xml:space="preserve"> (جامايكا) </w:t>
      </w:r>
      <w:proofErr w:type="spellStart"/>
      <w:r w:rsidRPr="00FD6629">
        <w:rPr>
          <w:rFonts w:cs="Traditional Arabic"/>
          <w:szCs w:val="30"/>
          <w:rtl/>
          <w:lang w:eastAsia="zh-TW"/>
        </w:rPr>
        <w:t>وغريغ</w:t>
      </w:r>
      <w:proofErr w:type="spellEnd"/>
      <w:r w:rsidRPr="00FD6629">
        <w:rPr>
          <w:rFonts w:cs="Traditional Arabic"/>
          <w:szCs w:val="30"/>
          <w:rtl/>
          <w:lang w:eastAsia="zh-TW"/>
        </w:rPr>
        <w:t xml:space="preserve"> فيليك (كندا)، كُلف بمهمة تقديم إسهامات في الدورة السابعة بخصوص تنفيذ قرار مؤتمر المفوضين المتعلق بالبرنامج الدولي المخصص لدعم بناء القدرات وتقديم المساعدة التقنية. وعلى الرغم من تبقي عدد صغير من التفاصيل التي ينبغي أن يبت فيها مؤتمر الأطراف، فقد اتفق أعضاء اللجنة في دورتها السابعة، استنادا</w:t>
      </w:r>
      <w:r w:rsidR="000347C0">
        <w:rPr>
          <w:rFonts w:cs="Traditional Arabic" w:hint="cs"/>
          <w:szCs w:val="30"/>
          <w:rtl/>
          <w:lang w:eastAsia="zh-TW"/>
        </w:rPr>
        <w:t>ً</w:t>
      </w:r>
      <w:r w:rsidRPr="00FD6629">
        <w:rPr>
          <w:rFonts w:cs="Traditional Arabic"/>
          <w:szCs w:val="30"/>
          <w:rtl/>
          <w:lang w:eastAsia="zh-TW"/>
        </w:rPr>
        <w:t xml:space="preserve"> إلى عمل ذلك الفريق، على أن يقوم برنامج الأمم المتحدة للبيئة بدور المؤسسة المضيفة للبرنامج الدولي المخصص. </w:t>
      </w:r>
      <w:proofErr w:type="gramStart"/>
      <w:r w:rsidRPr="00FD6629">
        <w:rPr>
          <w:rFonts w:cs="Traditional Arabic"/>
          <w:szCs w:val="30"/>
          <w:rtl/>
          <w:lang w:eastAsia="zh-TW"/>
        </w:rPr>
        <w:t>وأخيرا</w:t>
      </w:r>
      <w:r w:rsidR="00313A00">
        <w:rPr>
          <w:rFonts w:cs="Traditional Arabic" w:hint="cs"/>
          <w:szCs w:val="30"/>
          <w:rtl/>
          <w:lang w:eastAsia="zh-TW"/>
        </w:rPr>
        <w:t>ً</w:t>
      </w:r>
      <w:proofErr w:type="gramEnd"/>
      <w:r w:rsidRPr="00FD6629">
        <w:rPr>
          <w:rFonts w:cs="Traditional Arabic"/>
          <w:szCs w:val="30"/>
          <w:rtl/>
          <w:lang w:eastAsia="zh-TW"/>
        </w:rPr>
        <w:t>، اعتمدت اللجنة في دورتها السابعة أيضا</w:t>
      </w:r>
      <w:r w:rsidR="00313A00">
        <w:rPr>
          <w:rFonts w:cs="Traditional Arabic" w:hint="cs"/>
          <w:szCs w:val="30"/>
          <w:rtl/>
          <w:lang w:eastAsia="zh-TW"/>
        </w:rPr>
        <w:t>ً</w:t>
      </w:r>
      <w:r w:rsidRPr="00FD6629">
        <w:rPr>
          <w:rFonts w:cs="Traditional Arabic"/>
          <w:szCs w:val="30"/>
          <w:rtl/>
          <w:lang w:eastAsia="zh-TW"/>
        </w:rPr>
        <w:t xml:space="preserve"> بصورة مؤقتة، وأحالت إلى مجلس مرفق البيئة العالمية، مشروع توجيهات خاصة بالمرفق ومذكرة تفاهم منقحة </w:t>
      </w:r>
      <w:r w:rsidR="00C97376">
        <w:rPr>
          <w:rFonts w:cs="Traditional Arabic"/>
          <w:szCs w:val="30"/>
          <w:rtl/>
          <w:lang w:eastAsia="zh-TW"/>
        </w:rPr>
        <w:t>بين مجلس المرفق ومؤتمر الأطراف.</w:t>
      </w:r>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وكذلك عقدت اللجنة مناقشات مثمرة بشأن مسائل أخرى، منها المادة ٢١</w:t>
      </w:r>
      <w:r w:rsidRPr="00FD6629">
        <w:rPr>
          <w:rFonts w:cs="Traditional Arabic" w:hint="cs"/>
          <w:szCs w:val="30"/>
          <w:rtl/>
          <w:lang w:eastAsia="zh-TW"/>
        </w:rPr>
        <w:t xml:space="preserve"> </w:t>
      </w:r>
      <w:r w:rsidRPr="00FD6629">
        <w:rPr>
          <w:rFonts w:cs="Traditional Arabic"/>
          <w:szCs w:val="30"/>
          <w:rtl/>
          <w:lang w:eastAsia="zh-TW"/>
        </w:rPr>
        <w:t xml:space="preserve">المتعلقة بتوقيت التقارير وشكلها، والمادة ٢٣ المتعلقة بالنظام الداخلي والقواعد المالية المقرر أن يعتمدها مؤتمر الأطراف لنفسه ولهيئاته الفرعية في اجتماعه الأول. </w:t>
      </w:r>
      <w:proofErr w:type="gramStart"/>
      <w:r w:rsidRPr="00FD6629">
        <w:rPr>
          <w:rFonts w:cs="Traditional Arabic"/>
          <w:szCs w:val="30"/>
          <w:rtl/>
          <w:lang w:eastAsia="zh-TW"/>
        </w:rPr>
        <w:t>وحُل</w:t>
      </w:r>
      <w:proofErr w:type="gramEnd"/>
      <w:r w:rsidRPr="00FD6629">
        <w:rPr>
          <w:rFonts w:cs="Traditional Arabic"/>
          <w:szCs w:val="30"/>
          <w:rtl/>
          <w:lang w:eastAsia="zh-TW"/>
        </w:rPr>
        <w:t xml:space="preserve"> عدد كبير من المسائل، وبقيت مسائل أخرى تنتظر </w:t>
      </w:r>
      <w:r w:rsidR="00C97376">
        <w:rPr>
          <w:rFonts w:cs="Traditional Arabic"/>
          <w:szCs w:val="30"/>
          <w:rtl/>
          <w:lang w:eastAsia="zh-TW"/>
        </w:rPr>
        <w:t>الحل خلال اجتماع مؤتمر الأطراف.</w:t>
      </w:r>
    </w:p>
    <w:p w:rsidR="00FD6629" w:rsidRPr="00FD6629" w:rsidRDefault="00FD6629" w:rsidP="0056066C">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proofErr w:type="gramStart"/>
      <w:r w:rsidRPr="00FD6629">
        <w:rPr>
          <w:rFonts w:cs="Traditional Arabic"/>
          <w:szCs w:val="30"/>
          <w:rtl/>
          <w:lang w:eastAsia="zh-TW"/>
        </w:rPr>
        <w:t>وبناء</w:t>
      </w:r>
      <w:proofErr w:type="gramEnd"/>
      <w:r w:rsidRPr="00FD6629">
        <w:rPr>
          <w:rFonts w:cs="Traditional Arabic"/>
          <w:szCs w:val="30"/>
          <w:rtl/>
          <w:lang w:eastAsia="zh-TW"/>
        </w:rPr>
        <w:t xml:space="preserve"> على طلب اللجنة في دورتيها السادسة والسابعة، أسهمت الحكومات والجهات المعنية الأخرى بتقديم بيانات خطية بخصوص عدد من المسائل الأخرى لزيادة دعم العمل الجاري. واضطلعت الأمانة بأعمال تقنية عطفا</w:t>
      </w:r>
      <w:r w:rsidR="00313A00">
        <w:rPr>
          <w:rFonts w:cs="Traditional Arabic" w:hint="cs"/>
          <w:szCs w:val="30"/>
          <w:rtl/>
          <w:lang w:eastAsia="zh-TW"/>
        </w:rPr>
        <w:t>ً</w:t>
      </w:r>
      <w:r w:rsidRPr="00FD6629">
        <w:rPr>
          <w:rFonts w:cs="Traditional Arabic"/>
          <w:szCs w:val="30"/>
          <w:rtl/>
          <w:lang w:eastAsia="zh-TW"/>
        </w:rPr>
        <w:t xml:space="preserve"> على الدورتين السادسة والسابعة للجنة، وستحال إلى مؤتمر الأطراف لينظر فيها في اجتماعه الأول نتائجُ تلك الأعمال فيما يخص المادة ٧ المتعلقة بتعدين الذهب حِرَفيا</w:t>
      </w:r>
      <w:r w:rsidR="00313A00">
        <w:rPr>
          <w:rFonts w:cs="Traditional Arabic" w:hint="cs"/>
          <w:szCs w:val="30"/>
          <w:rtl/>
          <w:lang w:eastAsia="zh-TW"/>
        </w:rPr>
        <w:t>ً</w:t>
      </w:r>
      <w:r w:rsidRPr="00FD6629">
        <w:rPr>
          <w:rFonts w:cs="Traditional Arabic"/>
          <w:szCs w:val="30"/>
          <w:rtl/>
          <w:lang w:eastAsia="zh-TW"/>
        </w:rPr>
        <w:t xml:space="preserve"> وعلى نطاق ضيق؛ والمادة 10 المتعلقة بالتخزين المؤقت السليم بيئياً للزئبق، بخلاف نفايات الزئبق</w:t>
      </w:r>
      <w:r w:rsidRPr="00FD6629">
        <w:rPr>
          <w:rFonts w:cs="Traditional Arabic" w:hint="cs"/>
          <w:szCs w:val="30"/>
          <w:rtl/>
          <w:lang w:eastAsia="zh-TW"/>
        </w:rPr>
        <w:t>؛</w:t>
      </w:r>
      <w:r w:rsidRPr="00FD6629">
        <w:rPr>
          <w:rFonts w:cs="Traditional Arabic"/>
          <w:szCs w:val="30"/>
          <w:rtl/>
          <w:lang w:eastAsia="zh-TW"/>
        </w:rPr>
        <w:t xml:space="preserve"> والمادة 11 المتعلقة بنفايات الزئبق؛ والمادة 12 المتعلقة بالمواقع الملوثة بالزئبق</w:t>
      </w:r>
      <w:r w:rsidRPr="00FD6629">
        <w:rPr>
          <w:rFonts w:cs="Traditional Arabic" w:hint="cs"/>
          <w:szCs w:val="30"/>
          <w:rtl/>
          <w:lang w:eastAsia="zh-TW"/>
        </w:rPr>
        <w:t>؛</w:t>
      </w:r>
      <w:r w:rsidRPr="00FD6629">
        <w:rPr>
          <w:rFonts w:cs="Traditional Arabic"/>
          <w:szCs w:val="30"/>
          <w:rtl/>
          <w:lang w:eastAsia="zh-TW"/>
        </w:rPr>
        <w:t xml:space="preserve"> والمادة 22 المتعلقة بتقييمات الفعالية. </w:t>
      </w:r>
      <w:proofErr w:type="gramStart"/>
      <w:r w:rsidRPr="00FD6629">
        <w:rPr>
          <w:rFonts w:cs="Traditional Arabic"/>
          <w:szCs w:val="30"/>
          <w:rtl/>
          <w:lang w:eastAsia="zh-TW"/>
        </w:rPr>
        <w:t>وفيما</w:t>
      </w:r>
      <w:proofErr w:type="gramEnd"/>
      <w:r w:rsidRPr="00FD6629">
        <w:rPr>
          <w:rFonts w:cs="Traditional Arabic"/>
          <w:szCs w:val="30"/>
          <w:rtl/>
          <w:lang w:eastAsia="zh-TW"/>
        </w:rPr>
        <w:t xml:space="preserve"> يتعلق بالمادة ١١، قررت اللجنة أيضا</w:t>
      </w:r>
      <w:r w:rsidR="00313A00">
        <w:rPr>
          <w:rFonts w:cs="Traditional Arabic" w:hint="cs"/>
          <w:szCs w:val="30"/>
          <w:rtl/>
          <w:lang w:eastAsia="zh-TW"/>
        </w:rPr>
        <w:t>ً</w:t>
      </w:r>
      <w:r w:rsidRPr="00FD6629">
        <w:rPr>
          <w:rFonts w:cs="Traditional Arabic"/>
          <w:szCs w:val="30"/>
          <w:rtl/>
          <w:lang w:eastAsia="zh-TW"/>
        </w:rPr>
        <w:t xml:space="preserve"> في دورتها السابعة أن تواصل </w:t>
      </w:r>
      <w:r w:rsidRPr="00FD6629">
        <w:rPr>
          <w:rFonts w:cs="Traditional Arabic" w:hint="cs"/>
          <w:szCs w:val="30"/>
          <w:rtl/>
          <w:lang w:eastAsia="zh-TW"/>
        </w:rPr>
        <w:t xml:space="preserve">الجهات التي تملك </w:t>
      </w:r>
      <w:r w:rsidRPr="00FD6629">
        <w:rPr>
          <w:rFonts w:cs="Traditional Arabic"/>
          <w:szCs w:val="30"/>
          <w:rtl/>
          <w:lang w:eastAsia="zh-TW"/>
        </w:rPr>
        <w:t xml:space="preserve">الخبرة الفنية ذات الصلة الجهود غير الرسمية لاقتراح عتبات مناسبة. </w:t>
      </w:r>
      <w:proofErr w:type="gramStart"/>
      <w:r w:rsidRPr="00FD6629">
        <w:rPr>
          <w:rFonts w:cs="Traditional Arabic"/>
          <w:szCs w:val="30"/>
          <w:rtl/>
          <w:lang w:eastAsia="zh-TW"/>
        </w:rPr>
        <w:t>وأخيرا</w:t>
      </w:r>
      <w:r w:rsidR="00313A00">
        <w:rPr>
          <w:rFonts w:cs="Traditional Arabic" w:hint="cs"/>
          <w:szCs w:val="30"/>
          <w:rtl/>
          <w:lang w:eastAsia="zh-TW"/>
        </w:rPr>
        <w:t>ً</w:t>
      </w:r>
      <w:proofErr w:type="gramEnd"/>
      <w:r w:rsidRPr="00FD6629">
        <w:rPr>
          <w:rFonts w:cs="Traditional Arabic"/>
          <w:szCs w:val="30"/>
          <w:rtl/>
          <w:lang w:eastAsia="zh-TW"/>
        </w:rPr>
        <w:t xml:space="preserve">، سيُدعى مؤتمر الأطراف في اجتماعه الأول إلى النظر في تقرير منقح عن </w:t>
      </w:r>
      <w:r w:rsidR="0056066C">
        <w:rPr>
          <w:rFonts w:cs="Traditional Arabic" w:hint="cs"/>
          <w:szCs w:val="30"/>
          <w:rtl/>
          <w:lang w:eastAsia="zh-TW"/>
        </w:rPr>
        <w:t>توفير خدمات</w:t>
      </w:r>
      <w:r w:rsidRPr="00FD6629">
        <w:rPr>
          <w:rFonts w:cs="Traditional Arabic"/>
          <w:szCs w:val="30"/>
          <w:rtl/>
          <w:lang w:eastAsia="zh-TW"/>
        </w:rPr>
        <w:t xml:space="preserve"> الأمانة الدائمة، وكذلك عرض حكومة سويسرا</w:t>
      </w:r>
      <w:r w:rsidR="00C97376">
        <w:rPr>
          <w:rFonts w:cs="Traditional Arabic"/>
          <w:szCs w:val="30"/>
          <w:rtl/>
          <w:lang w:eastAsia="zh-TW"/>
        </w:rPr>
        <w:t xml:space="preserve"> بخصوص الموقع الجغرافي للأمانة.</w:t>
      </w:r>
    </w:p>
    <w:p w:rsidR="00FD6629" w:rsidRPr="00FD6629" w:rsidRDefault="00FD6629" w:rsidP="00C97376">
      <w:pPr>
        <w:pStyle w:val="Normalnumber"/>
        <w:numPr>
          <w:ilvl w:val="0"/>
          <w:numId w:val="19"/>
        </w:numPr>
        <w:tabs>
          <w:tab w:val="left" w:pos="1699"/>
        </w:tabs>
        <w:autoSpaceDE/>
        <w:autoSpaceDN/>
        <w:bidi/>
        <w:adjustRightInd/>
        <w:spacing w:line="400" w:lineRule="exact"/>
        <w:ind w:left="1134" w:firstLine="0"/>
        <w:jc w:val="both"/>
        <w:textDirection w:val="tbRlV"/>
        <w:rPr>
          <w:rFonts w:cs="Traditional Arabic"/>
          <w:szCs w:val="30"/>
          <w:rtl/>
          <w:lang w:eastAsia="zh-TW"/>
        </w:rPr>
      </w:pPr>
      <w:r w:rsidRPr="00FD6629">
        <w:rPr>
          <w:rFonts w:cs="Traditional Arabic"/>
          <w:szCs w:val="30"/>
          <w:rtl/>
          <w:lang w:eastAsia="zh-TW"/>
        </w:rPr>
        <w:t>ومما لا شك فيه أن اللجنة مهدت الطريق لنجاح الاجتماع الأول للأطراف، وللتعجيل بدخول اتفاقية ميناماتا حيز النفاذ وتنفيذها على نحو فعال، وذلك من خلال ما اضطلعت به من أعمال في دورتيها الأخيرتين، وهي أعمال دعمتها جهود كبيرة في فترات ما بين الدورات، بما في ذلك البيانات الملتمسة من الحكومات والجهات الأخرى ذات الصلة بشأن عدد من المسائل، وإعداد الوثائق الداعمة، حيث أُعد لأغراض الدورتين السادسة والسابعة 45 من وثائق الاجتماعات و21 من وثائق المعلومات، وعقد المشاورات الإقليمية وغيرها من المشاورات، فضلا</w:t>
      </w:r>
      <w:r w:rsidR="00313A00">
        <w:rPr>
          <w:rFonts w:cs="Traditional Arabic" w:hint="cs"/>
          <w:szCs w:val="30"/>
          <w:rtl/>
          <w:lang w:eastAsia="zh-TW"/>
        </w:rPr>
        <w:t>ً</w:t>
      </w:r>
      <w:r w:rsidRPr="00FD6629">
        <w:rPr>
          <w:rFonts w:cs="Traditional Arabic"/>
          <w:szCs w:val="30"/>
          <w:rtl/>
          <w:lang w:eastAsia="zh-TW"/>
        </w:rPr>
        <w:t xml:space="preserve"> عن اجتماعات الخبراء في فترات ما بين الدورات للنظر في مسائل التمويل والانبعاثات.</w:t>
      </w:r>
    </w:p>
    <w:p w:rsidR="00451ABD" w:rsidRPr="00FD6629" w:rsidRDefault="00C97376" w:rsidP="00C97376">
      <w:pPr>
        <w:bidi/>
        <w:spacing w:after="120" w:line="400" w:lineRule="exact"/>
        <w:ind w:left="1134"/>
        <w:jc w:val="center"/>
        <w:rPr>
          <w:rtl/>
        </w:rPr>
      </w:pPr>
      <w:r>
        <w:rPr>
          <w:rFonts w:hint="cs"/>
          <w:rtl/>
        </w:rPr>
        <w:t>__________</w:t>
      </w:r>
    </w:p>
    <w:sectPr w:rsidR="00451ABD" w:rsidRPr="00FD6629" w:rsidSect="002361BF">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3B" w:rsidRDefault="008D073B">
      <w:r>
        <w:separator/>
      </w:r>
    </w:p>
  </w:endnote>
  <w:endnote w:type="continuationSeparator" w:id="0">
    <w:p w:rsidR="008D073B" w:rsidRDefault="008D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3B" w:rsidRPr="007B173A" w:rsidRDefault="008D073B"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A74FC">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3B" w:rsidRPr="007B173A" w:rsidRDefault="008D073B"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A74FC">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3B" w:rsidRPr="00D80FA4" w:rsidRDefault="008D073B" w:rsidP="008C385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6951</w:t>
    </w:r>
    <w:r>
      <w:rPr>
        <w:rStyle w:val="PageNumber"/>
        <w:rFonts w:asciiTheme="majorBidi" w:hAnsiTheme="majorBidi" w:cstheme="majorBidi" w:hint="cs"/>
        <w:szCs w:val="20"/>
        <w:rtl/>
      </w:rPr>
      <w:tab/>
    </w:r>
    <w:r>
      <w:rPr>
        <w:rStyle w:val="PageNumber"/>
        <w:rFonts w:asciiTheme="majorBidi" w:hAnsiTheme="majorBidi" w:cstheme="majorBidi"/>
        <w:szCs w:val="20"/>
      </w:rPr>
      <w:t>0607</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3B" w:rsidRDefault="008D073B" w:rsidP="008A79DC">
      <w:pPr>
        <w:bidi/>
        <w:ind w:left="720"/>
      </w:pPr>
      <w:r>
        <w:separator/>
      </w:r>
    </w:p>
  </w:footnote>
  <w:footnote w:type="continuationSeparator" w:id="0">
    <w:p w:rsidR="008D073B" w:rsidRDefault="008D073B">
      <w:r>
        <w:continuationSeparator/>
      </w:r>
    </w:p>
  </w:footnote>
  <w:footnote w:id="1">
    <w:p w:rsidR="008D073B" w:rsidRPr="007243C3" w:rsidRDefault="008D073B"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3B" w:rsidRPr="009D4EBB" w:rsidRDefault="008D073B" w:rsidP="00BA111A">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3B" w:rsidRPr="00EC3A5F" w:rsidRDefault="008D073B" w:rsidP="00BA111A">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nsid w:val="71FA6480"/>
    <w:multiLevelType w:val="hybridMultilevel"/>
    <w:tmpl w:val="31026644"/>
    <w:lvl w:ilvl="0" w:tplc="0596A4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5"/>
  </w:num>
  <w:num w:numId="4">
    <w:abstractNumId w:val="13"/>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7"/>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9">
    <w:abstractNumId w:val="7"/>
    <w:lvlOverride w:ilvl="0">
      <w:lvl w:ilvl="0">
        <w:start w:val="60242608"/>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14"/>
  </w:num>
  <w:num w:numId="2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4300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47C0"/>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F083C"/>
    <w:rsid w:val="000F39C0"/>
    <w:rsid w:val="000F712A"/>
    <w:rsid w:val="00102A11"/>
    <w:rsid w:val="00111DDA"/>
    <w:rsid w:val="001122CD"/>
    <w:rsid w:val="00113B85"/>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7DA8"/>
    <w:rsid w:val="0027071F"/>
    <w:rsid w:val="00276330"/>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3A00"/>
    <w:rsid w:val="00317E61"/>
    <w:rsid w:val="00323929"/>
    <w:rsid w:val="003501E1"/>
    <w:rsid w:val="003511A7"/>
    <w:rsid w:val="00351FDC"/>
    <w:rsid w:val="003553D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066C"/>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71875"/>
    <w:rsid w:val="00684004"/>
    <w:rsid w:val="00684243"/>
    <w:rsid w:val="00696059"/>
    <w:rsid w:val="006A7E4F"/>
    <w:rsid w:val="006B05FA"/>
    <w:rsid w:val="006B54B1"/>
    <w:rsid w:val="006C028B"/>
    <w:rsid w:val="006C560D"/>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A671B"/>
    <w:rsid w:val="007B173A"/>
    <w:rsid w:val="007B5F59"/>
    <w:rsid w:val="007B7061"/>
    <w:rsid w:val="007C62EE"/>
    <w:rsid w:val="007C73F5"/>
    <w:rsid w:val="007D3018"/>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C3857"/>
    <w:rsid w:val="008D073B"/>
    <w:rsid w:val="008F4416"/>
    <w:rsid w:val="0090002B"/>
    <w:rsid w:val="009017E0"/>
    <w:rsid w:val="0092522D"/>
    <w:rsid w:val="00926C1F"/>
    <w:rsid w:val="00931CC7"/>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336C3"/>
    <w:rsid w:val="00B42C89"/>
    <w:rsid w:val="00B602AD"/>
    <w:rsid w:val="00B65469"/>
    <w:rsid w:val="00B66D5F"/>
    <w:rsid w:val="00B762F2"/>
    <w:rsid w:val="00B77EDA"/>
    <w:rsid w:val="00B83776"/>
    <w:rsid w:val="00B87B65"/>
    <w:rsid w:val="00B87FDB"/>
    <w:rsid w:val="00B913B6"/>
    <w:rsid w:val="00B945ED"/>
    <w:rsid w:val="00B97A52"/>
    <w:rsid w:val="00BA111A"/>
    <w:rsid w:val="00BA25F3"/>
    <w:rsid w:val="00BA5B08"/>
    <w:rsid w:val="00BA66F1"/>
    <w:rsid w:val="00BA6ED1"/>
    <w:rsid w:val="00BB0629"/>
    <w:rsid w:val="00BB4CA4"/>
    <w:rsid w:val="00BD1906"/>
    <w:rsid w:val="00BD4A65"/>
    <w:rsid w:val="00BE20CA"/>
    <w:rsid w:val="00BF64C6"/>
    <w:rsid w:val="00BF7F42"/>
    <w:rsid w:val="00C0594F"/>
    <w:rsid w:val="00C1200F"/>
    <w:rsid w:val="00C1297E"/>
    <w:rsid w:val="00C2111C"/>
    <w:rsid w:val="00C33F5C"/>
    <w:rsid w:val="00C34FDE"/>
    <w:rsid w:val="00C36378"/>
    <w:rsid w:val="00C37B3A"/>
    <w:rsid w:val="00C47E78"/>
    <w:rsid w:val="00C56205"/>
    <w:rsid w:val="00C712BF"/>
    <w:rsid w:val="00C7529E"/>
    <w:rsid w:val="00C75C0B"/>
    <w:rsid w:val="00C85728"/>
    <w:rsid w:val="00C86BDC"/>
    <w:rsid w:val="00C90A4C"/>
    <w:rsid w:val="00C91665"/>
    <w:rsid w:val="00C94729"/>
    <w:rsid w:val="00C97376"/>
    <w:rsid w:val="00CA4F8C"/>
    <w:rsid w:val="00CB79F1"/>
    <w:rsid w:val="00CC16CF"/>
    <w:rsid w:val="00CD25C4"/>
    <w:rsid w:val="00CD399B"/>
    <w:rsid w:val="00CD4572"/>
    <w:rsid w:val="00CD5653"/>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A74FC"/>
    <w:rsid w:val="00DB686B"/>
    <w:rsid w:val="00DB6958"/>
    <w:rsid w:val="00DC4E2F"/>
    <w:rsid w:val="00DC590D"/>
    <w:rsid w:val="00DD2F15"/>
    <w:rsid w:val="00DE44A3"/>
    <w:rsid w:val="00DE796A"/>
    <w:rsid w:val="00E015AC"/>
    <w:rsid w:val="00E0494C"/>
    <w:rsid w:val="00E1515A"/>
    <w:rsid w:val="00E176E7"/>
    <w:rsid w:val="00E323C0"/>
    <w:rsid w:val="00E369DB"/>
    <w:rsid w:val="00E36EB2"/>
    <w:rsid w:val="00E51BAF"/>
    <w:rsid w:val="00E63CFD"/>
    <w:rsid w:val="00E642AB"/>
    <w:rsid w:val="00E74E00"/>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A1D7E"/>
    <w:rsid w:val="00FB59A6"/>
    <w:rsid w:val="00FC5790"/>
    <w:rsid w:val="00FD576F"/>
    <w:rsid w:val="00FD6629"/>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pool"/>
    <w:next w:val="Normalnumber"/>
    <w:link w:val="CH2Char"/>
    <w:rsid w:val="00FD6629"/>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80" w:after="120"/>
      <w:ind w:left="1247" w:right="284" w:hanging="1247"/>
    </w:pPr>
    <w:rPr>
      <w:rFonts w:eastAsia="Times New Roman"/>
      <w:b/>
      <w:sz w:val="24"/>
      <w:szCs w:val="24"/>
    </w:rPr>
  </w:style>
  <w:style w:type="paragraph" w:customStyle="1" w:styleId="BBTitle">
    <w:name w:val="BB_Title"/>
    <w:basedOn w:val="Normalpool"/>
    <w:link w:val="BBTitleChar"/>
    <w:rsid w:val="00FD6629"/>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ZZAnxtitle">
    <w:name w:val="ZZ_Anx_title"/>
    <w:basedOn w:val="Normalpool"/>
    <w:link w:val="ZZAnxtitleChar"/>
    <w:rsid w:val="00FD6629"/>
    <w:pPr>
      <w:tabs>
        <w:tab w:val="clear" w:pos="1253"/>
        <w:tab w:val="clear" w:pos="2376"/>
        <w:tab w:val="clear" w:pos="2952"/>
        <w:tab w:val="clear" w:pos="3514"/>
        <w:tab w:val="left" w:pos="1247"/>
        <w:tab w:val="left" w:pos="2381"/>
        <w:tab w:val="left" w:pos="2948"/>
        <w:tab w:val="left" w:pos="3515"/>
        <w:tab w:val="left" w:pos="4082"/>
      </w:tabs>
      <w:spacing w:before="360" w:after="120"/>
      <w:ind w:left="1247"/>
    </w:pPr>
    <w:rPr>
      <w:rFonts w:eastAsia="Times New Roman"/>
      <w:b/>
      <w:bCs/>
      <w:sz w:val="28"/>
      <w:szCs w:val="26"/>
    </w:rPr>
  </w:style>
  <w:style w:type="character" w:customStyle="1" w:styleId="BBTitleChar">
    <w:name w:val="BB_Title Char"/>
    <w:link w:val="BBTitle"/>
    <w:rsid w:val="00FD6629"/>
    <w:rPr>
      <w:rFonts w:cs="Times New Roman"/>
      <w:b/>
      <w:sz w:val="28"/>
      <w:szCs w:val="28"/>
      <w:lang w:val="en-GB"/>
    </w:rPr>
  </w:style>
  <w:style w:type="character" w:customStyle="1" w:styleId="CH2Char">
    <w:name w:val="CH2 Char"/>
    <w:link w:val="CH2"/>
    <w:rsid w:val="00FD6629"/>
    <w:rPr>
      <w:rFonts w:cs="Times New Roman"/>
      <w:b/>
      <w:sz w:val="24"/>
      <w:szCs w:val="24"/>
      <w:lang w:val="en-GB"/>
    </w:rPr>
  </w:style>
  <w:style w:type="character" w:customStyle="1" w:styleId="ZZAnxtitleChar">
    <w:name w:val="ZZ_Anx_title Char"/>
    <w:link w:val="ZZAnxtitle"/>
    <w:rsid w:val="00FD6629"/>
    <w:rPr>
      <w:rFonts w:cs="Times New Roman"/>
      <w:b/>
      <w:bCs/>
      <w:sz w:val="28"/>
      <w:szCs w:val="26"/>
      <w:lang w:val="en-GB"/>
    </w:rPr>
  </w:style>
  <w:style w:type="character" w:customStyle="1" w:styleId="ZZAnxheaderChar">
    <w:name w:val="ZZ_Anx_header Char"/>
    <w:link w:val="ZZAnxheader"/>
    <w:rsid w:val="00FD6629"/>
    <w:rPr>
      <w:rFonts w:cs="Times New Roman"/>
      <w:b/>
      <w:bCs/>
      <w:sz w:val="2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pool"/>
    <w:next w:val="Normalnumber"/>
    <w:link w:val="CH2Char"/>
    <w:rsid w:val="00FD6629"/>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80" w:after="120"/>
      <w:ind w:left="1247" w:right="284" w:hanging="1247"/>
    </w:pPr>
    <w:rPr>
      <w:rFonts w:eastAsia="Times New Roman"/>
      <w:b/>
      <w:sz w:val="24"/>
      <w:szCs w:val="24"/>
    </w:rPr>
  </w:style>
  <w:style w:type="paragraph" w:customStyle="1" w:styleId="BBTitle">
    <w:name w:val="BB_Title"/>
    <w:basedOn w:val="Normalpool"/>
    <w:link w:val="BBTitleChar"/>
    <w:rsid w:val="00FD6629"/>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ZZAnxtitle">
    <w:name w:val="ZZ_Anx_title"/>
    <w:basedOn w:val="Normalpool"/>
    <w:link w:val="ZZAnxtitleChar"/>
    <w:rsid w:val="00FD6629"/>
    <w:pPr>
      <w:tabs>
        <w:tab w:val="clear" w:pos="1253"/>
        <w:tab w:val="clear" w:pos="2376"/>
        <w:tab w:val="clear" w:pos="2952"/>
        <w:tab w:val="clear" w:pos="3514"/>
        <w:tab w:val="left" w:pos="1247"/>
        <w:tab w:val="left" w:pos="2381"/>
        <w:tab w:val="left" w:pos="2948"/>
        <w:tab w:val="left" w:pos="3515"/>
        <w:tab w:val="left" w:pos="4082"/>
      </w:tabs>
      <w:spacing w:before="360" w:after="120"/>
      <w:ind w:left="1247"/>
    </w:pPr>
    <w:rPr>
      <w:rFonts w:eastAsia="Times New Roman"/>
      <w:b/>
      <w:bCs/>
      <w:sz w:val="28"/>
      <w:szCs w:val="26"/>
    </w:rPr>
  </w:style>
  <w:style w:type="character" w:customStyle="1" w:styleId="BBTitleChar">
    <w:name w:val="BB_Title Char"/>
    <w:link w:val="BBTitle"/>
    <w:rsid w:val="00FD6629"/>
    <w:rPr>
      <w:rFonts w:cs="Times New Roman"/>
      <w:b/>
      <w:sz w:val="28"/>
      <w:szCs w:val="28"/>
      <w:lang w:val="en-GB"/>
    </w:rPr>
  </w:style>
  <w:style w:type="character" w:customStyle="1" w:styleId="CH2Char">
    <w:name w:val="CH2 Char"/>
    <w:link w:val="CH2"/>
    <w:rsid w:val="00FD6629"/>
    <w:rPr>
      <w:rFonts w:cs="Times New Roman"/>
      <w:b/>
      <w:sz w:val="24"/>
      <w:szCs w:val="24"/>
      <w:lang w:val="en-GB"/>
    </w:rPr>
  </w:style>
  <w:style w:type="character" w:customStyle="1" w:styleId="ZZAnxtitleChar">
    <w:name w:val="ZZ_Anx_title Char"/>
    <w:link w:val="ZZAnxtitle"/>
    <w:rsid w:val="00FD6629"/>
    <w:rPr>
      <w:rFonts w:cs="Times New Roman"/>
      <w:b/>
      <w:bCs/>
      <w:sz w:val="28"/>
      <w:szCs w:val="26"/>
      <w:lang w:val="en-GB"/>
    </w:rPr>
  </w:style>
  <w:style w:type="character" w:customStyle="1" w:styleId="ZZAnxheaderChar">
    <w:name w:val="ZZ_Anx_header Char"/>
    <w:link w:val="ZZAnxheader"/>
    <w:rsid w:val="00FD6629"/>
    <w:rPr>
      <w:rFonts w:cs="Times New Roman"/>
      <w:b/>
      <w:bCs/>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4783-9959-4125-AD3B-3916E9FD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2</cp:revision>
  <cp:lastPrinted>2016-09-05T13:00:00Z</cp:lastPrinted>
  <dcterms:created xsi:type="dcterms:W3CDTF">2017-07-10T13:39:00Z</dcterms:created>
  <dcterms:modified xsi:type="dcterms:W3CDTF">2017-07-10T13:39:00Z</dcterms:modified>
</cp:coreProperties>
</file>