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:rsidTr="00F12B39">
        <w:trPr>
          <w:cantSplit/>
          <w:trHeight w:val="226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:rsidR="004B0A17" w:rsidRPr="003F209F" w:rsidRDefault="00115715" w:rsidP="00D113A9">
            <w:pPr>
              <w:rPr>
                <w:rFonts w:cs="Times New Roman"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972640">
              <w:rPr>
                <w:rFonts w:cs="Times New Roman"/>
                <w:szCs w:val="20"/>
              </w:rPr>
              <w:t>2</w:t>
            </w:r>
            <w:r w:rsidR="003F209F">
              <w:rPr>
                <w:rFonts w:cs="Times New Roman"/>
                <w:szCs w:val="20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:rsidR="00934FB6" w:rsidRPr="00A969A0" w:rsidRDefault="003F209F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934FB6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July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796A" w:rsidRDefault="00DE796A" w:rsidP="00B42C89">
            <w:pPr>
              <w:bidi/>
              <w:spacing w:before="8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96A" w:rsidRDefault="000B1AA7" w:rsidP="007B173A">
            <w:pPr>
              <w:spacing w:line="20" w:lineRule="exact"/>
              <w:jc w:val="right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146EBE" wp14:editId="60E92D5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716915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796A" w:rsidRDefault="00F12B39" w:rsidP="007B173A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A854403" wp14:editId="158F1B3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48260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:rsidTr="00115715">
        <w:tc>
          <w:tcPr>
            <w:tcW w:w="9640" w:type="dxa"/>
          </w:tcPr>
          <w:p w:rsidR="00934FB6" w:rsidRDefault="00934FB6" w:rsidP="008A0CD7">
            <w:pPr>
              <w:bidi/>
              <w:spacing w:before="60" w:line="360" w:lineRule="exact"/>
              <w:ind w:left="140" w:right="6551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مؤتمر الأطراف في اتفاقية ميناماتا</w:t>
            </w:r>
            <w:r w:rsidR="008A0CD7">
              <w:rPr>
                <w:rFonts w:hint="cs"/>
                <w:b/>
                <w:bCs/>
                <w:sz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:rsidR="00934FB6" w:rsidRPr="00A579D1" w:rsidRDefault="00934FB6" w:rsidP="008A0CD7">
            <w:pPr>
              <w:bidi/>
              <w:spacing w:line="360" w:lineRule="exact"/>
              <w:ind w:left="140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:rsidR="00934FB6" w:rsidRPr="00D12452" w:rsidRDefault="00934FB6" w:rsidP="008A0CD7">
            <w:pPr>
              <w:bidi/>
              <w:spacing w:line="360" w:lineRule="exact"/>
              <w:ind w:left="140"/>
              <w:jc w:val="both"/>
              <w:rPr>
                <w:rFonts w:ascii="Traditional Arabic" w:hAnsi="Traditional Arabic"/>
                <w:b/>
                <w:bCs/>
                <w:sz w:val="30"/>
                <w:rtl/>
              </w:rPr>
            </w:pPr>
            <w:r w:rsidRPr="00D12452">
              <w:rPr>
                <w:rFonts w:ascii="Traditional Arabic" w:hAnsi="Traditional Arabic" w:hint="cs"/>
                <w:b/>
                <w:bCs/>
                <w:sz w:val="30"/>
                <w:rtl/>
              </w:rPr>
              <w:t>جنيف،</w:t>
            </w:r>
            <w:r w:rsidRPr="00D12452">
              <w:rPr>
                <w:rFonts w:ascii="Traditional Arabic" w:hAnsi="Traditional Arabic"/>
                <w:b/>
                <w:bCs/>
                <w:sz w:val="30"/>
                <w:rtl/>
              </w:rPr>
              <w:t xml:space="preserve"> </w:t>
            </w:r>
            <w:r w:rsidRPr="00D12452">
              <w:rPr>
                <w:rFonts w:ascii="Traditional Arabic" w:hAnsi="Traditional Arabic" w:hint="cs"/>
                <w:b/>
                <w:bCs/>
                <w:sz w:val="30"/>
                <w:rtl/>
              </w:rPr>
              <w:t>24</w:t>
            </w:r>
            <w:r w:rsidRPr="00D12452">
              <w:rPr>
                <w:rFonts w:ascii="Traditional Arabic" w:hAnsi="Traditional Arabic"/>
                <w:b/>
                <w:bCs/>
                <w:sz w:val="30"/>
                <w:rtl/>
              </w:rPr>
              <w:t>-</w:t>
            </w:r>
            <w:r w:rsidRPr="00D12452">
              <w:rPr>
                <w:rFonts w:ascii="Traditional Arabic" w:hAnsi="Traditional Arabic" w:hint="cs"/>
                <w:b/>
                <w:bCs/>
                <w:sz w:val="30"/>
                <w:rtl/>
              </w:rPr>
              <w:t>29</w:t>
            </w:r>
            <w:r w:rsidRPr="00D12452">
              <w:rPr>
                <w:rFonts w:ascii="Traditional Arabic" w:hAnsi="Traditional Arabic"/>
                <w:b/>
                <w:bCs/>
                <w:sz w:val="30"/>
                <w:rtl/>
              </w:rPr>
              <w:t xml:space="preserve"> </w:t>
            </w:r>
            <w:r w:rsidRPr="00D12452">
              <w:rPr>
                <w:rFonts w:ascii="Traditional Arabic" w:hAnsi="Traditional Arabic" w:hint="cs"/>
                <w:b/>
                <w:bCs/>
                <w:sz w:val="30"/>
                <w:rtl/>
              </w:rPr>
              <w:t>أيلول</w:t>
            </w:r>
            <w:r w:rsidRPr="00D12452">
              <w:rPr>
                <w:rFonts w:ascii="Traditional Arabic" w:hAnsi="Traditional Arabic"/>
                <w:b/>
                <w:bCs/>
                <w:sz w:val="30"/>
                <w:rtl/>
              </w:rPr>
              <w:t>/</w:t>
            </w:r>
            <w:r w:rsidRPr="00D12452">
              <w:rPr>
                <w:rFonts w:ascii="Traditional Arabic" w:hAnsi="Traditional Arabic" w:hint="cs"/>
                <w:b/>
                <w:bCs/>
                <w:sz w:val="30"/>
                <w:rtl/>
              </w:rPr>
              <w:t>سبتمبر</w:t>
            </w:r>
            <w:r w:rsidRPr="00D12452">
              <w:rPr>
                <w:rFonts w:ascii="Traditional Arabic" w:hAnsi="Traditional Arabic"/>
                <w:b/>
                <w:bCs/>
                <w:sz w:val="30"/>
                <w:rtl/>
              </w:rPr>
              <w:t xml:space="preserve"> 201</w:t>
            </w:r>
            <w:r w:rsidRPr="00D12452">
              <w:rPr>
                <w:rFonts w:ascii="Traditional Arabic" w:hAnsi="Traditional Arabic" w:hint="cs"/>
                <w:b/>
                <w:bCs/>
                <w:sz w:val="30"/>
                <w:rtl/>
              </w:rPr>
              <w:t>7</w:t>
            </w:r>
          </w:p>
          <w:p w:rsidR="00AA32A0" w:rsidRPr="00252FE5" w:rsidRDefault="00934FB6" w:rsidP="008A0CD7">
            <w:pPr>
              <w:bidi/>
              <w:spacing w:after="40" w:line="360" w:lineRule="exact"/>
              <w:ind w:left="14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البند </w:t>
            </w:r>
            <w:r w:rsidR="007231F8" w:rsidRPr="00B768F9">
              <w:rPr>
                <w:rFonts w:ascii="Traditional Arabic" w:hAnsi="Traditional Arabic"/>
                <w:sz w:val="30"/>
                <w:rtl/>
                <w:lang w:eastAsia="zh-TW"/>
              </w:rPr>
              <w:t>5 (ج) ’</w:t>
            </w:r>
            <w:proofErr w:type="gramStart"/>
            <w:r w:rsidR="007231F8" w:rsidRPr="00B768F9">
              <w:rPr>
                <w:rFonts w:ascii="Traditional Arabic" w:hAnsi="Traditional Arabic"/>
                <w:sz w:val="30"/>
                <w:rtl/>
                <w:lang w:eastAsia="zh-TW"/>
              </w:rPr>
              <w:t xml:space="preserve">3‘ </w:t>
            </w:r>
            <w:r>
              <w:rPr>
                <w:rFonts w:ascii="Traditional Arabic" w:hAnsi="Traditional Arabic" w:hint="cs"/>
                <w:sz w:val="30"/>
                <w:rtl/>
              </w:rPr>
              <w:t>من</w:t>
            </w:r>
            <w:proofErr w:type="gramEnd"/>
            <w:r>
              <w:rPr>
                <w:rFonts w:ascii="Traditional Arabic" w:hAnsi="Traditional Arabic" w:hint="cs"/>
                <w:sz w:val="30"/>
                <w:rtl/>
              </w:rPr>
              <w:t xml:space="preserve"> جدول الأعمال المؤقت</w:t>
            </w:r>
            <w:r w:rsidRPr="00980912">
              <w:rPr>
                <w:rStyle w:val="FootnoteReference"/>
                <w:rFonts w:cs="Times New Roman"/>
                <w:sz w:val="24"/>
                <w:szCs w:val="24"/>
                <w:rtl/>
              </w:rPr>
              <w:footnoteReference w:customMarkFollows="1" w:id="1"/>
              <w:t>*</w:t>
            </w:r>
          </w:p>
        </w:tc>
      </w:tr>
    </w:tbl>
    <w:p w:rsidR="00D113A9" w:rsidRPr="007231F8" w:rsidRDefault="007231F8" w:rsidP="008A0CD7">
      <w:pPr>
        <w:pStyle w:val="Title"/>
        <w:spacing w:after="240" w:line="340" w:lineRule="exact"/>
        <w:ind w:left="140" w:right="4961"/>
        <w:jc w:val="both"/>
        <w:rPr>
          <w:rFonts w:cs="Traditional Arabic"/>
          <w:b/>
          <w:bCs/>
          <w:sz w:val="28"/>
          <w:u w:val="none"/>
          <w:rtl/>
        </w:rPr>
      </w:pPr>
      <w:r w:rsidRPr="007231F8">
        <w:rPr>
          <w:rFonts w:ascii="Traditional Arabic" w:hAnsi="Traditional Arabic" w:cs="Traditional Arabic"/>
          <w:b/>
          <w:bCs/>
          <w:sz w:val="28"/>
          <w:u w:val="none"/>
          <w:rtl/>
          <w:lang w:eastAsia="zh-TW"/>
        </w:rPr>
        <w:t>مسائل ت</w:t>
      </w:r>
      <w:r w:rsidRPr="007231F8">
        <w:rPr>
          <w:rFonts w:ascii="Traditional Arabic" w:hAnsi="Traditional Arabic" w:cs="Traditional Arabic" w:hint="cs"/>
          <w:b/>
          <w:bCs/>
          <w:sz w:val="28"/>
          <w:u w:val="none"/>
          <w:rtl/>
          <w:lang w:eastAsia="zh-TW"/>
        </w:rPr>
        <w:t>ُ</w:t>
      </w:r>
      <w:r w:rsidRPr="007231F8">
        <w:rPr>
          <w:rFonts w:ascii="Traditional Arabic" w:hAnsi="Traditional Arabic" w:cs="Traditional Arabic"/>
          <w:b/>
          <w:bCs/>
          <w:sz w:val="28"/>
          <w:u w:val="none"/>
          <w:rtl/>
          <w:lang w:eastAsia="zh-TW"/>
        </w:rPr>
        <w:t>عرض على مؤتمر الأطراف لكي يتخذ إجراءً بشأنها في اجتماعه الأول: مسائل توصي بها لجنة التفاوض الحكومية الدولية: الموقع الفعلي للأمانة الدائمة</w:t>
      </w:r>
    </w:p>
    <w:p w:rsidR="007231F8" w:rsidRPr="002420A3" w:rsidRDefault="00972640" w:rsidP="008A0CD7">
      <w:pPr>
        <w:pStyle w:val="BBTitle"/>
        <w:tabs>
          <w:tab w:val="clear" w:pos="1247"/>
          <w:tab w:val="clear" w:pos="1814"/>
          <w:tab w:val="clear" w:pos="2381"/>
          <w:tab w:val="left" w:pos="1841"/>
          <w:tab w:val="left" w:pos="2408"/>
        </w:tabs>
        <w:bidi/>
        <w:spacing w:before="360" w:line="400" w:lineRule="exact"/>
        <w:ind w:left="1134" w:right="0"/>
        <w:jc w:val="both"/>
        <w:textDirection w:val="tbRlV"/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</w:pPr>
      <w:r w:rsidRPr="00972640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 xml:space="preserve">تحليل مستكمل للعرض </w:t>
      </w:r>
      <w:r w:rsidR="00422EA0">
        <w:rPr>
          <w:rFonts w:ascii="Traditional Arabic" w:hAnsi="Traditional Arabic" w:cs="Traditional Arabic" w:hint="cs"/>
          <w:b w:val="0"/>
          <w:bCs/>
          <w:sz w:val="34"/>
          <w:szCs w:val="34"/>
          <w:rtl/>
          <w:lang w:eastAsia="zh-TW"/>
        </w:rPr>
        <w:t>الذي قدمته</w:t>
      </w:r>
      <w:r w:rsidRPr="00972640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 xml:space="preserve"> حكومة سويسرا لاستضافة الأمانة الدائمة لاتفاقية ميناماتا بشأن الزئبق في جنيف، استنادا</w:t>
      </w:r>
      <w:r w:rsidR="008A0CD7">
        <w:rPr>
          <w:rFonts w:ascii="Traditional Arabic" w:hAnsi="Traditional Arabic" w:cs="Traditional Arabic" w:hint="cs"/>
          <w:b w:val="0"/>
          <w:bCs/>
          <w:sz w:val="34"/>
          <w:szCs w:val="34"/>
          <w:rtl/>
          <w:lang w:eastAsia="zh-TW"/>
        </w:rPr>
        <w:t>ً</w:t>
      </w:r>
      <w:r w:rsidRPr="00972640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 xml:space="preserve"> إلى التوضيحات التي وردت في ٢٧</w:t>
      </w:r>
      <w:r w:rsidR="007231F8" w:rsidRPr="00972640">
        <w:rPr>
          <w:rFonts w:ascii="Arial" w:hAnsi="Arial" w:cs="Arial" w:hint="cs"/>
          <w:b w:val="0"/>
          <w:bCs/>
          <w:sz w:val="34"/>
          <w:szCs w:val="34"/>
          <w:rtl/>
          <w:lang w:eastAsia="zh-TW"/>
        </w:rPr>
        <w:t>‬</w:t>
      </w:r>
      <w:r w:rsidRPr="00972640">
        <w:rPr>
          <w:rFonts w:ascii="Traditional Arabic" w:hAnsi="Traditional Arabic" w:cs="Traditional Arabic"/>
          <w:b w:val="0"/>
          <w:bCs/>
          <w:sz w:val="34"/>
          <w:szCs w:val="34"/>
          <w:rtl/>
          <w:lang w:eastAsia="zh-TW"/>
        </w:rPr>
        <w:t xml:space="preserve"> حزيران/يونيه ٢٠١٧</w:t>
      </w:r>
    </w:p>
    <w:p w:rsidR="007231F8" w:rsidRPr="002420A3" w:rsidRDefault="007231F8" w:rsidP="008A0CD7">
      <w:pPr>
        <w:pStyle w:val="CH2"/>
        <w:tabs>
          <w:tab w:val="clear" w:pos="851"/>
          <w:tab w:val="clear" w:pos="1247"/>
          <w:tab w:val="clear" w:pos="1814"/>
          <w:tab w:val="clear" w:pos="2381"/>
          <w:tab w:val="left" w:pos="1841"/>
          <w:tab w:val="left" w:pos="2408"/>
        </w:tabs>
        <w:bidi/>
        <w:spacing w:line="400" w:lineRule="exact"/>
        <w:ind w:left="1134" w:firstLine="0"/>
        <w:jc w:val="both"/>
        <w:textDirection w:val="tbRlV"/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</w:pPr>
      <w:r w:rsidRPr="002420A3">
        <w:rPr>
          <w:rFonts w:ascii="Traditional Arabic" w:hAnsi="Traditional Arabic" w:cs="Traditional Arabic"/>
          <w:b w:val="0"/>
          <w:bCs/>
          <w:sz w:val="32"/>
          <w:szCs w:val="32"/>
          <w:rtl/>
          <w:lang w:eastAsia="zh-TW"/>
        </w:rPr>
        <w:t>مذكرة من الأمانة</w:t>
      </w:r>
    </w:p>
    <w:p w:rsidR="00972640" w:rsidRPr="003B55B6" w:rsidRDefault="00972640" w:rsidP="008A0CD7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4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في الدورة السادسة للجنة التفاوض الحكومية الدولية المعنية بإعداد صك عالمي ملزم قانوناً بشأن الزئبق والتي عقدت في الفترة </w:t>
      </w:r>
      <w:r w:rsidRPr="00972640">
        <w:rPr>
          <w:rFonts w:ascii="Traditional Arabic" w:hAnsi="Traditional Arabic" w:cs="Traditional Arabic"/>
          <w:sz w:val="30"/>
          <w:szCs w:val="30"/>
          <w:rtl/>
          <w:lang w:eastAsia="zh-TW"/>
        </w:rPr>
        <w:t>من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3 إلى 7 تشرين الثاني/نوفمبر 2014، طلبت اللجنة إلى الأمانة المؤقتة لاتفاقية ميناماتا بشأن الزئبق أن تدعو الحكومات المهتمة باستضافة الأمانة الدائمة للاتفاقية إلى تقديم العروض في هذا الصدد، وأن تقوم بجمع وتحليل العروض </w:t>
      </w:r>
      <w:r w:rsidR="00422EA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الواردة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لكي تنظر فيها اللجنة في دورتها السابعة.</w:t>
      </w:r>
    </w:p>
    <w:p w:rsidR="00972640" w:rsidRPr="003B55B6" w:rsidRDefault="0097264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وبناءً على ذلك </w:t>
      </w:r>
      <w:r w:rsidRPr="00972640">
        <w:rPr>
          <w:rFonts w:ascii="Traditional Arabic" w:hAnsi="Traditional Arabic" w:cs="Traditional Arabic"/>
          <w:sz w:val="30"/>
          <w:szCs w:val="30"/>
          <w:rtl/>
          <w:lang w:eastAsia="zh-TW"/>
        </w:rPr>
        <w:t>أرسل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المدير التنفيذي لبرنامج الأمم المتحدة للبيئة</w:t>
      </w:r>
      <w:r w:rsidR="00422EA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٥ كانون الأول/ديسمبر ٢٠١٤، رسالة</w:t>
      </w:r>
      <w:r w:rsidR="00422EA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إلى جميع الحكومات يدعوها إلى تقديم عروض لاستضافة الأمانة الدائمة للاتفاقية بشكل فعلي. وتضمنت </w:t>
      </w:r>
      <w:bookmarkStart w:id="0" w:name="_GoBack"/>
      <w:bookmarkEnd w:id="0"/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الرسالة، </w:t>
      </w:r>
      <w:r w:rsidR="00422EA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 شكل ملحق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فئات المعلومات التي يمكن أن تشكل جزءا من اقتراح </w:t>
      </w:r>
      <w:r w:rsidR="00422EA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يقدم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من حكوم</w:t>
      </w:r>
      <w:r w:rsidR="00422EA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ة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مهتمة </w:t>
      </w:r>
      <w:r w:rsidR="00422EA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استضافة الأمانة الدائمة</w:t>
      </w:r>
      <w:r w:rsidR="00422EA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بشكل فعلي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. </w:t>
      </w:r>
    </w:p>
    <w:p w:rsidR="00972640" w:rsidRPr="003B55B6" w:rsidRDefault="00422EA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وقُدِّم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عرض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واحد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لاستضافة أمانة اتفاقية ميناماتا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بشكل فعلي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قبل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الموعد النهائي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المذكور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. هذا العرض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قدمته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حكومة سويسرا، التي عرضت استضافة الأمانة الدائمة في جنيف.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وقُدِّم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العرض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الوارد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من حكومة سويسرا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(</w:t>
      </w:r>
      <w:r w:rsidR="00A636E6" w:rsidRPr="001B418B">
        <w:rPr>
          <w:rFonts w:eastAsia="Arial Unicode MS" w:cs="Arial Unicode MS"/>
        </w:rPr>
        <w:t>(UNEP(DTIE)/Hg/INC.7/INF/5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)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مع </w:t>
      </w:r>
      <w:r w:rsidR="00A636E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تحليل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للعرض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أعدته الأمانة المؤقتة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(</w:t>
      </w:r>
      <w:r w:rsidR="00A636E6" w:rsidRPr="001B418B">
        <w:rPr>
          <w:rFonts w:eastAsia="Arial Unicode MS" w:cs="Arial Unicode MS"/>
        </w:rPr>
        <w:t>UNEP(DTIE)/Hg/INC.7/16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)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إلى اللجنة في دورتها السابعة التي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عقدت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البحر الميت في الأردن في الفترة من ١٠ إلى ١٥ آذار/مارس ٢٠١٧.</w:t>
      </w:r>
    </w:p>
    <w:p w:rsidR="00972640" w:rsidRPr="003B55B6" w:rsidRDefault="0097264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lastRenderedPageBreak/>
        <w:t xml:space="preserve">ونظرت اللجنة في دورتها السابعة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في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عرض حكومة سويسرا وتحليل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عرض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الذي أجرته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الأمانة المؤقتة،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وعقب ذلك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طلبت اللجنة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إلى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حكومة سويسرا النظر في توضيح شروط اقتراحه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A636E6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لكي يواصل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مؤتمر الأطراف </w:t>
      </w:r>
      <w:r w:rsidR="00A636E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النظر فيه</w:t>
      </w:r>
      <w:r w:rsidR="00A636E6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في اجتماعه الأول. </w:t>
      </w:r>
    </w:p>
    <w:p w:rsidR="00972640" w:rsidRPr="003B55B6" w:rsidRDefault="007E176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وبناءً على ذلك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قدمت حكومة </w:t>
      </w:r>
      <w:r w:rsidR="00972640" w:rsidRPr="00972640">
        <w:rPr>
          <w:rFonts w:ascii="Traditional Arabic" w:hAnsi="Traditional Arabic" w:cs="Traditional Arabic"/>
          <w:sz w:val="30"/>
          <w:szCs w:val="30"/>
          <w:rtl/>
          <w:lang w:eastAsia="zh-TW"/>
        </w:rPr>
        <w:t>سويسرا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وثيقة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توضح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الشروط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وتشير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في بعض الحالات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إلى تمديد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عرضها استضافة الأمانة الدائمة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،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وتسلمت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الأمانة المؤقتة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الوثيقة في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٢٧ حزيران/يونيه ٢٠١٧.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وتُعرض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وثيقة </w:t>
      </w:r>
      <w:r w:rsidRPr="008A0CD7">
        <w:rPr>
          <w:rFonts w:asciiTheme="majorBidi" w:hAnsiTheme="majorBidi" w:cstheme="majorBidi"/>
          <w:szCs w:val="20"/>
          <w:rtl/>
          <w:lang w:val="en-GB" w:eastAsia="zh-TW"/>
        </w:rPr>
        <w:t>(</w:t>
      </w:r>
      <w:r w:rsidRPr="008A0CD7">
        <w:rPr>
          <w:rFonts w:asciiTheme="majorBidi" w:eastAsia="Arial Unicode MS" w:hAnsiTheme="majorBidi" w:cstheme="majorBidi"/>
          <w:szCs w:val="20"/>
        </w:rPr>
        <w:t>UNEP/MC/COP.1/INF/8</w:t>
      </w:r>
      <w:r w:rsidRPr="008A0CD7">
        <w:rPr>
          <w:rFonts w:asciiTheme="majorBidi" w:hAnsiTheme="majorBidi" w:cstheme="majorBidi"/>
          <w:szCs w:val="20"/>
          <w:rtl/>
          <w:lang w:val="en-GB" w:eastAsia="zh-TW"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وال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عرض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أصلي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Pr="008A0CD7">
        <w:rPr>
          <w:rFonts w:asciiTheme="majorBidi" w:hAnsiTheme="majorBidi" w:cstheme="majorBidi"/>
          <w:szCs w:val="20"/>
          <w:rtl/>
          <w:lang w:val="en-GB" w:eastAsia="zh-TW"/>
        </w:rPr>
        <w:t>(</w:t>
      </w:r>
      <w:r w:rsidRPr="008A0CD7">
        <w:rPr>
          <w:rFonts w:asciiTheme="majorBidi" w:eastAsia="Arial Unicode MS" w:hAnsiTheme="majorBidi" w:cstheme="majorBidi"/>
          <w:szCs w:val="20"/>
        </w:rPr>
        <w:t>UNEP/MC/COP.1/INF/7</w:t>
      </w:r>
      <w:r w:rsidRPr="008A0CD7">
        <w:rPr>
          <w:rFonts w:asciiTheme="majorBidi" w:hAnsiTheme="majorBidi" w:cstheme="majorBidi"/>
          <w:szCs w:val="20"/>
          <w:rtl/>
          <w:lang w:val="en-GB" w:eastAsia="zh-TW"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لعلم مؤتمر الأطراف في اجتماعه الأول.</w:t>
      </w:r>
    </w:p>
    <w:p w:rsidR="00972640" w:rsidRPr="003B55B6" w:rsidRDefault="0097264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وفي الفقرات أدناه </w:t>
      </w:r>
      <w:r w:rsidR="007E1760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تواصل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الأمانة المؤقتة تحليل العرض </w:t>
      </w:r>
      <w:r w:rsidR="00CD06E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الذي قدمته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حكومة سويسرا في ضوء المعلومات الواردة في الوثيقة الإيضاحية.</w:t>
      </w:r>
    </w:p>
    <w:p w:rsidR="00972640" w:rsidRPr="00F64D26" w:rsidRDefault="00972640" w:rsidP="00F64D26">
      <w:pPr>
        <w:pStyle w:val="CH2"/>
        <w:tabs>
          <w:tab w:val="clear" w:pos="851"/>
          <w:tab w:val="clear" w:pos="1247"/>
          <w:tab w:val="clear" w:pos="1814"/>
          <w:tab w:val="clear" w:pos="2381"/>
          <w:tab w:val="left" w:pos="1841"/>
          <w:tab w:val="left" w:pos="2408"/>
        </w:tabs>
        <w:bidi/>
        <w:spacing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28"/>
          <w:szCs w:val="28"/>
          <w:rtl/>
          <w:lang w:eastAsia="zh-TW"/>
        </w:rPr>
      </w:pPr>
      <w:r w:rsidRPr="00F64D26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 xml:space="preserve">الخيار 1 (أ): الإدماج </w:t>
      </w:r>
      <w:r w:rsidR="00CD06E3">
        <w:rPr>
          <w:rFonts w:ascii="Traditional Arabic" w:hAnsi="Traditional Arabic" w:cs="Traditional Arabic" w:hint="cs"/>
          <w:b w:val="0"/>
          <w:bCs/>
          <w:sz w:val="30"/>
          <w:szCs w:val="30"/>
          <w:rtl/>
          <w:lang w:eastAsia="zh-TW"/>
        </w:rPr>
        <w:t>في</w:t>
      </w:r>
      <w:r w:rsidRPr="00F64D26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 xml:space="preserve"> أمانة اتفاقية بازل وروتردام واستكهولم باستخدام هيكلها الحالي</w:t>
      </w:r>
    </w:p>
    <w:p w:rsidR="00972640" w:rsidRPr="003B55B6" w:rsidRDefault="00CD06E3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تؤكد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الوثيقة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الإيضاحية مجدداً دعم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حكومة سويسرا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دمج الأمانة الدائمة لاتفاقية ميناماتا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أمانة اتفاقيات بازل وروتردام واستكهولم باستخدام الهيكل الحالي للأخيرة. وإذا اعتمد هذا الخيار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سوف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تقدم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حكومة سويسرا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مساهمة </w:t>
      </w:r>
      <w:r w:rsidR="00CF47EB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سنوية 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ك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بلد مضيف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اتفاقية ميناماتا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قدرها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٢</w:t>
      </w:r>
      <w:r w:rsidR="00F8505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٥ مليون فرنك سويسري.</w:t>
      </w:r>
    </w:p>
    <w:p w:rsidR="00972640" w:rsidRPr="003B55B6" w:rsidRDefault="0097264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eastAsia="Arial Unicode MS" w:hAnsi="Traditional Arabic" w:cs="Traditional Arabic"/>
          <w:sz w:val="30"/>
          <w:szCs w:val="30"/>
          <w:rtl/>
          <w:lang w:val="en-GB"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وفيما يتعلق 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خيار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الأمانة المدمجة هذا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أوضحت سويسرا 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أن </w:t>
      </w:r>
      <w:r w:rsidR="00CF47EB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مساهم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تها</w:t>
      </w:r>
      <w:r w:rsidR="00CF47EB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="00CF47EB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سنوية 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ك</w:t>
      </w:r>
      <w:r w:rsidR="00CF47EB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بلد مضيف 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س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تتألف من جزأين، 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الجزء ال</w:t>
      </w:r>
      <w:r w:rsidR="00CF47EB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أول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CF47EB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يبلغ </w:t>
      </w:r>
      <w:r w:rsidR="00B42CC8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مليوني فرنك سويسري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ولا يخضع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استخدام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لأي قيود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؛ و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يمكن 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هذا الجزء من المساهمة السنوية</w:t>
      </w:r>
      <w:r w:rsidR="00B42CC8" w:rsidRPr="00B42CC8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B42CC8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أن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ي</w:t>
      </w:r>
      <w:r w:rsidR="00B42CC8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ستخدم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على سبيل المثال، لتغطية تكاليف الاجتماعات، بغض النظر عن مكان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عقدها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. وأوضح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 سويسرا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أيضا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أ</w:t>
      </w:r>
      <w:r w:rsidR="00B42CC8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ن هذا الجزء غير المخصص من مساهمتها السنوية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سي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شمل الاشتراكات المقررة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سويسرا بوصفها طرفا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الاتفاقية.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(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في الاجتماع الأول لمؤتمر الأطراف،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كجزء من إعداد الصيغة النهائية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لقواعد المالية،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تُحدَّد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كيفية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تقسيم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مساهمة بلد مضيف بين الصندوق الاستئماني العام لاتفاقية ميناماتا الذي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سينشأ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لدعم الأنشطة الأساسية، والصندوق الاستئماني الخاص ال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ذ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ي 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سي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مو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َّ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 عن طريق التبرعات لدعم الأنشطة الإضافية)</w:t>
      </w:r>
      <w:r w:rsidR="00B42CC8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.</w:t>
      </w:r>
    </w:p>
    <w:p w:rsidR="00972640" w:rsidRPr="003B55B6" w:rsidRDefault="00B42CC8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eastAsia="Arial Unicode MS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أما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الجزء الثاني من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مساهمة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سويسرا السنوية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 حال اعتمد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خيار الأمانة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المدمجة بشكل تام فسيتكون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من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500 000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فرنك سويسري مخصصة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لدعم إدماج الأمانة 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لأنشطة المشتركة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بين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اتفاقيات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ميناماتا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بازل وروتردام واستكهولم.</w:t>
      </w:r>
    </w:p>
    <w:p w:rsidR="00972640" w:rsidRPr="003B55B6" w:rsidRDefault="0097264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وأخيرا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</w:t>
      </w:r>
      <w:r w:rsidR="00CB2F07">
        <w:rPr>
          <w:rFonts w:ascii="Traditional Arabic" w:hAnsi="Traditional Arabic" w:cs="Traditional Arabic" w:hint="cs"/>
          <w:sz w:val="30"/>
          <w:szCs w:val="30"/>
          <w:rtl/>
          <w:lang w:eastAsia="zh-TW"/>
        </w:rPr>
        <w:t xml:space="preserve">في حال اعتماد </w:t>
      </w:r>
      <w:r w:rsidRPr="00972640">
        <w:rPr>
          <w:rFonts w:ascii="Traditional Arabic" w:hAnsi="Traditional Arabic" w:cs="Traditional Arabic"/>
          <w:sz w:val="30"/>
          <w:szCs w:val="30"/>
          <w:rtl/>
          <w:lang w:eastAsia="zh-TW"/>
        </w:rPr>
        <w:t>خيار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الأمانة </w:t>
      </w:r>
      <w:r w:rsidR="00CB2F07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المدمجة تماماً </w:t>
      </w:r>
      <w:r w:rsidR="00563FB1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عرض سويسرا أيضا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دفع</w:t>
      </w:r>
      <w:r w:rsidR="00563FB1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مبلغ أولي قدره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100 000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فرنك سويسري </w:t>
      </w:r>
      <w:r w:rsidR="00563FB1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للهياكل الأساسية المكتبية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وتوحيد الأمانة.</w:t>
      </w:r>
    </w:p>
    <w:p w:rsidR="00972640" w:rsidRPr="004627B5" w:rsidRDefault="00972640" w:rsidP="00436DD2">
      <w:pPr>
        <w:pStyle w:val="CH2"/>
        <w:tabs>
          <w:tab w:val="clear" w:pos="851"/>
          <w:tab w:val="clear" w:pos="1247"/>
          <w:tab w:val="clear" w:pos="1814"/>
          <w:tab w:val="clear" w:pos="2381"/>
          <w:tab w:val="left" w:pos="1841"/>
          <w:tab w:val="left" w:pos="2408"/>
        </w:tabs>
        <w:bidi/>
        <w:spacing w:line="400" w:lineRule="exact"/>
        <w:ind w:left="1132" w:right="0" w:firstLine="0"/>
        <w:jc w:val="both"/>
        <w:textDirection w:val="tbRlV"/>
        <w:rPr>
          <w:rFonts w:ascii="Traditional Arabic" w:hAnsi="Traditional Arabic" w:cs="Traditional Arabic"/>
          <w:sz w:val="28"/>
          <w:szCs w:val="28"/>
          <w:rtl/>
          <w:lang w:eastAsia="zh-TW"/>
        </w:rPr>
      </w:pPr>
      <w:r w:rsidRPr="004627B5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 xml:space="preserve">الخيار 1 (ب): الإدماج </w:t>
      </w:r>
      <w:r w:rsidR="00DE2A72">
        <w:rPr>
          <w:rFonts w:ascii="Traditional Arabic" w:hAnsi="Traditional Arabic" w:cs="Traditional Arabic" w:hint="cs"/>
          <w:b w:val="0"/>
          <w:bCs/>
          <w:sz w:val="30"/>
          <w:szCs w:val="30"/>
          <w:rtl/>
          <w:lang w:eastAsia="zh-TW"/>
        </w:rPr>
        <w:t>في</w:t>
      </w:r>
      <w:r w:rsidRPr="004627B5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 xml:space="preserve"> أمانة اتفاقيات بازل وروتردام واستكهولم عن طريق تشكيل فرع رابع </w:t>
      </w:r>
      <w:r w:rsidR="00DE2A72">
        <w:rPr>
          <w:rFonts w:ascii="Traditional Arabic" w:hAnsi="Traditional Arabic" w:cs="Traditional Arabic" w:hint="cs"/>
          <w:b w:val="0"/>
          <w:bCs/>
          <w:sz w:val="30"/>
          <w:szCs w:val="30"/>
          <w:rtl/>
          <w:lang w:eastAsia="zh-TW"/>
        </w:rPr>
        <w:t>لفترة</w:t>
      </w:r>
      <w:r w:rsidRPr="004627B5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 xml:space="preserve"> مؤقتة</w:t>
      </w:r>
    </w:p>
    <w:p w:rsidR="00972640" w:rsidRPr="003B55B6" w:rsidRDefault="00DE2A72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eastAsia="Arial Unicode MS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تعالج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الوثيقة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الإيضاحية التي قدمتها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حكومة سويسرا أيضا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إمكانية دمج الأمانة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عن طريق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إنش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اء فرع رابع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للأمانة بصورة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مؤقت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ة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. ولا يتضمن عرض سويسرا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الأصلي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استضافة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الأمانة الدائمة النظر في هذا الخيار.</w:t>
      </w:r>
    </w:p>
    <w:p w:rsidR="00972640" w:rsidRPr="003B55B6" w:rsidRDefault="00DE2A72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eastAsia="Arial Unicode MS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و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شير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سويسرا إلى أنه في حال اعتماد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هذا الخيار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فإ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نها ستقدم مساهم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ة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سنوي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ة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غير مخصصة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قدرها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مليون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فرنك سويسري. وكما هو الحال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الخيار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أعلاه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يمكن استنتاج أن هذه المساهمة السنوية غير المخصصة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تتاح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دون أي قيود على كيفية استخدامها، بما في ذلك دون أي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قيود معينة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استخدامه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للاجتماعات،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في أي مكان تعقد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lastRenderedPageBreak/>
        <w:t>فيه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. وكما ذكر أعلاه يمكن </w:t>
      </w:r>
      <w:r w:rsidR="00DF6B6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أيضاً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استنتاج أن هذه المساهمة السنوية </w:t>
      </w:r>
      <w:r w:rsidR="00DF6B6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غير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المخصصة </w:t>
      </w:r>
      <w:r w:rsidR="00DF6B6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البالغة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مليوني فرنك سويسري </w:t>
      </w:r>
      <w:r w:rsidR="00DF6B6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ت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شمل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اشتراكات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مقررة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سويسرا بوصفها طرفا</w:t>
      </w:r>
      <w:r w:rsidR="00F8505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الاتفاقية.</w:t>
      </w:r>
    </w:p>
    <w:p w:rsidR="00972640" w:rsidRPr="003B55B6" w:rsidRDefault="006752CF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eastAsia="Arial Unicode MS" w:hAnsi="Traditional Arabic" w:cs="Traditional Arabic"/>
          <w:sz w:val="30"/>
          <w:szCs w:val="30"/>
          <w:rtl/>
          <w:lang w:val="en-GB" w:eastAsia="zh-TW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يشمل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هذا الخيار أيضا</w:t>
      </w:r>
      <w:r w:rsidR="00F85053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دفع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مبلغ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أولي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قدره 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١٠٠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 000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فرنك سويسري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للهياكل الأساسية المكتبية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وتوحيد</w:t>
      </w:r>
      <w:r w:rsidR="00972640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الأمانة.</w:t>
      </w:r>
    </w:p>
    <w:p w:rsidR="00972640" w:rsidRPr="00F64D26" w:rsidRDefault="00972640" w:rsidP="00F64D26">
      <w:pPr>
        <w:pStyle w:val="CH2"/>
        <w:tabs>
          <w:tab w:val="clear" w:pos="851"/>
          <w:tab w:val="clear" w:pos="1247"/>
          <w:tab w:val="clear" w:pos="1814"/>
          <w:tab w:val="clear" w:pos="2381"/>
          <w:tab w:val="left" w:pos="1841"/>
          <w:tab w:val="left" w:pos="2408"/>
        </w:tabs>
        <w:bidi/>
        <w:spacing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</w:pPr>
      <w:r w:rsidRPr="00F64D26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>الخيار ٢: استخدام الأمانة المؤقتة</w:t>
      </w:r>
    </w:p>
    <w:p w:rsidR="00972640" w:rsidRPr="003B55B6" w:rsidRDefault="0097264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eastAsia="Arial Unicode MS" w:hAnsi="Traditional Arabic" w:cs="Traditional Arabic"/>
          <w:sz w:val="30"/>
          <w:szCs w:val="30"/>
          <w:rtl/>
          <w:lang w:val="en-GB"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فيما يتعلق بخيار استخدام الأمانة المؤقتة أساسا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="006752C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أمانة دائمة في جنيف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فإن عرض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سويسرا الأصلي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يقصِر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6752CF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دعم </w:t>
      </w:r>
      <w:r w:rsidR="006752C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سويسر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هذا الخيار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على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اشتراكات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ها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المقررة بوصفها طرفا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في الاتفاقية.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بيد أن</w:t>
      </w:r>
      <w:r w:rsidR="006752CF"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حكومة سويسرا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تشير في </w:t>
      </w:r>
      <w:r w:rsidR="006752C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الوثيقة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الإيضاحية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إلى أنها سوف تقدم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أيضاً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مساهمة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ً قدرها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١٠٠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 000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فرنك سويسري لل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هياكل الأساسية ال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مكتب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ية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وتوحيد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الأمانة.</w:t>
      </w:r>
    </w:p>
    <w:p w:rsidR="00972640" w:rsidRPr="003B55B6" w:rsidRDefault="00972640" w:rsidP="006752CF">
      <w:pPr>
        <w:pStyle w:val="CH2"/>
        <w:tabs>
          <w:tab w:val="clear" w:pos="851"/>
          <w:tab w:val="clear" w:pos="1247"/>
          <w:tab w:val="clear" w:pos="1814"/>
          <w:tab w:val="clear" w:pos="2381"/>
          <w:tab w:val="left" w:pos="1841"/>
          <w:tab w:val="left" w:pos="2408"/>
        </w:tabs>
        <w:bidi/>
        <w:spacing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6752CF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>فيما يخص جميع الخيارات</w:t>
      </w:r>
    </w:p>
    <w:p w:rsidR="00972640" w:rsidRPr="003B55B6" w:rsidRDefault="0097264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val="en-GB"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أخيرا</w:t>
      </w:r>
      <w:r w:rsidR="00436DD2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،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فيما يخص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جميع الخيارات التي تنطوي على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وجود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موقع الأمانة الدائ</w:t>
      </w:r>
      <w:r w:rsidR="006752CF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مة في جنيف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 فإن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حكومة سويسرا </w:t>
      </w:r>
      <w:r w:rsidR="006752CF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أشارت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إلى أنها سوف تقدم حيزا</w:t>
      </w:r>
      <w:r w:rsidR="00D6230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ً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D6230C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مك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تب</w:t>
      </w:r>
      <w:r w:rsidR="00D6230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ياً معفى من الإيجار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D6230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مع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استخدام مركز المؤتمرات الدولي في جنيف </w:t>
      </w:r>
      <w:r w:rsidR="00D6230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 xml:space="preserve">مجاناً 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لأغراض الاجتماع</w:t>
      </w:r>
      <w:r w:rsidR="00D6230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ات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>.</w:t>
      </w:r>
    </w:p>
    <w:p w:rsidR="00972640" w:rsidRPr="003B55B6" w:rsidRDefault="00972640" w:rsidP="00D6230C">
      <w:pPr>
        <w:pStyle w:val="CH2"/>
        <w:tabs>
          <w:tab w:val="clear" w:pos="851"/>
          <w:tab w:val="clear" w:pos="1247"/>
          <w:tab w:val="clear" w:pos="1814"/>
          <w:tab w:val="clear" w:pos="2381"/>
          <w:tab w:val="left" w:pos="1841"/>
          <w:tab w:val="left" w:pos="2408"/>
        </w:tabs>
        <w:bidi/>
        <w:spacing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szCs w:val="30"/>
          <w:rtl/>
          <w:lang w:eastAsia="zh-TW"/>
        </w:rPr>
      </w:pPr>
      <w:r w:rsidRPr="00D6230C">
        <w:rPr>
          <w:rFonts w:ascii="Traditional Arabic" w:hAnsi="Traditional Arabic" w:cs="Traditional Arabic"/>
          <w:b w:val="0"/>
          <w:bCs/>
          <w:sz w:val="30"/>
          <w:szCs w:val="30"/>
          <w:rtl/>
          <w:lang w:eastAsia="zh-TW"/>
        </w:rPr>
        <w:t>الإجراء المقترح اتخاذه من جانب مؤتمر الأطراف</w:t>
      </w:r>
    </w:p>
    <w:p w:rsidR="00972640" w:rsidRDefault="00972640" w:rsidP="00972640">
      <w:pPr>
        <w:pStyle w:val="Normalnumber"/>
        <w:numPr>
          <w:ilvl w:val="0"/>
          <w:numId w:val="18"/>
        </w:numPr>
        <w:tabs>
          <w:tab w:val="left" w:pos="1841"/>
          <w:tab w:val="left" w:pos="2408"/>
        </w:tabs>
        <w:autoSpaceDE/>
        <w:autoSpaceDN/>
        <w:bidi/>
        <w:adjustRightInd/>
        <w:spacing w:line="400" w:lineRule="exact"/>
        <w:ind w:left="1132"/>
        <w:jc w:val="both"/>
        <w:textDirection w:val="tbRlV"/>
        <w:rPr>
          <w:rFonts w:ascii="Traditional Arabic" w:hAnsi="Traditional Arabic" w:cs="Traditional Arabic"/>
          <w:sz w:val="30"/>
          <w:szCs w:val="30"/>
          <w:lang w:eastAsia="zh-TW"/>
        </w:rPr>
      </w:pP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قد يرغب مؤتمر </w:t>
      </w:r>
      <w:r w:rsidRPr="00972640">
        <w:rPr>
          <w:rFonts w:ascii="Traditional Arabic" w:hAnsi="Traditional Arabic" w:cs="Traditional Arabic"/>
          <w:sz w:val="30"/>
          <w:szCs w:val="30"/>
          <w:rtl/>
          <w:lang w:eastAsia="zh-TW"/>
        </w:rPr>
        <w:t>الأطراف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</w:t>
      </w:r>
      <w:r w:rsidR="00D6230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في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النظر في العرض </w:t>
      </w:r>
      <w:r w:rsidR="00D6230C">
        <w:rPr>
          <w:rFonts w:ascii="Traditional Arabic" w:hAnsi="Traditional Arabic" w:cs="Traditional Arabic" w:hint="cs"/>
          <w:sz w:val="30"/>
          <w:szCs w:val="30"/>
          <w:rtl/>
          <w:lang w:val="en-GB" w:eastAsia="zh-TW"/>
        </w:rPr>
        <w:t>الذي قدمته</w:t>
      </w:r>
      <w:r w:rsidRPr="003B55B6">
        <w:rPr>
          <w:rFonts w:ascii="Traditional Arabic" w:hAnsi="Traditional Arabic" w:cs="Traditional Arabic"/>
          <w:sz w:val="30"/>
          <w:szCs w:val="30"/>
          <w:rtl/>
          <w:lang w:val="en-GB" w:eastAsia="zh-TW"/>
        </w:rPr>
        <w:t xml:space="preserve"> حكومة سويسرا في مداولاته المتعلقة بموقع الأمانة الدائمة لاتفاقية ميناماتا.</w:t>
      </w:r>
    </w:p>
    <w:p w:rsidR="00451ABD" w:rsidRDefault="0038322E" w:rsidP="002420A3">
      <w:pPr>
        <w:bidi/>
        <w:spacing w:after="120" w:line="400" w:lineRule="exact"/>
        <w:ind w:left="1134"/>
        <w:jc w:val="center"/>
        <w:rPr>
          <w:sz w:val="30"/>
          <w:rtl/>
        </w:rPr>
      </w:pPr>
      <w:r>
        <w:rPr>
          <w:sz w:val="30"/>
        </w:rPr>
        <w:t>____</w:t>
      </w:r>
      <w:r w:rsidR="00EC3A5F">
        <w:rPr>
          <w:sz w:val="30"/>
        </w:rPr>
        <w:t>________</w:t>
      </w:r>
    </w:p>
    <w:sectPr w:rsidR="00451ABD" w:rsidSect="002361B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26" w:rsidRDefault="00274726">
      <w:r>
        <w:separator/>
      </w:r>
    </w:p>
  </w:endnote>
  <w:endnote w:type="continuationSeparator" w:id="0">
    <w:p w:rsidR="00274726" w:rsidRDefault="0027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2E" w:rsidRPr="007B173A" w:rsidRDefault="0042042E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092CF1">
      <w:rPr>
        <w:rStyle w:val="PageNumber"/>
        <w:rFonts w:ascii="Times New Roman" w:hAnsi="Times New Roman" w:cs="Times New Roman"/>
      </w:rPr>
      <w:t>2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2E" w:rsidRPr="007B173A" w:rsidRDefault="0042042E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092CF1">
      <w:rPr>
        <w:rStyle w:val="PageNumber"/>
        <w:rFonts w:ascii="Times New Roman" w:hAnsi="Times New Roman" w:cs="Times New Roman"/>
      </w:rPr>
      <w:t>3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2E" w:rsidRPr="00D80FA4" w:rsidRDefault="00D80FA4" w:rsidP="006E1D97">
    <w:pPr>
      <w:pStyle w:val="Footer"/>
      <w:tabs>
        <w:tab w:val="clear" w:pos="4153"/>
        <w:tab w:val="clear" w:pos="8306"/>
      </w:tabs>
      <w:bidi/>
      <w:jc w:val="left"/>
      <w:rPr>
        <w:rFonts w:asciiTheme="majorBidi" w:hAnsiTheme="majorBidi" w:cstheme="majorBidi"/>
        <w:szCs w:val="20"/>
      </w:rPr>
    </w:pPr>
    <w:r w:rsidRPr="00D80FA4">
      <w:rPr>
        <w:rStyle w:val="PageNumber"/>
        <w:rFonts w:asciiTheme="majorBidi" w:hAnsiTheme="majorBidi" w:cstheme="majorBidi"/>
        <w:szCs w:val="20"/>
      </w:rPr>
      <w:t>K170</w:t>
    </w:r>
    <w:r w:rsidR="002420A3">
      <w:rPr>
        <w:rStyle w:val="PageNumber"/>
        <w:rFonts w:asciiTheme="majorBidi" w:hAnsiTheme="majorBidi" w:cstheme="majorBidi"/>
        <w:szCs w:val="20"/>
      </w:rPr>
      <w:t>71</w:t>
    </w:r>
    <w:r w:rsidR="00A636E6">
      <w:rPr>
        <w:rStyle w:val="PageNumber"/>
        <w:rFonts w:asciiTheme="majorBidi" w:hAnsiTheme="majorBidi" w:cstheme="majorBidi"/>
        <w:szCs w:val="20"/>
      </w:rPr>
      <w:t>50</w:t>
    </w:r>
    <w:r w:rsidR="006E1D97">
      <w:rPr>
        <w:rStyle w:val="PageNumber"/>
        <w:rFonts w:asciiTheme="majorBidi" w:hAnsiTheme="majorBidi" w:cstheme="majorBidi" w:hint="cs"/>
        <w:szCs w:val="20"/>
        <w:rtl/>
      </w:rPr>
      <w:tab/>
    </w:r>
    <w:r w:rsidR="00092CF1">
      <w:rPr>
        <w:rStyle w:val="PageNumber"/>
        <w:rFonts w:asciiTheme="majorBidi" w:hAnsiTheme="majorBidi" w:cstheme="majorBidi"/>
        <w:szCs w:val="20"/>
      </w:rPr>
      <w:t>0808</w:t>
    </w:r>
    <w:r w:rsidR="006E1D97" w:rsidRPr="00D80FA4">
      <w:rPr>
        <w:rStyle w:val="PageNumber"/>
        <w:rFonts w:asciiTheme="majorBidi" w:hAnsiTheme="majorBidi" w:cstheme="majorBidi"/>
        <w:szCs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26" w:rsidRDefault="00274726" w:rsidP="008A79DC">
      <w:pPr>
        <w:bidi/>
        <w:ind w:left="720"/>
      </w:pPr>
      <w:r>
        <w:separator/>
      </w:r>
    </w:p>
  </w:footnote>
  <w:footnote w:type="continuationSeparator" w:id="0">
    <w:p w:rsidR="00274726" w:rsidRDefault="00274726">
      <w:r>
        <w:continuationSeparator/>
      </w:r>
    </w:p>
  </w:footnote>
  <w:footnote w:id="1">
    <w:p w:rsidR="00934FB6" w:rsidRPr="007243C3" w:rsidRDefault="00934FB6" w:rsidP="00934FB6">
      <w:pPr>
        <w:pStyle w:val="FootnoteText"/>
        <w:bidi/>
        <w:spacing w:after="60" w:line="300" w:lineRule="exact"/>
        <w:ind w:left="1134"/>
        <w:jc w:val="left"/>
        <w:rPr>
          <w:rFonts w:ascii="Times New Roman" w:hAnsi="Times New Roman" w:cs="Times New Roman"/>
        </w:rPr>
      </w:pPr>
      <w:r w:rsidRPr="008A0CD7">
        <w:rPr>
          <w:rStyle w:val="FootnoteReference"/>
          <w:rFonts w:ascii="Times New Roman" w:hAnsi="Times New Roman" w:cs="Times New Roman"/>
          <w:sz w:val="18"/>
          <w:szCs w:val="18"/>
          <w:rtl/>
        </w:rPr>
        <w:t>*</w:t>
      </w:r>
      <w:r w:rsidRPr="007243C3">
        <w:rPr>
          <w:rFonts w:ascii="Times New Roman" w:hAnsi="Times New Roman" w:cs="Times New Roman"/>
          <w:rtl/>
        </w:rPr>
        <w:t xml:space="preserve"> </w:t>
      </w:r>
      <w:r w:rsidR="00420706" w:rsidRPr="007243C3">
        <w:rPr>
          <w:rFonts w:ascii="Times New Roman" w:hAnsi="Times New Roman" w:cs="Times New Roman"/>
          <w:rtl/>
        </w:rPr>
        <w:t xml:space="preserve"> </w:t>
      </w:r>
      <w:r w:rsidRPr="00B75CA1">
        <w:rPr>
          <w:rFonts w:ascii="Times New Roman" w:hAnsi="Times New Roman" w:cs="Times New Roman"/>
          <w:sz w:val="18"/>
          <w:szCs w:val="18"/>
        </w:rPr>
        <w:t>UNEP</w:t>
      </w:r>
      <w:r>
        <w:rPr>
          <w:rFonts w:ascii="Times New Roman" w:hAnsi="Times New Roman" w:cs="Times New Roman"/>
          <w:sz w:val="18"/>
          <w:szCs w:val="18"/>
        </w:rPr>
        <w:t>/MC/COP.1</w:t>
      </w:r>
      <w:r w:rsidRPr="00B75CA1">
        <w:rPr>
          <w:rFonts w:ascii="Times New Roman" w:hAnsi="Times New Roman" w:cs="Times New Roman"/>
          <w:sz w:val="18"/>
          <w:szCs w:val="18"/>
        </w:rPr>
        <w:t>/1</w:t>
      </w:r>
      <w:r w:rsidRPr="008A0CD7">
        <w:rPr>
          <w:rFonts w:ascii="Traditional Arabic" w:hAnsi="Traditional Arabic"/>
          <w:sz w:val="26"/>
          <w:szCs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2E" w:rsidRPr="009D4EBB" w:rsidRDefault="00934FB6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A636E6">
      <w:rPr>
        <w:b/>
        <w:bCs/>
        <w:sz w:val="17"/>
        <w:szCs w:val="17"/>
        <w:lang w:val="fr-FR"/>
      </w:rPr>
      <w:t>2</w:t>
    </w:r>
    <w:r w:rsidR="002420A3">
      <w:rPr>
        <w:b/>
        <w:bCs/>
        <w:sz w:val="17"/>
        <w:szCs w:val="17"/>
        <w:lang w:val="fr-FR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2E" w:rsidRPr="00EC3A5F" w:rsidRDefault="00934FB6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A636E6">
      <w:rPr>
        <w:b/>
        <w:bCs/>
        <w:sz w:val="17"/>
        <w:szCs w:val="17"/>
        <w:lang w:val="fr-FR"/>
      </w:rPr>
      <w:t>2</w:t>
    </w:r>
    <w:r w:rsidR="00AB1611">
      <w:rPr>
        <w:b/>
        <w:bCs/>
        <w:sz w:val="17"/>
        <w:szCs w:val="17"/>
        <w:lang w:val="fr-FR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8AA0772"/>
    <w:multiLevelType w:val="hybridMultilevel"/>
    <w:tmpl w:val="06A41752"/>
    <w:lvl w:ilvl="0" w:tplc="8A160952">
      <w:start w:val="1"/>
      <w:numFmt w:val="decimal"/>
      <w:lvlText w:val="%1-"/>
      <w:lvlJc w:val="left"/>
      <w:pPr>
        <w:ind w:left="133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4359"/>
    <w:multiLevelType w:val="hybridMultilevel"/>
    <w:tmpl w:val="48241D10"/>
    <w:numStyleLink w:val="Normallist"/>
  </w:abstractNum>
  <w:abstractNum w:abstractNumId="4" w15:restartNumberingAfterBreak="0">
    <w:nsid w:val="30927E40"/>
    <w:multiLevelType w:val="hybridMultilevel"/>
    <w:tmpl w:val="1D7091DA"/>
    <w:lvl w:ilvl="0" w:tplc="36C81850">
      <w:start w:val="21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95D64A6"/>
    <w:multiLevelType w:val="hybridMultilevel"/>
    <w:tmpl w:val="4B54480E"/>
    <w:lvl w:ilvl="0" w:tplc="30CC5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04E1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31C3"/>
    <w:multiLevelType w:val="hybridMultilevel"/>
    <w:tmpl w:val="8B92FE12"/>
    <w:lvl w:ilvl="0" w:tplc="8F5891F2">
      <w:start w:val="17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0C8561A"/>
    <w:multiLevelType w:val="singleLevel"/>
    <w:tmpl w:val="779E85D6"/>
    <w:lvl w:ilvl="0">
      <w:numFmt w:val="ganada"/>
      <w:lvlText w:val="%1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8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54DA0699"/>
    <w:multiLevelType w:val="hybridMultilevel"/>
    <w:tmpl w:val="33CECC38"/>
    <w:lvl w:ilvl="0" w:tplc="6CD47A02">
      <w:start w:val="1"/>
      <w:numFmt w:val="arabicAlpha"/>
      <w:lvlText w:val="(%1)"/>
      <w:lvlJc w:val="left"/>
      <w:pPr>
        <w:ind w:left="213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" w15:restartNumberingAfterBreak="0">
    <w:nsid w:val="57B346CB"/>
    <w:multiLevelType w:val="hybridMultilevel"/>
    <w:tmpl w:val="69EAD434"/>
    <w:lvl w:ilvl="0" w:tplc="6ED6A31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4A9CADDE">
      <w:start w:val="1"/>
      <w:numFmt w:val="bullet"/>
      <w:lvlText w:val="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17927"/>
    <w:multiLevelType w:val="hybridMultilevel"/>
    <w:tmpl w:val="9E1C1C44"/>
    <w:lvl w:ilvl="0" w:tplc="D5D03EE0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Traditional Arabic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ED2721E"/>
    <w:multiLevelType w:val="hybridMultilevel"/>
    <w:tmpl w:val="4A56294A"/>
    <w:lvl w:ilvl="0" w:tplc="6FD6C01A">
      <w:start w:val="18"/>
      <w:numFmt w:val="decimal"/>
      <w:lvlText w:val="%1-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15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9"/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9">
    <w:abstractNumId w:val="3"/>
  </w:num>
  <w:num w:numId="20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3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9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0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3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3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B"/>
    <w:rsid w:val="000242CB"/>
    <w:rsid w:val="00024566"/>
    <w:rsid w:val="00024D2B"/>
    <w:rsid w:val="0003131F"/>
    <w:rsid w:val="00033595"/>
    <w:rsid w:val="00033A5C"/>
    <w:rsid w:val="00037D52"/>
    <w:rsid w:val="0004010A"/>
    <w:rsid w:val="00051665"/>
    <w:rsid w:val="0006021A"/>
    <w:rsid w:val="000668FE"/>
    <w:rsid w:val="00071F69"/>
    <w:rsid w:val="00072F5D"/>
    <w:rsid w:val="0008088A"/>
    <w:rsid w:val="000844F9"/>
    <w:rsid w:val="00092CF1"/>
    <w:rsid w:val="000A33B7"/>
    <w:rsid w:val="000B1AA7"/>
    <w:rsid w:val="000B41E8"/>
    <w:rsid w:val="000C042E"/>
    <w:rsid w:val="000C4BFF"/>
    <w:rsid w:val="000C6AF1"/>
    <w:rsid w:val="000C72D5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8F1"/>
    <w:rsid w:val="00143EB4"/>
    <w:rsid w:val="00146150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2079F8"/>
    <w:rsid w:val="002300EA"/>
    <w:rsid w:val="0023160B"/>
    <w:rsid w:val="002323CD"/>
    <w:rsid w:val="002361BF"/>
    <w:rsid w:val="002420A3"/>
    <w:rsid w:val="00252FE5"/>
    <w:rsid w:val="00255F00"/>
    <w:rsid w:val="00260A65"/>
    <w:rsid w:val="00260C3B"/>
    <w:rsid w:val="00261436"/>
    <w:rsid w:val="00261451"/>
    <w:rsid w:val="00267DA8"/>
    <w:rsid w:val="0027071F"/>
    <w:rsid w:val="00274726"/>
    <w:rsid w:val="00276295"/>
    <w:rsid w:val="00276330"/>
    <w:rsid w:val="00291EAE"/>
    <w:rsid w:val="00295F25"/>
    <w:rsid w:val="002962A4"/>
    <w:rsid w:val="002A2BDE"/>
    <w:rsid w:val="002B14DB"/>
    <w:rsid w:val="002C1EE1"/>
    <w:rsid w:val="002C46F7"/>
    <w:rsid w:val="002C60AD"/>
    <w:rsid w:val="002D07C5"/>
    <w:rsid w:val="002D57DB"/>
    <w:rsid w:val="002E7390"/>
    <w:rsid w:val="002F11C2"/>
    <w:rsid w:val="002F74A0"/>
    <w:rsid w:val="00304FAF"/>
    <w:rsid w:val="00306618"/>
    <w:rsid w:val="00310BFE"/>
    <w:rsid w:val="00317E61"/>
    <w:rsid w:val="00323929"/>
    <w:rsid w:val="003501E1"/>
    <w:rsid w:val="003511A7"/>
    <w:rsid w:val="00351FDC"/>
    <w:rsid w:val="003553DB"/>
    <w:rsid w:val="0036154E"/>
    <w:rsid w:val="0036250E"/>
    <w:rsid w:val="003821A4"/>
    <w:rsid w:val="0038322E"/>
    <w:rsid w:val="00386BD3"/>
    <w:rsid w:val="00390CD8"/>
    <w:rsid w:val="003923ED"/>
    <w:rsid w:val="00397363"/>
    <w:rsid w:val="003A7AA7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209F"/>
    <w:rsid w:val="003F77FF"/>
    <w:rsid w:val="0040218B"/>
    <w:rsid w:val="00403B93"/>
    <w:rsid w:val="00405211"/>
    <w:rsid w:val="004112CD"/>
    <w:rsid w:val="0042042E"/>
    <w:rsid w:val="00420706"/>
    <w:rsid w:val="00422EA0"/>
    <w:rsid w:val="00423AEE"/>
    <w:rsid w:val="00436DD2"/>
    <w:rsid w:val="00451081"/>
    <w:rsid w:val="00451ABD"/>
    <w:rsid w:val="004524AB"/>
    <w:rsid w:val="004547E5"/>
    <w:rsid w:val="004606CA"/>
    <w:rsid w:val="004627B5"/>
    <w:rsid w:val="00472C66"/>
    <w:rsid w:val="00485260"/>
    <w:rsid w:val="004877C0"/>
    <w:rsid w:val="004916B5"/>
    <w:rsid w:val="0049251D"/>
    <w:rsid w:val="00495361"/>
    <w:rsid w:val="004A1FC4"/>
    <w:rsid w:val="004B0A17"/>
    <w:rsid w:val="004D0F9A"/>
    <w:rsid w:val="004D2B12"/>
    <w:rsid w:val="004D567F"/>
    <w:rsid w:val="004E001B"/>
    <w:rsid w:val="004E1EDE"/>
    <w:rsid w:val="004E4EB2"/>
    <w:rsid w:val="004E5370"/>
    <w:rsid w:val="004E7B30"/>
    <w:rsid w:val="004F26CB"/>
    <w:rsid w:val="005023EE"/>
    <w:rsid w:val="00505660"/>
    <w:rsid w:val="005064C3"/>
    <w:rsid w:val="00522932"/>
    <w:rsid w:val="005234DB"/>
    <w:rsid w:val="00530F46"/>
    <w:rsid w:val="00540949"/>
    <w:rsid w:val="005435B2"/>
    <w:rsid w:val="00563FB1"/>
    <w:rsid w:val="005668A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55FF"/>
    <w:rsid w:val="005D23EF"/>
    <w:rsid w:val="005E06C5"/>
    <w:rsid w:val="005E2737"/>
    <w:rsid w:val="005E35EA"/>
    <w:rsid w:val="005E6B63"/>
    <w:rsid w:val="005F3809"/>
    <w:rsid w:val="005F5925"/>
    <w:rsid w:val="00601018"/>
    <w:rsid w:val="0060188A"/>
    <w:rsid w:val="0060772E"/>
    <w:rsid w:val="00614BE8"/>
    <w:rsid w:val="00615461"/>
    <w:rsid w:val="006160A4"/>
    <w:rsid w:val="006227F4"/>
    <w:rsid w:val="00632CDF"/>
    <w:rsid w:val="0063365A"/>
    <w:rsid w:val="0063685D"/>
    <w:rsid w:val="00671875"/>
    <w:rsid w:val="006752CF"/>
    <w:rsid w:val="00684004"/>
    <w:rsid w:val="00684243"/>
    <w:rsid w:val="00691080"/>
    <w:rsid w:val="00696059"/>
    <w:rsid w:val="006A7E4F"/>
    <w:rsid w:val="006B05FA"/>
    <w:rsid w:val="006B54B1"/>
    <w:rsid w:val="006C028B"/>
    <w:rsid w:val="006C560D"/>
    <w:rsid w:val="006D598B"/>
    <w:rsid w:val="006E1D97"/>
    <w:rsid w:val="006E4BE0"/>
    <w:rsid w:val="006F036C"/>
    <w:rsid w:val="006F7F31"/>
    <w:rsid w:val="00706852"/>
    <w:rsid w:val="00712158"/>
    <w:rsid w:val="00720D77"/>
    <w:rsid w:val="007231F8"/>
    <w:rsid w:val="00726240"/>
    <w:rsid w:val="007275EE"/>
    <w:rsid w:val="00734EE4"/>
    <w:rsid w:val="007357B9"/>
    <w:rsid w:val="00744D3B"/>
    <w:rsid w:val="00751096"/>
    <w:rsid w:val="0075378C"/>
    <w:rsid w:val="00764B71"/>
    <w:rsid w:val="0077392C"/>
    <w:rsid w:val="007775CF"/>
    <w:rsid w:val="00783165"/>
    <w:rsid w:val="007878A7"/>
    <w:rsid w:val="007A671B"/>
    <w:rsid w:val="007B173A"/>
    <w:rsid w:val="007B5F59"/>
    <w:rsid w:val="007B7061"/>
    <w:rsid w:val="007C62EE"/>
    <w:rsid w:val="007C73F5"/>
    <w:rsid w:val="007D3018"/>
    <w:rsid w:val="007E0C9A"/>
    <w:rsid w:val="007E1760"/>
    <w:rsid w:val="007E4C7D"/>
    <w:rsid w:val="007F304D"/>
    <w:rsid w:val="00802B63"/>
    <w:rsid w:val="00805014"/>
    <w:rsid w:val="00811602"/>
    <w:rsid w:val="00822614"/>
    <w:rsid w:val="008321C1"/>
    <w:rsid w:val="008323B3"/>
    <w:rsid w:val="008500FB"/>
    <w:rsid w:val="00852F12"/>
    <w:rsid w:val="00873A40"/>
    <w:rsid w:val="00880C90"/>
    <w:rsid w:val="0088708D"/>
    <w:rsid w:val="00887CE8"/>
    <w:rsid w:val="0089216B"/>
    <w:rsid w:val="0089620E"/>
    <w:rsid w:val="008A0CD7"/>
    <w:rsid w:val="008A5EBB"/>
    <w:rsid w:val="008A79DC"/>
    <w:rsid w:val="008B6A62"/>
    <w:rsid w:val="008C23F0"/>
    <w:rsid w:val="008F4416"/>
    <w:rsid w:val="0090002B"/>
    <w:rsid w:val="009017E0"/>
    <w:rsid w:val="0092522D"/>
    <w:rsid w:val="00926C1F"/>
    <w:rsid w:val="00931CC7"/>
    <w:rsid w:val="00934EBC"/>
    <w:rsid w:val="00934FB6"/>
    <w:rsid w:val="00952DAB"/>
    <w:rsid w:val="00955980"/>
    <w:rsid w:val="0096449B"/>
    <w:rsid w:val="00972640"/>
    <w:rsid w:val="00980B82"/>
    <w:rsid w:val="009819E2"/>
    <w:rsid w:val="00983518"/>
    <w:rsid w:val="0099049A"/>
    <w:rsid w:val="00995B3A"/>
    <w:rsid w:val="009A052E"/>
    <w:rsid w:val="009A0564"/>
    <w:rsid w:val="009A11E7"/>
    <w:rsid w:val="009A1FDF"/>
    <w:rsid w:val="009A6C71"/>
    <w:rsid w:val="009B2A75"/>
    <w:rsid w:val="009C40AA"/>
    <w:rsid w:val="009C5B87"/>
    <w:rsid w:val="009D06F9"/>
    <w:rsid w:val="009D28AB"/>
    <w:rsid w:val="009D4EBB"/>
    <w:rsid w:val="009D58E8"/>
    <w:rsid w:val="009E2CE5"/>
    <w:rsid w:val="009E4569"/>
    <w:rsid w:val="009E46DF"/>
    <w:rsid w:val="009E6EAB"/>
    <w:rsid w:val="009E7704"/>
    <w:rsid w:val="009F7025"/>
    <w:rsid w:val="00A02D05"/>
    <w:rsid w:val="00A108BD"/>
    <w:rsid w:val="00A178E1"/>
    <w:rsid w:val="00A23B72"/>
    <w:rsid w:val="00A26E11"/>
    <w:rsid w:val="00A34C1A"/>
    <w:rsid w:val="00A579D1"/>
    <w:rsid w:val="00A57F44"/>
    <w:rsid w:val="00A636E6"/>
    <w:rsid w:val="00A67825"/>
    <w:rsid w:val="00A76B59"/>
    <w:rsid w:val="00A969A0"/>
    <w:rsid w:val="00AA32A0"/>
    <w:rsid w:val="00AB1611"/>
    <w:rsid w:val="00AB1E5D"/>
    <w:rsid w:val="00AC5F19"/>
    <w:rsid w:val="00AE4729"/>
    <w:rsid w:val="00AF0DF6"/>
    <w:rsid w:val="00B0033E"/>
    <w:rsid w:val="00B110B0"/>
    <w:rsid w:val="00B179A4"/>
    <w:rsid w:val="00B336C3"/>
    <w:rsid w:val="00B42C89"/>
    <w:rsid w:val="00B42CC8"/>
    <w:rsid w:val="00B602AD"/>
    <w:rsid w:val="00B65469"/>
    <w:rsid w:val="00B66D5F"/>
    <w:rsid w:val="00B762F2"/>
    <w:rsid w:val="00B77EDA"/>
    <w:rsid w:val="00B83776"/>
    <w:rsid w:val="00B87B65"/>
    <w:rsid w:val="00B87FDB"/>
    <w:rsid w:val="00B91039"/>
    <w:rsid w:val="00B913B6"/>
    <w:rsid w:val="00B945ED"/>
    <w:rsid w:val="00B97A5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F64C6"/>
    <w:rsid w:val="00BF7F42"/>
    <w:rsid w:val="00C0594F"/>
    <w:rsid w:val="00C1200F"/>
    <w:rsid w:val="00C1297E"/>
    <w:rsid w:val="00C2111C"/>
    <w:rsid w:val="00C33F5C"/>
    <w:rsid w:val="00C34FDE"/>
    <w:rsid w:val="00C36378"/>
    <w:rsid w:val="00C37B3A"/>
    <w:rsid w:val="00C47E78"/>
    <w:rsid w:val="00C56205"/>
    <w:rsid w:val="00C712BF"/>
    <w:rsid w:val="00C7529E"/>
    <w:rsid w:val="00C75C0B"/>
    <w:rsid w:val="00C85728"/>
    <w:rsid w:val="00C86BDC"/>
    <w:rsid w:val="00C90A4C"/>
    <w:rsid w:val="00C91665"/>
    <w:rsid w:val="00C92369"/>
    <w:rsid w:val="00C94729"/>
    <w:rsid w:val="00CA4F8C"/>
    <w:rsid w:val="00CB2F07"/>
    <w:rsid w:val="00CB79F1"/>
    <w:rsid w:val="00CC16CF"/>
    <w:rsid w:val="00CD06E3"/>
    <w:rsid w:val="00CD25C4"/>
    <w:rsid w:val="00CD399B"/>
    <w:rsid w:val="00CD4572"/>
    <w:rsid w:val="00CD5653"/>
    <w:rsid w:val="00CF47EB"/>
    <w:rsid w:val="00D0655D"/>
    <w:rsid w:val="00D113A9"/>
    <w:rsid w:val="00D12452"/>
    <w:rsid w:val="00D12FDA"/>
    <w:rsid w:val="00D15263"/>
    <w:rsid w:val="00D21049"/>
    <w:rsid w:val="00D444E7"/>
    <w:rsid w:val="00D44CE3"/>
    <w:rsid w:val="00D52B4F"/>
    <w:rsid w:val="00D55934"/>
    <w:rsid w:val="00D569AA"/>
    <w:rsid w:val="00D578BF"/>
    <w:rsid w:val="00D6230C"/>
    <w:rsid w:val="00D66C66"/>
    <w:rsid w:val="00D70490"/>
    <w:rsid w:val="00D71822"/>
    <w:rsid w:val="00D80FA4"/>
    <w:rsid w:val="00D90EDD"/>
    <w:rsid w:val="00D9173E"/>
    <w:rsid w:val="00D91942"/>
    <w:rsid w:val="00D958DE"/>
    <w:rsid w:val="00DA14CC"/>
    <w:rsid w:val="00DA1588"/>
    <w:rsid w:val="00DA494E"/>
    <w:rsid w:val="00DB686B"/>
    <w:rsid w:val="00DB6958"/>
    <w:rsid w:val="00DC4E2F"/>
    <w:rsid w:val="00DC590D"/>
    <w:rsid w:val="00DD2F15"/>
    <w:rsid w:val="00DE2A72"/>
    <w:rsid w:val="00DE44A3"/>
    <w:rsid w:val="00DE796A"/>
    <w:rsid w:val="00DF6B6C"/>
    <w:rsid w:val="00E015AC"/>
    <w:rsid w:val="00E0494C"/>
    <w:rsid w:val="00E1515A"/>
    <w:rsid w:val="00E176E7"/>
    <w:rsid w:val="00E323C0"/>
    <w:rsid w:val="00E366E4"/>
    <w:rsid w:val="00E369DB"/>
    <w:rsid w:val="00E36EB2"/>
    <w:rsid w:val="00E51BAF"/>
    <w:rsid w:val="00E63CFD"/>
    <w:rsid w:val="00E642AB"/>
    <w:rsid w:val="00E760C7"/>
    <w:rsid w:val="00E90558"/>
    <w:rsid w:val="00E96DEF"/>
    <w:rsid w:val="00EA0788"/>
    <w:rsid w:val="00EA0F41"/>
    <w:rsid w:val="00EA14B6"/>
    <w:rsid w:val="00EB63CF"/>
    <w:rsid w:val="00EC35F9"/>
    <w:rsid w:val="00EC3A5F"/>
    <w:rsid w:val="00ED0538"/>
    <w:rsid w:val="00ED77A3"/>
    <w:rsid w:val="00EE026C"/>
    <w:rsid w:val="00EE48F0"/>
    <w:rsid w:val="00EF0793"/>
    <w:rsid w:val="00F127FD"/>
    <w:rsid w:val="00F12B39"/>
    <w:rsid w:val="00F12DD6"/>
    <w:rsid w:val="00F1601D"/>
    <w:rsid w:val="00F240DC"/>
    <w:rsid w:val="00F26CD0"/>
    <w:rsid w:val="00F47390"/>
    <w:rsid w:val="00F50135"/>
    <w:rsid w:val="00F61AB5"/>
    <w:rsid w:val="00F64BB3"/>
    <w:rsid w:val="00F64D26"/>
    <w:rsid w:val="00F70C3F"/>
    <w:rsid w:val="00F7639B"/>
    <w:rsid w:val="00F85053"/>
    <w:rsid w:val="00F93241"/>
    <w:rsid w:val="00FB59A6"/>
    <w:rsid w:val="00FC5790"/>
    <w:rsid w:val="00FD576F"/>
    <w:rsid w:val="00FD7BCB"/>
    <w:rsid w:val="00FD7F76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89D2D7"/>
  <w15:docId w15:val="{F52382AF-5D5B-4294-A3A5-07B030EC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uiPriority w:val="99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uiPriority w:val="99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7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14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7231F8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AATitle">
    <w:name w:val="AA_Title"/>
    <w:basedOn w:val="Normal"/>
    <w:rsid w:val="007231F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cs="Times New Roman"/>
      <w:b/>
      <w:szCs w:val="20"/>
      <w:lang w:val="en-GB"/>
    </w:rPr>
  </w:style>
  <w:style w:type="paragraph" w:customStyle="1" w:styleId="AATitle2">
    <w:name w:val="AA_Title2"/>
    <w:basedOn w:val="AATitle"/>
    <w:rsid w:val="007231F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"/>
    <w:rsid w:val="007231F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cs="Times New Roman"/>
      <w:b/>
      <w:sz w:val="28"/>
      <w:szCs w:val="28"/>
      <w:lang w:val="en-GB"/>
    </w:rPr>
  </w:style>
  <w:style w:type="paragraph" w:customStyle="1" w:styleId="NormalNonumber">
    <w:name w:val="Normal_No_number"/>
    <w:basedOn w:val="Normal"/>
    <w:rsid w:val="007231F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cs="Times New Roman"/>
      <w:szCs w:val="20"/>
      <w:lang w:val="en-GB"/>
    </w:rPr>
  </w:style>
  <w:style w:type="paragraph" w:customStyle="1" w:styleId="ZZAnxtitle">
    <w:name w:val="ZZ_Anx_title"/>
    <w:basedOn w:val="Normal"/>
    <w:link w:val="ZZAnxtitleChar"/>
    <w:rsid w:val="007231F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7231F8"/>
    <w:rPr>
      <w:rFonts w:cs="Times New Roman"/>
      <w:b/>
      <w:bCs/>
      <w:sz w:val="28"/>
      <w:szCs w:val="26"/>
      <w:lang w:val="en-GB"/>
    </w:rPr>
  </w:style>
  <w:style w:type="character" w:customStyle="1" w:styleId="ZZAnxheaderChar">
    <w:name w:val="ZZ_Anx_header Char"/>
    <w:link w:val="ZZAnxheader"/>
    <w:rsid w:val="007231F8"/>
    <w:rPr>
      <w:rFonts w:cs="Times New Roman"/>
      <w:b/>
      <w:bCs/>
      <w:sz w:val="28"/>
      <w:szCs w:val="22"/>
      <w:lang w:val="en-GB"/>
    </w:rPr>
  </w:style>
  <w:style w:type="character" w:customStyle="1" w:styleId="CH2Char">
    <w:name w:val="CH2 Char"/>
    <w:link w:val="CH2"/>
    <w:rsid w:val="007231F8"/>
    <w:rPr>
      <w:rFonts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CB21-1D7C-4A2C-A172-5881F6FD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Afaf Ali-Salih</cp:lastModifiedBy>
  <cp:revision>3</cp:revision>
  <cp:lastPrinted>2017-08-08T10:21:00Z</cp:lastPrinted>
  <dcterms:created xsi:type="dcterms:W3CDTF">2017-08-08T10:21:00Z</dcterms:created>
  <dcterms:modified xsi:type="dcterms:W3CDTF">2017-08-08T10:22:00Z</dcterms:modified>
</cp:coreProperties>
</file>