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rsidTr="001E1443">
        <w:trPr>
          <w:cantSplit/>
          <w:trHeight w:val="624"/>
        </w:trPr>
        <w:tc>
          <w:tcPr>
            <w:tcW w:w="3403" w:type="dxa"/>
            <w:tcBorders>
              <w:bottom w:val="nil"/>
            </w:tcBorders>
          </w:tcPr>
          <w:p w:rsidR="00DE796A" w:rsidRPr="00934FB6" w:rsidRDefault="00934FB6" w:rsidP="000B1AA7">
            <w:pPr>
              <w:spacing w:after="120" w:line="640" w:lineRule="exact"/>
              <w:rPr>
                <w:rFonts w:ascii="Arial" w:hAnsi="Arial" w:cs="Arial"/>
                <w:b/>
                <w:bCs/>
                <w:sz w:val="64"/>
                <w:szCs w:val="64"/>
                <w:rtl/>
              </w:rPr>
            </w:pPr>
            <w:r w:rsidRPr="00934FB6">
              <w:rPr>
                <w:rFonts w:ascii="Arial" w:hAnsi="Arial" w:cs="Arial"/>
                <w:b/>
                <w:bCs/>
                <w:sz w:val="64"/>
                <w:szCs w:val="64"/>
              </w:rPr>
              <w:t>MC</w:t>
            </w:r>
          </w:p>
        </w:tc>
        <w:tc>
          <w:tcPr>
            <w:tcW w:w="6237" w:type="dxa"/>
            <w:gridSpan w:val="2"/>
            <w:tcBorders>
              <w:bottom w:val="nil"/>
            </w:tcBorders>
          </w:tcPr>
          <w:p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rsidTr="001E1443">
        <w:trPr>
          <w:cantSplit/>
          <w:trHeight w:val="254"/>
        </w:trPr>
        <w:tc>
          <w:tcPr>
            <w:tcW w:w="3403" w:type="dxa"/>
            <w:tcBorders>
              <w:top w:val="nil"/>
              <w:bottom w:val="single" w:sz="4" w:space="0" w:color="auto"/>
            </w:tcBorders>
          </w:tcPr>
          <w:p w:rsidR="004B0A17" w:rsidRPr="004B0A17" w:rsidRDefault="00115715" w:rsidP="00FF25FE">
            <w:pPr>
              <w:rPr>
                <w:rFonts w:cs="Times New Roman"/>
                <w:b/>
                <w:bCs/>
                <w:szCs w:val="20"/>
              </w:rPr>
            </w:pPr>
            <w:r w:rsidRPr="00AB507F">
              <w:rPr>
                <w:rFonts w:cs="Times New Roman"/>
                <w:b/>
                <w:bCs/>
                <w:sz w:val="28"/>
              </w:rPr>
              <w:t>UNEP</w:t>
            </w:r>
            <w:r>
              <w:rPr>
                <w:rFonts w:cs="Times New Roman"/>
              </w:rPr>
              <w:t>/</w:t>
            </w:r>
            <w:r w:rsidR="00934FB6">
              <w:rPr>
                <w:rFonts w:cs="Times New Roman"/>
                <w:szCs w:val="20"/>
              </w:rPr>
              <w:t xml:space="preserve"> MC/COP.1/</w:t>
            </w:r>
            <w:r w:rsidR="00FF25FE">
              <w:rPr>
                <w:rFonts w:cs="Times New Roman"/>
                <w:szCs w:val="20"/>
              </w:rPr>
              <w:t>2</w:t>
            </w:r>
            <w:r w:rsidR="005D1C9A">
              <w:rPr>
                <w:rFonts w:cs="Times New Roman"/>
                <w:szCs w:val="20"/>
              </w:rPr>
              <w:t>5</w:t>
            </w:r>
          </w:p>
        </w:tc>
        <w:tc>
          <w:tcPr>
            <w:tcW w:w="6237" w:type="dxa"/>
            <w:gridSpan w:val="2"/>
            <w:tcBorders>
              <w:top w:val="nil"/>
              <w:bottom w:val="single" w:sz="4" w:space="0" w:color="auto"/>
            </w:tcBorders>
          </w:tcPr>
          <w:p w:rsidR="004B0A17" w:rsidRPr="004B0A17" w:rsidRDefault="004B0A17" w:rsidP="004B0A17">
            <w:pPr>
              <w:jc w:val="both"/>
              <w:rPr>
                <w:rFonts w:cs="Times New Roman"/>
                <w:b/>
                <w:bCs/>
                <w:szCs w:val="20"/>
                <w:rtl/>
              </w:rPr>
            </w:pPr>
          </w:p>
        </w:tc>
      </w:tr>
      <w:tr w:rsidR="00DE796A" w:rsidTr="00D0655D">
        <w:trPr>
          <w:cantSplit/>
          <w:trHeight w:val="2288"/>
        </w:trPr>
        <w:tc>
          <w:tcPr>
            <w:tcW w:w="3403" w:type="dxa"/>
            <w:tcBorders>
              <w:top w:val="single" w:sz="4" w:space="0" w:color="auto"/>
            </w:tcBorders>
          </w:tcPr>
          <w:p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rsidR="00934FB6" w:rsidRPr="00A969A0" w:rsidRDefault="005D1C9A" w:rsidP="005D1C9A">
            <w:pPr>
              <w:jc w:val="both"/>
              <w:rPr>
                <w:rFonts w:cs="Times New Roman"/>
                <w:szCs w:val="20"/>
              </w:rPr>
            </w:pPr>
            <w:r>
              <w:rPr>
                <w:rFonts w:cs="Times New Roman"/>
                <w:szCs w:val="20"/>
              </w:rPr>
              <w:t>24</w:t>
            </w:r>
            <w:r w:rsidR="00934FB6">
              <w:rPr>
                <w:rFonts w:cs="Times New Roman"/>
                <w:szCs w:val="20"/>
              </w:rPr>
              <w:t xml:space="preserve"> </w:t>
            </w:r>
            <w:r>
              <w:rPr>
                <w:rFonts w:cs="Times New Roman"/>
                <w:szCs w:val="20"/>
              </w:rPr>
              <w:t>April</w:t>
            </w:r>
            <w:r w:rsidR="00934FB6" w:rsidRPr="00A969A0">
              <w:rPr>
                <w:rFonts w:cs="Times New Roman"/>
                <w:szCs w:val="20"/>
              </w:rPr>
              <w:t xml:space="preserve"> 20</w:t>
            </w:r>
            <w:r w:rsidR="00934FB6">
              <w:rPr>
                <w:rFonts w:cs="Times New Roman"/>
                <w:szCs w:val="20"/>
              </w:rPr>
              <w:t>17</w:t>
            </w:r>
          </w:p>
          <w:p w:rsidR="00934FB6" w:rsidRPr="00A969A0" w:rsidRDefault="00934FB6" w:rsidP="00934FB6">
            <w:pPr>
              <w:pStyle w:val="Heading5"/>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rsidR="00DE796A" w:rsidRDefault="00934FB6" w:rsidP="00934FB6">
            <w:pPr>
              <w:ind w:right="34"/>
              <w:jc w:val="both"/>
            </w:pPr>
            <w:r w:rsidRPr="00A969A0">
              <w:rPr>
                <w:rFonts w:cs="Times New Roman"/>
                <w:szCs w:val="20"/>
              </w:rPr>
              <w:t>Original: English</w:t>
            </w:r>
          </w:p>
        </w:tc>
        <w:tc>
          <w:tcPr>
            <w:tcW w:w="4536" w:type="dxa"/>
            <w:tcBorders>
              <w:top w:val="single" w:sz="4" w:space="0" w:color="auto"/>
            </w:tcBorders>
          </w:tcPr>
          <w:p w:rsidR="00DE796A" w:rsidRDefault="00DE796A" w:rsidP="00B42C89">
            <w:pPr>
              <w:bidi/>
              <w:spacing w:before="840" w:line="700" w:lineRule="exact"/>
              <w:ind w:left="34" w:hanging="17"/>
              <w:rPr>
                <w:rtl/>
              </w:rPr>
            </w:pPr>
            <w:r w:rsidRPr="00E760C7">
              <w:rPr>
                <w:rFonts w:hint="cs"/>
                <w:b/>
                <w:bCs/>
                <w:sz w:val="52"/>
                <w:szCs w:val="52"/>
                <w:rtl/>
              </w:rPr>
              <w:t>برنامج الأمم</w:t>
            </w:r>
            <w:r w:rsidR="00CD25C4">
              <w:rPr>
                <w:b/>
                <w:bCs/>
                <w:sz w:val="52"/>
                <w:szCs w:val="52"/>
              </w:rPr>
              <w:t xml:space="preserve"> </w:t>
            </w:r>
            <w:r w:rsidRPr="00E760C7">
              <w:rPr>
                <w:rFonts w:hint="cs"/>
                <w:b/>
                <w:bCs/>
                <w:sz w:val="52"/>
                <w:szCs w:val="52"/>
                <w:rtl/>
              </w:rPr>
              <w:t>المتحدة للبيئة</w:t>
            </w:r>
          </w:p>
        </w:tc>
        <w:tc>
          <w:tcPr>
            <w:tcW w:w="1701" w:type="dxa"/>
            <w:tcBorders>
              <w:top w:val="single" w:sz="4" w:space="0" w:color="auto"/>
            </w:tcBorders>
          </w:tcPr>
          <w:p w:rsidR="00DE796A" w:rsidRDefault="000B1AA7" w:rsidP="007B173A">
            <w:pPr>
              <w:spacing w:line="20" w:lineRule="exact"/>
              <w:jc w:val="right"/>
              <w:rPr>
                <w:rtl/>
              </w:rPr>
            </w:pPr>
            <w:r>
              <w:rPr>
                <w:noProof/>
              </w:rPr>
              <w:drawing>
                <wp:anchor distT="0" distB="0" distL="114300" distR="114300" simplePos="0" relativeHeight="251658240" behindDoc="0" locked="0" layoutInCell="1" allowOverlap="1" wp14:anchorId="2E146EBE" wp14:editId="60E92D5D">
                  <wp:simplePos x="0" y="0"/>
                  <wp:positionH relativeFrom="column">
                    <wp:posOffset>75565</wp:posOffset>
                  </wp:positionH>
                  <wp:positionV relativeFrom="paragraph">
                    <wp:posOffset>716915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FC4">
              <w:rPr>
                <w:noProof/>
              </w:rPr>
              <w:drawing>
                <wp:anchor distT="0" distB="0" distL="114300" distR="114300" simplePos="0" relativeHeight="251657216" behindDoc="1" locked="0" layoutInCell="1" allowOverlap="1" wp14:anchorId="6A854403" wp14:editId="158F1B3B">
                  <wp:simplePos x="0" y="0"/>
                  <wp:positionH relativeFrom="column">
                    <wp:posOffset>73025</wp:posOffset>
                  </wp:positionH>
                  <wp:positionV relativeFrom="paragraph">
                    <wp:posOffset>0</wp:posOffset>
                  </wp:positionV>
                  <wp:extent cx="763270" cy="718820"/>
                  <wp:effectExtent l="0" t="0" r="0" b="5080"/>
                  <wp:wrapTight wrapText="bothSides">
                    <wp:wrapPolygon edited="0">
                      <wp:start x="0" y="0"/>
                      <wp:lineTo x="0" y="21180"/>
                      <wp:lineTo x="21025" y="21180"/>
                      <wp:lineTo x="21025"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6A" w:rsidRDefault="00DE796A" w:rsidP="007B173A">
            <w:pPr>
              <w:spacing w:line="20" w:lineRule="exact"/>
            </w:pPr>
          </w:p>
        </w:tc>
      </w:tr>
    </w:tbl>
    <w:tbl>
      <w:tblPr>
        <w:bidiVisual/>
        <w:tblW w:w="9640" w:type="dxa"/>
        <w:tblInd w:w="106" w:type="dxa"/>
        <w:tblBorders>
          <w:insideH w:val="single" w:sz="4" w:space="0" w:color="auto"/>
          <w:insideV w:val="single" w:sz="4" w:space="0" w:color="auto"/>
        </w:tblBorders>
        <w:tblLook w:val="0000" w:firstRow="0" w:lastRow="0" w:firstColumn="0" w:lastColumn="0" w:noHBand="0" w:noVBand="0"/>
      </w:tblPr>
      <w:tblGrid>
        <w:gridCol w:w="9640"/>
      </w:tblGrid>
      <w:tr w:rsidR="0090002B" w:rsidTr="00115715">
        <w:tc>
          <w:tcPr>
            <w:tcW w:w="9640" w:type="dxa"/>
          </w:tcPr>
          <w:p w:rsidR="00934FB6" w:rsidRDefault="00934FB6" w:rsidP="008A0CD9">
            <w:pPr>
              <w:bidi/>
              <w:spacing w:before="60" w:line="360" w:lineRule="exact"/>
              <w:ind w:left="142" w:right="6555"/>
              <w:jc w:val="both"/>
              <w:rPr>
                <w:b/>
                <w:bCs/>
                <w:sz w:val="30"/>
                <w:rtl/>
              </w:rPr>
            </w:pPr>
            <w:r>
              <w:rPr>
                <w:rFonts w:hint="cs"/>
                <w:b/>
                <w:bCs/>
                <w:sz w:val="30"/>
                <w:rtl/>
              </w:rPr>
              <w:t>مؤتمر الأطراف في اتفاقية ميناماتا</w:t>
            </w:r>
            <w:r w:rsidR="008A0CD9">
              <w:rPr>
                <w:rFonts w:hint="cs"/>
                <w:b/>
                <w:bCs/>
                <w:sz w:val="30"/>
                <w:rtl/>
              </w:rPr>
              <w:t xml:space="preserve"> </w:t>
            </w:r>
            <w:r>
              <w:rPr>
                <w:rFonts w:hint="cs"/>
                <w:b/>
                <w:bCs/>
                <w:sz w:val="30"/>
                <w:rtl/>
              </w:rPr>
              <w:t>بشأن الزئبق</w:t>
            </w:r>
          </w:p>
          <w:p w:rsidR="00934FB6" w:rsidRPr="00A579D1" w:rsidRDefault="00934FB6" w:rsidP="00934FB6">
            <w:pPr>
              <w:bidi/>
              <w:spacing w:line="360" w:lineRule="exact"/>
              <w:ind w:left="142" w:right="748"/>
              <w:jc w:val="both"/>
              <w:rPr>
                <w:b/>
                <w:bCs/>
                <w:sz w:val="30"/>
                <w:rtl/>
              </w:rPr>
            </w:pPr>
            <w:r>
              <w:rPr>
                <w:rFonts w:hint="cs"/>
                <w:b/>
                <w:bCs/>
                <w:sz w:val="30"/>
                <w:rtl/>
              </w:rPr>
              <w:t>الاجتماع الأول</w:t>
            </w:r>
          </w:p>
          <w:p w:rsidR="00934FB6" w:rsidRDefault="00934FB6" w:rsidP="00934FB6">
            <w:pPr>
              <w:bidi/>
              <w:spacing w:line="360" w:lineRule="exact"/>
              <w:ind w:left="142"/>
              <w:jc w:val="both"/>
              <w:rPr>
                <w:rFonts w:ascii="Traditional Arabic" w:hAnsi="Traditional Arabic"/>
                <w:sz w:val="30"/>
                <w:rtl/>
              </w:rPr>
            </w:pPr>
            <w:r>
              <w:rPr>
                <w:rFonts w:ascii="Traditional Arabic" w:hAnsi="Traditional Arabic" w:hint="cs"/>
                <w:sz w:val="30"/>
                <w:rtl/>
              </w:rPr>
              <w:t>جنيف،</w:t>
            </w:r>
            <w:r w:rsidRPr="00895AF3">
              <w:rPr>
                <w:rFonts w:ascii="Traditional Arabic" w:hAnsi="Traditional Arabic"/>
                <w:sz w:val="30"/>
                <w:rtl/>
              </w:rPr>
              <w:t xml:space="preserve"> </w:t>
            </w:r>
            <w:r>
              <w:rPr>
                <w:rFonts w:ascii="Traditional Arabic" w:hAnsi="Traditional Arabic" w:hint="cs"/>
                <w:sz w:val="30"/>
                <w:rtl/>
              </w:rPr>
              <w:t>24</w:t>
            </w:r>
            <w:r w:rsidRPr="00895AF3">
              <w:rPr>
                <w:rFonts w:ascii="Traditional Arabic" w:hAnsi="Traditional Arabic"/>
                <w:sz w:val="30"/>
                <w:rtl/>
              </w:rPr>
              <w:t>-</w:t>
            </w:r>
            <w:r>
              <w:rPr>
                <w:rFonts w:ascii="Traditional Arabic" w:hAnsi="Traditional Arabic" w:hint="cs"/>
                <w:sz w:val="30"/>
                <w:rtl/>
              </w:rPr>
              <w:t>29</w:t>
            </w:r>
            <w:r w:rsidRPr="00895AF3">
              <w:rPr>
                <w:rFonts w:ascii="Traditional Arabic" w:hAnsi="Traditional Arabic"/>
                <w:sz w:val="30"/>
                <w:rtl/>
              </w:rPr>
              <w:t xml:space="preserve"> </w:t>
            </w:r>
            <w:r>
              <w:rPr>
                <w:rFonts w:ascii="Traditional Arabic" w:hAnsi="Traditional Arabic" w:hint="cs"/>
                <w:sz w:val="30"/>
                <w:rtl/>
              </w:rPr>
              <w:t>أيلول</w:t>
            </w:r>
            <w:r>
              <w:rPr>
                <w:rFonts w:ascii="Traditional Arabic" w:hAnsi="Traditional Arabic"/>
                <w:sz w:val="30"/>
                <w:rtl/>
              </w:rPr>
              <w:t>/</w:t>
            </w:r>
            <w:r>
              <w:rPr>
                <w:rFonts w:ascii="Traditional Arabic" w:hAnsi="Traditional Arabic" w:hint="cs"/>
                <w:sz w:val="30"/>
                <w:rtl/>
              </w:rPr>
              <w:t>سبتمبر</w:t>
            </w:r>
            <w:r w:rsidRPr="00895AF3">
              <w:rPr>
                <w:rFonts w:ascii="Traditional Arabic" w:hAnsi="Traditional Arabic"/>
                <w:sz w:val="30"/>
                <w:rtl/>
              </w:rPr>
              <w:t xml:space="preserve"> 201</w:t>
            </w:r>
            <w:r>
              <w:rPr>
                <w:rFonts w:ascii="Traditional Arabic" w:hAnsi="Traditional Arabic" w:hint="cs"/>
                <w:sz w:val="30"/>
                <w:rtl/>
              </w:rPr>
              <w:t>7</w:t>
            </w:r>
          </w:p>
          <w:p w:rsidR="00AA32A0" w:rsidRDefault="00934FB6" w:rsidP="005D1C9A">
            <w:pPr>
              <w:bidi/>
              <w:spacing w:line="360" w:lineRule="exact"/>
              <w:ind w:left="142"/>
              <w:jc w:val="both"/>
              <w:rPr>
                <w:rFonts w:cs="Times New Roman"/>
                <w:sz w:val="24"/>
                <w:szCs w:val="24"/>
              </w:rPr>
            </w:pPr>
            <w:r>
              <w:rPr>
                <w:rFonts w:ascii="Traditional Arabic" w:hAnsi="Traditional Arabic" w:hint="cs"/>
                <w:sz w:val="30"/>
                <w:rtl/>
              </w:rPr>
              <w:t xml:space="preserve">البند </w:t>
            </w:r>
            <w:r w:rsidR="005D1C9A">
              <w:rPr>
                <w:rFonts w:ascii="Traditional Arabic" w:hAnsi="Traditional Arabic" w:hint="cs"/>
                <w:sz w:val="30"/>
                <w:rtl/>
              </w:rPr>
              <w:t>6</w:t>
            </w:r>
            <w:r>
              <w:rPr>
                <w:rFonts w:ascii="Traditional Arabic" w:hAnsi="Traditional Arabic" w:hint="cs"/>
                <w:sz w:val="30"/>
                <w:rtl/>
              </w:rPr>
              <w:t xml:space="preserve"> (</w:t>
            </w:r>
            <w:r w:rsidR="005D1C9A">
              <w:rPr>
                <w:rFonts w:ascii="Traditional Arabic" w:hAnsi="Traditional Arabic" w:hint="cs"/>
                <w:sz w:val="30"/>
                <w:rtl/>
              </w:rPr>
              <w:t>ز</w:t>
            </w:r>
            <w:r>
              <w:rPr>
                <w:rFonts w:ascii="Traditional Arabic" w:hAnsi="Traditional Arabic" w:hint="cs"/>
                <w:sz w:val="30"/>
                <w:rtl/>
              </w:rPr>
              <w:t>) من جدول الأعمال المؤقت</w:t>
            </w:r>
            <w:r w:rsidRPr="00980912">
              <w:rPr>
                <w:rStyle w:val="FootnoteReference"/>
                <w:rFonts w:cs="Times New Roman"/>
                <w:sz w:val="24"/>
                <w:szCs w:val="24"/>
                <w:rtl/>
              </w:rPr>
              <w:footnoteReference w:customMarkFollows="1" w:id="1"/>
              <w:t>*</w:t>
            </w:r>
          </w:p>
          <w:p w:rsidR="001A0DA3" w:rsidRPr="001A0DA3" w:rsidRDefault="005D1C9A" w:rsidP="003E104B">
            <w:pPr>
              <w:bidi/>
              <w:spacing w:line="340" w:lineRule="exact"/>
              <w:ind w:left="142" w:right="5562"/>
              <w:jc w:val="both"/>
              <w:rPr>
                <w:b/>
                <w:bCs/>
                <w:sz w:val="28"/>
                <w:szCs w:val="28"/>
                <w:rtl/>
              </w:rPr>
            </w:pPr>
            <w:r w:rsidRPr="005D1C9A">
              <w:rPr>
                <w:rFonts w:ascii="Traditional Arabic" w:hAnsi="Traditional Arabic"/>
                <w:b/>
                <w:bCs/>
                <w:sz w:val="28"/>
                <w:szCs w:val="28"/>
                <w:rtl/>
              </w:rPr>
              <w:t>مسائل تنص عليها الاتفاقية ويتعين أن يتخذ مؤتمر الأطراف إجراءات بشأنها: المبادئ التوجيهية بشأن التخزين المؤقت للزئبق ومركبات الزئبق المشار إليها في الفقرة ٣ من المادة ١٠</w:t>
            </w:r>
          </w:p>
        </w:tc>
      </w:tr>
    </w:tbl>
    <w:p w:rsidR="001A0DA3" w:rsidRPr="00292978" w:rsidRDefault="005D1C9A" w:rsidP="005D1C9A">
      <w:pPr>
        <w:pStyle w:val="CH2"/>
        <w:keepNext w:val="0"/>
        <w:keepLines w:val="0"/>
        <w:tabs>
          <w:tab w:val="clear" w:pos="1247"/>
          <w:tab w:val="clear" w:pos="1814"/>
          <w:tab w:val="clear" w:pos="2381"/>
          <w:tab w:val="clear" w:pos="2948"/>
          <w:tab w:val="clear" w:pos="3515"/>
          <w:tab w:val="clear" w:pos="4082"/>
        </w:tabs>
        <w:bidi/>
        <w:spacing w:before="360" w:after="240" w:line="400" w:lineRule="exact"/>
        <w:ind w:left="1134" w:right="0" w:firstLine="0"/>
        <w:jc w:val="both"/>
        <w:textDirection w:val="tbRlV"/>
        <w:rPr>
          <w:rFonts w:ascii="Traditional Arabic" w:hAnsi="Traditional Arabic" w:cs="Traditional Arabic"/>
          <w:b w:val="0"/>
          <w:bCs/>
          <w:sz w:val="34"/>
          <w:szCs w:val="34"/>
          <w:rtl/>
          <w:lang w:eastAsia="zh-TW"/>
        </w:rPr>
      </w:pPr>
      <w:r w:rsidRPr="005D1C9A">
        <w:rPr>
          <w:rFonts w:ascii="Traditional Arabic" w:hAnsi="Traditional Arabic" w:cs="Traditional Arabic"/>
          <w:b w:val="0"/>
          <w:bCs/>
          <w:sz w:val="34"/>
          <w:szCs w:val="34"/>
          <w:rtl/>
          <w:lang w:eastAsia="zh-TW"/>
        </w:rPr>
        <w:t>المبادئ التوجيهية بشأن التخزين المؤقت للزئبق ومركبات الزئبق المشار إليها في الفقرة ٣ من المادة ١٠</w:t>
      </w:r>
    </w:p>
    <w:p w:rsidR="001A0DA3" w:rsidRPr="00292978" w:rsidRDefault="001A0DA3" w:rsidP="005D1C9A">
      <w:pPr>
        <w:pStyle w:val="CH2"/>
        <w:keepNext w:val="0"/>
        <w:keepLines w:val="0"/>
        <w:tabs>
          <w:tab w:val="clear" w:pos="1247"/>
          <w:tab w:val="clear" w:pos="1814"/>
          <w:tab w:val="clear" w:pos="2381"/>
          <w:tab w:val="clear" w:pos="2948"/>
          <w:tab w:val="clear" w:pos="3515"/>
          <w:tab w:val="clear" w:pos="4082"/>
        </w:tabs>
        <w:bidi/>
        <w:spacing w:before="0" w:after="240" w:line="400" w:lineRule="exact"/>
        <w:ind w:left="1134" w:right="0" w:firstLine="0"/>
        <w:jc w:val="both"/>
        <w:textDirection w:val="tbRlV"/>
        <w:rPr>
          <w:rFonts w:ascii="Traditional Arabic" w:hAnsi="Traditional Arabic" w:cs="Traditional Arabic"/>
          <w:b w:val="0"/>
          <w:bCs/>
          <w:sz w:val="32"/>
          <w:szCs w:val="32"/>
          <w:rtl/>
          <w:lang w:eastAsia="zh-TW"/>
        </w:rPr>
      </w:pPr>
      <w:r w:rsidRPr="00292978">
        <w:rPr>
          <w:rFonts w:ascii="Traditional Arabic" w:hAnsi="Traditional Arabic" w:cs="Traditional Arabic"/>
          <w:b w:val="0"/>
          <w:bCs/>
          <w:sz w:val="32"/>
          <w:szCs w:val="32"/>
          <w:rtl/>
          <w:lang w:eastAsia="zh-TW"/>
        </w:rPr>
        <w:t xml:space="preserve">مذكرة </w:t>
      </w:r>
      <w:r w:rsidR="005D1C9A">
        <w:rPr>
          <w:rFonts w:ascii="Traditional Arabic" w:hAnsi="Traditional Arabic" w:cs="Traditional Arabic" w:hint="cs"/>
          <w:b w:val="0"/>
          <w:bCs/>
          <w:sz w:val="32"/>
          <w:szCs w:val="32"/>
          <w:rtl/>
          <w:lang w:eastAsia="zh-TW"/>
        </w:rPr>
        <w:t>الأمانة</w:t>
      </w:r>
    </w:p>
    <w:p w:rsidR="005D1C9A" w:rsidRPr="005D1C9A" w:rsidRDefault="005D1C9A" w:rsidP="002A6981">
      <w:pPr>
        <w:pStyle w:val="Normalnumber"/>
        <w:numPr>
          <w:ilvl w:val="0"/>
          <w:numId w:val="18"/>
        </w:numPr>
        <w:tabs>
          <w:tab w:val="left" w:pos="1841"/>
        </w:tabs>
        <w:bidi/>
        <w:spacing w:line="400" w:lineRule="exact"/>
        <w:ind w:left="1126"/>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 xml:space="preserve">تنص </w:t>
      </w:r>
      <w:r w:rsidR="00351754">
        <w:rPr>
          <w:rFonts w:ascii="Traditional Arabic" w:hAnsi="Traditional Arabic" w:cs="Traditional Arabic" w:hint="cs"/>
          <w:sz w:val="30"/>
          <w:szCs w:val="30"/>
          <w:rtl/>
          <w:lang w:eastAsia="zh-TW"/>
        </w:rPr>
        <w:t xml:space="preserve">الفقرة 3 من المادة 10 من </w:t>
      </w:r>
      <w:r w:rsidRPr="005D1C9A">
        <w:rPr>
          <w:rFonts w:ascii="Traditional Arabic" w:hAnsi="Traditional Arabic" w:cs="Traditional Arabic"/>
          <w:sz w:val="30"/>
          <w:szCs w:val="30"/>
          <w:rtl/>
          <w:lang w:eastAsia="zh-TW"/>
        </w:rPr>
        <w:t>اتفاقية ميناماتا بشأن الزئبق على أن يعتمد مؤتمر الأطراف مبادئ توجيهية بشأن التخزين المؤقت السليم بيئياً للزئبق ومركّبات الزئبق</w:t>
      </w:r>
      <w:r w:rsidR="00351754">
        <w:rPr>
          <w:rFonts w:ascii="Traditional Arabic" w:hAnsi="Traditional Arabic" w:cs="Traditional Arabic" w:hint="cs"/>
          <w:sz w:val="30"/>
          <w:szCs w:val="30"/>
          <w:rtl/>
          <w:lang w:eastAsia="zh-TW"/>
        </w:rPr>
        <w:t xml:space="preserve"> من غير نفايات الزئبق</w:t>
      </w:r>
      <w:r w:rsidRPr="005D1C9A">
        <w:rPr>
          <w:rFonts w:ascii="Traditional Arabic" w:hAnsi="Traditional Arabic" w:cs="Traditional Arabic"/>
          <w:sz w:val="30"/>
          <w:szCs w:val="30"/>
          <w:rtl/>
          <w:lang w:eastAsia="zh-TW"/>
        </w:rPr>
        <w:t>، آخذاً في الاعتبار أي مبادئ توجيهية ذات صلة توضَع بموجب اتفاقية بازل بشأن التحكُّم في نقل النفايات الخطرة والتخلّص منها عبر الحدود وأي توجيه آخر ذي صلة</w:t>
      </w:r>
      <w:r w:rsidR="002A6981">
        <w:rPr>
          <w:rFonts w:ascii="Traditional Arabic" w:hAnsi="Traditional Arabic" w:cs="Traditional Arabic" w:hint="cs"/>
          <w:sz w:val="30"/>
          <w:szCs w:val="30"/>
          <w:rtl/>
          <w:lang w:eastAsia="zh-TW"/>
        </w:rPr>
        <w:t>.</w:t>
      </w:r>
    </w:p>
    <w:p w:rsidR="005D1C9A" w:rsidRPr="005D1C9A" w:rsidRDefault="005D1C9A" w:rsidP="005D1C9A">
      <w:pPr>
        <w:pStyle w:val="Normalnumber"/>
        <w:numPr>
          <w:ilvl w:val="0"/>
          <w:numId w:val="18"/>
        </w:numPr>
        <w:tabs>
          <w:tab w:val="left" w:pos="1841"/>
        </w:tabs>
        <w:bidi/>
        <w:spacing w:line="400" w:lineRule="exact"/>
        <w:ind w:left="1126"/>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ونظرت لجنة التفاوض الحكومية الدولية لإعداد صك عالمي ملزم قانوناً بشأن الزئبق في دورتها السادسة في مسألة التخزين المؤقت وطلبت إلى البلدان أن تقدم للأمانة معلومات عن ممارسات التخزين المؤقت السليم بيئياً للزئبق التي اعتمدتها ونفذتها بنجاح. وطلبت اللجنة إلى الأمانة أن تعد تجميعاً وتلخيصاً للمعلومات المقدمة من البلدان لكي تنظر فيه اللجنة في دورتها السابعة؛ وأن تحدد بالتعاون مع أمانة اتفاقية بازل والخبراء المعنيين تلك الأجزاء التي قد تكون ذات صلة بالتخزين المؤقت للزئبق بخلاف نفايات الزئبق، في المبادئ التوجيهية التقنية المتعلقة بالإدارة السليمة بيئياً للنفايات المكونة من الزئبق الأولي والنفايات المحتوية عل</w:t>
      </w:r>
      <w:r>
        <w:rPr>
          <w:rFonts w:ascii="Traditional Arabic" w:hAnsi="Traditional Arabic" w:cs="Traditional Arabic" w:hint="cs"/>
          <w:sz w:val="30"/>
          <w:szCs w:val="30"/>
          <w:rtl/>
          <w:lang w:eastAsia="zh-TW"/>
        </w:rPr>
        <w:t>ى</w:t>
      </w:r>
      <w:r w:rsidRPr="005D1C9A">
        <w:rPr>
          <w:rFonts w:ascii="Traditional Arabic" w:hAnsi="Traditional Arabic" w:cs="Traditional Arabic"/>
          <w:sz w:val="30"/>
          <w:szCs w:val="30"/>
          <w:rtl/>
          <w:lang w:eastAsia="zh-TW"/>
        </w:rPr>
        <w:t xml:space="preserve"> الزئبق أو الملوثة بها، والتي وضعت في إطار اتفاقية بازل؛ وأن تقترح خريطة طريق للعمل على المبادئ التوجيهية للتخزين المؤقت</w:t>
      </w:r>
      <w:r w:rsidRPr="005D1C9A">
        <w:rPr>
          <w:rFonts w:ascii="Traditional Arabic" w:hAnsi="Traditional Arabic" w:cs="Traditional Arabic"/>
          <w:sz w:val="30"/>
          <w:szCs w:val="30"/>
          <w:lang w:eastAsia="zh-TW"/>
        </w:rPr>
        <w:t>.</w:t>
      </w:r>
    </w:p>
    <w:p w:rsidR="005D1C9A" w:rsidRPr="005D1C9A" w:rsidRDefault="005D1C9A" w:rsidP="0006317A">
      <w:pPr>
        <w:pStyle w:val="Normalnumber"/>
        <w:numPr>
          <w:ilvl w:val="0"/>
          <w:numId w:val="18"/>
        </w:numPr>
        <w:tabs>
          <w:tab w:val="left" w:pos="1841"/>
        </w:tabs>
        <w:bidi/>
        <w:spacing w:line="400" w:lineRule="exact"/>
        <w:ind w:left="1126"/>
        <w:jc w:val="lowKashida"/>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lastRenderedPageBreak/>
        <w:t xml:space="preserve">وفي الدورة السابعة، بحثت اللجنة المعلومات المقدمة من البلدان، وطلبت إلى الأمانة المؤقتة أن تعد مشروع المبادئ التوجيهية بشأن التخزين وفقاً لخريطة الطريق التي اتفقت عليها اللجنة </w:t>
      </w:r>
      <w:r w:rsidRPr="009404B2">
        <w:rPr>
          <w:rFonts w:asciiTheme="majorBidi" w:hAnsiTheme="majorBidi" w:cstheme="majorBidi"/>
          <w:szCs w:val="20"/>
          <w:rtl/>
          <w:lang w:eastAsia="zh-TW"/>
        </w:rPr>
        <w:t>(</w:t>
      </w:r>
      <w:r w:rsidRPr="005D1C9A">
        <w:rPr>
          <w:rFonts w:asciiTheme="majorBidi" w:hAnsiTheme="majorBidi" w:cstheme="majorBidi"/>
          <w:szCs w:val="20"/>
          <w:lang w:eastAsia="zh-TW"/>
        </w:rPr>
        <w:t>UNEP(DTIE)/Hg/INC.7/22/Rev.1</w:t>
      </w:r>
      <w:r w:rsidRPr="005D1C9A">
        <w:rPr>
          <w:rFonts w:ascii="Traditional Arabic" w:hAnsi="Traditional Arabic" w:cs="Traditional Arabic"/>
          <w:sz w:val="30"/>
          <w:szCs w:val="30"/>
          <w:rtl/>
          <w:lang w:eastAsia="zh-TW"/>
        </w:rPr>
        <w:t>، المرفق العاشر).</w:t>
      </w:r>
    </w:p>
    <w:p w:rsidR="005D1C9A" w:rsidRPr="005D1C9A" w:rsidRDefault="005D1C9A" w:rsidP="008A0CD9">
      <w:pPr>
        <w:pStyle w:val="Normalnumber"/>
        <w:numPr>
          <w:ilvl w:val="0"/>
          <w:numId w:val="18"/>
        </w:numPr>
        <w:tabs>
          <w:tab w:val="left" w:pos="1841"/>
        </w:tabs>
        <w:bidi/>
        <w:spacing w:line="400" w:lineRule="exact"/>
        <w:ind w:left="1126"/>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وبناء على الطلب، دعت الأمانة المؤقتة الحكومات والجهات الأخرى إلى ترشيح خبراء معنيين للمشاركة في عملية وضع مشروع المبادئ التوجيهية. وبالتشاور مع أمانة اتفاقية بازل وغيرها من أصحاب المصلحة المعنيين، أعدت الأمانة المؤقتة مشروعاً أولياً للمبادئ التوجيهية للتخزين المؤقت، بالاستفادة من الفرع المعني من المبادئ التوجيهية التقنية لاتفاقية بازل  التي تتناول الإدارة السليمة بيئيا</w:t>
      </w:r>
      <w:r w:rsidR="0006317A">
        <w:rPr>
          <w:rFonts w:ascii="Traditional Arabic" w:hAnsi="Traditional Arabic" w:cs="Traditional Arabic" w:hint="cs"/>
          <w:sz w:val="30"/>
          <w:szCs w:val="30"/>
          <w:rtl/>
          <w:lang w:eastAsia="zh-TW"/>
        </w:rPr>
        <w:t>ً</w:t>
      </w:r>
      <w:r w:rsidRPr="005D1C9A">
        <w:rPr>
          <w:rFonts w:ascii="Traditional Arabic" w:hAnsi="Traditional Arabic" w:cs="Traditional Arabic"/>
          <w:sz w:val="30"/>
          <w:szCs w:val="30"/>
          <w:rtl/>
          <w:lang w:eastAsia="zh-TW"/>
        </w:rPr>
        <w:t xml:space="preserve"> للنفايات المحتوية على الزئبق أو الملوثة به. وفي تموز/يوليه ٢٠١٦، جرى تعميم مشروع أولي على الخبراء المرشحين للتعليق عليه، مع طلب تقديم هذه التعليقات بحلول تشرين الثاني/نوفمبر ٢٠١٦. وأدرجت التعليقات الواردة في مشروع المبادئ التوجيهية، وجرى تعميم المشروع المعدَّل للمبادئ التوجيهية المعدلة على الخبراء المرشحين في كانون الأول/ديسمبر ٢٠١٦. وبعد المناقشات مع الخبراء، أتيح المشروع لاطلاع جميع أصحاب المصلحة عن طريق الموقع الشبكي لاتفاقية ميناماتا، مع طلب أن تقدم التع</w:t>
      </w:r>
      <w:r w:rsidR="002A6981">
        <w:rPr>
          <w:rFonts w:ascii="Traditional Arabic" w:hAnsi="Traditional Arabic" w:cs="Traditional Arabic"/>
          <w:sz w:val="30"/>
          <w:szCs w:val="30"/>
          <w:rtl/>
          <w:lang w:eastAsia="zh-TW"/>
        </w:rPr>
        <w:t>ليقات بحلول ٢٣ آذار/مارس ٢٠١٧.</w:t>
      </w:r>
    </w:p>
    <w:p w:rsidR="001A0DA3" w:rsidRPr="006B3E99" w:rsidRDefault="005D1C9A" w:rsidP="005D1C9A">
      <w:pPr>
        <w:pStyle w:val="Normalnumber"/>
        <w:numPr>
          <w:ilvl w:val="0"/>
          <w:numId w:val="18"/>
        </w:numPr>
        <w:tabs>
          <w:tab w:val="left" w:pos="1841"/>
        </w:tabs>
        <w:autoSpaceDE/>
        <w:autoSpaceDN/>
        <w:bidi/>
        <w:adjustRightInd/>
        <w:spacing w:line="400" w:lineRule="exact"/>
        <w:ind w:left="1126"/>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وقُدمت التعليقات من عدد من الحكومات وغيرها من الجهات صاحبة المصلحة المعنية، وأدرجت في المشروع المنقح قدر الإمكان. وأوصى بعض المعلقين بتنفيذ عمل تقني إضافي على المبادئ التقنية، وهو أمر غير ممكن في الوقت المتاح. وفي بعض الحالات، وردت تعليقات متناقضة، حيث أوصى بعضها بإدراج بعض التفاصيل الإضافية، في حين اقترحت تعليقات أخرى نهجاً يتسم بقدر أكبر من البساطة، ولا سيما في الحالات التي قد تتاح فيها المعلومات من منتديات أخرى. ويرد مشروع المبادئ التوجيهية بشأن التخزين المؤقت السليم بيئياً للزئبق بخلاف نفايات الزئبق في المرفق الثاني لهذه المذكرة</w:t>
      </w:r>
      <w:r w:rsidR="001A0DA3" w:rsidRPr="006B3E99">
        <w:rPr>
          <w:rFonts w:ascii="Traditional Arabic" w:hAnsi="Traditional Arabic" w:cs="Traditional Arabic"/>
          <w:sz w:val="30"/>
          <w:szCs w:val="30"/>
          <w:rtl/>
          <w:lang w:eastAsia="zh-TW"/>
        </w:rPr>
        <w:t>.</w:t>
      </w:r>
    </w:p>
    <w:p w:rsidR="001A0DA3" w:rsidRPr="00AA7DE9" w:rsidRDefault="005D1C9A" w:rsidP="005D1C9A">
      <w:pPr>
        <w:pStyle w:val="CH2"/>
        <w:keepNext w:val="0"/>
        <w:keepLines w:val="0"/>
        <w:tabs>
          <w:tab w:val="clear" w:pos="1247"/>
        </w:tabs>
        <w:bidi/>
        <w:spacing w:before="0" w:line="400" w:lineRule="exact"/>
        <w:ind w:left="1134" w:right="0" w:firstLine="0"/>
        <w:jc w:val="both"/>
        <w:textDirection w:val="tbRlV"/>
        <w:rPr>
          <w:rFonts w:ascii="Traditional Arabic" w:hAnsi="Traditional Arabic" w:cs="Traditional Arabic"/>
          <w:b w:val="0"/>
          <w:bCs/>
          <w:sz w:val="30"/>
          <w:szCs w:val="30"/>
          <w:rtl/>
          <w:lang w:eastAsia="zh-TW"/>
        </w:rPr>
      </w:pPr>
      <w:r>
        <w:rPr>
          <w:rFonts w:ascii="Traditional Arabic" w:hAnsi="Traditional Arabic" w:cs="Traditional Arabic" w:hint="cs"/>
          <w:b w:val="0"/>
          <w:bCs/>
          <w:sz w:val="30"/>
          <w:szCs w:val="30"/>
          <w:rtl/>
          <w:lang w:eastAsia="zh-TW"/>
        </w:rPr>
        <w:t>الإجراء الذي يقترح أن يتخذه مؤتمر الأطراف</w:t>
      </w:r>
    </w:p>
    <w:p w:rsidR="005D1C9A" w:rsidRDefault="005D1C9A" w:rsidP="0006317A">
      <w:pPr>
        <w:pStyle w:val="Normalnumber"/>
        <w:numPr>
          <w:ilvl w:val="0"/>
          <w:numId w:val="18"/>
        </w:numPr>
        <w:tabs>
          <w:tab w:val="left" w:pos="1841"/>
        </w:tabs>
        <w:autoSpaceDE/>
        <w:autoSpaceDN/>
        <w:bidi/>
        <w:adjustRightInd/>
        <w:spacing w:line="400" w:lineRule="exact"/>
        <w:ind w:left="1126"/>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قد يرغب مؤتمر الأطراف في النظر في مشروع المبادئ التوجيهية بشأن التخزين المؤقت للزئبق بخلاف نفايات الزئبق، والموافقة على استخدامها في الأجل القصير. وقد يرغب مؤتمر الأطراف أيضاً أن يطلب المزيد من العمل التقني على المبادئ التوجيهية من أجل مواصلة تحسينها، وأن تعرض عليه صيغة منقحة منها لكي ينظر فيها في اجتماعه الثاني</w:t>
      </w:r>
      <w:r w:rsidR="001A0DA3">
        <w:rPr>
          <w:rFonts w:ascii="Traditional Arabic" w:hAnsi="Traditional Arabic" w:cs="Traditional Arabic"/>
          <w:sz w:val="30"/>
          <w:szCs w:val="30"/>
          <w:rtl/>
          <w:lang w:eastAsia="zh-TW"/>
        </w:rPr>
        <w:t>.</w:t>
      </w:r>
    </w:p>
    <w:p w:rsidR="005D1C9A" w:rsidRDefault="005D1C9A">
      <w:pPr>
        <w:rPr>
          <w:rFonts w:ascii="Traditional Arabic" w:eastAsiaTheme="minorEastAsia" w:hAnsi="Traditional Arabic"/>
          <w:sz w:val="30"/>
          <w:rtl/>
          <w:lang w:eastAsia="zh-TW"/>
        </w:rPr>
      </w:pPr>
      <w:r>
        <w:rPr>
          <w:rFonts w:ascii="Traditional Arabic" w:hAnsi="Traditional Arabic"/>
          <w:sz w:val="30"/>
          <w:rtl/>
          <w:lang w:eastAsia="zh-TW"/>
        </w:rPr>
        <w:br w:type="page"/>
      </w:r>
    </w:p>
    <w:p w:rsidR="005D1C9A" w:rsidRPr="002A6981" w:rsidRDefault="002A6981" w:rsidP="002A6981">
      <w:pPr>
        <w:pStyle w:val="Normalnumber"/>
        <w:numPr>
          <w:ilvl w:val="0"/>
          <w:numId w:val="0"/>
        </w:numPr>
        <w:bidi/>
        <w:spacing w:after="360" w:line="400" w:lineRule="exact"/>
        <w:jc w:val="both"/>
        <w:textDirection w:val="tbRlV"/>
        <w:rPr>
          <w:rFonts w:ascii="Traditional Arabic" w:hAnsi="Traditional Arabic" w:cs="Traditional Arabic"/>
          <w:b/>
          <w:bCs/>
          <w:sz w:val="34"/>
          <w:szCs w:val="34"/>
          <w:rtl/>
          <w:lang w:eastAsia="zh-TW"/>
        </w:rPr>
      </w:pPr>
      <w:r w:rsidRPr="002A6981">
        <w:rPr>
          <w:rFonts w:ascii="Traditional Arabic" w:hAnsi="Traditional Arabic" w:cs="Traditional Arabic"/>
          <w:b/>
          <w:bCs/>
          <w:sz w:val="34"/>
          <w:szCs w:val="34"/>
          <w:rtl/>
          <w:lang w:eastAsia="zh-TW"/>
        </w:rPr>
        <w:lastRenderedPageBreak/>
        <w:t>المرفق الأول</w:t>
      </w:r>
    </w:p>
    <w:p w:rsidR="005D1C9A" w:rsidRPr="002A6981" w:rsidRDefault="005D1C9A" w:rsidP="002A6981">
      <w:pPr>
        <w:pStyle w:val="Normalnumber"/>
        <w:numPr>
          <w:ilvl w:val="0"/>
          <w:numId w:val="0"/>
        </w:numPr>
        <w:tabs>
          <w:tab w:val="left" w:pos="1841"/>
        </w:tabs>
        <w:bidi/>
        <w:spacing w:after="240" w:line="400" w:lineRule="exact"/>
        <w:ind w:left="1128"/>
        <w:jc w:val="both"/>
        <w:textDirection w:val="tbRlV"/>
        <w:rPr>
          <w:rFonts w:ascii="Traditional Arabic" w:hAnsi="Traditional Arabic" w:cs="Traditional Arabic"/>
          <w:b/>
          <w:bCs/>
          <w:sz w:val="30"/>
          <w:szCs w:val="30"/>
          <w:rtl/>
          <w:lang w:eastAsia="zh-TW"/>
        </w:rPr>
      </w:pPr>
      <w:r w:rsidRPr="002A6981">
        <w:rPr>
          <w:rFonts w:ascii="Traditional Arabic" w:hAnsi="Traditional Arabic" w:cs="Traditional Arabic" w:hint="cs"/>
          <w:b/>
          <w:bCs/>
          <w:sz w:val="30"/>
          <w:szCs w:val="30"/>
          <w:rtl/>
          <w:lang w:eastAsia="zh-TW"/>
        </w:rPr>
        <w:t>م</w:t>
      </w:r>
      <w:r w:rsidRPr="002A6981">
        <w:rPr>
          <w:rFonts w:ascii="Traditional Arabic" w:hAnsi="Traditional Arabic" w:cs="Traditional Arabic"/>
          <w:b/>
          <w:bCs/>
          <w:sz w:val="30"/>
          <w:szCs w:val="30"/>
          <w:rtl/>
          <w:lang w:eastAsia="zh-TW"/>
        </w:rPr>
        <w:t>شروع المقرر ا م-1/[xx]: المبادئ التوجيهية للتخزين المؤقت السليم بيئياً للزئبق، بخلاف نفايات الزئبق</w:t>
      </w:r>
    </w:p>
    <w:p w:rsidR="005D1C9A" w:rsidRPr="005D1C9A" w:rsidRDefault="005D1C9A" w:rsidP="002A6981">
      <w:pPr>
        <w:pStyle w:val="Normalnumber"/>
        <w:numPr>
          <w:ilvl w:val="0"/>
          <w:numId w:val="0"/>
        </w:numPr>
        <w:tabs>
          <w:tab w:val="left" w:pos="2266"/>
        </w:tabs>
        <w:bidi/>
        <w:spacing w:line="400" w:lineRule="exact"/>
        <w:ind w:left="1126" w:firstLine="573"/>
        <w:jc w:val="both"/>
        <w:textDirection w:val="tbRlV"/>
        <w:rPr>
          <w:rFonts w:ascii="Traditional Arabic" w:hAnsi="Traditional Arabic" w:cs="Traditional Arabic"/>
          <w:sz w:val="30"/>
          <w:szCs w:val="30"/>
          <w:rtl/>
          <w:lang w:eastAsia="zh-TW"/>
        </w:rPr>
      </w:pPr>
      <w:r w:rsidRPr="002A6981">
        <w:rPr>
          <w:rFonts w:ascii="Traditional Arabic" w:hAnsi="Traditional Arabic" w:cs="Traditional Arabic"/>
          <w:i/>
          <w:iCs/>
          <w:sz w:val="30"/>
          <w:szCs w:val="30"/>
          <w:rtl/>
          <w:lang w:eastAsia="zh-TW"/>
        </w:rPr>
        <w:t>إن مؤتمر الأطراف</w:t>
      </w:r>
      <w:r w:rsidRPr="005D1C9A">
        <w:rPr>
          <w:rFonts w:ascii="Traditional Arabic" w:hAnsi="Traditional Arabic" w:cs="Traditional Arabic"/>
          <w:sz w:val="30"/>
          <w:szCs w:val="30"/>
          <w:rtl/>
          <w:lang w:eastAsia="zh-TW"/>
        </w:rPr>
        <w:t>،</w:t>
      </w:r>
    </w:p>
    <w:p w:rsidR="005D1C9A" w:rsidRPr="005D1C9A" w:rsidRDefault="005D1C9A" w:rsidP="002A6981">
      <w:pPr>
        <w:pStyle w:val="Normalnumber"/>
        <w:numPr>
          <w:ilvl w:val="0"/>
          <w:numId w:val="0"/>
        </w:numPr>
        <w:tabs>
          <w:tab w:val="left" w:pos="2266"/>
        </w:tabs>
        <w:bidi/>
        <w:spacing w:line="400" w:lineRule="exact"/>
        <w:ind w:left="1126" w:firstLine="573"/>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i/>
          <w:iCs/>
          <w:sz w:val="30"/>
          <w:szCs w:val="30"/>
          <w:rtl/>
          <w:lang w:eastAsia="zh-TW"/>
        </w:rPr>
        <w:t>إذ يسلم</w:t>
      </w:r>
      <w:r w:rsidRPr="005D1C9A">
        <w:rPr>
          <w:rFonts w:ascii="Traditional Arabic" w:hAnsi="Traditional Arabic" w:cs="Traditional Arabic"/>
          <w:sz w:val="30"/>
          <w:szCs w:val="30"/>
          <w:rtl/>
          <w:lang w:eastAsia="zh-TW"/>
        </w:rPr>
        <w:t xml:space="preserve"> بضرورة مساعدة الأطراف في التخزين السليم بيئياً للزئبق بخلاف نفايات الزئبق عن طريق توفير المبادئ التوجيهية،</w:t>
      </w:r>
    </w:p>
    <w:p w:rsidR="005D1C9A" w:rsidRPr="005D1C9A" w:rsidRDefault="005D1C9A" w:rsidP="002A6981">
      <w:pPr>
        <w:pStyle w:val="Normalnumber"/>
        <w:numPr>
          <w:ilvl w:val="0"/>
          <w:numId w:val="0"/>
        </w:numPr>
        <w:tabs>
          <w:tab w:val="left" w:pos="2266"/>
        </w:tabs>
        <w:bidi/>
        <w:spacing w:line="400" w:lineRule="exact"/>
        <w:ind w:left="1126" w:firstLine="573"/>
        <w:jc w:val="both"/>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1-</w:t>
      </w:r>
      <w:r w:rsidR="002A6981">
        <w:rPr>
          <w:rFonts w:ascii="Traditional Arabic" w:hAnsi="Traditional Arabic" w:cs="Traditional Arabic" w:hint="cs"/>
          <w:sz w:val="30"/>
          <w:szCs w:val="30"/>
          <w:rtl/>
          <w:lang w:eastAsia="zh-TW"/>
        </w:rPr>
        <w:tab/>
      </w:r>
      <w:r w:rsidRPr="005D1C9A">
        <w:rPr>
          <w:rFonts w:ascii="Traditional Arabic" w:hAnsi="Traditional Arabic" w:cs="Traditional Arabic"/>
          <w:i/>
          <w:iCs/>
          <w:sz w:val="30"/>
          <w:szCs w:val="30"/>
          <w:rtl/>
          <w:lang w:eastAsia="zh-TW"/>
        </w:rPr>
        <w:t>يعتمد</w:t>
      </w:r>
      <w:r w:rsidRPr="005D1C9A">
        <w:rPr>
          <w:rFonts w:ascii="Traditional Arabic" w:hAnsi="Traditional Arabic" w:cs="Traditional Arabic"/>
          <w:sz w:val="30"/>
          <w:szCs w:val="30"/>
          <w:rtl/>
          <w:lang w:eastAsia="zh-TW"/>
        </w:rPr>
        <w:t xml:space="preserve"> المبادئ التوجيهية بشأن التخزين المؤقت السليم بيئيا</w:t>
      </w:r>
      <w:r w:rsidR="0006317A">
        <w:rPr>
          <w:rFonts w:ascii="Traditional Arabic" w:hAnsi="Traditional Arabic" w:cs="Traditional Arabic" w:hint="cs"/>
          <w:sz w:val="30"/>
          <w:szCs w:val="30"/>
          <w:rtl/>
          <w:lang w:eastAsia="zh-TW"/>
        </w:rPr>
        <w:t>ً</w:t>
      </w:r>
      <w:r w:rsidRPr="005D1C9A">
        <w:rPr>
          <w:rFonts w:ascii="Traditional Arabic" w:hAnsi="Traditional Arabic" w:cs="Traditional Arabic"/>
          <w:sz w:val="30"/>
          <w:szCs w:val="30"/>
          <w:rtl/>
          <w:lang w:eastAsia="zh-TW"/>
        </w:rPr>
        <w:t xml:space="preserve"> للزئبق بخلاف نفايات الزئبق لاستخدامها في الأجل القصير؛</w:t>
      </w:r>
    </w:p>
    <w:p w:rsidR="005D1C9A" w:rsidRPr="005D1C9A" w:rsidRDefault="005D1C9A" w:rsidP="002A6981">
      <w:pPr>
        <w:pStyle w:val="Normalnumber"/>
        <w:numPr>
          <w:ilvl w:val="0"/>
          <w:numId w:val="0"/>
        </w:numPr>
        <w:tabs>
          <w:tab w:val="left" w:pos="2266"/>
        </w:tabs>
        <w:bidi/>
        <w:spacing w:line="400" w:lineRule="exact"/>
        <w:ind w:left="1126" w:firstLine="573"/>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٢</w:t>
      </w:r>
      <w:r>
        <w:rPr>
          <w:rFonts w:ascii="Traditional Arabic" w:hAnsi="Traditional Arabic" w:cs="Traditional Arabic" w:hint="cs"/>
          <w:sz w:val="30"/>
          <w:szCs w:val="30"/>
          <w:rtl/>
          <w:lang w:eastAsia="zh-TW"/>
        </w:rPr>
        <w:t>-</w:t>
      </w:r>
      <w:r w:rsidR="002A6981">
        <w:rPr>
          <w:rFonts w:ascii="Traditional Arabic" w:hAnsi="Traditional Arabic" w:cs="Traditional Arabic" w:hint="cs"/>
          <w:sz w:val="30"/>
          <w:szCs w:val="30"/>
          <w:rtl/>
          <w:lang w:eastAsia="zh-TW"/>
        </w:rPr>
        <w:tab/>
      </w:r>
      <w:r w:rsidRPr="005D1C9A">
        <w:rPr>
          <w:rFonts w:ascii="Traditional Arabic" w:hAnsi="Traditional Arabic" w:cs="Traditional Arabic"/>
          <w:i/>
          <w:iCs/>
          <w:sz w:val="30"/>
          <w:szCs w:val="30"/>
          <w:rtl/>
          <w:lang w:eastAsia="zh-TW"/>
        </w:rPr>
        <w:t>يوافق</w:t>
      </w:r>
      <w:r w:rsidRPr="005D1C9A">
        <w:rPr>
          <w:rFonts w:ascii="Traditional Arabic" w:hAnsi="Traditional Arabic" w:cs="Traditional Arabic"/>
          <w:sz w:val="30"/>
          <w:szCs w:val="30"/>
          <w:rtl/>
          <w:lang w:eastAsia="zh-TW"/>
        </w:rPr>
        <w:t xml:space="preserve"> على تشجيع استخدام تلك المبادئ التوجيهية على أساس مؤقت لمساعدة الأطراف في تلبية التزاماتها بموجب المادة ١٠ من اتفاقية ميناماتا بشأن الزئبق؛</w:t>
      </w:r>
    </w:p>
    <w:p w:rsidR="005D1C9A" w:rsidRPr="005D1C9A" w:rsidRDefault="005D1C9A" w:rsidP="002A6981">
      <w:pPr>
        <w:pStyle w:val="Normalnumber"/>
        <w:numPr>
          <w:ilvl w:val="0"/>
          <w:numId w:val="0"/>
        </w:numPr>
        <w:tabs>
          <w:tab w:val="left" w:pos="2266"/>
        </w:tabs>
        <w:bidi/>
        <w:spacing w:line="400" w:lineRule="exact"/>
        <w:ind w:left="1126" w:firstLine="573"/>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٣</w:t>
      </w:r>
      <w:r>
        <w:rPr>
          <w:rFonts w:ascii="Traditional Arabic" w:hAnsi="Traditional Arabic" w:cs="Traditional Arabic" w:hint="cs"/>
          <w:sz w:val="30"/>
          <w:szCs w:val="30"/>
          <w:rtl/>
          <w:lang w:eastAsia="zh-TW"/>
        </w:rPr>
        <w:t>-</w:t>
      </w:r>
      <w:r w:rsidR="002A6981">
        <w:rPr>
          <w:rFonts w:ascii="Traditional Arabic" w:hAnsi="Traditional Arabic" w:cs="Traditional Arabic" w:hint="cs"/>
          <w:sz w:val="30"/>
          <w:szCs w:val="30"/>
          <w:rtl/>
          <w:lang w:eastAsia="zh-TW"/>
        </w:rPr>
        <w:tab/>
      </w:r>
      <w:r w:rsidRPr="005D1C9A">
        <w:rPr>
          <w:rFonts w:ascii="Traditional Arabic" w:hAnsi="Traditional Arabic" w:cs="Traditional Arabic"/>
          <w:i/>
          <w:iCs/>
          <w:sz w:val="30"/>
          <w:szCs w:val="30"/>
          <w:rtl/>
          <w:lang w:eastAsia="zh-TW"/>
        </w:rPr>
        <w:t>يطلب</w:t>
      </w:r>
      <w:r w:rsidRPr="005D1C9A">
        <w:rPr>
          <w:rFonts w:ascii="Traditional Arabic" w:hAnsi="Traditional Arabic" w:cs="Traditional Arabic"/>
          <w:sz w:val="30"/>
          <w:szCs w:val="30"/>
          <w:rtl/>
          <w:lang w:eastAsia="zh-TW"/>
        </w:rPr>
        <w:t xml:space="preserve"> إلى الأمانة أن تدخل المزيد من التنقيح على المبادئ التوجيهية ملتمسة مساهمات تقنية من الخبراء المعنيين، وأن تقدم المبادئ التوجيهية المنقحة إلى مؤتمر الأطراف في اتفاقية ميناماتا في اجتماعه الثاني لمواصلة النظر فيها واحتمال اعتمادها.</w:t>
      </w:r>
    </w:p>
    <w:p w:rsidR="005D1C9A" w:rsidRDefault="005D1C9A" w:rsidP="002A6981">
      <w:pPr>
        <w:bidi/>
        <w:rPr>
          <w:rFonts w:ascii="Traditional Arabic" w:eastAsiaTheme="minorEastAsia" w:hAnsi="Traditional Arabic"/>
          <w:sz w:val="30"/>
          <w:rtl/>
          <w:lang w:eastAsia="zh-TW"/>
        </w:rPr>
      </w:pPr>
      <w:r>
        <w:rPr>
          <w:rFonts w:ascii="Traditional Arabic" w:hAnsi="Traditional Arabic"/>
          <w:sz w:val="30"/>
          <w:rtl/>
          <w:lang w:eastAsia="zh-TW"/>
        </w:rPr>
        <w:br w:type="page"/>
      </w:r>
    </w:p>
    <w:p w:rsidR="005D1C9A" w:rsidRPr="002A6981" w:rsidRDefault="005D1C9A" w:rsidP="002A6981">
      <w:pPr>
        <w:pStyle w:val="Normalnumber"/>
        <w:numPr>
          <w:ilvl w:val="0"/>
          <w:numId w:val="0"/>
        </w:numPr>
        <w:bidi/>
        <w:spacing w:after="240" w:line="400" w:lineRule="exact"/>
        <w:jc w:val="both"/>
        <w:textDirection w:val="tbRlV"/>
        <w:rPr>
          <w:rFonts w:ascii="Traditional Arabic" w:hAnsi="Traditional Arabic" w:cs="Traditional Arabic"/>
          <w:b/>
          <w:bCs/>
          <w:sz w:val="34"/>
          <w:szCs w:val="34"/>
          <w:rtl/>
          <w:lang w:eastAsia="zh-TW"/>
        </w:rPr>
      </w:pPr>
      <w:r w:rsidRPr="002A6981">
        <w:rPr>
          <w:rFonts w:ascii="Traditional Arabic" w:hAnsi="Traditional Arabic" w:cs="Traditional Arabic"/>
          <w:b/>
          <w:bCs/>
          <w:sz w:val="34"/>
          <w:szCs w:val="34"/>
          <w:rtl/>
          <w:lang w:eastAsia="zh-TW"/>
        </w:rPr>
        <w:lastRenderedPageBreak/>
        <w:t>المرفق الثاني</w:t>
      </w:r>
    </w:p>
    <w:p w:rsidR="001A0DA3" w:rsidRPr="002A6981" w:rsidRDefault="005D1C9A" w:rsidP="00426042">
      <w:pPr>
        <w:pStyle w:val="Normalnumber"/>
        <w:numPr>
          <w:ilvl w:val="0"/>
          <w:numId w:val="0"/>
        </w:numPr>
        <w:tabs>
          <w:tab w:val="left" w:pos="1841"/>
        </w:tabs>
        <w:autoSpaceDE/>
        <w:autoSpaceDN/>
        <w:bidi/>
        <w:adjustRightInd/>
        <w:spacing w:after="240" w:line="400" w:lineRule="exact"/>
        <w:ind w:left="1128"/>
        <w:jc w:val="both"/>
        <w:textDirection w:val="tbRlV"/>
        <w:rPr>
          <w:rFonts w:ascii="Traditional Arabic" w:hAnsi="Traditional Arabic" w:cs="Traditional Arabic"/>
          <w:b/>
          <w:bCs/>
          <w:sz w:val="32"/>
          <w:szCs w:val="32"/>
          <w:rtl/>
          <w:lang w:eastAsia="zh-TW"/>
        </w:rPr>
      </w:pPr>
      <w:r w:rsidRPr="002A6981">
        <w:rPr>
          <w:rFonts w:ascii="Traditional Arabic" w:hAnsi="Traditional Arabic" w:cs="Traditional Arabic"/>
          <w:b/>
          <w:bCs/>
          <w:sz w:val="32"/>
          <w:szCs w:val="32"/>
          <w:rtl/>
          <w:lang w:eastAsia="zh-TW"/>
        </w:rPr>
        <w:t>مشروع المبادئ التوجيهية للتخزين المؤقت السليم بيئياً للزئبق، بخلاف نفايات الزئبق</w:t>
      </w:r>
    </w:p>
    <w:sdt>
      <w:sdtPr>
        <w:rPr>
          <w:rStyle w:val="Hyperlink"/>
          <w:noProof/>
          <w:rtl/>
          <w:lang w:eastAsia="zh-TW"/>
        </w:rPr>
        <w:id w:val="-1203168575"/>
        <w:docPartObj>
          <w:docPartGallery w:val="Table of Contents"/>
          <w:docPartUnique/>
        </w:docPartObj>
      </w:sdtPr>
      <w:sdtEndPr>
        <w:rPr>
          <w:rStyle w:val="DefaultParagraphFont"/>
          <w:b/>
          <w:bCs/>
          <w:color w:val="auto"/>
          <w:u w:val="none"/>
          <w:lang w:eastAsia="en-US"/>
        </w:rPr>
      </w:sdtEndPr>
      <w:sdtContent>
        <w:p w:rsidR="005521B6" w:rsidRPr="005521B6" w:rsidRDefault="005521B6" w:rsidP="005521B6">
          <w:pPr>
            <w:pStyle w:val="TOC1"/>
            <w:tabs>
              <w:tab w:val="clear" w:pos="1841"/>
              <w:tab w:val="left" w:pos="1699"/>
            </w:tabs>
            <w:spacing w:after="0" w:line="400" w:lineRule="exact"/>
            <w:ind w:left="849"/>
            <w:rPr>
              <w:rStyle w:val="Hyperlink"/>
              <w:noProof/>
              <w:color w:val="auto"/>
              <w:rtl/>
              <w:lang w:eastAsia="zh-TW"/>
            </w:rPr>
          </w:pPr>
          <w:r w:rsidRPr="005521B6">
            <w:rPr>
              <w:rStyle w:val="Hyperlink"/>
              <w:noProof/>
              <w:color w:val="auto"/>
              <w:lang w:eastAsia="zh-TW"/>
            </w:rPr>
            <w:fldChar w:fldCharType="begin"/>
          </w:r>
          <w:r w:rsidRPr="005521B6">
            <w:rPr>
              <w:rStyle w:val="Hyperlink"/>
              <w:noProof/>
              <w:color w:val="auto"/>
              <w:lang w:eastAsia="zh-TW"/>
            </w:rPr>
            <w:instrText xml:space="preserve"> TOC \o "1-3" \h \z \u </w:instrText>
          </w:r>
          <w:r w:rsidRPr="005521B6">
            <w:rPr>
              <w:rStyle w:val="Hyperlink"/>
              <w:noProof/>
              <w:color w:val="auto"/>
              <w:lang w:eastAsia="zh-TW"/>
            </w:rPr>
            <w:fldChar w:fldCharType="separate"/>
          </w:r>
          <w:hyperlink w:anchor="_Toc485639159" w:history="1">
            <w:r w:rsidRPr="005521B6">
              <w:rPr>
                <w:rStyle w:val="Hyperlink"/>
                <w:rFonts w:hint="eastAsia"/>
                <w:noProof/>
                <w:color w:val="auto"/>
                <w:rtl/>
                <w:lang w:eastAsia="zh-TW"/>
              </w:rPr>
              <w:t>أولاً</w:t>
            </w:r>
            <w:r w:rsidRPr="005521B6">
              <w:rPr>
                <w:rStyle w:val="Hyperlink"/>
                <w:noProof/>
                <w:color w:val="auto"/>
                <w:rtl/>
                <w:lang w:eastAsia="zh-TW"/>
              </w:rPr>
              <w:t xml:space="preserve"> -</w:t>
            </w:r>
            <w:r w:rsidRPr="005521B6">
              <w:rPr>
                <w:rStyle w:val="Hyperlink"/>
                <w:noProof/>
                <w:color w:val="auto"/>
                <w:rtl/>
                <w:lang w:eastAsia="zh-TW"/>
              </w:rPr>
              <w:tab/>
            </w:r>
            <w:r w:rsidRPr="005521B6">
              <w:rPr>
                <w:rStyle w:val="Hyperlink"/>
                <w:rFonts w:hint="eastAsia"/>
                <w:noProof/>
                <w:color w:val="auto"/>
                <w:rtl/>
                <w:lang w:eastAsia="zh-TW"/>
              </w:rPr>
              <w:t>مقدمة</w:t>
            </w:r>
            <w:r w:rsidRPr="005521B6">
              <w:rPr>
                <w:rStyle w:val="Hyperlink"/>
                <w:noProof/>
                <w:webHidden/>
                <w:color w:val="auto"/>
                <w:rtl/>
                <w:lang w:eastAsia="zh-TW"/>
              </w:rPr>
              <w:tab/>
            </w:r>
            <w:r w:rsidRPr="005521B6">
              <w:rPr>
                <w:rStyle w:val="Hyperlink"/>
                <w:noProof/>
                <w:webHidden/>
                <w:color w:val="auto"/>
                <w:rtl/>
                <w:lang w:eastAsia="zh-TW"/>
              </w:rPr>
              <w:fldChar w:fldCharType="begin"/>
            </w:r>
            <w:r w:rsidRPr="005521B6">
              <w:rPr>
                <w:rStyle w:val="Hyperlink"/>
                <w:noProof/>
                <w:webHidden/>
                <w:color w:val="auto"/>
                <w:rtl/>
                <w:lang w:eastAsia="zh-TW"/>
              </w:rPr>
              <w:instrText xml:space="preserve"> </w:instrText>
            </w:r>
            <w:r w:rsidRPr="005521B6">
              <w:rPr>
                <w:rStyle w:val="Hyperlink"/>
                <w:noProof/>
                <w:webHidden/>
                <w:color w:val="auto"/>
                <w:lang w:eastAsia="zh-TW"/>
              </w:rPr>
              <w:instrText>PAGEREF</w:instrText>
            </w:r>
            <w:r w:rsidRPr="005521B6">
              <w:rPr>
                <w:rStyle w:val="Hyperlink"/>
                <w:noProof/>
                <w:webHidden/>
                <w:color w:val="auto"/>
                <w:rtl/>
                <w:lang w:eastAsia="zh-TW"/>
              </w:rPr>
              <w:instrText xml:space="preserve"> _</w:instrText>
            </w:r>
            <w:r w:rsidRPr="005521B6">
              <w:rPr>
                <w:rStyle w:val="Hyperlink"/>
                <w:noProof/>
                <w:webHidden/>
                <w:color w:val="auto"/>
                <w:lang w:eastAsia="zh-TW"/>
              </w:rPr>
              <w:instrText>Toc485639159 \h</w:instrText>
            </w:r>
            <w:r w:rsidRPr="005521B6">
              <w:rPr>
                <w:rStyle w:val="Hyperlink"/>
                <w:noProof/>
                <w:webHidden/>
                <w:color w:val="auto"/>
                <w:rtl/>
                <w:lang w:eastAsia="zh-TW"/>
              </w:rPr>
              <w:instrText xml:space="preserve"> </w:instrText>
            </w:r>
            <w:r w:rsidRPr="005521B6">
              <w:rPr>
                <w:rStyle w:val="Hyperlink"/>
                <w:noProof/>
                <w:webHidden/>
                <w:color w:val="auto"/>
                <w:rtl/>
                <w:lang w:eastAsia="zh-TW"/>
              </w:rPr>
            </w:r>
            <w:r w:rsidRPr="005521B6">
              <w:rPr>
                <w:rStyle w:val="Hyperlink"/>
                <w:noProof/>
                <w:webHidden/>
                <w:color w:val="auto"/>
                <w:rtl/>
                <w:lang w:eastAsia="zh-TW"/>
              </w:rPr>
              <w:fldChar w:fldCharType="separate"/>
            </w:r>
            <w:r w:rsidR="009825BE">
              <w:rPr>
                <w:rStyle w:val="Hyperlink"/>
                <w:noProof/>
                <w:webHidden/>
                <w:color w:val="auto"/>
                <w:rtl/>
                <w:lang w:eastAsia="zh-TW"/>
              </w:rPr>
              <w:t>5</w:t>
            </w:r>
            <w:r w:rsidRPr="005521B6">
              <w:rPr>
                <w:rStyle w:val="Hyperlink"/>
                <w:noProof/>
                <w:webHidden/>
                <w:color w:val="auto"/>
                <w:rtl/>
                <w:lang w:eastAsia="zh-TW"/>
              </w:rPr>
              <w:fldChar w:fldCharType="end"/>
            </w:r>
          </w:hyperlink>
        </w:p>
        <w:p w:rsidR="005521B6" w:rsidRPr="005521B6" w:rsidRDefault="009825BE" w:rsidP="005521B6">
          <w:pPr>
            <w:pStyle w:val="TOC1"/>
            <w:tabs>
              <w:tab w:val="clear" w:pos="1841"/>
              <w:tab w:val="left" w:pos="1699"/>
            </w:tabs>
            <w:spacing w:after="0" w:line="400" w:lineRule="exact"/>
            <w:ind w:left="849"/>
            <w:rPr>
              <w:rStyle w:val="Hyperlink"/>
              <w:noProof/>
              <w:color w:val="auto"/>
              <w:rtl/>
              <w:lang w:eastAsia="zh-TW"/>
            </w:rPr>
          </w:pPr>
          <w:hyperlink w:anchor="_Toc485639160" w:history="1">
            <w:r w:rsidR="005521B6" w:rsidRPr="005521B6">
              <w:rPr>
                <w:rStyle w:val="Hyperlink"/>
                <w:rFonts w:hint="eastAsia"/>
                <w:noProof/>
                <w:color w:val="auto"/>
                <w:rtl/>
                <w:lang w:eastAsia="zh-TW"/>
              </w:rPr>
              <w:t>ثانياً</w:t>
            </w:r>
            <w:r w:rsidR="005521B6" w:rsidRPr="005521B6">
              <w:rPr>
                <w:rStyle w:val="Hyperlink"/>
                <w:noProof/>
                <w:color w:val="auto"/>
                <w:rtl/>
                <w:lang w:eastAsia="zh-TW"/>
              </w:rPr>
              <w:t xml:space="preserve"> -</w:t>
            </w:r>
            <w:r w:rsidR="005521B6">
              <w:rPr>
                <w:rStyle w:val="Hyperlink"/>
                <w:rFonts w:hint="cs"/>
                <w:noProof/>
                <w:color w:val="auto"/>
                <w:rtl/>
                <w:lang w:eastAsia="zh-TW"/>
              </w:rPr>
              <w:tab/>
            </w:r>
            <w:r w:rsidR="005521B6" w:rsidRPr="005521B6">
              <w:rPr>
                <w:rStyle w:val="Hyperlink"/>
                <w:rFonts w:hint="eastAsia"/>
                <w:noProof/>
                <w:color w:val="auto"/>
                <w:rtl/>
                <w:lang w:eastAsia="zh-TW"/>
              </w:rPr>
              <w:t>الإدارة</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العامة</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للمواد</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الخطرة</w:t>
            </w:r>
            <w:r w:rsidR="005521B6" w:rsidRPr="005521B6">
              <w:rPr>
                <w:rStyle w:val="Hyperlink"/>
                <w:noProof/>
                <w:webHidden/>
                <w:color w:val="auto"/>
                <w:rtl/>
                <w:lang w:eastAsia="zh-TW"/>
              </w:rPr>
              <w:tab/>
            </w:r>
            <w:r w:rsidR="005521B6" w:rsidRPr="005521B6">
              <w:rPr>
                <w:rStyle w:val="Hyperlink"/>
                <w:noProof/>
                <w:webHidden/>
                <w:color w:val="auto"/>
                <w:rtl/>
                <w:lang w:eastAsia="zh-TW"/>
              </w:rPr>
              <w:fldChar w:fldCharType="begin"/>
            </w:r>
            <w:r w:rsidR="005521B6" w:rsidRPr="005521B6">
              <w:rPr>
                <w:rStyle w:val="Hyperlink"/>
                <w:noProof/>
                <w:webHidden/>
                <w:color w:val="auto"/>
                <w:rtl/>
                <w:lang w:eastAsia="zh-TW"/>
              </w:rPr>
              <w:instrText xml:space="preserve"> </w:instrText>
            </w:r>
            <w:r w:rsidR="005521B6" w:rsidRPr="005521B6">
              <w:rPr>
                <w:rStyle w:val="Hyperlink"/>
                <w:noProof/>
                <w:webHidden/>
                <w:color w:val="auto"/>
                <w:lang w:eastAsia="zh-TW"/>
              </w:rPr>
              <w:instrText>PAGEREF</w:instrText>
            </w:r>
            <w:r w:rsidR="005521B6" w:rsidRPr="005521B6">
              <w:rPr>
                <w:rStyle w:val="Hyperlink"/>
                <w:noProof/>
                <w:webHidden/>
                <w:color w:val="auto"/>
                <w:rtl/>
                <w:lang w:eastAsia="zh-TW"/>
              </w:rPr>
              <w:instrText xml:space="preserve"> _</w:instrText>
            </w:r>
            <w:r w:rsidR="005521B6" w:rsidRPr="005521B6">
              <w:rPr>
                <w:rStyle w:val="Hyperlink"/>
                <w:noProof/>
                <w:webHidden/>
                <w:color w:val="auto"/>
                <w:lang w:eastAsia="zh-TW"/>
              </w:rPr>
              <w:instrText>Toc485639160 \h</w:instrText>
            </w:r>
            <w:r w:rsidR="005521B6" w:rsidRPr="005521B6">
              <w:rPr>
                <w:rStyle w:val="Hyperlink"/>
                <w:noProof/>
                <w:webHidden/>
                <w:color w:val="auto"/>
                <w:rtl/>
                <w:lang w:eastAsia="zh-TW"/>
              </w:rPr>
              <w:instrText xml:space="preserve"> </w:instrText>
            </w:r>
            <w:r w:rsidR="005521B6" w:rsidRPr="005521B6">
              <w:rPr>
                <w:rStyle w:val="Hyperlink"/>
                <w:noProof/>
                <w:webHidden/>
                <w:color w:val="auto"/>
                <w:rtl/>
                <w:lang w:eastAsia="zh-TW"/>
              </w:rPr>
            </w:r>
            <w:r w:rsidR="005521B6" w:rsidRPr="005521B6">
              <w:rPr>
                <w:rStyle w:val="Hyperlink"/>
                <w:noProof/>
                <w:webHidden/>
                <w:color w:val="auto"/>
                <w:rtl/>
                <w:lang w:eastAsia="zh-TW"/>
              </w:rPr>
              <w:fldChar w:fldCharType="separate"/>
            </w:r>
            <w:r>
              <w:rPr>
                <w:rStyle w:val="Hyperlink"/>
                <w:noProof/>
                <w:webHidden/>
                <w:color w:val="auto"/>
                <w:rtl/>
                <w:lang w:eastAsia="zh-TW"/>
              </w:rPr>
              <w:t>5</w:t>
            </w:r>
            <w:r w:rsidR="005521B6" w:rsidRPr="005521B6">
              <w:rPr>
                <w:rStyle w:val="Hyperlink"/>
                <w:noProof/>
                <w:webHidden/>
                <w:color w:val="auto"/>
                <w:rtl/>
                <w:lang w:eastAsia="zh-TW"/>
              </w:rPr>
              <w:fldChar w:fldCharType="end"/>
            </w:r>
          </w:hyperlink>
        </w:p>
        <w:p w:rsidR="005521B6" w:rsidRPr="005521B6" w:rsidRDefault="009825BE" w:rsidP="005521B6">
          <w:pPr>
            <w:pStyle w:val="TOC1"/>
            <w:tabs>
              <w:tab w:val="clear" w:pos="1841"/>
              <w:tab w:val="left" w:pos="1699"/>
            </w:tabs>
            <w:spacing w:after="0" w:line="400" w:lineRule="exact"/>
            <w:ind w:left="849"/>
            <w:rPr>
              <w:rStyle w:val="Hyperlink"/>
              <w:noProof/>
              <w:color w:val="auto"/>
              <w:rtl/>
              <w:lang w:eastAsia="zh-TW"/>
            </w:rPr>
          </w:pPr>
          <w:hyperlink w:anchor="_Toc485639161" w:history="1">
            <w:r w:rsidR="005521B6" w:rsidRPr="005521B6">
              <w:rPr>
                <w:rStyle w:val="Hyperlink"/>
                <w:rFonts w:hint="eastAsia"/>
                <w:noProof/>
                <w:color w:val="auto"/>
                <w:rtl/>
                <w:lang w:eastAsia="zh-TW"/>
              </w:rPr>
              <w:t>ثالثاً</w:t>
            </w:r>
            <w:r w:rsidR="005521B6" w:rsidRPr="005521B6">
              <w:rPr>
                <w:rStyle w:val="Hyperlink"/>
                <w:noProof/>
                <w:color w:val="auto"/>
                <w:rtl/>
                <w:lang w:eastAsia="zh-TW"/>
              </w:rPr>
              <w:t xml:space="preserve"> -</w:t>
            </w:r>
            <w:r w:rsidR="005521B6">
              <w:rPr>
                <w:rStyle w:val="Hyperlink"/>
                <w:rFonts w:hint="cs"/>
                <w:noProof/>
                <w:color w:val="auto"/>
                <w:rtl/>
                <w:lang w:eastAsia="zh-TW"/>
              </w:rPr>
              <w:tab/>
            </w:r>
            <w:r w:rsidR="005521B6" w:rsidRPr="005521B6">
              <w:rPr>
                <w:rStyle w:val="Hyperlink"/>
                <w:rFonts w:hint="eastAsia"/>
                <w:noProof/>
                <w:color w:val="auto"/>
                <w:rtl/>
                <w:lang w:eastAsia="zh-TW"/>
              </w:rPr>
              <w:t>نطاق</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المبادئ</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التوجيهية</w:t>
            </w:r>
            <w:r w:rsidR="005521B6" w:rsidRPr="005521B6">
              <w:rPr>
                <w:rStyle w:val="Hyperlink"/>
                <w:noProof/>
                <w:webHidden/>
                <w:color w:val="auto"/>
                <w:rtl/>
                <w:lang w:eastAsia="zh-TW"/>
              </w:rPr>
              <w:tab/>
            </w:r>
            <w:r w:rsidR="005521B6" w:rsidRPr="005521B6">
              <w:rPr>
                <w:rStyle w:val="Hyperlink"/>
                <w:noProof/>
                <w:webHidden/>
                <w:color w:val="auto"/>
                <w:rtl/>
                <w:lang w:eastAsia="zh-TW"/>
              </w:rPr>
              <w:fldChar w:fldCharType="begin"/>
            </w:r>
            <w:r w:rsidR="005521B6" w:rsidRPr="005521B6">
              <w:rPr>
                <w:rStyle w:val="Hyperlink"/>
                <w:noProof/>
                <w:webHidden/>
                <w:color w:val="auto"/>
                <w:rtl/>
                <w:lang w:eastAsia="zh-TW"/>
              </w:rPr>
              <w:instrText xml:space="preserve"> </w:instrText>
            </w:r>
            <w:r w:rsidR="005521B6" w:rsidRPr="005521B6">
              <w:rPr>
                <w:rStyle w:val="Hyperlink"/>
                <w:noProof/>
                <w:webHidden/>
                <w:color w:val="auto"/>
                <w:lang w:eastAsia="zh-TW"/>
              </w:rPr>
              <w:instrText>PAGEREF</w:instrText>
            </w:r>
            <w:r w:rsidR="005521B6" w:rsidRPr="005521B6">
              <w:rPr>
                <w:rStyle w:val="Hyperlink"/>
                <w:noProof/>
                <w:webHidden/>
                <w:color w:val="auto"/>
                <w:rtl/>
                <w:lang w:eastAsia="zh-TW"/>
              </w:rPr>
              <w:instrText xml:space="preserve"> _</w:instrText>
            </w:r>
            <w:r w:rsidR="005521B6" w:rsidRPr="005521B6">
              <w:rPr>
                <w:rStyle w:val="Hyperlink"/>
                <w:noProof/>
                <w:webHidden/>
                <w:color w:val="auto"/>
                <w:lang w:eastAsia="zh-TW"/>
              </w:rPr>
              <w:instrText>Toc485639161 \h</w:instrText>
            </w:r>
            <w:r w:rsidR="005521B6" w:rsidRPr="005521B6">
              <w:rPr>
                <w:rStyle w:val="Hyperlink"/>
                <w:noProof/>
                <w:webHidden/>
                <w:color w:val="auto"/>
                <w:rtl/>
                <w:lang w:eastAsia="zh-TW"/>
              </w:rPr>
              <w:instrText xml:space="preserve"> </w:instrText>
            </w:r>
            <w:r w:rsidR="005521B6" w:rsidRPr="005521B6">
              <w:rPr>
                <w:rStyle w:val="Hyperlink"/>
                <w:noProof/>
                <w:webHidden/>
                <w:color w:val="auto"/>
                <w:rtl/>
                <w:lang w:eastAsia="zh-TW"/>
              </w:rPr>
            </w:r>
            <w:r w:rsidR="005521B6" w:rsidRPr="005521B6">
              <w:rPr>
                <w:rStyle w:val="Hyperlink"/>
                <w:noProof/>
                <w:webHidden/>
                <w:color w:val="auto"/>
                <w:rtl/>
                <w:lang w:eastAsia="zh-TW"/>
              </w:rPr>
              <w:fldChar w:fldCharType="separate"/>
            </w:r>
            <w:r>
              <w:rPr>
                <w:rStyle w:val="Hyperlink"/>
                <w:noProof/>
                <w:webHidden/>
                <w:color w:val="auto"/>
                <w:rtl/>
                <w:lang w:eastAsia="zh-TW"/>
              </w:rPr>
              <w:t>6</w:t>
            </w:r>
            <w:r w:rsidR="005521B6" w:rsidRPr="005521B6">
              <w:rPr>
                <w:rStyle w:val="Hyperlink"/>
                <w:noProof/>
                <w:webHidden/>
                <w:color w:val="auto"/>
                <w:rtl/>
                <w:lang w:eastAsia="zh-TW"/>
              </w:rPr>
              <w:fldChar w:fldCharType="end"/>
            </w:r>
          </w:hyperlink>
        </w:p>
        <w:p w:rsidR="005521B6" w:rsidRPr="005521B6" w:rsidRDefault="009825BE" w:rsidP="005521B6">
          <w:pPr>
            <w:pStyle w:val="TOC1"/>
            <w:tabs>
              <w:tab w:val="clear" w:pos="1841"/>
              <w:tab w:val="left" w:pos="1699"/>
            </w:tabs>
            <w:spacing w:after="0" w:line="400" w:lineRule="exact"/>
            <w:ind w:left="849"/>
            <w:rPr>
              <w:rStyle w:val="Hyperlink"/>
              <w:noProof/>
              <w:color w:val="auto"/>
              <w:rtl/>
              <w:lang w:eastAsia="zh-TW"/>
            </w:rPr>
          </w:pPr>
          <w:hyperlink w:anchor="_Toc485639162" w:history="1">
            <w:r w:rsidR="005521B6" w:rsidRPr="005521B6">
              <w:rPr>
                <w:rStyle w:val="Hyperlink"/>
                <w:rFonts w:hint="eastAsia"/>
                <w:noProof/>
                <w:color w:val="auto"/>
                <w:rtl/>
                <w:lang w:eastAsia="zh-TW"/>
              </w:rPr>
              <w:t>رابعاً</w:t>
            </w:r>
            <w:r w:rsidR="005521B6" w:rsidRPr="005521B6">
              <w:rPr>
                <w:rStyle w:val="Hyperlink"/>
                <w:noProof/>
                <w:color w:val="auto"/>
                <w:rtl/>
                <w:lang w:eastAsia="zh-TW"/>
              </w:rPr>
              <w:t xml:space="preserve"> -</w:t>
            </w:r>
            <w:r w:rsidR="005521B6">
              <w:rPr>
                <w:rStyle w:val="Hyperlink"/>
                <w:rFonts w:hint="cs"/>
                <w:noProof/>
                <w:color w:val="auto"/>
                <w:rtl/>
                <w:lang w:eastAsia="zh-TW"/>
              </w:rPr>
              <w:tab/>
            </w:r>
            <w:r w:rsidR="005521B6" w:rsidRPr="005521B6">
              <w:rPr>
                <w:rStyle w:val="Hyperlink"/>
                <w:rFonts w:hint="eastAsia"/>
                <w:noProof/>
                <w:color w:val="auto"/>
                <w:rtl/>
                <w:lang w:eastAsia="zh-TW"/>
              </w:rPr>
              <w:t>الممارسات</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السليمة</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للتخزين</w:t>
            </w:r>
            <w:r w:rsidR="005521B6" w:rsidRPr="005521B6">
              <w:rPr>
                <w:rStyle w:val="Hyperlink"/>
                <w:noProof/>
                <w:webHidden/>
                <w:color w:val="auto"/>
                <w:rtl/>
                <w:lang w:eastAsia="zh-TW"/>
              </w:rPr>
              <w:tab/>
            </w:r>
            <w:r w:rsidR="005521B6" w:rsidRPr="005521B6">
              <w:rPr>
                <w:rStyle w:val="Hyperlink"/>
                <w:noProof/>
                <w:webHidden/>
                <w:color w:val="auto"/>
                <w:rtl/>
                <w:lang w:eastAsia="zh-TW"/>
              </w:rPr>
              <w:fldChar w:fldCharType="begin"/>
            </w:r>
            <w:r w:rsidR="005521B6" w:rsidRPr="005521B6">
              <w:rPr>
                <w:rStyle w:val="Hyperlink"/>
                <w:noProof/>
                <w:webHidden/>
                <w:color w:val="auto"/>
                <w:rtl/>
                <w:lang w:eastAsia="zh-TW"/>
              </w:rPr>
              <w:instrText xml:space="preserve"> </w:instrText>
            </w:r>
            <w:r w:rsidR="005521B6" w:rsidRPr="005521B6">
              <w:rPr>
                <w:rStyle w:val="Hyperlink"/>
                <w:noProof/>
                <w:webHidden/>
                <w:color w:val="auto"/>
                <w:lang w:eastAsia="zh-TW"/>
              </w:rPr>
              <w:instrText>PAGEREF</w:instrText>
            </w:r>
            <w:r w:rsidR="005521B6" w:rsidRPr="005521B6">
              <w:rPr>
                <w:rStyle w:val="Hyperlink"/>
                <w:noProof/>
                <w:webHidden/>
                <w:color w:val="auto"/>
                <w:rtl/>
                <w:lang w:eastAsia="zh-TW"/>
              </w:rPr>
              <w:instrText xml:space="preserve"> _</w:instrText>
            </w:r>
            <w:r w:rsidR="005521B6" w:rsidRPr="005521B6">
              <w:rPr>
                <w:rStyle w:val="Hyperlink"/>
                <w:noProof/>
                <w:webHidden/>
                <w:color w:val="auto"/>
                <w:lang w:eastAsia="zh-TW"/>
              </w:rPr>
              <w:instrText>Toc485639162 \h</w:instrText>
            </w:r>
            <w:r w:rsidR="005521B6" w:rsidRPr="005521B6">
              <w:rPr>
                <w:rStyle w:val="Hyperlink"/>
                <w:noProof/>
                <w:webHidden/>
                <w:color w:val="auto"/>
                <w:rtl/>
                <w:lang w:eastAsia="zh-TW"/>
              </w:rPr>
              <w:instrText xml:space="preserve"> </w:instrText>
            </w:r>
            <w:r w:rsidR="005521B6" w:rsidRPr="005521B6">
              <w:rPr>
                <w:rStyle w:val="Hyperlink"/>
                <w:noProof/>
                <w:webHidden/>
                <w:color w:val="auto"/>
                <w:rtl/>
                <w:lang w:eastAsia="zh-TW"/>
              </w:rPr>
            </w:r>
            <w:r w:rsidR="005521B6" w:rsidRPr="005521B6">
              <w:rPr>
                <w:rStyle w:val="Hyperlink"/>
                <w:noProof/>
                <w:webHidden/>
                <w:color w:val="auto"/>
                <w:rtl/>
                <w:lang w:eastAsia="zh-TW"/>
              </w:rPr>
              <w:fldChar w:fldCharType="separate"/>
            </w:r>
            <w:r>
              <w:rPr>
                <w:rStyle w:val="Hyperlink"/>
                <w:noProof/>
                <w:webHidden/>
                <w:color w:val="auto"/>
                <w:rtl/>
                <w:lang w:eastAsia="zh-TW"/>
              </w:rPr>
              <w:t>8</w:t>
            </w:r>
            <w:r w:rsidR="005521B6" w:rsidRPr="005521B6">
              <w:rPr>
                <w:rStyle w:val="Hyperlink"/>
                <w:noProof/>
                <w:webHidden/>
                <w:color w:val="auto"/>
                <w:rtl/>
                <w:lang w:eastAsia="zh-TW"/>
              </w:rPr>
              <w:fldChar w:fldCharType="end"/>
            </w:r>
          </w:hyperlink>
        </w:p>
        <w:p w:rsidR="005521B6" w:rsidRPr="005521B6" w:rsidRDefault="009825BE" w:rsidP="005521B6">
          <w:pPr>
            <w:pStyle w:val="TOC1"/>
            <w:tabs>
              <w:tab w:val="clear" w:pos="1841"/>
              <w:tab w:val="left" w:pos="2408"/>
            </w:tabs>
            <w:spacing w:after="0" w:line="400" w:lineRule="exact"/>
            <w:ind w:left="1699"/>
            <w:rPr>
              <w:rStyle w:val="Hyperlink"/>
              <w:noProof/>
              <w:color w:val="auto"/>
              <w:rtl/>
              <w:lang w:eastAsia="zh-TW"/>
            </w:rPr>
          </w:pPr>
          <w:hyperlink w:anchor="_Toc485639163" w:history="1">
            <w:r w:rsidR="005521B6" w:rsidRPr="005521B6">
              <w:rPr>
                <w:rStyle w:val="Hyperlink"/>
                <w:rFonts w:hint="eastAsia"/>
                <w:noProof/>
                <w:color w:val="auto"/>
                <w:rtl/>
                <w:lang w:eastAsia="zh-TW"/>
              </w:rPr>
              <w:t>ألف</w:t>
            </w:r>
            <w:r w:rsidR="005521B6" w:rsidRPr="005521B6">
              <w:rPr>
                <w:rStyle w:val="Hyperlink"/>
                <w:noProof/>
                <w:color w:val="auto"/>
                <w:rtl/>
                <w:lang w:eastAsia="zh-TW"/>
              </w:rPr>
              <w:t>-</w:t>
            </w:r>
            <w:r w:rsidR="005521B6">
              <w:rPr>
                <w:rStyle w:val="Hyperlink"/>
                <w:rFonts w:hint="cs"/>
                <w:noProof/>
                <w:color w:val="auto"/>
                <w:rtl/>
                <w:lang w:eastAsia="zh-TW"/>
              </w:rPr>
              <w:tab/>
            </w:r>
            <w:r w:rsidR="005521B6" w:rsidRPr="005521B6">
              <w:rPr>
                <w:rStyle w:val="Hyperlink"/>
                <w:rFonts w:hint="eastAsia"/>
                <w:noProof/>
                <w:color w:val="auto"/>
                <w:rtl/>
                <w:lang w:eastAsia="zh-TW"/>
              </w:rPr>
              <w:t>مكان</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مواقع</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تخزين</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الزئبق</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ومعايير</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اختيار</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المواقع</w:t>
            </w:r>
            <w:r w:rsidR="005521B6" w:rsidRPr="005521B6">
              <w:rPr>
                <w:rStyle w:val="Hyperlink"/>
                <w:noProof/>
                <w:webHidden/>
                <w:color w:val="auto"/>
                <w:rtl/>
                <w:lang w:eastAsia="zh-TW"/>
              </w:rPr>
              <w:tab/>
            </w:r>
            <w:r w:rsidR="005521B6" w:rsidRPr="005521B6">
              <w:rPr>
                <w:rStyle w:val="Hyperlink"/>
                <w:noProof/>
                <w:webHidden/>
                <w:color w:val="auto"/>
                <w:rtl/>
                <w:lang w:eastAsia="zh-TW"/>
              </w:rPr>
              <w:fldChar w:fldCharType="begin"/>
            </w:r>
            <w:r w:rsidR="005521B6" w:rsidRPr="005521B6">
              <w:rPr>
                <w:rStyle w:val="Hyperlink"/>
                <w:noProof/>
                <w:webHidden/>
                <w:color w:val="auto"/>
                <w:rtl/>
                <w:lang w:eastAsia="zh-TW"/>
              </w:rPr>
              <w:instrText xml:space="preserve"> </w:instrText>
            </w:r>
            <w:r w:rsidR="005521B6" w:rsidRPr="005521B6">
              <w:rPr>
                <w:rStyle w:val="Hyperlink"/>
                <w:noProof/>
                <w:webHidden/>
                <w:color w:val="auto"/>
                <w:lang w:eastAsia="zh-TW"/>
              </w:rPr>
              <w:instrText>PAGEREF</w:instrText>
            </w:r>
            <w:r w:rsidR="005521B6" w:rsidRPr="005521B6">
              <w:rPr>
                <w:rStyle w:val="Hyperlink"/>
                <w:noProof/>
                <w:webHidden/>
                <w:color w:val="auto"/>
                <w:rtl/>
                <w:lang w:eastAsia="zh-TW"/>
              </w:rPr>
              <w:instrText xml:space="preserve"> _</w:instrText>
            </w:r>
            <w:r w:rsidR="005521B6" w:rsidRPr="005521B6">
              <w:rPr>
                <w:rStyle w:val="Hyperlink"/>
                <w:noProof/>
                <w:webHidden/>
                <w:color w:val="auto"/>
                <w:lang w:eastAsia="zh-TW"/>
              </w:rPr>
              <w:instrText>Toc485639163 \h</w:instrText>
            </w:r>
            <w:r w:rsidR="005521B6" w:rsidRPr="005521B6">
              <w:rPr>
                <w:rStyle w:val="Hyperlink"/>
                <w:noProof/>
                <w:webHidden/>
                <w:color w:val="auto"/>
                <w:rtl/>
                <w:lang w:eastAsia="zh-TW"/>
              </w:rPr>
              <w:instrText xml:space="preserve"> </w:instrText>
            </w:r>
            <w:r w:rsidR="005521B6" w:rsidRPr="005521B6">
              <w:rPr>
                <w:rStyle w:val="Hyperlink"/>
                <w:noProof/>
                <w:webHidden/>
                <w:color w:val="auto"/>
                <w:rtl/>
                <w:lang w:eastAsia="zh-TW"/>
              </w:rPr>
            </w:r>
            <w:r w:rsidR="005521B6" w:rsidRPr="005521B6">
              <w:rPr>
                <w:rStyle w:val="Hyperlink"/>
                <w:noProof/>
                <w:webHidden/>
                <w:color w:val="auto"/>
                <w:rtl/>
                <w:lang w:eastAsia="zh-TW"/>
              </w:rPr>
              <w:fldChar w:fldCharType="separate"/>
            </w:r>
            <w:r>
              <w:rPr>
                <w:rStyle w:val="Hyperlink"/>
                <w:noProof/>
                <w:webHidden/>
                <w:color w:val="auto"/>
                <w:rtl/>
                <w:lang w:eastAsia="zh-TW"/>
              </w:rPr>
              <w:t>8</w:t>
            </w:r>
            <w:r w:rsidR="005521B6" w:rsidRPr="005521B6">
              <w:rPr>
                <w:rStyle w:val="Hyperlink"/>
                <w:noProof/>
                <w:webHidden/>
                <w:color w:val="auto"/>
                <w:rtl/>
                <w:lang w:eastAsia="zh-TW"/>
              </w:rPr>
              <w:fldChar w:fldCharType="end"/>
            </w:r>
          </w:hyperlink>
        </w:p>
        <w:p w:rsidR="005521B6" w:rsidRPr="005521B6" w:rsidRDefault="009825BE" w:rsidP="005521B6">
          <w:pPr>
            <w:pStyle w:val="TOC1"/>
            <w:tabs>
              <w:tab w:val="clear" w:pos="1841"/>
              <w:tab w:val="left" w:pos="2408"/>
            </w:tabs>
            <w:spacing w:after="0" w:line="400" w:lineRule="exact"/>
            <w:ind w:left="1699"/>
            <w:rPr>
              <w:rStyle w:val="Hyperlink"/>
              <w:noProof/>
              <w:color w:val="auto"/>
              <w:rtl/>
              <w:lang w:eastAsia="zh-TW"/>
            </w:rPr>
          </w:pPr>
          <w:hyperlink w:anchor="_Toc485639164" w:history="1">
            <w:r w:rsidR="005521B6" w:rsidRPr="005521B6">
              <w:rPr>
                <w:rStyle w:val="Hyperlink"/>
                <w:rFonts w:hint="eastAsia"/>
                <w:noProof/>
                <w:color w:val="auto"/>
                <w:rtl/>
                <w:lang w:eastAsia="zh-TW"/>
              </w:rPr>
              <w:t>باء</w:t>
            </w:r>
            <w:r w:rsidR="005521B6" w:rsidRPr="005521B6">
              <w:rPr>
                <w:rStyle w:val="Hyperlink"/>
                <w:noProof/>
                <w:color w:val="auto"/>
                <w:rtl/>
                <w:lang w:eastAsia="zh-TW"/>
              </w:rPr>
              <w:t xml:space="preserve"> -</w:t>
            </w:r>
            <w:r w:rsidR="005521B6">
              <w:rPr>
                <w:rStyle w:val="Hyperlink"/>
                <w:rFonts w:hint="cs"/>
                <w:noProof/>
                <w:color w:val="auto"/>
                <w:rtl/>
                <w:lang w:eastAsia="zh-TW"/>
              </w:rPr>
              <w:tab/>
            </w:r>
            <w:r w:rsidR="005521B6" w:rsidRPr="005521B6">
              <w:rPr>
                <w:rStyle w:val="Hyperlink"/>
                <w:rFonts w:hint="eastAsia"/>
                <w:noProof/>
                <w:color w:val="auto"/>
                <w:rtl/>
                <w:lang w:eastAsia="zh-TW"/>
              </w:rPr>
              <w:t>تشييد</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مواقع</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التخزين،</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بما</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في</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ذلك</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توفير</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الحواجز</w:t>
            </w:r>
            <w:r w:rsidR="005521B6" w:rsidRPr="005521B6">
              <w:rPr>
                <w:rStyle w:val="Hyperlink"/>
                <w:noProof/>
                <w:webHidden/>
                <w:color w:val="auto"/>
                <w:rtl/>
                <w:lang w:eastAsia="zh-TW"/>
              </w:rPr>
              <w:tab/>
            </w:r>
            <w:r w:rsidR="005521B6" w:rsidRPr="005521B6">
              <w:rPr>
                <w:rStyle w:val="Hyperlink"/>
                <w:noProof/>
                <w:webHidden/>
                <w:color w:val="auto"/>
                <w:rtl/>
                <w:lang w:eastAsia="zh-TW"/>
              </w:rPr>
              <w:fldChar w:fldCharType="begin"/>
            </w:r>
            <w:r w:rsidR="005521B6" w:rsidRPr="005521B6">
              <w:rPr>
                <w:rStyle w:val="Hyperlink"/>
                <w:noProof/>
                <w:webHidden/>
                <w:color w:val="auto"/>
                <w:rtl/>
                <w:lang w:eastAsia="zh-TW"/>
              </w:rPr>
              <w:instrText xml:space="preserve"> </w:instrText>
            </w:r>
            <w:r w:rsidR="005521B6" w:rsidRPr="005521B6">
              <w:rPr>
                <w:rStyle w:val="Hyperlink"/>
                <w:noProof/>
                <w:webHidden/>
                <w:color w:val="auto"/>
                <w:lang w:eastAsia="zh-TW"/>
              </w:rPr>
              <w:instrText>PAGEREF</w:instrText>
            </w:r>
            <w:r w:rsidR="005521B6" w:rsidRPr="005521B6">
              <w:rPr>
                <w:rStyle w:val="Hyperlink"/>
                <w:noProof/>
                <w:webHidden/>
                <w:color w:val="auto"/>
                <w:rtl/>
                <w:lang w:eastAsia="zh-TW"/>
              </w:rPr>
              <w:instrText xml:space="preserve"> _</w:instrText>
            </w:r>
            <w:r w:rsidR="005521B6" w:rsidRPr="005521B6">
              <w:rPr>
                <w:rStyle w:val="Hyperlink"/>
                <w:noProof/>
                <w:webHidden/>
                <w:color w:val="auto"/>
                <w:lang w:eastAsia="zh-TW"/>
              </w:rPr>
              <w:instrText>Toc485639164 \h</w:instrText>
            </w:r>
            <w:r w:rsidR="005521B6" w:rsidRPr="005521B6">
              <w:rPr>
                <w:rStyle w:val="Hyperlink"/>
                <w:noProof/>
                <w:webHidden/>
                <w:color w:val="auto"/>
                <w:rtl/>
                <w:lang w:eastAsia="zh-TW"/>
              </w:rPr>
              <w:instrText xml:space="preserve"> </w:instrText>
            </w:r>
            <w:r w:rsidR="005521B6" w:rsidRPr="005521B6">
              <w:rPr>
                <w:rStyle w:val="Hyperlink"/>
                <w:noProof/>
                <w:webHidden/>
                <w:color w:val="auto"/>
                <w:rtl/>
                <w:lang w:eastAsia="zh-TW"/>
              </w:rPr>
            </w:r>
            <w:r w:rsidR="005521B6" w:rsidRPr="005521B6">
              <w:rPr>
                <w:rStyle w:val="Hyperlink"/>
                <w:noProof/>
                <w:webHidden/>
                <w:color w:val="auto"/>
                <w:rtl/>
                <w:lang w:eastAsia="zh-TW"/>
              </w:rPr>
              <w:fldChar w:fldCharType="separate"/>
            </w:r>
            <w:r>
              <w:rPr>
                <w:rStyle w:val="Hyperlink"/>
                <w:noProof/>
                <w:webHidden/>
                <w:color w:val="auto"/>
                <w:rtl/>
                <w:lang w:eastAsia="zh-TW"/>
              </w:rPr>
              <w:t>9</w:t>
            </w:r>
            <w:r w:rsidR="005521B6" w:rsidRPr="005521B6">
              <w:rPr>
                <w:rStyle w:val="Hyperlink"/>
                <w:noProof/>
                <w:webHidden/>
                <w:color w:val="auto"/>
                <w:rtl/>
                <w:lang w:eastAsia="zh-TW"/>
              </w:rPr>
              <w:fldChar w:fldCharType="end"/>
            </w:r>
          </w:hyperlink>
        </w:p>
        <w:p w:rsidR="005521B6" w:rsidRPr="005521B6" w:rsidRDefault="009825BE" w:rsidP="005521B6">
          <w:pPr>
            <w:pStyle w:val="TOC1"/>
            <w:tabs>
              <w:tab w:val="clear" w:pos="1841"/>
              <w:tab w:val="left" w:pos="2408"/>
            </w:tabs>
            <w:spacing w:after="0" w:line="400" w:lineRule="exact"/>
            <w:ind w:left="1699"/>
            <w:rPr>
              <w:rStyle w:val="Hyperlink"/>
              <w:noProof/>
              <w:color w:val="auto"/>
              <w:rtl/>
              <w:lang w:eastAsia="zh-TW"/>
            </w:rPr>
          </w:pPr>
          <w:hyperlink w:anchor="_Toc485639165" w:history="1">
            <w:r w:rsidR="005521B6" w:rsidRPr="005521B6">
              <w:rPr>
                <w:rStyle w:val="Hyperlink"/>
                <w:rFonts w:hint="eastAsia"/>
                <w:noProof/>
                <w:color w:val="auto"/>
                <w:rtl/>
                <w:lang w:eastAsia="zh-TW"/>
              </w:rPr>
              <w:t>جيم</w:t>
            </w:r>
            <w:r w:rsidR="005521B6" w:rsidRPr="005521B6">
              <w:rPr>
                <w:rStyle w:val="Hyperlink"/>
                <w:noProof/>
                <w:color w:val="auto"/>
                <w:rtl/>
                <w:lang w:eastAsia="zh-TW"/>
              </w:rPr>
              <w:t xml:space="preserve"> -</w:t>
            </w:r>
            <w:r w:rsidR="005521B6">
              <w:rPr>
                <w:rStyle w:val="Hyperlink"/>
                <w:rFonts w:hint="cs"/>
                <w:noProof/>
                <w:color w:val="auto"/>
                <w:rtl/>
                <w:lang w:eastAsia="zh-TW"/>
              </w:rPr>
              <w:tab/>
            </w:r>
            <w:r w:rsidR="005521B6" w:rsidRPr="005521B6">
              <w:rPr>
                <w:rStyle w:val="Hyperlink"/>
                <w:rFonts w:hint="eastAsia"/>
                <w:noProof/>
                <w:color w:val="auto"/>
                <w:rtl/>
                <w:lang w:eastAsia="zh-TW"/>
              </w:rPr>
              <w:t>الأحوال</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المادية</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في</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مواقع</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التخزين</w:t>
            </w:r>
            <w:r w:rsidR="005521B6" w:rsidRPr="005521B6">
              <w:rPr>
                <w:rStyle w:val="Hyperlink"/>
                <w:noProof/>
                <w:webHidden/>
                <w:color w:val="auto"/>
                <w:rtl/>
                <w:lang w:eastAsia="zh-TW"/>
              </w:rPr>
              <w:tab/>
            </w:r>
            <w:r w:rsidR="005521B6" w:rsidRPr="005521B6">
              <w:rPr>
                <w:rStyle w:val="Hyperlink"/>
                <w:noProof/>
                <w:webHidden/>
                <w:color w:val="auto"/>
                <w:rtl/>
                <w:lang w:eastAsia="zh-TW"/>
              </w:rPr>
              <w:fldChar w:fldCharType="begin"/>
            </w:r>
            <w:r w:rsidR="005521B6" w:rsidRPr="005521B6">
              <w:rPr>
                <w:rStyle w:val="Hyperlink"/>
                <w:noProof/>
                <w:webHidden/>
                <w:color w:val="auto"/>
                <w:rtl/>
                <w:lang w:eastAsia="zh-TW"/>
              </w:rPr>
              <w:instrText xml:space="preserve"> </w:instrText>
            </w:r>
            <w:r w:rsidR="005521B6" w:rsidRPr="005521B6">
              <w:rPr>
                <w:rStyle w:val="Hyperlink"/>
                <w:noProof/>
                <w:webHidden/>
                <w:color w:val="auto"/>
                <w:lang w:eastAsia="zh-TW"/>
              </w:rPr>
              <w:instrText>PAGEREF</w:instrText>
            </w:r>
            <w:r w:rsidR="005521B6" w:rsidRPr="005521B6">
              <w:rPr>
                <w:rStyle w:val="Hyperlink"/>
                <w:noProof/>
                <w:webHidden/>
                <w:color w:val="auto"/>
                <w:rtl/>
                <w:lang w:eastAsia="zh-TW"/>
              </w:rPr>
              <w:instrText xml:space="preserve"> _</w:instrText>
            </w:r>
            <w:r w:rsidR="005521B6" w:rsidRPr="005521B6">
              <w:rPr>
                <w:rStyle w:val="Hyperlink"/>
                <w:noProof/>
                <w:webHidden/>
                <w:color w:val="auto"/>
                <w:lang w:eastAsia="zh-TW"/>
              </w:rPr>
              <w:instrText>Toc485639165 \h</w:instrText>
            </w:r>
            <w:r w:rsidR="005521B6" w:rsidRPr="005521B6">
              <w:rPr>
                <w:rStyle w:val="Hyperlink"/>
                <w:noProof/>
                <w:webHidden/>
                <w:color w:val="auto"/>
                <w:rtl/>
                <w:lang w:eastAsia="zh-TW"/>
              </w:rPr>
              <w:instrText xml:space="preserve"> </w:instrText>
            </w:r>
            <w:r w:rsidR="005521B6" w:rsidRPr="005521B6">
              <w:rPr>
                <w:rStyle w:val="Hyperlink"/>
                <w:noProof/>
                <w:webHidden/>
                <w:color w:val="auto"/>
                <w:rtl/>
                <w:lang w:eastAsia="zh-TW"/>
              </w:rPr>
            </w:r>
            <w:r w:rsidR="005521B6" w:rsidRPr="005521B6">
              <w:rPr>
                <w:rStyle w:val="Hyperlink"/>
                <w:noProof/>
                <w:webHidden/>
                <w:color w:val="auto"/>
                <w:rtl/>
                <w:lang w:eastAsia="zh-TW"/>
              </w:rPr>
              <w:fldChar w:fldCharType="separate"/>
            </w:r>
            <w:r>
              <w:rPr>
                <w:rStyle w:val="Hyperlink"/>
                <w:noProof/>
                <w:webHidden/>
                <w:color w:val="auto"/>
                <w:rtl/>
                <w:lang w:eastAsia="zh-TW"/>
              </w:rPr>
              <w:t>10</w:t>
            </w:r>
            <w:r w:rsidR="005521B6" w:rsidRPr="005521B6">
              <w:rPr>
                <w:rStyle w:val="Hyperlink"/>
                <w:noProof/>
                <w:webHidden/>
                <w:color w:val="auto"/>
                <w:rtl/>
                <w:lang w:eastAsia="zh-TW"/>
              </w:rPr>
              <w:fldChar w:fldCharType="end"/>
            </w:r>
          </w:hyperlink>
        </w:p>
        <w:p w:rsidR="005521B6" w:rsidRPr="005521B6" w:rsidRDefault="009825BE" w:rsidP="005521B6">
          <w:pPr>
            <w:pStyle w:val="TOC1"/>
            <w:tabs>
              <w:tab w:val="clear" w:pos="1841"/>
              <w:tab w:val="left" w:pos="2408"/>
            </w:tabs>
            <w:spacing w:after="0" w:line="400" w:lineRule="exact"/>
            <w:ind w:left="1699"/>
            <w:rPr>
              <w:rStyle w:val="Hyperlink"/>
              <w:noProof/>
              <w:color w:val="auto"/>
              <w:rtl/>
              <w:lang w:eastAsia="zh-TW"/>
            </w:rPr>
          </w:pPr>
          <w:hyperlink w:anchor="_Toc485639166" w:history="1">
            <w:r w:rsidR="005521B6" w:rsidRPr="005521B6">
              <w:rPr>
                <w:rStyle w:val="Hyperlink"/>
                <w:rFonts w:hint="eastAsia"/>
                <w:noProof/>
                <w:color w:val="auto"/>
                <w:rtl/>
                <w:lang w:eastAsia="zh-TW"/>
              </w:rPr>
              <w:t>دال</w:t>
            </w:r>
            <w:r w:rsidR="005521B6" w:rsidRPr="005521B6">
              <w:rPr>
                <w:rStyle w:val="Hyperlink"/>
                <w:noProof/>
                <w:color w:val="auto"/>
                <w:rtl/>
                <w:lang w:eastAsia="zh-TW"/>
              </w:rPr>
              <w:t xml:space="preserve"> -</w:t>
            </w:r>
            <w:r w:rsidR="005521B6">
              <w:rPr>
                <w:rStyle w:val="Hyperlink"/>
                <w:rFonts w:hint="cs"/>
                <w:noProof/>
                <w:color w:val="auto"/>
                <w:rtl/>
                <w:lang w:eastAsia="zh-TW"/>
              </w:rPr>
              <w:tab/>
            </w:r>
            <w:r w:rsidR="005521B6" w:rsidRPr="005521B6">
              <w:rPr>
                <w:rStyle w:val="Hyperlink"/>
                <w:rFonts w:hint="eastAsia"/>
                <w:noProof/>
                <w:color w:val="auto"/>
                <w:rtl/>
                <w:lang w:eastAsia="zh-TW"/>
              </w:rPr>
              <w:t>حاويات</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تخزين</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الزئبق،</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بما</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في</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ذلك</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الحاويات</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الثانوية</w:t>
            </w:r>
            <w:r w:rsidR="005521B6" w:rsidRPr="005521B6">
              <w:rPr>
                <w:rStyle w:val="Hyperlink"/>
                <w:noProof/>
                <w:webHidden/>
                <w:color w:val="auto"/>
                <w:rtl/>
                <w:lang w:eastAsia="zh-TW"/>
              </w:rPr>
              <w:tab/>
            </w:r>
            <w:r w:rsidR="005521B6" w:rsidRPr="005521B6">
              <w:rPr>
                <w:rStyle w:val="Hyperlink"/>
                <w:noProof/>
                <w:webHidden/>
                <w:color w:val="auto"/>
                <w:rtl/>
                <w:lang w:eastAsia="zh-TW"/>
              </w:rPr>
              <w:fldChar w:fldCharType="begin"/>
            </w:r>
            <w:r w:rsidR="005521B6" w:rsidRPr="005521B6">
              <w:rPr>
                <w:rStyle w:val="Hyperlink"/>
                <w:noProof/>
                <w:webHidden/>
                <w:color w:val="auto"/>
                <w:rtl/>
                <w:lang w:eastAsia="zh-TW"/>
              </w:rPr>
              <w:instrText xml:space="preserve"> </w:instrText>
            </w:r>
            <w:r w:rsidR="005521B6" w:rsidRPr="005521B6">
              <w:rPr>
                <w:rStyle w:val="Hyperlink"/>
                <w:noProof/>
                <w:webHidden/>
                <w:color w:val="auto"/>
                <w:lang w:eastAsia="zh-TW"/>
              </w:rPr>
              <w:instrText>PAGEREF</w:instrText>
            </w:r>
            <w:r w:rsidR="005521B6" w:rsidRPr="005521B6">
              <w:rPr>
                <w:rStyle w:val="Hyperlink"/>
                <w:noProof/>
                <w:webHidden/>
                <w:color w:val="auto"/>
                <w:rtl/>
                <w:lang w:eastAsia="zh-TW"/>
              </w:rPr>
              <w:instrText xml:space="preserve"> _</w:instrText>
            </w:r>
            <w:r w:rsidR="005521B6" w:rsidRPr="005521B6">
              <w:rPr>
                <w:rStyle w:val="Hyperlink"/>
                <w:noProof/>
                <w:webHidden/>
                <w:color w:val="auto"/>
                <w:lang w:eastAsia="zh-TW"/>
              </w:rPr>
              <w:instrText>Toc485639166 \h</w:instrText>
            </w:r>
            <w:r w:rsidR="005521B6" w:rsidRPr="005521B6">
              <w:rPr>
                <w:rStyle w:val="Hyperlink"/>
                <w:noProof/>
                <w:webHidden/>
                <w:color w:val="auto"/>
                <w:rtl/>
                <w:lang w:eastAsia="zh-TW"/>
              </w:rPr>
              <w:instrText xml:space="preserve"> </w:instrText>
            </w:r>
            <w:r w:rsidR="005521B6" w:rsidRPr="005521B6">
              <w:rPr>
                <w:rStyle w:val="Hyperlink"/>
                <w:noProof/>
                <w:webHidden/>
                <w:color w:val="auto"/>
                <w:rtl/>
                <w:lang w:eastAsia="zh-TW"/>
              </w:rPr>
            </w:r>
            <w:r w:rsidR="005521B6" w:rsidRPr="005521B6">
              <w:rPr>
                <w:rStyle w:val="Hyperlink"/>
                <w:noProof/>
                <w:webHidden/>
                <w:color w:val="auto"/>
                <w:rtl/>
                <w:lang w:eastAsia="zh-TW"/>
              </w:rPr>
              <w:fldChar w:fldCharType="separate"/>
            </w:r>
            <w:r>
              <w:rPr>
                <w:rStyle w:val="Hyperlink"/>
                <w:noProof/>
                <w:webHidden/>
                <w:color w:val="auto"/>
                <w:rtl/>
                <w:lang w:eastAsia="zh-TW"/>
              </w:rPr>
              <w:t>11</w:t>
            </w:r>
            <w:r w:rsidR="005521B6" w:rsidRPr="005521B6">
              <w:rPr>
                <w:rStyle w:val="Hyperlink"/>
                <w:noProof/>
                <w:webHidden/>
                <w:color w:val="auto"/>
                <w:rtl/>
                <w:lang w:eastAsia="zh-TW"/>
              </w:rPr>
              <w:fldChar w:fldCharType="end"/>
            </w:r>
          </w:hyperlink>
        </w:p>
        <w:p w:rsidR="005521B6" w:rsidRPr="005521B6" w:rsidRDefault="009825BE" w:rsidP="005521B6">
          <w:pPr>
            <w:pStyle w:val="TOC1"/>
            <w:tabs>
              <w:tab w:val="clear" w:pos="1841"/>
              <w:tab w:val="left" w:pos="2408"/>
            </w:tabs>
            <w:spacing w:after="0" w:line="400" w:lineRule="exact"/>
            <w:ind w:left="1699"/>
            <w:rPr>
              <w:rStyle w:val="Hyperlink"/>
              <w:noProof/>
              <w:color w:val="auto"/>
              <w:rtl/>
              <w:lang w:eastAsia="zh-TW"/>
            </w:rPr>
          </w:pPr>
          <w:hyperlink w:anchor="_Toc485639167" w:history="1">
            <w:r w:rsidR="005521B6" w:rsidRPr="005521B6">
              <w:rPr>
                <w:rStyle w:val="Hyperlink"/>
                <w:rFonts w:hint="eastAsia"/>
                <w:noProof/>
                <w:color w:val="auto"/>
                <w:rtl/>
                <w:lang w:eastAsia="zh-TW"/>
              </w:rPr>
              <w:t>هاء</w:t>
            </w:r>
            <w:r w:rsidR="005521B6" w:rsidRPr="005521B6">
              <w:rPr>
                <w:rStyle w:val="Hyperlink"/>
                <w:noProof/>
                <w:color w:val="auto"/>
                <w:rtl/>
                <w:lang w:eastAsia="zh-TW"/>
              </w:rPr>
              <w:t xml:space="preserve"> -</w:t>
            </w:r>
            <w:r w:rsidR="005521B6">
              <w:rPr>
                <w:rStyle w:val="Hyperlink"/>
                <w:rFonts w:hint="cs"/>
                <w:noProof/>
                <w:color w:val="auto"/>
                <w:rtl/>
                <w:lang w:eastAsia="zh-TW"/>
              </w:rPr>
              <w:tab/>
            </w:r>
            <w:r w:rsidR="005521B6" w:rsidRPr="005521B6">
              <w:rPr>
                <w:rStyle w:val="Hyperlink"/>
                <w:rFonts w:hint="eastAsia"/>
                <w:noProof/>
                <w:color w:val="auto"/>
                <w:rtl/>
                <w:lang w:eastAsia="zh-TW"/>
              </w:rPr>
              <w:t>النقل</w:t>
            </w:r>
            <w:r w:rsidR="005521B6" w:rsidRPr="005521B6">
              <w:rPr>
                <w:rStyle w:val="Hyperlink"/>
                <w:noProof/>
                <w:webHidden/>
                <w:color w:val="auto"/>
                <w:rtl/>
                <w:lang w:eastAsia="zh-TW"/>
              </w:rPr>
              <w:tab/>
            </w:r>
            <w:r w:rsidR="005521B6" w:rsidRPr="005521B6">
              <w:rPr>
                <w:rStyle w:val="Hyperlink"/>
                <w:noProof/>
                <w:webHidden/>
                <w:color w:val="auto"/>
                <w:rtl/>
                <w:lang w:eastAsia="zh-TW"/>
              </w:rPr>
              <w:fldChar w:fldCharType="begin"/>
            </w:r>
            <w:r w:rsidR="005521B6" w:rsidRPr="005521B6">
              <w:rPr>
                <w:rStyle w:val="Hyperlink"/>
                <w:noProof/>
                <w:webHidden/>
                <w:color w:val="auto"/>
                <w:rtl/>
                <w:lang w:eastAsia="zh-TW"/>
              </w:rPr>
              <w:instrText xml:space="preserve"> </w:instrText>
            </w:r>
            <w:r w:rsidR="005521B6" w:rsidRPr="005521B6">
              <w:rPr>
                <w:rStyle w:val="Hyperlink"/>
                <w:noProof/>
                <w:webHidden/>
                <w:color w:val="auto"/>
                <w:lang w:eastAsia="zh-TW"/>
              </w:rPr>
              <w:instrText>PAGEREF</w:instrText>
            </w:r>
            <w:r w:rsidR="005521B6" w:rsidRPr="005521B6">
              <w:rPr>
                <w:rStyle w:val="Hyperlink"/>
                <w:noProof/>
                <w:webHidden/>
                <w:color w:val="auto"/>
                <w:rtl/>
                <w:lang w:eastAsia="zh-TW"/>
              </w:rPr>
              <w:instrText xml:space="preserve"> _</w:instrText>
            </w:r>
            <w:r w:rsidR="005521B6" w:rsidRPr="005521B6">
              <w:rPr>
                <w:rStyle w:val="Hyperlink"/>
                <w:noProof/>
                <w:webHidden/>
                <w:color w:val="auto"/>
                <w:lang w:eastAsia="zh-TW"/>
              </w:rPr>
              <w:instrText>Toc485639167 \h</w:instrText>
            </w:r>
            <w:r w:rsidR="005521B6" w:rsidRPr="005521B6">
              <w:rPr>
                <w:rStyle w:val="Hyperlink"/>
                <w:noProof/>
                <w:webHidden/>
                <w:color w:val="auto"/>
                <w:rtl/>
                <w:lang w:eastAsia="zh-TW"/>
              </w:rPr>
              <w:instrText xml:space="preserve"> </w:instrText>
            </w:r>
            <w:r w:rsidR="005521B6" w:rsidRPr="005521B6">
              <w:rPr>
                <w:rStyle w:val="Hyperlink"/>
                <w:noProof/>
                <w:webHidden/>
                <w:color w:val="auto"/>
                <w:rtl/>
                <w:lang w:eastAsia="zh-TW"/>
              </w:rPr>
            </w:r>
            <w:r w:rsidR="005521B6" w:rsidRPr="005521B6">
              <w:rPr>
                <w:rStyle w:val="Hyperlink"/>
                <w:noProof/>
                <w:webHidden/>
                <w:color w:val="auto"/>
                <w:rtl/>
                <w:lang w:eastAsia="zh-TW"/>
              </w:rPr>
              <w:fldChar w:fldCharType="separate"/>
            </w:r>
            <w:r>
              <w:rPr>
                <w:rStyle w:val="Hyperlink"/>
                <w:noProof/>
                <w:webHidden/>
                <w:color w:val="auto"/>
                <w:rtl/>
                <w:lang w:eastAsia="zh-TW"/>
              </w:rPr>
              <w:t>13</w:t>
            </w:r>
            <w:r w:rsidR="005521B6" w:rsidRPr="005521B6">
              <w:rPr>
                <w:rStyle w:val="Hyperlink"/>
                <w:noProof/>
                <w:webHidden/>
                <w:color w:val="auto"/>
                <w:rtl/>
                <w:lang w:eastAsia="zh-TW"/>
              </w:rPr>
              <w:fldChar w:fldCharType="end"/>
            </w:r>
          </w:hyperlink>
        </w:p>
        <w:p w:rsidR="005521B6" w:rsidRPr="005521B6" w:rsidRDefault="009825BE" w:rsidP="005521B6">
          <w:pPr>
            <w:pStyle w:val="TOC1"/>
            <w:tabs>
              <w:tab w:val="clear" w:pos="1841"/>
              <w:tab w:val="left" w:pos="2408"/>
            </w:tabs>
            <w:spacing w:after="0" w:line="400" w:lineRule="exact"/>
            <w:ind w:left="1699"/>
            <w:rPr>
              <w:rStyle w:val="Hyperlink"/>
              <w:noProof/>
              <w:color w:val="auto"/>
              <w:rtl/>
              <w:lang w:eastAsia="zh-TW"/>
            </w:rPr>
          </w:pPr>
          <w:hyperlink w:anchor="_Toc485639168" w:history="1">
            <w:r w:rsidR="005521B6" w:rsidRPr="005521B6">
              <w:rPr>
                <w:rStyle w:val="Hyperlink"/>
                <w:rFonts w:hint="eastAsia"/>
                <w:noProof/>
                <w:color w:val="auto"/>
                <w:rtl/>
                <w:lang w:eastAsia="zh-TW"/>
              </w:rPr>
              <w:t>واو</w:t>
            </w:r>
            <w:r w:rsidR="005521B6" w:rsidRPr="005521B6">
              <w:rPr>
                <w:rStyle w:val="Hyperlink"/>
                <w:noProof/>
                <w:color w:val="auto"/>
                <w:rtl/>
                <w:lang w:eastAsia="zh-TW"/>
              </w:rPr>
              <w:t xml:space="preserve"> -</w:t>
            </w:r>
            <w:r w:rsidR="005521B6">
              <w:rPr>
                <w:rStyle w:val="Hyperlink"/>
                <w:rFonts w:hint="cs"/>
                <w:noProof/>
                <w:color w:val="auto"/>
                <w:rtl/>
                <w:lang w:eastAsia="zh-TW"/>
              </w:rPr>
              <w:tab/>
            </w:r>
            <w:r w:rsidR="005521B6" w:rsidRPr="005521B6">
              <w:rPr>
                <w:rStyle w:val="Hyperlink"/>
                <w:rFonts w:hint="eastAsia"/>
                <w:noProof/>
                <w:color w:val="auto"/>
                <w:rtl/>
                <w:lang w:eastAsia="zh-TW"/>
              </w:rPr>
              <w:t>تسجيل</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حركة</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الزئبق</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وتتبعها</w:t>
            </w:r>
            <w:r w:rsidR="005521B6" w:rsidRPr="005521B6">
              <w:rPr>
                <w:rStyle w:val="Hyperlink"/>
                <w:noProof/>
                <w:webHidden/>
                <w:color w:val="auto"/>
                <w:rtl/>
                <w:lang w:eastAsia="zh-TW"/>
              </w:rPr>
              <w:tab/>
            </w:r>
            <w:r w:rsidR="005521B6" w:rsidRPr="005521B6">
              <w:rPr>
                <w:rStyle w:val="Hyperlink"/>
                <w:noProof/>
                <w:webHidden/>
                <w:color w:val="auto"/>
                <w:rtl/>
                <w:lang w:eastAsia="zh-TW"/>
              </w:rPr>
              <w:fldChar w:fldCharType="begin"/>
            </w:r>
            <w:r w:rsidR="005521B6" w:rsidRPr="005521B6">
              <w:rPr>
                <w:rStyle w:val="Hyperlink"/>
                <w:noProof/>
                <w:webHidden/>
                <w:color w:val="auto"/>
                <w:rtl/>
                <w:lang w:eastAsia="zh-TW"/>
              </w:rPr>
              <w:instrText xml:space="preserve"> </w:instrText>
            </w:r>
            <w:r w:rsidR="005521B6" w:rsidRPr="005521B6">
              <w:rPr>
                <w:rStyle w:val="Hyperlink"/>
                <w:noProof/>
                <w:webHidden/>
                <w:color w:val="auto"/>
                <w:lang w:eastAsia="zh-TW"/>
              </w:rPr>
              <w:instrText>PAGEREF</w:instrText>
            </w:r>
            <w:r w:rsidR="005521B6" w:rsidRPr="005521B6">
              <w:rPr>
                <w:rStyle w:val="Hyperlink"/>
                <w:noProof/>
                <w:webHidden/>
                <w:color w:val="auto"/>
                <w:rtl/>
                <w:lang w:eastAsia="zh-TW"/>
              </w:rPr>
              <w:instrText xml:space="preserve"> _</w:instrText>
            </w:r>
            <w:r w:rsidR="005521B6" w:rsidRPr="005521B6">
              <w:rPr>
                <w:rStyle w:val="Hyperlink"/>
                <w:noProof/>
                <w:webHidden/>
                <w:color w:val="auto"/>
                <w:lang w:eastAsia="zh-TW"/>
              </w:rPr>
              <w:instrText>Toc485639168 \h</w:instrText>
            </w:r>
            <w:r w:rsidR="005521B6" w:rsidRPr="005521B6">
              <w:rPr>
                <w:rStyle w:val="Hyperlink"/>
                <w:noProof/>
                <w:webHidden/>
                <w:color w:val="auto"/>
                <w:rtl/>
                <w:lang w:eastAsia="zh-TW"/>
              </w:rPr>
              <w:instrText xml:space="preserve"> </w:instrText>
            </w:r>
            <w:r w:rsidR="005521B6" w:rsidRPr="005521B6">
              <w:rPr>
                <w:rStyle w:val="Hyperlink"/>
                <w:noProof/>
                <w:webHidden/>
                <w:color w:val="auto"/>
                <w:rtl/>
                <w:lang w:eastAsia="zh-TW"/>
              </w:rPr>
            </w:r>
            <w:r w:rsidR="005521B6" w:rsidRPr="005521B6">
              <w:rPr>
                <w:rStyle w:val="Hyperlink"/>
                <w:noProof/>
                <w:webHidden/>
                <w:color w:val="auto"/>
                <w:rtl/>
                <w:lang w:eastAsia="zh-TW"/>
              </w:rPr>
              <w:fldChar w:fldCharType="separate"/>
            </w:r>
            <w:r>
              <w:rPr>
                <w:rStyle w:val="Hyperlink"/>
                <w:noProof/>
                <w:webHidden/>
                <w:color w:val="auto"/>
                <w:rtl/>
                <w:lang w:eastAsia="zh-TW"/>
              </w:rPr>
              <w:t>13</w:t>
            </w:r>
            <w:r w:rsidR="005521B6" w:rsidRPr="005521B6">
              <w:rPr>
                <w:rStyle w:val="Hyperlink"/>
                <w:noProof/>
                <w:webHidden/>
                <w:color w:val="auto"/>
                <w:rtl/>
                <w:lang w:eastAsia="zh-TW"/>
              </w:rPr>
              <w:fldChar w:fldCharType="end"/>
            </w:r>
          </w:hyperlink>
        </w:p>
        <w:p w:rsidR="005521B6" w:rsidRPr="005521B6" w:rsidRDefault="009825BE" w:rsidP="005521B6">
          <w:pPr>
            <w:pStyle w:val="TOC1"/>
            <w:tabs>
              <w:tab w:val="clear" w:pos="1841"/>
              <w:tab w:val="left" w:pos="2408"/>
            </w:tabs>
            <w:spacing w:after="0" w:line="400" w:lineRule="exact"/>
            <w:ind w:left="1699"/>
            <w:rPr>
              <w:rStyle w:val="Hyperlink"/>
              <w:noProof/>
              <w:color w:val="auto"/>
              <w:rtl/>
              <w:lang w:eastAsia="zh-TW"/>
            </w:rPr>
          </w:pPr>
          <w:hyperlink w:anchor="_Toc485639169" w:history="1">
            <w:r w:rsidR="005521B6" w:rsidRPr="005521B6">
              <w:rPr>
                <w:rStyle w:val="Hyperlink"/>
                <w:rFonts w:hint="eastAsia"/>
                <w:noProof/>
                <w:color w:val="auto"/>
                <w:rtl/>
                <w:lang w:eastAsia="zh-TW"/>
              </w:rPr>
              <w:t>زاي</w:t>
            </w:r>
            <w:r w:rsidR="005521B6" w:rsidRPr="005521B6">
              <w:rPr>
                <w:rStyle w:val="Hyperlink"/>
                <w:noProof/>
                <w:color w:val="auto"/>
                <w:rtl/>
                <w:lang w:eastAsia="zh-TW"/>
              </w:rPr>
              <w:t xml:space="preserve"> -</w:t>
            </w:r>
            <w:r w:rsidR="005521B6">
              <w:rPr>
                <w:rStyle w:val="Hyperlink"/>
                <w:rFonts w:hint="cs"/>
                <w:noProof/>
                <w:color w:val="auto"/>
                <w:rtl/>
                <w:lang w:eastAsia="zh-TW"/>
              </w:rPr>
              <w:tab/>
            </w:r>
            <w:r w:rsidR="005521B6" w:rsidRPr="005521B6">
              <w:rPr>
                <w:rStyle w:val="Hyperlink"/>
                <w:rFonts w:hint="eastAsia"/>
                <w:noProof/>
                <w:color w:val="auto"/>
                <w:rtl/>
                <w:lang w:eastAsia="zh-TW"/>
              </w:rPr>
              <w:t>تعليم</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الموظفين</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وتدريبهم</w:t>
            </w:r>
            <w:r w:rsidR="005521B6" w:rsidRPr="005521B6">
              <w:rPr>
                <w:rStyle w:val="Hyperlink"/>
                <w:noProof/>
                <w:webHidden/>
                <w:color w:val="auto"/>
                <w:rtl/>
                <w:lang w:eastAsia="zh-TW"/>
              </w:rPr>
              <w:tab/>
            </w:r>
            <w:r w:rsidR="005521B6" w:rsidRPr="005521B6">
              <w:rPr>
                <w:rStyle w:val="Hyperlink"/>
                <w:noProof/>
                <w:webHidden/>
                <w:color w:val="auto"/>
                <w:rtl/>
                <w:lang w:eastAsia="zh-TW"/>
              </w:rPr>
              <w:fldChar w:fldCharType="begin"/>
            </w:r>
            <w:r w:rsidR="005521B6" w:rsidRPr="005521B6">
              <w:rPr>
                <w:rStyle w:val="Hyperlink"/>
                <w:noProof/>
                <w:webHidden/>
                <w:color w:val="auto"/>
                <w:rtl/>
                <w:lang w:eastAsia="zh-TW"/>
              </w:rPr>
              <w:instrText xml:space="preserve"> </w:instrText>
            </w:r>
            <w:r w:rsidR="005521B6" w:rsidRPr="005521B6">
              <w:rPr>
                <w:rStyle w:val="Hyperlink"/>
                <w:noProof/>
                <w:webHidden/>
                <w:color w:val="auto"/>
                <w:lang w:eastAsia="zh-TW"/>
              </w:rPr>
              <w:instrText>PAGEREF</w:instrText>
            </w:r>
            <w:r w:rsidR="005521B6" w:rsidRPr="005521B6">
              <w:rPr>
                <w:rStyle w:val="Hyperlink"/>
                <w:noProof/>
                <w:webHidden/>
                <w:color w:val="auto"/>
                <w:rtl/>
                <w:lang w:eastAsia="zh-TW"/>
              </w:rPr>
              <w:instrText xml:space="preserve"> _</w:instrText>
            </w:r>
            <w:r w:rsidR="005521B6" w:rsidRPr="005521B6">
              <w:rPr>
                <w:rStyle w:val="Hyperlink"/>
                <w:noProof/>
                <w:webHidden/>
                <w:color w:val="auto"/>
                <w:lang w:eastAsia="zh-TW"/>
              </w:rPr>
              <w:instrText>Toc485639169 \h</w:instrText>
            </w:r>
            <w:r w:rsidR="005521B6" w:rsidRPr="005521B6">
              <w:rPr>
                <w:rStyle w:val="Hyperlink"/>
                <w:noProof/>
                <w:webHidden/>
                <w:color w:val="auto"/>
                <w:rtl/>
                <w:lang w:eastAsia="zh-TW"/>
              </w:rPr>
              <w:instrText xml:space="preserve"> </w:instrText>
            </w:r>
            <w:r w:rsidR="005521B6" w:rsidRPr="005521B6">
              <w:rPr>
                <w:rStyle w:val="Hyperlink"/>
                <w:noProof/>
                <w:webHidden/>
                <w:color w:val="auto"/>
                <w:rtl/>
                <w:lang w:eastAsia="zh-TW"/>
              </w:rPr>
            </w:r>
            <w:r w:rsidR="005521B6" w:rsidRPr="005521B6">
              <w:rPr>
                <w:rStyle w:val="Hyperlink"/>
                <w:noProof/>
                <w:webHidden/>
                <w:color w:val="auto"/>
                <w:rtl/>
                <w:lang w:eastAsia="zh-TW"/>
              </w:rPr>
              <w:fldChar w:fldCharType="separate"/>
            </w:r>
            <w:r>
              <w:rPr>
                <w:rStyle w:val="Hyperlink"/>
                <w:noProof/>
                <w:webHidden/>
                <w:color w:val="auto"/>
                <w:rtl/>
                <w:lang w:eastAsia="zh-TW"/>
              </w:rPr>
              <w:t>14</w:t>
            </w:r>
            <w:r w:rsidR="005521B6" w:rsidRPr="005521B6">
              <w:rPr>
                <w:rStyle w:val="Hyperlink"/>
                <w:noProof/>
                <w:webHidden/>
                <w:color w:val="auto"/>
                <w:rtl/>
                <w:lang w:eastAsia="zh-TW"/>
              </w:rPr>
              <w:fldChar w:fldCharType="end"/>
            </w:r>
          </w:hyperlink>
        </w:p>
        <w:p w:rsidR="005521B6" w:rsidRPr="005521B6" w:rsidRDefault="009825BE" w:rsidP="005521B6">
          <w:pPr>
            <w:pStyle w:val="TOC1"/>
            <w:tabs>
              <w:tab w:val="clear" w:pos="1841"/>
              <w:tab w:val="left" w:pos="2408"/>
            </w:tabs>
            <w:spacing w:after="0" w:line="400" w:lineRule="exact"/>
            <w:ind w:left="1699"/>
            <w:rPr>
              <w:rStyle w:val="Hyperlink"/>
              <w:noProof/>
              <w:color w:val="auto"/>
              <w:rtl/>
              <w:lang w:eastAsia="zh-TW"/>
            </w:rPr>
          </w:pPr>
          <w:hyperlink w:anchor="_Toc485639170" w:history="1">
            <w:r w:rsidR="005521B6" w:rsidRPr="005521B6">
              <w:rPr>
                <w:rStyle w:val="Hyperlink"/>
                <w:rFonts w:hint="eastAsia"/>
                <w:noProof/>
                <w:color w:val="auto"/>
                <w:rtl/>
                <w:lang w:eastAsia="zh-TW"/>
              </w:rPr>
              <w:t>حاء</w:t>
            </w:r>
            <w:r w:rsidR="005521B6" w:rsidRPr="005521B6">
              <w:rPr>
                <w:rStyle w:val="Hyperlink"/>
                <w:noProof/>
                <w:color w:val="auto"/>
                <w:rtl/>
                <w:lang w:eastAsia="zh-TW"/>
              </w:rPr>
              <w:t xml:space="preserve"> -</w:t>
            </w:r>
            <w:r w:rsidR="005521B6">
              <w:rPr>
                <w:rStyle w:val="Hyperlink"/>
                <w:rFonts w:hint="cs"/>
                <w:noProof/>
                <w:color w:val="auto"/>
                <w:rtl/>
                <w:lang w:eastAsia="zh-TW"/>
              </w:rPr>
              <w:tab/>
            </w:r>
            <w:r w:rsidR="005521B6" w:rsidRPr="005521B6">
              <w:rPr>
                <w:rStyle w:val="Hyperlink"/>
                <w:rFonts w:hint="eastAsia"/>
                <w:noProof/>
                <w:color w:val="auto"/>
                <w:rtl/>
                <w:lang w:eastAsia="zh-TW"/>
              </w:rPr>
              <w:t>الجداول</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الزمنية</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للإصلاح</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والاختبار</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والصيانة</w:t>
            </w:r>
            <w:r w:rsidR="005521B6" w:rsidRPr="005521B6">
              <w:rPr>
                <w:rStyle w:val="Hyperlink"/>
                <w:noProof/>
                <w:webHidden/>
                <w:color w:val="auto"/>
                <w:rtl/>
                <w:lang w:eastAsia="zh-TW"/>
              </w:rPr>
              <w:tab/>
            </w:r>
            <w:r w:rsidR="005521B6" w:rsidRPr="005521B6">
              <w:rPr>
                <w:rStyle w:val="Hyperlink"/>
                <w:noProof/>
                <w:webHidden/>
                <w:color w:val="auto"/>
                <w:rtl/>
                <w:lang w:eastAsia="zh-TW"/>
              </w:rPr>
              <w:fldChar w:fldCharType="begin"/>
            </w:r>
            <w:r w:rsidR="005521B6" w:rsidRPr="005521B6">
              <w:rPr>
                <w:rStyle w:val="Hyperlink"/>
                <w:noProof/>
                <w:webHidden/>
                <w:color w:val="auto"/>
                <w:rtl/>
                <w:lang w:eastAsia="zh-TW"/>
              </w:rPr>
              <w:instrText xml:space="preserve"> </w:instrText>
            </w:r>
            <w:r w:rsidR="005521B6" w:rsidRPr="005521B6">
              <w:rPr>
                <w:rStyle w:val="Hyperlink"/>
                <w:noProof/>
                <w:webHidden/>
                <w:color w:val="auto"/>
                <w:lang w:eastAsia="zh-TW"/>
              </w:rPr>
              <w:instrText>PAGEREF</w:instrText>
            </w:r>
            <w:r w:rsidR="005521B6" w:rsidRPr="005521B6">
              <w:rPr>
                <w:rStyle w:val="Hyperlink"/>
                <w:noProof/>
                <w:webHidden/>
                <w:color w:val="auto"/>
                <w:rtl/>
                <w:lang w:eastAsia="zh-TW"/>
              </w:rPr>
              <w:instrText xml:space="preserve"> _</w:instrText>
            </w:r>
            <w:r w:rsidR="005521B6" w:rsidRPr="005521B6">
              <w:rPr>
                <w:rStyle w:val="Hyperlink"/>
                <w:noProof/>
                <w:webHidden/>
                <w:color w:val="auto"/>
                <w:lang w:eastAsia="zh-TW"/>
              </w:rPr>
              <w:instrText>Toc485639170 \h</w:instrText>
            </w:r>
            <w:r w:rsidR="005521B6" w:rsidRPr="005521B6">
              <w:rPr>
                <w:rStyle w:val="Hyperlink"/>
                <w:noProof/>
                <w:webHidden/>
                <w:color w:val="auto"/>
                <w:rtl/>
                <w:lang w:eastAsia="zh-TW"/>
              </w:rPr>
              <w:instrText xml:space="preserve"> </w:instrText>
            </w:r>
            <w:r w:rsidR="005521B6" w:rsidRPr="005521B6">
              <w:rPr>
                <w:rStyle w:val="Hyperlink"/>
                <w:noProof/>
                <w:webHidden/>
                <w:color w:val="auto"/>
                <w:rtl/>
                <w:lang w:eastAsia="zh-TW"/>
              </w:rPr>
            </w:r>
            <w:r w:rsidR="005521B6" w:rsidRPr="005521B6">
              <w:rPr>
                <w:rStyle w:val="Hyperlink"/>
                <w:noProof/>
                <w:webHidden/>
                <w:color w:val="auto"/>
                <w:rtl/>
                <w:lang w:eastAsia="zh-TW"/>
              </w:rPr>
              <w:fldChar w:fldCharType="separate"/>
            </w:r>
            <w:r>
              <w:rPr>
                <w:rStyle w:val="Hyperlink"/>
                <w:noProof/>
                <w:webHidden/>
                <w:color w:val="auto"/>
                <w:rtl/>
                <w:lang w:eastAsia="zh-TW"/>
              </w:rPr>
              <w:t>15</w:t>
            </w:r>
            <w:r w:rsidR="005521B6" w:rsidRPr="005521B6">
              <w:rPr>
                <w:rStyle w:val="Hyperlink"/>
                <w:noProof/>
                <w:webHidden/>
                <w:color w:val="auto"/>
                <w:rtl/>
                <w:lang w:eastAsia="zh-TW"/>
              </w:rPr>
              <w:fldChar w:fldCharType="end"/>
            </w:r>
          </w:hyperlink>
        </w:p>
        <w:p w:rsidR="005521B6" w:rsidRPr="005521B6" w:rsidRDefault="009825BE" w:rsidP="005521B6">
          <w:pPr>
            <w:pStyle w:val="TOC1"/>
            <w:tabs>
              <w:tab w:val="clear" w:pos="1841"/>
              <w:tab w:val="left" w:pos="2408"/>
            </w:tabs>
            <w:spacing w:after="0" w:line="400" w:lineRule="exact"/>
            <w:ind w:left="1699"/>
            <w:rPr>
              <w:rStyle w:val="Hyperlink"/>
              <w:noProof/>
              <w:color w:val="auto"/>
              <w:rtl/>
              <w:lang w:eastAsia="zh-TW"/>
            </w:rPr>
          </w:pPr>
          <w:hyperlink w:anchor="_Toc485639171" w:history="1">
            <w:r w:rsidR="005521B6" w:rsidRPr="005521B6">
              <w:rPr>
                <w:rStyle w:val="Hyperlink"/>
                <w:rFonts w:hint="eastAsia"/>
                <w:noProof/>
                <w:color w:val="auto"/>
                <w:rtl/>
                <w:lang w:eastAsia="zh-TW"/>
              </w:rPr>
              <w:t>طاء</w:t>
            </w:r>
            <w:r w:rsidR="005521B6" w:rsidRPr="005521B6">
              <w:rPr>
                <w:rStyle w:val="Hyperlink"/>
                <w:noProof/>
                <w:color w:val="auto"/>
                <w:rtl/>
                <w:lang w:eastAsia="zh-TW"/>
              </w:rPr>
              <w:t xml:space="preserve"> -</w:t>
            </w:r>
            <w:r w:rsidR="005521B6">
              <w:rPr>
                <w:rStyle w:val="Hyperlink"/>
                <w:rFonts w:hint="cs"/>
                <w:noProof/>
                <w:color w:val="auto"/>
                <w:rtl/>
                <w:lang w:eastAsia="zh-TW"/>
              </w:rPr>
              <w:tab/>
            </w:r>
            <w:r w:rsidR="005521B6" w:rsidRPr="005521B6">
              <w:rPr>
                <w:rStyle w:val="Hyperlink"/>
                <w:rFonts w:hint="eastAsia"/>
                <w:noProof/>
                <w:color w:val="auto"/>
                <w:rtl/>
                <w:lang w:eastAsia="zh-TW"/>
              </w:rPr>
              <w:t>التدابير</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الطارئة،</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بما</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في</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ذلك</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معدات</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الحماية</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الشخصية</w:t>
            </w:r>
            <w:r w:rsidR="005521B6" w:rsidRPr="005521B6">
              <w:rPr>
                <w:rStyle w:val="Hyperlink"/>
                <w:noProof/>
                <w:webHidden/>
                <w:color w:val="auto"/>
                <w:rtl/>
                <w:lang w:eastAsia="zh-TW"/>
              </w:rPr>
              <w:tab/>
            </w:r>
            <w:r w:rsidR="005521B6" w:rsidRPr="005521B6">
              <w:rPr>
                <w:rStyle w:val="Hyperlink"/>
                <w:noProof/>
                <w:webHidden/>
                <w:color w:val="auto"/>
                <w:rtl/>
                <w:lang w:eastAsia="zh-TW"/>
              </w:rPr>
              <w:fldChar w:fldCharType="begin"/>
            </w:r>
            <w:r w:rsidR="005521B6" w:rsidRPr="005521B6">
              <w:rPr>
                <w:rStyle w:val="Hyperlink"/>
                <w:noProof/>
                <w:webHidden/>
                <w:color w:val="auto"/>
                <w:rtl/>
                <w:lang w:eastAsia="zh-TW"/>
              </w:rPr>
              <w:instrText xml:space="preserve"> </w:instrText>
            </w:r>
            <w:r w:rsidR="005521B6" w:rsidRPr="005521B6">
              <w:rPr>
                <w:rStyle w:val="Hyperlink"/>
                <w:noProof/>
                <w:webHidden/>
                <w:color w:val="auto"/>
                <w:lang w:eastAsia="zh-TW"/>
              </w:rPr>
              <w:instrText>PAGEREF</w:instrText>
            </w:r>
            <w:r w:rsidR="005521B6" w:rsidRPr="005521B6">
              <w:rPr>
                <w:rStyle w:val="Hyperlink"/>
                <w:noProof/>
                <w:webHidden/>
                <w:color w:val="auto"/>
                <w:rtl/>
                <w:lang w:eastAsia="zh-TW"/>
              </w:rPr>
              <w:instrText xml:space="preserve"> _</w:instrText>
            </w:r>
            <w:r w:rsidR="005521B6" w:rsidRPr="005521B6">
              <w:rPr>
                <w:rStyle w:val="Hyperlink"/>
                <w:noProof/>
                <w:webHidden/>
                <w:color w:val="auto"/>
                <w:lang w:eastAsia="zh-TW"/>
              </w:rPr>
              <w:instrText>Toc485639171 \h</w:instrText>
            </w:r>
            <w:r w:rsidR="005521B6" w:rsidRPr="005521B6">
              <w:rPr>
                <w:rStyle w:val="Hyperlink"/>
                <w:noProof/>
                <w:webHidden/>
                <w:color w:val="auto"/>
                <w:rtl/>
                <w:lang w:eastAsia="zh-TW"/>
              </w:rPr>
              <w:instrText xml:space="preserve"> </w:instrText>
            </w:r>
            <w:r w:rsidR="005521B6" w:rsidRPr="005521B6">
              <w:rPr>
                <w:rStyle w:val="Hyperlink"/>
                <w:noProof/>
                <w:webHidden/>
                <w:color w:val="auto"/>
                <w:rtl/>
                <w:lang w:eastAsia="zh-TW"/>
              </w:rPr>
            </w:r>
            <w:r w:rsidR="005521B6" w:rsidRPr="005521B6">
              <w:rPr>
                <w:rStyle w:val="Hyperlink"/>
                <w:noProof/>
                <w:webHidden/>
                <w:color w:val="auto"/>
                <w:rtl/>
                <w:lang w:eastAsia="zh-TW"/>
              </w:rPr>
              <w:fldChar w:fldCharType="separate"/>
            </w:r>
            <w:r>
              <w:rPr>
                <w:rStyle w:val="Hyperlink"/>
                <w:noProof/>
                <w:webHidden/>
                <w:color w:val="auto"/>
                <w:rtl/>
                <w:lang w:eastAsia="zh-TW"/>
              </w:rPr>
              <w:t>15</w:t>
            </w:r>
            <w:r w:rsidR="005521B6" w:rsidRPr="005521B6">
              <w:rPr>
                <w:rStyle w:val="Hyperlink"/>
                <w:noProof/>
                <w:webHidden/>
                <w:color w:val="auto"/>
                <w:rtl/>
                <w:lang w:eastAsia="zh-TW"/>
              </w:rPr>
              <w:fldChar w:fldCharType="end"/>
            </w:r>
          </w:hyperlink>
        </w:p>
        <w:p w:rsidR="005521B6" w:rsidRPr="005521B6" w:rsidRDefault="009825BE" w:rsidP="005521B6">
          <w:pPr>
            <w:pStyle w:val="TOC1"/>
            <w:tabs>
              <w:tab w:val="clear" w:pos="1841"/>
              <w:tab w:val="left" w:pos="2408"/>
            </w:tabs>
            <w:spacing w:after="0" w:line="400" w:lineRule="exact"/>
            <w:ind w:left="1699"/>
            <w:rPr>
              <w:rStyle w:val="Hyperlink"/>
              <w:noProof/>
              <w:color w:val="auto"/>
              <w:rtl/>
              <w:lang w:eastAsia="zh-TW"/>
            </w:rPr>
          </w:pPr>
          <w:hyperlink w:anchor="_Toc485639172" w:history="1">
            <w:r w:rsidR="005521B6" w:rsidRPr="005521B6">
              <w:rPr>
                <w:rStyle w:val="Hyperlink"/>
                <w:rFonts w:hint="eastAsia"/>
                <w:noProof/>
                <w:color w:val="auto"/>
                <w:rtl/>
                <w:lang w:eastAsia="zh-TW"/>
              </w:rPr>
              <w:t>ياء</w:t>
            </w:r>
            <w:r w:rsidR="005521B6" w:rsidRPr="005521B6">
              <w:rPr>
                <w:rStyle w:val="Hyperlink"/>
                <w:noProof/>
                <w:color w:val="auto"/>
                <w:rtl/>
                <w:lang w:eastAsia="zh-TW"/>
              </w:rPr>
              <w:t xml:space="preserve"> -</w:t>
            </w:r>
            <w:r w:rsidR="005521B6">
              <w:rPr>
                <w:rStyle w:val="Hyperlink"/>
                <w:rFonts w:hint="cs"/>
                <w:noProof/>
                <w:color w:val="auto"/>
                <w:rtl/>
                <w:lang w:eastAsia="zh-TW"/>
              </w:rPr>
              <w:tab/>
            </w:r>
            <w:r w:rsidR="005521B6" w:rsidRPr="005521B6">
              <w:rPr>
                <w:rStyle w:val="Hyperlink"/>
                <w:rFonts w:hint="eastAsia"/>
                <w:noProof/>
                <w:color w:val="auto"/>
                <w:rtl/>
                <w:lang w:eastAsia="zh-TW"/>
              </w:rPr>
              <w:t>التفتيش</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والرصد</w:t>
            </w:r>
            <w:r w:rsidR="005521B6" w:rsidRPr="005521B6">
              <w:rPr>
                <w:rStyle w:val="Hyperlink"/>
                <w:noProof/>
                <w:webHidden/>
                <w:color w:val="auto"/>
                <w:rtl/>
                <w:lang w:eastAsia="zh-TW"/>
              </w:rPr>
              <w:tab/>
            </w:r>
            <w:r w:rsidR="005521B6" w:rsidRPr="005521B6">
              <w:rPr>
                <w:rStyle w:val="Hyperlink"/>
                <w:noProof/>
                <w:webHidden/>
                <w:color w:val="auto"/>
                <w:rtl/>
                <w:lang w:eastAsia="zh-TW"/>
              </w:rPr>
              <w:fldChar w:fldCharType="begin"/>
            </w:r>
            <w:r w:rsidR="005521B6" w:rsidRPr="005521B6">
              <w:rPr>
                <w:rStyle w:val="Hyperlink"/>
                <w:noProof/>
                <w:webHidden/>
                <w:color w:val="auto"/>
                <w:rtl/>
                <w:lang w:eastAsia="zh-TW"/>
              </w:rPr>
              <w:instrText xml:space="preserve"> </w:instrText>
            </w:r>
            <w:r w:rsidR="005521B6" w:rsidRPr="005521B6">
              <w:rPr>
                <w:rStyle w:val="Hyperlink"/>
                <w:noProof/>
                <w:webHidden/>
                <w:color w:val="auto"/>
                <w:lang w:eastAsia="zh-TW"/>
              </w:rPr>
              <w:instrText>PAGEREF</w:instrText>
            </w:r>
            <w:r w:rsidR="005521B6" w:rsidRPr="005521B6">
              <w:rPr>
                <w:rStyle w:val="Hyperlink"/>
                <w:noProof/>
                <w:webHidden/>
                <w:color w:val="auto"/>
                <w:rtl/>
                <w:lang w:eastAsia="zh-TW"/>
              </w:rPr>
              <w:instrText xml:space="preserve"> _</w:instrText>
            </w:r>
            <w:r w:rsidR="005521B6" w:rsidRPr="005521B6">
              <w:rPr>
                <w:rStyle w:val="Hyperlink"/>
                <w:noProof/>
                <w:webHidden/>
                <w:color w:val="auto"/>
                <w:lang w:eastAsia="zh-TW"/>
              </w:rPr>
              <w:instrText>Toc485639172 \h</w:instrText>
            </w:r>
            <w:r w:rsidR="005521B6" w:rsidRPr="005521B6">
              <w:rPr>
                <w:rStyle w:val="Hyperlink"/>
                <w:noProof/>
                <w:webHidden/>
                <w:color w:val="auto"/>
                <w:rtl/>
                <w:lang w:eastAsia="zh-TW"/>
              </w:rPr>
              <w:instrText xml:space="preserve"> </w:instrText>
            </w:r>
            <w:r w:rsidR="005521B6" w:rsidRPr="005521B6">
              <w:rPr>
                <w:rStyle w:val="Hyperlink"/>
                <w:noProof/>
                <w:webHidden/>
                <w:color w:val="auto"/>
                <w:rtl/>
                <w:lang w:eastAsia="zh-TW"/>
              </w:rPr>
            </w:r>
            <w:r w:rsidR="005521B6" w:rsidRPr="005521B6">
              <w:rPr>
                <w:rStyle w:val="Hyperlink"/>
                <w:noProof/>
                <w:webHidden/>
                <w:color w:val="auto"/>
                <w:rtl/>
                <w:lang w:eastAsia="zh-TW"/>
              </w:rPr>
              <w:fldChar w:fldCharType="separate"/>
            </w:r>
            <w:r>
              <w:rPr>
                <w:rStyle w:val="Hyperlink"/>
                <w:noProof/>
                <w:webHidden/>
                <w:color w:val="auto"/>
                <w:rtl/>
                <w:lang w:eastAsia="zh-TW"/>
              </w:rPr>
              <w:t>17</w:t>
            </w:r>
            <w:r w:rsidR="005521B6" w:rsidRPr="005521B6">
              <w:rPr>
                <w:rStyle w:val="Hyperlink"/>
                <w:noProof/>
                <w:webHidden/>
                <w:color w:val="auto"/>
                <w:rtl/>
                <w:lang w:eastAsia="zh-TW"/>
              </w:rPr>
              <w:fldChar w:fldCharType="end"/>
            </w:r>
          </w:hyperlink>
        </w:p>
        <w:p w:rsidR="005521B6" w:rsidRPr="005521B6" w:rsidRDefault="009825BE" w:rsidP="005521B6">
          <w:pPr>
            <w:pStyle w:val="TOC1"/>
            <w:tabs>
              <w:tab w:val="clear" w:pos="1841"/>
              <w:tab w:val="left" w:pos="1699"/>
            </w:tabs>
            <w:spacing w:after="0" w:line="400" w:lineRule="exact"/>
            <w:ind w:left="849"/>
            <w:rPr>
              <w:rStyle w:val="Hyperlink"/>
              <w:noProof/>
              <w:color w:val="auto"/>
              <w:rtl/>
              <w:lang w:eastAsia="zh-TW"/>
            </w:rPr>
          </w:pPr>
          <w:hyperlink w:anchor="_Toc485639173" w:history="1">
            <w:r w:rsidR="005521B6" w:rsidRPr="005521B6">
              <w:rPr>
                <w:rStyle w:val="Hyperlink"/>
                <w:rFonts w:hint="eastAsia"/>
                <w:noProof/>
                <w:color w:val="auto"/>
                <w:rtl/>
                <w:lang w:eastAsia="zh-TW"/>
              </w:rPr>
              <w:t>خامساً</w:t>
            </w:r>
            <w:r w:rsidR="005521B6" w:rsidRPr="005521B6">
              <w:rPr>
                <w:rStyle w:val="Hyperlink"/>
                <w:noProof/>
                <w:color w:val="auto"/>
                <w:rtl/>
                <w:lang w:eastAsia="zh-TW"/>
              </w:rPr>
              <w:t>-</w:t>
            </w:r>
            <w:r w:rsidR="005521B6">
              <w:rPr>
                <w:rStyle w:val="Hyperlink"/>
                <w:rFonts w:hint="cs"/>
                <w:noProof/>
                <w:color w:val="auto"/>
                <w:rtl/>
                <w:lang w:eastAsia="zh-TW"/>
              </w:rPr>
              <w:tab/>
            </w:r>
            <w:r w:rsidR="005521B6" w:rsidRPr="005521B6">
              <w:rPr>
                <w:rStyle w:val="Hyperlink"/>
                <w:rFonts w:hint="eastAsia"/>
                <w:noProof/>
                <w:color w:val="auto"/>
                <w:rtl/>
                <w:lang w:eastAsia="zh-TW"/>
              </w:rPr>
              <w:t>التوجيهات</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بشأن</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الجمع</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والمناولة</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والتعبئة</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والنقل</w:t>
            </w:r>
            <w:r w:rsidR="005521B6" w:rsidRPr="005521B6">
              <w:rPr>
                <w:rStyle w:val="Hyperlink"/>
                <w:noProof/>
                <w:webHidden/>
                <w:color w:val="auto"/>
                <w:rtl/>
                <w:lang w:eastAsia="zh-TW"/>
              </w:rPr>
              <w:tab/>
            </w:r>
            <w:r w:rsidR="005521B6" w:rsidRPr="005521B6">
              <w:rPr>
                <w:rStyle w:val="Hyperlink"/>
                <w:noProof/>
                <w:webHidden/>
                <w:color w:val="auto"/>
                <w:rtl/>
                <w:lang w:eastAsia="zh-TW"/>
              </w:rPr>
              <w:fldChar w:fldCharType="begin"/>
            </w:r>
            <w:r w:rsidR="005521B6" w:rsidRPr="005521B6">
              <w:rPr>
                <w:rStyle w:val="Hyperlink"/>
                <w:noProof/>
                <w:webHidden/>
                <w:color w:val="auto"/>
                <w:rtl/>
                <w:lang w:eastAsia="zh-TW"/>
              </w:rPr>
              <w:instrText xml:space="preserve"> </w:instrText>
            </w:r>
            <w:r w:rsidR="005521B6" w:rsidRPr="005521B6">
              <w:rPr>
                <w:rStyle w:val="Hyperlink"/>
                <w:noProof/>
                <w:webHidden/>
                <w:color w:val="auto"/>
                <w:lang w:eastAsia="zh-TW"/>
              </w:rPr>
              <w:instrText>PAGEREF</w:instrText>
            </w:r>
            <w:r w:rsidR="005521B6" w:rsidRPr="005521B6">
              <w:rPr>
                <w:rStyle w:val="Hyperlink"/>
                <w:noProof/>
                <w:webHidden/>
                <w:color w:val="auto"/>
                <w:rtl/>
                <w:lang w:eastAsia="zh-TW"/>
              </w:rPr>
              <w:instrText xml:space="preserve"> _</w:instrText>
            </w:r>
            <w:r w:rsidR="005521B6" w:rsidRPr="005521B6">
              <w:rPr>
                <w:rStyle w:val="Hyperlink"/>
                <w:noProof/>
                <w:webHidden/>
                <w:color w:val="auto"/>
                <w:lang w:eastAsia="zh-TW"/>
              </w:rPr>
              <w:instrText>Toc485639173 \h</w:instrText>
            </w:r>
            <w:r w:rsidR="005521B6" w:rsidRPr="005521B6">
              <w:rPr>
                <w:rStyle w:val="Hyperlink"/>
                <w:noProof/>
                <w:webHidden/>
                <w:color w:val="auto"/>
                <w:rtl/>
                <w:lang w:eastAsia="zh-TW"/>
              </w:rPr>
              <w:instrText xml:space="preserve"> </w:instrText>
            </w:r>
            <w:r w:rsidR="005521B6" w:rsidRPr="005521B6">
              <w:rPr>
                <w:rStyle w:val="Hyperlink"/>
                <w:noProof/>
                <w:webHidden/>
                <w:color w:val="auto"/>
                <w:rtl/>
                <w:lang w:eastAsia="zh-TW"/>
              </w:rPr>
            </w:r>
            <w:r w:rsidR="005521B6" w:rsidRPr="005521B6">
              <w:rPr>
                <w:rStyle w:val="Hyperlink"/>
                <w:noProof/>
                <w:webHidden/>
                <w:color w:val="auto"/>
                <w:rtl/>
                <w:lang w:eastAsia="zh-TW"/>
              </w:rPr>
              <w:fldChar w:fldCharType="separate"/>
            </w:r>
            <w:r>
              <w:rPr>
                <w:rStyle w:val="Hyperlink"/>
                <w:noProof/>
                <w:webHidden/>
                <w:color w:val="auto"/>
                <w:rtl/>
                <w:lang w:eastAsia="zh-TW"/>
              </w:rPr>
              <w:t>18</w:t>
            </w:r>
            <w:r w:rsidR="005521B6" w:rsidRPr="005521B6">
              <w:rPr>
                <w:rStyle w:val="Hyperlink"/>
                <w:noProof/>
                <w:webHidden/>
                <w:color w:val="auto"/>
                <w:rtl/>
                <w:lang w:eastAsia="zh-TW"/>
              </w:rPr>
              <w:fldChar w:fldCharType="end"/>
            </w:r>
          </w:hyperlink>
        </w:p>
        <w:p w:rsidR="005521B6" w:rsidRPr="005521B6" w:rsidRDefault="009825BE" w:rsidP="005521B6">
          <w:pPr>
            <w:pStyle w:val="TOC1"/>
            <w:tabs>
              <w:tab w:val="clear" w:pos="1841"/>
              <w:tab w:val="left" w:pos="2408"/>
            </w:tabs>
            <w:spacing w:after="0" w:line="400" w:lineRule="exact"/>
            <w:ind w:left="1699"/>
            <w:rPr>
              <w:rStyle w:val="Hyperlink"/>
              <w:noProof/>
              <w:color w:val="auto"/>
              <w:rtl/>
              <w:lang w:eastAsia="zh-TW"/>
            </w:rPr>
          </w:pPr>
          <w:hyperlink w:anchor="_Toc485639174" w:history="1">
            <w:r w:rsidR="005521B6" w:rsidRPr="005521B6">
              <w:rPr>
                <w:rStyle w:val="Hyperlink"/>
                <w:rFonts w:hint="eastAsia"/>
                <w:noProof/>
                <w:color w:val="auto"/>
                <w:rtl/>
                <w:lang w:eastAsia="zh-TW"/>
              </w:rPr>
              <w:t>ألف</w:t>
            </w:r>
            <w:r w:rsidR="005521B6" w:rsidRPr="005521B6">
              <w:rPr>
                <w:rStyle w:val="Hyperlink"/>
                <w:noProof/>
                <w:color w:val="auto"/>
                <w:rtl/>
                <w:lang w:eastAsia="zh-TW"/>
              </w:rPr>
              <w:t xml:space="preserve"> -</w:t>
            </w:r>
            <w:r w:rsidR="005521B6">
              <w:rPr>
                <w:rStyle w:val="Hyperlink"/>
                <w:rFonts w:hint="cs"/>
                <w:noProof/>
                <w:color w:val="auto"/>
                <w:rtl/>
                <w:lang w:eastAsia="zh-TW"/>
              </w:rPr>
              <w:tab/>
            </w:r>
            <w:r w:rsidR="005521B6" w:rsidRPr="005521B6">
              <w:rPr>
                <w:rStyle w:val="Hyperlink"/>
                <w:rFonts w:hint="eastAsia"/>
                <w:noProof/>
                <w:color w:val="auto"/>
                <w:rtl/>
                <w:lang w:eastAsia="zh-TW"/>
              </w:rPr>
              <w:t>الصحة</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والسلامة</w:t>
            </w:r>
            <w:r w:rsidR="005521B6" w:rsidRPr="005521B6">
              <w:rPr>
                <w:rStyle w:val="Hyperlink"/>
                <w:noProof/>
                <w:webHidden/>
                <w:color w:val="auto"/>
                <w:rtl/>
                <w:lang w:eastAsia="zh-TW"/>
              </w:rPr>
              <w:tab/>
            </w:r>
            <w:r w:rsidR="005521B6" w:rsidRPr="005521B6">
              <w:rPr>
                <w:rStyle w:val="Hyperlink"/>
                <w:noProof/>
                <w:webHidden/>
                <w:color w:val="auto"/>
                <w:rtl/>
                <w:lang w:eastAsia="zh-TW"/>
              </w:rPr>
              <w:fldChar w:fldCharType="begin"/>
            </w:r>
            <w:r w:rsidR="005521B6" w:rsidRPr="005521B6">
              <w:rPr>
                <w:rStyle w:val="Hyperlink"/>
                <w:noProof/>
                <w:webHidden/>
                <w:color w:val="auto"/>
                <w:rtl/>
                <w:lang w:eastAsia="zh-TW"/>
              </w:rPr>
              <w:instrText xml:space="preserve"> </w:instrText>
            </w:r>
            <w:r w:rsidR="005521B6" w:rsidRPr="005521B6">
              <w:rPr>
                <w:rStyle w:val="Hyperlink"/>
                <w:noProof/>
                <w:webHidden/>
                <w:color w:val="auto"/>
                <w:lang w:eastAsia="zh-TW"/>
              </w:rPr>
              <w:instrText>PAGEREF</w:instrText>
            </w:r>
            <w:r w:rsidR="005521B6" w:rsidRPr="005521B6">
              <w:rPr>
                <w:rStyle w:val="Hyperlink"/>
                <w:noProof/>
                <w:webHidden/>
                <w:color w:val="auto"/>
                <w:rtl/>
                <w:lang w:eastAsia="zh-TW"/>
              </w:rPr>
              <w:instrText xml:space="preserve"> _</w:instrText>
            </w:r>
            <w:r w:rsidR="005521B6" w:rsidRPr="005521B6">
              <w:rPr>
                <w:rStyle w:val="Hyperlink"/>
                <w:noProof/>
                <w:webHidden/>
                <w:color w:val="auto"/>
                <w:lang w:eastAsia="zh-TW"/>
              </w:rPr>
              <w:instrText>Toc485639174 \h</w:instrText>
            </w:r>
            <w:r w:rsidR="005521B6" w:rsidRPr="005521B6">
              <w:rPr>
                <w:rStyle w:val="Hyperlink"/>
                <w:noProof/>
                <w:webHidden/>
                <w:color w:val="auto"/>
                <w:rtl/>
                <w:lang w:eastAsia="zh-TW"/>
              </w:rPr>
              <w:instrText xml:space="preserve"> </w:instrText>
            </w:r>
            <w:r w:rsidR="005521B6" w:rsidRPr="005521B6">
              <w:rPr>
                <w:rStyle w:val="Hyperlink"/>
                <w:noProof/>
                <w:webHidden/>
                <w:color w:val="auto"/>
                <w:rtl/>
                <w:lang w:eastAsia="zh-TW"/>
              </w:rPr>
            </w:r>
            <w:r w:rsidR="005521B6" w:rsidRPr="005521B6">
              <w:rPr>
                <w:rStyle w:val="Hyperlink"/>
                <w:noProof/>
                <w:webHidden/>
                <w:color w:val="auto"/>
                <w:rtl/>
                <w:lang w:eastAsia="zh-TW"/>
              </w:rPr>
              <w:fldChar w:fldCharType="separate"/>
            </w:r>
            <w:r>
              <w:rPr>
                <w:rStyle w:val="Hyperlink"/>
                <w:noProof/>
                <w:webHidden/>
                <w:color w:val="auto"/>
                <w:rtl/>
                <w:lang w:eastAsia="zh-TW"/>
              </w:rPr>
              <w:t>19</w:t>
            </w:r>
            <w:r w:rsidR="005521B6" w:rsidRPr="005521B6">
              <w:rPr>
                <w:rStyle w:val="Hyperlink"/>
                <w:noProof/>
                <w:webHidden/>
                <w:color w:val="auto"/>
                <w:rtl/>
                <w:lang w:eastAsia="zh-TW"/>
              </w:rPr>
              <w:fldChar w:fldCharType="end"/>
            </w:r>
          </w:hyperlink>
        </w:p>
        <w:p w:rsidR="005521B6" w:rsidRPr="005521B6" w:rsidRDefault="009825BE" w:rsidP="005521B6">
          <w:pPr>
            <w:pStyle w:val="TOC1"/>
            <w:tabs>
              <w:tab w:val="clear" w:pos="1841"/>
              <w:tab w:val="left" w:pos="2408"/>
            </w:tabs>
            <w:spacing w:after="0" w:line="400" w:lineRule="exact"/>
            <w:ind w:left="1699"/>
            <w:rPr>
              <w:rStyle w:val="Hyperlink"/>
              <w:noProof/>
              <w:color w:val="auto"/>
              <w:rtl/>
              <w:lang w:eastAsia="zh-TW"/>
            </w:rPr>
          </w:pPr>
          <w:hyperlink w:anchor="_Toc485639175" w:history="1">
            <w:r w:rsidR="005521B6" w:rsidRPr="005521B6">
              <w:rPr>
                <w:rStyle w:val="Hyperlink"/>
                <w:rFonts w:hint="eastAsia"/>
                <w:noProof/>
                <w:color w:val="auto"/>
                <w:rtl/>
                <w:lang w:eastAsia="zh-TW"/>
              </w:rPr>
              <w:t>باء</w:t>
            </w:r>
            <w:r w:rsidR="005521B6" w:rsidRPr="005521B6">
              <w:rPr>
                <w:rStyle w:val="Hyperlink"/>
                <w:noProof/>
                <w:color w:val="auto"/>
                <w:rtl/>
                <w:lang w:eastAsia="zh-TW"/>
              </w:rPr>
              <w:t xml:space="preserve"> -</w:t>
            </w:r>
            <w:r w:rsidR="005521B6">
              <w:rPr>
                <w:rStyle w:val="Hyperlink"/>
                <w:rFonts w:hint="cs"/>
                <w:noProof/>
                <w:color w:val="auto"/>
                <w:rtl/>
                <w:lang w:eastAsia="zh-TW"/>
              </w:rPr>
              <w:tab/>
            </w:r>
            <w:r w:rsidR="005521B6" w:rsidRPr="005521B6">
              <w:rPr>
                <w:rStyle w:val="Hyperlink"/>
                <w:rFonts w:hint="eastAsia"/>
                <w:noProof/>
                <w:color w:val="auto"/>
                <w:rtl/>
                <w:lang w:eastAsia="zh-TW"/>
              </w:rPr>
              <w:t>الصحة</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والسلامة</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في</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المجال</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العام</w:t>
            </w:r>
            <w:r w:rsidR="005521B6" w:rsidRPr="005521B6">
              <w:rPr>
                <w:rStyle w:val="Hyperlink"/>
                <w:noProof/>
                <w:webHidden/>
                <w:color w:val="auto"/>
                <w:rtl/>
                <w:lang w:eastAsia="zh-TW"/>
              </w:rPr>
              <w:tab/>
            </w:r>
            <w:r w:rsidR="005521B6" w:rsidRPr="005521B6">
              <w:rPr>
                <w:rStyle w:val="Hyperlink"/>
                <w:noProof/>
                <w:webHidden/>
                <w:color w:val="auto"/>
                <w:rtl/>
                <w:lang w:eastAsia="zh-TW"/>
              </w:rPr>
              <w:fldChar w:fldCharType="begin"/>
            </w:r>
            <w:r w:rsidR="005521B6" w:rsidRPr="005521B6">
              <w:rPr>
                <w:rStyle w:val="Hyperlink"/>
                <w:noProof/>
                <w:webHidden/>
                <w:color w:val="auto"/>
                <w:rtl/>
                <w:lang w:eastAsia="zh-TW"/>
              </w:rPr>
              <w:instrText xml:space="preserve"> </w:instrText>
            </w:r>
            <w:r w:rsidR="005521B6" w:rsidRPr="005521B6">
              <w:rPr>
                <w:rStyle w:val="Hyperlink"/>
                <w:noProof/>
                <w:webHidden/>
                <w:color w:val="auto"/>
                <w:lang w:eastAsia="zh-TW"/>
              </w:rPr>
              <w:instrText>PAGEREF</w:instrText>
            </w:r>
            <w:r w:rsidR="005521B6" w:rsidRPr="005521B6">
              <w:rPr>
                <w:rStyle w:val="Hyperlink"/>
                <w:noProof/>
                <w:webHidden/>
                <w:color w:val="auto"/>
                <w:rtl/>
                <w:lang w:eastAsia="zh-TW"/>
              </w:rPr>
              <w:instrText xml:space="preserve"> _</w:instrText>
            </w:r>
            <w:r w:rsidR="005521B6" w:rsidRPr="005521B6">
              <w:rPr>
                <w:rStyle w:val="Hyperlink"/>
                <w:noProof/>
                <w:webHidden/>
                <w:color w:val="auto"/>
                <w:lang w:eastAsia="zh-TW"/>
              </w:rPr>
              <w:instrText>Toc485639175 \h</w:instrText>
            </w:r>
            <w:r w:rsidR="005521B6" w:rsidRPr="005521B6">
              <w:rPr>
                <w:rStyle w:val="Hyperlink"/>
                <w:noProof/>
                <w:webHidden/>
                <w:color w:val="auto"/>
                <w:rtl/>
                <w:lang w:eastAsia="zh-TW"/>
              </w:rPr>
              <w:instrText xml:space="preserve"> </w:instrText>
            </w:r>
            <w:r w:rsidR="005521B6" w:rsidRPr="005521B6">
              <w:rPr>
                <w:rStyle w:val="Hyperlink"/>
                <w:noProof/>
                <w:webHidden/>
                <w:color w:val="auto"/>
                <w:rtl/>
                <w:lang w:eastAsia="zh-TW"/>
              </w:rPr>
            </w:r>
            <w:r w:rsidR="005521B6" w:rsidRPr="005521B6">
              <w:rPr>
                <w:rStyle w:val="Hyperlink"/>
                <w:noProof/>
                <w:webHidden/>
                <w:color w:val="auto"/>
                <w:rtl/>
                <w:lang w:eastAsia="zh-TW"/>
              </w:rPr>
              <w:fldChar w:fldCharType="separate"/>
            </w:r>
            <w:r>
              <w:rPr>
                <w:rStyle w:val="Hyperlink"/>
                <w:noProof/>
                <w:webHidden/>
                <w:color w:val="auto"/>
                <w:rtl/>
                <w:lang w:eastAsia="zh-TW"/>
              </w:rPr>
              <w:t>19</w:t>
            </w:r>
            <w:r w:rsidR="005521B6" w:rsidRPr="005521B6">
              <w:rPr>
                <w:rStyle w:val="Hyperlink"/>
                <w:noProof/>
                <w:webHidden/>
                <w:color w:val="auto"/>
                <w:rtl/>
                <w:lang w:eastAsia="zh-TW"/>
              </w:rPr>
              <w:fldChar w:fldCharType="end"/>
            </w:r>
          </w:hyperlink>
        </w:p>
        <w:p w:rsidR="005521B6" w:rsidRPr="005521B6" w:rsidRDefault="009825BE" w:rsidP="005521B6">
          <w:pPr>
            <w:pStyle w:val="TOC1"/>
            <w:tabs>
              <w:tab w:val="clear" w:pos="1841"/>
              <w:tab w:val="left" w:pos="2408"/>
            </w:tabs>
            <w:spacing w:after="0" w:line="400" w:lineRule="exact"/>
            <w:ind w:left="1699"/>
            <w:rPr>
              <w:rStyle w:val="Hyperlink"/>
              <w:noProof/>
              <w:color w:val="auto"/>
              <w:rtl/>
              <w:lang w:eastAsia="zh-TW"/>
            </w:rPr>
          </w:pPr>
          <w:hyperlink w:anchor="_Toc485639176" w:history="1">
            <w:r w:rsidR="005521B6" w:rsidRPr="005521B6">
              <w:rPr>
                <w:rStyle w:val="Hyperlink"/>
                <w:rFonts w:hint="eastAsia"/>
                <w:noProof/>
                <w:color w:val="auto"/>
                <w:rtl/>
                <w:lang w:eastAsia="zh-TW"/>
              </w:rPr>
              <w:t>جيم</w:t>
            </w:r>
            <w:r w:rsidR="005521B6" w:rsidRPr="005521B6">
              <w:rPr>
                <w:rStyle w:val="Hyperlink"/>
                <w:noProof/>
                <w:color w:val="auto"/>
                <w:rtl/>
                <w:lang w:eastAsia="zh-TW"/>
              </w:rPr>
              <w:t xml:space="preserve"> -</w:t>
            </w:r>
            <w:r w:rsidR="005521B6">
              <w:rPr>
                <w:rStyle w:val="Hyperlink"/>
                <w:rFonts w:hint="cs"/>
                <w:noProof/>
                <w:color w:val="auto"/>
                <w:rtl/>
                <w:lang w:eastAsia="zh-TW"/>
              </w:rPr>
              <w:tab/>
            </w:r>
            <w:r w:rsidR="005521B6" w:rsidRPr="005521B6">
              <w:rPr>
                <w:rStyle w:val="Hyperlink"/>
                <w:rFonts w:hint="eastAsia"/>
                <w:noProof/>
                <w:color w:val="auto"/>
                <w:rtl/>
                <w:lang w:eastAsia="zh-TW"/>
              </w:rPr>
              <w:t>صحة</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العمال</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وسلامتهم</w:t>
            </w:r>
            <w:r w:rsidR="005521B6" w:rsidRPr="005521B6">
              <w:rPr>
                <w:rStyle w:val="Hyperlink"/>
                <w:noProof/>
                <w:webHidden/>
                <w:color w:val="auto"/>
                <w:rtl/>
                <w:lang w:eastAsia="zh-TW"/>
              </w:rPr>
              <w:tab/>
            </w:r>
            <w:r w:rsidR="005521B6" w:rsidRPr="005521B6">
              <w:rPr>
                <w:rStyle w:val="Hyperlink"/>
                <w:noProof/>
                <w:webHidden/>
                <w:color w:val="auto"/>
                <w:rtl/>
                <w:lang w:eastAsia="zh-TW"/>
              </w:rPr>
              <w:fldChar w:fldCharType="begin"/>
            </w:r>
            <w:r w:rsidR="005521B6" w:rsidRPr="005521B6">
              <w:rPr>
                <w:rStyle w:val="Hyperlink"/>
                <w:noProof/>
                <w:webHidden/>
                <w:color w:val="auto"/>
                <w:rtl/>
                <w:lang w:eastAsia="zh-TW"/>
              </w:rPr>
              <w:instrText xml:space="preserve"> </w:instrText>
            </w:r>
            <w:r w:rsidR="005521B6" w:rsidRPr="005521B6">
              <w:rPr>
                <w:rStyle w:val="Hyperlink"/>
                <w:noProof/>
                <w:webHidden/>
                <w:color w:val="auto"/>
                <w:lang w:eastAsia="zh-TW"/>
              </w:rPr>
              <w:instrText>PAGEREF</w:instrText>
            </w:r>
            <w:r w:rsidR="005521B6" w:rsidRPr="005521B6">
              <w:rPr>
                <w:rStyle w:val="Hyperlink"/>
                <w:noProof/>
                <w:webHidden/>
                <w:color w:val="auto"/>
                <w:rtl/>
                <w:lang w:eastAsia="zh-TW"/>
              </w:rPr>
              <w:instrText xml:space="preserve"> _</w:instrText>
            </w:r>
            <w:r w:rsidR="005521B6" w:rsidRPr="005521B6">
              <w:rPr>
                <w:rStyle w:val="Hyperlink"/>
                <w:noProof/>
                <w:webHidden/>
                <w:color w:val="auto"/>
                <w:lang w:eastAsia="zh-TW"/>
              </w:rPr>
              <w:instrText>Toc485639176 \h</w:instrText>
            </w:r>
            <w:r w:rsidR="005521B6" w:rsidRPr="005521B6">
              <w:rPr>
                <w:rStyle w:val="Hyperlink"/>
                <w:noProof/>
                <w:webHidden/>
                <w:color w:val="auto"/>
                <w:rtl/>
                <w:lang w:eastAsia="zh-TW"/>
              </w:rPr>
              <w:instrText xml:space="preserve"> </w:instrText>
            </w:r>
            <w:r w:rsidR="005521B6" w:rsidRPr="005521B6">
              <w:rPr>
                <w:rStyle w:val="Hyperlink"/>
                <w:noProof/>
                <w:webHidden/>
                <w:color w:val="auto"/>
                <w:rtl/>
                <w:lang w:eastAsia="zh-TW"/>
              </w:rPr>
            </w:r>
            <w:r w:rsidR="005521B6" w:rsidRPr="005521B6">
              <w:rPr>
                <w:rStyle w:val="Hyperlink"/>
                <w:noProof/>
                <w:webHidden/>
                <w:color w:val="auto"/>
                <w:rtl/>
                <w:lang w:eastAsia="zh-TW"/>
              </w:rPr>
              <w:fldChar w:fldCharType="separate"/>
            </w:r>
            <w:r>
              <w:rPr>
                <w:rStyle w:val="Hyperlink"/>
                <w:noProof/>
                <w:webHidden/>
                <w:color w:val="auto"/>
                <w:rtl/>
                <w:lang w:eastAsia="zh-TW"/>
              </w:rPr>
              <w:t>19</w:t>
            </w:r>
            <w:r w:rsidR="005521B6" w:rsidRPr="005521B6">
              <w:rPr>
                <w:rStyle w:val="Hyperlink"/>
                <w:noProof/>
                <w:webHidden/>
                <w:color w:val="auto"/>
                <w:rtl/>
                <w:lang w:eastAsia="zh-TW"/>
              </w:rPr>
              <w:fldChar w:fldCharType="end"/>
            </w:r>
          </w:hyperlink>
        </w:p>
        <w:p w:rsidR="005521B6" w:rsidRPr="005521B6" w:rsidRDefault="009825BE" w:rsidP="005521B6">
          <w:pPr>
            <w:pStyle w:val="TOC1"/>
            <w:tabs>
              <w:tab w:val="clear" w:pos="1841"/>
              <w:tab w:val="left" w:pos="2408"/>
            </w:tabs>
            <w:spacing w:after="0" w:line="400" w:lineRule="exact"/>
            <w:ind w:left="1699"/>
            <w:rPr>
              <w:rStyle w:val="Hyperlink"/>
              <w:noProof/>
              <w:color w:val="auto"/>
              <w:rtl/>
              <w:lang w:eastAsia="zh-TW"/>
            </w:rPr>
          </w:pPr>
          <w:hyperlink w:anchor="_Toc485639177" w:history="1">
            <w:r w:rsidR="005521B6" w:rsidRPr="005521B6">
              <w:rPr>
                <w:rStyle w:val="Hyperlink"/>
                <w:rFonts w:hint="eastAsia"/>
                <w:noProof/>
                <w:color w:val="auto"/>
                <w:rtl/>
                <w:lang w:eastAsia="zh-TW"/>
              </w:rPr>
              <w:t>دال</w:t>
            </w:r>
            <w:r w:rsidR="005521B6" w:rsidRPr="005521B6">
              <w:rPr>
                <w:rStyle w:val="Hyperlink"/>
                <w:noProof/>
                <w:color w:val="auto"/>
                <w:rtl/>
                <w:lang w:eastAsia="zh-TW"/>
              </w:rPr>
              <w:t xml:space="preserve"> -</w:t>
            </w:r>
            <w:r w:rsidR="005521B6">
              <w:rPr>
                <w:rStyle w:val="Hyperlink"/>
                <w:rFonts w:hint="cs"/>
                <w:noProof/>
                <w:color w:val="auto"/>
                <w:rtl/>
                <w:lang w:eastAsia="zh-TW"/>
              </w:rPr>
              <w:tab/>
            </w:r>
            <w:r w:rsidR="005521B6" w:rsidRPr="005521B6">
              <w:rPr>
                <w:rStyle w:val="Hyperlink"/>
                <w:rFonts w:hint="eastAsia"/>
                <w:noProof/>
                <w:color w:val="auto"/>
                <w:rtl/>
                <w:lang w:eastAsia="zh-TW"/>
              </w:rPr>
              <w:t>معايير</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تحديد</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المخزونات</w:t>
            </w:r>
            <w:r w:rsidR="005521B6" w:rsidRPr="005521B6">
              <w:rPr>
                <w:rStyle w:val="Hyperlink"/>
                <w:noProof/>
                <w:webHidden/>
                <w:color w:val="auto"/>
                <w:rtl/>
                <w:lang w:eastAsia="zh-TW"/>
              </w:rPr>
              <w:tab/>
            </w:r>
            <w:r w:rsidR="005521B6" w:rsidRPr="005521B6">
              <w:rPr>
                <w:rStyle w:val="Hyperlink"/>
                <w:noProof/>
                <w:webHidden/>
                <w:color w:val="auto"/>
                <w:rtl/>
                <w:lang w:eastAsia="zh-TW"/>
              </w:rPr>
              <w:fldChar w:fldCharType="begin"/>
            </w:r>
            <w:r w:rsidR="005521B6" w:rsidRPr="005521B6">
              <w:rPr>
                <w:rStyle w:val="Hyperlink"/>
                <w:noProof/>
                <w:webHidden/>
                <w:color w:val="auto"/>
                <w:rtl/>
                <w:lang w:eastAsia="zh-TW"/>
              </w:rPr>
              <w:instrText xml:space="preserve"> </w:instrText>
            </w:r>
            <w:r w:rsidR="005521B6" w:rsidRPr="005521B6">
              <w:rPr>
                <w:rStyle w:val="Hyperlink"/>
                <w:noProof/>
                <w:webHidden/>
                <w:color w:val="auto"/>
                <w:lang w:eastAsia="zh-TW"/>
              </w:rPr>
              <w:instrText>PAGEREF</w:instrText>
            </w:r>
            <w:r w:rsidR="005521B6" w:rsidRPr="005521B6">
              <w:rPr>
                <w:rStyle w:val="Hyperlink"/>
                <w:noProof/>
                <w:webHidden/>
                <w:color w:val="auto"/>
                <w:rtl/>
                <w:lang w:eastAsia="zh-TW"/>
              </w:rPr>
              <w:instrText xml:space="preserve"> _</w:instrText>
            </w:r>
            <w:r w:rsidR="005521B6" w:rsidRPr="005521B6">
              <w:rPr>
                <w:rStyle w:val="Hyperlink"/>
                <w:noProof/>
                <w:webHidden/>
                <w:color w:val="auto"/>
                <w:lang w:eastAsia="zh-TW"/>
              </w:rPr>
              <w:instrText>Toc485639177 \h</w:instrText>
            </w:r>
            <w:r w:rsidR="005521B6" w:rsidRPr="005521B6">
              <w:rPr>
                <w:rStyle w:val="Hyperlink"/>
                <w:noProof/>
                <w:webHidden/>
                <w:color w:val="auto"/>
                <w:rtl/>
                <w:lang w:eastAsia="zh-TW"/>
              </w:rPr>
              <w:instrText xml:space="preserve"> </w:instrText>
            </w:r>
            <w:r w:rsidR="005521B6" w:rsidRPr="005521B6">
              <w:rPr>
                <w:rStyle w:val="Hyperlink"/>
                <w:noProof/>
                <w:webHidden/>
                <w:color w:val="auto"/>
                <w:rtl/>
                <w:lang w:eastAsia="zh-TW"/>
              </w:rPr>
            </w:r>
            <w:r w:rsidR="005521B6" w:rsidRPr="005521B6">
              <w:rPr>
                <w:rStyle w:val="Hyperlink"/>
                <w:noProof/>
                <w:webHidden/>
                <w:color w:val="auto"/>
                <w:rtl/>
                <w:lang w:eastAsia="zh-TW"/>
              </w:rPr>
              <w:fldChar w:fldCharType="separate"/>
            </w:r>
            <w:r>
              <w:rPr>
                <w:rStyle w:val="Hyperlink"/>
                <w:noProof/>
                <w:webHidden/>
                <w:color w:val="auto"/>
                <w:rtl/>
                <w:lang w:eastAsia="zh-TW"/>
              </w:rPr>
              <w:t>20</w:t>
            </w:r>
            <w:r w:rsidR="005521B6" w:rsidRPr="005521B6">
              <w:rPr>
                <w:rStyle w:val="Hyperlink"/>
                <w:noProof/>
                <w:webHidden/>
                <w:color w:val="auto"/>
                <w:rtl/>
                <w:lang w:eastAsia="zh-TW"/>
              </w:rPr>
              <w:fldChar w:fldCharType="end"/>
            </w:r>
          </w:hyperlink>
        </w:p>
        <w:p w:rsidR="005521B6" w:rsidRDefault="009825BE" w:rsidP="00426042">
          <w:pPr>
            <w:pStyle w:val="TOC1"/>
            <w:spacing w:after="0" w:line="400" w:lineRule="exact"/>
            <w:ind w:left="849"/>
          </w:pPr>
          <w:hyperlink w:anchor="_Toc485639178" w:history="1">
            <w:r w:rsidR="005521B6" w:rsidRPr="005521B6">
              <w:rPr>
                <w:rStyle w:val="Hyperlink"/>
                <w:rFonts w:hint="eastAsia"/>
                <w:noProof/>
                <w:color w:val="auto"/>
                <w:rtl/>
                <w:lang w:eastAsia="zh-TW"/>
              </w:rPr>
              <w:t>المراجع</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والمصادر</w:t>
            </w:r>
            <w:r w:rsidR="005521B6" w:rsidRPr="005521B6">
              <w:rPr>
                <w:rStyle w:val="Hyperlink"/>
                <w:noProof/>
                <w:color w:val="auto"/>
                <w:rtl/>
                <w:lang w:eastAsia="zh-TW"/>
              </w:rPr>
              <w:t xml:space="preserve"> </w:t>
            </w:r>
            <w:r w:rsidR="005521B6" w:rsidRPr="005521B6">
              <w:rPr>
                <w:rStyle w:val="Hyperlink"/>
                <w:rFonts w:hint="eastAsia"/>
                <w:noProof/>
                <w:color w:val="auto"/>
                <w:rtl/>
                <w:lang w:eastAsia="zh-TW"/>
              </w:rPr>
              <w:t>الأخرى</w:t>
            </w:r>
            <w:r w:rsidR="005521B6" w:rsidRPr="005521B6">
              <w:rPr>
                <w:rStyle w:val="Hyperlink"/>
                <w:noProof/>
                <w:webHidden/>
                <w:color w:val="auto"/>
                <w:rtl/>
                <w:lang w:eastAsia="zh-TW"/>
              </w:rPr>
              <w:tab/>
            </w:r>
            <w:r w:rsidR="005521B6" w:rsidRPr="005521B6">
              <w:rPr>
                <w:rStyle w:val="Hyperlink"/>
                <w:noProof/>
                <w:webHidden/>
                <w:color w:val="auto"/>
                <w:rtl/>
                <w:lang w:eastAsia="zh-TW"/>
              </w:rPr>
              <w:fldChar w:fldCharType="begin"/>
            </w:r>
            <w:r w:rsidR="005521B6" w:rsidRPr="005521B6">
              <w:rPr>
                <w:rStyle w:val="Hyperlink"/>
                <w:noProof/>
                <w:webHidden/>
                <w:color w:val="auto"/>
                <w:rtl/>
                <w:lang w:eastAsia="zh-TW"/>
              </w:rPr>
              <w:instrText xml:space="preserve"> </w:instrText>
            </w:r>
            <w:r w:rsidR="005521B6" w:rsidRPr="005521B6">
              <w:rPr>
                <w:rStyle w:val="Hyperlink"/>
                <w:noProof/>
                <w:webHidden/>
                <w:color w:val="auto"/>
                <w:lang w:eastAsia="zh-TW"/>
              </w:rPr>
              <w:instrText>PAGEREF</w:instrText>
            </w:r>
            <w:r w:rsidR="005521B6" w:rsidRPr="005521B6">
              <w:rPr>
                <w:rStyle w:val="Hyperlink"/>
                <w:noProof/>
                <w:webHidden/>
                <w:color w:val="auto"/>
                <w:rtl/>
                <w:lang w:eastAsia="zh-TW"/>
              </w:rPr>
              <w:instrText xml:space="preserve"> _</w:instrText>
            </w:r>
            <w:r w:rsidR="005521B6" w:rsidRPr="005521B6">
              <w:rPr>
                <w:rStyle w:val="Hyperlink"/>
                <w:noProof/>
                <w:webHidden/>
                <w:color w:val="auto"/>
                <w:lang w:eastAsia="zh-TW"/>
              </w:rPr>
              <w:instrText>Toc485639178 \h</w:instrText>
            </w:r>
            <w:r w:rsidR="005521B6" w:rsidRPr="005521B6">
              <w:rPr>
                <w:rStyle w:val="Hyperlink"/>
                <w:noProof/>
                <w:webHidden/>
                <w:color w:val="auto"/>
                <w:rtl/>
                <w:lang w:eastAsia="zh-TW"/>
              </w:rPr>
              <w:instrText xml:space="preserve"> </w:instrText>
            </w:r>
            <w:r w:rsidR="005521B6" w:rsidRPr="005521B6">
              <w:rPr>
                <w:rStyle w:val="Hyperlink"/>
                <w:noProof/>
                <w:webHidden/>
                <w:color w:val="auto"/>
                <w:rtl/>
                <w:lang w:eastAsia="zh-TW"/>
              </w:rPr>
            </w:r>
            <w:r w:rsidR="005521B6" w:rsidRPr="005521B6">
              <w:rPr>
                <w:rStyle w:val="Hyperlink"/>
                <w:noProof/>
                <w:webHidden/>
                <w:color w:val="auto"/>
                <w:rtl/>
                <w:lang w:eastAsia="zh-TW"/>
              </w:rPr>
              <w:fldChar w:fldCharType="separate"/>
            </w:r>
            <w:r>
              <w:rPr>
                <w:rStyle w:val="Hyperlink"/>
                <w:noProof/>
                <w:webHidden/>
                <w:color w:val="auto"/>
                <w:rtl/>
                <w:lang w:eastAsia="zh-TW"/>
              </w:rPr>
              <w:t>21</w:t>
            </w:r>
            <w:r w:rsidR="005521B6" w:rsidRPr="005521B6">
              <w:rPr>
                <w:rStyle w:val="Hyperlink"/>
                <w:noProof/>
                <w:webHidden/>
                <w:color w:val="auto"/>
                <w:rtl/>
                <w:lang w:eastAsia="zh-TW"/>
              </w:rPr>
              <w:fldChar w:fldCharType="end"/>
            </w:r>
          </w:hyperlink>
          <w:r w:rsidR="005521B6" w:rsidRPr="005521B6">
            <w:rPr>
              <w:rStyle w:val="Hyperlink"/>
              <w:color w:val="auto"/>
              <w:lang w:eastAsia="zh-TW"/>
            </w:rPr>
            <w:fldChar w:fldCharType="end"/>
          </w:r>
        </w:p>
      </w:sdtContent>
    </w:sdt>
    <w:p w:rsidR="005D1C9A" w:rsidRDefault="005D1C9A" w:rsidP="002A6981">
      <w:pPr>
        <w:bidi/>
        <w:rPr>
          <w:rFonts w:ascii="Traditional Arabic" w:eastAsiaTheme="minorEastAsia" w:hAnsi="Traditional Arabic"/>
          <w:sz w:val="30"/>
          <w:rtl/>
          <w:lang w:eastAsia="zh-TW"/>
        </w:rPr>
      </w:pPr>
      <w:r>
        <w:rPr>
          <w:rFonts w:ascii="Traditional Arabic" w:hAnsi="Traditional Arabic"/>
          <w:sz w:val="30"/>
          <w:rtl/>
          <w:lang w:eastAsia="zh-TW"/>
        </w:rPr>
        <w:br w:type="page"/>
      </w:r>
    </w:p>
    <w:p w:rsidR="005D1C9A" w:rsidRPr="00426042" w:rsidRDefault="005D1C9A" w:rsidP="00426042">
      <w:pPr>
        <w:pStyle w:val="Heading1"/>
        <w:bidi/>
        <w:spacing w:before="0" w:line="400" w:lineRule="exact"/>
        <w:ind w:left="1134" w:hanging="852"/>
        <w:jc w:val="both"/>
        <w:rPr>
          <w:b/>
          <w:bCs/>
          <w:sz w:val="32"/>
          <w:szCs w:val="32"/>
          <w:u w:val="none"/>
          <w:rtl/>
          <w:lang w:eastAsia="zh-TW"/>
        </w:rPr>
      </w:pPr>
      <w:bookmarkStart w:id="0" w:name="_Toc485639159"/>
      <w:r w:rsidRPr="00426042">
        <w:rPr>
          <w:b/>
          <w:bCs/>
          <w:sz w:val="32"/>
          <w:szCs w:val="32"/>
          <w:u w:val="none"/>
          <w:rtl/>
          <w:lang w:eastAsia="zh-TW"/>
        </w:rPr>
        <w:lastRenderedPageBreak/>
        <w:t>أولا</w:t>
      </w:r>
      <w:r w:rsidR="00387968" w:rsidRPr="00426042">
        <w:rPr>
          <w:rFonts w:hint="cs"/>
          <w:b/>
          <w:bCs/>
          <w:sz w:val="32"/>
          <w:szCs w:val="32"/>
          <w:u w:val="none"/>
          <w:rtl/>
          <w:lang w:eastAsia="zh-TW"/>
        </w:rPr>
        <w:t>ً -</w:t>
      </w:r>
      <w:r w:rsidR="00810307" w:rsidRPr="00426042">
        <w:rPr>
          <w:rFonts w:hint="cs"/>
          <w:b/>
          <w:bCs/>
          <w:sz w:val="32"/>
          <w:szCs w:val="32"/>
          <w:u w:val="none"/>
          <w:rtl/>
          <w:lang w:eastAsia="zh-TW"/>
        </w:rPr>
        <w:tab/>
      </w:r>
      <w:r w:rsidRPr="00426042">
        <w:rPr>
          <w:b/>
          <w:bCs/>
          <w:sz w:val="32"/>
          <w:szCs w:val="32"/>
          <w:u w:val="none"/>
          <w:rtl/>
          <w:lang w:eastAsia="zh-TW"/>
        </w:rPr>
        <w:t>مقدمة</w:t>
      </w:r>
      <w:bookmarkEnd w:id="0"/>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1</w:t>
      </w:r>
      <w:r w:rsidR="00387968">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اتفاقية ميناماتا بشأن الزئبق هي صك عالمي ملزم قانوناً يهدف إلى حماية صحة الإنسان والبيئة من الانبعاثات والإطلاقات البشرية المنشأ للزئبق ومركّبات الزئبق. وتتضمن الاتفاقية التزامات تتعلق بانبعاثات الزئبق وإطلاقاته الناجمة عن جميع مراحل استخدام الزئبق، بما في ذلك الإمدادات والتجارة والاستخدام والنفايات والمواقع الملوثة. وهناك التزامات محددة تتعلق بالتخزين المؤقت السليم بيئيا</w:t>
      </w:r>
      <w:r w:rsidR="0006317A">
        <w:rPr>
          <w:rFonts w:ascii="Traditional Arabic" w:hAnsi="Traditional Arabic" w:cs="Traditional Arabic" w:hint="cs"/>
          <w:sz w:val="30"/>
          <w:szCs w:val="30"/>
          <w:rtl/>
          <w:lang w:eastAsia="zh-TW"/>
        </w:rPr>
        <w:t>ً</w:t>
      </w:r>
      <w:r w:rsidRPr="005D1C9A">
        <w:rPr>
          <w:rFonts w:ascii="Traditional Arabic" w:hAnsi="Traditional Arabic" w:cs="Traditional Arabic"/>
          <w:sz w:val="30"/>
          <w:szCs w:val="30"/>
          <w:rtl/>
          <w:lang w:eastAsia="zh-TW"/>
        </w:rPr>
        <w:t xml:space="preserve"> للزئبق ومركبات الزئبق بخلاف نفايات الزئبق، </w:t>
      </w:r>
      <w:r w:rsidR="00426042">
        <w:rPr>
          <w:rFonts w:ascii="Traditional Arabic" w:hAnsi="Traditional Arabic" w:cs="Traditional Arabic"/>
          <w:sz w:val="30"/>
          <w:szCs w:val="30"/>
          <w:rtl/>
          <w:lang w:eastAsia="zh-TW"/>
        </w:rPr>
        <w:t>وترد في المادة ١٠ من الاتفاقية.</w:t>
      </w:r>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2</w:t>
      </w:r>
      <w:r w:rsidR="00387968">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وتنص الاتفاقية على أن يعتمد مؤتمر الأطراف مبادئ توجيهية بشأن التخزين المؤقت السليم بيئياً للزئبق ومركّبات الزئبق، ضمن نطاق المادة 10. وتأخذ المبادئ التوجيهية في الاعتبار أية مبادئ توجيهية ذات صلة بالموضوع توضع في إطار اتفاقية بازل بشأن التحكم في نقل النفايات الخطرة والتخلص منها عبر الحدود وغيرها من التوجيهات ذات الصلة. وعلى هذا الأساس، أعدت المبادئ التوجيهية التالية، وفقاً لطلب لجنة التفاوض الحكومية الدولية لإعداد صك عالمي ملزم قانوناً بشأن الزئبق في دورتها السابعة،</w:t>
      </w:r>
      <w:r w:rsidR="00426042">
        <w:rPr>
          <w:rFonts w:ascii="Traditional Arabic" w:hAnsi="Traditional Arabic" w:cs="Traditional Arabic"/>
          <w:sz w:val="30"/>
          <w:szCs w:val="30"/>
          <w:rtl/>
          <w:lang w:eastAsia="zh-TW"/>
        </w:rPr>
        <w:t xml:space="preserve"> وبالتشاور مع الخبراء المعنيين.</w:t>
      </w:r>
    </w:p>
    <w:p w:rsidR="005D1C9A" w:rsidRPr="005D1C9A" w:rsidRDefault="005D1C9A" w:rsidP="008A0CD9">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3</w:t>
      </w:r>
      <w:r w:rsidR="00387968">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ولا تحدد المبادئ التوجيهية شروطاً إلزامية ولا تحاول أن تزيد أو تنقص من التزامات أي طرف بموجب الاتفاقية، ولا</w:t>
      </w:r>
      <w:r w:rsidR="008A0CD9">
        <w:rPr>
          <w:rFonts w:ascii="Traditional Arabic" w:hAnsi="Traditional Arabic" w:cs="Traditional Arabic" w:hint="cs"/>
          <w:sz w:val="30"/>
          <w:szCs w:val="30"/>
          <w:rtl/>
          <w:lang w:eastAsia="zh-TW"/>
        </w:rPr>
        <w:t> </w:t>
      </w:r>
      <w:r w:rsidRPr="005D1C9A">
        <w:rPr>
          <w:rFonts w:ascii="Traditional Arabic" w:hAnsi="Traditional Arabic" w:cs="Traditional Arabic"/>
          <w:sz w:val="30"/>
          <w:szCs w:val="30"/>
          <w:rtl/>
          <w:lang w:eastAsia="zh-TW"/>
        </w:rPr>
        <w:t>سيما المادة ١٠ من الاتفاقية. ومع ذلك، ينبغي أن يأخذ الطرف في الاعتبار المبادئ التوجيهية التي يعتمدها مؤتمر الأطراف، عند اتخاذه التدابير التي تكفل تنفيذ التخزين المؤقت للزئبق ومركباته على نحو سليم بيئياً. وبالإضافة إلى المبادئ التوجيهية المقرر اعتمادها، قد يود مؤتمر الأطراف اعتماد شروط للتخزين المؤقت في مرفق إضافي للاتفاقية. وسيعتمد هذا المرفق وفقاً لإجراءات اعتماد المرفقات الإضافية الم</w:t>
      </w:r>
      <w:r w:rsidR="00426042">
        <w:rPr>
          <w:rFonts w:ascii="Traditional Arabic" w:hAnsi="Traditional Arabic" w:cs="Traditional Arabic"/>
          <w:sz w:val="30"/>
          <w:szCs w:val="30"/>
          <w:rtl/>
          <w:lang w:eastAsia="zh-TW"/>
        </w:rPr>
        <w:t>بينة في المادة ٢٧ من الاتفاقية.</w:t>
      </w:r>
    </w:p>
    <w:p w:rsidR="005D1C9A" w:rsidRPr="00426042" w:rsidRDefault="005D1C9A" w:rsidP="00426042">
      <w:pPr>
        <w:pStyle w:val="Heading1"/>
        <w:bidi/>
        <w:spacing w:before="0" w:line="400" w:lineRule="exact"/>
        <w:ind w:left="1134" w:hanging="852"/>
        <w:jc w:val="both"/>
        <w:textDirection w:val="tbRlV"/>
        <w:rPr>
          <w:b/>
          <w:bCs/>
          <w:sz w:val="32"/>
          <w:szCs w:val="32"/>
          <w:u w:val="none"/>
          <w:rtl/>
          <w:lang w:eastAsia="zh-TW"/>
        </w:rPr>
      </w:pPr>
      <w:bookmarkStart w:id="1" w:name="_Toc485639160"/>
      <w:r w:rsidRPr="00426042">
        <w:rPr>
          <w:b/>
          <w:bCs/>
          <w:sz w:val="32"/>
          <w:szCs w:val="32"/>
          <w:u w:val="none"/>
          <w:rtl/>
          <w:lang w:eastAsia="zh-TW"/>
        </w:rPr>
        <w:t>ثانيا</w:t>
      </w:r>
      <w:r w:rsidR="00387968" w:rsidRPr="00426042">
        <w:rPr>
          <w:rFonts w:hint="cs"/>
          <w:b/>
          <w:bCs/>
          <w:sz w:val="32"/>
          <w:szCs w:val="32"/>
          <w:u w:val="none"/>
          <w:rtl/>
          <w:lang w:eastAsia="zh-TW"/>
        </w:rPr>
        <w:t>ً -</w:t>
      </w:r>
      <w:r w:rsidR="00426042">
        <w:rPr>
          <w:rFonts w:hint="cs"/>
          <w:b/>
          <w:bCs/>
          <w:sz w:val="32"/>
          <w:szCs w:val="32"/>
          <w:u w:val="none"/>
          <w:rtl/>
          <w:lang w:eastAsia="zh-TW"/>
        </w:rPr>
        <w:tab/>
      </w:r>
      <w:r w:rsidRPr="00426042">
        <w:rPr>
          <w:b/>
          <w:bCs/>
          <w:sz w:val="32"/>
          <w:szCs w:val="32"/>
          <w:u w:val="none"/>
          <w:rtl/>
          <w:lang w:eastAsia="zh-TW"/>
        </w:rPr>
        <w:t>الإدارة العامة للمواد الخطرة</w:t>
      </w:r>
      <w:bookmarkEnd w:id="1"/>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4</w:t>
      </w:r>
      <w:r w:rsidR="00387968">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ينبغي للأطراف أن تضع وتنفذ خطط إدارة المواد الكيميائية من أجل معالجة الإدارة السليمة بيئيا</w:t>
      </w:r>
      <w:r w:rsidR="00387968">
        <w:rPr>
          <w:rFonts w:ascii="Traditional Arabic" w:hAnsi="Traditional Arabic" w:cs="Traditional Arabic" w:hint="cs"/>
          <w:sz w:val="30"/>
          <w:szCs w:val="30"/>
          <w:rtl/>
          <w:lang w:eastAsia="zh-TW"/>
        </w:rPr>
        <w:t>ً</w:t>
      </w:r>
      <w:r w:rsidRPr="005D1C9A">
        <w:rPr>
          <w:rFonts w:ascii="Traditional Arabic" w:hAnsi="Traditional Arabic" w:cs="Traditional Arabic"/>
          <w:sz w:val="30"/>
          <w:szCs w:val="30"/>
          <w:rtl/>
          <w:lang w:eastAsia="zh-TW"/>
        </w:rPr>
        <w:t xml:space="preserve"> للمواد الخطرة المخزنة داخل أراضيها (وقد يشمل ذلك التشريعات والقواعد التنظيمية والسياسات والاتفاقات مع قطاع الصناعة والمعايير المتفق عليها، أو أي مجموعة من هذه الآليات الإدارية وغيرها). وينبغي أن تكون لدى الأطراف خطط إدارة محددة للزئبق ومركبات الزئبق التي ”تخزَّن“ وفقا</w:t>
      </w:r>
      <w:r w:rsidR="0006317A">
        <w:rPr>
          <w:rFonts w:ascii="Traditional Arabic" w:hAnsi="Traditional Arabic" w:cs="Traditional Arabic" w:hint="cs"/>
          <w:sz w:val="30"/>
          <w:szCs w:val="30"/>
          <w:rtl/>
          <w:lang w:eastAsia="zh-TW"/>
        </w:rPr>
        <w:t>ً</w:t>
      </w:r>
      <w:r w:rsidRPr="005D1C9A">
        <w:rPr>
          <w:rFonts w:ascii="Traditional Arabic" w:hAnsi="Traditional Arabic" w:cs="Traditional Arabic"/>
          <w:sz w:val="30"/>
          <w:szCs w:val="30"/>
          <w:rtl/>
          <w:lang w:eastAsia="zh-TW"/>
        </w:rPr>
        <w:t xml:space="preserve"> للمادة ١٠. ولكي يفهم طرف من الأطراف احتياجاته للتخزين المؤقت للزئبق ومركبات الزئبق، قد يكون من المفيد لذلك الطرف أن يقوم، أثناء وضع أنشطته التنفيذية، بالمزيد من العمل لتحديد الزئبق ومركبات الزئبق الموجودة في أراضيه، وأن يكتسب فهماً عاماً لكميات الزئبق ومركبات الزئبق المخزونة في كل موقع لتيسير التخزين الآمن والملائم. وقد تسهم هذه المعلومات أيضاً في تحديد التدابير الملائمة للسلامة والتفتيش الرقابي، وكذلك في إعداد </w:t>
      </w:r>
      <w:r w:rsidR="00426042">
        <w:rPr>
          <w:rFonts w:ascii="Traditional Arabic" w:hAnsi="Traditional Arabic" w:cs="Traditional Arabic"/>
          <w:sz w:val="30"/>
          <w:szCs w:val="30"/>
          <w:rtl/>
          <w:lang w:eastAsia="zh-TW"/>
        </w:rPr>
        <w:t>خطط الاستجابة في حالات الطوارئ.</w:t>
      </w:r>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5</w:t>
      </w:r>
      <w:r w:rsidR="00387968">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 xml:space="preserve">وقد يكون أحد العناصر الهامة لخطط الإدارة هذه هو اكتساب المعرفة بشأن هوية المواد الخطرة الموجودة ضمن أراضي الطرف وكميات كل مادة منها. ولهذا الغرض، وكجزء من الإدارة الوطنية للمواد الخطرة، تمثل قوائم الجرد أداة هامة لتحديد هوية المواد الموجودة في أراضي الطرف وقياس كمياتها وتحديد خصائصها. وفيما يتعلق تحديداً بالزئبق أو مركبات الزئبق، يمكن لقوائم الجرد الوطنية أن توفر معلومات مفيدة عن جميع جوانب تنفيذ اتفاقية ميناماتا. </w:t>
      </w:r>
      <w:r w:rsidR="00387968">
        <w:rPr>
          <w:rFonts w:ascii="Traditional Arabic" w:hAnsi="Traditional Arabic" w:cs="Traditional Arabic" w:hint="cs"/>
          <w:sz w:val="30"/>
          <w:szCs w:val="30"/>
          <w:rtl/>
          <w:lang w:eastAsia="zh-TW"/>
        </w:rPr>
        <w:t>و</w:t>
      </w:r>
      <w:r w:rsidRPr="005D1C9A">
        <w:rPr>
          <w:rFonts w:ascii="Traditional Arabic" w:hAnsi="Traditional Arabic" w:cs="Traditional Arabic"/>
          <w:sz w:val="30"/>
          <w:szCs w:val="30"/>
          <w:rtl/>
          <w:lang w:eastAsia="zh-TW"/>
        </w:rPr>
        <w:t>تنص المادة 3 من اتفاقية ميناماتا بشأن الزئبق على أن يسعى كل طرف إلى تحديد كل كمية على حِدة من مخزونات الزئبق أو مركّبات الزئبق التي تزيد على 50 طناً مترياً بالإضافة إلى مصادر الإمداد بالزئبق التي تتولّد عنها مخزونات تزيد عن 10 أطنان مترية سنوياً والموجودة على أراضيه</w:t>
      </w:r>
      <w:r w:rsidR="00387968">
        <w:rPr>
          <w:rFonts w:ascii="Traditional Arabic" w:hAnsi="Traditional Arabic" w:cs="Traditional Arabic" w:hint="cs"/>
          <w:sz w:val="30"/>
          <w:szCs w:val="30"/>
          <w:rtl/>
          <w:lang w:eastAsia="zh-TW"/>
        </w:rPr>
        <w:t>.</w:t>
      </w:r>
      <w:r w:rsidRPr="005D1C9A">
        <w:rPr>
          <w:rFonts w:ascii="Traditional Arabic" w:hAnsi="Traditional Arabic" w:cs="Traditional Arabic"/>
          <w:sz w:val="30"/>
          <w:szCs w:val="30"/>
          <w:rtl/>
          <w:lang w:eastAsia="zh-TW"/>
        </w:rPr>
        <w:t xml:space="preserve"> وقد ترى الأطراف أن من المفيد أيضاً تحديد المخزونات أو الإمدادات ذات الحجم الأصغر من الزئبق في إطار إدارتها العامة للزئبق. ويمكن لطرف ما أن يقدر الكميات التقديرية للزئبق الذي قد يتطلب التخزين بتحديد استخدامات الزئبق داخل أراضيه. وتجدر </w:t>
      </w:r>
      <w:r w:rsidRPr="005D1C9A">
        <w:rPr>
          <w:rFonts w:ascii="Traditional Arabic" w:hAnsi="Traditional Arabic" w:cs="Traditional Arabic"/>
          <w:sz w:val="30"/>
          <w:szCs w:val="30"/>
          <w:rtl/>
          <w:lang w:eastAsia="zh-TW"/>
        </w:rPr>
        <w:lastRenderedPageBreak/>
        <w:t xml:space="preserve">الإشارة إلى أن وجه الاستخدام المقرر للزئبق المخزن قد لا يكون معروفاً في جميع الحالات. وقد تساعد في هذا الصدد </w:t>
      </w:r>
      <w:r w:rsidRPr="0006317A">
        <w:rPr>
          <w:rFonts w:ascii="Traditional Arabic" w:hAnsi="Traditional Arabic" w:cs="Traditional Arabic"/>
          <w:i/>
          <w:iCs/>
          <w:sz w:val="30"/>
          <w:szCs w:val="30"/>
          <w:rtl/>
          <w:lang w:eastAsia="zh-TW"/>
        </w:rPr>
        <w:t>مجموعة أدوات تحديد الزئبق المتسرِّب وتقدير كميته</w:t>
      </w:r>
      <w:r w:rsidR="00351754" w:rsidRPr="008A0CD9">
        <w:rPr>
          <w:rFonts w:ascii="Traditional Arabic" w:hAnsi="Traditional Arabic" w:cs="Traditional Arabic"/>
          <w:i/>
          <w:iCs/>
          <w:sz w:val="30"/>
          <w:szCs w:val="30"/>
          <w:vertAlign w:val="superscript"/>
          <w:rtl/>
          <w:lang w:eastAsia="zh-TW"/>
        </w:rPr>
        <w:t>(</w:t>
      </w:r>
      <w:r w:rsidR="00351754" w:rsidRPr="00351754">
        <w:rPr>
          <w:rStyle w:val="FootnoteReference"/>
          <w:rFonts w:ascii="Traditional Arabic" w:hAnsi="Traditional Arabic" w:cs="Traditional Arabic"/>
          <w:i/>
          <w:iCs/>
          <w:sz w:val="30"/>
          <w:szCs w:val="30"/>
          <w:rtl/>
          <w:lang w:eastAsia="zh-TW"/>
        </w:rPr>
        <w:footnoteReference w:id="2"/>
      </w:r>
      <w:r w:rsidR="00351754" w:rsidRPr="008A0CD9">
        <w:rPr>
          <w:rFonts w:ascii="Traditional Arabic" w:hAnsi="Traditional Arabic" w:cs="Traditional Arabic"/>
          <w:i/>
          <w:iCs/>
          <w:sz w:val="30"/>
          <w:szCs w:val="30"/>
          <w:vertAlign w:val="superscript"/>
          <w:rtl/>
          <w:lang w:eastAsia="zh-TW"/>
        </w:rPr>
        <w:t>)</w:t>
      </w:r>
      <w:r w:rsidRPr="005D1C9A">
        <w:rPr>
          <w:rFonts w:ascii="Traditional Arabic" w:hAnsi="Traditional Arabic" w:cs="Traditional Arabic"/>
          <w:sz w:val="30"/>
          <w:szCs w:val="30"/>
          <w:rtl/>
          <w:lang w:eastAsia="zh-TW"/>
        </w:rPr>
        <w:t xml:space="preserve"> التي وضعها برنامج الأمم المتحدة للبيئة وغيرها من المنهجيات الوطنية بتوفير موارد أو معلومات إضافية. وعلى الرغم من أن الهدف الرئيسي لمجموعة الأدوات هو تقييم الانبعاثات والإطلاقات، فقد تمثل أيضاً مصدراً قيماً للمعلومات عن استخ</w:t>
      </w:r>
      <w:r w:rsidR="00426042">
        <w:rPr>
          <w:rFonts w:ascii="Traditional Arabic" w:hAnsi="Traditional Arabic" w:cs="Traditional Arabic"/>
          <w:sz w:val="30"/>
          <w:szCs w:val="30"/>
          <w:rtl/>
          <w:lang w:eastAsia="zh-TW"/>
        </w:rPr>
        <w:t>دامات الزئبق على الصعيد الوطني.</w:t>
      </w:r>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6</w:t>
      </w:r>
      <w:r w:rsidR="00387968">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وفي إطار الإدارة العامة للمواد الخطرة، من المهم تحديد خطوط أساس للكميات المنتجة أو المتداولة أو المتاج</w:t>
      </w:r>
      <w:r w:rsidR="00387968">
        <w:rPr>
          <w:rFonts w:ascii="Traditional Arabic" w:hAnsi="Traditional Arabic" w:cs="Traditional Arabic" w:hint="cs"/>
          <w:sz w:val="30"/>
          <w:szCs w:val="30"/>
          <w:rtl/>
          <w:lang w:eastAsia="zh-TW"/>
        </w:rPr>
        <w:t>َ</w:t>
      </w:r>
      <w:r w:rsidRPr="005D1C9A">
        <w:rPr>
          <w:rFonts w:ascii="Traditional Arabic" w:hAnsi="Traditional Arabic" w:cs="Traditional Arabic"/>
          <w:sz w:val="30"/>
          <w:szCs w:val="30"/>
          <w:rtl/>
          <w:lang w:eastAsia="zh-TW"/>
        </w:rPr>
        <w:t>ر بها أو المستخدمة. ويمكن أن تستخدم لهذا الغرض التوجيهات التي وضعتها واعتمدتها بشكل مؤقت لجنة التفاوض الحكومية الدولية فيما يتعلق بتحديد المخزونات. وقد تسهم المعلومات في إنشاء سجل للمعلومات على الصعيد الوطني، مما قد يساعد في مجال السلامة والتفتيش الرقابي، وكذلك في إعداد خطط الاستجابة لحالات الطوارئ بما يتوافق مع القواعد التنظيمية والتشريعات الوطنية. وكحد أدنى، قد يلزم إنشاء سجل للمواقع المعتمدة للتخزين المؤقت للزئبق لضمان أن يتم التخزين على نحو سليم بيئياً. وينطوي هذا أيضاً على إمكانية تتبع التقدم المحرز على الصعيد الوطني نحو الت</w:t>
      </w:r>
      <w:r w:rsidR="00426042">
        <w:rPr>
          <w:rFonts w:ascii="Traditional Arabic" w:hAnsi="Traditional Arabic" w:cs="Traditional Arabic"/>
          <w:sz w:val="30"/>
          <w:szCs w:val="30"/>
          <w:rtl/>
          <w:lang w:eastAsia="zh-TW"/>
        </w:rPr>
        <w:t>خلص التدريجي من استخدام الزئبق.</w:t>
      </w:r>
    </w:p>
    <w:p w:rsidR="005D1C9A" w:rsidRPr="00426042" w:rsidRDefault="005D1C9A" w:rsidP="00426042">
      <w:pPr>
        <w:pStyle w:val="Heading1"/>
        <w:bidi/>
        <w:spacing w:before="0" w:line="400" w:lineRule="exact"/>
        <w:ind w:left="1134" w:hanging="852"/>
        <w:jc w:val="both"/>
        <w:textDirection w:val="tbRlV"/>
        <w:rPr>
          <w:b/>
          <w:bCs/>
          <w:sz w:val="32"/>
          <w:szCs w:val="32"/>
          <w:u w:val="none"/>
          <w:rtl/>
          <w:lang w:eastAsia="zh-TW"/>
        </w:rPr>
      </w:pPr>
      <w:bookmarkStart w:id="2" w:name="_Toc485639161"/>
      <w:r w:rsidRPr="00426042">
        <w:rPr>
          <w:b/>
          <w:bCs/>
          <w:sz w:val="32"/>
          <w:szCs w:val="32"/>
          <w:u w:val="none"/>
          <w:rtl/>
          <w:lang w:eastAsia="zh-TW"/>
        </w:rPr>
        <w:t>ثالثا</w:t>
      </w:r>
      <w:r w:rsidR="00387968" w:rsidRPr="00426042">
        <w:rPr>
          <w:rFonts w:hint="cs"/>
          <w:b/>
          <w:bCs/>
          <w:sz w:val="32"/>
          <w:szCs w:val="32"/>
          <w:u w:val="none"/>
          <w:rtl/>
          <w:lang w:eastAsia="zh-TW"/>
        </w:rPr>
        <w:t>ً -</w:t>
      </w:r>
      <w:r w:rsidR="00426042">
        <w:rPr>
          <w:rFonts w:hint="cs"/>
          <w:b/>
          <w:bCs/>
          <w:sz w:val="32"/>
          <w:szCs w:val="32"/>
          <w:u w:val="none"/>
          <w:rtl/>
          <w:lang w:eastAsia="zh-TW"/>
        </w:rPr>
        <w:tab/>
      </w:r>
      <w:r w:rsidRPr="00426042">
        <w:rPr>
          <w:b/>
          <w:bCs/>
          <w:sz w:val="32"/>
          <w:szCs w:val="32"/>
          <w:u w:val="none"/>
          <w:rtl/>
          <w:lang w:eastAsia="zh-TW"/>
        </w:rPr>
        <w:t>نطاق المبادئ التوجيهية</w:t>
      </w:r>
      <w:bookmarkEnd w:id="2"/>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7</w:t>
      </w:r>
      <w:r w:rsidR="00387968">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تهدف هذه المبادئ التوجيهية إلى توفير المعلومات المتعلقة بالتخزين المؤقت للزئبق ومركباته المقرر استعمالها لغرض استخدام مسموح به لأي طرف بموجب الاتفاقية. وبموجب الاتفاقية، فبعض استخدامات الزئبق لن يسمح بها بعد تاريخ معين (أي استخدام بعض المنتجات التي يضاف إليها الزئبق في التصنيع بعد تاريخ التخلص النهائي على النحو المحدد في المرفق ألف بموجب المادة ٤ من الاتفاقية). وجميع استخدامات الزئبق التي لا تحددها الاتفاقية كاستخدامات غير مسموح بها ستعتبر استخدامات مسم</w:t>
      </w:r>
      <w:r w:rsidR="00426042">
        <w:rPr>
          <w:rFonts w:ascii="Traditional Arabic" w:hAnsi="Traditional Arabic" w:cs="Traditional Arabic"/>
          <w:sz w:val="30"/>
          <w:szCs w:val="30"/>
          <w:rtl/>
          <w:lang w:eastAsia="zh-TW"/>
        </w:rPr>
        <w:t>وح بها للأطراف بموجب الاتفاقية.</w:t>
      </w:r>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8</w:t>
      </w:r>
      <w:r w:rsidR="00387968">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ولا تبحث هذه المبادئ التوجيهية الخيارات للتخزين النهائي أو الدائم للزئبق أو لوضعه في حالة استقرار أو حالة صلبة. ويعتبر أن هذه الخيارات تتعلق بالإدارة السليمة بيئيا</w:t>
      </w:r>
      <w:r w:rsidR="0006317A">
        <w:rPr>
          <w:rFonts w:ascii="Traditional Arabic" w:hAnsi="Traditional Arabic" w:cs="Traditional Arabic" w:hint="cs"/>
          <w:sz w:val="30"/>
          <w:szCs w:val="30"/>
          <w:rtl/>
          <w:lang w:eastAsia="zh-TW"/>
        </w:rPr>
        <w:t>ً</w:t>
      </w:r>
      <w:r w:rsidRPr="005D1C9A">
        <w:rPr>
          <w:rFonts w:ascii="Traditional Arabic" w:hAnsi="Traditional Arabic" w:cs="Traditional Arabic"/>
          <w:sz w:val="30"/>
          <w:szCs w:val="30"/>
          <w:rtl/>
          <w:lang w:eastAsia="zh-TW"/>
        </w:rPr>
        <w:t xml:space="preserve"> لنفايات الزئبق، وهي مشمولة بالمبادئ التوجيهية التقنية للإدارة السليمة بيئياً للنفايات المحتوية على الزئبق أو الملوثة به، و</w:t>
      </w:r>
      <w:r w:rsidR="00426042">
        <w:rPr>
          <w:rFonts w:ascii="Traditional Arabic" w:hAnsi="Traditional Arabic" w:cs="Traditional Arabic"/>
          <w:sz w:val="30"/>
          <w:szCs w:val="30"/>
          <w:rtl/>
          <w:lang w:eastAsia="zh-TW"/>
        </w:rPr>
        <w:t>التي وضعت في إطار اتفاقية بازل.</w:t>
      </w:r>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9</w:t>
      </w:r>
      <w:r w:rsidR="00387968">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r>
      <w:r w:rsidR="00387968">
        <w:rPr>
          <w:rFonts w:ascii="Traditional Arabic" w:hAnsi="Traditional Arabic" w:cs="Traditional Arabic" w:hint="cs"/>
          <w:sz w:val="30"/>
          <w:szCs w:val="30"/>
          <w:rtl/>
          <w:lang w:eastAsia="zh-TW"/>
        </w:rPr>
        <w:t>و</w:t>
      </w:r>
      <w:r w:rsidRPr="005D1C9A">
        <w:rPr>
          <w:rFonts w:ascii="Traditional Arabic" w:hAnsi="Traditional Arabic" w:cs="Traditional Arabic"/>
          <w:sz w:val="30"/>
          <w:szCs w:val="30"/>
          <w:rtl/>
          <w:lang w:eastAsia="zh-TW"/>
        </w:rPr>
        <w:t>تغطي المادة 10 تخزين الزئبق ومركبات الزئبق على النحو الذي ت</w:t>
      </w:r>
      <w:r w:rsidR="0006317A">
        <w:rPr>
          <w:rFonts w:ascii="Traditional Arabic" w:hAnsi="Traditional Arabic" w:cs="Traditional Arabic" w:hint="cs"/>
          <w:sz w:val="30"/>
          <w:szCs w:val="30"/>
          <w:rtl/>
          <w:lang w:eastAsia="zh-TW"/>
        </w:rPr>
        <w:t>ُ</w:t>
      </w:r>
      <w:r w:rsidRPr="005D1C9A">
        <w:rPr>
          <w:rFonts w:ascii="Traditional Arabic" w:hAnsi="Traditional Arabic" w:cs="Traditional Arabic"/>
          <w:sz w:val="30"/>
          <w:szCs w:val="30"/>
          <w:rtl/>
          <w:lang w:eastAsia="zh-TW"/>
        </w:rPr>
        <w:t>ع</w:t>
      </w:r>
      <w:r w:rsidR="00A25606">
        <w:rPr>
          <w:rFonts w:ascii="Traditional Arabic" w:hAnsi="Traditional Arabic" w:cs="Traditional Arabic" w:hint="cs"/>
          <w:sz w:val="30"/>
          <w:szCs w:val="30"/>
          <w:rtl/>
          <w:lang w:eastAsia="zh-TW"/>
        </w:rPr>
        <w:t>ّ</w:t>
      </w:r>
      <w:r w:rsidRPr="005D1C9A">
        <w:rPr>
          <w:rFonts w:ascii="Traditional Arabic" w:hAnsi="Traditional Arabic" w:cs="Traditional Arabic"/>
          <w:sz w:val="30"/>
          <w:szCs w:val="30"/>
          <w:rtl/>
          <w:lang w:eastAsia="zh-TW"/>
        </w:rPr>
        <w:t>رف به في المادة 3، وهي المواد التي لا تدخل ضمن تعريف نفايات الزئبق. وعلى هذا الأساس تشير هذه المادة إلى ما يلي:</w:t>
      </w:r>
    </w:p>
    <w:p w:rsidR="005D1C9A" w:rsidRPr="005D1C9A" w:rsidRDefault="005D1C9A" w:rsidP="00426042">
      <w:pPr>
        <w:pStyle w:val="Normalnumber"/>
        <w:numPr>
          <w:ilvl w:val="0"/>
          <w:numId w:val="0"/>
        </w:numPr>
        <w:tabs>
          <w:tab w:val="left" w:pos="2550"/>
        </w:tabs>
        <w:bidi/>
        <w:spacing w:line="400" w:lineRule="exact"/>
        <w:ind w:left="1134" w:firstLine="707"/>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(أ)</w:t>
      </w:r>
      <w:r w:rsidR="00426042">
        <w:rPr>
          <w:rFonts w:ascii="Traditional Arabic" w:hAnsi="Traditional Arabic" w:cs="Traditional Arabic" w:hint="cs"/>
          <w:sz w:val="30"/>
          <w:szCs w:val="30"/>
          <w:rtl/>
          <w:lang w:eastAsia="zh-TW"/>
        </w:rPr>
        <w:tab/>
      </w:r>
      <w:r w:rsidRPr="005D1C9A">
        <w:rPr>
          <w:rFonts w:ascii="Traditional Arabic" w:hAnsi="Traditional Arabic" w:cs="Traditional Arabic"/>
          <w:sz w:val="30"/>
          <w:szCs w:val="30"/>
          <w:rtl/>
          <w:lang w:eastAsia="zh-TW"/>
        </w:rPr>
        <w:t>يشمل الزئبق خلائط الزئبق مع مواد أخرى، بما في ذلك سبائك الزئبق التي لا يقل تركيز الزئبق فيها عن 95 في المائة من وزنها؛ و</w:t>
      </w:r>
    </w:p>
    <w:p w:rsidR="00426042" w:rsidRDefault="005D1C9A" w:rsidP="008A0CD9">
      <w:pPr>
        <w:pStyle w:val="Normalnumber"/>
        <w:numPr>
          <w:ilvl w:val="0"/>
          <w:numId w:val="0"/>
        </w:numPr>
        <w:tabs>
          <w:tab w:val="left" w:pos="2550"/>
        </w:tabs>
        <w:bidi/>
        <w:spacing w:line="400" w:lineRule="exact"/>
        <w:ind w:left="1134" w:firstLine="707"/>
        <w:jc w:val="both"/>
        <w:textDirection w:val="tbRlV"/>
        <w:rPr>
          <w:rFonts w:ascii="Traditional Arabic" w:hAnsi="Traditional Arabic"/>
          <w:sz w:val="30"/>
          <w:rtl/>
          <w:lang w:eastAsia="zh-TW"/>
        </w:rPr>
      </w:pPr>
      <w:r w:rsidRPr="005D1C9A">
        <w:rPr>
          <w:rFonts w:ascii="Traditional Arabic" w:hAnsi="Traditional Arabic" w:cs="Traditional Arabic"/>
          <w:sz w:val="30"/>
          <w:szCs w:val="30"/>
          <w:rtl/>
          <w:lang w:eastAsia="zh-TW"/>
        </w:rPr>
        <w:t>(ب)</w:t>
      </w:r>
      <w:r w:rsidR="00426042">
        <w:rPr>
          <w:rFonts w:ascii="Traditional Arabic" w:hAnsi="Traditional Arabic" w:cs="Traditional Arabic" w:hint="cs"/>
          <w:sz w:val="30"/>
          <w:szCs w:val="30"/>
          <w:rtl/>
          <w:lang w:eastAsia="zh-TW"/>
        </w:rPr>
        <w:tab/>
      </w:r>
      <w:r w:rsidRPr="005D1C9A">
        <w:rPr>
          <w:rFonts w:ascii="Traditional Arabic" w:hAnsi="Traditional Arabic" w:cs="Traditional Arabic"/>
          <w:sz w:val="30"/>
          <w:szCs w:val="30"/>
          <w:rtl/>
          <w:lang w:eastAsia="zh-TW"/>
        </w:rPr>
        <w:t>مركّبات الزئبق تعني (أول) كلوريد الزئبق (المعروف أيضاً باسم الكالوميل)، و(ثاني) أكسيد الزئبقيك، و(ثاني) كبريتات الزئبقيك، و(ثاني) نترات الزئبقيك، والزنجفر، وكبريتيد (سلفيد) الزئبق</w:t>
      </w:r>
      <w:r w:rsidRPr="005D1C9A">
        <w:rPr>
          <w:rFonts w:hint="cs"/>
          <w:sz w:val="30"/>
          <w:szCs w:val="30"/>
          <w:rtl/>
          <w:lang w:eastAsia="zh-TW"/>
        </w:rPr>
        <w:t>‬</w:t>
      </w:r>
      <w:r w:rsidRPr="005D1C9A">
        <w:rPr>
          <w:rFonts w:ascii="Traditional Arabic" w:hAnsi="Traditional Arabic" w:cs="Traditional Arabic"/>
          <w:sz w:val="30"/>
          <w:szCs w:val="30"/>
          <w:rtl/>
          <w:lang w:eastAsia="zh-TW"/>
        </w:rPr>
        <w:t>.</w:t>
      </w:r>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10</w:t>
      </w:r>
      <w:r w:rsidR="00387968">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واستنادا</w:t>
      </w:r>
      <w:r w:rsidR="0006317A">
        <w:rPr>
          <w:rFonts w:ascii="Traditional Arabic" w:hAnsi="Traditional Arabic" w:cs="Traditional Arabic" w:hint="cs"/>
          <w:sz w:val="30"/>
          <w:szCs w:val="30"/>
          <w:rtl/>
          <w:lang w:eastAsia="zh-TW"/>
        </w:rPr>
        <w:t>ً</w:t>
      </w:r>
      <w:r w:rsidRPr="005D1C9A">
        <w:rPr>
          <w:rFonts w:ascii="Traditional Arabic" w:hAnsi="Traditional Arabic" w:cs="Traditional Arabic"/>
          <w:sz w:val="30"/>
          <w:szCs w:val="30"/>
          <w:rtl/>
          <w:lang w:eastAsia="zh-TW"/>
        </w:rPr>
        <w:t xml:space="preserve"> إلى التعاريف الواردة في المادة ٣، لا تشمل تلك المادة ما يلي:</w:t>
      </w:r>
    </w:p>
    <w:p w:rsidR="005D1C9A" w:rsidRPr="005D1C9A" w:rsidRDefault="005D1C9A" w:rsidP="00426042">
      <w:pPr>
        <w:pStyle w:val="Normalnumber"/>
        <w:numPr>
          <w:ilvl w:val="0"/>
          <w:numId w:val="0"/>
        </w:numPr>
        <w:tabs>
          <w:tab w:val="left" w:pos="2550"/>
        </w:tabs>
        <w:bidi/>
        <w:spacing w:line="400" w:lineRule="exact"/>
        <w:ind w:left="1134" w:firstLine="709"/>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(أ)</w:t>
      </w:r>
      <w:r w:rsidRPr="005D1C9A">
        <w:rPr>
          <w:rFonts w:ascii="Traditional Arabic" w:hAnsi="Traditional Arabic" w:cs="Traditional Arabic"/>
          <w:sz w:val="30"/>
          <w:szCs w:val="30"/>
          <w:rtl/>
          <w:lang w:eastAsia="zh-TW"/>
        </w:rPr>
        <w:tab/>
        <w:t>كمّيات الزئبق أو مركبات الزئبق التي ستُستخدَم في البحوث ع</w:t>
      </w:r>
      <w:r w:rsidR="00426042">
        <w:rPr>
          <w:rFonts w:ascii="Traditional Arabic" w:hAnsi="Traditional Arabic" w:cs="Traditional Arabic"/>
          <w:sz w:val="30"/>
          <w:szCs w:val="30"/>
          <w:rtl/>
          <w:lang w:eastAsia="zh-TW"/>
        </w:rPr>
        <w:t>لى نطاق مختبري أو كمعيار مرجعي؛</w:t>
      </w:r>
    </w:p>
    <w:p w:rsidR="005D1C9A" w:rsidRPr="005D1C9A" w:rsidRDefault="005D1C9A" w:rsidP="00426042">
      <w:pPr>
        <w:pStyle w:val="Normalnumber"/>
        <w:numPr>
          <w:ilvl w:val="0"/>
          <w:numId w:val="0"/>
        </w:numPr>
        <w:tabs>
          <w:tab w:val="left" w:pos="2550"/>
        </w:tabs>
        <w:bidi/>
        <w:spacing w:line="400" w:lineRule="exact"/>
        <w:ind w:left="1134" w:firstLine="707"/>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lastRenderedPageBreak/>
        <w:t>(ب)</w:t>
      </w:r>
      <w:r w:rsidRPr="005D1C9A">
        <w:rPr>
          <w:rFonts w:ascii="Traditional Arabic" w:hAnsi="Traditional Arabic" w:cs="Traditional Arabic"/>
          <w:sz w:val="30"/>
          <w:szCs w:val="30"/>
          <w:rtl/>
          <w:lang w:eastAsia="zh-TW"/>
        </w:rPr>
        <w:tab/>
        <w:t>الكمّيات النـزرة من الزئبق أو مركّبات الزئبق الموجودة بطبيعتها في المنتجات المعدنية مثل الفلزّات أو الخامات أو المنتجات المعدنية غير المحتوية على الزئبق، بما في ذلك الفحم أو المنتجات المشتقة من هذه المواد، والكميات النـزرة غير المقصودة في المنتجات الكيميائية؛ أو</w:t>
      </w:r>
    </w:p>
    <w:p w:rsidR="005D1C9A" w:rsidRPr="005D1C9A" w:rsidRDefault="005D1C9A" w:rsidP="0006317A">
      <w:pPr>
        <w:pStyle w:val="Normalnumber"/>
        <w:numPr>
          <w:ilvl w:val="0"/>
          <w:numId w:val="0"/>
        </w:numPr>
        <w:tabs>
          <w:tab w:val="left" w:pos="2550"/>
        </w:tabs>
        <w:bidi/>
        <w:spacing w:line="400" w:lineRule="exact"/>
        <w:ind w:left="1134" w:firstLine="707"/>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(ج</w:t>
      </w:r>
      <w:r w:rsidR="00DE03BE">
        <w:rPr>
          <w:rFonts w:ascii="Traditional Arabic" w:hAnsi="Traditional Arabic" w:cs="Traditional Arabic"/>
          <w:sz w:val="30"/>
          <w:szCs w:val="30"/>
          <w:rtl/>
          <w:lang w:eastAsia="zh-TW"/>
        </w:rPr>
        <w:t>)</w:t>
      </w:r>
      <w:r w:rsidR="00DE03BE">
        <w:rPr>
          <w:rFonts w:ascii="Traditional Arabic" w:hAnsi="Traditional Arabic" w:cs="Traditional Arabic"/>
          <w:sz w:val="30"/>
          <w:szCs w:val="30"/>
          <w:rtl/>
          <w:lang w:eastAsia="zh-TW"/>
        </w:rPr>
        <w:tab/>
        <w:t>المنتجات المضاف إليها الزئبق</w:t>
      </w:r>
      <w:r w:rsidR="0006317A">
        <w:rPr>
          <w:rFonts w:ascii="Traditional Arabic" w:hAnsi="Traditional Arabic" w:cs="Traditional Arabic" w:hint="cs"/>
          <w:sz w:val="30"/>
          <w:szCs w:val="30"/>
          <w:rtl/>
          <w:lang w:eastAsia="zh-TW"/>
        </w:rPr>
        <w:t>.</w:t>
      </w:r>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11</w:t>
      </w:r>
      <w:r w:rsidR="00387968">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وبالإضافة إلى ذلك، ونظراً لأن المادة 10 لا تشمل الزئبق الذي يعرف كنفايات زئبق بموجب المادة</w:t>
      </w:r>
      <w:r w:rsidR="00EC3A88">
        <w:rPr>
          <w:rFonts w:ascii="Traditional Arabic" w:hAnsi="Traditional Arabic" w:cs="Traditional Arabic" w:hint="cs"/>
          <w:sz w:val="30"/>
          <w:szCs w:val="30"/>
          <w:rtl/>
          <w:lang w:eastAsia="zh-TW"/>
        </w:rPr>
        <w:t> </w:t>
      </w:r>
      <w:r w:rsidRPr="005D1C9A">
        <w:rPr>
          <w:rFonts w:ascii="Traditional Arabic" w:hAnsi="Traditional Arabic" w:cs="Traditional Arabic"/>
          <w:sz w:val="30"/>
          <w:szCs w:val="30"/>
          <w:rtl/>
          <w:lang w:eastAsia="zh-TW"/>
        </w:rPr>
        <w:t>١١ من الاتفاقية، ل</w:t>
      </w:r>
      <w:r w:rsidR="00426042">
        <w:rPr>
          <w:rFonts w:ascii="Traditional Arabic" w:hAnsi="Traditional Arabic" w:cs="Traditional Arabic"/>
          <w:sz w:val="30"/>
          <w:szCs w:val="30"/>
          <w:rtl/>
          <w:lang w:eastAsia="zh-TW"/>
        </w:rPr>
        <w:t>ا تشمل تلك المادة أيضاً ما يلي:</w:t>
      </w:r>
    </w:p>
    <w:p w:rsidR="005D1C9A" w:rsidRPr="005D1C9A" w:rsidRDefault="005D1C9A" w:rsidP="00426042">
      <w:pPr>
        <w:pStyle w:val="Normalnumber"/>
        <w:numPr>
          <w:ilvl w:val="0"/>
          <w:numId w:val="0"/>
        </w:numPr>
        <w:bidi/>
        <w:spacing w:line="400" w:lineRule="exact"/>
        <w:ind w:left="1841"/>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المواد أو الأشياء المكونة من الزئبق أو مركبات الزئبق، أو المحتوية على الزئبق أو مركبات الزئبق بكمية تزيد عن المستويات الحدّية ذات الصلة التي يحدِّدها مؤتمر الأطراف، بالتعاون مع الهيئات ذات الصلة في اتفاقية بازل وبطريقة متسقة، والتي يجري التخلص منها أو المزمع التخلص منها أو المطلوب التخلص منها بموجب أحكام القانون الوطني أو هذه الاتفاقية. ويستثنى من هذا التعريف الغطاء الصخري أو الترابي الذي يغطي المعدن الخام أو نفايات الصخور أو نفايات الخام، ما عدا تلك الناتجة عن التعدين الأولي للزئبق، إلا إذا كانت تحتوي على زئبق أو مركبات زئبق تزيد كميتها عن المستويات الحدية التي يحددها مؤتمر الأطراف.</w:t>
      </w:r>
    </w:p>
    <w:p w:rsidR="005D1C9A" w:rsidRPr="005D1C9A" w:rsidRDefault="005D1C9A" w:rsidP="0006317A">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12</w:t>
      </w:r>
      <w:r w:rsidR="00387968">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وبموجب الاتفاقية يتخذ كل طرف تدابير لكفالة الاضطلاع بالتخزين المؤقّت للزئبق ومركبات الزئبق المخصصة لاستخدام مسموح به لطرف ما بموجب هذه الاتفاقية بطريقة سليمة بيئياً، آخذاً في الاعتبار أي مبادئ توجيهية ووفقاً لأي اشتراطات يتم اعتمادها. ولا تتضمن الاتفاقية تعريفا</w:t>
      </w:r>
      <w:r w:rsidR="0006317A">
        <w:rPr>
          <w:rFonts w:ascii="Traditional Arabic" w:hAnsi="Traditional Arabic" w:cs="Traditional Arabic" w:hint="cs"/>
          <w:sz w:val="30"/>
          <w:szCs w:val="30"/>
          <w:rtl/>
          <w:lang w:eastAsia="zh-TW"/>
        </w:rPr>
        <w:t>ً</w:t>
      </w:r>
      <w:r w:rsidRPr="005D1C9A">
        <w:rPr>
          <w:rFonts w:ascii="Traditional Arabic" w:hAnsi="Traditional Arabic" w:cs="Traditional Arabic"/>
          <w:sz w:val="30"/>
          <w:szCs w:val="30"/>
          <w:rtl/>
          <w:lang w:eastAsia="zh-TW"/>
        </w:rPr>
        <w:t xml:space="preserve"> لمصطلح ”المؤقت“. وتُفهم كلمة (</w:t>
      </w:r>
      <w:r w:rsidRPr="00387968">
        <w:rPr>
          <w:rFonts w:asciiTheme="majorBidi" w:hAnsiTheme="majorBidi" w:cstheme="majorBidi"/>
          <w:szCs w:val="20"/>
          <w:rtl/>
          <w:lang w:eastAsia="zh-TW"/>
        </w:rPr>
        <w:t>interim</w:t>
      </w:r>
      <w:r w:rsidRPr="005D1C9A">
        <w:rPr>
          <w:rFonts w:ascii="Traditional Arabic" w:hAnsi="Traditional Arabic" w:cs="Traditional Arabic"/>
          <w:sz w:val="30"/>
          <w:szCs w:val="30"/>
          <w:rtl/>
          <w:lang w:eastAsia="zh-TW"/>
        </w:rPr>
        <w:t>) المستخدمة في الأصل الإنكليزي على أنها تعني ”في الفترة الوسيطة أو الفاصلة؛ أو المرحلية أو المؤقتة“. ولذلك فهي قد تنطبق في حالة اتفاقية ميناماتا على الفترة التي تفصل بين إنتاج الزئبق أو الحصول عليه وبين استخدامه لأغراض الاستخدام المسموح بها بموجب الاتفاقية، وكذلك الفترة أثناء أي عملية نقل. وستختلف شروط الإدارة السليمة بيئياً للزئبق بين الزئبق الموجود في المرافق والزئبق قيد النقل وق</w:t>
      </w:r>
      <w:r w:rsidR="00DE03BE">
        <w:rPr>
          <w:rFonts w:ascii="Traditional Arabic" w:hAnsi="Traditional Arabic" w:cs="Traditional Arabic"/>
          <w:sz w:val="30"/>
          <w:szCs w:val="30"/>
          <w:rtl/>
          <w:lang w:eastAsia="zh-TW"/>
        </w:rPr>
        <w:t>د تطبق ضوابط معينة خاصة بالنقل.</w:t>
      </w:r>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13</w:t>
      </w:r>
      <w:r w:rsidR="00387968">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وتعر</w:t>
      </w:r>
      <w:r w:rsidR="00387968">
        <w:rPr>
          <w:rFonts w:ascii="Traditional Arabic" w:hAnsi="Traditional Arabic" w:cs="Traditional Arabic" w:hint="cs"/>
          <w:sz w:val="30"/>
          <w:szCs w:val="30"/>
          <w:rtl/>
          <w:lang w:eastAsia="zh-TW"/>
        </w:rPr>
        <w:t>ِّ</w:t>
      </w:r>
      <w:r w:rsidRPr="005D1C9A">
        <w:rPr>
          <w:rFonts w:ascii="Traditional Arabic" w:hAnsi="Traditional Arabic" w:cs="Traditional Arabic"/>
          <w:sz w:val="30"/>
          <w:szCs w:val="30"/>
          <w:rtl/>
          <w:lang w:eastAsia="zh-TW"/>
        </w:rPr>
        <w:t>ف اتفاقية بازل الإدارة السليمة بيئياً للنفايات الخطرة أو النفايات الأخرى بأنها ’’اتخاذ جميع الخطوات العملية لضمان إدارة النفايات الخطرة والنفايات الأخرى بطريقة تحمي الصحة البشرية والبيئة من الآثار المعاكسة (الضارة) التي قد تنتج عن هذه النفايات‘‘.</w:t>
      </w:r>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14</w:t>
      </w:r>
      <w:r w:rsidR="00387968">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وبالاستنباط من هذا التعريف، يمكن اعتبار أن التخزين السليم بيئيا</w:t>
      </w:r>
      <w:r w:rsidR="0006317A">
        <w:rPr>
          <w:rFonts w:ascii="Traditional Arabic" w:hAnsi="Traditional Arabic" w:cs="Traditional Arabic" w:hint="cs"/>
          <w:sz w:val="30"/>
          <w:szCs w:val="30"/>
          <w:rtl/>
          <w:lang w:eastAsia="zh-TW"/>
        </w:rPr>
        <w:t>ً</w:t>
      </w:r>
      <w:r w:rsidRPr="005D1C9A">
        <w:rPr>
          <w:rFonts w:ascii="Traditional Arabic" w:hAnsi="Traditional Arabic" w:cs="Traditional Arabic"/>
          <w:sz w:val="30"/>
          <w:szCs w:val="30"/>
          <w:rtl/>
          <w:lang w:eastAsia="zh-TW"/>
        </w:rPr>
        <w:t xml:space="preserve"> للزئبق ومركبات الزئبق، بخلاف نفايات الزئبق، هو تخزين يدار الزئبق فيه بطريقة تحمي الصحة البشرية والبيئة من الآثار الضارة التي قد تنتج عن الزئبق ومركبات الزئبق. وتقدم المعلومات الواردة في المبادئ التوجيهية المتعلقة بالتخزين المؤقت أمثلة ونصاً توجيهياً بشأ</w:t>
      </w:r>
      <w:r w:rsidR="00DE03BE">
        <w:rPr>
          <w:rFonts w:ascii="Traditional Arabic" w:hAnsi="Traditional Arabic" w:cs="Traditional Arabic"/>
          <w:sz w:val="30"/>
          <w:szCs w:val="30"/>
          <w:rtl/>
          <w:lang w:eastAsia="zh-TW"/>
        </w:rPr>
        <w:t>ن ما قد تعتبره الأطراف مناسباً.</w:t>
      </w:r>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15</w:t>
      </w:r>
      <w:r w:rsidR="00387968">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وعلى الرغم من عدم وجود تعريف صارم لفترة التخزين القصوى بالنسبة للـ</w:t>
      </w:r>
      <w:r w:rsidR="0006317A">
        <w:rPr>
          <w:rFonts w:ascii="Traditional Arabic" w:hAnsi="Traditional Arabic" w:cs="Traditional Arabic" w:hint="cs"/>
          <w:sz w:val="30"/>
          <w:szCs w:val="30"/>
          <w:rtl/>
          <w:lang w:eastAsia="zh-TW"/>
        </w:rPr>
        <w:t xml:space="preserve">ـــ </w:t>
      </w:r>
      <w:r w:rsidRPr="005D1C9A">
        <w:rPr>
          <w:rFonts w:ascii="Traditional Arabic" w:hAnsi="Traditional Arabic" w:cs="Traditional Arabic"/>
          <w:sz w:val="30"/>
          <w:szCs w:val="30"/>
          <w:rtl/>
          <w:lang w:eastAsia="zh-TW"/>
        </w:rPr>
        <w:t>”التخزين المؤقت“، فوفقاً للاستخدام الشائع للكلمة الإنكليزية (</w:t>
      </w:r>
      <w:r w:rsidRPr="00387968">
        <w:rPr>
          <w:rFonts w:asciiTheme="majorBidi" w:hAnsiTheme="majorBidi" w:cstheme="majorBidi"/>
          <w:szCs w:val="20"/>
          <w:lang w:eastAsia="zh-TW"/>
        </w:rPr>
        <w:t>interim</w:t>
      </w:r>
      <w:r w:rsidRPr="005D1C9A">
        <w:rPr>
          <w:rFonts w:ascii="Traditional Arabic" w:hAnsi="Traditional Arabic" w:cs="Traditional Arabic"/>
          <w:sz w:val="30"/>
          <w:szCs w:val="30"/>
          <w:rtl/>
          <w:lang w:eastAsia="zh-TW"/>
        </w:rPr>
        <w:t>) التي تعني ”الانتقالي“ أو ”المؤقت“ يجوز لأحد الأطراف أن يحدد على الصعيد الوطني أقصى مدة تخزين يمكن اعتبارها ”مؤقتة“ ولا</w:t>
      </w:r>
      <w:r w:rsidR="00EC3A88">
        <w:rPr>
          <w:rFonts w:ascii="Traditional Arabic" w:hAnsi="Traditional Arabic" w:cs="Traditional Arabic" w:hint="cs"/>
          <w:sz w:val="30"/>
          <w:szCs w:val="30"/>
          <w:rtl/>
          <w:lang w:eastAsia="zh-TW"/>
        </w:rPr>
        <w:t> </w:t>
      </w:r>
      <w:r w:rsidRPr="005D1C9A">
        <w:rPr>
          <w:rFonts w:ascii="Traditional Arabic" w:hAnsi="Traditional Arabic" w:cs="Traditional Arabic"/>
          <w:sz w:val="30"/>
          <w:szCs w:val="30"/>
          <w:rtl/>
          <w:lang w:eastAsia="zh-TW"/>
        </w:rPr>
        <w:t>سيما من أجل التصدي لمخاوف أن يصبح التخزين المؤقت بحكم الأمر الواقع تخزيناً دائماً أو نهائياً. ويجوز لأحد الأطراف أن ينظر في تطبيق ضوابط أكثر صرامة على الزئبق المخزن بع</w:t>
      </w:r>
      <w:r w:rsidR="00DE03BE">
        <w:rPr>
          <w:rFonts w:ascii="Traditional Arabic" w:hAnsi="Traditional Arabic" w:cs="Traditional Arabic"/>
          <w:sz w:val="30"/>
          <w:szCs w:val="30"/>
          <w:rtl/>
          <w:lang w:eastAsia="zh-TW"/>
        </w:rPr>
        <w:t>د فترة أولية (خمس سنوات مثلاً).</w:t>
      </w:r>
    </w:p>
    <w:p w:rsidR="005D1C9A" w:rsidRPr="005D1C9A" w:rsidRDefault="005D1C9A" w:rsidP="009404B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lastRenderedPageBreak/>
        <w:t>16</w:t>
      </w:r>
      <w:r w:rsidR="00387968">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ولأن الزئبق ومركبات الزئبق المشمولة تعتبر ”زئبقاً متداولاً كسلعة“ فهي تعتبر مناسبة لكي يتولى مالكها أو من يتعهدها أو الجهة التي ستحقق ربحاً تجارياً من استخدامها مسؤولية التخزين المؤقت السليم بيئياً للزئبق. وقد يلزم إبرام اتفاق رسمي بين مالك الزئبق وإدارة مرفق التخزين من أجل التفويض الرسمي للمسؤولية عن التخزين السليم بيئياً للزئبق. وتجدر الإشارة إلى أن مرافق التخزين قد تكون خاضعة لملكية خاصة أو عامة، سواء على الصعيد الوطني أو على الصعيد الإقليمي. ويمكن أن تمنح السلطة الوطنية المعنية صلاحية تشغيل مرفق تخزين مؤقت، ويمكنها أن تضع الحدود الكمّية لمقدار الزئبق الذي سيتم تخزينه إلى جانب الشروط ذات الصلة لمرفق التخزين. ولا</w:t>
      </w:r>
      <w:r w:rsidR="009404B2">
        <w:rPr>
          <w:rFonts w:ascii="Traditional Arabic" w:hAnsi="Traditional Arabic" w:cs="Traditional Arabic" w:hint="cs"/>
          <w:sz w:val="30"/>
          <w:szCs w:val="30"/>
          <w:rtl/>
          <w:lang w:eastAsia="zh-TW"/>
        </w:rPr>
        <w:t> </w:t>
      </w:r>
      <w:r w:rsidRPr="005D1C9A">
        <w:rPr>
          <w:rFonts w:ascii="Traditional Arabic" w:hAnsi="Traditional Arabic" w:cs="Traditional Arabic"/>
          <w:sz w:val="30"/>
          <w:szCs w:val="30"/>
          <w:rtl/>
          <w:lang w:eastAsia="zh-TW"/>
        </w:rPr>
        <w:t>تزال المسؤولية عن الزئبق ومركبات الزئبق قيد النقل تقع على عاتق الجهات المحددة في القواعد التنظيمية والمعايير الوطنية والدولية أو في التوجيهات المتعلقة بنقل البضائع الخطرة (أي المستورد والجها</w:t>
      </w:r>
      <w:r w:rsidR="00DE03BE">
        <w:rPr>
          <w:rFonts w:ascii="Traditional Arabic" w:hAnsi="Traditional Arabic" w:cs="Traditional Arabic"/>
          <w:sz w:val="30"/>
          <w:szCs w:val="30"/>
          <w:rtl/>
          <w:lang w:eastAsia="zh-TW"/>
        </w:rPr>
        <w:t>ت المسؤولة عن النقل والمناولة).</w:t>
      </w:r>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17</w:t>
      </w:r>
      <w:r w:rsidR="00387968">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ولا تحدد الاتفاقية مقدار الزئبق أو مركبات الزئبق التي يمكن تخزينها. ولذلك تغطي المبادئ التوجيهية للتخزين المؤقت جميع كميات الزئبق التي يمكن تخزينها قبل الاستخدام. ومع ذلك، ي</w:t>
      </w:r>
      <w:r w:rsidR="00387968">
        <w:rPr>
          <w:rFonts w:ascii="Traditional Arabic" w:hAnsi="Traditional Arabic" w:cs="Traditional Arabic" w:hint="cs"/>
          <w:sz w:val="30"/>
          <w:szCs w:val="30"/>
          <w:rtl/>
          <w:lang w:eastAsia="zh-TW"/>
        </w:rPr>
        <w:t>ُ</w:t>
      </w:r>
      <w:r w:rsidRPr="005D1C9A">
        <w:rPr>
          <w:rFonts w:ascii="Traditional Arabic" w:hAnsi="Traditional Arabic" w:cs="Traditional Arabic"/>
          <w:sz w:val="30"/>
          <w:szCs w:val="30"/>
          <w:rtl/>
          <w:lang w:eastAsia="zh-TW"/>
        </w:rPr>
        <w:t xml:space="preserve">عترف بأنه قد يلزم تطبيق المبادئ التوجيهية بمرونة وفقاً للشروط المطلوبة لمواقع معينة. وعلى النحو المشار إليه أعلاه، تحدد المادة 3 من اتفاقية ميناماتا، والمتعلقة بمصادر الإمداد بالزئبق والتجارة فيه، أن على كل طرف أن يسعى إلى تحديد كل كمية على حِدة من مخزونات الزئبق أو مركّبات الزئبق التي تزيد على 50 طناً مترياً بالإضافة إلى مصادر الإمداد بالزئبق التي تتولّد عنها مخزونات تزيد عن 10 أطنان مترية سنوياً والموجودة على أراضيه. وتتاح التوجيهات بشأن تحديد هذه المخزونات ومصادر الإمداد في وثيقة توجيهية منفصلة اعتمدتها بصفة مؤقتة لجنة التفاوض الحكومية الدولية في دورتها السابعة وسيُنظر فيها مؤتمر الأطراف في اجتماعه الأول. (سيشار إلى الصيغة النهائية للوثيقة </w:t>
      </w:r>
      <w:r w:rsidR="00DE03BE">
        <w:rPr>
          <w:rFonts w:ascii="Traditional Arabic" w:hAnsi="Traditional Arabic" w:cs="Traditional Arabic"/>
          <w:sz w:val="30"/>
          <w:szCs w:val="30"/>
          <w:rtl/>
          <w:lang w:eastAsia="zh-TW"/>
        </w:rPr>
        <w:t>التوجيهية بعد اعتمادها رسمياً).</w:t>
      </w:r>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18</w:t>
      </w:r>
      <w:r w:rsidR="00387968">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ومن المتوقع أن تتناسب الكمية المحتفظ بها في التخزين مع الاستخدام المقرر، وستكون هي كمية الزئبق التي يعتبرها الطرف ضرورية لتلبية الاحتياجات للأنشطة المحلية الجارية وفقاً للاتفاقية، سواء كانت هذه الأنشطة تشمل إنتاج المنتجات المضاف إليها الزئبق، أو القيام بعملية تستخدم الزئبق، أو استخدام الزئبق في تعدين الذهب الحرفي والضيق النطاق. وفي حالة تعدين الذهب الحرفي والضيق النطاق، ينبغي أن تتناسب كميات الزئبق المخزونة مع قوائم الجرد لخطوط الأساس ومع أنشطة التخفيض والقيم المستهدفة المحددة في خطة العمل الوطنية المذكورة في المادة 7، عند اللزوم. وقد تتناول خطة العمل الوطنية أيضاً كيفية تطبيق التزامات التخزين الواردة في المادة ١٠ (مع مراعاة هذه المبادئ التوجيهية) للأنشطة والمواقع المرتبطة بتعدين الذهب الحرفي والضيق النطاق.</w:t>
      </w:r>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19</w:t>
      </w:r>
      <w:r w:rsidR="00387968">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r>
      <w:r w:rsidRPr="00387968">
        <w:rPr>
          <w:rFonts w:ascii="Traditional Arabic" w:hAnsi="Traditional Arabic" w:cs="Traditional Arabic"/>
          <w:i/>
          <w:iCs/>
          <w:sz w:val="30"/>
          <w:szCs w:val="30"/>
          <w:rtl/>
          <w:lang w:eastAsia="zh-TW"/>
        </w:rPr>
        <w:t>ملاحظة</w:t>
      </w:r>
      <w:r w:rsidRPr="005D1C9A">
        <w:rPr>
          <w:rFonts w:ascii="Traditional Arabic" w:hAnsi="Traditional Arabic" w:cs="Traditional Arabic"/>
          <w:sz w:val="30"/>
          <w:szCs w:val="30"/>
          <w:rtl/>
          <w:lang w:eastAsia="zh-TW"/>
        </w:rPr>
        <w:t xml:space="preserve">: يشير النص حالياً إلى الكمية التي يعتبرها الطرف ضرورية. وقد نحتاج إلى النظر فيما إذا كان ينبغي توسيع نطاق هذه المبادئ التوجيهية وربطها بكميات الزئبق المتوقع استخدامها في فترة معينة. وستكون المعلومات التي تقدمها قطاعات الصناعة وغيرها مفيدة لتوضيح ما يمكن اعتباره كمية ”معقولة“ للتخزين في الموقع. غير أن ربط ذلك بالقرار الذي </w:t>
      </w:r>
      <w:r w:rsidR="00DE03BE">
        <w:rPr>
          <w:rFonts w:ascii="Traditional Arabic" w:hAnsi="Traditional Arabic" w:cs="Traditional Arabic"/>
          <w:sz w:val="30"/>
          <w:szCs w:val="30"/>
          <w:rtl/>
          <w:lang w:eastAsia="zh-TW"/>
        </w:rPr>
        <w:t>يتخذه الطرف قد لا يعتبر كافياً.</w:t>
      </w:r>
    </w:p>
    <w:p w:rsidR="005D1C9A" w:rsidRPr="00426042" w:rsidRDefault="005D1C9A" w:rsidP="00DE03BE">
      <w:pPr>
        <w:pStyle w:val="Heading1"/>
        <w:bidi/>
        <w:spacing w:before="0" w:line="400" w:lineRule="exact"/>
        <w:ind w:left="1134" w:hanging="852"/>
        <w:jc w:val="both"/>
        <w:textDirection w:val="tbRlV"/>
        <w:rPr>
          <w:b/>
          <w:bCs/>
          <w:sz w:val="32"/>
          <w:szCs w:val="32"/>
          <w:u w:val="none"/>
          <w:rtl/>
          <w:lang w:eastAsia="zh-TW"/>
        </w:rPr>
      </w:pPr>
      <w:bookmarkStart w:id="3" w:name="_Toc485639162"/>
      <w:r w:rsidRPr="00426042">
        <w:rPr>
          <w:b/>
          <w:bCs/>
          <w:sz w:val="32"/>
          <w:szCs w:val="32"/>
          <w:u w:val="none"/>
          <w:rtl/>
          <w:lang w:eastAsia="zh-TW"/>
        </w:rPr>
        <w:t>رابعا</w:t>
      </w:r>
      <w:r w:rsidR="00387968" w:rsidRPr="00426042">
        <w:rPr>
          <w:rFonts w:hint="cs"/>
          <w:b/>
          <w:bCs/>
          <w:sz w:val="32"/>
          <w:szCs w:val="32"/>
          <w:u w:val="none"/>
          <w:rtl/>
          <w:lang w:eastAsia="zh-TW"/>
        </w:rPr>
        <w:t xml:space="preserve">ً </w:t>
      </w:r>
      <w:r w:rsidRPr="00426042">
        <w:rPr>
          <w:b/>
          <w:bCs/>
          <w:sz w:val="32"/>
          <w:szCs w:val="32"/>
          <w:u w:val="none"/>
          <w:rtl/>
          <w:lang w:eastAsia="zh-TW"/>
        </w:rPr>
        <w:t>-</w:t>
      </w:r>
      <w:r w:rsidR="00426042">
        <w:rPr>
          <w:rFonts w:hint="cs"/>
          <w:b/>
          <w:bCs/>
          <w:sz w:val="32"/>
          <w:szCs w:val="32"/>
          <w:u w:val="none"/>
          <w:rtl/>
          <w:lang w:eastAsia="zh-TW"/>
        </w:rPr>
        <w:tab/>
      </w:r>
      <w:r w:rsidRPr="00426042">
        <w:rPr>
          <w:b/>
          <w:bCs/>
          <w:sz w:val="32"/>
          <w:szCs w:val="32"/>
          <w:u w:val="none"/>
          <w:rtl/>
          <w:lang w:eastAsia="zh-TW"/>
        </w:rPr>
        <w:t>الممارسات السليمة للتخزين</w:t>
      </w:r>
      <w:bookmarkEnd w:id="3"/>
    </w:p>
    <w:p w:rsidR="005D1C9A" w:rsidRPr="00426042" w:rsidRDefault="005D1C9A" w:rsidP="00DE03BE">
      <w:pPr>
        <w:pStyle w:val="Heading1"/>
        <w:bidi/>
        <w:spacing w:before="0" w:line="400" w:lineRule="exact"/>
        <w:ind w:left="1134" w:hanging="852"/>
        <w:jc w:val="both"/>
        <w:rPr>
          <w:b/>
          <w:bCs/>
          <w:sz w:val="30"/>
          <w:u w:val="none"/>
          <w:rtl/>
          <w:lang w:eastAsia="zh-TW"/>
        </w:rPr>
      </w:pPr>
      <w:bookmarkStart w:id="4" w:name="_Toc485639163"/>
      <w:r w:rsidRPr="00426042">
        <w:rPr>
          <w:b/>
          <w:bCs/>
          <w:sz w:val="30"/>
          <w:u w:val="none"/>
          <w:rtl/>
          <w:lang w:eastAsia="zh-TW"/>
        </w:rPr>
        <w:t>ألف</w:t>
      </w:r>
      <w:r w:rsidR="00426042">
        <w:rPr>
          <w:rFonts w:hint="cs"/>
          <w:b/>
          <w:bCs/>
          <w:sz w:val="30"/>
          <w:u w:val="none"/>
          <w:rtl/>
          <w:lang w:eastAsia="zh-TW"/>
        </w:rPr>
        <w:t xml:space="preserve"> </w:t>
      </w:r>
      <w:r w:rsidRPr="00426042">
        <w:rPr>
          <w:b/>
          <w:bCs/>
          <w:sz w:val="30"/>
          <w:u w:val="none"/>
          <w:rtl/>
          <w:lang w:eastAsia="zh-TW"/>
        </w:rPr>
        <w:t>-</w:t>
      </w:r>
      <w:r w:rsidR="00426042">
        <w:rPr>
          <w:rFonts w:hint="cs"/>
          <w:b/>
          <w:bCs/>
          <w:sz w:val="30"/>
          <w:u w:val="none"/>
          <w:rtl/>
          <w:lang w:eastAsia="zh-TW"/>
        </w:rPr>
        <w:tab/>
      </w:r>
      <w:r w:rsidRPr="00426042">
        <w:rPr>
          <w:b/>
          <w:bCs/>
          <w:sz w:val="30"/>
          <w:u w:val="none"/>
          <w:rtl/>
          <w:lang w:eastAsia="zh-TW"/>
        </w:rPr>
        <w:t>مكان مواقع تخزين الزئبق ومعايير اختيار المواقع</w:t>
      </w:r>
      <w:bookmarkEnd w:id="4"/>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20</w:t>
      </w:r>
      <w:r w:rsidR="00387968">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ينبغي النظر في عدد من العوامل عند اتخاذ قرار بشأن مواقع مرافق التخزين. وينبغي أن يكون لدى المرفق نظام قائم للإدارة البيئية. وبالنسبة لتحديد الموقع وتصميمه من أجل تفادي أي مخاطر كبيرة لإطلاقات الزئبق التي تنتج عن عوامل من قبيل الموقع الجغرافي، لا</w:t>
      </w:r>
      <w:r w:rsidR="00EC3A88">
        <w:rPr>
          <w:rFonts w:ascii="Traditional Arabic" w:hAnsi="Traditional Arabic" w:cs="Traditional Arabic" w:hint="cs"/>
          <w:sz w:val="30"/>
          <w:szCs w:val="30"/>
          <w:rtl/>
          <w:lang w:eastAsia="zh-TW"/>
        </w:rPr>
        <w:t> </w:t>
      </w:r>
      <w:r w:rsidRPr="005D1C9A">
        <w:rPr>
          <w:rFonts w:ascii="Traditional Arabic" w:hAnsi="Traditional Arabic" w:cs="Traditional Arabic"/>
          <w:sz w:val="30"/>
          <w:szCs w:val="30"/>
          <w:rtl/>
          <w:lang w:eastAsia="zh-TW"/>
        </w:rPr>
        <w:t xml:space="preserve">ينبغي أن تشيد مرافق التخزين، إن أمكن ذلك، في أماكن حساسة </w:t>
      </w:r>
      <w:r w:rsidRPr="005D1C9A">
        <w:rPr>
          <w:rFonts w:ascii="Traditional Arabic" w:hAnsi="Traditional Arabic" w:cs="Traditional Arabic"/>
          <w:sz w:val="30"/>
          <w:szCs w:val="30"/>
          <w:rtl/>
          <w:lang w:eastAsia="zh-TW"/>
        </w:rPr>
        <w:lastRenderedPageBreak/>
        <w:t>مثل السهول الفيضانية، والأراضي الرطبة، والمناطق التي يمكن أن ترشح منها إلى المياه الجوفية، ومناطق الزلازل، والمناطق المتشكلة بانحلال الصخور القابلة للذوبان، ومواقع التضاريس غير الثابتة، أو المواقع ذات الأحوال المناخية غير الملائمة، أو الأر</w:t>
      </w:r>
      <w:r w:rsidR="00DE03BE">
        <w:rPr>
          <w:rFonts w:ascii="Traditional Arabic" w:hAnsi="Traditional Arabic" w:cs="Traditional Arabic"/>
          <w:sz w:val="30"/>
          <w:szCs w:val="30"/>
          <w:rtl/>
          <w:lang w:eastAsia="zh-TW"/>
        </w:rPr>
        <w:t>اضي ذات الاستخدام غير الملائم.</w:t>
      </w:r>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21</w:t>
      </w:r>
      <w:r w:rsidR="00387968">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وعند اختيار مكان للمواقع الجديدة لتخزين الزئبق أو مركبات الزئبق، ينبغي مراعاة الشروط المتعلقة بذلك في القانون الوطني، بما في ذلك ما يتعلق بمسائل من قبيل تقسيم المناطق أو القيود المفروضة على استخدامها. ويقترح أن تعقد مشاورات عامة لإعلام المجتمع المحلي بشأن معايير تحديد المواقع والإجراءات المتبعة لتخفيف المخاطر المرتبطة بتخزين الزئبق. وينبغي أن تكون المواقع مجهزة بشكل كاف لتيسير تلقي الزئبق وصرفه من أجل الاستخدام. وينبغي النظر إلى العوامل التي قد تؤثر على أمن الموقع أو المرفق المعني. وفي المرافق الخاصة التي تستخدم الزئبق أو مركبات الزئبق، ينبغي النظر في الموقع الذي يخزن فيه الزئبق داخل المرفق، بما في ذلك سهولة الوصول إلى الزئبق أو مركبات الزئبق. وينبغي أيضاً مراعاة أمن الموقع.</w:t>
      </w:r>
    </w:p>
    <w:p w:rsidR="005D1C9A" w:rsidRPr="005D1C9A" w:rsidRDefault="005D1C9A" w:rsidP="0006317A">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22</w:t>
      </w:r>
      <w:r w:rsidR="00387968">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وعند تقييم مواقع تخزين الزئبق، يمكن أن تستخدم بعض المعايير كـ</w:t>
      </w:r>
      <w:r w:rsidR="00EC3A88">
        <w:rPr>
          <w:rFonts w:ascii="Traditional Arabic" w:hAnsi="Traditional Arabic" w:cs="Traditional Arabic" w:hint="cs"/>
          <w:sz w:val="30"/>
          <w:szCs w:val="30"/>
          <w:rtl/>
          <w:lang w:eastAsia="zh-TW"/>
        </w:rPr>
        <w:t>ـــ</w:t>
      </w:r>
      <w:r w:rsidR="00EC3A88">
        <w:rPr>
          <w:rFonts w:ascii="Traditional Arabic" w:hAnsi="Traditional Arabic" w:cs="Traditional Arabic" w:hint="eastAsia"/>
          <w:sz w:val="30"/>
          <w:szCs w:val="30"/>
          <w:rtl/>
          <w:lang w:eastAsia="zh-TW"/>
        </w:rPr>
        <w:t> </w:t>
      </w:r>
      <w:r w:rsidRPr="005D1C9A">
        <w:rPr>
          <w:rFonts w:ascii="Traditional Arabic" w:hAnsi="Traditional Arabic" w:cs="Traditional Arabic"/>
          <w:sz w:val="30"/>
          <w:szCs w:val="30"/>
          <w:rtl/>
          <w:lang w:eastAsia="zh-TW"/>
        </w:rPr>
        <w:t>”معايير للاستبعاد“. ويلغي وجود هذه العناصر احتمال استخدام موقع معين. وقد تعتبر معايير أخرى عوامل إيجابية أو سلبية ولكنها لا تستبعد الموقع بالكامل من الخيارات. ويستند تقييم أهمية المعاير المختلفة إلى الاعتبارات الوطنية، بما في ذلك تحديد المخاطرة المقبولة. وقد تتعلق أهمية معايير اختيار الموقع المناسب بتأثير الموقع على استقرار التخزين. ويلزم لذلك إجراء تقييم لمخاطر كل موقع من المواقع المحتملة. ولدى إجراء هذا التقييم، ينبغي مراعاة جملة أمور منها كميات الزئبق أو مركبات الزئبق التي ستخزن في المرفق، لأن الكميات قد تؤثر على متطلبات التخزين. وقد يختلف مستوى الرقابة اللازمة لإدارة الزئبق بشك</w:t>
      </w:r>
      <w:r w:rsidR="00DE03BE">
        <w:rPr>
          <w:rFonts w:ascii="Traditional Arabic" w:hAnsi="Traditional Arabic" w:cs="Traditional Arabic"/>
          <w:sz w:val="30"/>
          <w:szCs w:val="30"/>
          <w:rtl/>
          <w:lang w:eastAsia="zh-TW"/>
        </w:rPr>
        <w:t>ل آمن حسب كمية الزئبق المخزونة.</w:t>
      </w:r>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23</w:t>
      </w:r>
      <w:r w:rsidR="00387968">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 xml:space="preserve">وعند بحث مواقع تخزين الزئبق، يمكن النظر فيما إذا كانت مواقع التخزين الوطنية ضرورية أو إذا كان من الممكن تخزين الزئبق المتداول كسلعة أو مركبات الزئبق في مرافق التخزين الإقليمية قبل الاستخدام. </w:t>
      </w:r>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24</w:t>
      </w:r>
      <w:r w:rsidR="00387968">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ويمكن أن تقع مثل هذه المرافق بالقرب من نقطة استيراد مما يقلل إلى أد</w:t>
      </w:r>
      <w:r w:rsidR="00DE03BE">
        <w:rPr>
          <w:rFonts w:ascii="Traditional Arabic" w:hAnsi="Traditional Arabic" w:cs="Traditional Arabic"/>
          <w:sz w:val="30"/>
          <w:szCs w:val="30"/>
          <w:rtl/>
          <w:lang w:eastAsia="zh-TW"/>
        </w:rPr>
        <w:t>نى حد ممكن من الحاجة إلى النقل.</w:t>
      </w:r>
    </w:p>
    <w:p w:rsidR="005D1C9A" w:rsidRPr="00426042" w:rsidRDefault="005D1C9A" w:rsidP="00DE03BE">
      <w:pPr>
        <w:pStyle w:val="Heading1"/>
        <w:bidi/>
        <w:spacing w:before="0" w:line="400" w:lineRule="exact"/>
        <w:ind w:left="1134" w:hanging="852"/>
        <w:jc w:val="both"/>
        <w:textDirection w:val="tbRlV"/>
        <w:rPr>
          <w:b/>
          <w:bCs/>
          <w:sz w:val="30"/>
          <w:u w:val="none"/>
          <w:rtl/>
          <w:lang w:eastAsia="zh-TW"/>
        </w:rPr>
      </w:pPr>
      <w:bookmarkStart w:id="5" w:name="_Toc485639164"/>
      <w:r w:rsidRPr="00426042">
        <w:rPr>
          <w:b/>
          <w:bCs/>
          <w:sz w:val="30"/>
          <w:u w:val="none"/>
          <w:rtl/>
          <w:lang w:eastAsia="zh-TW"/>
        </w:rPr>
        <w:t>باء</w:t>
      </w:r>
      <w:r w:rsidR="00387968" w:rsidRPr="00426042">
        <w:rPr>
          <w:rFonts w:hint="cs"/>
          <w:b/>
          <w:bCs/>
          <w:sz w:val="30"/>
          <w:u w:val="none"/>
          <w:rtl/>
          <w:lang w:eastAsia="zh-TW"/>
        </w:rPr>
        <w:t xml:space="preserve"> </w:t>
      </w:r>
      <w:r w:rsidRPr="00426042">
        <w:rPr>
          <w:b/>
          <w:bCs/>
          <w:sz w:val="30"/>
          <w:u w:val="none"/>
          <w:rtl/>
          <w:lang w:eastAsia="zh-TW"/>
        </w:rPr>
        <w:t>-</w:t>
      </w:r>
      <w:r w:rsidR="00DE03BE">
        <w:rPr>
          <w:rFonts w:hint="cs"/>
          <w:b/>
          <w:bCs/>
          <w:sz w:val="30"/>
          <w:u w:val="none"/>
          <w:rtl/>
          <w:lang w:eastAsia="zh-TW"/>
        </w:rPr>
        <w:tab/>
      </w:r>
      <w:r w:rsidRPr="00426042">
        <w:rPr>
          <w:b/>
          <w:bCs/>
          <w:sz w:val="30"/>
          <w:u w:val="none"/>
          <w:rtl/>
          <w:lang w:eastAsia="zh-TW"/>
        </w:rPr>
        <w:t>تشييد مواقع التخزين، بما في ذلك توفير الحواجز</w:t>
      </w:r>
      <w:bookmarkEnd w:id="5"/>
    </w:p>
    <w:p w:rsidR="005D1C9A" w:rsidRPr="005D1C9A" w:rsidRDefault="005D1C9A" w:rsidP="006D24F7">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25</w:t>
      </w:r>
      <w:r w:rsidR="0079317D">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عند بناء مرفق جديد أو تحديث مرفق قائم، ينبغي مراعاة الشروط المتعلقة بالحجم والمخطط الداخلي والتصميم ومتانة الأرضية، وكذلك طلاء السطوح والسباكة والمجاري وتدفق الهواء والتهوية، والنطاق المقبول لدرجات الحرارة عند تخزين الزئبق الأولي. وسيعتمد حجم مرفق التخزين على المساحة اللازمة للتخزين الحالي والمستقبلي وعلى أسلوب التخزين. ولكن بغض النظر عن الحجم، يجب أن تستوفي مرافق التخزين خصائص محددة للاحتواء من أجل كفالة التخزين المؤقت الآمن والسليم بيئياً للزئبق (</w:t>
      </w:r>
      <w:r w:rsidRPr="00387968">
        <w:rPr>
          <w:rFonts w:asciiTheme="majorBidi" w:hAnsiTheme="majorBidi" w:cstheme="majorBidi"/>
          <w:szCs w:val="20"/>
          <w:lang w:eastAsia="zh-TW"/>
        </w:rPr>
        <w:t>QSC, 2003</w:t>
      </w:r>
      <w:r w:rsidR="00DE03BE">
        <w:rPr>
          <w:rFonts w:ascii="Traditional Arabic" w:hAnsi="Traditional Arabic" w:cs="Traditional Arabic"/>
          <w:sz w:val="30"/>
          <w:szCs w:val="30"/>
          <w:rtl/>
          <w:lang w:eastAsia="zh-TW"/>
        </w:rPr>
        <w:t>).</w:t>
      </w:r>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26</w:t>
      </w:r>
      <w:r w:rsidR="0079317D">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وينبغي أن تكون هذه المواقع مزودة بحواجز هندسية أو طبيعية كافية لحماية البيئة من تسربات الزئبق، وبحيز احتواء كافٍ لتخزين الكمية الكلية للزئبق (</w:t>
      </w:r>
      <w:r w:rsidRPr="00387968">
        <w:rPr>
          <w:rFonts w:asciiTheme="majorBidi" w:hAnsiTheme="majorBidi" w:cstheme="majorBidi"/>
          <w:szCs w:val="20"/>
          <w:lang w:eastAsia="zh-TW"/>
        </w:rPr>
        <w:t>EU, 2011</w:t>
      </w:r>
      <w:r w:rsidRPr="005D1C9A">
        <w:rPr>
          <w:rFonts w:ascii="Traditional Arabic" w:hAnsi="Traditional Arabic" w:cs="Traditional Arabic"/>
          <w:sz w:val="30"/>
          <w:szCs w:val="30"/>
          <w:rtl/>
          <w:lang w:eastAsia="zh-TW"/>
        </w:rPr>
        <w:t>). وينبغي أن تصمم المرافق على نحو ييسر المناولة الآمنة للحاويات ويمكن أن تشمل مناطق منفصلة قائمة بذاتها لعمليات التحميل المرتبطة بشحن الحاويات أو استقبالها وكذلك لعمليات إعادة التغليف وهي أكثر العمليات عرضة للحوادث ولخطر انسكاب الزئبق.</w:t>
      </w:r>
    </w:p>
    <w:p w:rsidR="005D1C9A" w:rsidRPr="005D1C9A" w:rsidRDefault="005D1C9A" w:rsidP="009404B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27</w:t>
      </w:r>
      <w:r w:rsidR="0079317D">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وبقدر الإمكان، ينبغي تخصيص المرافق لتخزين الزئبق حصراً، والإبقاء عليها منفصلة تماماً، ولا</w:t>
      </w:r>
      <w:r w:rsidR="009404B2">
        <w:rPr>
          <w:rFonts w:ascii="Traditional Arabic" w:hAnsi="Traditional Arabic" w:cs="Traditional Arabic" w:hint="cs"/>
          <w:sz w:val="30"/>
          <w:szCs w:val="30"/>
          <w:rtl/>
          <w:lang w:eastAsia="zh-TW"/>
        </w:rPr>
        <w:t> </w:t>
      </w:r>
      <w:r w:rsidRPr="005D1C9A">
        <w:rPr>
          <w:rFonts w:ascii="Traditional Arabic" w:hAnsi="Traditional Arabic" w:cs="Traditional Arabic"/>
          <w:sz w:val="30"/>
          <w:szCs w:val="30"/>
          <w:rtl/>
          <w:lang w:eastAsia="zh-TW"/>
        </w:rPr>
        <w:t xml:space="preserve">سيما عن المواد التي لا تتوافق مع الزئبق، لضمان عدم حدوث ردود فعل كيميائية أو فيزيائية تجاه الزئبق. وللتقليل من خطر </w:t>
      </w:r>
      <w:r w:rsidRPr="005D1C9A">
        <w:rPr>
          <w:rFonts w:ascii="Traditional Arabic" w:hAnsi="Traditional Arabic" w:cs="Traditional Arabic"/>
          <w:sz w:val="30"/>
          <w:szCs w:val="30"/>
          <w:rtl/>
          <w:lang w:eastAsia="zh-TW"/>
        </w:rPr>
        <w:lastRenderedPageBreak/>
        <w:t>الحرائق، يجب تشييد المرافق من مواد غير قابلة للاشتعال وينبغي أن تستخدم المواد غير القابلة للاشتعال في منصات النقل ورفوف التخزين وغيرها من التجهيزات الداخلية (</w:t>
      </w:r>
      <w:r w:rsidRPr="00387968">
        <w:rPr>
          <w:rFonts w:asciiTheme="majorBidi" w:hAnsiTheme="majorBidi" w:cstheme="majorBidi"/>
          <w:szCs w:val="20"/>
          <w:lang w:eastAsia="zh-TW"/>
        </w:rPr>
        <w:t>QSC 2003</w:t>
      </w:r>
      <w:r w:rsidR="00DE03BE">
        <w:rPr>
          <w:rFonts w:ascii="Traditional Arabic" w:hAnsi="Traditional Arabic" w:cs="Traditional Arabic"/>
          <w:sz w:val="30"/>
          <w:szCs w:val="30"/>
          <w:rtl/>
          <w:lang w:eastAsia="zh-TW"/>
        </w:rPr>
        <w:t>).</w:t>
      </w:r>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28</w:t>
      </w:r>
      <w:r w:rsidR="0079317D">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 xml:space="preserve">ويجب أن تكون الممرات في مرافق التخزين واسعة بالقدر الكافي للسماح بمرور أفرقة التفتيش، وآليات التحميل، ومعدات حالات الطوارئ. وينبغي بناء مرافق التخزين من مواد غير قابلة للاشتعال مثل الخرسانة المصبوبة، أو الكتل الخرسانية وينبغي أن تكون مجهزة  بنظم الإنذار من الحرائق ونظم إطفاء الحرائق. أما مناطق المناولة داخل المرفق التي قد يجري فيها نقل الزئبق أو مركبات الزئبق بين الحاويات، فينبغي أن تتسم ببيئة ضغط عكسي من أجل تفادي انبعاثات الزئبق إلى خارج المبنى. وفي الحالات التي يتم فيها دفع الهواء الداخلي إلى خارج المبنى، ولا سيما في مناطق المناولة، ينبغي أن يجري ذلك بواسطة الفحم المنشط أو غير ذلك من </w:t>
      </w:r>
      <w:r w:rsidR="00DE03BE">
        <w:rPr>
          <w:rFonts w:ascii="Traditional Arabic" w:hAnsi="Traditional Arabic" w:cs="Traditional Arabic"/>
          <w:sz w:val="30"/>
          <w:szCs w:val="30"/>
          <w:rtl/>
          <w:lang w:eastAsia="zh-TW"/>
        </w:rPr>
        <w:t>النظم التي تقوم باحتجاز الزئبق.</w:t>
      </w:r>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29</w:t>
      </w:r>
      <w:r w:rsidR="0079317D">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ويجهز موقع التخزين بنظام للحماية من الحرائق (</w:t>
      </w:r>
      <w:r w:rsidRPr="0079317D">
        <w:rPr>
          <w:rFonts w:asciiTheme="majorBidi" w:hAnsiTheme="majorBidi" w:cstheme="majorBidi"/>
          <w:szCs w:val="20"/>
          <w:lang w:eastAsia="zh-TW"/>
        </w:rPr>
        <w:t>EU, 2011</w:t>
      </w:r>
      <w:r w:rsidRPr="005D1C9A">
        <w:rPr>
          <w:rFonts w:ascii="Traditional Arabic" w:hAnsi="Traditional Arabic" w:cs="Traditional Arabic"/>
          <w:sz w:val="30"/>
          <w:szCs w:val="30"/>
          <w:rtl/>
          <w:lang w:eastAsia="zh-TW"/>
        </w:rPr>
        <w:t>). وينبغي إعداد خطط الاستجابة لحالات الطوارئ بالتنسيق مع الإدارات المحلية المعنية بإ</w:t>
      </w:r>
      <w:r w:rsidR="0079317D">
        <w:rPr>
          <w:rFonts w:ascii="Traditional Arabic" w:hAnsi="Traditional Arabic" w:cs="Traditional Arabic" w:hint="cs"/>
          <w:sz w:val="30"/>
          <w:szCs w:val="30"/>
          <w:rtl/>
          <w:lang w:eastAsia="zh-TW"/>
        </w:rPr>
        <w:t>ط</w:t>
      </w:r>
      <w:r w:rsidRPr="005D1C9A">
        <w:rPr>
          <w:rFonts w:ascii="Traditional Arabic" w:hAnsi="Traditional Arabic" w:cs="Traditional Arabic"/>
          <w:sz w:val="30"/>
          <w:szCs w:val="30"/>
          <w:rtl/>
          <w:lang w:eastAsia="zh-TW"/>
        </w:rPr>
        <w:t>فاء الحرائق للتأكد من تزويدها بما يكفي من المعلومات والتدريب والمعدات وكفالة إعدادها بالوسائل الأخرى لكي تتعامل بأمان مع أي حرائق في المرفق. ولمواصلة السعي إلى تقليل مخاطر الحرائق إلى أدنى حد ممكن، يقترح استخدام الرافعات الشوكية الكهربائية التي تعمل بالبطاريات من أجل نقل الزئبق داخل المخزن (</w:t>
      </w:r>
      <w:r w:rsidRPr="0079317D">
        <w:rPr>
          <w:rFonts w:asciiTheme="majorBidi" w:hAnsiTheme="majorBidi" w:cstheme="majorBidi"/>
          <w:szCs w:val="20"/>
          <w:lang w:eastAsia="zh-TW"/>
        </w:rPr>
        <w:t>QSC, 2003</w:t>
      </w:r>
      <w:r w:rsidRPr="005D1C9A">
        <w:rPr>
          <w:rFonts w:ascii="Traditional Arabic" w:hAnsi="Traditional Arabic" w:cs="Traditional Arabic"/>
          <w:sz w:val="30"/>
          <w:szCs w:val="30"/>
          <w:rtl/>
          <w:lang w:eastAsia="zh-TW"/>
        </w:rPr>
        <w:t>).</w:t>
      </w:r>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30</w:t>
      </w:r>
      <w:r w:rsidR="0079317D">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وينبغي النظر بعناية في حماية التربة والمياه الجوفية والمياه السطحية، ولا</w:t>
      </w:r>
      <w:r w:rsidR="00EC3A88">
        <w:rPr>
          <w:rFonts w:ascii="Traditional Arabic" w:hAnsi="Traditional Arabic" w:cs="Traditional Arabic" w:hint="cs"/>
          <w:sz w:val="30"/>
          <w:szCs w:val="30"/>
          <w:rtl/>
          <w:lang w:eastAsia="zh-TW"/>
        </w:rPr>
        <w:t> </w:t>
      </w:r>
      <w:r w:rsidRPr="005D1C9A">
        <w:rPr>
          <w:rFonts w:ascii="Traditional Arabic" w:hAnsi="Traditional Arabic" w:cs="Traditional Arabic"/>
          <w:sz w:val="30"/>
          <w:szCs w:val="30"/>
          <w:rtl/>
          <w:lang w:eastAsia="zh-TW"/>
        </w:rPr>
        <w:t>سيما عند بناء المرافق اللازمة لتخزين كميات كبيرة من الزئبق. وينبغي تحقيق هذه الحماية بالجمع بين حاجز جيولوجي وحواجز عازلة أخرى. وينبغي أن ي</w:t>
      </w:r>
      <w:r w:rsidR="006D24F7">
        <w:rPr>
          <w:rFonts w:ascii="Traditional Arabic" w:hAnsi="Traditional Arabic" w:cs="Traditional Arabic" w:hint="cs"/>
          <w:sz w:val="30"/>
          <w:szCs w:val="30"/>
          <w:rtl/>
          <w:lang w:eastAsia="zh-TW"/>
        </w:rPr>
        <w:t>ُ</w:t>
      </w:r>
      <w:r w:rsidRPr="005D1C9A">
        <w:rPr>
          <w:rFonts w:ascii="Traditional Arabic" w:hAnsi="Traditional Arabic" w:cs="Traditional Arabic"/>
          <w:sz w:val="30"/>
          <w:szCs w:val="30"/>
          <w:rtl/>
          <w:lang w:eastAsia="zh-TW"/>
        </w:rPr>
        <w:t>ركب داخل مرافق التخزين نظام لتصريف وجمع مياه الصرف الناتجة في المرافق بحيث يمكن رصد الزئبق قبل تصريف المياه إلى النظام المائي العام. وعلاوة على ذلك، ينبغي إرساء إجراءات لرصد مراحل التشغيل وما بعد الإغلاق لمواقع التخزين، بحيث يمكن تحديد أي آثار ضارة محتملة على البيئة من مواقع التخزين ومن ثم اتخاذ التدابير التصحيحية المناسبة. وينبغي أن يسترشد تطوير موقع التخزين بطبيعة الموقع ومواصفاته الجيولوجية وغيرها من العوامل التي تخص المشروع بعينه، وكذلك بالمبادئ المناسبة لعلم الهندسة الجيوتقنية. وقد تكون هذه العوامل أقل أهمية بالنسبة للمواقع المصممة لتخزين كميات قليلة</w:t>
      </w:r>
      <w:r w:rsidR="00DE03BE">
        <w:rPr>
          <w:rFonts w:ascii="Traditional Arabic" w:hAnsi="Traditional Arabic" w:cs="Traditional Arabic"/>
          <w:sz w:val="30"/>
          <w:szCs w:val="30"/>
          <w:rtl/>
          <w:lang w:eastAsia="zh-TW"/>
        </w:rPr>
        <w:t xml:space="preserve"> من الزئبق.</w:t>
      </w:r>
    </w:p>
    <w:p w:rsidR="005D1C9A" w:rsidRPr="00426042" w:rsidRDefault="005D1C9A" w:rsidP="00DE03BE">
      <w:pPr>
        <w:pStyle w:val="Heading1"/>
        <w:bidi/>
        <w:spacing w:before="0" w:line="400" w:lineRule="exact"/>
        <w:ind w:left="1134" w:hanging="852"/>
        <w:jc w:val="both"/>
        <w:textDirection w:val="tbRlV"/>
        <w:rPr>
          <w:b/>
          <w:bCs/>
          <w:sz w:val="30"/>
          <w:u w:val="none"/>
          <w:rtl/>
          <w:lang w:eastAsia="zh-TW"/>
        </w:rPr>
      </w:pPr>
      <w:bookmarkStart w:id="6" w:name="_Toc485639165"/>
      <w:r w:rsidRPr="00426042">
        <w:rPr>
          <w:b/>
          <w:bCs/>
          <w:sz w:val="30"/>
          <w:u w:val="none"/>
          <w:rtl/>
          <w:lang w:eastAsia="zh-TW"/>
        </w:rPr>
        <w:t>جيم</w:t>
      </w:r>
      <w:r w:rsidR="0079317D" w:rsidRPr="00426042">
        <w:rPr>
          <w:rFonts w:hint="cs"/>
          <w:b/>
          <w:bCs/>
          <w:sz w:val="30"/>
          <w:u w:val="none"/>
          <w:rtl/>
          <w:lang w:eastAsia="zh-TW"/>
        </w:rPr>
        <w:t xml:space="preserve"> </w:t>
      </w:r>
      <w:r w:rsidRPr="00426042">
        <w:rPr>
          <w:b/>
          <w:bCs/>
          <w:sz w:val="30"/>
          <w:u w:val="none"/>
          <w:rtl/>
          <w:lang w:eastAsia="zh-TW"/>
        </w:rPr>
        <w:t>-</w:t>
      </w:r>
      <w:r w:rsidR="00DE03BE">
        <w:rPr>
          <w:rFonts w:hint="cs"/>
          <w:b/>
          <w:bCs/>
          <w:sz w:val="30"/>
          <w:u w:val="none"/>
          <w:rtl/>
          <w:lang w:eastAsia="zh-TW"/>
        </w:rPr>
        <w:tab/>
      </w:r>
      <w:r w:rsidRPr="00426042">
        <w:rPr>
          <w:b/>
          <w:bCs/>
          <w:sz w:val="30"/>
          <w:u w:val="none"/>
          <w:rtl/>
          <w:lang w:eastAsia="zh-TW"/>
        </w:rPr>
        <w:t>الأحوال المادية في مواقع التخزين</w:t>
      </w:r>
      <w:bookmarkEnd w:id="6"/>
    </w:p>
    <w:p w:rsidR="005D1C9A" w:rsidRPr="005D1C9A" w:rsidRDefault="005D1C9A" w:rsidP="008A0CD9">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31</w:t>
      </w:r>
      <w:r w:rsidR="0079317D">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 xml:space="preserve">ينبغي تصميم أرضيات مرافق التخزين لكي </w:t>
      </w:r>
      <w:r w:rsidR="0079317D">
        <w:rPr>
          <w:rFonts w:ascii="Traditional Arabic" w:hAnsi="Traditional Arabic" w:cs="Traditional Arabic" w:hint="cs"/>
          <w:sz w:val="30"/>
          <w:szCs w:val="30"/>
          <w:rtl/>
          <w:lang w:eastAsia="zh-TW"/>
        </w:rPr>
        <w:t>تطيق</w:t>
      </w:r>
      <w:r w:rsidRPr="005D1C9A">
        <w:rPr>
          <w:rFonts w:ascii="Traditional Arabic" w:hAnsi="Traditional Arabic" w:cs="Traditional Arabic"/>
          <w:sz w:val="30"/>
          <w:szCs w:val="30"/>
          <w:rtl/>
          <w:lang w:eastAsia="zh-TW"/>
        </w:rPr>
        <w:t xml:space="preserve"> حمولة أكبر بنسبة ٥٠ في المائة من مجموع حمولة الزئبق المخزن فيها وينبغي ألا تخترقها أي فتحات تصريف أو توصيلات سباكة. ويمكن استخدام الأرضيات المنحدرة ومزاريب التصر</w:t>
      </w:r>
      <w:r w:rsidR="0079317D">
        <w:rPr>
          <w:rFonts w:ascii="Traditional Arabic" w:hAnsi="Traditional Arabic" w:cs="Traditional Arabic" w:hint="cs"/>
          <w:sz w:val="30"/>
          <w:szCs w:val="30"/>
          <w:rtl/>
          <w:lang w:eastAsia="zh-TW"/>
        </w:rPr>
        <w:t>ي</w:t>
      </w:r>
      <w:r w:rsidRPr="005D1C9A">
        <w:rPr>
          <w:rFonts w:ascii="Traditional Arabic" w:hAnsi="Traditional Arabic" w:cs="Traditional Arabic"/>
          <w:sz w:val="30"/>
          <w:szCs w:val="30"/>
          <w:rtl/>
          <w:lang w:eastAsia="zh-TW"/>
        </w:rPr>
        <w:t>ف المفتوحة ذات الأطراف الدائرية المتجهة إ</w:t>
      </w:r>
      <w:r w:rsidR="006D24F7">
        <w:rPr>
          <w:rFonts w:ascii="Traditional Arabic" w:hAnsi="Traditional Arabic" w:cs="Traditional Arabic"/>
          <w:sz w:val="30"/>
          <w:szCs w:val="30"/>
          <w:rtl/>
          <w:lang w:eastAsia="zh-TW"/>
        </w:rPr>
        <w:t>لى أسفل لتفادي حبس الزئبق تحت أ</w:t>
      </w:r>
      <w:r w:rsidR="006D24F7">
        <w:rPr>
          <w:rFonts w:ascii="Traditional Arabic" w:hAnsi="Traditional Arabic" w:cs="Traditional Arabic" w:hint="cs"/>
          <w:sz w:val="30"/>
          <w:szCs w:val="30"/>
          <w:rtl/>
          <w:lang w:eastAsia="zh-TW"/>
        </w:rPr>
        <w:t>غ</w:t>
      </w:r>
      <w:r w:rsidRPr="005D1C9A">
        <w:rPr>
          <w:rFonts w:ascii="Traditional Arabic" w:hAnsi="Traditional Arabic" w:cs="Traditional Arabic"/>
          <w:sz w:val="30"/>
          <w:szCs w:val="30"/>
          <w:rtl/>
          <w:lang w:eastAsia="zh-TW"/>
        </w:rPr>
        <w:t>طية المزاريب ولتيسير جمع الكميات المنسكبة. وينبغي تغطية أرضيات مرافق التخزين بمواد مقاومة للزئبق، مثل طلاء راتنج الإيبوكسي، وينبغي أن تكون ذات لون فاتح للسماح بكشف قطيرات الزئبق. وينبغي تفتيش الأرضيات وطلائها بشكل متكرر للتأكد من عدم تشقق الأرضيات وسلامة الطلاء. وينبغي بناء الجدران من المواد التي لا</w:t>
      </w:r>
      <w:r w:rsidR="00EC3A88">
        <w:rPr>
          <w:rFonts w:ascii="Traditional Arabic" w:hAnsi="Traditional Arabic" w:cs="Traditional Arabic" w:hint="cs"/>
          <w:sz w:val="30"/>
          <w:szCs w:val="30"/>
          <w:rtl/>
          <w:lang w:eastAsia="zh-TW"/>
        </w:rPr>
        <w:t> </w:t>
      </w:r>
      <w:r w:rsidRPr="005D1C9A">
        <w:rPr>
          <w:rFonts w:ascii="Traditional Arabic" w:hAnsi="Traditional Arabic" w:cs="Traditional Arabic"/>
          <w:sz w:val="30"/>
          <w:szCs w:val="30"/>
          <w:rtl/>
          <w:lang w:eastAsia="zh-TW"/>
        </w:rPr>
        <w:t>تمتص بخار الزئبق بسهولة. ومن المهم توفير نظم إضافية قادرة على التعامل مع كميات أكبر من إطلاقات الزئبق لمنع الإطلاقات في حالة وقوع حوادث غير متوقّعة. ويشمل ذلك نظم الاحتواء الثانوي، ونظم رصد الإطلاقات وحماية القوى العاملة وعامة الناس من التعرض (</w:t>
      </w:r>
      <w:r w:rsidRPr="0079317D">
        <w:rPr>
          <w:rFonts w:asciiTheme="majorBidi" w:hAnsiTheme="majorBidi" w:cstheme="majorBidi"/>
          <w:szCs w:val="20"/>
          <w:lang w:eastAsia="zh-TW"/>
        </w:rPr>
        <w:t>US DOE, 2009; World Chlorine Council</w:t>
      </w:r>
      <w:r w:rsidRPr="005D1C9A">
        <w:rPr>
          <w:rFonts w:ascii="Traditional Arabic" w:hAnsi="Traditional Arabic" w:cs="Traditional Arabic"/>
          <w:sz w:val="30"/>
          <w:szCs w:val="30"/>
          <w:rtl/>
          <w:lang w:eastAsia="zh-TW"/>
        </w:rPr>
        <w:t>). وينبغي الحفاظ على درجة الحرارة في مرافق التخزين منخفضة إلى أدنى حد ممكن، ويُفضّل أن تبقى ثابتة عند 21 درجة مئوية. وينبغي وضع علامات تحذير واضحة في أماكن التخزين (</w:t>
      </w:r>
      <w:r w:rsidRPr="0079317D">
        <w:rPr>
          <w:rFonts w:asciiTheme="majorBidi" w:hAnsiTheme="majorBidi" w:cstheme="majorBidi"/>
          <w:szCs w:val="20"/>
          <w:lang w:eastAsia="zh-TW"/>
        </w:rPr>
        <w:t>FAO, 1985; US EPA, 1997; US DOE, 2009</w:t>
      </w:r>
      <w:r w:rsidR="00DE03BE">
        <w:rPr>
          <w:rFonts w:ascii="Traditional Arabic" w:hAnsi="Traditional Arabic" w:cs="Traditional Arabic"/>
          <w:sz w:val="30"/>
          <w:szCs w:val="30"/>
          <w:rtl/>
          <w:lang w:eastAsia="zh-TW"/>
        </w:rPr>
        <w:t>).</w:t>
      </w:r>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lastRenderedPageBreak/>
        <w:t>32</w:t>
      </w:r>
      <w:r w:rsidR="0079317D">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r>
      <w:r w:rsidR="0079317D">
        <w:rPr>
          <w:rFonts w:ascii="Traditional Arabic" w:hAnsi="Traditional Arabic" w:cs="Traditional Arabic" w:hint="cs"/>
          <w:sz w:val="30"/>
          <w:szCs w:val="30"/>
          <w:rtl/>
          <w:lang w:eastAsia="zh-TW"/>
        </w:rPr>
        <w:t>ويتعين</w:t>
      </w:r>
      <w:r w:rsidRPr="005D1C9A">
        <w:rPr>
          <w:rFonts w:ascii="Traditional Arabic" w:hAnsi="Traditional Arabic" w:cs="Traditional Arabic"/>
          <w:sz w:val="30"/>
          <w:szCs w:val="30"/>
          <w:rtl/>
          <w:lang w:eastAsia="zh-TW"/>
        </w:rPr>
        <w:t xml:space="preserve"> أن يجري تخزين الزئبق داخل المباني عندما يكون ذلك ممكناً. وعند تخزين الزئبق في مرافق خارجية مغلقة، يجب أن توجه عناية خاصة لضمان وجود تدابير وقائية لمنع إطلاقات الزئبق في التربة والمياه الجوفية أو المياه السطحية. وينبغي أن تكون الحاويات محكمة الإغلاق لمنع تسرب بخار الزئبق. وينبغي حماية الزئبق المخزن من عوامل الطبيعة لمنع إلحاق الضرر بالحاويات وينبغي فحص </w:t>
      </w:r>
      <w:r w:rsidR="00DE03BE">
        <w:rPr>
          <w:rFonts w:ascii="Traditional Arabic" w:hAnsi="Traditional Arabic" w:cs="Traditional Arabic"/>
          <w:sz w:val="30"/>
          <w:szCs w:val="30"/>
          <w:rtl/>
          <w:lang w:eastAsia="zh-TW"/>
        </w:rPr>
        <w:t>سلامة الحاويات المخزنة بانتظام.</w:t>
      </w:r>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33</w:t>
      </w:r>
      <w:r w:rsidR="0079317D">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وينبغي تأمين وحماية مرافق التخزين لتفادي السرقة أو حالات الدخول إليها دون إذن.</w:t>
      </w:r>
    </w:p>
    <w:p w:rsidR="005D1C9A" w:rsidRPr="00426042" w:rsidRDefault="005D1C9A" w:rsidP="00DE03BE">
      <w:pPr>
        <w:pStyle w:val="Heading1"/>
        <w:bidi/>
        <w:spacing w:before="0" w:line="400" w:lineRule="exact"/>
        <w:ind w:left="1134" w:hanging="852"/>
        <w:jc w:val="both"/>
        <w:textDirection w:val="tbRlV"/>
        <w:rPr>
          <w:b/>
          <w:bCs/>
          <w:sz w:val="30"/>
          <w:u w:val="none"/>
          <w:rtl/>
          <w:lang w:eastAsia="zh-TW"/>
        </w:rPr>
      </w:pPr>
      <w:bookmarkStart w:id="7" w:name="_Toc485639166"/>
      <w:r w:rsidRPr="00426042">
        <w:rPr>
          <w:b/>
          <w:bCs/>
          <w:sz w:val="30"/>
          <w:u w:val="none"/>
          <w:rtl/>
          <w:lang w:eastAsia="zh-TW"/>
        </w:rPr>
        <w:t>دال</w:t>
      </w:r>
      <w:r w:rsidR="0079317D" w:rsidRPr="00426042">
        <w:rPr>
          <w:rFonts w:hint="cs"/>
          <w:b/>
          <w:bCs/>
          <w:sz w:val="30"/>
          <w:u w:val="none"/>
          <w:rtl/>
          <w:lang w:eastAsia="zh-TW"/>
        </w:rPr>
        <w:t xml:space="preserve"> </w:t>
      </w:r>
      <w:r w:rsidRPr="00426042">
        <w:rPr>
          <w:b/>
          <w:bCs/>
          <w:sz w:val="30"/>
          <w:u w:val="none"/>
          <w:rtl/>
          <w:lang w:eastAsia="zh-TW"/>
        </w:rPr>
        <w:t>-</w:t>
      </w:r>
      <w:r w:rsidR="00DE03BE">
        <w:rPr>
          <w:rFonts w:hint="cs"/>
          <w:b/>
          <w:bCs/>
          <w:sz w:val="30"/>
          <w:u w:val="none"/>
          <w:rtl/>
          <w:lang w:eastAsia="zh-TW"/>
        </w:rPr>
        <w:tab/>
      </w:r>
      <w:r w:rsidRPr="00426042">
        <w:rPr>
          <w:b/>
          <w:bCs/>
          <w:sz w:val="30"/>
          <w:u w:val="none"/>
          <w:rtl/>
          <w:lang w:eastAsia="zh-TW"/>
        </w:rPr>
        <w:t>حاويات تخزين الزئبق، بما في ذلك الحاويات الثانوية</w:t>
      </w:r>
      <w:bookmarkEnd w:id="7"/>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34</w:t>
      </w:r>
      <w:r w:rsidR="0079317D">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 xml:space="preserve">يخزن الزئبق إما كزئبق أولي أو كمركبات زئبق. ويكون الزئبق الأولي (أو المعدني) سائلاً في درجة حرارة الغرفة، بينما تكون معظم مركبات الزئبق صلبة. ويتطلب التخزين الصلب والسائل نوعين مختلفين من الحاويات. ويجب كذلك تفادي مخاطر تلوث المواد أخرى. ولا ينبغي وضع الحاويات والرزم التي تحوي الزئبق بجوار الحاويات التي تحوي مواد أخرى. وينبغي إنشاء مناطق تخزين منفصلة، حتى لو كان ذلك ضمن نفس مرفق التخزين. وينبغي وضع علامات على الحاويات والرزم وتخزينها في مكان جاف مثل المستودع أو أي حيز آخر لا يتردد إليه الناس عادةً. ولا ينبغي لمناطق التخزين هذه أن تشترك في نظم التهوية مع أماكن العمل أو الأماكن العامة. وينبغي أن تكون لها نظم تهوية مستقلة أو أن تكون لها منافذ تهوية مباشرة إلى الخارج. ومن الناحية المثالية، ينبغي أن تشمل نظم التهوية أجهزة لمراقبة التلوث من أجل احتجاز أي تسرب لبخار أو غبار الزئبق. وتقدم التوجيهات التي وضعها برنامج الأمم المتحدة الإنمائي لنفايات الزئبق الناجمة عن مرافق الرعاية الصحية إرشادات مفصلة في هذا الصدد، قد تنطبق </w:t>
      </w:r>
      <w:r w:rsidR="00DE03BE">
        <w:rPr>
          <w:rFonts w:ascii="Traditional Arabic" w:hAnsi="Traditional Arabic" w:cs="Traditional Arabic"/>
          <w:sz w:val="30"/>
          <w:szCs w:val="30"/>
          <w:rtl/>
          <w:lang w:eastAsia="zh-TW"/>
        </w:rPr>
        <w:t>على العديد من المرافق التجارية.</w:t>
      </w:r>
    </w:p>
    <w:p w:rsidR="005D1C9A" w:rsidRPr="005D1C9A" w:rsidRDefault="005D1C9A" w:rsidP="008A0CD9">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35</w:t>
      </w:r>
      <w:r w:rsidR="0079317D">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ويجب تغليف الزئبق الأولي</w:t>
      </w:r>
      <w:r w:rsidRPr="006D24F7">
        <w:rPr>
          <w:rFonts w:ascii="Traditional Arabic" w:hAnsi="Traditional Arabic" w:cs="Traditional Arabic"/>
          <w:sz w:val="30"/>
          <w:szCs w:val="30"/>
          <w:rtl/>
          <w:lang w:eastAsia="zh-TW"/>
        </w:rPr>
        <w:t xml:space="preserve"> الوارد</w:t>
      </w:r>
      <w:r w:rsidRPr="005D1C9A">
        <w:rPr>
          <w:rFonts w:ascii="Traditional Arabic" w:hAnsi="Traditional Arabic" w:cs="Traditional Arabic"/>
          <w:sz w:val="30"/>
          <w:szCs w:val="30"/>
          <w:rtl/>
          <w:lang w:eastAsia="zh-TW"/>
        </w:rPr>
        <w:t xml:space="preserve"> في شكل سائب بعناية ووضعه في الحاويات الملائمة، مثل تلك التي تحددها </w:t>
      </w:r>
      <w:r w:rsidRPr="006D24F7">
        <w:rPr>
          <w:rFonts w:ascii="Traditional Arabic" w:hAnsi="Traditional Arabic" w:cs="Traditional Arabic"/>
          <w:i/>
          <w:iCs/>
          <w:sz w:val="30"/>
          <w:szCs w:val="30"/>
          <w:rtl/>
          <w:lang w:eastAsia="zh-TW"/>
        </w:rPr>
        <w:t>توصيات الأمم المتحدة المتعلقة بنقل البضائع الخطرة، النظام النموذجي</w:t>
      </w:r>
      <w:r w:rsidR="0032680C">
        <w:rPr>
          <w:rFonts w:ascii="Traditional Arabic" w:hAnsi="Traditional Arabic" w:cs="Traditional Arabic" w:hint="cs"/>
          <w:i/>
          <w:iCs/>
          <w:sz w:val="30"/>
          <w:szCs w:val="30"/>
          <w:rtl/>
          <w:lang w:eastAsia="zh-TW"/>
        </w:rPr>
        <w:t xml:space="preserve"> </w:t>
      </w:r>
      <w:r w:rsidR="0032680C" w:rsidRPr="003038EE">
        <w:t>(</w:t>
      </w:r>
      <w:r w:rsidR="0032680C" w:rsidRPr="00F81C3A">
        <w:t>United Nations (2015</w:t>
      </w:r>
      <w:r w:rsidR="0032680C">
        <w:t>a</w:t>
      </w:r>
      <w:r w:rsidR="0032680C" w:rsidRPr="00F81C3A">
        <w:t>)</w:t>
      </w:r>
      <w:r w:rsidRPr="005D1C9A">
        <w:rPr>
          <w:rFonts w:ascii="Traditional Arabic" w:hAnsi="Traditional Arabic" w:cs="Traditional Arabic"/>
          <w:sz w:val="30"/>
          <w:szCs w:val="30"/>
          <w:rtl/>
          <w:lang w:eastAsia="zh-TW"/>
        </w:rPr>
        <w:t>. وينبغي تخزين حاويات الزئبق الأولي بوضعها العمودي الصحيح على منصات تحميل مرتفعة عن الأرض، وينبغي تغطيتها بشكل إضافي (مثل التغليف المضغوط لمنصات التحميل) لتوفير الحماية أثناء المناولة. وبدلاً من ذلك، يمكن أن تزود الرزم بتغليف خارجي واق مثل العلبة أو الصندوق. وينبغي تجنب استخدام الأخشاب أو المواد المسامية الأخرى لمنصات التحميل، لأن هذه المواد يصعب تنظيفها من التلوث بعد الاستخدام. وينبغي أن توضع حاويات الزئبق السائل في أطباق حاجزة أو في مناطق مضادة للتسرب في مرافق التخزين حيث تكون حواف مناطق التخزين منحنية للحد من احتمال تجمع الزئبق في الأركان، وحيث يمكن احتواء</w:t>
      </w:r>
      <w:r w:rsidR="0079317D">
        <w:rPr>
          <w:rFonts w:ascii="Traditional Arabic" w:hAnsi="Traditional Arabic" w:cs="Traditional Arabic" w:hint="cs"/>
          <w:sz w:val="30"/>
          <w:szCs w:val="30"/>
          <w:rtl/>
          <w:lang w:eastAsia="zh-TW"/>
        </w:rPr>
        <w:t xml:space="preserve"> وحجز</w:t>
      </w:r>
      <w:r w:rsidRPr="005D1C9A">
        <w:rPr>
          <w:rFonts w:ascii="Traditional Arabic" w:hAnsi="Traditional Arabic" w:cs="Traditional Arabic"/>
          <w:sz w:val="30"/>
          <w:szCs w:val="30"/>
          <w:rtl/>
          <w:lang w:eastAsia="zh-TW"/>
        </w:rPr>
        <w:t xml:space="preserve"> التسربات. ويجب ألا يقل حجم المساحة الحاجزة للسائل عن 125 في المائة من الحجم الأقصى للسائل، على أن يؤخذ في الاعتبار الفراغ الذي ستشغله الأصناف المخزنة في المساحة الحاجزة. ويجب تخزين مركبات الزئبق الصلبة في حاويات محكمة الإغلاق مثل البراميل أو العلب ذات الأغطية التي تغلق بشكل جيد، أو في حاويات منشأة خصيصاً لهذا الغرض، ولا ينطلق منها بخار الزئبق.</w:t>
      </w:r>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36</w:t>
      </w:r>
      <w:r w:rsidR="0079317D">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r>
      <w:r w:rsidR="0079317D">
        <w:rPr>
          <w:rFonts w:ascii="Traditional Arabic" w:hAnsi="Traditional Arabic" w:cs="Traditional Arabic" w:hint="cs"/>
          <w:sz w:val="30"/>
          <w:szCs w:val="30"/>
          <w:rtl/>
          <w:lang w:eastAsia="zh-TW"/>
        </w:rPr>
        <w:t>و</w:t>
      </w:r>
      <w:r w:rsidRPr="005D1C9A">
        <w:rPr>
          <w:rFonts w:ascii="Traditional Arabic" w:hAnsi="Traditional Arabic" w:cs="Traditional Arabic"/>
          <w:sz w:val="30"/>
          <w:szCs w:val="30"/>
          <w:rtl/>
          <w:lang w:eastAsia="zh-TW"/>
        </w:rPr>
        <w:t>ينبغي أن ينتبه العاملون في مناولة الزئبق إلى مسألة منع تبخّر الزئبق وتسرّبه إلى البيئة. وينبغي أن يوضع الزئبق في حاويات مُحكَمة السَّد مانعة لتسرّب الغازات والسوائل، وتحمل علامات مميزة تبيّن أنها تحتوي على زئبق ’’سام‘‘. وأنسب الحاويات لتخزين الزئبق هي الحاويات الفولاذية المصممة خصيصاً لذلك، لأن الزئبق يندمج مع كثير من المعادن الأخرى بما في ذلك الزنك والنحاس والفضة. وبعض اللدائن، مثل البولي إيثلين عالي الكثافة تنفذ منها أبخرة الزئ</w:t>
      </w:r>
      <w:r w:rsidR="00DE03BE">
        <w:rPr>
          <w:rFonts w:ascii="Traditional Arabic" w:hAnsi="Traditional Arabic" w:cs="Traditional Arabic"/>
          <w:sz w:val="30"/>
          <w:szCs w:val="30"/>
          <w:rtl/>
          <w:lang w:eastAsia="zh-TW"/>
        </w:rPr>
        <w:t>بق، ولذلك ينبغي تجنب استخدامها.</w:t>
      </w:r>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lastRenderedPageBreak/>
        <w:t>37</w:t>
      </w:r>
      <w:r w:rsidR="0079317D">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وينبغي أن تكون حاويات الزئبق أو مركبات الزئبق سليمة هيكلياً وأن تتيح التخزين السليم بيئياً لهذا الزئبق. ويوصى باستخدام الزجاجات والحاويات غير الملحومة لإلغاء خطر حدوث ثغرات على طول خط الالتحام (</w:t>
      </w:r>
      <w:r w:rsidRPr="0079317D">
        <w:rPr>
          <w:rFonts w:asciiTheme="majorBidi" w:hAnsiTheme="majorBidi" w:cstheme="majorBidi"/>
          <w:szCs w:val="20"/>
          <w:lang w:eastAsia="zh-TW"/>
        </w:rPr>
        <w:t>QSC 2003</w:t>
      </w:r>
      <w:r w:rsidRPr="005D1C9A">
        <w:rPr>
          <w:rFonts w:ascii="Traditional Arabic" w:hAnsi="Traditional Arabic" w:cs="Traditional Arabic"/>
          <w:sz w:val="30"/>
          <w:szCs w:val="30"/>
          <w:rtl/>
          <w:lang w:eastAsia="zh-TW"/>
        </w:rPr>
        <w:t>)</w:t>
      </w:r>
      <w:r w:rsidR="0079317D">
        <w:rPr>
          <w:rFonts w:ascii="Traditional Arabic" w:hAnsi="Traditional Arabic" w:cs="Traditional Arabic" w:hint="cs"/>
          <w:sz w:val="30"/>
          <w:szCs w:val="30"/>
          <w:rtl/>
          <w:lang w:eastAsia="zh-TW"/>
        </w:rPr>
        <w:t>.</w:t>
      </w:r>
    </w:p>
    <w:p w:rsidR="005D1C9A" w:rsidRPr="005D1C9A" w:rsidRDefault="005D1C9A" w:rsidP="008A0CD9">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38</w:t>
      </w:r>
      <w:r w:rsidR="0079317D">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ويوجد نوعان أساسيان من الحاويات المعتمدة دولياً لتخزين الزئبق ونقله: الزجاجات بسعة 76 رطلاً والحاويات بسعة طن متري واحد (</w:t>
      </w:r>
      <w:r w:rsidRPr="0079317D">
        <w:rPr>
          <w:rFonts w:asciiTheme="majorBidi" w:hAnsiTheme="majorBidi" w:cstheme="majorBidi"/>
          <w:szCs w:val="20"/>
          <w:lang w:eastAsia="zh-TW"/>
        </w:rPr>
        <w:t>QSC, 2003</w:t>
      </w:r>
      <w:r w:rsidRPr="005D1C9A">
        <w:rPr>
          <w:rFonts w:ascii="Traditional Arabic" w:hAnsi="Traditional Arabic" w:cs="Traditional Arabic"/>
          <w:sz w:val="30"/>
          <w:szCs w:val="30"/>
          <w:rtl/>
          <w:lang w:eastAsia="zh-TW"/>
        </w:rPr>
        <w:t xml:space="preserve">). وينبغي أن تجتاز أنواع التصميم اختبار السقوط، واختبارات عدم التسرب على النحو الموصوف في الفصلين 6-1-5-3 و 6-1-5-4 من </w:t>
      </w:r>
      <w:r w:rsidRPr="006D24F7">
        <w:rPr>
          <w:rFonts w:ascii="Traditional Arabic" w:hAnsi="Traditional Arabic" w:cs="Traditional Arabic"/>
          <w:i/>
          <w:iCs/>
          <w:sz w:val="30"/>
          <w:szCs w:val="30"/>
          <w:rtl/>
          <w:lang w:eastAsia="zh-TW"/>
        </w:rPr>
        <w:t>توصيات الأمم المتحدة بشأن نقل البضائع الخطرة، دليل الاختبارات والمعايير</w:t>
      </w:r>
      <w:r w:rsidRPr="005D1C9A">
        <w:rPr>
          <w:rFonts w:ascii="Traditional Arabic" w:hAnsi="Traditional Arabic" w:cs="Traditional Arabic"/>
          <w:sz w:val="30"/>
          <w:szCs w:val="30"/>
          <w:rtl/>
          <w:lang w:eastAsia="zh-TW"/>
        </w:rPr>
        <w:t xml:space="preserve"> (</w:t>
      </w:r>
      <w:r w:rsidRPr="0079317D">
        <w:rPr>
          <w:rFonts w:asciiTheme="majorBidi" w:hAnsiTheme="majorBidi" w:cstheme="majorBidi"/>
          <w:szCs w:val="20"/>
          <w:lang w:eastAsia="zh-TW"/>
        </w:rPr>
        <w:t>EU, 2011</w:t>
      </w:r>
      <w:r w:rsidRPr="005D1C9A">
        <w:rPr>
          <w:rFonts w:ascii="Traditional Arabic" w:hAnsi="Traditional Arabic" w:cs="Traditional Arabic"/>
          <w:sz w:val="30"/>
          <w:szCs w:val="30"/>
          <w:rtl/>
          <w:lang w:eastAsia="zh-TW"/>
        </w:rPr>
        <w:t xml:space="preserve">). ولنقل الكميات الصغيرة من الزئبق كثيراً ما تستخدم أحجام أخرى للحاويات (١ </w:t>
      </w:r>
      <w:r w:rsidR="00EC3A88">
        <w:rPr>
          <w:rFonts w:ascii="Traditional Arabic" w:hAnsi="Traditional Arabic" w:cs="Traditional Arabic" w:hint="cs"/>
          <w:sz w:val="30"/>
          <w:szCs w:val="30"/>
          <w:rtl/>
          <w:lang w:eastAsia="zh-TW"/>
        </w:rPr>
        <w:t>-</w:t>
      </w:r>
      <w:r w:rsidRPr="005D1C9A">
        <w:rPr>
          <w:rFonts w:ascii="Traditional Arabic" w:hAnsi="Traditional Arabic" w:cs="Traditional Arabic"/>
          <w:sz w:val="30"/>
          <w:szCs w:val="30"/>
          <w:rtl/>
          <w:lang w:eastAsia="zh-TW"/>
        </w:rPr>
        <w:t xml:space="preserve"> </w:t>
      </w:r>
      <w:r w:rsidRPr="005D1C9A">
        <w:rPr>
          <w:rFonts w:ascii="Traditional Arabic" w:hAnsi="Traditional Arabic" w:cs="Traditional Arabic" w:hint="cs"/>
          <w:sz w:val="30"/>
          <w:szCs w:val="30"/>
          <w:rtl/>
          <w:lang w:eastAsia="zh-TW"/>
        </w:rPr>
        <w:t>١٦</w:t>
      </w:r>
      <w:r w:rsidRPr="005D1C9A">
        <w:rPr>
          <w:rFonts w:ascii="Traditional Arabic" w:hAnsi="Traditional Arabic" w:cs="Traditional Arabic"/>
          <w:sz w:val="30"/>
          <w:szCs w:val="30"/>
          <w:rtl/>
          <w:lang w:eastAsia="zh-TW"/>
        </w:rPr>
        <w:t xml:space="preserve"> </w:t>
      </w:r>
      <w:r w:rsidRPr="005D1C9A">
        <w:rPr>
          <w:rFonts w:ascii="Traditional Arabic" w:hAnsi="Traditional Arabic" w:cs="Traditional Arabic" w:hint="cs"/>
          <w:sz w:val="30"/>
          <w:szCs w:val="30"/>
          <w:rtl/>
          <w:lang w:eastAsia="zh-TW"/>
        </w:rPr>
        <w:t>رطلاً،</w:t>
      </w:r>
      <w:r w:rsidRPr="005D1C9A">
        <w:rPr>
          <w:rFonts w:ascii="Traditional Arabic" w:hAnsi="Traditional Arabic" w:cs="Traditional Arabic"/>
          <w:sz w:val="30"/>
          <w:szCs w:val="30"/>
          <w:rtl/>
          <w:lang w:eastAsia="zh-TW"/>
        </w:rPr>
        <w:t xml:space="preserve"> </w:t>
      </w:r>
      <w:r w:rsidRPr="005D1C9A">
        <w:rPr>
          <w:rFonts w:ascii="Traditional Arabic" w:hAnsi="Traditional Arabic" w:cs="Traditional Arabic" w:hint="cs"/>
          <w:sz w:val="30"/>
          <w:szCs w:val="30"/>
          <w:rtl/>
          <w:lang w:eastAsia="zh-TW"/>
        </w:rPr>
        <w:t>مثلاً</w:t>
      </w:r>
      <w:r w:rsidRPr="005D1C9A">
        <w:rPr>
          <w:rFonts w:ascii="Traditional Arabic" w:hAnsi="Traditional Arabic" w:cs="Traditional Arabic"/>
          <w:sz w:val="30"/>
          <w:szCs w:val="30"/>
          <w:rtl/>
          <w:lang w:eastAsia="zh-TW"/>
        </w:rPr>
        <w:t xml:space="preserve">) </w:t>
      </w:r>
      <w:r w:rsidRPr="005D1C9A">
        <w:rPr>
          <w:rFonts w:ascii="Traditional Arabic" w:hAnsi="Traditional Arabic" w:cs="Traditional Arabic" w:hint="cs"/>
          <w:sz w:val="30"/>
          <w:szCs w:val="30"/>
          <w:rtl/>
          <w:lang w:eastAsia="zh-TW"/>
        </w:rPr>
        <w:t>أو</w:t>
      </w:r>
      <w:r w:rsidRPr="005D1C9A">
        <w:rPr>
          <w:rFonts w:ascii="Traditional Arabic" w:hAnsi="Traditional Arabic" w:cs="Traditional Arabic"/>
          <w:sz w:val="30"/>
          <w:szCs w:val="30"/>
          <w:rtl/>
          <w:lang w:eastAsia="zh-TW"/>
        </w:rPr>
        <w:t xml:space="preserve"> </w:t>
      </w:r>
      <w:r w:rsidRPr="005D1C9A">
        <w:rPr>
          <w:rFonts w:ascii="Traditional Arabic" w:hAnsi="Traditional Arabic" w:cs="Traditional Arabic" w:hint="cs"/>
          <w:sz w:val="30"/>
          <w:szCs w:val="30"/>
          <w:rtl/>
          <w:lang w:eastAsia="zh-TW"/>
        </w:rPr>
        <w:t>أنواع</w:t>
      </w:r>
      <w:r w:rsidRPr="005D1C9A">
        <w:rPr>
          <w:rFonts w:ascii="Traditional Arabic" w:hAnsi="Traditional Arabic" w:cs="Traditional Arabic"/>
          <w:sz w:val="30"/>
          <w:szCs w:val="30"/>
          <w:rtl/>
          <w:lang w:eastAsia="zh-TW"/>
        </w:rPr>
        <w:t xml:space="preserve"> </w:t>
      </w:r>
      <w:r w:rsidRPr="005D1C9A">
        <w:rPr>
          <w:rFonts w:ascii="Traditional Arabic" w:hAnsi="Traditional Arabic" w:cs="Traditional Arabic" w:hint="cs"/>
          <w:sz w:val="30"/>
          <w:szCs w:val="30"/>
          <w:rtl/>
          <w:lang w:eastAsia="zh-TW"/>
        </w:rPr>
        <w:t>أخرى</w:t>
      </w:r>
      <w:r w:rsidRPr="005D1C9A">
        <w:rPr>
          <w:rFonts w:ascii="Traditional Arabic" w:hAnsi="Traditional Arabic" w:cs="Traditional Arabic"/>
          <w:sz w:val="30"/>
          <w:szCs w:val="30"/>
          <w:rtl/>
          <w:lang w:eastAsia="zh-TW"/>
        </w:rPr>
        <w:t xml:space="preserve"> </w:t>
      </w:r>
      <w:r w:rsidRPr="005D1C9A">
        <w:rPr>
          <w:rFonts w:ascii="Traditional Arabic" w:hAnsi="Traditional Arabic" w:cs="Traditional Arabic" w:hint="cs"/>
          <w:sz w:val="30"/>
          <w:szCs w:val="30"/>
          <w:rtl/>
          <w:lang w:eastAsia="zh-TW"/>
        </w:rPr>
        <w:t>منها</w:t>
      </w:r>
      <w:r w:rsidRPr="005D1C9A">
        <w:rPr>
          <w:rFonts w:ascii="Traditional Arabic" w:hAnsi="Traditional Arabic" w:cs="Traditional Arabic"/>
          <w:sz w:val="30"/>
          <w:szCs w:val="30"/>
          <w:rtl/>
          <w:lang w:eastAsia="zh-TW"/>
        </w:rPr>
        <w:t xml:space="preserve"> (</w:t>
      </w:r>
      <w:r w:rsidRPr="005D1C9A">
        <w:rPr>
          <w:rFonts w:ascii="Traditional Arabic" w:hAnsi="Traditional Arabic" w:cs="Traditional Arabic" w:hint="cs"/>
          <w:sz w:val="30"/>
          <w:szCs w:val="30"/>
          <w:rtl/>
          <w:lang w:eastAsia="zh-TW"/>
        </w:rPr>
        <w:t>مثل</w:t>
      </w:r>
      <w:r w:rsidRPr="005D1C9A">
        <w:rPr>
          <w:rFonts w:ascii="Traditional Arabic" w:hAnsi="Traditional Arabic" w:cs="Traditional Arabic"/>
          <w:sz w:val="30"/>
          <w:szCs w:val="30"/>
          <w:rtl/>
          <w:lang w:eastAsia="zh-TW"/>
        </w:rPr>
        <w:t xml:space="preserve"> </w:t>
      </w:r>
      <w:r w:rsidRPr="005D1C9A">
        <w:rPr>
          <w:rFonts w:ascii="Traditional Arabic" w:hAnsi="Traditional Arabic" w:cs="Traditional Arabic" w:hint="cs"/>
          <w:sz w:val="30"/>
          <w:szCs w:val="30"/>
          <w:rtl/>
          <w:lang w:eastAsia="zh-TW"/>
        </w:rPr>
        <w:t>البولي</w:t>
      </w:r>
      <w:r w:rsidRPr="005D1C9A">
        <w:rPr>
          <w:rFonts w:ascii="Traditional Arabic" w:hAnsi="Traditional Arabic" w:cs="Traditional Arabic"/>
          <w:sz w:val="30"/>
          <w:szCs w:val="30"/>
          <w:rtl/>
          <w:lang w:eastAsia="zh-TW"/>
        </w:rPr>
        <w:t xml:space="preserve"> </w:t>
      </w:r>
      <w:r w:rsidRPr="005D1C9A">
        <w:rPr>
          <w:rFonts w:ascii="Traditional Arabic" w:hAnsi="Traditional Arabic" w:cs="Traditional Arabic" w:hint="cs"/>
          <w:sz w:val="30"/>
          <w:szCs w:val="30"/>
          <w:rtl/>
          <w:lang w:eastAsia="zh-TW"/>
        </w:rPr>
        <w:t>إيثيلين</w:t>
      </w:r>
      <w:r w:rsidRPr="005D1C9A">
        <w:rPr>
          <w:rFonts w:ascii="Traditional Arabic" w:hAnsi="Traditional Arabic" w:cs="Traditional Arabic"/>
          <w:sz w:val="30"/>
          <w:szCs w:val="30"/>
          <w:rtl/>
          <w:lang w:eastAsia="zh-TW"/>
        </w:rPr>
        <w:t xml:space="preserve"> </w:t>
      </w:r>
      <w:r w:rsidRPr="005D1C9A">
        <w:rPr>
          <w:rFonts w:ascii="Traditional Arabic" w:hAnsi="Traditional Arabic" w:cs="Traditional Arabic" w:hint="cs"/>
          <w:sz w:val="30"/>
          <w:szCs w:val="30"/>
          <w:rtl/>
          <w:lang w:eastAsia="zh-TW"/>
        </w:rPr>
        <w:t>والزجاج</w:t>
      </w:r>
      <w:r w:rsidRPr="005D1C9A">
        <w:rPr>
          <w:rFonts w:ascii="Traditional Arabic" w:hAnsi="Traditional Arabic" w:cs="Traditional Arabic"/>
          <w:sz w:val="30"/>
          <w:szCs w:val="30"/>
          <w:rtl/>
          <w:lang w:eastAsia="zh-TW"/>
        </w:rPr>
        <w:t xml:space="preserve">) </w:t>
      </w:r>
      <w:r w:rsidRPr="00EC3A88">
        <w:rPr>
          <w:rFonts w:asciiTheme="majorBidi" w:hAnsiTheme="majorBidi" w:cstheme="majorBidi"/>
          <w:szCs w:val="20"/>
          <w:rtl/>
          <w:lang w:eastAsia="zh-TW"/>
        </w:rPr>
        <w:t>(</w:t>
      </w:r>
      <w:r w:rsidRPr="00EC3A88">
        <w:rPr>
          <w:rFonts w:asciiTheme="majorBidi" w:hAnsiTheme="majorBidi" w:cstheme="majorBidi"/>
          <w:szCs w:val="20"/>
          <w:lang w:eastAsia="zh-TW"/>
        </w:rPr>
        <w:t>QSC, 2003</w:t>
      </w:r>
      <w:r w:rsidRPr="00EC3A88">
        <w:rPr>
          <w:rFonts w:asciiTheme="majorBidi" w:hAnsiTheme="majorBidi" w:cstheme="majorBidi"/>
          <w:szCs w:val="20"/>
          <w:rtl/>
          <w:lang w:eastAsia="zh-TW"/>
        </w:rPr>
        <w:t>)</w:t>
      </w:r>
      <w:r w:rsidRPr="005D1C9A">
        <w:rPr>
          <w:rFonts w:ascii="Traditional Arabic" w:hAnsi="Traditional Arabic" w:cs="Traditional Arabic"/>
          <w:sz w:val="30"/>
          <w:szCs w:val="30"/>
          <w:rtl/>
          <w:lang w:eastAsia="zh-TW"/>
        </w:rPr>
        <w:t>.</w:t>
      </w:r>
    </w:p>
    <w:p w:rsidR="005D1C9A" w:rsidRPr="005D1C9A" w:rsidRDefault="005D1C9A" w:rsidP="008A0CD9">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39</w:t>
      </w:r>
      <w:r w:rsidR="0079317D">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وعند تخزين الزئبق في حاويات، من المهم ترك بعض ”الفراغ العلوي“</w:t>
      </w:r>
      <w:r w:rsidR="0032680C">
        <w:rPr>
          <w:rFonts w:ascii="Traditional Arabic" w:hAnsi="Traditional Arabic" w:cs="Traditional Arabic" w:hint="cs"/>
          <w:sz w:val="30"/>
          <w:szCs w:val="30"/>
          <w:rtl/>
          <w:lang w:eastAsia="zh-TW"/>
        </w:rPr>
        <w:t xml:space="preserve">. وينبغي عدم ملء الحاويات إلى أكثر من 80 في المائة من حجمها، وبالتالي ترك ’’فراغ علوي‘‘ قدره 20 في المائة على الأقل </w:t>
      </w:r>
      <w:r w:rsidRPr="005D1C9A">
        <w:rPr>
          <w:rFonts w:ascii="Traditional Arabic" w:hAnsi="Traditional Arabic" w:cs="Traditional Arabic"/>
          <w:sz w:val="30"/>
          <w:szCs w:val="30"/>
          <w:rtl/>
          <w:lang w:eastAsia="zh-TW"/>
        </w:rPr>
        <w:t xml:space="preserve">في كل حاوية للسماح بالتمدد الحراري للزئبق </w:t>
      </w:r>
      <w:r w:rsidRPr="008A0CD9">
        <w:rPr>
          <w:rFonts w:asciiTheme="majorBidi" w:hAnsiTheme="majorBidi" w:cstheme="majorBidi"/>
          <w:szCs w:val="20"/>
          <w:rtl/>
          <w:lang w:eastAsia="zh-TW"/>
        </w:rPr>
        <w:t>(</w:t>
      </w:r>
      <w:r w:rsidRPr="008A0CD9">
        <w:rPr>
          <w:rFonts w:asciiTheme="majorBidi" w:hAnsiTheme="majorBidi" w:cstheme="majorBidi"/>
          <w:szCs w:val="20"/>
          <w:lang w:eastAsia="zh-TW"/>
        </w:rPr>
        <w:t>EU, 2011</w:t>
      </w:r>
      <w:r w:rsidRPr="008A0CD9">
        <w:rPr>
          <w:rFonts w:asciiTheme="majorBidi" w:hAnsiTheme="majorBidi" w:cstheme="majorBidi"/>
          <w:szCs w:val="20"/>
          <w:rtl/>
          <w:lang w:eastAsia="zh-TW"/>
        </w:rPr>
        <w:t>)</w:t>
      </w:r>
      <w:r w:rsidRPr="005D1C9A">
        <w:rPr>
          <w:rFonts w:ascii="Traditional Arabic" w:hAnsi="Traditional Arabic" w:cs="Traditional Arabic"/>
          <w:sz w:val="30"/>
          <w:szCs w:val="30"/>
          <w:rtl/>
          <w:lang w:eastAsia="zh-TW"/>
        </w:rPr>
        <w:t xml:space="preserve">. وينبغي أن </w:t>
      </w:r>
      <w:r w:rsidR="00DE03BE">
        <w:rPr>
          <w:rFonts w:ascii="Traditional Arabic" w:hAnsi="Traditional Arabic" w:cs="Traditional Arabic"/>
          <w:sz w:val="30"/>
          <w:szCs w:val="30"/>
          <w:rtl/>
          <w:lang w:eastAsia="zh-TW"/>
        </w:rPr>
        <w:t>تلبي الحاويات المعايير التالية:</w:t>
      </w:r>
    </w:p>
    <w:p w:rsidR="005D1C9A" w:rsidRPr="005D1C9A" w:rsidRDefault="005D1C9A" w:rsidP="00DE03BE">
      <w:pPr>
        <w:pStyle w:val="Normalnumber"/>
        <w:numPr>
          <w:ilvl w:val="0"/>
          <w:numId w:val="0"/>
        </w:numPr>
        <w:tabs>
          <w:tab w:val="left" w:pos="2550"/>
        </w:tabs>
        <w:bidi/>
        <w:spacing w:line="400" w:lineRule="exact"/>
        <w:ind w:left="1134" w:firstLine="707"/>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(أ)</w:t>
      </w:r>
      <w:r w:rsidRPr="005D1C9A">
        <w:rPr>
          <w:rFonts w:ascii="Traditional Arabic" w:hAnsi="Traditional Arabic" w:cs="Traditional Arabic"/>
          <w:sz w:val="30"/>
          <w:szCs w:val="30"/>
          <w:rtl/>
          <w:lang w:eastAsia="zh-TW"/>
        </w:rPr>
        <w:tab/>
        <w:t xml:space="preserve">لا ينبغي أن تكون متضررة من أي مواد كانت مخزنة فيها سابقاً، ولا أن تكون قد احتوت سابقاً على </w:t>
      </w:r>
      <w:r w:rsidR="00DE03BE">
        <w:rPr>
          <w:rFonts w:ascii="Traditional Arabic" w:hAnsi="Traditional Arabic" w:cs="Traditional Arabic"/>
          <w:sz w:val="30"/>
          <w:szCs w:val="30"/>
          <w:rtl/>
          <w:lang w:eastAsia="zh-TW"/>
        </w:rPr>
        <w:t>مواد تتفاعل بشكل سيئ مع الزئبق؛</w:t>
      </w:r>
    </w:p>
    <w:p w:rsidR="005D1C9A" w:rsidRPr="005D1C9A" w:rsidRDefault="005D1C9A" w:rsidP="00DE03BE">
      <w:pPr>
        <w:pStyle w:val="Normalnumber"/>
        <w:numPr>
          <w:ilvl w:val="0"/>
          <w:numId w:val="0"/>
        </w:numPr>
        <w:tabs>
          <w:tab w:val="left" w:pos="2550"/>
        </w:tabs>
        <w:bidi/>
        <w:spacing w:line="400" w:lineRule="exact"/>
        <w:ind w:left="1134" w:firstLine="707"/>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(ب)</w:t>
      </w:r>
      <w:r w:rsidRPr="005D1C9A">
        <w:rPr>
          <w:rFonts w:ascii="Traditional Arabic" w:hAnsi="Traditional Arabic" w:cs="Traditional Arabic"/>
          <w:sz w:val="30"/>
          <w:szCs w:val="30"/>
          <w:rtl/>
          <w:lang w:eastAsia="zh-TW"/>
        </w:rPr>
        <w:tab/>
        <w:t>وينبغي أن تتمتع بسلامة هيكلها؛</w:t>
      </w:r>
    </w:p>
    <w:p w:rsidR="005D1C9A" w:rsidRPr="005D1C9A" w:rsidRDefault="005D1C9A" w:rsidP="00DE03BE">
      <w:pPr>
        <w:pStyle w:val="Normalnumber"/>
        <w:numPr>
          <w:ilvl w:val="0"/>
          <w:numId w:val="0"/>
        </w:numPr>
        <w:tabs>
          <w:tab w:val="left" w:pos="2550"/>
        </w:tabs>
        <w:bidi/>
        <w:spacing w:line="400" w:lineRule="exact"/>
        <w:ind w:left="1134" w:firstLine="707"/>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(ج)</w:t>
      </w:r>
      <w:r w:rsidRPr="005D1C9A">
        <w:rPr>
          <w:rFonts w:ascii="Traditional Arabic" w:hAnsi="Traditional Arabic" w:cs="Traditional Arabic"/>
          <w:sz w:val="30"/>
          <w:szCs w:val="30"/>
          <w:rtl/>
          <w:lang w:eastAsia="zh-TW"/>
        </w:rPr>
        <w:tab/>
        <w:t xml:space="preserve">ولا ينبغي </w:t>
      </w:r>
      <w:r w:rsidR="00DE03BE">
        <w:rPr>
          <w:rFonts w:ascii="Traditional Arabic" w:hAnsi="Traditional Arabic" w:cs="Traditional Arabic"/>
          <w:sz w:val="30"/>
          <w:szCs w:val="30"/>
          <w:rtl/>
          <w:lang w:eastAsia="zh-TW"/>
        </w:rPr>
        <w:t>أن تظهر قدراً كبيراً من التآكل؛</w:t>
      </w:r>
    </w:p>
    <w:p w:rsidR="005D1C9A" w:rsidRPr="005D1C9A" w:rsidRDefault="005D1C9A" w:rsidP="00DE03BE">
      <w:pPr>
        <w:pStyle w:val="Normalnumber"/>
        <w:numPr>
          <w:ilvl w:val="0"/>
          <w:numId w:val="0"/>
        </w:numPr>
        <w:tabs>
          <w:tab w:val="left" w:pos="2550"/>
        </w:tabs>
        <w:bidi/>
        <w:spacing w:line="400" w:lineRule="exact"/>
        <w:ind w:left="1134" w:firstLine="707"/>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(د)</w:t>
      </w:r>
      <w:r w:rsidR="00DE03BE">
        <w:rPr>
          <w:rFonts w:ascii="Traditional Arabic" w:hAnsi="Traditional Arabic" w:cs="Traditional Arabic" w:hint="cs"/>
          <w:sz w:val="30"/>
          <w:szCs w:val="30"/>
          <w:rtl/>
          <w:lang w:eastAsia="zh-TW"/>
        </w:rPr>
        <w:tab/>
      </w:r>
      <w:r w:rsidRPr="005D1C9A">
        <w:rPr>
          <w:rFonts w:ascii="Traditional Arabic" w:hAnsi="Traditional Arabic" w:cs="Traditional Arabic"/>
          <w:sz w:val="30"/>
          <w:szCs w:val="30"/>
          <w:rtl/>
          <w:lang w:eastAsia="zh-TW"/>
        </w:rPr>
        <w:t>وينبغي أن تكون مزوّدة بطلاء (دهان) واقٍ يحميها من التآكل</w:t>
      </w:r>
      <w:r w:rsidR="00DE03BE">
        <w:rPr>
          <w:rFonts w:ascii="Traditional Arabic" w:hAnsi="Traditional Arabic" w:cs="Traditional Arabic" w:hint="cs"/>
          <w:sz w:val="30"/>
          <w:szCs w:val="30"/>
          <w:rtl/>
          <w:lang w:eastAsia="zh-TW"/>
        </w:rPr>
        <w:t>؛</w:t>
      </w:r>
    </w:p>
    <w:p w:rsidR="005D1C9A" w:rsidRPr="005D1C9A" w:rsidRDefault="005D1C9A" w:rsidP="00DE03BE">
      <w:pPr>
        <w:pStyle w:val="Normalnumber"/>
        <w:numPr>
          <w:ilvl w:val="0"/>
          <w:numId w:val="0"/>
        </w:numPr>
        <w:tabs>
          <w:tab w:val="left" w:pos="2550"/>
        </w:tabs>
        <w:bidi/>
        <w:spacing w:line="400" w:lineRule="exact"/>
        <w:ind w:left="1134" w:firstLine="707"/>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w:t>
      </w:r>
      <w:r w:rsidRPr="005D1C9A">
        <w:rPr>
          <w:rFonts w:ascii="Traditional Arabic" w:hAnsi="Traditional Arabic" w:cs="Traditional Arabic" w:hint="cs"/>
          <w:sz w:val="30"/>
          <w:szCs w:val="30"/>
          <w:rtl/>
          <w:lang w:eastAsia="zh-TW"/>
        </w:rPr>
        <w:t>ﻫ</w:t>
      </w:r>
      <w:r w:rsidRPr="005D1C9A">
        <w:rPr>
          <w:rFonts w:ascii="Traditional Arabic" w:hAnsi="Traditional Arabic" w:cs="Traditional Arabic"/>
          <w:sz w:val="30"/>
          <w:szCs w:val="30"/>
          <w:rtl/>
          <w:lang w:eastAsia="zh-TW"/>
        </w:rPr>
        <w:t>)</w:t>
      </w:r>
      <w:r w:rsidR="00DE03BE">
        <w:rPr>
          <w:rFonts w:ascii="Traditional Arabic" w:hAnsi="Traditional Arabic" w:cs="Traditional Arabic" w:hint="cs"/>
          <w:sz w:val="30"/>
          <w:szCs w:val="30"/>
          <w:rtl/>
          <w:lang w:eastAsia="zh-TW"/>
        </w:rPr>
        <w:tab/>
      </w:r>
      <w:r w:rsidRPr="005D1C9A">
        <w:rPr>
          <w:rFonts w:ascii="Traditional Arabic" w:hAnsi="Traditional Arabic" w:cs="Traditional Arabic"/>
          <w:sz w:val="30"/>
          <w:szCs w:val="30"/>
          <w:rtl/>
          <w:lang w:eastAsia="zh-TW"/>
        </w:rPr>
        <w:t>وينبغي أن تكون مانعة لتسرب الغازات والسوائل.</w:t>
      </w:r>
    </w:p>
    <w:p w:rsidR="005D1C9A" w:rsidRPr="005D1C9A" w:rsidRDefault="005D1C9A" w:rsidP="008A0CD9">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40</w:t>
      </w:r>
      <w:r w:rsidR="0079317D">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وتشمل المواد المناسبة لحاويات الزئبق</w:t>
      </w:r>
      <w:r w:rsidR="0079317D">
        <w:rPr>
          <w:rFonts w:ascii="Traditional Arabic" w:hAnsi="Traditional Arabic" w:cs="Traditional Arabic" w:hint="cs"/>
          <w:sz w:val="30"/>
          <w:szCs w:val="30"/>
          <w:rtl/>
          <w:lang w:eastAsia="zh-TW"/>
        </w:rPr>
        <w:t>،</w:t>
      </w:r>
      <w:r w:rsidRPr="005D1C9A">
        <w:rPr>
          <w:rFonts w:ascii="Traditional Arabic" w:hAnsi="Traditional Arabic" w:cs="Traditional Arabic"/>
          <w:sz w:val="30"/>
          <w:szCs w:val="30"/>
          <w:rtl/>
          <w:lang w:eastAsia="zh-TW"/>
        </w:rPr>
        <w:t xml:space="preserve"> الكربون (لا يقل عن </w:t>
      </w:r>
      <w:r w:rsidRPr="0079317D">
        <w:rPr>
          <w:rFonts w:asciiTheme="majorBidi" w:hAnsiTheme="majorBidi" w:cstheme="majorBidi"/>
          <w:szCs w:val="20"/>
          <w:lang w:eastAsia="zh-TW"/>
        </w:rPr>
        <w:t>A</w:t>
      </w:r>
      <w:r w:rsidR="0032680C">
        <w:rPr>
          <w:rFonts w:asciiTheme="majorBidi" w:hAnsiTheme="majorBidi" w:cstheme="majorBidi"/>
          <w:szCs w:val="20"/>
          <w:lang w:eastAsia="zh-TW"/>
        </w:rPr>
        <w:t>S</w:t>
      </w:r>
      <w:r w:rsidRPr="0079317D">
        <w:rPr>
          <w:rFonts w:asciiTheme="majorBidi" w:hAnsiTheme="majorBidi" w:cstheme="majorBidi"/>
          <w:szCs w:val="20"/>
          <w:lang w:eastAsia="zh-TW"/>
        </w:rPr>
        <w:t>TM A36</w:t>
      </w:r>
      <w:r w:rsidRPr="005D1C9A">
        <w:rPr>
          <w:rFonts w:ascii="Traditional Arabic" w:hAnsi="Traditional Arabic" w:cs="Traditional Arabic"/>
          <w:sz w:val="30"/>
          <w:szCs w:val="30"/>
          <w:rtl/>
          <w:lang w:eastAsia="zh-TW"/>
        </w:rPr>
        <w:t xml:space="preserve"> وفقاً لمعايير الجمعية الأمريكية للاختبار والمواد) أو الفولاذ غير القابل للصدأ (بمعيار </w:t>
      </w:r>
      <w:r w:rsidRPr="0079317D">
        <w:rPr>
          <w:rFonts w:asciiTheme="majorBidi" w:hAnsiTheme="majorBidi" w:cstheme="majorBidi"/>
          <w:szCs w:val="20"/>
          <w:lang w:eastAsia="zh-TW"/>
        </w:rPr>
        <w:t>AISI 304</w:t>
      </w:r>
      <w:r w:rsidRPr="005D1C9A">
        <w:rPr>
          <w:rFonts w:ascii="Traditional Arabic" w:hAnsi="Traditional Arabic" w:cs="Traditional Arabic"/>
          <w:sz w:val="30"/>
          <w:szCs w:val="30"/>
          <w:rtl/>
          <w:lang w:eastAsia="zh-TW"/>
        </w:rPr>
        <w:t xml:space="preserve"> أو </w:t>
      </w:r>
      <w:r w:rsidRPr="0079317D">
        <w:rPr>
          <w:rFonts w:asciiTheme="majorBidi" w:hAnsiTheme="majorBidi" w:cstheme="majorBidi"/>
          <w:szCs w:val="20"/>
          <w:lang w:eastAsia="zh-TW"/>
        </w:rPr>
        <w:t>316L</w:t>
      </w:r>
      <w:r w:rsidRPr="005D1C9A">
        <w:rPr>
          <w:rFonts w:ascii="Traditional Arabic" w:hAnsi="Traditional Arabic" w:cs="Traditional Arabic"/>
          <w:sz w:val="30"/>
          <w:szCs w:val="30"/>
          <w:rtl/>
          <w:lang w:eastAsia="zh-TW"/>
        </w:rPr>
        <w:t xml:space="preserve"> حسب المعهد الأمريكي للحديد والصلب)، التي لا تتفاعل مع الزئبق في درجات الحرارة المحي</w:t>
      </w:r>
      <w:r w:rsidRPr="005D1C9A">
        <w:rPr>
          <w:rFonts w:ascii="Traditional Arabic" w:hAnsi="Traditional Arabic" w:cs="Traditional Arabic" w:hint="eastAsia"/>
          <w:sz w:val="30"/>
          <w:szCs w:val="30"/>
          <w:rtl/>
          <w:lang w:eastAsia="zh-TW"/>
        </w:rPr>
        <w:t>طة</w:t>
      </w:r>
      <w:r w:rsidRPr="005D1C9A">
        <w:rPr>
          <w:rFonts w:ascii="Traditional Arabic" w:hAnsi="Traditional Arabic" w:cs="Traditional Arabic"/>
          <w:sz w:val="30"/>
          <w:szCs w:val="30"/>
          <w:rtl/>
          <w:lang w:eastAsia="zh-TW"/>
        </w:rPr>
        <w:t>. ولا يلزم طلاء واق للسطوح الداخلية للحاويات ما دام الزئبق الذي يخزن فيها يستوفي معايير النقاء اللازمة لتخزينه كزئبق أولي وطالما لم يكن هناك ماء في الحاوية. ولكن ينبغي وضع الطلاء الواقي (مثلاً دهان الإبوكسي أو الطلاء بالكهرباء) على جميع السطوح الخارجية ل</w:t>
      </w:r>
      <w:r w:rsidRPr="005D1C9A">
        <w:rPr>
          <w:rFonts w:ascii="Traditional Arabic" w:hAnsi="Traditional Arabic" w:cs="Traditional Arabic" w:hint="eastAsia"/>
          <w:sz w:val="30"/>
          <w:szCs w:val="30"/>
          <w:rtl/>
          <w:lang w:eastAsia="zh-TW"/>
        </w:rPr>
        <w:t>لصلب</w:t>
      </w:r>
      <w:r w:rsidRPr="005D1C9A">
        <w:rPr>
          <w:rFonts w:ascii="Traditional Arabic" w:hAnsi="Traditional Arabic" w:cs="Traditional Arabic"/>
          <w:sz w:val="30"/>
          <w:szCs w:val="30"/>
          <w:rtl/>
          <w:lang w:eastAsia="zh-TW"/>
        </w:rPr>
        <w:t xml:space="preserve"> الكربوني بحيث لا</w:t>
      </w:r>
      <w:r w:rsidR="00EC3A88">
        <w:rPr>
          <w:rFonts w:ascii="Traditional Arabic" w:hAnsi="Traditional Arabic" w:cs="Traditional Arabic" w:hint="cs"/>
          <w:sz w:val="30"/>
          <w:szCs w:val="30"/>
          <w:rtl/>
          <w:lang w:eastAsia="zh-TW"/>
        </w:rPr>
        <w:t> </w:t>
      </w:r>
      <w:r w:rsidRPr="005D1C9A">
        <w:rPr>
          <w:rFonts w:ascii="Traditional Arabic" w:hAnsi="Traditional Arabic" w:cs="Traditional Arabic"/>
          <w:sz w:val="30"/>
          <w:szCs w:val="30"/>
          <w:rtl/>
          <w:lang w:eastAsia="zh-TW"/>
        </w:rPr>
        <w:t xml:space="preserve">تترك سطوح الفولاذ مكشوفة. ويجب وضع الطلاء على نحو يقلّل إلى أدنى حد ممكن من ظهور الفقاعات والتقشر والتشقّق في الدهان. وينبغي أن تلصق على كل حاوية بطاقات تعريفية تتضمن المعلومات عن أسماء موردي الزئبق، ومنشأ الزئبق، ومستواه ونقائه، ورقم الحاوية، ووزنها الإجمالي والصافي، وتاريخ حقن الزئبق في الحاوية، بالإضافة إلى علامة تبين أن الحاوية تحتوي على مواد تسبب التآكل </w:t>
      </w:r>
      <w:r w:rsidRPr="009C295C">
        <w:rPr>
          <w:rFonts w:asciiTheme="majorBidi" w:hAnsiTheme="majorBidi" w:cstheme="majorBidi"/>
          <w:szCs w:val="20"/>
          <w:rtl/>
          <w:lang w:eastAsia="zh-TW"/>
        </w:rPr>
        <w:t>(</w:t>
      </w:r>
      <w:r w:rsidRPr="009C295C">
        <w:rPr>
          <w:rFonts w:asciiTheme="majorBidi" w:hAnsiTheme="majorBidi" w:cstheme="majorBidi"/>
          <w:szCs w:val="20"/>
          <w:lang w:eastAsia="zh-TW"/>
        </w:rPr>
        <w:t>“corrosives”</w:t>
      </w:r>
      <w:r w:rsidRPr="005D1C9A">
        <w:rPr>
          <w:rFonts w:ascii="Traditional Arabic" w:hAnsi="Traditional Arabic" w:cs="Traditional Arabic"/>
          <w:sz w:val="30"/>
          <w:szCs w:val="30"/>
          <w:rtl/>
          <w:lang w:eastAsia="zh-TW"/>
        </w:rPr>
        <w:t xml:space="preserve">) ”مواد أكّالة“ </w:t>
      </w:r>
      <w:r w:rsidRPr="009404B2">
        <w:rPr>
          <w:rFonts w:asciiTheme="majorBidi" w:hAnsiTheme="majorBidi" w:cstheme="majorBidi"/>
          <w:szCs w:val="20"/>
          <w:rtl/>
          <w:lang w:eastAsia="zh-TW"/>
        </w:rPr>
        <w:t>(</w:t>
      </w:r>
      <w:r w:rsidRPr="009404B2">
        <w:rPr>
          <w:rFonts w:asciiTheme="majorBidi" w:hAnsiTheme="majorBidi" w:cstheme="majorBidi"/>
          <w:szCs w:val="20"/>
          <w:lang w:eastAsia="zh-TW"/>
        </w:rPr>
        <w:t>US Department of Energy, 2009</w:t>
      </w:r>
      <w:r w:rsidRPr="009404B2">
        <w:rPr>
          <w:rFonts w:asciiTheme="majorBidi" w:hAnsiTheme="majorBidi" w:cstheme="majorBidi"/>
          <w:szCs w:val="20"/>
          <w:rtl/>
          <w:lang w:eastAsia="zh-TW"/>
        </w:rPr>
        <w:t>)</w:t>
      </w:r>
      <w:r w:rsidRPr="005D1C9A">
        <w:rPr>
          <w:rFonts w:ascii="Traditional Arabic" w:hAnsi="Traditional Arabic" w:cs="Traditional Arabic"/>
          <w:sz w:val="30"/>
          <w:szCs w:val="30"/>
          <w:rtl/>
          <w:lang w:eastAsia="zh-TW"/>
        </w:rPr>
        <w:t>. وبالإضافة إلى ذلك، ينبغي أن تبين البطاقات التعريفية أن الحاوية تس</w:t>
      </w:r>
      <w:r w:rsidRPr="005D1C9A">
        <w:rPr>
          <w:rFonts w:ascii="Traditional Arabic" w:hAnsi="Traditional Arabic" w:cs="Traditional Arabic" w:hint="eastAsia"/>
          <w:sz w:val="30"/>
          <w:szCs w:val="30"/>
          <w:rtl/>
          <w:lang w:eastAsia="zh-TW"/>
        </w:rPr>
        <w:t>توفي</w:t>
      </w:r>
      <w:r w:rsidRPr="005D1C9A">
        <w:rPr>
          <w:rFonts w:ascii="Traditional Arabic" w:hAnsi="Traditional Arabic" w:cs="Traditional Arabic"/>
          <w:sz w:val="30"/>
          <w:szCs w:val="30"/>
          <w:rtl/>
          <w:lang w:eastAsia="zh-TW"/>
        </w:rPr>
        <w:t xml:space="preserve"> المعايير التقنية الوطنية والدولية المناسبة فيما يتعلق بمنعها للتسرب واستقرارها من حيث الضغط ومقاومتها للصدمات وكيفية تجاوبها </w:t>
      </w:r>
      <w:r w:rsidR="00A25606">
        <w:rPr>
          <w:rFonts w:ascii="Traditional Arabic" w:hAnsi="Traditional Arabic" w:cs="Traditional Arabic" w:hint="cs"/>
          <w:sz w:val="30"/>
          <w:szCs w:val="30"/>
          <w:rtl/>
          <w:lang w:eastAsia="zh-TW"/>
        </w:rPr>
        <w:t>مع</w:t>
      </w:r>
      <w:r w:rsidRPr="005D1C9A">
        <w:rPr>
          <w:rFonts w:ascii="Traditional Arabic" w:hAnsi="Traditional Arabic" w:cs="Traditional Arabic"/>
          <w:sz w:val="30"/>
          <w:szCs w:val="30"/>
          <w:rtl/>
          <w:lang w:eastAsia="zh-TW"/>
        </w:rPr>
        <w:t xml:space="preserve"> ال</w:t>
      </w:r>
      <w:r w:rsidR="00DE03BE">
        <w:rPr>
          <w:rFonts w:ascii="Traditional Arabic" w:hAnsi="Traditional Arabic" w:cs="Traditional Arabic"/>
          <w:sz w:val="30"/>
          <w:szCs w:val="30"/>
          <w:rtl/>
          <w:lang w:eastAsia="zh-TW"/>
        </w:rPr>
        <w:t>تعرض للحرارة في جملة أمور أخرى.</w:t>
      </w:r>
    </w:p>
    <w:p w:rsidR="005D1C9A" w:rsidRPr="005D1C9A" w:rsidRDefault="005D1C9A" w:rsidP="00842EC3">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41</w:t>
      </w:r>
      <w:r w:rsidR="009C295C">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 xml:space="preserve">وعند تخزين الزئبق ومركبات الزئبق، ينبغي أن تكون نقية بقدر الإمكان لتفادي التفاعلات الكيميائية وتدهور حالة الحاويات. ويُوصى بمحتوى زئبق أعلى من نسبة 99,9 في المائة حسب الوزن. ولمستويات النقاء الأقل (٩٥ إلى ٩٩,٩ في المائة حسب الوزن)، قد يكون من الضروري </w:t>
      </w:r>
      <w:r w:rsidRPr="005D1C9A">
        <w:rPr>
          <w:rFonts w:ascii="Traditional Arabic" w:hAnsi="Traditional Arabic" w:cs="Traditional Arabic" w:hint="eastAsia"/>
          <w:sz w:val="30"/>
          <w:szCs w:val="30"/>
          <w:rtl/>
          <w:lang w:eastAsia="zh-TW"/>
        </w:rPr>
        <w:t>رصد</w:t>
      </w:r>
      <w:r w:rsidRPr="005D1C9A">
        <w:rPr>
          <w:rFonts w:ascii="Traditional Arabic" w:hAnsi="Traditional Arabic" w:cs="Traditional Arabic"/>
          <w:sz w:val="30"/>
          <w:szCs w:val="30"/>
          <w:rtl/>
          <w:lang w:eastAsia="zh-TW"/>
        </w:rPr>
        <w:t xml:space="preserve"> حالة الحاويات للكشف عن أي </w:t>
      </w:r>
      <w:r w:rsidRPr="005D1C9A">
        <w:rPr>
          <w:rFonts w:ascii="Traditional Arabic" w:hAnsi="Traditional Arabic" w:cs="Traditional Arabic"/>
          <w:sz w:val="30"/>
          <w:szCs w:val="30"/>
          <w:rtl/>
          <w:lang w:eastAsia="zh-TW"/>
        </w:rPr>
        <w:lastRenderedPageBreak/>
        <w:t>تدهور يحدث مع مرور الزمن. وينبغي أن تؤخذ في الاعتبار فترة تخزين الزئبق المحتوي على الملوثات، لأن فترات التخزين الطويلة قد تؤثر على حاويات التخزين</w:t>
      </w:r>
      <w:r w:rsidR="00DE03BE">
        <w:rPr>
          <w:rFonts w:ascii="Traditional Arabic" w:hAnsi="Traditional Arabic" w:cs="Traditional Arabic"/>
          <w:sz w:val="30"/>
          <w:szCs w:val="30"/>
          <w:rtl/>
          <w:lang w:eastAsia="zh-TW"/>
        </w:rPr>
        <w:t>.</w:t>
      </w:r>
    </w:p>
    <w:p w:rsidR="005D1C9A" w:rsidRPr="00426042" w:rsidRDefault="005D1C9A" w:rsidP="00842EC3">
      <w:pPr>
        <w:pStyle w:val="Heading1"/>
        <w:bidi/>
        <w:spacing w:before="0" w:line="400" w:lineRule="exact"/>
        <w:ind w:left="1134" w:hanging="710"/>
        <w:jc w:val="both"/>
        <w:textDirection w:val="tbRlV"/>
        <w:rPr>
          <w:b/>
          <w:bCs/>
          <w:sz w:val="30"/>
          <w:u w:val="none"/>
          <w:rtl/>
          <w:lang w:eastAsia="zh-TW"/>
        </w:rPr>
      </w:pPr>
      <w:bookmarkStart w:id="8" w:name="_Toc485639167"/>
      <w:r w:rsidRPr="00426042">
        <w:rPr>
          <w:rFonts w:hint="eastAsia"/>
          <w:b/>
          <w:bCs/>
          <w:sz w:val="30"/>
          <w:u w:val="none"/>
          <w:rtl/>
          <w:lang w:eastAsia="zh-TW"/>
        </w:rPr>
        <w:t>هاء</w:t>
      </w:r>
      <w:r w:rsidR="009C295C" w:rsidRPr="00426042">
        <w:rPr>
          <w:rFonts w:hint="cs"/>
          <w:b/>
          <w:bCs/>
          <w:sz w:val="30"/>
          <w:u w:val="none"/>
          <w:rtl/>
          <w:lang w:eastAsia="zh-TW"/>
        </w:rPr>
        <w:t xml:space="preserve"> </w:t>
      </w:r>
      <w:r w:rsidRPr="00426042">
        <w:rPr>
          <w:b/>
          <w:bCs/>
          <w:sz w:val="30"/>
          <w:u w:val="none"/>
          <w:rtl/>
          <w:lang w:eastAsia="zh-TW"/>
        </w:rPr>
        <w:t>-</w:t>
      </w:r>
      <w:r w:rsidR="00DE03BE">
        <w:rPr>
          <w:rFonts w:hint="cs"/>
          <w:b/>
          <w:bCs/>
          <w:sz w:val="30"/>
          <w:u w:val="none"/>
          <w:rtl/>
          <w:lang w:eastAsia="zh-TW"/>
        </w:rPr>
        <w:tab/>
      </w:r>
      <w:r w:rsidRPr="00426042">
        <w:rPr>
          <w:b/>
          <w:bCs/>
          <w:sz w:val="30"/>
          <w:u w:val="none"/>
          <w:rtl/>
          <w:lang w:eastAsia="zh-TW"/>
        </w:rPr>
        <w:t>النقل</w:t>
      </w:r>
      <w:bookmarkEnd w:id="8"/>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42</w:t>
      </w:r>
      <w:r w:rsidR="009C295C">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ينبغي التغليف السليم للزئبق الذي يُنقل إلى نقطة الاستخدام ووضع البطاقات التعريفية عليه على نحو مناسب. وكثيراً ما تخضع إجراءات تعبئة وتغليف النفايات ولصق البطاقات التعريفية عليها، من أجل نقلها، للمراقبة بموجب التشريعات الوطنية المتعلقة بالمواد الخطرة أو نقل البضائع الخطرة، وينبغي الرجوع إلى تلك التشريعات أولاً (انظر القسم الخامس أدناه، ”التوجيهات المتعلقة بالجمع والمناولة والتغليف والنقل“). فإذا كانت هذه التشريعات ناقصة أو لا توفر ما يكفي من التوجيهات، ينبغي الاسترشاد بالمواد المرجعية التي تصدرها الحكوما</w:t>
      </w:r>
      <w:r w:rsidRPr="005D1C9A">
        <w:rPr>
          <w:rFonts w:ascii="Traditional Arabic" w:hAnsi="Traditional Arabic" w:cs="Traditional Arabic" w:hint="eastAsia"/>
          <w:sz w:val="30"/>
          <w:szCs w:val="30"/>
          <w:rtl/>
          <w:lang w:eastAsia="zh-TW"/>
        </w:rPr>
        <w:t>ت</w:t>
      </w:r>
      <w:r w:rsidRPr="005D1C9A">
        <w:rPr>
          <w:rFonts w:ascii="Traditional Arabic" w:hAnsi="Traditional Arabic" w:cs="Traditional Arabic"/>
          <w:sz w:val="30"/>
          <w:szCs w:val="30"/>
          <w:rtl/>
          <w:lang w:eastAsia="zh-TW"/>
        </w:rPr>
        <w:t xml:space="preserve"> الوطنية، ومنظمة الطيران المدني الدولي والمنظمة البحرية الدولية واللجنة الاقتصادية لأوروبا. وقد وُضعت معايير قياسية دولية بشأن العمليات السليمة لوسم المواد الكيميائية والخلائط وتعريفها، ويشمل ذلك المواد المرجعية التالية:</w:t>
      </w:r>
    </w:p>
    <w:p w:rsidR="005D1C9A" w:rsidRPr="005D1C9A" w:rsidRDefault="005D1C9A" w:rsidP="00DE03BE">
      <w:pPr>
        <w:pStyle w:val="Normalnumber"/>
        <w:numPr>
          <w:ilvl w:val="0"/>
          <w:numId w:val="0"/>
        </w:numPr>
        <w:tabs>
          <w:tab w:val="left" w:pos="2550"/>
        </w:tabs>
        <w:bidi/>
        <w:spacing w:line="400" w:lineRule="exact"/>
        <w:ind w:left="1134" w:firstLine="707"/>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(أ)</w:t>
      </w:r>
      <w:r w:rsidR="00DE03BE">
        <w:rPr>
          <w:rFonts w:ascii="Traditional Arabic" w:hAnsi="Traditional Arabic" w:cs="Traditional Arabic" w:hint="cs"/>
          <w:sz w:val="30"/>
          <w:szCs w:val="30"/>
          <w:rtl/>
          <w:lang w:eastAsia="zh-TW"/>
        </w:rPr>
        <w:tab/>
      </w:r>
      <w:r w:rsidRPr="005D1C9A">
        <w:rPr>
          <w:rFonts w:ascii="Traditional Arabic" w:hAnsi="Traditional Arabic" w:cs="Traditional Arabic"/>
          <w:sz w:val="30"/>
          <w:szCs w:val="30"/>
          <w:rtl/>
          <w:lang w:eastAsia="zh-TW"/>
        </w:rPr>
        <w:t xml:space="preserve">الأمم المتحدة (2015)، </w:t>
      </w:r>
      <w:r w:rsidRPr="006D24F7">
        <w:rPr>
          <w:rFonts w:ascii="Traditional Arabic" w:hAnsi="Traditional Arabic" w:cs="Traditional Arabic"/>
          <w:i/>
          <w:iCs/>
          <w:sz w:val="30"/>
          <w:szCs w:val="30"/>
          <w:rtl/>
          <w:lang w:eastAsia="zh-TW"/>
        </w:rPr>
        <w:t>النظام المنسق عالميا</w:t>
      </w:r>
      <w:r w:rsidR="00562277">
        <w:rPr>
          <w:rFonts w:ascii="Traditional Arabic" w:hAnsi="Traditional Arabic" w:cs="Traditional Arabic" w:hint="cs"/>
          <w:i/>
          <w:iCs/>
          <w:sz w:val="30"/>
          <w:szCs w:val="30"/>
          <w:rtl/>
          <w:lang w:eastAsia="zh-TW"/>
        </w:rPr>
        <w:t>ً</w:t>
      </w:r>
      <w:r w:rsidRPr="006D24F7">
        <w:rPr>
          <w:rFonts w:ascii="Traditional Arabic" w:hAnsi="Traditional Arabic" w:cs="Traditional Arabic"/>
          <w:i/>
          <w:iCs/>
          <w:sz w:val="30"/>
          <w:szCs w:val="30"/>
          <w:rtl/>
          <w:lang w:eastAsia="zh-TW"/>
        </w:rPr>
        <w:t xml:space="preserve"> لتصنيف المواد الكيميائية ووسمها</w:t>
      </w:r>
      <w:r w:rsidRPr="005D1C9A">
        <w:rPr>
          <w:rFonts w:ascii="Traditional Arabic" w:hAnsi="Traditional Arabic" w:cs="Traditional Arabic"/>
          <w:sz w:val="30"/>
          <w:szCs w:val="30"/>
          <w:rtl/>
          <w:lang w:eastAsia="zh-TW"/>
        </w:rPr>
        <w:t>، الطبعة المنقحة السادسة (يت</w:t>
      </w:r>
      <w:r w:rsidR="00DE03BE">
        <w:rPr>
          <w:rFonts w:ascii="Traditional Arabic" w:hAnsi="Traditional Arabic" w:cs="Traditional Arabic"/>
          <w:sz w:val="30"/>
          <w:szCs w:val="30"/>
          <w:rtl/>
          <w:lang w:eastAsia="zh-TW"/>
        </w:rPr>
        <w:t>م تنقيحه وتحسينه مرة كل سنتين)؛</w:t>
      </w:r>
    </w:p>
    <w:p w:rsidR="005D1C9A" w:rsidRPr="005D1C9A" w:rsidRDefault="005D1C9A" w:rsidP="00DE03BE">
      <w:pPr>
        <w:pStyle w:val="Normalnumber"/>
        <w:numPr>
          <w:ilvl w:val="0"/>
          <w:numId w:val="0"/>
        </w:numPr>
        <w:tabs>
          <w:tab w:val="left" w:pos="2550"/>
        </w:tabs>
        <w:bidi/>
        <w:spacing w:line="400" w:lineRule="exact"/>
        <w:ind w:left="1134" w:firstLine="707"/>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(ب)</w:t>
      </w:r>
      <w:r w:rsidR="00DE03BE">
        <w:rPr>
          <w:rFonts w:ascii="Traditional Arabic" w:hAnsi="Traditional Arabic" w:cs="Traditional Arabic" w:hint="cs"/>
          <w:sz w:val="30"/>
          <w:szCs w:val="30"/>
          <w:rtl/>
          <w:lang w:eastAsia="zh-TW"/>
        </w:rPr>
        <w:tab/>
      </w:r>
      <w:r w:rsidRPr="005D1C9A">
        <w:rPr>
          <w:rFonts w:ascii="Traditional Arabic" w:hAnsi="Traditional Arabic" w:cs="Traditional Arabic"/>
          <w:sz w:val="30"/>
          <w:szCs w:val="30"/>
          <w:rtl/>
          <w:lang w:eastAsia="zh-TW"/>
        </w:rPr>
        <w:t xml:space="preserve">نظام التصنيف المتكامل المتجانس بشأن مخاطر المواد والخلائط الكيميائية على الصحة البشرية والبيئة لعام 2001،  الصادر عن منظمة التعاون والتنمية في الميدان الاقتصادي </w:t>
      </w:r>
      <w:r w:rsidRPr="009404B2">
        <w:rPr>
          <w:rFonts w:asciiTheme="majorBidi" w:hAnsiTheme="majorBidi" w:cstheme="majorBidi"/>
          <w:szCs w:val="20"/>
          <w:rtl/>
          <w:lang w:eastAsia="zh-TW"/>
        </w:rPr>
        <w:t>(</w:t>
      </w:r>
      <w:r w:rsidRPr="009404B2">
        <w:rPr>
          <w:rFonts w:asciiTheme="majorBidi" w:hAnsiTheme="majorBidi" w:cstheme="majorBidi"/>
          <w:szCs w:val="20"/>
          <w:lang w:eastAsia="zh-TW"/>
        </w:rPr>
        <w:t xml:space="preserve">Organization for Economic Cooperation and Development (2001), </w:t>
      </w:r>
      <w:r w:rsidRPr="009404B2">
        <w:rPr>
          <w:rFonts w:asciiTheme="majorBidi" w:hAnsiTheme="majorBidi" w:cstheme="majorBidi"/>
          <w:i/>
          <w:iCs/>
          <w:szCs w:val="20"/>
          <w:lang w:eastAsia="zh-TW"/>
        </w:rPr>
        <w:t>Harmonised Integrated Classification System for Human Health and Environmental Hazards of Chemical Substances and Mixtures</w:t>
      </w:r>
      <w:r w:rsidR="00DE03BE" w:rsidRPr="009404B2">
        <w:rPr>
          <w:rFonts w:asciiTheme="majorBidi" w:hAnsiTheme="majorBidi" w:cstheme="majorBidi"/>
          <w:szCs w:val="20"/>
          <w:rtl/>
          <w:lang w:eastAsia="zh-TW"/>
        </w:rPr>
        <w:t>)</w:t>
      </w:r>
      <w:r w:rsidR="00DE03BE">
        <w:rPr>
          <w:rFonts w:ascii="Traditional Arabic" w:hAnsi="Traditional Arabic" w:cs="Traditional Arabic" w:hint="cs"/>
          <w:sz w:val="30"/>
          <w:szCs w:val="30"/>
          <w:rtl/>
          <w:lang w:eastAsia="zh-TW"/>
        </w:rPr>
        <w:t>.</w:t>
      </w:r>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43</w:t>
      </w:r>
      <w:r w:rsidR="009C295C">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و</w:t>
      </w:r>
      <w:r w:rsidR="0032680C">
        <w:rPr>
          <w:rFonts w:ascii="Traditional Arabic" w:hAnsi="Traditional Arabic" w:cs="Traditional Arabic" w:hint="cs"/>
          <w:sz w:val="30"/>
          <w:szCs w:val="30"/>
          <w:rtl/>
          <w:lang w:eastAsia="zh-TW"/>
        </w:rPr>
        <w:t xml:space="preserve">لا </w:t>
      </w:r>
      <w:r w:rsidRPr="005D1C9A">
        <w:rPr>
          <w:rFonts w:ascii="Traditional Arabic" w:hAnsi="Traditional Arabic" w:cs="Traditional Arabic"/>
          <w:sz w:val="30"/>
          <w:szCs w:val="30"/>
          <w:rtl/>
          <w:lang w:eastAsia="zh-TW"/>
        </w:rPr>
        <w:t>تُدرج في هذه التوجيهات الاحتياجات المفصلة للنقل في هذه المرحلة، لأنها تعتبر أكثر ملاءمة للمصدر الأولي المعني الذي سيسترشد به من أجل هذه المعلومات.</w:t>
      </w:r>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44</w:t>
      </w:r>
      <w:r w:rsidR="009C295C">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 xml:space="preserve">وبالنسبة للوسم والتغليف في غير أحوال النقل، ينبغي أخذ </w:t>
      </w:r>
      <w:r w:rsidRPr="006C3E63">
        <w:rPr>
          <w:rFonts w:ascii="Traditional Arabic" w:hAnsi="Traditional Arabic" w:cs="Traditional Arabic"/>
          <w:i/>
          <w:iCs/>
          <w:sz w:val="30"/>
          <w:szCs w:val="30"/>
          <w:rtl/>
          <w:lang w:eastAsia="zh-TW"/>
        </w:rPr>
        <w:t>النظام المنسق عالمياً لتصنيف المواد الكيميائية ووسمها</w:t>
      </w:r>
      <w:r w:rsidRPr="005D1C9A">
        <w:rPr>
          <w:rFonts w:ascii="Traditional Arabic" w:hAnsi="Traditional Arabic" w:cs="Traditional Arabic"/>
          <w:sz w:val="30"/>
          <w:szCs w:val="30"/>
          <w:rtl/>
          <w:lang w:eastAsia="zh-TW"/>
        </w:rPr>
        <w:t xml:space="preserve"> في الاعتبار، حسب الاقتضاء.</w:t>
      </w:r>
    </w:p>
    <w:p w:rsidR="005D1C9A" w:rsidRPr="00DE03BE"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9C295C">
        <w:rPr>
          <w:rFonts w:ascii="Traditional Arabic" w:hAnsi="Traditional Arabic" w:cs="Traditional Arabic"/>
          <w:i/>
          <w:iCs/>
          <w:sz w:val="30"/>
          <w:szCs w:val="30"/>
          <w:rtl/>
          <w:lang w:eastAsia="zh-TW"/>
        </w:rPr>
        <w:t>ملاحظة – يمكن أن تُدرج هنا صور مناسبة من النظام المنسق عالميا</w:t>
      </w:r>
      <w:r w:rsidR="006C3E63">
        <w:rPr>
          <w:rFonts w:ascii="Traditional Arabic" w:hAnsi="Traditional Arabic" w:cs="Traditional Arabic" w:hint="cs"/>
          <w:i/>
          <w:iCs/>
          <w:sz w:val="30"/>
          <w:szCs w:val="30"/>
          <w:rtl/>
          <w:lang w:eastAsia="zh-TW"/>
        </w:rPr>
        <w:t>ً</w:t>
      </w:r>
      <w:r w:rsidRPr="009C295C">
        <w:rPr>
          <w:rFonts w:ascii="Traditional Arabic" w:hAnsi="Traditional Arabic" w:cs="Traditional Arabic"/>
          <w:i/>
          <w:iCs/>
          <w:sz w:val="30"/>
          <w:szCs w:val="30"/>
          <w:rtl/>
          <w:lang w:eastAsia="zh-TW"/>
        </w:rPr>
        <w:t xml:space="preserve"> لتصنيف المواد الكيميائية ووسمها، أو يمكن إتاحتها كرابط إلكتروني للاطلاع على هذه الصور عبر شبكة الإنترنت.</w:t>
      </w:r>
    </w:p>
    <w:p w:rsidR="005D1C9A" w:rsidRPr="00426042" w:rsidRDefault="005D1C9A" w:rsidP="00DE03BE">
      <w:pPr>
        <w:pStyle w:val="Heading1"/>
        <w:bidi/>
        <w:spacing w:before="0" w:line="400" w:lineRule="exact"/>
        <w:ind w:left="1134" w:hanging="852"/>
        <w:jc w:val="both"/>
        <w:textDirection w:val="tbRlV"/>
        <w:rPr>
          <w:b/>
          <w:bCs/>
          <w:sz w:val="30"/>
          <w:u w:val="none"/>
          <w:rtl/>
          <w:lang w:eastAsia="zh-TW"/>
        </w:rPr>
      </w:pPr>
      <w:bookmarkStart w:id="9" w:name="_Toc485639168"/>
      <w:r w:rsidRPr="00426042">
        <w:rPr>
          <w:rFonts w:hint="eastAsia"/>
          <w:b/>
          <w:bCs/>
          <w:sz w:val="30"/>
          <w:u w:val="none"/>
          <w:rtl/>
          <w:lang w:eastAsia="zh-TW"/>
        </w:rPr>
        <w:t>واو</w:t>
      </w:r>
      <w:r w:rsidR="009C295C" w:rsidRPr="00426042">
        <w:rPr>
          <w:rFonts w:hint="cs"/>
          <w:b/>
          <w:bCs/>
          <w:sz w:val="30"/>
          <w:u w:val="none"/>
          <w:rtl/>
          <w:lang w:eastAsia="zh-TW"/>
        </w:rPr>
        <w:t xml:space="preserve"> </w:t>
      </w:r>
      <w:r w:rsidRPr="00426042">
        <w:rPr>
          <w:b/>
          <w:bCs/>
          <w:sz w:val="30"/>
          <w:u w:val="none"/>
          <w:rtl/>
          <w:lang w:eastAsia="zh-TW"/>
        </w:rPr>
        <w:t>-</w:t>
      </w:r>
      <w:r w:rsidR="00DE03BE">
        <w:rPr>
          <w:rFonts w:hint="cs"/>
          <w:b/>
          <w:bCs/>
          <w:sz w:val="30"/>
          <w:u w:val="none"/>
          <w:rtl/>
          <w:lang w:eastAsia="zh-TW"/>
        </w:rPr>
        <w:tab/>
      </w:r>
      <w:r w:rsidRPr="00426042">
        <w:rPr>
          <w:b/>
          <w:bCs/>
          <w:sz w:val="30"/>
          <w:u w:val="none"/>
          <w:rtl/>
          <w:lang w:eastAsia="zh-TW"/>
        </w:rPr>
        <w:t>تسجيل حركة الزئبق وتتبعها</w:t>
      </w:r>
      <w:bookmarkEnd w:id="9"/>
    </w:p>
    <w:p w:rsidR="005D1C9A" w:rsidRPr="005D1C9A" w:rsidRDefault="005D1C9A" w:rsidP="006C3E63">
      <w:pPr>
        <w:pStyle w:val="Normalnumber"/>
        <w:numPr>
          <w:ilvl w:val="0"/>
          <w:numId w:val="0"/>
        </w:numPr>
        <w:tabs>
          <w:tab w:val="left" w:pos="1841"/>
        </w:tabs>
        <w:bidi/>
        <w:spacing w:line="400" w:lineRule="exact"/>
        <w:ind w:left="1134"/>
        <w:jc w:val="lowKashida"/>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45</w:t>
      </w:r>
      <w:r w:rsidR="009C295C">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 xml:space="preserve">وينبغي وضع قائمة جرد كاملة للزئبق ومركبات الزئبق المحتفظ بها في موقع التخزين، وتحديث هذه القائمة عند إضافة الزئبق إلى مرفق التخزين أو نقله منه أو عند استخدامه أو التخلص منه وفقاً للمادة 11 من الاتفاقية. وينبغي التحقق من صحيفة الجرد دورياً بالمقارنة مع </w:t>
      </w:r>
      <w:r w:rsidRPr="005D1C9A">
        <w:rPr>
          <w:rFonts w:ascii="Traditional Arabic" w:hAnsi="Traditional Arabic" w:cs="Traditional Arabic" w:hint="eastAsia"/>
          <w:sz w:val="30"/>
          <w:szCs w:val="30"/>
          <w:rtl/>
          <w:lang w:eastAsia="zh-TW"/>
        </w:rPr>
        <w:t>الحاويات</w:t>
      </w:r>
      <w:r w:rsidRPr="005D1C9A">
        <w:rPr>
          <w:rFonts w:ascii="Traditional Arabic" w:hAnsi="Traditional Arabic" w:cs="Traditional Arabic"/>
          <w:sz w:val="30"/>
          <w:szCs w:val="30"/>
          <w:rtl/>
          <w:lang w:eastAsia="zh-TW"/>
        </w:rPr>
        <w:t xml:space="preserve"> المخزنة في المرفق لضمان دقتها المستمرة. وينبغي تسجيل شحنات الزئبق أو مركبات الزئبق، مع مراعاة متطلبات المادة ٣ من الاتفاقية المتعلقة باستيراد وتصدير الزئبق من البلد. ومن المفيد حفظ سجلات التتبع من أجل تدقيق عمليات المرافق، وتقديم التقارير بموجب ال</w:t>
      </w:r>
      <w:r w:rsidRPr="005D1C9A">
        <w:rPr>
          <w:rFonts w:ascii="Traditional Arabic" w:hAnsi="Traditional Arabic" w:cs="Traditional Arabic" w:hint="eastAsia"/>
          <w:sz w:val="30"/>
          <w:szCs w:val="30"/>
          <w:rtl/>
          <w:lang w:eastAsia="zh-TW"/>
        </w:rPr>
        <w:t>مادة</w:t>
      </w:r>
      <w:r w:rsidRPr="005D1C9A">
        <w:rPr>
          <w:rFonts w:ascii="Traditional Arabic" w:hAnsi="Traditional Arabic" w:cs="Traditional Arabic"/>
          <w:sz w:val="30"/>
          <w:szCs w:val="30"/>
          <w:rtl/>
          <w:lang w:eastAsia="zh-TW"/>
        </w:rPr>
        <w:t xml:space="preserve"> ٣ فيما يتعلق بمخزونات الزئبق التي تزيد عن ٥٠ طناً مترياً. ومن الممكن النظر في فترات الإبلاغ الدورية أو السنوية للزئبق المخزن أو المستخدم للحصول على البيانات اللازمة للإبلاغ ب</w:t>
      </w:r>
      <w:r w:rsidR="00F23263">
        <w:rPr>
          <w:rFonts w:ascii="Traditional Arabic" w:hAnsi="Traditional Arabic" w:cs="Traditional Arabic" w:hint="cs"/>
          <w:sz w:val="30"/>
          <w:szCs w:val="30"/>
          <w:rtl/>
          <w:lang w:eastAsia="zh-TW"/>
        </w:rPr>
        <w:t>موجب</w:t>
      </w:r>
      <w:r w:rsidRPr="005D1C9A">
        <w:rPr>
          <w:rFonts w:ascii="Traditional Arabic" w:hAnsi="Traditional Arabic" w:cs="Traditional Arabic"/>
          <w:sz w:val="30"/>
          <w:szCs w:val="30"/>
          <w:rtl/>
          <w:lang w:eastAsia="zh-TW"/>
        </w:rPr>
        <w:t xml:space="preserve"> المادة 3. ويمكن الاطلاع على التوجيهات المتعلقة بتحديد هذه المخزونات على ا</w:t>
      </w:r>
      <w:r w:rsidRPr="005D1C9A">
        <w:rPr>
          <w:rFonts w:ascii="Traditional Arabic" w:hAnsi="Traditional Arabic" w:cs="Traditional Arabic" w:hint="eastAsia"/>
          <w:sz w:val="30"/>
          <w:szCs w:val="30"/>
          <w:rtl/>
          <w:lang w:eastAsia="zh-TW"/>
        </w:rPr>
        <w:t>لموقع</w:t>
      </w:r>
      <w:r w:rsidRPr="005D1C9A">
        <w:rPr>
          <w:rFonts w:ascii="Traditional Arabic" w:hAnsi="Traditional Arabic" w:cs="Traditional Arabic"/>
          <w:sz w:val="30"/>
          <w:szCs w:val="30"/>
          <w:rtl/>
          <w:lang w:eastAsia="zh-TW"/>
        </w:rPr>
        <w:t xml:space="preserve"> الشبكي للاتفاقية </w:t>
      </w:r>
      <w:r w:rsidRPr="00842EC3">
        <w:rPr>
          <w:rFonts w:asciiTheme="majorBidi" w:hAnsiTheme="majorBidi" w:cstheme="majorBidi"/>
          <w:szCs w:val="20"/>
          <w:rtl/>
          <w:lang w:eastAsia="zh-TW"/>
        </w:rPr>
        <w:t>(</w:t>
      </w:r>
      <w:r w:rsidRPr="00842EC3">
        <w:rPr>
          <w:rFonts w:asciiTheme="majorBidi" w:hAnsiTheme="majorBidi" w:cstheme="majorBidi"/>
          <w:szCs w:val="20"/>
          <w:lang w:eastAsia="zh-TW"/>
        </w:rPr>
        <w:t>www.mercuryconvention.org</w:t>
      </w:r>
      <w:r w:rsidRPr="00842EC3">
        <w:rPr>
          <w:rFonts w:asciiTheme="majorBidi" w:hAnsiTheme="majorBidi" w:cstheme="majorBidi"/>
          <w:szCs w:val="20"/>
          <w:rtl/>
          <w:lang w:eastAsia="zh-TW"/>
        </w:rPr>
        <w:t>)</w:t>
      </w:r>
      <w:r w:rsidR="00DE03BE">
        <w:rPr>
          <w:rFonts w:ascii="Traditional Arabic" w:hAnsi="Traditional Arabic" w:cs="Traditional Arabic" w:hint="cs"/>
          <w:sz w:val="30"/>
          <w:szCs w:val="30"/>
          <w:rtl/>
          <w:lang w:eastAsia="zh-TW"/>
        </w:rPr>
        <w:t>.</w:t>
      </w:r>
    </w:p>
    <w:p w:rsidR="005D1C9A" w:rsidRPr="005D1C9A" w:rsidRDefault="005D1C9A" w:rsidP="00842EC3">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lastRenderedPageBreak/>
        <w:t>46</w:t>
      </w:r>
      <w:r w:rsidR="009C295C">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وينبغي إجراء عمليات تفتيش منتظمة لمناطق التخزين، مع التركيز بصفة خاصة على حالات الضرر، والانسكاب، والتدهور فيها. وينبغي تنفيذ عمليات التنظيف وإزالة التلوث بسرعة، على أن يتم ذلك مع تنبيه السلطات المعنية في جميع الحالات (</w:t>
      </w:r>
      <w:r w:rsidRPr="009C295C">
        <w:rPr>
          <w:rFonts w:asciiTheme="majorBidi" w:hAnsiTheme="majorBidi" w:cstheme="majorBidi"/>
          <w:szCs w:val="20"/>
          <w:lang w:eastAsia="zh-TW"/>
        </w:rPr>
        <w:t>FAO, 1985; US EPA, 1997</w:t>
      </w:r>
      <w:r w:rsidR="00DE03BE">
        <w:rPr>
          <w:rFonts w:ascii="Traditional Arabic" w:hAnsi="Traditional Arabic" w:cs="Traditional Arabic"/>
          <w:sz w:val="30"/>
          <w:szCs w:val="30"/>
          <w:rtl/>
          <w:lang w:eastAsia="zh-TW"/>
        </w:rPr>
        <w:t>).</w:t>
      </w:r>
    </w:p>
    <w:p w:rsidR="005D1C9A" w:rsidRPr="00426042" w:rsidRDefault="005D1C9A" w:rsidP="00DE03BE">
      <w:pPr>
        <w:pStyle w:val="Heading1"/>
        <w:bidi/>
        <w:spacing w:before="0" w:line="400" w:lineRule="exact"/>
        <w:ind w:left="1134" w:hanging="852"/>
        <w:jc w:val="both"/>
        <w:textDirection w:val="tbRlV"/>
        <w:rPr>
          <w:b/>
          <w:bCs/>
          <w:sz w:val="30"/>
          <w:u w:val="none"/>
          <w:rtl/>
          <w:lang w:eastAsia="zh-TW"/>
        </w:rPr>
      </w:pPr>
      <w:bookmarkStart w:id="10" w:name="_Toc485639169"/>
      <w:r w:rsidRPr="00426042">
        <w:rPr>
          <w:rFonts w:hint="eastAsia"/>
          <w:b/>
          <w:bCs/>
          <w:sz w:val="30"/>
          <w:u w:val="none"/>
          <w:rtl/>
          <w:lang w:eastAsia="zh-TW"/>
        </w:rPr>
        <w:t>زاي</w:t>
      </w:r>
      <w:r w:rsidR="009C295C" w:rsidRPr="00426042">
        <w:rPr>
          <w:rFonts w:hint="cs"/>
          <w:b/>
          <w:bCs/>
          <w:sz w:val="30"/>
          <w:u w:val="none"/>
          <w:rtl/>
          <w:lang w:eastAsia="zh-TW"/>
        </w:rPr>
        <w:t xml:space="preserve"> </w:t>
      </w:r>
      <w:r w:rsidRPr="00426042">
        <w:rPr>
          <w:b/>
          <w:bCs/>
          <w:sz w:val="30"/>
          <w:u w:val="none"/>
          <w:rtl/>
          <w:lang w:eastAsia="zh-TW"/>
        </w:rPr>
        <w:t>-</w:t>
      </w:r>
      <w:r w:rsidR="00DE03BE">
        <w:rPr>
          <w:rFonts w:hint="cs"/>
          <w:b/>
          <w:bCs/>
          <w:sz w:val="30"/>
          <w:u w:val="none"/>
          <w:rtl/>
          <w:lang w:eastAsia="zh-TW"/>
        </w:rPr>
        <w:tab/>
      </w:r>
      <w:r w:rsidRPr="00426042">
        <w:rPr>
          <w:b/>
          <w:bCs/>
          <w:sz w:val="30"/>
          <w:u w:val="none"/>
          <w:rtl/>
          <w:lang w:eastAsia="zh-TW"/>
        </w:rPr>
        <w:t>تعليم الموظفين وتدريبهم</w:t>
      </w:r>
      <w:bookmarkEnd w:id="10"/>
    </w:p>
    <w:p w:rsidR="005D1C9A" w:rsidRPr="005D1C9A" w:rsidRDefault="00F23263" w:rsidP="00842EC3">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47</w:t>
      </w:r>
      <w:r w:rsidR="00842EC3">
        <w:rPr>
          <w:rFonts w:ascii="Traditional Arabic" w:hAnsi="Traditional Arabic" w:cs="Traditional Arabic" w:hint="cs"/>
          <w:sz w:val="30"/>
          <w:szCs w:val="30"/>
          <w:rtl/>
          <w:lang w:eastAsia="zh-TW"/>
        </w:rPr>
        <w:t xml:space="preserve"> </w:t>
      </w:r>
      <w:r>
        <w:rPr>
          <w:rFonts w:ascii="Traditional Arabic" w:hAnsi="Traditional Arabic" w:cs="Traditional Arabic" w:hint="cs"/>
          <w:sz w:val="30"/>
          <w:szCs w:val="30"/>
          <w:rtl/>
          <w:lang w:eastAsia="zh-TW"/>
        </w:rPr>
        <w:t>-</w:t>
      </w:r>
      <w:r w:rsidR="00842EC3">
        <w:rPr>
          <w:rFonts w:ascii="Traditional Arabic" w:hAnsi="Traditional Arabic" w:cs="Traditional Arabic" w:hint="cs"/>
          <w:sz w:val="30"/>
          <w:szCs w:val="30"/>
          <w:rtl/>
          <w:lang w:eastAsia="zh-TW"/>
        </w:rPr>
        <w:tab/>
      </w:r>
      <w:r w:rsidR="005D1C9A" w:rsidRPr="005D1C9A">
        <w:rPr>
          <w:rFonts w:ascii="Traditional Arabic" w:hAnsi="Traditional Arabic" w:cs="Traditional Arabic" w:hint="eastAsia"/>
          <w:sz w:val="30"/>
          <w:szCs w:val="30"/>
          <w:rtl/>
          <w:lang w:eastAsia="zh-TW"/>
        </w:rPr>
        <w:t>ينبغي</w:t>
      </w:r>
      <w:r w:rsidR="005D1C9A" w:rsidRPr="005D1C9A">
        <w:rPr>
          <w:rFonts w:ascii="Traditional Arabic" w:hAnsi="Traditional Arabic" w:cs="Traditional Arabic"/>
          <w:sz w:val="30"/>
          <w:szCs w:val="30"/>
          <w:rtl/>
          <w:lang w:eastAsia="zh-TW"/>
        </w:rPr>
        <w:t xml:space="preserve"> أن يتاح للموظفين العاملين في مناولة أو تخزين الزئبق أو مركبات الزئبق التدريب المناسب والكافي. أما الموظفون الذين لا</w:t>
      </w:r>
      <w:r w:rsidR="00562277">
        <w:rPr>
          <w:rFonts w:ascii="Traditional Arabic" w:hAnsi="Traditional Arabic" w:cs="Traditional Arabic" w:hint="cs"/>
          <w:sz w:val="30"/>
          <w:szCs w:val="30"/>
          <w:rtl/>
          <w:lang w:eastAsia="zh-TW"/>
        </w:rPr>
        <w:t xml:space="preserve"> </w:t>
      </w:r>
      <w:r w:rsidR="005D1C9A" w:rsidRPr="005D1C9A">
        <w:rPr>
          <w:rFonts w:ascii="Traditional Arabic" w:hAnsi="Traditional Arabic" w:cs="Traditional Arabic"/>
          <w:sz w:val="30"/>
          <w:szCs w:val="30"/>
          <w:rtl/>
          <w:lang w:eastAsia="zh-TW"/>
        </w:rPr>
        <w:t xml:space="preserve">يقومون بمناولة الزئبق في منطقة التخزين والذين قد يتعرضون لتسرب عرضي فينبغي لهم أيضاً فهم مخاطر الزئبق والتعرف على خطط المرفق للاستجابة </w:t>
      </w:r>
      <w:r w:rsidR="005D1C9A" w:rsidRPr="005D1C9A">
        <w:rPr>
          <w:rFonts w:ascii="Traditional Arabic" w:hAnsi="Traditional Arabic" w:cs="Traditional Arabic" w:hint="eastAsia"/>
          <w:sz w:val="30"/>
          <w:szCs w:val="30"/>
          <w:rtl/>
          <w:lang w:eastAsia="zh-TW"/>
        </w:rPr>
        <w:t>في</w:t>
      </w:r>
      <w:r w:rsidR="005D1C9A" w:rsidRPr="005D1C9A">
        <w:rPr>
          <w:rFonts w:ascii="Traditional Arabic" w:hAnsi="Traditional Arabic" w:cs="Traditional Arabic"/>
          <w:sz w:val="30"/>
          <w:szCs w:val="30"/>
          <w:rtl/>
          <w:lang w:eastAsia="zh-TW"/>
        </w:rPr>
        <w:t xml:space="preserve"> حالات الطوارئ (</w:t>
      </w:r>
      <w:r w:rsidR="005D1C9A" w:rsidRPr="009C295C">
        <w:rPr>
          <w:rFonts w:asciiTheme="majorBidi" w:hAnsiTheme="majorBidi" w:cstheme="majorBidi"/>
          <w:szCs w:val="20"/>
          <w:lang w:eastAsia="zh-TW"/>
        </w:rPr>
        <w:t>QSC 2003</w:t>
      </w:r>
      <w:r w:rsidR="005D1C9A" w:rsidRPr="005D1C9A">
        <w:rPr>
          <w:rFonts w:ascii="Traditional Arabic" w:hAnsi="Traditional Arabic" w:cs="Traditional Arabic"/>
          <w:sz w:val="30"/>
          <w:szCs w:val="30"/>
          <w:rtl/>
          <w:lang w:eastAsia="zh-TW"/>
        </w:rPr>
        <w:t>). وينبغي حظر الوصول إلى مناطق التخزين إلا للأشخاص الذين تلقوا التدريب الكافي الذي يشمل إدراك المخاطر ال</w:t>
      </w:r>
      <w:r w:rsidR="00DE03BE">
        <w:rPr>
          <w:rFonts w:ascii="Traditional Arabic" w:hAnsi="Traditional Arabic" w:cs="Traditional Arabic"/>
          <w:sz w:val="30"/>
          <w:szCs w:val="30"/>
          <w:rtl/>
          <w:lang w:eastAsia="zh-TW"/>
        </w:rPr>
        <w:t>خاصة للزئبق وكيفية التعامل معه.</w:t>
      </w:r>
    </w:p>
    <w:p w:rsidR="005D1C9A" w:rsidRPr="005D1C9A" w:rsidRDefault="00F23263" w:rsidP="00842EC3">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4</w:t>
      </w:r>
      <w:r>
        <w:rPr>
          <w:rFonts w:ascii="Traditional Arabic" w:hAnsi="Traditional Arabic" w:cs="Traditional Arabic" w:hint="cs"/>
          <w:sz w:val="30"/>
          <w:szCs w:val="30"/>
          <w:rtl/>
          <w:lang w:eastAsia="zh-TW"/>
        </w:rPr>
        <w:t xml:space="preserve">8 </w:t>
      </w:r>
      <w:r w:rsidR="009C295C">
        <w:rPr>
          <w:rFonts w:ascii="Traditional Arabic" w:hAnsi="Traditional Arabic" w:cs="Traditional Arabic" w:hint="cs"/>
          <w:sz w:val="30"/>
          <w:szCs w:val="30"/>
          <w:rtl/>
          <w:lang w:eastAsia="zh-TW"/>
        </w:rPr>
        <w:t>-</w:t>
      </w:r>
      <w:r w:rsidR="005D1C9A" w:rsidRPr="005D1C9A">
        <w:rPr>
          <w:rFonts w:ascii="Traditional Arabic" w:hAnsi="Traditional Arabic" w:cs="Traditional Arabic"/>
          <w:sz w:val="30"/>
          <w:szCs w:val="30"/>
          <w:rtl/>
          <w:lang w:eastAsia="zh-TW"/>
        </w:rPr>
        <w:tab/>
        <w:t>وينبغي تقديم التدريب للموظفين على الإدارة السليمة بيئياً والصحة والسلامة في مكان العمل من أجل كفالة جملة أمور منها حماية الموظفين من تسربات الزئبق داخل المرفق، ومن مخاطر التعرض له وحوادث الإصابة الناتجة عنه.</w:t>
      </w:r>
    </w:p>
    <w:p w:rsidR="005D1C9A" w:rsidRPr="005D1C9A" w:rsidRDefault="00F23263" w:rsidP="00842EC3">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4</w:t>
      </w:r>
      <w:r>
        <w:rPr>
          <w:rFonts w:ascii="Traditional Arabic" w:hAnsi="Traditional Arabic" w:cs="Traditional Arabic" w:hint="cs"/>
          <w:sz w:val="30"/>
          <w:szCs w:val="30"/>
          <w:rtl/>
          <w:lang w:eastAsia="zh-TW"/>
        </w:rPr>
        <w:t xml:space="preserve">9 </w:t>
      </w:r>
      <w:r w:rsidR="009C295C">
        <w:rPr>
          <w:rFonts w:ascii="Traditional Arabic" w:hAnsi="Traditional Arabic" w:cs="Traditional Arabic" w:hint="cs"/>
          <w:sz w:val="30"/>
          <w:szCs w:val="30"/>
          <w:rtl/>
          <w:lang w:eastAsia="zh-TW"/>
        </w:rPr>
        <w:t>-</w:t>
      </w:r>
      <w:r w:rsidR="005D1C9A" w:rsidRPr="005D1C9A">
        <w:rPr>
          <w:rFonts w:ascii="Traditional Arabic" w:hAnsi="Traditional Arabic" w:cs="Traditional Arabic"/>
          <w:sz w:val="30"/>
          <w:szCs w:val="30"/>
          <w:rtl/>
          <w:lang w:eastAsia="zh-TW"/>
        </w:rPr>
        <w:tab/>
        <w:t>وتشمل المعارف الأساسية التي يلزم أن يتمتع بها الموظفون ما يلي:</w:t>
      </w:r>
    </w:p>
    <w:p w:rsidR="005D1C9A" w:rsidRPr="005D1C9A" w:rsidRDefault="005D1C9A" w:rsidP="009404B2">
      <w:pPr>
        <w:pStyle w:val="Normalnumber"/>
        <w:numPr>
          <w:ilvl w:val="0"/>
          <w:numId w:val="0"/>
        </w:numPr>
        <w:tabs>
          <w:tab w:val="left" w:pos="2408"/>
        </w:tabs>
        <w:bidi/>
        <w:spacing w:line="400" w:lineRule="exact"/>
        <w:ind w:left="1134" w:firstLine="707"/>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(أ)</w:t>
      </w:r>
      <w:r w:rsidRPr="005D1C9A">
        <w:rPr>
          <w:rFonts w:ascii="Traditional Arabic" w:hAnsi="Traditional Arabic" w:cs="Traditional Arabic"/>
          <w:sz w:val="30"/>
          <w:szCs w:val="30"/>
          <w:rtl/>
          <w:lang w:eastAsia="zh-TW"/>
        </w:rPr>
        <w:tab/>
        <w:t>الخصائص الكيميائية والآثار الضارة للزئبق؛</w:t>
      </w:r>
    </w:p>
    <w:p w:rsidR="005D1C9A" w:rsidRPr="005D1C9A" w:rsidRDefault="005D1C9A" w:rsidP="009404B2">
      <w:pPr>
        <w:pStyle w:val="Normalnumber"/>
        <w:numPr>
          <w:ilvl w:val="0"/>
          <w:numId w:val="0"/>
        </w:numPr>
        <w:tabs>
          <w:tab w:val="left" w:pos="2408"/>
        </w:tabs>
        <w:bidi/>
        <w:spacing w:line="400" w:lineRule="exact"/>
        <w:ind w:left="1134" w:firstLine="707"/>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(ب)</w:t>
      </w:r>
      <w:r w:rsidR="00DE03BE">
        <w:rPr>
          <w:rFonts w:ascii="Traditional Arabic" w:hAnsi="Traditional Arabic" w:cs="Traditional Arabic" w:hint="cs"/>
          <w:sz w:val="30"/>
          <w:szCs w:val="30"/>
          <w:rtl/>
          <w:lang w:eastAsia="zh-TW"/>
        </w:rPr>
        <w:tab/>
      </w:r>
      <w:r w:rsidRPr="005D1C9A">
        <w:rPr>
          <w:rFonts w:ascii="Traditional Arabic" w:hAnsi="Traditional Arabic" w:cs="Traditional Arabic"/>
          <w:sz w:val="30"/>
          <w:szCs w:val="30"/>
          <w:rtl/>
          <w:lang w:eastAsia="zh-TW"/>
        </w:rPr>
        <w:t>كيفية التعرف على الزئبق وفصله عن المواد الخطرة الأخرى؛</w:t>
      </w:r>
    </w:p>
    <w:p w:rsidR="005D1C9A" w:rsidRPr="005D1C9A" w:rsidRDefault="005D1C9A" w:rsidP="009404B2">
      <w:pPr>
        <w:pStyle w:val="Normalnumber"/>
        <w:numPr>
          <w:ilvl w:val="0"/>
          <w:numId w:val="0"/>
        </w:numPr>
        <w:tabs>
          <w:tab w:val="left" w:pos="2408"/>
        </w:tabs>
        <w:bidi/>
        <w:spacing w:line="400" w:lineRule="exact"/>
        <w:ind w:left="1134" w:firstLine="707"/>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(ج)</w:t>
      </w:r>
      <w:r w:rsidR="00DE03BE">
        <w:rPr>
          <w:rFonts w:ascii="Traditional Arabic" w:hAnsi="Traditional Arabic" w:cs="Traditional Arabic" w:hint="cs"/>
          <w:sz w:val="30"/>
          <w:szCs w:val="30"/>
          <w:rtl/>
          <w:lang w:eastAsia="zh-TW"/>
        </w:rPr>
        <w:tab/>
      </w:r>
      <w:r w:rsidRPr="005D1C9A">
        <w:rPr>
          <w:rFonts w:ascii="Traditional Arabic" w:hAnsi="Traditional Arabic" w:cs="Traditional Arabic"/>
          <w:sz w:val="30"/>
          <w:szCs w:val="30"/>
          <w:rtl/>
          <w:lang w:eastAsia="zh-TW"/>
        </w:rPr>
        <w:t>معايير السلامة المهنية ذات الصلة بالزئبق وكيفية حماية صحتهم من التعرض للزئبق؛</w:t>
      </w:r>
    </w:p>
    <w:p w:rsidR="005D1C9A" w:rsidRPr="005D1C9A" w:rsidRDefault="005D1C9A" w:rsidP="009404B2">
      <w:pPr>
        <w:pStyle w:val="Normalnumber"/>
        <w:numPr>
          <w:ilvl w:val="0"/>
          <w:numId w:val="0"/>
        </w:numPr>
        <w:tabs>
          <w:tab w:val="left" w:pos="2408"/>
        </w:tabs>
        <w:bidi/>
        <w:spacing w:line="400" w:lineRule="exact"/>
        <w:ind w:left="1134" w:firstLine="707"/>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(د)</w:t>
      </w:r>
      <w:r w:rsidRPr="005D1C9A">
        <w:rPr>
          <w:rFonts w:ascii="Traditional Arabic" w:hAnsi="Traditional Arabic" w:cs="Traditional Arabic"/>
          <w:sz w:val="30"/>
          <w:szCs w:val="30"/>
          <w:rtl/>
          <w:lang w:eastAsia="zh-TW"/>
        </w:rPr>
        <w:tab/>
        <w:t>كيفية استخدام معدات الحماية الشخصية، مثل الملابس التي تغطي الجسد، والأقنعة الواقية للعين والوجه، والقفازات وأجهزة حماية الجهاز التنفسي؛</w:t>
      </w:r>
    </w:p>
    <w:p w:rsidR="005D1C9A" w:rsidRPr="005D1C9A" w:rsidRDefault="005D1C9A" w:rsidP="009404B2">
      <w:pPr>
        <w:pStyle w:val="Normalnumber"/>
        <w:numPr>
          <w:ilvl w:val="0"/>
          <w:numId w:val="0"/>
        </w:numPr>
        <w:tabs>
          <w:tab w:val="left" w:pos="2408"/>
        </w:tabs>
        <w:bidi/>
        <w:spacing w:line="400" w:lineRule="exact"/>
        <w:ind w:left="1134" w:firstLine="709"/>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w:t>
      </w:r>
      <w:r w:rsidRPr="005D1C9A">
        <w:rPr>
          <w:rFonts w:ascii="Traditional Arabic" w:hAnsi="Traditional Arabic" w:cs="Traditional Arabic" w:hint="cs"/>
          <w:sz w:val="30"/>
          <w:szCs w:val="30"/>
          <w:rtl/>
          <w:lang w:eastAsia="zh-TW"/>
        </w:rPr>
        <w:t>ﻫ</w:t>
      </w:r>
      <w:r w:rsidRPr="005D1C9A">
        <w:rPr>
          <w:rFonts w:ascii="Traditional Arabic" w:hAnsi="Traditional Arabic" w:cs="Traditional Arabic"/>
          <w:sz w:val="30"/>
          <w:szCs w:val="30"/>
          <w:rtl/>
          <w:lang w:eastAsia="zh-TW"/>
        </w:rPr>
        <w:t>)</w:t>
      </w:r>
      <w:r w:rsidRPr="005D1C9A">
        <w:rPr>
          <w:rFonts w:ascii="Traditional Arabic" w:hAnsi="Traditional Arabic" w:cs="Traditional Arabic"/>
          <w:sz w:val="30"/>
          <w:szCs w:val="30"/>
          <w:rtl/>
          <w:lang w:eastAsia="zh-TW"/>
        </w:rPr>
        <w:tab/>
        <w:t>معايير الوسم والتخزين التي تعتبر مناسبة للمرفق أو المرافق، والمتطلبات المتعلقة بالحاويات الموافقة ووضع التواريخ، وشروط الحاويات المغلقة؛</w:t>
      </w:r>
    </w:p>
    <w:p w:rsidR="005D1C9A" w:rsidRPr="005D1C9A" w:rsidRDefault="005D1C9A" w:rsidP="009404B2">
      <w:pPr>
        <w:pStyle w:val="Normalnumber"/>
        <w:numPr>
          <w:ilvl w:val="0"/>
          <w:numId w:val="0"/>
        </w:numPr>
        <w:tabs>
          <w:tab w:val="left" w:pos="2408"/>
        </w:tabs>
        <w:bidi/>
        <w:spacing w:line="400" w:lineRule="exact"/>
        <w:ind w:left="1134" w:firstLine="707"/>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(و)</w:t>
      </w:r>
      <w:r w:rsidRPr="005D1C9A">
        <w:rPr>
          <w:rFonts w:ascii="Traditional Arabic" w:hAnsi="Traditional Arabic" w:cs="Traditional Arabic"/>
          <w:sz w:val="30"/>
          <w:szCs w:val="30"/>
          <w:rtl/>
          <w:lang w:eastAsia="zh-TW"/>
        </w:rPr>
        <w:tab/>
        <w:t>كيفية المناولة الآمنة للزئبق باستخدام المعدات المتاحة في المرفق الذي يعملون فيه؛</w:t>
      </w:r>
    </w:p>
    <w:p w:rsidR="005D1C9A" w:rsidRPr="005D1C9A" w:rsidRDefault="005D1C9A" w:rsidP="009404B2">
      <w:pPr>
        <w:pStyle w:val="Normalnumber"/>
        <w:numPr>
          <w:ilvl w:val="0"/>
          <w:numId w:val="0"/>
        </w:numPr>
        <w:tabs>
          <w:tab w:val="left" w:pos="2408"/>
        </w:tabs>
        <w:bidi/>
        <w:spacing w:line="400" w:lineRule="exact"/>
        <w:ind w:left="1134" w:firstLine="707"/>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(ز)</w:t>
      </w:r>
      <w:r w:rsidRPr="005D1C9A">
        <w:rPr>
          <w:rFonts w:ascii="Traditional Arabic" w:hAnsi="Traditional Arabic" w:cs="Traditional Arabic"/>
          <w:sz w:val="30"/>
          <w:szCs w:val="30"/>
          <w:rtl/>
          <w:lang w:eastAsia="zh-TW"/>
        </w:rPr>
        <w:tab/>
        <w:t xml:space="preserve">كيفية استعمال الضوابط الهندسية </w:t>
      </w:r>
      <w:r w:rsidR="00DE03BE">
        <w:rPr>
          <w:rFonts w:ascii="Traditional Arabic" w:hAnsi="Traditional Arabic" w:cs="Traditional Arabic"/>
          <w:sz w:val="30"/>
          <w:szCs w:val="30"/>
          <w:rtl/>
          <w:lang w:eastAsia="zh-TW"/>
        </w:rPr>
        <w:t>لتقليل التعرض إلى أدنى حد ممكن؛</w:t>
      </w:r>
    </w:p>
    <w:p w:rsidR="005D1C9A" w:rsidRPr="005D1C9A" w:rsidRDefault="005D1C9A" w:rsidP="009404B2">
      <w:pPr>
        <w:pStyle w:val="Normalnumber"/>
        <w:numPr>
          <w:ilvl w:val="0"/>
          <w:numId w:val="0"/>
        </w:numPr>
        <w:tabs>
          <w:tab w:val="left" w:pos="2408"/>
        </w:tabs>
        <w:bidi/>
        <w:spacing w:line="400" w:lineRule="exact"/>
        <w:ind w:left="1134" w:firstLine="707"/>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(ح)</w:t>
      </w:r>
      <w:r w:rsidRPr="005D1C9A">
        <w:rPr>
          <w:rFonts w:ascii="Traditional Arabic" w:hAnsi="Traditional Arabic" w:cs="Traditional Arabic"/>
          <w:sz w:val="30"/>
          <w:szCs w:val="30"/>
          <w:rtl/>
          <w:lang w:eastAsia="zh-TW"/>
        </w:rPr>
        <w:tab/>
        <w:t>كيفية الاستجابة في حالة انسكاب الزئبق عرضاً؛ و</w:t>
      </w:r>
    </w:p>
    <w:p w:rsidR="005D1C9A" w:rsidRPr="005D1C9A" w:rsidRDefault="009C295C" w:rsidP="009404B2">
      <w:pPr>
        <w:pStyle w:val="Normalnumber"/>
        <w:numPr>
          <w:ilvl w:val="0"/>
          <w:numId w:val="0"/>
        </w:numPr>
        <w:tabs>
          <w:tab w:val="left" w:pos="2408"/>
        </w:tabs>
        <w:bidi/>
        <w:spacing w:line="400" w:lineRule="exact"/>
        <w:ind w:left="1134" w:firstLine="707"/>
        <w:jc w:val="both"/>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(ط)</w:t>
      </w:r>
      <w:r w:rsidR="00DE03BE">
        <w:rPr>
          <w:rFonts w:ascii="Traditional Arabic" w:hAnsi="Traditional Arabic" w:cs="Traditional Arabic" w:hint="cs"/>
          <w:sz w:val="30"/>
          <w:szCs w:val="30"/>
          <w:rtl/>
          <w:lang w:eastAsia="zh-TW"/>
        </w:rPr>
        <w:tab/>
      </w:r>
      <w:r w:rsidR="005D1C9A" w:rsidRPr="005D1C9A">
        <w:rPr>
          <w:rFonts w:ascii="Traditional Arabic" w:hAnsi="Traditional Arabic" w:cs="Traditional Arabic"/>
          <w:sz w:val="30"/>
          <w:szCs w:val="30"/>
          <w:rtl/>
          <w:lang w:eastAsia="zh-TW"/>
        </w:rPr>
        <w:t xml:space="preserve">كيفية استخدام أجهزة رصد بخار الزئبق لتحديد المصادر المحتملة لارتفاع مستويات الزئبق في المرفق </w:t>
      </w:r>
      <w:r>
        <w:rPr>
          <w:rFonts w:ascii="Traditional Arabic" w:hAnsi="Traditional Arabic" w:cs="Traditional Arabic" w:hint="cs"/>
          <w:sz w:val="30"/>
          <w:szCs w:val="30"/>
          <w:rtl/>
          <w:lang w:eastAsia="zh-TW"/>
        </w:rPr>
        <w:t>و</w:t>
      </w:r>
      <w:r w:rsidR="005D1C9A" w:rsidRPr="005D1C9A">
        <w:rPr>
          <w:rFonts w:ascii="Traditional Arabic" w:hAnsi="Traditional Arabic" w:cs="Traditional Arabic"/>
          <w:sz w:val="30"/>
          <w:szCs w:val="30"/>
          <w:rtl/>
          <w:lang w:eastAsia="zh-TW"/>
        </w:rPr>
        <w:t>تزويد العمال بالمعلومات التي يحتاجون</w:t>
      </w:r>
      <w:r w:rsidR="00562277">
        <w:rPr>
          <w:rFonts w:ascii="Traditional Arabic" w:hAnsi="Traditional Arabic" w:cs="Traditional Arabic" w:hint="cs"/>
          <w:sz w:val="30"/>
          <w:szCs w:val="30"/>
          <w:rtl/>
          <w:lang w:eastAsia="zh-TW"/>
        </w:rPr>
        <w:t xml:space="preserve"> إليها</w:t>
      </w:r>
      <w:r w:rsidR="005D1C9A" w:rsidRPr="005D1C9A">
        <w:rPr>
          <w:rFonts w:ascii="Traditional Arabic" w:hAnsi="Traditional Arabic" w:cs="Traditional Arabic"/>
          <w:sz w:val="30"/>
          <w:szCs w:val="30"/>
          <w:rtl/>
          <w:lang w:eastAsia="zh-TW"/>
        </w:rPr>
        <w:t xml:space="preserve"> لضمان السلامة (على سبيل المثال، عندما تدعو الحاجة إلى استخدام أجهزة حماية الجهاز التنفسي).</w:t>
      </w:r>
    </w:p>
    <w:p w:rsidR="005D1C9A" w:rsidRPr="005D1C9A" w:rsidRDefault="00415986"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50</w:t>
      </w:r>
      <w:r w:rsidR="009C295C">
        <w:rPr>
          <w:rFonts w:ascii="Traditional Arabic" w:hAnsi="Traditional Arabic" w:cs="Traditional Arabic" w:hint="cs"/>
          <w:sz w:val="30"/>
          <w:szCs w:val="30"/>
          <w:rtl/>
          <w:lang w:eastAsia="zh-TW"/>
        </w:rPr>
        <w:t xml:space="preserve"> -</w:t>
      </w:r>
      <w:r w:rsidR="005D1C9A" w:rsidRPr="005D1C9A">
        <w:rPr>
          <w:rFonts w:ascii="Traditional Arabic" w:hAnsi="Traditional Arabic" w:cs="Traditional Arabic"/>
          <w:sz w:val="30"/>
          <w:szCs w:val="30"/>
          <w:rtl/>
          <w:lang w:eastAsia="zh-TW"/>
        </w:rPr>
        <w:tab/>
        <w:t>ومن المهم للغاية توفير التأمين للعمال والتأمين ضد مسؤولية أصحاب العمل حسب ما يقتضيه القانون الوطني.</w:t>
      </w:r>
    </w:p>
    <w:p w:rsidR="005D1C9A" w:rsidRPr="005D1C9A" w:rsidRDefault="005D1C9A" w:rsidP="00415986">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5</w:t>
      </w:r>
      <w:r w:rsidR="00415986">
        <w:rPr>
          <w:rFonts w:ascii="Traditional Arabic" w:hAnsi="Traditional Arabic" w:cs="Traditional Arabic" w:hint="cs"/>
          <w:sz w:val="30"/>
          <w:szCs w:val="30"/>
          <w:rtl/>
          <w:lang w:eastAsia="zh-TW"/>
        </w:rPr>
        <w:t>1</w:t>
      </w:r>
      <w:r w:rsidR="009C295C">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 xml:space="preserve">ويُوصى باستخدام مجموعة أدوات التوعية التي وضعها برنامج الأمم المتحدة في تدريب العاملين </w:t>
      </w:r>
      <w:r w:rsidRPr="00842EC3">
        <w:rPr>
          <w:rFonts w:asciiTheme="majorBidi" w:hAnsiTheme="majorBidi" w:cstheme="majorBidi"/>
          <w:szCs w:val="20"/>
          <w:rtl/>
          <w:lang w:eastAsia="zh-TW"/>
        </w:rPr>
        <w:t>(</w:t>
      </w:r>
      <w:r w:rsidRPr="00842EC3">
        <w:rPr>
          <w:rFonts w:asciiTheme="majorBidi" w:hAnsiTheme="majorBidi" w:cstheme="majorBidi"/>
          <w:szCs w:val="20"/>
          <w:lang w:eastAsia="zh-TW"/>
        </w:rPr>
        <w:t>UNEP 2008</w:t>
      </w:r>
      <w:r w:rsidRPr="00842EC3">
        <w:rPr>
          <w:rFonts w:asciiTheme="majorBidi" w:hAnsiTheme="majorBidi" w:cstheme="majorBidi"/>
          <w:szCs w:val="20"/>
          <w:rtl/>
          <w:lang w:eastAsia="zh-TW"/>
        </w:rPr>
        <w:t>)</w:t>
      </w:r>
      <w:r w:rsidRPr="005D1C9A">
        <w:rPr>
          <w:rFonts w:ascii="Traditional Arabic" w:hAnsi="Traditional Arabic" w:cs="Traditional Arabic"/>
          <w:sz w:val="30"/>
          <w:szCs w:val="30"/>
          <w:rtl/>
          <w:lang w:eastAsia="zh-TW"/>
        </w:rPr>
        <w:t>. ويجب ترجمة كافة مواد التدريب إلى اللغات المحلية وتيسيرها لاطلاع الموظفين.</w:t>
      </w:r>
    </w:p>
    <w:p w:rsidR="005D1C9A" w:rsidRPr="00426042" w:rsidRDefault="005D1C9A" w:rsidP="00DE03BE">
      <w:pPr>
        <w:pStyle w:val="Heading1"/>
        <w:bidi/>
        <w:spacing w:before="0" w:line="400" w:lineRule="exact"/>
        <w:ind w:left="1134" w:hanging="852"/>
        <w:jc w:val="both"/>
        <w:textDirection w:val="tbRlV"/>
        <w:rPr>
          <w:b/>
          <w:bCs/>
          <w:sz w:val="30"/>
          <w:u w:val="none"/>
          <w:rtl/>
          <w:lang w:eastAsia="zh-TW"/>
        </w:rPr>
      </w:pPr>
      <w:bookmarkStart w:id="11" w:name="_Toc485639170"/>
      <w:r w:rsidRPr="00426042">
        <w:rPr>
          <w:rFonts w:hint="eastAsia"/>
          <w:b/>
          <w:bCs/>
          <w:sz w:val="30"/>
          <w:u w:val="none"/>
          <w:rtl/>
          <w:lang w:eastAsia="zh-TW"/>
        </w:rPr>
        <w:lastRenderedPageBreak/>
        <w:t>حاء</w:t>
      </w:r>
      <w:r w:rsidR="009C295C" w:rsidRPr="00426042">
        <w:rPr>
          <w:rFonts w:hint="cs"/>
          <w:b/>
          <w:bCs/>
          <w:sz w:val="30"/>
          <w:u w:val="none"/>
          <w:rtl/>
          <w:lang w:eastAsia="zh-TW"/>
        </w:rPr>
        <w:t xml:space="preserve"> </w:t>
      </w:r>
      <w:r w:rsidRPr="00426042">
        <w:rPr>
          <w:b/>
          <w:bCs/>
          <w:sz w:val="30"/>
          <w:u w:val="none"/>
          <w:rtl/>
          <w:lang w:eastAsia="zh-TW"/>
        </w:rPr>
        <w:t>-</w:t>
      </w:r>
      <w:r w:rsidR="00DE03BE">
        <w:rPr>
          <w:rFonts w:hint="cs"/>
          <w:b/>
          <w:bCs/>
          <w:sz w:val="30"/>
          <w:u w:val="none"/>
          <w:rtl/>
          <w:lang w:eastAsia="zh-TW"/>
        </w:rPr>
        <w:tab/>
      </w:r>
      <w:r w:rsidRPr="00426042">
        <w:rPr>
          <w:b/>
          <w:bCs/>
          <w:sz w:val="30"/>
          <w:u w:val="none"/>
          <w:rtl/>
          <w:lang w:eastAsia="zh-TW"/>
        </w:rPr>
        <w:t>الجداول الزمنية للإصلاح والاختبار والصيانة</w:t>
      </w:r>
      <w:bookmarkEnd w:id="11"/>
    </w:p>
    <w:p w:rsidR="005D1C9A" w:rsidRPr="005D1C9A" w:rsidRDefault="005D1C9A" w:rsidP="00415986">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5</w:t>
      </w:r>
      <w:r w:rsidR="00415986">
        <w:rPr>
          <w:rFonts w:ascii="Traditional Arabic" w:hAnsi="Traditional Arabic" w:cs="Traditional Arabic" w:hint="cs"/>
          <w:sz w:val="30"/>
          <w:szCs w:val="30"/>
          <w:rtl/>
          <w:lang w:eastAsia="zh-TW"/>
        </w:rPr>
        <w:t>2</w:t>
      </w:r>
      <w:r w:rsidR="009C295C">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ينبغي إجراء عمليات تفتيش منتظمة للتأكد من أن المرفق في حالة جيدة، بما في ذلك جميع المعدات. وينبغي أن يشمل هذا التفتيش فحص الحاويات ومنطقة تجمع الانسكابات والأرضيات والجدران للتأكد من عدم وجود أي تسربات للزئبق وأن جميع المعدات والسطوح المطلية سليمة. وين</w:t>
      </w:r>
      <w:r w:rsidRPr="005D1C9A">
        <w:rPr>
          <w:rFonts w:ascii="Traditional Arabic" w:hAnsi="Traditional Arabic" w:cs="Traditional Arabic" w:hint="eastAsia"/>
          <w:sz w:val="30"/>
          <w:szCs w:val="30"/>
          <w:rtl/>
          <w:lang w:eastAsia="zh-TW"/>
        </w:rPr>
        <w:t>بغي</w:t>
      </w:r>
      <w:r w:rsidRPr="005D1C9A">
        <w:rPr>
          <w:rFonts w:ascii="Traditional Arabic" w:hAnsi="Traditional Arabic" w:cs="Traditional Arabic"/>
          <w:sz w:val="30"/>
          <w:szCs w:val="30"/>
          <w:rtl/>
          <w:lang w:eastAsia="zh-TW"/>
        </w:rPr>
        <w:t xml:space="preserve"> النظر في إجراء رصد دوري للهواء لكشف التسربات وحماية العاملين في الموقع. </w:t>
      </w:r>
      <w:r w:rsidRPr="006C3E63">
        <w:rPr>
          <w:rFonts w:ascii="Traditional Arabic" w:hAnsi="Traditional Arabic" w:cs="Traditional Arabic"/>
          <w:i/>
          <w:iCs/>
          <w:sz w:val="30"/>
          <w:szCs w:val="30"/>
          <w:rtl/>
          <w:lang w:eastAsia="zh-TW"/>
        </w:rPr>
        <w:t>ولكشف التسربات وحماية العاملين في الموقع</w:t>
      </w:r>
      <w:r w:rsidRPr="005D1C9A">
        <w:rPr>
          <w:rFonts w:ascii="Traditional Arabic" w:hAnsi="Traditional Arabic" w:cs="Traditional Arabic"/>
          <w:sz w:val="30"/>
          <w:szCs w:val="30"/>
          <w:rtl/>
          <w:lang w:eastAsia="zh-TW"/>
        </w:rPr>
        <w:t xml:space="preserve">، يمكن استخدام نظام يرصد الهواء الداخلي بشكل مستمر، مع وضع أجهزة الاستشعار على مستويي الأرضية والرأس وتزويدها بنظم للإنذار المرئي والمسموع. </w:t>
      </w:r>
      <w:r w:rsidRPr="005D1C9A">
        <w:rPr>
          <w:rFonts w:ascii="Traditional Arabic" w:hAnsi="Traditional Arabic" w:cs="Traditional Arabic" w:hint="eastAsia"/>
          <w:sz w:val="30"/>
          <w:szCs w:val="30"/>
          <w:rtl/>
          <w:lang w:eastAsia="zh-TW"/>
        </w:rPr>
        <w:t>وعند</w:t>
      </w:r>
      <w:r w:rsidRPr="005D1C9A">
        <w:rPr>
          <w:rFonts w:ascii="Traditional Arabic" w:hAnsi="Traditional Arabic" w:cs="Traditional Arabic"/>
          <w:sz w:val="30"/>
          <w:szCs w:val="30"/>
          <w:rtl/>
          <w:lang w:eastAsia="zh-TW"/>
        </w:rPr>
        <w:t xml:space="preserve"> اكتشاف التسربات، ينبغي للمسؤول عن تشغيل المرفق أن يتخذ على الفور جميع التدابير اللازمة لتجنب حدوث أي إطلاقات للزئبق (</w:t>
      </w:r>
      <w:r w:rsidRPr="009C295C">
        <w:rPr>
          <w:rFonts w:asciiTheme="majorBidi" w:hAnsiTheme="majorBidi" w:cstheme="majorBidi"/>
          <w:szCs w:val="20"/>
          <w:lang w:eastAsia="zh-TW"/>
        </w:rPr>
        <w:t>EU, 2011</w:t>
      </w:r>
      <w:r w:rsidRPr="005D1C9A">
        <w:rPr>
          <w:rFonts w:ascii="Traditional Arabic" w:hAnsi="Traditional Arabic" w:cs="Traditional Arabic"/>
          <w:sz w:val="30"/>
          <w:szCs w:val="30"/>
          <w:rtl/>
          <w:lang w:eastAsia="zh-TW"/>
        </w:rPr>
        <w:t>). وينبغي اختبار معدات الرصد بانتظام للتأكد من أنها معايرة بشكل مناسب وتعمل على الوجه الصحيح. وينبغي أن تخضع جميع المعدات للصي</w:t>
      </w:r>
      <w:r w:rsidRPr="005D1C9A">
        <w:rPr>
          <w:rFonts w:ascii="Traditional Arabic" w:hAnsi="Traditional Arabic" w:cs="Traditional Arabic" w:hint="eastAsia"/>
          <w:sz w:val="30"/>
          <w:szCs w:val="30"/>
          <w:rtl/>
          <w:lang w:eastAsia="zh-TW"/>
        </w:rPr>
        <w:t>انة</w:t>
      </w:r>
      <w:r w:rsidRPr="005D1C9A">
        <w:rPr>
          <w:rFonts w:ascii="Traditional Arabic" w:hAnsi="Traditional Arabic" w:cs="Traditional Arabic"/>
          <w:sz w:val="30"/>
          <w:szCs w:val="30"/>
          <w:rtl/>
          <w:lang w:eastAsia="zh-TW"/>
        </w:rPr>
        <w:t xml:space="preserve"> ا</w:t>
      </w:r>
      <w:r w:rsidR="00DE03BE">
        <w:rPr>
          <w:rFonts w:ascii="Traditional Arabic" w:hAnsi="Traditional Arabic" w:cs="Traditional Arabic"/>
          <w:sz w:val="30"/>
          <w:szCs w:val="30"/>
          <w:rtl/>
          <w:lang w:eastAsia="zh-TW"/>
        </w:rPr>
        <w:t>لدورية، بما في ذلك معدات الرصد.</w:t>
      </w:r>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5</w:t>
      </w:r>
      <w:r w:rsidR="00306EED">
        <w:rPr>
          <w:rFonts w:ascii="Traditional Arabic" w:hAnsi="Traditional Arabic" w:cs="Traditional Arabic" w:hint="cs"/>
          <w:sz w:val="30"/>
          <w:szCs w:val="30"/>
          <w:rtl/>
          <w:lang w:eastAsia="zh-TW"/>
        </w:rPr>
        <w:t>3</w:t>
      </w:r>
      <w:r w:rsidR="009C295C">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ويمكن تحديد الجدول الزمني للتفتيش عن طريق اللوائح الوطنية أو بواسطة تعليمات مدير المرفق. وينبغي وضع خطة واضحة للرصد والإصلاح المنتظمين قبل بدء تشغيل المرفق. وينبغي تعهد سجلات تفصيلي</w:t>
      </w:r>
      <w:r w:rsidR="00DE03BE">
        <w:rPr>
          <w:rFonts w:ascii="Traditional Arabic" w:hAnsi="Traditional Arabic" w:cs="Traditional Arabic"/>
          <w:sz w:val="30"/>
          <w:szCs w:val="30"/>
          <w:rtl/>
          <w:lang w:eastAsia="zh-TW"/>
        </w:rPr>
        <w:t>ة توضح عمليات التفتيش والصيانة.</w:t>
      </w:r>
    </w:p>
    <w:p w:rsidR="005D1C9A" w:rsidRPr="00426042" w:rsidRDefault="00810307" w:rsidP="00DE03BE">
      <w:pPr>
        <w:pStyle w:val="Heading1"/>
        <w:bidi/>
        <w:spacing w:before="0" w:line="400" w:lineRule="exact"/>
        <w:ind w:left="1134" w:hanging="852"/>
        <w:jc w:val="both"/>
        <w:textDirection w:val="tbRlV"/>
        <w:rPr>
          <w:b/>
          <w:bCs/>
          <w:sz w:val="30"/>
          <w:u w:val="none"/>
          <w:rtl/>
          <w:lang w:eastAsia="zh-TW"/>
        </w:rPr>
      </w:pPr>
      <w:bookmarkStart w:id="12" w:name="_Toc485639171"/>
      <w:r w:rsidRPr="00426042">
        <w:rPr>
          <w:rFonts w:hint="cs"/>
          <w:b/>
          <w:bCs/>
          <w:sz w:val="30"/>
          <w:u w:val="none"/>
          <w:rtl/>
          <w:lang w:eastAsia="zh-TW"/>
        </w:rPr>
        <w:t>طاء</w:t>
      </w:r>
      <w:r w:rsidR="009C295C" w:rsidRPr="00426042">
        <w:rPr>
          <w:rFonts w:hint="cs"/>
          <w:b/>
          <w:bCs/>
          <w:sz w:val="30"/>
          <w:u w:val="none"/>
          <w:rtl/>
          <w:lang w:eastAsia="zh-TW"/>
        </w:rPr>
        <w:t xml:space="preserve"> </w:t>
      </w:r>
      <w:r w:rsidR="005D1C9A" w:rsidRPr="00426042">
        <w:rPr>
          <w:b/>
          <w:bCs/>
          <w:sz w:val="30"/>
          <w:u w:val="none"/>
          <w:rtl/>
          <w:lang w:eastAsia="zh-TW"/>
        </w:rPr>
        <w:t>-</w:t>
      </w:r>
      <w:r w:rsidR="00DE03BE">
        <w:rPr>
          <w:rFonts w:hint="cs"/>
          <w:b/>
          <w:bCs/>
          <w:sz w:val="30"/>
          <w:u w:val="none"/>
          <w:rtl/>
          <w:lang w:eastAsia="zh-TW"/>
        </w:rPr>
        <w:tab/>
      </w:r>
      <w:r w:rsidR="005D1C9A" w:rsidRPr="00426042">
        <w:rPr>
          <w:b/>
          <w:bCs/>
          <w:sz w:val="30"/>
          <w:u w:val="none"/>
          <w:rtl/>
          <w:lang w:eastAsia="zh-TW"/>
        </w:rPr>
        <w:t>التدابير الطارئة، بما في ذلك معدات الحماية الشخصية</w:t>
      </w:r>
      <w:bookmarkEnd w:id="12"/>
    </w:p>
    <w:p w:rsidR="005D1C9A" w:rsidRPr="005D1C9A" w:rsidRDefault="005D1C9A" w:rsidP="00842EC3">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5</w:t>
      </w:r>
      <w:r w:rsidR="00306EED">
        <w:rPr>
          <w:rFonts w:ascii="Traditional Arabic" w:hAnsi="Traditional Arabic" w:cs="Traditional Arabic" w:hint="cs"/>
          <w:sz w:val="30"/>
          <w:szCs w:val="30"/>
          <w:rtl/>
          <w:lang w:eastAsia="zh-TW"/>
        </w:rPr>
        <w:t>4</w:t>
      </w:r>
      <w:r w:rsidR="009C295C">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يجب وضع الإجراءات الخاصة بكل موقع لتنفيذ متطلبات السلامة التي تم تحديدها لتخزين الزئبق ومركبات الزئبق بما يتوافق مع المعايير الوطنية وبموافقة أقسام الحكومة المعنية بالأمن والإدارة البيئية. وينبغي وجود خطة طوارئ عملية تتناول الإجلاء والإجراءات الواجب ات</w:t>
      </w:r>
      <w:r w:rsidRPr="005D1C9A">
        <w:rPr>
          <w:rFonts w:ascii="Traditional Arabic" w:hAnsi="Traditional Arabic" w:cs="Traditional Arabic" w:hint="eastAsia"/>
          <w:sz w:val="30"/>
          <w:szCs w:val="30"/>
          <w:rtl/>
          <w:lang w:eastAsia="zh-TW"/>
        </w:rPr>
        <w:t>باعها</w:t>
      </w:r>
      <w:r w:rsidRPr="005D1C9A">
        <w:rPr>
          <w:rFonts w:ascii="Traditional Arabic" w:hAnsi="Traditional Arabic" w:cs="Traditional Arabic"/>
          <w:sz w:val="30"/>
          <w:szCs w:val="30"/>
          <w:rtl/>
          <w:lang w:eastAsia="zh-TW"/>
        </w:rPr>
        <w:t xml:space="preserve"> في حالات الإرهاب والحرائق وغيرها من الأحداث الكارثية التي قد تسفر عن تسربات كبيرة للزئبق داخل محيط المبنى وخارجه. وينبغي وجود الخطة وتنفيذها على الفور في حالات الانسكاب العرضي أو غيرها من حالات الطوارئ (</w:t>
      </w:r>
      <w:r w:rsidRPr="009C295C">
        <w:rPr>
          <w:rFonts w:asciiTheme="majorBidi" w:hAnsiTheme="majorBidi" w:cstheme="majorBidi"/>
          <w:szCs w:val="20"/>
          <w:lang w:eastAsia="zh-TW"/>
        </w:rPr>
        <w:t>QSC 2003</w:t>
      </w:r>
      <w:r w:rsidRPr="005D1C9A">
        <w:rPr>
          <w:rFonts w:ascii="Traditional Arabic" w:hAnsi="Traditional Arabic" w:cs="Traditional Arabic"/>
          <w:sz w:val="30"/>
          <w:szCs w:val="30"/>
          <w:rtl/>
          <w:lang w:eastAsia="zh-TW"/>
        </w:rPr>
        <w:t xml:space="preserve">). وينبغي تعيين شخص يتولى المسؤولية في </w:t>
      </w:r>
      <w:r w:rsidRPr="005D1C9A">
        <w:rPr>
          <w:rFonts w:ascii="Traditional Arabic" w:hAnsi="Traditional Arabic" w:cs="Traditional Arabic" w:hint="eastAsia"/>
          <w:sz w:val="30"/>
          <w:szCs w:val="30"/>
          <w:rtl/>
          <w:lang w:eastAsia="zh-TW"/>
        </w:rPr>
        <w:t>حالات</w:t>
      </w:r>
      <w:r w:rsidRPr="005D1C9A">
        <w:rPr>
          <w:rFonts w:ascii="Traditional Arabic" w:hAnsi="Traditional Arabic" w:cs="Traditional Arabic"/>
          <w:sz w:val="30"/>
          <w:szCs w:val="30"/>
          <w:rtl/>
          <w:lang w:eastAsia="zh-TW"/>
        </w:rPr>
        <w:t xml:space="preserve"> الطوارئ، لكي يأذن بتغييرات إجراءات السلامة اللازمة لتسهيل عمل موظفي الاستجابة لحالات الطوارئ. وينبغي ضمان الاختيار الصحيح لمواقع المرافق الأمنية، وإمكانية الوصول إلى المنطقة المت</w:t>
      </w:r>
      <w:r w:rsidR="00F23263">
        <w:rPr>
          <w:rFonts w:ascii="Traditional Arabic" w:hAnsi="Traditional Arabic" w:cs="Traditional Arabic" w:hint="cs"/>
          <w:sz w:val="30"/>
          <w:szCs w:val="30"/>
          <w:rtl/>
          <w:lang w:eastAsia="zh-TW"/>
        </w:rPr>
        <w:t>ضررة</w:t>
      </w:r>
      <w:r w:rsidR="00DE03BE">
        <w:rPr>
          <w:rFonts w:ascii="Traditional Arabic" w:hAnsi="Traditional Arabic" w:cs="Traditional Arabic"/>
          <w:sz w:val="30"/>
          <w:szCs w:val="30"/>
          <w:rtl/>
          <w:lang w:eastAsia="zh-TW"/>
        </w:rPr>
        <w:t>.</w:t>
      </w:r>
    </w:p>
    <w:p w:rsidR="005D1C9A" w:rsidRPr="005D1C9A" w:rsidRDefault="005D1C9A" w:rsidP="00842EC3">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5</w:t>
      </w:r>
      <w:r w:rsidR="00306EED">
        <w:rPr>
          <w:rFonts w:ascii="Traditional Arabic" w:hAnsi="Traditional Arabic" w:cs="Traditional Arabic" w:hint="cs"/>
          <w:sz w:val="30"/>
          <w:szCs w:val="30"/>
          <w:rtl/>
          <w:lang w:eastAsia="zh-TW"/>
        </w:rPr>
        <w:t>5</w:t>
      </w:r>
      <w:r w:rsidR="009C295C">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وينبغي أن تمتثل خطط أو إجراءات الاستجابة في حالات الطوارئ للمتطلبات على الصعد الإقليمية والوطنية وأن تشمل إجراءات لعمل المسعفين، بما في ذلك موظفو الإطفاء، وموظفو الاستجابة في حالات الطوارئ، والعاملون في مركبات الإسعاف والمستشفيات المحلية (</w:t>
      </w:r>
      <w:r w:rsidRPr="009C295C">
        <w:rPr>
          <w:rFonts w:asciiTheme="majorBidi" w:hAnsiTheme="majorBidi" w:cstheme="majorBidi"/>
          <w:szCs w:val="20"/>
          <w:lang w:eastAsia="zh-TW"/>
        </w:rPr>
        <w:t>QSC 2003</w:t>
      </w:r>
      <w:r w:rsidRPr="005D1C9A">
        <w:rPr>
          <w:rFonts w:ascii="Traditional Arabic" w:hAnsi="Traditional Arabic" w:cs="Traditional Arabic"/>
          <w:sz w:val="30"/>
          <w:szCs w:val="30"/>
          <w:rtl/>
          <w:lang w:eastAsia="zh-TW"/>
        </w:rPr>
        <w:t xml:space="preserve">). وعلى الرغم من أن هذه الخطط قد تتباين وفقاً للظروف المادية والاجتماعية لكل موقع، فإن العناصر الرئيسية لخطة الاستجابة لحالات الطوارئ تشمل تحديد المخاطر المحتملة؛ والتشريعات التي تخضع لها خطة الطوارئ؛ والإجراءات التي ينبغي اتخاذها في حالات الطوارئ، بما </w:t>
      </w:r>
      <w:r w:rsidRPr="005D1C9A">
        <w:rPr>
          <w:rFonts w:ascii="Traditional Arabic" w:hAnsi="Traditional Arabic" w:cs="Traditional Arabic" w:hint="eastAsia"/>
          <w:sz w:val="30"/>
          <w:szCs w:val="30"/>
          <w:rtl/>
          <w:lang w:eastAsia="zh-TW"/>
        </w:rPr>
        <w:t>في</w:t>
      </w:r>
      <w:r w:rsidRPr="005D1C9A">
        <w:rPr>
          <w:rFonts w:ascii="Traditional Arabic" w:hAnsi="Traditional Arabic" w:cs="Traditional Arabic"/>
          <w:sz w:val="30"/>
          <w:szCs w:val="30"/>
          <w:rtl/>
          <w:lang w:eastAsia="zh-TW"/>
        </w:rPr>
        <w:t xml:space="preserve"> ذلك تدابير التخفيف؛ وخطط تدريب الموظفين؛ والجهات التي يستهدفها الاتصال (خدمات إطفاء الحريق، والشرطة، والتجمعات السكانية المجاورة، والحكومات المحلية وغيرها) والوسائل المتبعة في حالات الطوارئ؛ والوسائل والجداول الزمنية المتبعة لاختبار معدات الاستجابة للطو</w:t>
      </w:r>
      <w:r w:rsidRPr="005D1C9A">
        <w:rPr>
          <w:rFonts w:ascii="Traditional Arabic" w:hAnsi="Traditional Arabic" w:cs="Traditional Arabic" w:hint="eastAsia"/>
          <w:sz w:val="30"/>
          <w:szCs w:val="30"/>
          <w:rtl/>
          <w:lang w:eastAsia="zh-TW"/>
        </w:rPr>
        <w:t>ارئ</w:t>
      </w:r>
      <w:r w:rsidRPr="005D1C9A">
        <w:rPr>
          <w:rFonts w:ascii="Traditional Arabic" w:hAnsi="Traditional Arabic" w:cs="Traditional Arabic"/>
          <w:sz w:val="30"/>
          <w:szCs w:val="30"/>
          <w:rtl/>
          <w:lang w:eastAsia="zh-TW"/>
        </w:rPr>
        <w:t>. وينبغي إجراء تدريبات الاستجابة في حالات الطوارئ.</w:t>
      </w:r>
    </w:p>
    <w:p w:rsidR="005D1C9A" w:rsidRPr="005D1C9A" w:rsidRDefault="005D1C9A" w:rsidP="009404B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5</w:t>
      </w:r>
      <w:r w:rsidR="00306EED">
        <w:rPr>
          <w:rFonts w:ascii="Traditional Arabic" w:hAnsi="Traditional Arabic" w:cs="Traditional Arabic" w:hint="cs"/>
          <w:sz w:val="30"/>
          <w:szCs w:val="30"/>
          <w:rtl/>
          <w:lang w:eastAsia="zh-TW"/>
        </w:rPr>
        <w:t>6</w:t>
      </w:r>
      <w:r w:rsidR="009C295C">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وينبغي أن تغطي خطط أو إجراءات الاستجابة في حالات الطوارئ عدداً من السيناريوهات المختلفة، التي قد تشمل، على سبيل المثال لا الحصر، ما يلي:</w:t>
      </w:r>
    </w:p>
    <w:p w:rsidR="005D1C9A" w:rsidRPr="005D1C9A" w:rsidRDefault="005D1C9A" w:rsidP="009404B2">
      <w:pPr>
        <w:pStyle w:val="Normalnumber"/>
        <w:numPr>
          <w:ilvl w:val="0"/>
          <w:numId w:val="0"/>
        </w:numPr>
        <w:tabs>
          <w:tab w:val="left" w:pos="2408"/>
        </w:tabs>
        <w:bidi/>
        <w:spacing w:line="400" w:lineRule="exact"/>
        <w:ind w:left="1134" w:firstLine="707"/>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lastRenderedPageBreak/>
        <w:t>(أ)</w:t>
      </w:r>
      <w:r w:rsidRPr="005D1C9A">
        <w:rPr>
          <w:rFonts w:ascii="Traditional Arabic" w:hAnsi="Traditional Arabic" w:cs="Traditional Arabic"/>
          <w:sz w:val="30"/>
          <w:szCs w:val="30"/>
          <w:rtl/>
          <w:lang w:eastAsia="zh-TW"/>
        </w:rPr>
        <w:tab/>
        <w:t>الأضرار التي تلحق بحاويات التخزين أثناء المناولة، بما في ذلك التمييز بين الأضرار الطفيفة والأضرار الكارثية (على سبيل المثال، التعطل الكامل للسدادة التي تحكم إغلاق غطاء إحدى الأسطوانات أو لآليات الإغلاق الأخرى)؛</w:t>
      </w:r>
    </w:p>
    <w:p w:rsidR="005D1C9A" w:rsidRPr="005D1C9A" w:rsidRDefault="005D1C9A" w:rsidP="009404B2">
      <w:pPr>
        <w:pStyle w:val="Normalnumber"/>
        <w:numPr>
          <w:ilvl w:val="0"/>
          <w:numId w:val="0"/>
        </w:numPr>
        <w:tabs>
          <w:tab w:val="left" w:pos="2408"/>
        </w:tabs>
        <w:bidi/>
        <w:spacing w:line="400" w:lineRule="exact"/>
        <w:ind w:left="1134" w:firstLine="707"/>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(ب)</w:t>
      </w:r>
      <w:r w:rsidR="00DE03BE">
        <w:rPr>
          <w:rFonts w:ascii="Traditional Arabic" w:hAnsi="Traditional Arabic" w:cs="Traditional Arabic" w:hint="cs"/>
          <w:sz w:val="30"/>
          <w:szCs w:val="30"/>
          <w:rtl/>
          <w:lang w:eastAsia="zh-TW"/>
        </w:rPr>
        <w:tab/>
      </w:r>
      <w:r w:rsidRPr="005D1C9A">
        <w:rPr>
          <w:rFonts w:ascii="Traditional Arabic" w:hAnsi="Traditional Arabic" w:cs="Traditional Arabic"/>
          <w:sz w:val="30"/>
          <w:szCs w:val="30"/>
          <w:rtl/>
          <w:lang w:eastAsia="zh-TW"/>
        </w:rPr>
        <w:t>اكتشاف تسرب من الحاوية أثناء عمليات التفتيش الروتينية؛</w:t>
      </w:r>
    </w:p>
    <w:p w:rsidR="005D1C9A" w:rsidRPr="005D1C9A" w:rsidRDefault="005D1C9A" w:rsidP="009404B2">
      <w:pPr>
        <w:pStyle w:val="Normalnumber"/>
        <w:numPr>
          <w:ilvl w:val="0"/>
          <w:numId w:val="0"/>
        </w:numPr>
        <w:tabs>
          <w:tab w:val="left" w:pos="2408"/>
        </w:tabs>
        <w:bidi/>
        <w:spacing w:line="400" w:lineRule="exact"/>
        <w:ind w:left="1134" w:firstLine="707"/>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(ج)</w:t>
      </w:r>
      <w:r w:rsidR="00DE03BE">
        <w:rPr>
          <w:rFonts w:ascii="Traditional Arabic" w:hAnsi="Traditional Arabic" w:cs="Traditional Arabic" w:hint="cs"/>
          <w:sz w:val="30"/>
          <w:szCs w:val="30"/>
          <w:rtl/>
          <w:lang w:eastAsia="zh-TW"/>
        </w:rPr>
        <w:tab/>
      </w:r>
      <w:r w:rsidRPr="005D1C9A">
        <w:rPr>
          <w:rFonts w:ascii="Traditional Arabic" w:hAnsi="Traditional Arabic" w:cs="Traditional Arabic"/>
          <w:sz w:val="30"/>
          <w:szCs w:val="30"/>
          <w:rtl/>
          <w:lang w:eastAsia="zh-TW"/>
        </w:rPr>
        <w:t>التسرب الذي يحدث أثناء إعادة عمليات إعادة التغليف؛</w:t>
      </w:r>
    </w:p>
    <w:p w:rsidR="005D1C9A" w:rsidRPr="005D1C9A" w:rsidRDefault="005D1C9A" w:rsidP="009404B2">
      <w:pPr>
        <w:pStyle w:val="Normalnumber"/>
        <w:numPr>
          <w:ilvl w:val="0"/>
          <w:numId w:val="0"/>
        </w:numPr>
        <w:tabs>
          <w:tab w:val="left" w:pos="2408"/>
        </w:tabs>
        <w:bidi/>
        <w:spacing w:line="400" w:lineRule="exact"/>
        <w:ind w:left="1134" w:firstLine="707"/>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(د)</w:t>
      </w:r>
      <w:r w:rsidR="00DE03BE">
        <w:rPr>
          <w:rFonts w:ascii="Traditional Arabic" w:hAnsi="Traditional Arabic" w:cs="Traditional Arabic" w:hint="cs"/>
          <w:sz w:val="30"/>
          <w:szCs w:val="30"/>
          <w:rtl/>
          <w:lang w:eastAsia="zh-TW"/>
        </w:rPr>
        <w:tab/>
      </w:r>
      <w:r w:rsidRPr="005D1C9A">
        <w:rPr>
          <w:rFonts w:ascii="Traditional Arabic" w:hAnsi="Traditional Arabic" w:cs="Traditional Arabic"/>
          <w:sz w:val="30"/>
          <w:szCs w:val="30"/>
          <w:rtl/>
          <w:lang w:eastAsia="zh-TW"/>
        </w:rPr>
        <w:t>الضرر الذي يلحق بمرفق التخزين نفسه (على سبيل المثال، بسبب الفيضانات والحرائق والظروف المناخية القاسية أو الحوادث الخطيرة التي تمس بشكل ما السلامة المادية للمرفق).</w:t>
      </w:r>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5</w:t>
      </w:r>
      <w:r w:rsidR="00306EED">
        <w:rPr>
          <w:rFonts w:ascii="Traditional Arabic" w:hAnsi="Traditional Arabic" w:cs="Traditional Arabic" w:hint="cs"/>
          <w:sz w:val="30"/>
          <w:szCs w:val="30"/>
          <w:rtl/>
          <w:lang w:eastAsia="zh-TW"/>
        </w:rPr>
        <w:t>7</w:t>
      </w:r>
      <w:r w:rsidR="009C295C">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 xml:space="preserve">وفي كل سيناريو، ينبغي أن تحدد توجيهات الاستجابة الأمور التالية: </w:t>
      </w:r>
    </w:p>
    <w:p w:rsidR="005D1C9A" w:rsidRPr="005D1C9A" w:rsidRDefault="005D1C9A" w:rsidP="009404B2">
      <w:pPr>
        <w:pStyle w:val="Normalnumber"/>
        <w:numPr>
          <w:ilvl w:val="0"/>
          <w:numId w:val="0"/>
        </w:numPr>
        <w:tabs>
          <w:tab w:val="left" w:pos="2408"/>
        </w:tabs>
        <w:bidi/>
        <w:spacing w:line="400" w:lineRule="exact"/>
        <w:ind w:left="1134" w:firstLine="707"/>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(أ)</w:t>
      </w:r>
      <w:r w:rsidRPr="005D1C9A">
        <w:rPr>
          <w:rFonts w:ascii="Traditional Arabic" w:hAnsi="Traditional Arabic" w:cs="Traditional Arabic"/>
          <w:sz w:val="30"/>
          <w:szCs w:val="30"/>
          <w:rtl/>
          <w:lang w:eastAsia="zh-TW"/>
        </w:rPr>
        <w:tab/>
        <w:t xml:space="preserve">المعدات والإجراءات اللازمة لمعالجة حالة التسرب أو الإطلاق؛ </w:t>
      </w:r>
    </w:p>
    <w:p w:rsidR="005D1C9A" w:rsidRPr="005D1C9A" w:rsidRDefault="005D1C9A" w:rsidP="009404B2">
      <w:pPr>
        <w:pStyle w:val="Normalnumber"/>
        <w:numPr>
          <w:ilvl w:val="0"/>
          <w:numId w:val="0"/>
        </w:numPr>
        <w:tabs>
          <w:tab w:val="left" w:pos="2408"/>
        </w:tabs>
        <w:bidi/>
        <w:spacing w:line="400" w:lineRule="exact"/>
        <w:ind w:left="1134" w:firstLine="707"/>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(ب)</w:t>
      </w:r>
      <w:r w:rsidRPr="005D1C9A">
        <w:rPr>
          <w:rFonts w:ascii="Traditional Arabic" w:hAnsi="Traditional Arabic" w:cs="Traditional Arabic"/>
          <w:sz w:val="30"/>
          <w:szCs w:val="30"/>
          <w:rtl/>
          <w:lang w:eastAsia="zh-TW"/>
        </w:rPr>
        <w:tab/>
        <w:t>موظف الموقع المسؤول عن الإشراف على تقييم الحالة (أي ما إذا كان الإطلاق ثانوياً أو كبيراً) والإشراف على العمال أثناء معالجة الإطلاق أو الحادث؛</w:t>
      </w:r>
    </w:p>
    <w:p w:rsidR="005D1C9A" w:rsidRPr="005D1C9A" w:rsidRDefault="005D1C9A" w:rsidP="009404B2">
      <w:pPr>
        <w:pStyle w:val="Normalnumber"/>
        <w:numPr>
          <w:ilvl w:val="0"/>
          <w:numId w:val="0"/>
        </w:numPr>
        <w:tabs>
          <w:tab w:val="left" w:pos="2408"/>
        </w:tabs>
        <w:bidi/>
        <w:spacing w:line="400" w:lineRule="exact"/>
        <w:ind w:left="1134" w:firstLine="707"/>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(ج)</w:t>
      </w:r>
      <w:r w:rsidRPr="005D1C9A">
        <w:rPr>
          <w:rFonts w:ascii="Traditional Arabic" w:hAnsi="Traditional Arabic" w:cs="Traditional Arabic"/>
          <w:sz w:val="30"/>
          <w:szCs w:val="30"/>
          <w:rtl/>
          <w:lang w:eastAsia="zh-TW"/>
        </w:rPr>
        <w:tab/>
        <w:t>إجراءات الإخطار للعمال الآخرين في المرفق (لا سيما فيما يتعلق بضرورة استخدام معدات الحماية الشخصية)؛</w:t>
      </w:r>
    </w:p>
    <w:p w:rsidR="005D1C9A" w:rsidRPr="005D1C9A" w:rsidRDefault="005D1C9A" w:rsidP="009404B2">
      <w:pPr>
        <w:pStyle w:val="Normalnumber"/>
        <w:numPr>
          <w:ilvl w:val="0"/>
          <w:numId w:val="0"/>
        </w:numPr>
        <w:tabs>
          <w:tab w:val="left" w:pos="2408"/>
        </w:tabs>
        <w:bidi/>
        <w:spacing w:line="400" w:lineRule="exact"/>
        <w:ind w:left="1134" w:firstLine="707"/>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(د)</w:t>
      </w:r>
      <w:r w:rsidRPr="005D1C9A">
        <w:rPr>
          <w:rFonts w:ascii="Traditional Arabic" w:hAnsi="Traditional Arabic" w:cs="Traditional Arabic"/>
          <w:sz w:val="30"/>
          <w:szCs w:val="30"/>
          <w:rtl/>
          <w:lang w:eastAsia="zh-TW"/>
        </w:rPr>
        <w:tab/>
        <w:t>وقت إخطار العاملين المحليين في مجال الاستجابة لحالات الطوارئ من أجل الحصول على دعم إضافي؛</w:t>
      </w:r>
    </w:p>
    <w:p w:rsidR="005D1C9A" w:rsidRPr="005D1C9A" w:rsidRDefault="005D1C9A" w:rsidP="009404B2">
      <w:pPr>
        <w:pStyle w:val="Normalnumber"/>
        <w:numPr>
          <w:ilvl w:val="0"/>
          <w:numId w:val="0"/>
        </w:numPr>
        <w:tabs>
          <w:tab w:val="left" w:pos="2408"/>
        </w:tabs>
        <w:bidi/>
        <w:spacing w:line="400" w:lineRule="exact"/>
        <w:ind w:left="1134" w:firstLine="707"/>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w:t>
      </w:r>
      <w:r w:rsidRPr="005D1C9A">
        <w:rPr>
          <w:rFonts w:ascii="Traditional Arabic" w:hAnsi="Traditional Arabic" w:cs="Traditional Arabic" w:hint="cs"/>
          <w:sz w:val="30"/>
          <w:szCs w:val="30"/>
          <w:rtl/>
          <w:lang w:eastAsia="zh-TW"/>
        </w:rPr>
        <w:t>ﻫ</w:t>
      </w:r>
      <w:r w:rsidRPr="005D1C9A">
        <w:rPr>
          <w:rFonts w:ascii="Traditional Arabic" w:hAnsi="Traditional Arabic" w:cs="Traditional Arabic"/>
          <w:sz w:val="30"/>
          <w:szCs w:val="30"/>
          <w:rtl/>
          <w:lang w:eastAsia="zh-TW"/>
        </w:rPr>
        <w:t>)</w:t>
      </w:r>
      <w:r w:rsidRPr="005D1C9A">
        <w:rPr>
          <w:rFonts w:ascii="Traditional Arabic" w:hAnsi="Traditional Arabic" w:cs="Traditional Arabic"/>
          <w:sz w:val="30"/>
          <w:szCs w:val="30"/>
          <w:rtl/>
          <w:lang w:eastAsia="zh-TW"/>
        </w:rPr>
        <w:tab/>
        <w:t>وقت إخطار عامة الناس، والإجراءات التي ينبغي للعامة اتخاذها؛</w:t>
      </w:r>
    </w:p>
    <w:p w:rsidR="005D1C9A" w:rsidRPr="005D1C9A" w:rsidRDefault="005D1C9A" w:rsidP="009404B2">
      <w:pPr>
        <w:pStyle w:val="Normalnumber"/>
        <w:numPr>
          <w:ilvl w:val="0"/>
          <w:numId w:val="0"/>
        </w:numPr>
        <w:tabs>
          <w:tab w:val="left" w:pos="2408"/>
        </w:tabs>
        <w:bidi/>
        <w:spacing w:line="400" w:lineRule="exact"/>
        <w:ind w:left="1134" w:firstLine="707"/>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(و)</w:t>
      </w:r>
      <w:r w:rsidRPr="005D1C9A">
        <w:rPr>
          <w:rFonts w:ascii="Traditional Arabic" w:hAnsi="Traditional Arabic" w:cs="Traditional Arabic"/>
          <w:sz w:val="30"/>
          <w:szCs w:val="30"/>
          <w:rtl/>
          <w:lang w:eastAsia="zh-TW"/>
        </w:rPr>
        <w:tab/>
        <w:t>الوقت المناسب لإجلاء العمال غير الأساسيين من المرفق؛</w:t>
      </w:r>
    </w:p>
    <w:p w:rsidR="005D1C9A" w:rsidRPr="005D1C9A" w:rsidRDefault="005D1C9A" w:rsidP="009404B2">
      <w:pPr>
        <w:pStyle w:val="Normalnumber"/>
        <w:numPr>
          <w:ilvl w:val="0"/>
          <w:numId w:val="0"/>
        </w:numPr>
        <w:tabs>
          <w:tab w:val="left" w:pos="2408"/>
        </w:tabs>
        <w:bidi/>
        <w:spacing w:line="400" w:lineRule="exact"/>
        <w:ind w:left="1134" w:firstLine="707"/>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(ز)</w:t>
      </w:r>
      <w:r w:rsidR="00DE03BE">
        <w:rPr>
          <w:rFonts w:ascii="Traditional Arabic" w:hAnsi="Traditional Arabic" w:cs="Traditional Arabic" w:hint="cs"/>
          <w:sz w:val="30"/>
          <w:szCs w:val="30"/>
          <w:rtl/>
          <w:lang w:eastAsia="zh-TW"/>
        </w:rPr>
        <w:tab/>
      </w:r>
      <w:r w:rsidRPr="005D1C9A">
        <w:rPr>
          <w:rFonts w:ascii="Traditional Arabic" w:hAnsi="Traditional Arabic" w:cs="Traditional Arabic"/>
          <w:sz w:val="30"/>
          <w:szCs w:val="30"/>
          <w:rtl/>
          <w:lang w:eastAsia="zh-TW"/>
        </w:rPr>
        <w:t>الوقت الذي يصبح فيه إجلاء جميع العمال من المرفق ضرورياً.</w:t>
      </w:r>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5</w:t>
      </w:r>
      <w:r w:rsidR="00306EED">
        <w:rPr>
          <w:rFonts w:ascii="Traditional Arabic" w:hAnsi="Traditional Arabic" w:cs="Traditional Arabic" w:hint="cs"/>
          <w:sz w:val="30"/>
          <w:szCs w:val="30"/>
          <w:rtl/>
          <w:lang w:eastAsia="zh-TW"/>
        </w:rPr>
        <w:t>8</w:t>
      </w:r>
      <w:r w:rsidR="009C295C">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وينبغي أن تتاح في الموقع جميع المعدات اللازمة لمعالجة حالات انسكاب أو إطلاق الزئبق أو مركبات الزئبق وأن تكون صالحة للعمل على أكمل وجه. وقد تشمل هذه المعدات المواد الماصة، والمنتجات الكيميائية الكاشفة التي يمكن إضافتها إلى الزئبق الأولي المنسكب لتخفيض ق</w:t>
      </w:r>
      <w:r w:rsidRPr="005D1C9A">
        <w:rPr>
          <w:rFonts w:ascii="Traditional Arabic" w:hAnsi="Traditional Arabic" w:cs="Traditional Arabic" w:hint="eastAsia"/>
          <w:sz w:val="30"/>
          <w:szCs w:val="30"/>
          <w:rtl/>
          <w:lang w:eastAsia="zh-TW"/>
        </w:rPr>
        <w:t>درته</w:t>
      </w:r>
      <w:r w:rsidRPr="005D1C9A">
        <w:rPr>
          <w:rFonts w:ascii="Traditional Arabic" w:hAnsi="Traditional Arabic" w:cs="Traditional Arabic"/>
          <w:sz w:val="30"/>
          <w:szCs w:val="30"/>
          <w:rtl/>
          <w:lang w:eastAsia="zh-TW"/>
        </w:rPr>
        <w:t xml:space="preserve"> على الانتقال، والجواريف وغيرها من الأدوات اللازمة لالتقاط المواد المنسكبة، وعدد إضافي من البراميل والحاويات الأخرى من أجل وضع المواد التي يتم تنظيفها. وينبغي أن تتمتع المرافق أيضاً بالقدرة على استيعاب وإدارة مياه الغسل الملوثة التي قد تنجم عن ذلك.</w:t>
      </w:r>
    </w:p>
    <w:p w:rsidR="005D1C9A" w:rsidRPr="005D1C9A" w:rsidRDefault="005D1C9A" w:rsidP="00AD1489">
      <w:pPr>
        <w:pStyle w:val="Normalnumber"/>
        <w:numPr>
          <w:ilvl w:val="0"/>
          <w:numId w:val="0"/>
        </w:numPr>
        <w:tabs>
          <w:tab w:val="left" w:pos="1841"/>
        </w:tabs>
        <w:bidi/>
        <w:spacing w:line="38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5</w:t>
      </w:r>
      <w:r w:rsidR="00306EED">
        <w:rPr>
          <w:rFonts w:ascii="Traditional Arabic" w:hAnsi="Traditional Arabic" w:cs="Traditional Arabic" w:hint="cs"/>
          <w:sz w:val="30"/>
          <w:szCs w:val="30"/>
          <w:rtl/>
          <w:lang w:eastAsia="zh-TW"/>
        </w:rPr>
        <w:t>9</w:t>
      </w:r>
      <w:r w:rsidR="009C295C">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وعندما تحدث حالة طوارئ، فإن الخطوة الأولى هي فحص الموقع. وعلى الشخص المسؤول أن يقترب بحذر، مرتدياً معدات الوقاية الشخصية، وذلك من جهة هبوب الرياح، وأن يؤمن المكان، ويحدد الخطر. ومن مصادر المعلومات القيمة في هذا الصدد اللافتات، والملصقات المثبتة على الح</w:t>
      </w:r>
      <w:r w:rsidRPr="005D1C9A">
        <w:rPr>
          <w:rFonts w:ascii="Traditional Arabic" w:hAnsi="Traditional Arabic" w:cs="Traditional Arabic" w:hint="eastAsia"/>
          <w:sz w:val="30"/>
          <w:szCs w:val="30"/>
          <w:rtl/>
          <w:lang w:eastAsia="zh-TW"/>
        </w:rPr>
        <w:t>اويات،</w:t>
      </w:r>
      <w:r w:rsidRPr="005D1C9A">
        <w:rPr>
          <w:rFonts w:ascii="Traditional Arabic" w:hAnsi="Traditional Arabic" w:cs="Traditional Arabic"/>
          <w:sz w:val="30"/>
          <w:szCs w:val="30"/>
          <w:rtl/>
          <w:lang w:eastAsia="zh-TW"/>
        </w:rPr>
        <w:t xml:space="preserve"> ووثائق الشحن، وصحائف بيانات سلامة المادة، وجداول تعريف المركبات، والأشخاص الذين يتمتعون بمعرفة الموقع. وينبغي بعدئذ تقييم الحاجة إلى إخلاء المكان، ومدى توفر الموارد البشرية والمعدات، والإجراءات الفورية التي يمكن اتخاذها. ومن أجل ضمان السلامة العامة، ينبغي الاتصال بوكالة خدمات الاستجابة في حالات الطوارئ، وكت</w:t>
      </w:r>
      <w:r w:rsidR="00562277">
        <w:rPr>
          <w:rFonts w:ascii="Traditional Arabic" w:hAnsi="Traditional Arabic" w:cs="Traditional Arabic" w:hint="cs"/>
          <w:sz w:val="30"/>
          <w:szCs w:val="30"/>
          <w:rtl/>
          <w:lang w:eastAsia="zh-TW"/>
        </w:rPr>
        <w:t>د</w:t>
      </w:r>
      <w:r w:rsidRPr="005D1C9A">
        <w:rPr>
          <w:rFonts w:ascii="Traditional Arabic" w:hAnsi="Traditional Arabic" w:cs="Traditional Arabic"/>
          <w:sz w:val="30"/>
          <w:szCs w:val="30"/>
          <w:rtl/>
          <w:lang w:eastAsia="zh-TW"/>
        </w:rPr>
        <w:t>بير وقائي فوري ينبغي عزل منطقة الانسكاب أو التسرب لمسافة 50 متراً على الأقل في جميع الاتجاهات. وفي حالة نشوب حريق، ينبغي استخدام مادة إخماد مناسبة لنوع الحريق، ولا ينبغي استخدام الماء. وللمزيد من ا</w:t>
      </w:r>
      <w:r w:rsidRPr="005D1C9A">
        <w:rPr>
          <w:rFonts w:ascii="Traditional Arabic" w:hAnsi="Traditional Arabic" w:cs="Traditional Arabic" w:hint="eastAsia"/>
          <w:sz w:val="30"/>
          <w:szCs w:val="30"/>
          <w:rtl/>
          <w:lang w:eastAsia="zh-TW"/>
        </w:rPr>
        <w:t>لمعلومات</w:t>
      </w:r>
      <w:r w:rsidRPr="005D1C9A">
        <w:rPr>
          <w:rFonts w:ascii="Traditional Arabic" w:hAnsi="Traditional Arabic" w:cs="Traditional Arabic"/>
          <w:sz w:val="30"/>
          <w:szCs w:val="30"/>
          <w:rtl/>
          <w:lang w:eastAsia="zh-TW"/>
        </w:rPr>
        <w:t xml:space="preserve"> يُرجى الاطلاع على ”</w:t>
      </w:r>
      <w:r w:rsidRPr="00562277">
        <w:rPr>
          <w:rFonts w:ascii="Traditional Arabic" w:hAnsi="Traditional Arabic" w:cs="Traditional Arabic"/>
          <w:i/>
          <w:iCs/>
          <w:sz w:val="30"/>
          <w:szCs w:val="30"/>
          <w:rtl/>
          <w:lang w:eastAsia="zh-TW"/>
        </w:rPr>
        <w:t>دليل الاستجابة في حالات الطوارئ</w:t>
      </w:r>
      <w:r w:rsidRPr="005D1C9A">
        <w:rPr>
          <w:rFonts w:ascii="Traditional Arabic" w:hAnsi="Traditional Arabic" w:cs="Traditional Arabic"/>
          <w:sz w:val="30"/>
          <w:szCs w:val="30"/>
          <w:rtl/>
          <w:lang w:eastAsia="zh-TW"/>
        </w:rPr>
        <w:t>“ الذي يمثل مورداً مفيداً في هذا الصدد (</w:t>
      </w:r>
      <w:r w:rsidRPr="009C295C">
        <w:rPr>
          <w:rFonts w:asciiTheme="majorBidi" w:hAnsiTheme="majorBidi" w:cstheme="majorBidi"/>
          <w:szCs w:val="20"/>
          <w:lang w:eastAsia="zh-TW"/>
        </w:rPr>
        <w:t xml:space="preserve">US Department of </w:t>
      </w:r>
      <w:r w:rsidRPr="009C295C">
        <w:rPr>
          <w:rFonts w:asciiTheme="majorBidi" w:hAnsiTheme="majorBidi" w:cstheme="majorBidi"/>
          <w:szCs w:val="20"/>
          <w:lang w:eastAsia="zh-TW"/>
        </w:rPr>
        <w:lastRenderedPageBreak/>
        <w:t>Transportation, Transport Canada, and the Secretariat of Communications and Transportation of Mexico (SCT</w:t>
      </w:r>
      <w:r w:rsidRPr="005D1C9A">
        <w:rPr>
          <w:rFonts w:ascii="Traditional Arabic" w:hAnsi="Traditional Arabic" w:cs="Traditional Arabic"/>
          <w:sz w:val="30"/>
          <w:szCs w:val="30"/>
          <w:rtl/>
          <w:lang w:eastAsia="zh-TW"/>
        </w:rPr>
        <w:t>).</w:t>
      </w:r>
    </w:p>
    <w:p w:rsidR="005D1C9A" w:rsidRPr="005D1C9A" w:rsidRDefault="00306EED" w:rsidP="00842EC3">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60</w:t>
      </w:r>
      <w:r w:rsidR="009C295C">
        <w:rPr>
          <w:rFonts w:ascii="Traditional Arabic" w:hAnsi="Traditional Arabic" w:cs="Traditional Arabic" w:hint="cs"/>
          <w:sz w:val="30"/>
          <w:szCs w:val="30"/>
          <w:rtl/>
          <w:lang w:eastAsia="zh-TW"/>
        </w:rPr>
        <w:t xml:space="preserve"> -</w:t>
      </w:r>
      <w:r w:rsidR="005D1C9A" w:rsidRPr="005D1C9A">
        <w:rPr>
          <w:rFonts w:ascii="Traditional Arabic" w:hAnsi="Traditional Arabic" w:cs="Traditional Arabic"/>
          <w:sz w:val="30"/>
          <w:szCs w:val="30"/>
          <w:rtl/>
          <w:lang w:eastAsia="zh-TW"/>
        </w:rPr>
        <w:tab/>
        <w:t>وانسكاب الزئبق الأولي، ولو بكميات قليلة من أجهزة قياس الحرارة التي تكسر بسهولة، ينبغي أن يعتبر أحد المخاطر التي ينبغي تنظيفها بحذر. وينبغي إبلاغ الإدارة بالانسكابات وتوثيق التاريخ والوقت والمفتش المسؤول والموقع والكمية التقريبية للزئبق المنسكب وتعهد سج</w:t>
      </w:r>
      <w:r w:rsidR="005D1C9A" w:rsidRPr="005D1C9A">
        <w:rPr>
          <w:rFonts w:ascii="Traditional Arabic" w:hAnsi="Traditional Arabic" w:cs="Traditional Arabic" w:hint="eastAsia"/>
          <w:sz w:val="30"/>
          <w:szCs w:val="30"/>
          <w:rtl/>
          <w:lang w:eastAsia="zh-TW"/>
        </w:rPr>
        <w:t>لات</w:t>
      </w:r>
      <w:r w:rsidR="005D1C9A" w:rsidRPr="005D1C9A">
        <w:rPr>
          <w:rFonts w:ascii="Traditional Arabic" w:hAnsi="Traditional Arabic" w:cs="Traditional Arabic"/>
          <w:sz w:val="30"/>
          <w:szCs w:val="30"/>
          <w:rtl/>
          <w:lang w:eastAsia="zh-TW"/>
        </w:rPr>
        <w:t xml:space="preserve"> لمثل هذه الحوادث (</w:t>
      </w:r>
      <w:r w:rsidR="005D1C9A" w:rsidRPr="009C295C">
        <w:rPr>
          <w:rFonts w:asciiTheme="majorBidi" w:hAnsiTheme="majorBidi" w:cstheme="majorBidi"/>
          <w:szCs w:val="20"/>
          <w:lang w:eastAsia="zh-TW"/>
        </w:rPr>
        <w:t>QSC 2003</w:t>
      </w:r>
      <w:r w:rsidR="005D1C9A" w:rsidRPr="005D1C9A">
        <w:rPr>
          <w:rFonts w:ascii="Traditional Arabic" w:hAnsi="Traditional Arabic" w:cs="Traditional Arabic"/>
          <w:sz w:val="30"/>
          <w:szCs w:val="30"/>
          <w:rtl/>
          <w:lang w:eastAsia="zh-TW"/>
        </w:rPr>
        <w:t>). ومن الأمور ذات الأهمية البالغة لتحديد نوع الاستجابة الملائمة لحادثة من حوادث انسكاب الزئبق، تقييم حجم الانسكاب ومدى تشتته، وما إذا كانت موارد التنظيف والخبرات الضرورية متاحة أم لا. فإذا كان الانسكاب صغيراً وعلى سطح غير مسام</w:t>
      </w:r>
      <w:r w:rsidR="005D1C9A" w:rsidRPr="005D1C9A">
        <w:rPr>
          <w:rFonts w:ascii="Traditional Arabic" w:hAnsi="Traditional Arabic" w:cs="Traditional Arabic" w:hint="eastAsia"/>
          <w:sz w:val="30"/>
          <w:szCs w:val="30"/>
          <w:rtl/>
          <w:lang w:eastAsia="zh-TW"/>
        </w:rPr>
        <w:t>ي</w:t>
      </w:r>
      <w:r w:rsidR="005D1C9A" w:rsidRPr="005D1C9A">
        <w:rPr>
          <w:rFonts w:ascii="Traditional Arabic" w:hAnsi="Traditional Arabic" w:cs="Traditional Arabic"/>
          <w:sz w:val="30"/>
          <w:szCs w:val="30"/>
          <w:rtl/>
          <w:lang w:eastAsia="zh-TW"/>
        </w:rPr>
        <w:t xml:space="preserve"> (مثل أرضية اللينوليوم)، أو على أحد الموجودات المسامية التي يمكن التخلص منها (مثل سجادة أو حصيرة صغيرة)، فمن الممكن أن ينظفه الموظفون أو العاملون في المرفق والتخلص منه بعد ذلك على نحو سليم بيئياً. أما إذا كان الانسكاب كبيراً أو على سجادة لا يمك</w:t>
      </w:r>
      <w:r w:rsidR="00D35954">
        <w:rPr>
          <w:rFonts w:ascii="Traditional Arabic" w:hAnsi="Traditional Arabic" w:cs="Traditional Arabic" w:hint="cs"/>
          <w:sz w:val="30"/>
          <w:szCs w:val="30"/>
          <w:rtl/>
          <w:lang w:eastAsia="zh-TW"/>
        </w:rPr>
        <w:t>ن</w:t>
      </w:r>
      <w:r w:rsidR="005D1C9A" w:rsidRPr="005D1C9A">
        <w:rPr>
          <w:rFonts w:ascii="Traditional Arabic" w:hAnsi="Traditional Arabic" w:cs="Traditional Arabic"/>
          <w:sz w:val="30"/>
          <w:szCs w:val="30"/>
          <w:rtl/>
          <w:lang w:eastAsia="zh-TW"/>
        </w:rPr>
        <w:t xml:space="preserve"> التخلص من</w:t>
      </w:r>
      <w:r w:rsidR="005D1C9A" w:rsidRPr="005D1C9A">
        <w:rPr>
          <w:rFonts w:ascii="Traditional Arabic" w:hAnsi="Traditional Arabic" w:cs="Traditional Arabic" w:hint="eastAsia"/>
          <w:sz w:val="30"/>
          <w:szCs w:val="30"/>
          <w:rtl/>
          <w:lang w:eastAsia="zh-TW"/>
        </w:rPr>
        <w:t>ها،</w:t>
      </w:r>
      <w:r w:rsidR="005D1C9A" w:rsidRPr="005D1C9A">
        <w:rPr>
          <w:rFonts w:ascii="Traditional Arabic" w:hAnsi="Traditional Arabic" w:cs="Traditional Arabic"/>
          <w:sz w:val="30"/>
          <w:szCs w:val="30"/>
          <w:rtl/>
          <w:lang w:eastAsia="zh-TW"/>
        </w:rPr>
        <w:t xml:space="preserve"> أو على التنجيد أو في شقوق أو فجوات، فقد يكون من الضروري الاستعانة بعاملين ذوي تدريب متخصص إذا لم تكن هذه الخبرات متاحة في المرفق. أما حالات الانسكاب الكبيرة التي تشتمل على كميات زئبق أكبر من تلك التي قد توجد في المنتجات المنزلية العادية، فينبغي أن تبلغ بها السلطات المحلية المعنية بالصحة البيئية. وفي حالات عدم التيقن مما إذا كان الانسكاب ينبغي أن يُصنف بوصفه ”كبيراً“، ينبغي الاتصال بالسلطات المحلية لصحة البيئة للاطمئنان. وفي ظروف معينة مبينة في خطة مواجهة الطوارئ، قد يكون من المستصوب التماس مساعدة موظفين مؤهلين لتنفيذ المهام المتخصصة للتنظيف أو رصد الهواء بغض النظر عن حجم الانسكاب. ويمكن الاطلاع على التوجيهات المتعلقة بتنظيف الانسكابات المنزلية (</w:t>
      </w:r>
      <w:r w:rsidR="005D1C9A" w:rsidRPr="009C295C">
        <w:rPr>
          <w:rFonts w:asciiTheme="majorBidi" w:hAnsiTheme="majorBidi" w:cstheme="majorBidi"/>
          <w:szCs w:val="20"/>
          <w:lang w:eastAsia="zh-TW"/>
        </w:rPr>
        <w:t>Environment Canada, 2002</w:t>
      </w:r>
      <w:r w:rsidR="005D1C9A" w:rsidRPr="005D1C9A">
        <w:rPr>
          <w:rFonts w:ascii="Traditional Arabic" w:hAnsi="Traditional Arabic" w:cs="Traditional Arabic"/>
          <w:sz w:val="30"/>
          <w:szCs w:val="30"/>
          <w:rtl/>
          <w:lang w:eastAsia="zh-TW"/>
        </w:rPr>
        <w:t>)</w:t>
      </w:r>
      <w:r w:rsidR="00F23263" w:rsidRPr="00842EC3">
        <w:rPr>
          <w:rFonts w:ascii="Traditional Arabic" w:hAnsi="Traditional Arabic" w:cs="Traditional Arabic"/>
          <w:sz w:val="30"/>
          <w:szCs w:val="30"/>
          <w:vertAlign w:val="superscript"/>
          <w:rtl/>
          <w:lang w:eastAsia="zh-TW"/>
        </w:rPr>
        <w:t>(</w:t>
      </w:r>
      <w:r w:rsidR="00F23263">
        <w:rPr>
          <w:rStyle w:val="FootnoteReference"/>
          <w:rFonts w:ascii="Traditional Arabic" w:hAnsi="Traditional Arabic" w:cs="Traditional Arabic"/>
          <w:sz w:val="30"/>
          <w:szCs w:val="30"/>
          <w:rtl/>
          <w:lang w:eastAsia="zh-TW"/>
        </w:rPr>
        <w:footnoteReference w:id="3"/>
      </w:r>
      <w:r w:rsidR="00F23263" w:rsidRPr="00842EC3">
        <w:rPr>
          <w:rFonts w:ascii="Traditional Arabic" w:hAnsi="Traditional Arabic" w:cs="Traditional Arabic"/>
          <w:sz w:val="30"/>
          <w:szCs w:val="30"/>
          <w:vertAlign w:val="superscript"/>
          <w:rtl/>
          <w:lang w:eastAsia="zh-TW"/>
        </w:rPr>
        <w:t>)</w:t>
      </w:r>
      <w:r w:rsidR="005D1C9A" w:rsidRPr="005D1C9A">
        <w:rPr>
          <w:rFonts w:ascii="Traditional Arabic" w:hAnsi="Traditional Arabic" w:cs="Traditional Arabic"/>
          <w:sz w:val="30"/>
          <w:szCs w:val="30"/>
          <w:rtl/>
          <w:lang w:eastAsia="zh-TW"/>
        </w:rPr>
        <w:t xml:space="preserve"> ويجوز تعديلها للاستخدام في الحالات الأخرى. وينطوي انسكاب الزئبق الأولي في سياق الأنشط</w:t>
      </w:r>
      <w:r w:rsidR="005D1C9A" w:rsidRPr="005D1C9A">
        <w:rPr>
          <w:rFonts w:ascii="Traditional Arabic" w:hAnsi="Traditional Arabic" w:cs="Traditional Arabic" w:hint="eastAsia"/>
          <w:sz w:val="30"/>
          <w:szCs w:val="30"/>
          <w:rtl/>
          <w:lang w:eastAsia="zh-TW"/>
        </w:rPr>
        <w:t>ة</w:t>
      </w:r>
      <w:r w:rsidR="005D1C9A" w:rsidRPr="005D1C9A">
        <w:rPr>
          <w:rFonts w:ascii="Traditional Arabic" w:hAnsi="Traditional Arabic" w:cs="Traditional Arabic"/>
          <w:sz w:val="30"/>
          <w:szCs w:val="30"/>
          <w:rtl/>
          <w:lang w:eastAsia="zh-TW"/>
        </w:rPr>
        <w:t xml:space="preserve"> التجارية وفي المنازل على احتمال تعرض العمال وعامة الناس لمخاطر أبخرة الزئبق. وبالإضافة إلى ذلك، تؤدي الانسكابات إلى تعطيل الروتين اليومي وتنظيفها مكلف. وترد إجراءات التنظيف في حالات الانسكاب الصغيرة للزئبق في الوثيقة</w:t>
      </w:r>
      <w:r w:rsidR="00F23263">
        <w:rPr>
          <w:rFonts w:ascii="Traditional Arabic" w:hAnsi="Traditional Arabic" w:cs="Traditional Arabic" w:hint="cs"/>
          <w:sz w:val="30"/>
          <w:szCs w:val="30"/>
          <w:rtl/>
          <w:lang w:eastAsia="zh-TW"/>
        </w:rPr>
        <w:t xml:space="preserve"> حالات انسكاب الزئبق والتخلص منه وتنظيف المواقع </w:t>
      </w:r>
      <w:r w:rsidR="005D1C9A" w:rsidRPr="005D1C9A">
        <w:rPr>
          <w:rFonts w:ascii="Traditional Arabic" w:hAnsi="Traditional Arabic" w:cs="Traditional Arabic"/>
          <w:sz w:val="30"/>
          <w:szCs w:val="30"/>
          <w:rtl/>
          <w:lang w:eastAsia="zh-TW"/>
        </w:rPr>
        <w:t>(</w:t>
      </w:r>
      <w:r w:rsidR="005D1C9A" w:rsidRPr="009C295C">
        <w:rPr>
          <w:rFonts w:asciiTheme="majorBidi" w:hAnsiTheme="majorBidi" w:cstheme="majorBidi"/>
          <w:szCs w:val="20"/>
          <w:lang w:eastAsia="zh-TW"/>
        </w:rPr>
        <w:t>US</w:t>
      </w:r>
      <w:r w:rsidR="005D1C9A" w:rsidRPr="005D1C9A">
        <w:rPr>
          <w:rFonts w:ascii="Traditional Arabic" w:hAnsi="Traditional Arabic" w:cs="Traditional Arabic"/>
          <w:sz w:val="30"/>
          <w:szCs w:val="30"/>
          <w:lang w:eastAsia="zh-TW"/>
        </w:rPr>
        <w:t xml:space="preserve"> </w:t>
      </w:r>
      <w:r w:rsidR="005D1C9A" w:rsidRPr="009C295C">
        <w:rPr>
          <w:rFonts w:asciiTheme="majorBidi" w:hAnsiTheme="majorBidi" w:cstheme="majorBidi"/>
          <w:szCs w:val="20"/>
          <w:lang w:eastAsia="zh-TW"/>
        </w:rPr>
        <w:t>EPA 2007</w:t>
      </w:r>
      <w:r w:rsidR="00DE03BE">
        <w:rPr>
          <w:rFonts w:ascii="Traditional Arabic" w:hAnsi="Traditional Arabic" w:cs="Traditional Arabic"/>
          <w:sz w:val="30"/>
          <w:szCs w:val="30"/>
          <w:rtl/>
          <w:lang w:eastAsia="zh-TW"/>
        </w:rPr>
        <w:t>).</w:t>
      </w:r>
    </w:p>
    <w:p w:rsidR="005D1C9A" w:rsidRPr="00426042" w:rsidRDefault="005D1C9A" w:rsidP="00DE03BE">
      <w:pPr>
        <w:pStyle w:val="Heading1"/>
        <w:bidi/>
        <w:spacing w:before="0" w:line="400" w:lineRule="exact"/>
        <w:ind w:left="1134" w:hanging="852"/>
        <w:jc w:val="both"/>
        <w:textDirection w:val="tbRlV"/>
        <w:rPr>
          <w:b/>
          <w:bCs/>
          <w:sz w:val="30"/>
          <w:u w:val="none"/>
          <w:rtl/>
          <w:lang w:eastAsia="zh-TW"/>
        </w:rPr>
      </w:pPr>
      <w:bookmarkStart w:id="13" w:name="_Toc485639172"/>
      <w:r w:rsidRPr="00426042">
        <w:rPr>
          <w:rFonts w:hint="eastAsia"/>
          <w:b/>
          <w:bCs/>
          <w:sz w:val="30"/>
          <w:u w:val="none"/>
          <w:rtl/>
          <w:lang w:eastAsia="zh-TW"/>
        </w:rPr>
        <w:t>ياء</w:t>
      </w:r>
      <w:r w:rsidR="00D35954" w:rsidRPr="00426042">
        <w:rPr>
          <w:rFonts w:hint="cs"/>
          <w:b/>
          <w:bCs/>
          <w:sz w:val="30"/>
          <w:u w:val="none"/>
          <w:rtl/>
          <w:lang w:eastAsia="zh-TW"/>
        </w:rPr>
        <w:t xml:space="preserve"> </w:t>
      </w:r>
      <w:r w:rsidRPr="00426042">
        <w:rPr>
          <w:b/>
          <w:bCs/>
          <w:sz w:val="30"/>
          <w:u w:val="none"/>
          <w:rtl/>
          <w:lang w:eastAsia="zh-TW"/>
        </w:rPr>
        <w:t>-</w:t>
      </w:r>
      <w:r w:rsidR="00DE03BE">
        <w:rPr>
          <w:rFonts w:hint="cs"/>
          <w:b/>
          <w:bCs/>
          <w:sz w:val="30"/>
          <w:u w:val="none"/>
          <w:rtl/>
          <w:lang w:eastAsia="zh-TW"/>
        </w:rPr>
        <w:tab/>
      </w:r>
      <w:r w:rsidRPr="00426042">
        <w:rPr>
          <w:b/>
          <w:bCs/>
          <w:sz w:val="30"/>
          <w:u w:val="none"/>
          <w:rtl/>
          <w:lang w:eastAsia="zh-TW"/>
        </w:rPr>
        <w:t>التفتيش والرصد</w:t>
      </w:r>
      <w:bookmarkEnd w:id="13"/>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6</w:t>
      </w:r>
      <w:r w:rsidR="00306EED">
        <w:rPr>
          <w:rFonts w:ascii="Traditional Arabic" w:hAnsi="Traditional Arabic" w:cs="Traditional Arabic" w:hint="cs"/>
          <w:sz w:val="30"/>
          <w:szCs w:val="30"/>
          <w:rtl/>
          <w:lang w:eastAsia="zh-TW"/>
        </w:rPr>
        <w:t>1</w:t>
      </w:r>
      <w:r w:rsidR="00D35954">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ينبغي أن يكون لدى المرافق برامج كافية للرصد والتسجيل والإبلاغ، من أجل كفالة تلبيتها للشروط الوطنية المتعلقة بتتبع كميات الزئبق وإطلا</w:t>
      </w:r>
      <w:r w:rsidR="00DE03BE">
        <w:rPr>
          <w:rFonts w:ascii="Traditional Arabic" w:hAnsi="Traditional Arabic" w:cs="Traditional Arabic"/>
          <w:sz w:val="30"/>
          <w:szCs w:val="30"/>
          <w:rtl/>
          <w:lang w:eastAsia="zh-TW"/>
        </w:rPr>
        <w:t>قات الزئبق المحتملة إلى البيئة.</w:t>
      </w:r>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6</w:t>
      </w:r>
      <w:r w:rsidR="00306EED">
        <w:rPr>
          <w:rFonts w:ascii="Traditional Arabic" w:hAnsi="Traditional Arabic" w:cs="Traditional Arabic" w:hint="cs"/>
          <w:sz w:val="30"/>
          <w:szCs w:val="30"/>
          <w:rtl/>
          <w:lang w:eastAsia="zh-TW"/>
        </w:rPr>
        <w:t>2</w:t>
      </w:r>
      <w:r w:rsidR="00D35954">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 xml:space="preserve">ويجب أن تقدم برامج الرصد مؤشراً عمّا إذا كانت عملية التخزين تؤدي وظيفتها وفقاً لخطة تصميمها، كما ينبغي أن تكشف البرامج التغيرات التي تنجم عن هذه العملية في نوعية البيئية (مثل انبعاثات أو إطلاقات الزئبق أو مركبات الزئبق). ويمكن أن تستخدم المعلومات التي </w:t>
      </w:r>
      <w:r w:rsidRPr="005D1C9A">
        <w:rPr>
          <w:rFonts w:ascii="Traditional Arabic" w:hAnsi="Traditional Arabic" w:cs="Traditional Arabic" w:hint="eastAsia"/>
          <w:sz w:val="30"/>
          <w:szCs w:val="30"/>
          <w:rtl/>
          <w:lang w:eastAsia="zh-TW"/>
        </w:rPr>
        <w:t>يُحصل</w:t>
      </w:r>
      <w:r w:rsidRPr="005D1C9A">
        <w:rPr>
          <w:rFonts w:ascii="Traditional Arabic" w:hAnsi="Traditional Arabic" w:cs="Traditional Arabic"/>
          <w:sz w:val="30"/>
          <w:szCs w:val="30"/>
          <w:rtl/>
          <w:lang w:eastAsia="zh-TW"/>
        </w:rPr>
        <w:t xml:space="preserve"> عليها عن طريق برامج الرصد</w:t>
      </w:r>
      <w:r w:rsidR="00D35954">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 xml:space="preserve">كإشارة للتحقق من تنفيذ الإدارة السليمة للزئبق المخزن، لتحديد المشاكل المحتملة المتعلقة باحتمال تسربات الزئبق أو التعرض للزئبق، وللمساعدة في تقييم ما إذا </w:t>
      </w:r>
      <w:r w:rsidR="00D35954">
        <w:rPr>
          <w:rFonts w:ascii="Traditional Arabic" w:hAnsi="Traditional Arabic" w:cs="Traditional Arabic" w:hint="cs"/>
          <w:sz w:val="30"/>
          <w:szCs w:val="30"/>
          <w:rtl/>
          <w:lang w:eastAsia="zh-TW"/>
        </w:rPr>
        <w:t>كان من المناسب إدخال</w:t>
      </w:r>
      <w:r w:rsidRPr="005D1C9A">
        <w:rPr>
          <w:rFonts w:ascii="Traditional Arabic" w:hAnsi="Traditional Arabic" w:cs="Traditional Arabic"/>
          <w:sz w:val="30"/>
          <w:szCs w:val="30"/>
          <w:rtl/>
          <w:lang w:eastAsia="zh-TW"/>
        </w:rPr>
        <w:t xml:space="preserve"> تعديلات</w:t>
      </w:r>
      <w:r w:rsidR="00D35954">
        <w:rPr>
          <w:rFonts w:ascii="Traditional Arabic" w:hAnsi="Traditional Arabic" w:cs="Traditional Arabic" w:hint="cs"/>
          <w:sz w:val="30"/>
          <w:szCs w:val="30"/>
          <w:rtl/>
          <w:lang w:eastAsia="zh-TW"/>
        </w:rPr>
        <w:t xml:space="preserve"> على</w:t>
      </w:r>
      <w:r w:rsidRPr="005D1C9A">
        <w:rPr>
          <w:rFonts w:ascii="Traditional Arabic" w:hAnsi="Traditional Arabic" w:cs="Traditional Arabic"/>
          <w:sz w:val="30"/>
          <w:szCs w:val="30"/>
          <w:rtl/>
          <w:lang w:eastAsia="zh-TW"/>
        </w:rPr>
        <w:t xml:space="preserve"> نُهُج الإدارة. وبتنفيذ برنامج الرصد، يستطيع مديرو المرافق تحديد المشكلات واتخاذ التدابير المناسبة لعلاجها.</w:t>
      </w:r>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6</w:t>
      </w:r>
      <w:r w:rsidR="00306EED">
        <w:rPr>
          <w:rFonts w:ascii="Traditional Arabic" w:hAnsi="Traditional Arabic" w:cs="Traditional Arabic" w:hint="cs"/>
          <w:sz w:val="30"/>
          <w:szCs w:val="30"/>
          <w:rtl/>
          <w:lang w:eastAsia="zh-TW"/>
        </w:rPr>
        <w:t>3</w:t>
      </w:r>
      <w:r w:rsidR="00D35954">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ويجدر بالذكر أنه يتوفر تجارياً عدد من نظم القياس المستمر للزئبق لإتاحة بعض أنواع رصد الزئبق. وقد يلزم تنفيذ مثل هذا الرصد بمقتضى التشريعات الوطنية أو المحلية. وبدلا</w:t>
      </w:r>
      <w:r w:rsidR="00562277">
        <w:rPr>
          <w:rFonts w:ascii="Traditional Arabic" w:hAnsi="Traditional Arabic" w:cs="Traditional Arabic" w:hint="cs"/>
          <w:sz w:val="30"/>
          <w:szCs w:val="30"/>
          <w:rtl/>
          <w:lang w:eastAsia="zh-TW"/>
        </w:rPr>
        <w:t>ً</w:t>
      </w:r>
      <w:r w:rsidRPr="005D1C9A">
        <w:rPr>
          <w:rFonts w:ascii="Traditional Arabic" w:hAnsi="Traditional Arabic" w:cs="Traditional Arabic"/>
          <w:sz w:val="30"/>
          <w:szCs w:val="30"/>
          <w:rtl/>
          <w:lang w:eastAsia="zh-TW"/>
        </w:rPr>
        <w:t xml:space="preserve"> من ذلك، يجوز تنفيذ الرصد بواسطة أخ</w:t>
      </w:r>
      <w:r w:rsidR="00DE03BE">
        <w:rPr>
          <w:rFonts w:ascii="Traditional Arabic" w:hAnsi="Traditional Arabic" w:cs="Traditional Arabic"/>
          <w:sz w:val="30"/>
          <w:szCs w:val="30"/>
          <w:rtl/>
          <w:lang w:eastAsia="zh-TW"/>
        </w:rPr>
        <w:t>ذ عينات من الموقع في البيئة.</w:t>
      </w:r>
    </w:p>
    <w:p w:rsidR="005D1C9A" w:rsidRPr="00426042" w:rsidRDefault="005D1C9A" w:rsidP="00DE03BE">
      <w:pPr>
        <w:pStyle w:val="Heading1"/>
        <w:bidi/>
        <w:spacing w:before="0" w:line="400" w:lineRule="exact"/>
        <w:ind w:left="1134" w:hanging="994"/>
        <w:jc w:val="both"/>
        <w:rPr>
          <w:b/>
          <w:bCs/>
          <w:sz w:val="32"/>
          <w:szCs w:val="32"/>
          <w:u w:val="none"/>
          <w:rtl/>
          <w:lang w:eastAsia="zh-TW"/>
        </w:rPr>
      </w:pPr>
      <w:bookmarkStart w:id="14" w:name="_Toc485639173"/>
      <w:r w:rsidRPr="00426042">
        <w:rPr>
          <w:rFonts w:hint="eastAsia"/>
          <w:b/>
          <w:bCs/>
          <w:sz w:val="32"/>
          <w:szCs w:val="32"/>
          <w:u w:val="none"/>
          <w:rtl/>
          <w:lang w:eastAsia="zh-TW"/>
        </w:rPr>
        <w:lastRenderedPageBreak/>
        <w:t>خامسا</w:t>
      </w:r>
      <w:r w:rsidR="00DE03BE">
        <w:rPr>
          <w:rFonts w:hint="cs"/>
          <w:b/>
          <w:bCs/>
          <w:sz w:val="32"/>
          <w:szCs w:val="32"/>
          <w:u w:val="none"/>
          <w:rtl/>
          <w:lang w:eastAsia="zh-TW"/>
        </w:rPr>
        <w:t xml:space="preserve">ً </w:t>
      </w:r>
      <w:r w:rsidRPr="00426042">
        <w:rPr>
          <w:b/>
          <w:bCs/>
          <w:sz w:val="32"/>
          <w:szCs w:val="32"/>
          <w:u w:val="none"/>
          <w:rtl/>
          <w:lang w:eastAsia="zh-TW"/>
        </w:rPr>
        <w:t>-</w:t>
      </w:r>
      <w:r w:rsidR="00426042">
        <w:rPr>
          <w:rFonts w:hint="cs"/>
          <w:b/>
          <w:bCs/>
          <w:sz w:val="32"/>
          <w:szCs w:val="32"/>
          <w:u w:val="none"/>
          <w:rtl/>
          <w:lang w:eastAsia="zh-TW"/>
        </w:rPr>
        <w:tab/>
      </w:r>
      <w:r w:rsidRPr="00426042">
        <w:rPr>
          <w:b/>
          <w:bCs/>
          <w:sz w:val="32"/>
          <w:szCs w:val="32"/>
          <w:u w:val="none"/>
          <w:rtl/>
          <w:lang w:eastAsia="zh-TW"/>
        </w:rPr>
        <w:t>التوجيهات بشأن الجمع والمناولة والتعبئة والنقل</w:t>
      </w:r>
      <w:bookmarkEnd w:id="14"/>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6</w:t>
      </w:r>
      <w:r w:rsidR="00306EED">
        <w:rPr>
          <w:rFonts w:ascii="Traditional Arabic" w:hAnsi="Traditional Arabic" w:cs="Traditional Arabic" w:hint="cs"/>
          <w:sz w:val="30"/>
          <w:szCs w:val="30"/>
          <w:rtl/>
          <w:lang w:eastAsia="zh-TW"/>
        </w:rPr>
        <w:t>4</w:t>
      </w:r>
      <w:r w:rsidR="00D35954">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يقدم هذا القسم توجيهات تقنية محددة بشأن المناولة الملائمة للزئبق، ومن الضروري للجهات التي تنتج الزئبق (مثل مرافق إعادة التدوير التي قد تنتج الزئبق المتداول كسلعة من أجل الاستخدام) ومرافق تخزينه أن تراجع أيضا</w:t>
      </w:r>
      <w:r w:rsidR="00562277">
        <w:rPr>
          <w:rFonts w:ascii="Traditional Arabic" w:hAnsi="Traditional Arabic" w:cs="Traditional Arabic" w:hint="cs"/>
          <w:sz w:val="30"/>
          <w:szCs w:val="30"/>
          <w:rtl/>
          <w:lang w:eastAsia="zh-TW"/>
        </w:rPr>
        <w:t>ً</w:t>
      </w:r>
      <w:r w:rsidRPr="005D1C9A">
        <w:rPr>
          <w:rFonts w:ascii="Traditional Arabic" w:hAnsi="Traditional Arabic" w:cs="Traditional Arabic"/>
          <w:sz w:val="30"/>
          <w:szCs w:val="30"/>
          <w:rtl/>
          <w:lang w:eastAsia="zh-TW"/>
        </w:rPr>
        <w:t xml:space="preserve"> الشروط الوطنية والمحلية المطبقة وأن تلتزم به</w:t>
      </w:r>
      <w:r w:rsidRPr="005D1C9A">
        <w:rPr>
          <w:rFonts w:ascii="Traditional Arabic" w:hAnsi="Traditional Arabic" w:cs="Traditional Arabic" w:hint="eastAsia"/>
          <w:sz w:val="30"/>
          <w:szCs w:val="30"/>
          <w:rtl/>
          <w:lang w:eastAsia="zh-TW"/>
        </w:rPr>
        <w:t>ا</w:t>
      </w:r>
      <w:r w:rsidR="00DE03BE">
        <w:rPr>
          <w:rFonts w:ascii="Traditional Arabic" w:hAnsi="Traditional Arabic" w:cs="Traditional Arabic"/>
          <w:sz w:val="30"/>
          <w:szCs w:val="30"/>
          <w:rtl/>
          <w:lang w:eastAsia="zh-TW"/>
        </w:rPr>
        <w:t>.</w:t>
      </w:r>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6</w:t>
      </w:r>
      <w:r w:rsidR="00306EED">
        <w:rPr>
          <w:rFonts w:ascii="Traditional Arabic" w:hAnsi="Traditional Arabic" w:cs="Traditional Arabic" w:hint="cs"/>
          <w:sz w:val="30"/>
          <w:szCs w:val="30"/>
          <w:rtl/>
          <w:lang w:eastAsia="zh-TW"/>
        </w:rPr>
        <w:t>5</w:t>
      </w:r>
      <w:r w:rsidR="00D35954">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r>
      <w:r w:rsidRPr="00562277">
        <w:rPr>
          <w:rFonts w:ascii="Traditional Arabic" w:hAnsi="Traditional Arabic" w:cs="Traditional Arabic"/>
          <w:i/>
          <w:iCs/>
          <w:sz w:val="30"/>
          <w:szCs w:val="30"/>
          <w:rtl/>
          <w:lang w:eastAsia="zh-TW"/>
        </w:rPr>
        <w:t>المناولة</w:t>
      </w:r>
      <w:r w:rsidRPr="005D1C9A">
        <w:rPr>
          <w:rFonts w:ascii="Traditional Arabic" w:hAnsi="Traditional Arabic" w:cs="Traditional Arabic"/>
          <w:sz w:val="30"/>
          <w:szCs w:val="30"/>
          <w:rtl/>
          <w:lang w:eastAsia="zh-TW"/>
        </w:rPr>
        <w:t>: عند مناولة الزئبق، ينبغي أن ينتبه العاملون بوجه خاص إلى منع تبخّر الزئبق وتسربه إلى البيئة. وينبغي للمرافق أن تضع إجراءات محددة للغاية لمناولة الزئبق من أجل تقليل احتمالات فقدان الزئبق بالانسكاب أو التبخر الزائد إلى أقل حد ممكن.</w:t>
      </w:r>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6</w:t>
      </w:r>
      <w:r w:rsidR="00306EED">
        <w:rPr>
          <w:rFonts w:ascii="Traditional Arabic" w:hAnsi="Traditional Arabic" w:cs="Traditional Arabic" w:hint="cs"/>
          <w:sz w:val="30"/>
          <w:szCs w:val="30"/>
          <w:rtl/>
          <w:lang w:eastAsia="zh-TW"/>
        </w:rPr>
        <w:t>6</w:t>
      </w:r>
      <w:r w:rsidR="00D35954">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r>
      <w:r w:rsidRPr="00562277">
        <w:rPr>
          <w:rFonts w:ascii="Traditional Arabic" w:hAnsi="Traditional Arabic" w:cs="Traditional Arabic"/>
          <w:i/>
          <w:iCs/>
          <w:sz w:val="30"/>
          <w:szCs w:val="30"/>
          <w:rtl/>
          <w:lang w:eastAsia="zh-TW"/>
        </w:rPr>
        <w:t>التعبئة</w:t>
      </w:r>
      <w:r w:rsidRPr="005D1C9A">
        <w:rPr>
          <w:rFonts w:ascii="Traditional Arabic" w:hAnsi="Traditional Arabic" w:cs="Traditional Arabic"/>
          <w:sz w:val="30"/>
          <w:szCs w:val="30"/>
          <w:rtl/>
          <w:lang w:eastAsia="zh-TW"/>
        </w:rPr>
        <w:t>: توفر الحاويات التي ينقل فيها الزئبق ومركبات الزئبق أفضل الأساليب المباشرة لمنع الإطلاقات. ولذلك فمن الضروري تعبئة الزئبق ومركبات الزئبق بعناية في حاويات مناسبة تصنع وفقاً للمعايير والقواعد التنظيمية الوطنية والدولية، بما في ذلك معايير الأمم ال</w:t>
      </w:r>
      <w:r w:rsidRPr="005D1C9A">
        <w:rPr>
          <w:rFonts w:ascii="Traditional Arabic" w:hAnsi="Traditional Arabic" w:cs="Traditional Arabic" w:hint="eastAsia"/>
          <w:sz w:val="30"/>
          <w:szCs w:val="30"/>
          <w:rtl/>
          <w:lang w:eastAsia="zh-TW"/>
        </w:rPr>
        <w:t>متحدة</w:t>
      </w:r>
      <w:r w:rsidRPr="005D1C9A">
        <w:rPr>
          <w:rFonts w:ascii="Traditional Arabic" w:hAnsi="Traditional Arabic" w:cs="Traditional Arabic"/>
          <w:sz w:val="30"/>
          <w:szCs w:val="30"/>
          <w:rtl/>
          <w:lang w:eastAsia="zh-TW"/>
        </w:rPr>
        <w:t xml:space="preserve"> للتعبئة.</w:t>
      </w:r>
    </w:p>
    <w:p w:rsidR="005D1C9A" w:rsidRPr="005D1C9A" w:rsidRDefault="005D1C9A" w:rsidP="00DE03BE">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6</w:t>
      </w:r>
      <w:r w:rsidR="00306EED">
        <w:rPr>
          <w:rFonts w:ascii="Traditional Arabic" w:hAnsi="Traditional Arabic" w:cs="Traditional Arabic" w:hint="cs"/>
          <w:sz w:val="30"/>
          <w:szCs w:val="30"/>
          <w:rtl/>
          <w:lang w:eastAsia="zh-TW"/>
        </w:rPr>
        <w:t>7</w:t>
      </w:r>
      <w:r w:rsidR="00DE03BE">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وبالنسبة لنقل الزئبق وحركته عبر الحدود، ينبغي الرجوع إلى آخر نسخة من الوثائق التالية من أجل تقرير المتطلبات المحددة لذلك:</w:t>
      </w:r>
    </w:p>
    <w:p w:rsidR="005D1C9A" w:rsidRPr="005D1C9A" w:rsidRDefault="005D1C9A" w:rsidP="009404B2">
      <w:pPr>
        <w:pStyle w:val="Normalnumber"/>
        <w:numPr>
          <w:ilvl w:val="0"/>
          <w:numId w:val="0"/>
        </w:numPr>
        <w:tabs>
          <w:tab w:val="left" w:pos="2408"/>
        </w:tabs>
        <w:bidi/>
        <w:spacing w:line="360" w:lineRule="exact"/>
        <w:ind w:left="1134" w:firstLine="709"/>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(أ)</w:t>
      </w:r>
      <w:r w:rsidR="00DE03BE">
        <w:rPr>
          <w:rFonts w:ascii="Traditional Arabic" w:hAnsi="Traditional Arabic" w:cs="Traditional Arabic" w:hint="cs"/>
          <w:sz w:val="30"/>
          <w:szCs w:val="30"/>
          <w:rtl/>
          <w:lang w:eastAsia="zh-TW"/>
        </w:rPr>
        <w:tab/>
      </w:r>
      <w:r w:rsidRPr="005D1C9A">
        <w:rPr>
          <w:rFonts w:ascii="Traditional Arabic" w:hAnsi="Traditional Arabic" w:cs="Traditional Arabic"/>
          <w:sz w:val="30"/>
          <w:szCs w:val="30"/>
          <w:rtl/>
          <w:lang w:eastAsia="zh-TW"/>
        </w:rPr>
        <w:t xml:space="preserve">المنظمة البحرية الدولية، المدونة البحرية الدولية للسلع الخطرة </w:t>
      </w:r>
      <w:r w:rsidRPr="009404B2">
        <w:rPr>
          <w:rFonts w:asciiTheme="majorBidi" w:hAnsiTheme="majorBidi" w:cstheme="majorBidi"/>
          <w:i/>
          <w:iCs/>
          <w:szCs w:val="20"/>
          <w:rtl/>
          <w:lang w:eastAsia="zh-TW"/>
        </w:rPr>
        <w:t>(</w:t>
      </w:r>
      <w:r w:rsidRPr="009404B2">
        <w:rPr>
          <w:rFonts w:asciiTheme="majorBidi" w:hAnsiTheme="majorBidi" w:cstheme="majorBidi"/>
          <w:i/>
          <w:iCs/>
          <w:szCs w:val="20"/>
          <w:lang w:eastAsia="zh-TW"/>
        </w:rPr>
        <w:t>International Maritime Dangerous Goods Code</w:t>
      </w:r>
      <w:r w:rsidRPr="009404B2">
        <w:rPr>
          <w:rFonts w:asciiTheme="majorBidi" w:hAnsiTheme="majorBidi" w:cstheme="majorBidi"/>
          <w:szCs w:val="20"/>
          <w:rtl/>
          <w:lang w:eastAsia="zh-TW"/>
        </w:rPr>
        <w:t>)</w:t>
      </w:r>
      <w:r w:rsidRPr="009404B2">
        <w:rPr>
          <w:rFonts w:ascii="Traditional Arabic" w:hAnsi="Traditional Arabic" w:cs="Traditional Arabic"/>
          <w:sz w:val="30"/>
          <w:szCs w:val="30"/>
          <w:rtl/>
          <w:lang w:eastAsia="zh-TW"/>
        </w:rPr>
        <w:t xml:space="preserve"> (</w:t>
      </w:r>
      <w:r w:rsidRPr="005D1C9A">
        <w:rPr>
          <w:rFonts w:ascii="Traditional Arabic" w:hAnsi="Traditional Arabic" w:cs="Traditional Arabic"/>
          <w:sz w:val="30"/>
          <w:szCs w:val="30"/>
          <w:rtl/>
          <w:lang w:eastAsia="zh-TW"/>
        </w:rPr>
        <w:t>يجري تحديثها بصورة منتظمة)؛</w:t>
      </w:r>
    </w:p>
    <w:p w:rsidR="005D1C9A" w:rsidRPr="005D1C9A" w:rsidRDefault="005D1C9A" w:rsidP="009404B2">
      <w:pPr>
        <w:pStyle w:val="Normalnumber"/>
        <w:numPr>
          <w:ilvl w:val="0"/>
          <w:numId w:val="0"/>
        </w:numPr>
        <w:tabs>
          <w:tab w:val="left" w:pos="2408"/>
        </w:tabs>
        <w:bidi/>
        <w:spacing w:line="360" w:lineRule="exact"/>
        <w:ind w:left="1134" w:firstLine="709"/>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(ب)</w:t>
      </w:r>
      <w:r w:rsidR="00DE03BE">
        <w:rPr>
          <w:rFonts w:ascii="Traditional Arabic" w:hAnsi="Traditional Arabic" w:cs="Traditional Arabic" w:hint="cs"/>
          <w:sz w:val="30"/>
          <w:szCs w:val="30"/>
          <w:rtl/>
          <w:lang w:eastAsia="zh-TW"/>
        </w:rPr>
        <w:tab/>
      </w:r>
      <w:r w:rsidRPr="005D1C9A">
        <w:rPr>
          <w:rFonts w:ascii="Traditional Arabic" w:hAnsi="Traditional Arabic" w:cs="Traditional Arabic"/>
          <w:sz w:val="30"/>
          <w:szCs w:val="30"/>
          <w:rtl/>
          <w:lang w:eastAsia="zh-TW"/>
        </w:rPr>
        <w:t xml:space="preserve">منظمة الطيران المدني الدولي، التعليمات التقنية من أجل أمن النقل الجوي للبضائع الخطرة </w:t>
      </w:r>
      <w:r w:rsidRPr="009404B2">
        <w:rPr>
          <w:rFonts w:asciiTheme="majorBidi" w:hAnsiTheme="majorBidi" w:cstheme="majorBidi"/>
          <w:i/>
          <w:iCs/>
          <w:szCs w:val="20"/>
          <w:rtl/>
          <w:lang w:eastAsia="zh-TW"/>
        </w:rPr>
        <w:t>(</w:t>
      </w:r>
      <w:r w:rsidRPr="009404B2">
        <w:rPr>
          <w:rFonts w:asciiTheme="majorBidi" w:hAnsiTheme="majorBidi" w:cstheme="majorBidi"/>
          <w:i/>
          <w:iCs/>
          <w:szCs w:val="20"/>
          <w:lang w:eastAsia="zh-TW"/>
        </w:rPr>
        <w:t>Technical Instructions for the Safe Transport of Dangerous Goods by Air</w:t>
      </w:r>
      <w:r w:rsidR="00DE03BE" w:rsidRPr="009404B2">
        <w:rPr>
          <w:rFonts w:asciiTheme="majorBidi" w:hAnsiTheme="majorBidi" w:cstheme="majorBidi"/>
          <w:i/>
          <w:iCs/>
          <w:szCs w:val="20"/>
          <w:rtl/>
          <w:lang w:eastAsia="zh-TW"/>
        </w:rPr>
        <w:t>)</w:t>
      </w:r>
      <w:r w:rsidR="00DE03BE">
        <w:rPr>
          <w:rFonts w:ascii="Traditional Arabic" w:hAnsi="Traditional Arabic" w:cs="Traditional Arabic"/>
          <w:sz w:val="30"/>
          <w:szCs w:val="30"/>
          <w:rtl/>
          <w:lang w:eastAsia="zh-TW"/>
        </w:rPr>
        <w:t>؛</w:t>
      </w:r>
    </w:p>
    <w:p w:rsidR="00562277" w:rsidRDefault="005D1C9A" w:rsidP="009404B2">
      <w:pPr>
        <w:pStyle w:val="Normalnumber"/>
        <w:numPr>
          <w:ilvl w:val="0"/>
          <w:numId w:val="0"/>
        </w:numPr>
        <w:tabs>
          <w:tab w:val="left" w:pos="2408"/>
        </w:tabs>
        <w:bidi/>
        <w:spacing w:line="360" w:lineRule="exact"/>
        <w:ind w:left="1134" w:firstLine="709"/>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(ج)</w:t>
      </w:r>
      <w:r w:rsidR="00DE03BE">
        <w:rPr>
          <w:rFonts w:ascii="Traditional Arabic" w:hAnsi="Traditional Arabic" w:cs="Traditional Arabic" w:hint="cs"/>
          <w:sz w:val="30"/>
          <w:szCs w:val="30"/>
          <w:rtl/>
          <w:lang w:eastAsia="zh-TW"/>
        </w:rPr>
        <w:tab/>
      </w:r>
      <w:r w:rsidRPr="005D1C9A">
        <w:rPr>
          <w:rFonts w:ascii="Traditional Arabic" w:hAnsi="Traditional Arabic" w:cs="Traditional Arabic"/>
          <w:sz w:val="30"/>
          <w:szCs w:val="30"/>
          <w:rtl/>
          <w:lang w:eastAsia="zh-TW"/>
        </w:rPr>
        <w:t xml:space="preserve">اتحاد النقل الجوي (2016)، اللوائح التنظيمية للبضائع الخطرة </w:t>
      </w:r>
      <w:r w:rsidRPr="009404B2">
        <w:rPr>
          <w:rFonts w:asciiTheme="majorBidi" w:hAnsiTheme="majorBidi" w:cstheme="majorBidi"/>
          <w:i/>
          <w:iCs/>
          <w:szCs w:val="20"/>
          <w:rtl/>
          <w:lang w:eastAsia="zh-TW"/>
        </w:rPr>
        <w:t>(</w:t>
      </w:r>
      <w:r w:rsidRPr="009404B2">
        <w:rPr>
          <w:rFonts w:asciiTheme="majorBidi" w:hAnsiTheme="majorBidi" w:cstheme="majorBidi"/>
          <w:i/>
          <w:iCs/>
          <w:szCs w:val="20"/>
          <w:lang w:eastAsia="zh-TW"/>
        </w:rPr>
        <w:t>Dangerous Goods Regulations</w:t>
      </w:r>
      <w:r w:rsidR="00562277" w:rsidRPr="009404B2">
        <w:rPr>
          <w:rFonts w:asciiTheme="majorBidi" w:hAnsiTheme="majorBidi" w:cstheme="majorBidi"/>
          <w:i/>
          <w:iCs/>
          <w:szCs w:val="20"/>
          <w:rtl/>
          <w:lang w:eastAsia="zh-TW"/>
        </w:rPr>
        <w:t>)</w:t>
      </w:r>
      <w:r w:rsidR="00562277">
        <w:rPr>
          <w:rFonts w:ascii="Traditional Arabic" w:hAnsi="Traditional Arabic" w:cs="Traditional Arabic"/>
          <w:sz w:val="30"/>
          <w:szCs w:val="30"/>
          <w:rtl/>
          <w:lang w:eastAsia="zh-TW"/>
        </w:rPr>
        <w:t>؛</w:t>
      </w:r>
    </w:p>
    <w:p w:rsidR="005D1C9A" w:rsidRPr="005D1C9A" w:rsidRDefault="005D1C9A" w:rsidP="009404B2">
      <w:pPr>
        <w:pStyle w:val="Normalnumber"/>
        <w:numPr>
          <w:ilvl w:val="0"/>
          <w:numId w:val="0"/>
        </w:numPr>
        <w:tabs>
          <w:tab w:val="left" w:pos="2408"/>
        </w:tabs>
        <w:bidi/>
        <w:spacing w:line="360" w:lineRule="exact"/>
        <w:ind w:left="1134" w:firstLine="707"/>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(د)</w:t>
      </w:r>
      <w:r w:rsidR="00562277">
        <w:rPr>
          <w:rFonts w:ascii="Traditional Arabic" w:hAnsi="Traditional Arabic" w:cs="Traditional Arabic" w:hint="cs"/>
          <w:sz w:val="30"/>
          <w:szCs w:val="30"/>
          <w:rtl/>
          <w:lang w:eastAsia="zh-TW"/>
        </w:rPr>
        <w:tab/>
      </w:r>
      <w:r w:rsidRPr="005D1C9A">
        <w:rPr>
          <w:rFonts w:ascii="Traditional Arabic" w:hAnsi="Traditional Arabic" w:cs="Traditional Arabic"/>
          <w:sz w:val="30"/>
          <w:szCs w:val="30"/>
          <w:rtl/>
          <w:lang w:eastAsia="zh-TW"/>
        </w:rPr>
        <w:t xml:space="preserve">الأمم المتحدة (2015)، </w:t>
      </w:r>
      <w:r w:rsidRPr="00562277">
        <w:rPr>
          <w:rFonts w:ascii="Traditional Arabic" w:hAnsi="Traditional Arabic" w:cs="Traditional Arabic"/>
          <w:i/>
          <w:iCs/>
          <w:sz w:val="30"/>
          <w:szCs w:val="30"/>
          <w:rtl/>
          <w:lang w:eastAsia="zh-TW"/>
        </w:rPr>
        <w:t>توصيات الأمم المتحدة المتعلقة بنقل البضائع الخطرة: النظام النموذجي</w:t>
      </w:r>
      <w:r w:rsidRPr="005D1C9A">
        <w:rPr>
          <w:rFonts w:ascii="Traditional Arabic" w:hAnsi="Traditional Arabic" w:cs="Traditional Arabic"/>
          <w:sz w:val="30"/>
          <w:szCs w:val="30"/>
          <w:rtl/>
          <w:lang w:eastAsia="zh-TW"/>
        </w:rPr>
        <w:t>.</w:t>
      </w:r>
    </w:p>
    <w:p w:rsid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6</w:t>
      </w:r>
      <w:r w:rsidR="00306EED">
        <w:rPr>
          <w:rFonts w:ascii="Traditional Arabic" w:hAnsi="Traditional Arabic" w:cs="Traditional Arabic" w:hint="cs"/>
          <w:sz w:val="30"/>
          <w:szCs w:val="30"/>
          <w:rtl/>
          <w:lang w:eastAsia="zh-TW"/>
        </w:rPr>
        <w:t>8</w:t>
      </w:r>
      <w:r w:rsidR="00D35954">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r>
      <w:r w:rsidR="00D35954">
        <w:rPr>
          <w:rFonts w:ascii="Traditional Arabic" w:hAnsi="Traditional Arabic" w:cs="Traditional Arabic" w:hint="cs"/>
          <w:sz w:val="30"/>
          <w:szCs w:val="30"/>
          <w:rtl/>
          <w:lang w:eastAsia="zh-TW"/>
        </w:rPr>
        <w:t>و</w:t>
      </w:r>
      <w:r w:rsidRPr="005D1C9A">
        <w:rPr>
          <w:rFonts w:ascii="Traditional Arabic" w:hAnsi="Traditional Arabic" w:cs="Traditional Arabic"/>
          <w:sz w:val="30"/>
          <w:szCs w:val="30"/>
          <w:rtl/>
          <w:lang w:eastAsia="zh-TW"/>
        </w:rPr>
        <w:t>يجب أن ينقل الزئبق ومركبات الزئبق على نحو سليم بيئياً من أجل تجنب الانسكابات العرضية؛ وينبغي أيضاً تتبع</w:t>
      </w:r>
      <w:r w:rsidR="00D35954">
        <w:rPr>
          <w:rFonts w:ascii="Traditional Arabic" w:hAnsi="Traditional Arabic" w:cs="Traditional Arabic" w:hint="cs"/>
          <w:sz w:val="30"/>
          <w:szCs w:val="30"/>
          <w:rtl/>
          <w:lang w:eastAsia="zh-TW"/>
        </w:rPr>
        <w:t xml:space="preserve"> الزئبق ومركباته</w:t>
      </w:r>
      <w:r w:rsidRPr="005D1C9A">
        <w:rPr>
          <w:rFonts w:ascii="Traditional Arabic" w:hAnsi="Traditional Arabic" w:cs="Traditional Arabic"/>
          <w:sz w:val="30"/>
          <w:szCs w:val="30"/>
          <w:rtl/>
          <w:lang w:eastAsia="zh-TW"/>
        </w:rPr>
        <w:t xml:space="preserve"> أثناء النقل حتى وصولها إلى وجهتها النهائية. وقبل النقل، يتعين إعداد خطط طوارئ من أجل التقليل إلى أدنى حد ممكن من الآثار البيئية المرتبطة بالانسكاب</w:t>
      </w:r>
      <w:r w:rsidRPr="005D1C9A">
        <w:rPr>
          <w:rFonts w:ascii="Traditional Arabic" w:hAnsi="Traditional Arabic" w:cs="Traditional Arabic" w:hint="eastAsia"/>
          <w:sz w:val="30"/>
          <w:szCs w:val="30"/>
          <w:rtl/>
          <w:lang w:eastAsia="zh-TW"/>
        </w:rPr>
        <w:t>ات،</w:t>
      </w:r>
      <w:r w:rsidRPr="005D1C9A">
        <w:rPr>
          <w:rFonts w:ascii="Traditional Arabic" w:hAnsi="Traditional Arabic" w:cs="Traditional Arabic"/>
          <w:sz w:val="30"/>
          <w:szCs w:val="30"/>
          <w:rtl/>
          <w:lang w:eastAsia="zh-TW"/>
        </w:rPr>
        <w:t xml:space="preserve"> والحرائق وحالات الطوارئ الأخرى التي قد تحدث أثناء عملية النقل. وأثناء النقل، ينبغي تحديد الزئبق ومركبات الزئبق، وتعبئتها ونقلها وفقاً للأنظمة الوطنية المعنية لنقل البضائع الخطرة، التي تستند عادة إلى </w:t>
      </w:r>
      <w:r w:rsidRPr="00AD1489">
        <w:rPr>
          <w:rFonts w:ascii="Traditional Arabic" w:hAnsi="Traditional Arabic" w:cs="Traditional Arabic"/>
          <w:i/>
          <w:iCs/>
          <w:sz w:val="30"/>
          <w:szCs w:val="30"/>
          <w:rtl/>
          <w:lang w:eastAsia="zh-TW"/>
        </w:rPr>
        <w:t>توصيات الأمم المتحدة المتعلقة بنقل البضائع الخطرة: ال</w:t>
      </w:r>
      <w:r w:rsidRPr="00AD1489">
        <w:rPr>
          <w:rFonts w:ascii="Traditional Arabic" w:hAnsi="Traditional Arabic" w:cs="Traditional Arabic" w:hint="eastAsia"/>
          <w:i/>
          <w:iCs/>
          <w:sz w:val="30"/>
          <w:szCs w:val="30"/>
          <w:rtl/>
          <w:lang w:eastAsia="zh-TW"/>
        </w:rPr>
        <w:t>نظام</w:t>
      </w:r>
      <w:r w:rsidRPr="00AD1489">
        <w:rPr>
          <w:rFonts w:ascii="Traditional Arabic" w:hAnsi="Traditional Arabic" w:cs="Traditional Arabic"/>
          <w:i/>
          <w:iCs/>
          <w:sz w:val="30"/>
          <w:szCs w:val="30"/>
          <w:rtl/>
          <w:lang w:eastAsia="zh-TW"/>
        </w:rPr>
        <w:t xml:space="preserve"> النموذجي</w:t>
      </w:r>
      <w:r w:rsidRPr="005D1C9A">
        <w:rPr>
          <w:rFonts w:ascii="Traditional Arabic" w:hAnsi="Traditional Arabic" w:cs="Traditional Arabic"/>
          <w:sz w:val="30"/>
          <w:szCs w:val="30"/>
          <w:rtl/>
          <w:lang w:eastAsia="zh-TW"/>
        </w:rPr>
        <w:t xml:space="preserve"> (الكتاب البرتقالي).</w:t>
      </w:r>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6</w:t>
      </w:r>
      <w:r w:rsidR="00306EED">
        <w:rPr>
          <w:rFonts w:ascii="Traditional Arabic" w:hAnsi="Traditional Arabic" w:cs="Traditional Arabic" w:hint="cs"/>
          <w:sz w:val="30"/>
          <w:szCs w:val="30"/>
          <w:rtl/>
          <w:lang w:eastAsia="zh-TW"/>
        </w:rPr>
        <w:t>9</w:t>
      </w:r>
      <w:r w:rsidR="00D35954">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وعلى الشركات التي تنقل الزئبق أو مركبات الزئبق في بلدانها أن تحمل إذناً بنقل البضائع الخطرة، وينبغي أن يكون العاملون فيها مؤهلين أو معتمدين في مجال مناولة البضائع الخطرة وفقاً للقواعد واللوائح الوطنية والمحلية. وعلى المسؤولين عن نقل الزئبق إدارته على ن</w:t>
      </w:r>
      <w:r w:rsidRPr="005D1C9A">
        <w:rPr>
          <w:rFonts w:ascii="Traditional Arabic" w:hAnsi="Traditional Arabic" w:cs="Traditional Arabic" w:hint="eastAsia"/>
          <w:sz w:val="30"/>
          <w:szCs w:val="30"/>
          <w:rtl/>
          <w:lang w:eastAsia="zh-TW"/>
        </w:rPr>
        <w:t>حو</w:t>
      </w:r>
      <w:r w:rsidRPr="005D1C9A">
        <w:rPr>
          <w:rFonts w:ascii="Traditional Arabic" w:hAnsi="Traditional Arabic" w:cs="Traditional Arabic"/>
          <w:sz w:val="30"/>
          <w:szCs w:val="30"/>
          <w:rtl/>
          <w:lang w:eastAsia="zh-TW"/>
        </w:rPr>
        <w:t xml:space="preserve"> يمنع تعرضه للكسر</w:t>
      </w:r>
      <w:r w:rsidR="00D35954">
        <w:rPr>
          <w:rFonts w:ascii="Traditional Arabic" w:hAnsi="Traditional Arabic" w:cs="Traditional Arabic"/>
          <w:sz w:val="30"/>
          <w:szCs w:val="30"/>
          <w:rtl/>
          <w:lang w:eastAsia="zh-TW"/>
        </w:rPr>
        <w:t xml:space="preserve"> أو الرطوبة أو إطلاقه إلى البيئ</w:t>
      </w:r>
      <w:r w:rsidR="00DE03BE">
        <w:rPr>
          <w:rFonts w:ascii="Traditional Arabic" w:hAnsi="Traditional Arabic" w:cs="Traditional Arabic"/>
          <w:sz w:val="30"/>
          <w:szCs w:val="30"/>
          <w:rtl/>
          <w:lang w:eastAsia="zh-TW"/>
        </w:rPr>
        <w:t>ة.</w:t>
      </w:r>
    </w:p>
    <w:p w:rsidR="005D1C9A" w:rsidRPr="005D1C9A" w:rsidRDefault="00306EED"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70</w:t>
      </w:r>
      <w:r w:rsidR="00D35954">
        <w:rPr>
          <w:rFonts w:ascii="Traditional Arabic" w:hAnsi="Traditional Arabic" w:cs="Traditional Arabic" w:hint="cs"/>
          <w:sz w:val="30"/>
          <w:szCs w:val="30"/>
          <w:rtl/>
          <w:lang w:eastAsia="zh-TW"/>
        </w:rPr>
        <w:t xml:space="preserve"> -</w:t>
      </w:r>
      <w:r w:rsidR="005D1C9A" w:rsidRPr="005D1C9A">
        <w:rPr>
          <w:rFonts w:ascii="Traditional Arabic" w:hAnsi="Traditional Arabic" w:cs="Traditional Arabic"/>
          <w:sz w:val="30"/>
          <w:szCs w:val="30"/>
          <w:rtl/>
          <w:lang w:eastAsia="zh-TW"/>
        </w:rPr>
        <w:tab/>
        <w:t>ومن أجل كفالة إبقاء إطلاقات الزئبق أو مركبات الزئبق الناجمة عن المناولة والنقل عند أدنى حد ممكن، من المهم توعية الأطراف المعنية بمخاطر الزئبق (مثلاً المسؤولون عن النقل وإعادة التدوير والعاملون في المعالجة). ويمكن تحقيق هذه التوعية عن طريق أنشطة التدريب</w:t>
      </w:r>
      <w:r w:rsidR="005D1C9A" w:rsidRPr="005D1C9A">
        <w:rPr>
          <w:rFonts w:ascii="Traditional Arabic" w:hAnsi="Traditional Arabic" w:cs="Traditional Arabic" w:hint="eastAsia"/>
          <w:sz w:val="30"/>
          <w:szCs w:val="30"/>
          <w:rtl/>
          <w:lang w:eastAsia="zh-TW"/>
        </w:rPr>
        <w:t>،</w:t>
      </w:r>
      <w:r w:rsidR="005D1C9A" w:rsidRPr="005D1C9A">
        <w:rPr>
          <w:rFonts w:ascii="Traditional Arabic" w:hAnsi="Traditional Arabic" w:cs="Traditional Arabic"/>
          <w:sz w:val="30"/>
          <w:szCs w:val="30"/>
          <w:rtl/>
          <w:lang w:eastAsia="zh-TW"/>
        </w:rPr>
        <w:t xml:space="preserve"> مثل الحلقات الدراسية، التي يمكن أن توفر المعلومات عن النظم واللوائح التنظيمية الجديدة، وتوفر أيضاً الفرص لتبادل المعلومات، وإعداد وتوزيع المنشورات، ونشر المعلومات عن طريق الإنترنت.</w:t>
      </w:r>
    </w:p>
    <w:p w:rsidR="005D1C9A" w:rsidRPr="00426042" w:rsidRDefault="005D1C9A" w:rsidP="00DE03BE">
      <w:pPr>
        <w:pStyle w:val="Heading1"/>
        <w:bidi/>
        <w:spacing w:before="0" w:line="400" w:lineRule="exact"/>
        <w:ind w:left="1134" w:hanging="852"/>
        <w:jc w:val="both"/>
        <w:textDirection w:val="tbRlV"/>
        <w:rPr>
          <w:b/>
          <w:bCs/>
          <w:sz w:val="30"/>
          <w:u w:val="none"/>
          <w:rtl/>
          <w:lang w:eastAsia="zh-TW"/>
        </w:rPr>
      </w:pPr>
      <w:bookmarkStart w:id="15" w:name="_Toc485639174"/>
      <w:r w:rsidRPr="00426042">
        <w:rPr>
          <w:rFonts w:hint="eastAsia"/>
          <w:b/>
          <w:bCs/>
          <w:sz w:val="30"/>
          <w:u w:val="none"/>
          <w:rtl/>
          <w:lang w:eastAsia="zh-TW"/>
        </w:rPr>
        <w:lastRenderedPageBreak/>
        <w:t>ألف</w:t>
      </w:r>
      <w:r w:rsidR="00D35954" w:rsidRPr="00426042">
        <w:rPr>
          <w:rFonts w:hint="cs"/>
          <w:b/>
          <w:bCs/>
          <w:sz w:val="30"/>
          <w:u w:val="none"/>
          <w:rtl/>
          <w:lang w:eastAsia="zh-TW"/>
        </w:rPr>
        <w:t xml:space="preserve"> </w:t>
      </w:r>
      <w:r w:rsidRPr="00426042">
        <w:rPr>
          <w:b/>
          <w:bCs/>
          <w:sz w:val="30"/>
          <w:u w:val="none"/>
          <w:rtl/>
          <w:lang w:eastAsia="zh-TW"/>
        </w:rPr>
        <w:t>-</w:t>
      </w:r>
      <w:r w:rsidR="00DE03BE">
        <w:rPr>
          <w:rFonts w:hint="cs"/>
          <w:b/>
          <w:bCs/>
          <w:sz w:val="30"/>
          <w:u w:val="none"/>
          <w:rtl/>
          <w:lang w:eastAsia="zh-TW"/>
        </w:rPr>
        <w:tab/>
      </w:r>
      <w:r w:rsidRPr="00426042">
        <w:rPr>
          <w:b/>
          <w:bCs/>
          <w:sz w:val="30"/>
          <w:u w:val="none"/>
          <w:rtl/>
          <w:lang w:eastAsia="zh-TW"/>
        </w:rPr>
        <w:t>الصحة والسلامة</w:t>
      </w:r>
      <w:bookmarkEnd w:id="15"/>
    </w:p>
    <w:p w:rsidR="005D1C9A" w:rsidRPr="005D1C9A" w:rsidRDefault="005D1C9A" w:rsidP="00AD1489">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7</w:t>
      </w:r>
      <w:r w:rsidR="00306EED">
        <w:rPr>
          <w:rFonts w:ascii="Traditional Arabic" w:hAnsi="Traditional Arabic" w:cs="Traditional Arabic" w:hint="cs"/>
          <w:sz w:val="30"/>
          <w:szCs w:val="30"/>
          <w:rtl/>
          <w:lang w:eastAsia="zh-TW"/>
        </w:rPr>
        <w:t>1</w:t>
      </w:r>
      <w:r w:rsidR="00D35954">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 xml:space="preserve">هناك جانبان رئيسيان للتخزين السليم بيئياً للزئبق ومركباته، وهما: (أ) الأنشطة المتعلقة بالصحة والسلامة العامة؛ و(ب) الأنشطة المتعلقة بصحة العمال وسلامتهم والتي تمنع أو تقلل إلى أدنى حد </w:t>
      </w:r>
      <w:r w:rsidR="00DE03BE">
        <w:rPr>
          <w:rFonts w:ascii="Traditional Arabic" w:hAnsi="Traditional Arabic" w:cs="Traditional Arabic"/>
          <w:sz w:val="30"/>
          <w:szCs w:val="30"/>
          <w:rtl/>
          <w:lang w:eastAsia="zh-TW"/>
        </w:rPr>
        <w:t>ممكن من التعرض للزئبق ومركباته.</w:t>
      </w:r>
    </w:p>
    <w:p w:rsidR="005D1C9A" w:rsidRPr="00426042" w:rsidRDefault="005D1C9A" w:rsidP="00DE03BE">
      <w:pPr>
        <w:pStyle w:val="Heading1"/>
        <w:bidi/>
        <w:spacing w:before="0" w:line="400" w:lineRule="exact"/>
        <w:ind w:left="1134" w:hanging="852"/>
        <w:jc w:val="both"/>
        <w:textDirection w:val="tbRlV"/>
        <w:rPr>
          <w:b/>
          <w:bCs/>
          <w:sz w:val="30"/>
          <w:u w:val="none"/>
          <w:rtl/>
          <w:lang w:eastAsia="zh-TW"/>
        </w:rPr>
      </w:pPr>
      <w:bookmarkStart w:id="16" w:name="_Toc485639175"/>
      <w:r w:rsidRPr="00426042">
        <w:rPr>
          <w:rFonts w:hint="eastAsia"/>
          <w:b/>
          <w:bCs/>
          <w:sz w:val="30"/>
          <w:u w:val="none"/>
          <w:rtl/>
          <w:lang w:eastAsia="zh-TW"/>
        </w:rPr>
        <w:t>باء</w:t>
      </w:r>
      <w:r w:rsidR="00D35954" w:rsidRPr="00426042">
        <w:rPr>
          <w:rFonts w:hint="cs"/>
          <w:b/>
          <w:bCs/>
          <w:sz w:val="30"/>
          <w:u w:val="none"/>
          <w:rtl/>
          <w:lang w:eastAsia="zh-TW"/>
        </w:rPr>
        <w:t xml:space="preserve"> </w:t>
      </w:r>
      <w:r w:rsidRPr="00426042">
        <w:rPr>
          <w:b/>
          <w:bCs/>
          <w:sz w:val="30"/>
          <w:u w:val="none"/>
          <w:rtl/>
          <w:lang w:eastAsia="zh-TW"/>
        </w:rPr>
        <w:t>-</w:t>
      </w:r>
      <w:r w:rsidR="00DE03BE">
        <w:rPr>
          <w:rFonts w:hint="cs"/>
          <w:b/>
          <w:bCs/>
          <w:sz w:val="30"/>
          <w:u w:val="none"/>
          <w:rtl/>
          <w:lang w:eastAsia="zh-TW"/>
        </w:rPr>
        <w:tab/>
      </w:r>
      <w:r w:rsidRPr="00426042">
        <w:rPr>
          <w:b/>
          <w:bCs/>
          <w:sz w:val="30"/>
          <w:u w:val="none"/>
          <w:rtl/>
          <w:lang w:eastAsia="zh-TW"/>
        </w:rPr>
        <w:t xml:space="preserve">الصحة والسلامة </w:t>
      </w:r>
      <w:r w:rsidR="00D35954" w:rsidRPr="00426042">
        <w:rPr>
          <w:rFonts w:hint="cs"/>
          <w:b/>
          <w:bCs/>
          <w:sz w:val="30"/>
          <w:u w:val="none"/>
          <w:rtl/>
          <w:lang w:eastAsia="zh-TW"/>
        </w:rPr>
        <w:t>في المجال العام</w:t>
      </w:r>
      <w:bookmarkEnd w:id="16"/>
    </w:p>
    <w:p w:rsidR="005D1C9A" w:rsidRPr="005D1C9A" w:rsidRDefault="005D1C9A" w:rsidP="00A25606">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7</w:t>
      </w:r>
      <w:r w:rsidR="00306EED">
        <w:rPr>
          <w:rFonts w:ascii="Traditional Arabic" w:hAnsi="Traditional Arabic" w:cs="Traditional Arabic" w:hint="cs"/>
          <w:sz w:val="30"/>
          <w:szCs w:val="30"/>
          <w:rtl/>
          <w:lang w:eastAsia="zh-TW"/>
        </w:rPr>
        <w:t>2</w:t>
      </w:r>
      <w:r w:rsidR="00D35954">
        <w:rPr>
          <w:rFonts w:ascii="Traditional Arabic" w:hAnsi="Traditional Arabic" w:cs="Traditional Arabic" w:hint="cs"/>
          <w:sz w:val="30"/>
          <w:szCs w:val="30"/>
          <w:rtl/>
          <w:lang w:eastAsia="zh-TW"/>
        </w:rPr>
        <w:t xml:space="preserve"> -</w:t>
      </w:r>
      <w:r w:rsidR="00D35954">
        <w:rPr>
          <w:rFonts w:ascii="Traditional Arabic" w:hAnsi="Traditional Arabic" w:cs="Traditional Arabic" w:hint="cs"/>
          <w:sz w:val="30"/>
          <w:szCs w:val="30"/>
          <w:rtl/>
          <w:lang w:eastAsia="zh-TW"/>
        </w:rPr>
        <w:tab/>
      </w:r>
      <w:r w:rsidRPr="005D1C9A">
        <w:rPr>
          <w:rFonts w:ascii="Traditional Arabic" w:hAnsi="Traditional Arabic" w:cs="Traditional Arabic"/>
          <w:sz w:val="30"/>
          <w:szCs w:val="30"/>
          <w:rtl/>
          <w:lang w:eastAsia="zh-TW"/>
        </w:rPr>
        <w:t xml:space="preserve">تعتمد معالجة السلامة العامة على قيام </w:t>
      </w:r>
      <w:r w:rsidR="00A25606">
        <w:rPr>
          <w:rFonts w:ascii="Traditional Arabic" w:hAnsi="Traditional Arabic" w:cs="Traditional Arabic" w:hint="cs"/>
          <w:sz w:val="30"/>
          <w:szCs w:val="30"/>
          <w:rtl/>
          <w:lang w:eastAsia="zh-TW"/>
        </w:rPr>
        <w:t>مشغلي</w:t>
      </w:r>
      <w:r w:rsidRPr="005D1C9A">
        <w:rPr>
          <w:rFonts w:ascii="Traditional Arabic" w:hAnsi="Traditional Arabic" w:cs="Traditional Arabic"/>
          <w:sz w:val="30"/>
          <w:szCs w:val="30"/>
          <w:rtl/>
          <w:lang w:eastAsia="zh-TW"/>
        </w:rPr>
        <w:t xml:space="preserve"> المرفق بالإبلاغ على النحو المناسب عن إطلاقات الزئبق </w:t>
      </w:r>
      <w:r w:rsidR="00D35954">
        <w:rPr>
          <w:rFonts w:ascii="Traditional Arabic" w:hAnsi="Traditional Arabic" w:cs="Traditional Arabic" w:hint="cs"/>
          <w:sz w:val="30"/>
          <w:szCs w:val="30"/>
          <w:rtl/>
          <w:lang w:eastAsia="zh-TW"/>
        </w:rPr>
        <w:t>في الحالات الروتينية والعرضية</w:t>
      </w:r>
      <w:r w:rsidRPr="005D1C9A">
        <w:rPr>
          <w:rFonts w:ascii="Traditional Arabic" w:hAnsi="Traditional Arabic" w:cs="Traditional Arabic"/>
          <w:sz w:val="30"/>
          <w:szCs w:val="30"/>
          <w:rtl/>
          <w:lang w:eastAsia="zh-TW"/>
        </w:rPr>
        <w:t>. ويتطلب إبلاغ السلطات المحلية بهذه المعلومات في الوقت المناسب أن تحدد بوضوح قبل بدء تشغيل المرفق الإجراءات الاعتيادية والطارئة ل</w:t>
      </w:r>
      <w:r w:rsidRPr="005D1C9A">
        <w:rPr>
          <w:rFonts w:ascii="Traditional Arabic" w:hAnsi="Traditional Arabic" w:cs="Traditional Arabic" w:hint="eastAsia"/>
          <w:sz w:val="30"/>
          <w:szCs w:val="30"/>
          <w:rtl/>
          <w:lang w:eastAsia="zh-TW"/>
        </w:rPr>
        <w:t>لإبلاغ</w:t>
      </w:r>
      <w:r w:rsidRPr="005D1C9A">
        <w:rPr>
          <w:rFonts w:ascii="Traditional Arabic" w:hAnsi="Traditional Arabic" w:cs="Traditional Arabic"/>
          <w:sz w:val="30"/>
          <w:szCs w:val="30"/>
          <w:rtl/>
          <w:lang w:eastAsia="zh-TW"/>
        </w:rPr>
        <w:t xml:space="preserve"> عن الإطلاقات، بما في ذلك إلى السلطات المدنية والجهات المحلية للاستجابة للطوارئ. وقد يتعرض الأشخاص الذين يعيشون أو يعملون بالقرب من مرافق التخزين إلى مخاطر الصحة البيئية والحوادث. وقد تتعلق هذه المخاطر أساساً بالانبعاثات والإطلاقات الناجمة عن الأعمال المضطلع بها في المرفق، وكذلك تلك الناجمة عن النقل من المرفق وإليه. ومن الضروري وضع التدابير الكافية لمنع الآثار المترتبة على صحة الإنسان والبيئة والتقليل منها إلى أدنى حد ممكن. وقد تساعد برامج الرصد على تحديد المشاكل واتخاذ التدابير المناسبة لعلاجها. وقد </w:t>
      </w:r>
      <w:r w:rsidRPr="005D1C9A">
        <w:rPr>
          <w:rFonts w:ascii="Traditional Arabic" w:hAnsi="Traditional Arabic" w:cs="Traditional Arabic" w:hint="eastAsia"/>
          <w:sz w:val="30"/>
          <w:szCs w:val="30"/>
          <w:rtl/>
          <w:lang w:eastAsia="zh-TW"/>
        </w:rPr>
        <w:t>تشمل</w:t>
      </w:r>
      <w:r w:rsidRPr="005D1C9A">
        <w:rPr>
          <w:rFonts w:ascii="Traditional Arabic" w:hAnsi="Traditional Arabic" w:cs="Traditional Arabic"/>
          <w:sz w:val="30"/>
          <w:szCs w:val="30"/>
          <w:rtl/>
          <w:lang w:eastAsia="zh-TW"/>
        </w:rPr>
        <w:t xml:space="preserve"> هذه البرامج رصد أي انبعاثات أو إطلاقات للزئبق من المرفق لتحديد ما إذا كانت قد تؤدي إلى تعرض السكان المحليين. وقد يود مشغلو المرفق استضافة منتديات لتوعية المجتمعات المحلية تتناول المسائل المتعلقة بتحديد موقع المرفق وتشغيله وخطط ا</w:t>
      </w:r>
      <w:r w:rsidR="00DE03BE">
        <w:rPr>
          <w:rFonts w:ascii="Traditional Arabic" w:hAnsi="Traditional Arabic" w:cs="Traditional Arabic"/>
          <w:sz w:val="30"/>
          <w:szCs w:val="30"/>
          <w:rtl/>
          <w:lang w:eastAsia="zh-TW"/>
        </w:rPr>
        <w:t>لاستجابة لحالات الطوارئ.</w:t>
      </w:r>
    </w:p>
    <w:p w:rsidR="005D1C9A" w:rsidRPr="00426042" w:rsidRDefault="005D1C9A" w:rsidP="00DE03BE">
      <w:pPr>
        <w:pStyle w:val="Heading1"/>
        <w:bidi/>
        <w:spacing w:before="0" w:line="400" w:lineRule="exact"/>
        <w:ind w:left="1134" w:hanging="852"/>
        <w:jc w:val="both"/>
        <w:textDirection w:val="tbRlV"/>
        <w:rPr>
          <w:b/>
          <w:bCs/>
          <w:sz w:val="30"/>
          <w:u w:val="none"/>
          <w:rtl/>
          <w:lang w:eastAsia="zh-TW"/>
        </w:rPr>
      </w:pPr>
      <w:bookmarkStart w:id="17" w:name="_Toc485639176"/>
      <w:r w:rsidRPr="00426042">
        <w:rPr>
          <w:rFonts w:hint="eastAsia"/>
          <w:b/>
          <w:bCs/>
          <w:sz w:val="30"/>
          <w:u w:val="none"/>
          <w:rtl/>
          <w:lang w:eastAsia="zh-TW"/>
        </w:rPr>
        <w:t>جيم</w:t>
      </w:r>
      <w:r w:rsidR="00D35954" w:rsidRPr="00426042">
        <w:rPr>
          <w:rFonts w:hint="cs"/>
          <w:b/>
          <w:bCs/>
          <w:sz w:val="30"/>
          <w:u w:val="none"/>
          <w:rtl/>
          <w:lang w:eastAsia="zh-TW"/>
        </w:rPr>
        <w:t xml:space="preserve"> </w:t>
      </w:r>
      <w:r w:rsidRPr="00426042">
        <w:rPr>
          <w:b/>
          <w:bCs/>
          <w:sz w:val="30"/>
          <w:u w:val="none"/>
          <w:rtl/>
          <w:lang w:eastAsia="zh-TW"/>
        </w:rPr>
        <w:t>-</w:t>
      </w:r>
      <w:r w:rsidR="00DE03BE">
        <w:rPr>
          <w:rFonts w:hint="cs"/>
          <w:b/>
          <w:bCs/>
          <w:sz w:val="30"/>
          <w:u w:val="none"/>
          <w:rtl/>
          <w:lang w:eastAsia="zh-TW"/>
        </w:rPr>
        <w:tab/>
      </w:r>
      <w:r w:rsidRPr="00426042">
        <w:rPr>
          <w:b/>
          <w:bCs/>
          <w:sz w:val="30"/>
          <w:u w:val="none"/>
          <w:rtl/>
          <w:lang w:eastAsia="zh-TW"/>
        </w:rPr>
        <w:t>صحة العمال وسلامتهم</w:t>
      </w:r>
      <w:bookmarkEnd w:id="17"/>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7</w:t>
      </w:r>
      <w:r w:rsidR="00306EED">
        <w:rPr>
          <w:rFonts w:ascii="Traditional Arabic" w:hAnsi="Traditional Arabic" w:cs="Traditional Arabic" w:hint="cs"/>
          <w:sz w:val="30"/>
          <w:szCs w:val="30"/>
          <w:rtl/>
          <w:lang w:eastAsia="zh-TW"/>
        </w:rPr>
        <w:t>3</w:t>
      </w:r>
      <w:r w:rsidR="00D35954">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ينبغي لأصحاب العمل أن يضمنوا حماية صحة وسلامة كافة الموظفين أثناء العمل. وينبغي لكل صاحب عمل أن يحصل على تأمين ويحافظ عليه، بموجب بوليصة مقبولة صادرة عن شركة تأمين معتمدة، وبحيث يوفر هذا التأمين مستوى تغطية كاف في حالة المسؤولية (بما في ذلك الحالات الت</w:t>
      </w:r>
      <w:r w:rsidRPr="005D1C9A">
        <w:rPr>
          <w:rFonts w:ascii="Traditional Arabic" w:hAnsi="Traditional Arabic" w:cs="Traditional Arabic" w:hint="eastAsia"/>
          <w:sz w:val="30"/>
          <w:szCs w:val="30"/>
          <w:rtl/>
          <w:lang w:eastAsia="zh-TW"/>
        </w:rPr>
        <w:t>ي</w:t>
      </w:r>
      <w:r w:rsidRPr="005D1C9A">
        <w:rPr>
          <w:rFonts w:ascii="Traditional Arabic" w:hAnsi="Traditional Arabic" w:cs="Traditional Arabic"/>
          <w:sz w:val="30"/>
          <w:szCs w:val="30"/>
          <w:rtl/>
          <w:lang w:eastAsia="zh-TW"/>
        </w:rPr>
        <w:t xml:space="preserve"> قد تتطلب التعويض) عن الأمراض البدنية أو الإصابات التي تلحق بالموظفين وتكون ناشئة عن عملهم وأثناء قيامهم به، وذلك وفقاً للقوانين الوطنية. وينبغي أن توضع خطط للصحة والسلامة خاصة بالمرفق في جميع المرافق التي تقوم بمناولة الزئبق أو مركبات الزئبق لضمان حماية </w:t>
      </w:r>
      <w:r w:rsidRPr="005D1C9A">
        <w:rPr>
          <w:rFonts w:ascii="Traditional Arabic" w:hAnsi="Traditional Arabic" w:cs="Traditional Arabic" w:hint="eastAsia"/>
          <w:sz w:val="30"/>
          <w:szCs w:val="30"/>
          <w:rtl/>
          <w:lang w:eastAsia="zh-TW"/>
        </w:rPr>
        <w:t>جميع</w:t>
      </w:r>
      <w:r w:rsidRPr="005D1C9A">
        <w:rPr>
          <w:rFonts w:ascii="Traditional Arabic" w:hAnsi="Traditional Arabic" w:cs="Traditional Arabic"/>
          <w:sz w:val="30"/>
          <w:szCs w:val="30"/>
          <w:rtl/>
          <w:lang w:eastAsia="zh-TW"/>
        </w:rPr>
        <w:t xml:space="preserve"> الأشخاص في هذه المرافق وفي المناطق المحيطة بها. وينبغي أن يعد هذه الخطط خبراء مؤهلون في مجال الصحة والسلامة ممن يتمتعون بالخبرة في إدارة المخاطر الصحية المرتبطة بالزئبق.</w:t>
      </w:r>
    </w:p>
    <w:p w:rsidR="005D1C9A" w:rsidRPr="005D1C9A" w:rsidRDefault="005D1C9A" w:rsidP="0042604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7</w:t>
      </w:r>
      <w:r w:rsidR="00306EED">
        <w:rPr>
          <w:rFonts w:ascii="Traditional Arabic" w:hAnsi="Traditional Arabic" w:cs="Traditional Arabic" w:hint="cs"/>
          <w:sz w:val="30"/>
          <w:szCs w:val="30"/>
          <w:rtl/>
          <w:lang w:eastAsia="zh-TW"/>
        </w:rPr>
        <w:t>4</w:t>
      </w:r>
      <w:r w:rsidR="00D35954">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ويمكن تحقيق حماية العمال الذين يتعاملون مع الزئبق أو مركبات الزئبق، والعامة، وحماية عامة الناس عن طريق الوسائل التالية:</w:t>
      </w:r>
    </w:p>
    <w:p w:rsidR="005D1C9A" w:rsidRPr="005D1C9A" w:rsidRDefault="005D1C9A" w:rsidP="009404B2">
      <w:pPr>
        <w:pStyle w:val="Normalnumber"/>
        <w:numPr>
          <w:ilvl w:val="0"/>
          <w:numId w:val="0"/>
        </w:numPr>
        <w:tabs>
          <w:tab w:val="left" w:pos="2408"/>
        </w:tabs>
        <w:bidi/>
        <w:spacing w:line="400" w:lineRule="exact"/>
        <w:ind w:left="1134" w:firstLine="707"/>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(أ)</w:t>
      </w:r>
      <w:r w:rsidRPr="005D1C9A">
        <w:rPr>
          <w:rFonts w:ascii="Traditional Arabic" w:hAnsi="Traditional Arabic" w:cs="Traditional Arabic"/>
          <w:sz w:val="30"/>
          <w:szCs w:val="30"/>
          <w:rtl/>
          <w:lang w:eastAsia="zh-TW"/>
        </w:rPr>
        <w:tab/>
        <w:t>حظر الوصول إلى ال</w:t>
      </w:r>
      <w:r w:rsidR="003C0F43">
        <w:rPr>
          <w:rFonts w:ascii="Traditional Arabic" w:hAnsi="Traditional Arabic" w:cs="Traditional Arabic"/>
          <w:sz w:val="30"/>
          <w:szCs w:val="30"/>
          <w:rtl/>
          <w:lang w:eastAsia="zh-TW"/>
        </w:rPr>
        <w:t>مرافق إلا للموظفين المأذون لهم؛</w:t>
      </w:r>
    </w:p>
    <w:p w:rsidR="005D1C9A" w:rsidRPr="005D1C9A" w:rsidRDefault="00D35954" w:rsidP="009404B2">
      <w:pPr>
        <w:pStyle w:val="Normalnumber"/>
        <w:numPr>
          <w:ilvl w:val="0"/>
          <w:numId w:val="0"/>
        </w:numPr>
        <w:tabs>
          <w:tab w:val="left" w:pos="2408"/>
        </w:tabs>
        <w:bidi/>
        <w:spacing w:line="400" w:lineRule="exact"/>
        <w:ind w:left="1134" w:firstLine="707"/>
        <w:jc w:val="both"/>
        <w:textDirection w:val="tbRlV"/>
        <w:rPr>
          <w:rFonts w:ascii="Traditional Arabic" w:hAnsi="Traditional Arabic" w:cs="Traditional Arabic"/>
          <w:sz w:val="30"/>
          <w:szCs w:val="30"/>
          <w:rtl/>
          <w:lang w:eastAsia="zh-TW"/>
        </w:rPr>
      </w:pPr>
      <w:r>
        <w:rPr>
          <w:rFonts w:ascii="Traditional Arabic" w:hAnsi="Traditional Arabic" w:cs="Traditional Arabic"/>
          <w:sz w:val="30"/>
          <w:szCs w:val="30"/>
          <w:rtl/>
          <w:lang w:eastAsia="zh-TW"/>
        </w:rPr>
        <w:t>(ب)</w:t>
      </w:r>
      <w:r w:rsidR="00DE03BE">
        <w:rPr>
          <w:rFonts w:ascii="Traditional Arabic" w:hAnsi="Traditional Arabic" w:cs="Traditional Arabic" w:hint="cs"/>
          <w:sz w:val="30"/>
          <w:szCs w:val="30"/>
          <w:rtl/>
          <w:lang w:eastAsia="zh-TW"/>
        </w:rPr>
        <w:tab/>
      </w:r>
      <w:r w:rsidR="005D1C9A" w:rsidRPr="005D1C9A">
        <w:rPr>
          <w:rFonts w:ascii="Traditional Arabic" w:hAnsi="Traditional Arabic" w:cs="Traditional Arabic"/>
          <w:sz w:val="30"/>
          <w:szCs w:val="30"/>
          <w:rtl/>
          <w:lang w:eastAsia="zh-TW"/>
        </w:rPr>
        <w:t>كفالة عدم تجاوز حدود التعرض المهني للمواد الخطرة، عن طريق التأكد من قيام جميع الموظفين باستخدام معد</w:t>
      </w:r>
      <w:r w:rsidR="00DE03BE">
        <w:rPr>
          <w:rFonts w:ascii="Traditional Arabic" w:hAnsi="Traditional Arabic" w:cs="Traditional Arabic"/>
          <w:sz w:val="30"/>
          <w:szCs w:val="30"/>
          <w:rtl/>
          <w:lang w:eastAsia="zh-TW"/>
        </w:rPr>
        <w:t>ات الحماية المناسبة؛</w:t>
      </w:r>
    </w:p>
    <w:p w:rsidR="005D1C9A" w:rsidRPr="005D1C9A" w:rsidRDefault="005D1C9A" w:rsidP="009404B2">
      <w:pPr>
        <w:pStyle w:val="Normalnumber"/>
        <w:numPr>
          <w:ilvl w:val="0"/>
          <w:numId w:val="0"/>
        </w:numPr>
        <w:tabs>
          <w:tab w:val="left" w:pos="2408"/>
        </w:tabs>
        <w:bidi/>
        <w:spacing w:line="400" w:lineRule="exact"/>
        <w:ind w:left="1134" w:firstLine="709"/>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(ج)</w:t>
      </w:r>
      <w:r w:rsidR="00DE03BE">
        <w:rPr>
          <w:rFonts w:ascii="Traditional Arabic" w:hAnsi="Traditional Arabic" w:cs="Traditional Arabic" w:hint="cs"/>
          <w:sz w:val="30"/>
          <w:szCs w:val="30"/>
          <w:rtl/>
          <w:lang w:eastAsia="zh-TW"/>
        </w:rPr>
        <w:tab/>
      </w:r>
      <w:r w:rsidRPr="005D1C9A">
        <w:rPr>
          <w:rFonts w:ascii="Traditional Arabic" w:hAnsi="Traditional Arabic" w:cs="Traditional Arabic"/>
          <w:sz w:val="30"/>
          <w:szCs w:val="30"/>
          <w:rtl/>
          <w:lang w:eastAsia="zh-TW"/>
        </w:rPr>
        <w:t>ضمان التهوية الملائمة للمرافق للتقليل إلى أدنى حد ممكن من خطر التعرض للمواد المتطايرة أو المواد الت</w:t>
      </w:r>
      <w:r w:rsidR="00DE03BE">
        <w:rPr>
          <w:rFonts w:ascii="Traditional Arabic" w:hAnsi="Traditional Arabic" w:cs="Traditional Arabic"/>
          <w:sz w:val="30"/>
          <w:szCs w:val="30"/>
          <w:rtl/>
          <w:lang w:eastAsia="zh-TW"/>
        </w:rPr>
        <w:t>ي يمكن أن تنتقل عن طريق الهواء؛</w:t>
      </w:r>
    </w:p>
    <w:p w:rsidR="005D1C9A" w:rsidRPr="005D1C9A" w:rsidRDefault="005D1C9A" w:rsidP="009404B2">
      <w:pPr>
        <w:pStyle w:val="Normalnumber"/>
        <w:numPr>
          <w:ilvl w:val="0"/>
          <w:numId w:val="0"/>
        </w:numPr>
        <w:tabs>
          <w:tab w:val="left" w:pos="2408"/>
        </w:tabs>
        <w:bidi/>
        <w:spacing w:line="400" w:lineRule="exact"/>
        <w:ind w:left="1134" w:firstLine="707"/>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t>(د)</w:t>
      </w:r>
      <w:r w:rsidR="00DE03BE">
        <w:rPr>
          <w:rFonts w:ascii="Traditional Arabic" w:hAnsi="Traditional Arabic" w:cs="Traditional Arabic" w:hint="cs"/>
          <w:sz w:val="30"/>
          <w:szCs w:val="30"/>
          <w:rtl/>
          <w:lang w:eastAsia="zh-TW"/>
        </w:rPr>
        <w:tab/>
      </w:r>
      <w:r w:rsidRPr="005D1C9A">
        <w:rPr>
          <w:rFonts w:ascii="Traditional Arabic" w:hAnsi="Traditional Arabic" w:cs="Traditional Arabic"/>
          <w:sz w:val="30"/>
          <w:szCs w:val="30"/>
          <w:rtl/>
          <w:lang w:eastAsia="zh-TW"/>
        </w:rPr>
        <w:t>ضمان امتثال كافة المرافق لجميع القوانين الوطنية والإقليمية المتعلقة بالصحة والسلامة في مكان العمل.</w:t>
      </w:r>
    </w:p>
    <w:p w:rsidR="005D1C9A" w:rsidRPr="005D1C9A" w:rsidRDefault="005D1C9A" w:rsidP="009404B2">
      <w:pPr>
        <w:pStyle w:val="Normalnumber"/>
        <w:numPr>
          <w:ilvl w:val="0"/>
          <w:numId w:val="0"/>
        </w:numPr>
        <w:tabs>
          <w:tab w:val="left" w:pos="1841"/>
        </w:tabs>
        <w:bidi/>
        <w:spacing w:line="400" w:lineRule="exact"/>
        <w:ind w:left="1134"/>
        <w:jc w:val="both"/>
        <w:textDirection w:val="tbRlV"/>
        <w:rPr>
          <w:rFonts w:ascii="Traditional Arabic" w:hAnsi="Traditional Arabic" w:cs="Traditional Arabic"/>
          <w:sz w:val="30"/>
          <w:szCs w:val="30"/>
          <w:rtl/>
          <w:lang w:eastAsia="zh-TW"/>
        </w:rPr>
      </w:pPr>
      <w:r w:rsidRPr="005D1C9A">
        <w:rPr>
          <w:rFonts w:ascii="Traditional Arabic" w:hAnsi="Traditional Arabic" w:cs="Traditional Arabic"/>
          <w:sz w:val="30"/>
          <w:szCs w:val="30"/>
          <w:rtl/>
          <w:lang w:eastAsia="zh-TW"/>
        </w:rPr>
        <w:lastRenderedPageBreak/>
        <w:t>7</w:t>
      </w:r>
      <w:r w:rsidR="00306EED">
        <w:rPr>
          <w:rFonts w:ascii="Traditional Arabic" w:hAnsi="Traditional Arabic" w:cs="Traditional Arabic" w:hint="cs"/>
          <w:sz w:val="30"/>
          <w:szCs w:val="30"/>
          <w:rtl/>
          <w:lang w:eastAsia="zh-TW"/>
        </w:rPr>
        <w:t>5</w:t>
      </w:r>
      <w:r w:rsidR="00D35954">
        <w:rPr>
          <w:rFonts w:ascii="Traditional Arabic" w:hAnsi="Traditional Arabic" w:cs="Traditional Arabic" w:hint="cs"/>
          <w:sz w:val="30"/>
          <w:szCs w:val="30"/>
          <w:rtl/>
          <w:lang w:eastAsia="zh-TW"/>
        </w:rPr>
        <w:t xml:space="preserve"> -</w:t>
      </w:r>
      <w:r w:rsidRPr="005D1C9A">
        <w:rPr>
          <w:rFonts w:ascii="Traditional Arabic" w:hAnsi="Traditional Arabic" w:cs="Traditional Arabic"/>
          <w:sz w:val="30"/>
          <w:szCs w:val="30"/>
          <w:rtl/>
          <w:lang w:eastAsia="zh-TW"/>
        </w:rPr>
        <w:tab/>
        <w:t>وقد حددت منظمة الصحة العالمية القيم التوجيهية بشأن تركيزات الزئبق في مياه الشرب والهواء المحيط، وهي 0</w:t>
      </w:r>
      <w:r w:rsidR="00306EED">
        <w:rPr>
          <w:rFonts w:ascii="Traditional Arabic" w:hAnsi="Traditional Arabic" w:cs="Traditional Arabic" w:hint="cs"/>
          <w:sz w:val="30"/>
          <w:szCs w:val="30"/>
          <w:rtl/>
          <w:lang w:eastAsia="zh-TW"/>
        </w:rPr>
        <w:t>.</w:t>
      </w:r>
      <w:r w:rsidRPr="005D1C9A">
        <w:rPr>
          <w:rFonts w:ascii="Traditional Arabic" w:hAnsi="Traditional Arabic" w:cs="Traditional Arabic"/>
          <w:sz w:val="30"/>
          <w:szCs w:val="30"/>
          <w:rtl/>
          <w:lang w:eastAsia="zh-TW"/>
        </w:rPr>
        <w:t xml:space="preserve">006 ملغم/لتر بالنسبة للزئبق غير العضوي و1 ميكروغرام/م3 لبخار الزئبق اللاعضوي </w:t>
      </w:r>
      <w:r w:rsidRPr="009404B2">
        <w:rPr>
          <w:rFonts w:asciiTheme="majorBidi" w:hAnsiTheme="majorBidi" w:cstheme="majorBidi"/>
          <w:szCs w:val="20"/>
          <w:rtl/>
          <w:lang w:eastAsia="zh-TW"/>
        </w:rPr>
        <w:t>(</w:t>
      </w:r>
      <w:r w:rsidRPr="009404B2">
        <w:rPr>
          <w:rFonts w:asciiTheme="majorBidi" w:hAnsiTheme="majorBidi" w:cstheme="majorBidi"/>
          <w:szCs w:val="20"/>
          <w:lang w:eastAsia="zh-TW"/>
        </w:rPr>
        <w:t>WHO, 2006; WHO Regional Office for Europe, 2000</w:t>
      </w:r>
      <w:r w:rsidRPr="009404B2">
        <w:rPr>
          <w:rFonts w:asciiTheme="majorBidi" w:hAnsiTheme="majorBidi" w:cstheme="majorBidi"/>
          <w:szCs w:val="20"/>
          <w:rtl/>
          <w:lang w:eastAsia="zh-TW"/>
        </w:rPr>
        <w:t>)</w:t>
      </w:r>
      <w:r w:rsidRPr="005D1C9A">
        <w:rPr>
          <w:rFonts w:ascii="Traditional Arabic" w:hAnsi="Traditional Arabic" w:cs="Traditional Arabic"/>
          <w:sz w:val="30"/>
          <w:szCs w:val="30"/>
          <w:rtl/>
          <w:lang w:eastAsia="zh-TW"/>
        </w:rPr>
        <w:t xml:space="preserve"> وتشجع الحكومات على رصد الهواء والمياه من أجل حماية صحة الإنسان، ولا</w:t>
      </w:r>
      <w:r w:rsidR="00306EED">
        <w:rPr>
          <w:rFonts w:ascii="Traditional Arabic" w:hAnsi="Traditional Arabic" w:cs="Traditional Arabic" w:hint="cs"/>
          <w:sz w:val="30"/>
          <w:szCs w:val="30"/>
          <w:rtl/>
          <w:lang w:eastAsia="zh-TW"/>
        </w:rPr>
        <w:t> </w:t>
      </w:r>
      <w:r w:rsidRPr="005D1C9A">
        <w:rPr>
          <w:rFonts w:ascii="Traditional Arabic" w:hAnsi="Traditional Arabic" w:cs="Traditional Arabic"/>
          <w:sz w:val="30"/>
          <w:szCs w:val="30"/>
          <w:rtl/>
          <w:lang w:eastAsia="zh-TW"/>
        </w:rPr>
        <w:t>سيما قرب المواقع التي تنفذ فيها أنشطة تستخدم الزئبق. وقد حددت بعض البلدان المستويات المسموحة لوجود الزئبق في بيئة العمل (مثلاً 0</w:t>
      </w:r>
      <w:r w:rsidR="00306EED">
        <w:rPr>
          <w:rFonts w:ascii="Traditional Arabic" w:hAnsi="Traditional Arabic" w:cs="Traditional Arabic" w:hint="cs"/>
          <w:sz w:val="30"/>
          <w:szCs w:val="30"/>
          <w:rtl/>
          <w:lang w:eastAsia="zh-TW"/>
        </w:rPr>
        <w:t>.</w:t>
      </w:r>
      <w:r w:rsidRPr="005D1C9A">
        <w:rPr>
          <w:rFonts w:ascii="Traditional Arabic" w:hAnsi="Traditional Arabic" w:cs="Traditional Arabic"/>
          <w:sz w:val="30"/>
          <w:szCs w:val="30"/>
          <w:rtl/>
          <w:lang w:eastAsia="zh-TW"/>
        </w:rPr>
        <w:t>025 ملغم/م</w:t>
      </w:r>
      <w:r w:rsidRPr="00D35954">
        <w:rPr>
          <w:rFonts w:ascii="Traditional Arabic" w:hAnsi="Traditional Arabic" w:cs="Traditional Arabic"/>
          <w:sz w:val="30"/>
          <w:szCs w:val="30"/>
          <w:vertAlign w:val="superscript"/>
          <w:rtl/>
          <w:lang w:eastAsia="zh-TW"/>
        </w:rPr>
        <w:t>3</w:t>
      </w:r>
      <w:r w:rsidRPr="005D1C9A">
        <w:rPr>
          <w:rFonts w:ascii="Traditional Arabic" w:hAnsi="Traditional Arabic" w:cs="Traditional Arabic"/>
          <w:sz w:val="30"/>
          <w:szCs w:val="30"/>
          <w:rtl/>
          <w:lang w:eastAsia="zh-TW"/>
        </w:rPr>
        <w:t xml:space="preserve"> من الزئبق للزئبق اللاعضوي، ما عدا كبريتيد الزئبق، و0</w:t>
      </w:r>
      <w:r w:rsidR="00306EED">
        <w:rPr>
          <w:rFonts w:ascii="Traditional Arabic" w:hAnsi="Traditional Arabic" w:cs="Traditional Arabic" w:hint="cs"/>
          <w:sz w:val="30"/>
          <w:szCs w:val="30"/>
          <w:rtl/>
          <w:lang w:eastAsia="zh-TW"/>
        </w:rPr>
        <w:t>.</w:t>
      </w:r>
      <w:r w:rsidRPr="005D1C9A">
        <w:rPr>
          <w:rFonts w:ascii="Traditional Arabic" w:hAnsi="Traditional Arabic" w:cs="Traditional Arabic"/>
          <w:sz w:val="30"/>
          <w:szCs w:val="30"/>
          <w:rtl/>
          <w:lang w:eastAsia="zh-TW"/>
        </w:rPr>
        <w:t>01 ملغم/م</w:t>
      </w:r>
      <w:r w:rsidRPr="00D35954">
        <w:rPr>
          <w:rFonts w:ascii="Traditional Arabic" w:hAnsi="Traditional Arabic" w:cs="Traditional Arabic"/>
          <w:sz w:val="30"/>
          <w:szCs w:val="30"/>
          <w:vertAlign w:val="superscript"/>
          <w:rtl/>
          <w:lang w:eastAsia="zh-TW"/>
        </w:rPr>
        <w:t>3</w:t>
      </w:r>
      <w:r w:rsidRPr="005D1C9A">
        <w:rPr>
          <w:rFonts w:ascii="Traditional Arabic" w:hAnsi="Traditional Arabic" w:cs="Traditional Arabic"/>
          <w:sz w:val="30"/>
          <w:szCs w:val="30"/>
          <w:rtl/>
          <w:lang w:eastAsia="zh-TW"/>
        </w:rPr>
        <w:t xml:space="preserve"> من ال</w:t>
      </w:r>
      <w:r w:rsidRPr="005D1C9A">
        <w:rPr>
          <w:rFonts w:ascii="Traditional Arabic" w:hAnsi="Traditional Arabic" w:cs="Traditional Arabic" w:hint="eastAsia"/>
          <w:sz w:val="30"/>
          <w:szCs w:val="30"/>
          <w:rtl/>
          <w:lang w:eastAsia="zh-TW"/>
        </w:rPr>
        <w:t>زئبق</w:t>
      </w:r>
      <w:r w:rsidRPr="005D1C9A">
        <w:rPr>
          <w:rFonts w:ascii="Traditional Arabic" w:hAnsi="Traditional Arabic" w:cs="Traditional Arabic"/>
          <w:sz w:val="30"/>
          <w:szCs w:val="30"/>
          <w:rtl/>
          <w:lang w:eastAsia="zh-TW"/>
        </w:rPr>
        <w:t xml:space="preserve"> لمركّبات الألكيل الزئبقي، في اليابان). وينبغي الاضطلاع بعمليات إدارة النفايات على نحو يلبي الشروط المطبقة فيما يتعلق بمستويات الزئبق المسموح بها في بيئة ال</w:t>
      </w:r>
      <w:bookmarkStart w:id="18" w:name="_GoBack"/>
      <w:bookmarkEnd w:id="18"/>
      <w:r w:rsidRPr="005D1C9A">
        <w:rPr>
          <w:rFonts w:ascii="Traditional Arabic" w:hAnsi="Traditional Arabic" w:cs="Traditional Arabic"/>
          <w:sz w:val="30"/>
          <w:szCs w:val="30"/>
          <w:rtl/>
          <w:lang w:eastAsia="zh-TW"/>
        </w:rPr>
        <w:t>عمل، وينبغي تصميم وتشغيل المرافق التي تُنفَّذ فيها تلك العمليات بحيث يتسنى التقليل إلى أدنى حد م</w:t>
      </w:r>
      <w:r w:rsidRPr="005D1C9A">
        <w:rPr>
          <w:rFonts w:ascii="Traditional Arabic" w:hAnsi="Traditional Arabic" w:cs="Traditional Arabic" w:hint="eastAsia"/>
          <w:sz w:val="30"/>
          <w:szCs w:val="30"/>
          <w:rtl/>
          <w:lang w:eastAsia="zh-TW"/>
        </w:rPr>
        <w:t>مكن</w:t>
      </w:r>
      <w:r w:rsidRPr="005D1C9A">
        <w:rPr>
          <w:rFonts w:ascii="Traditional Arabic" w:hAnsi="Traditional Arabic" w:cs="Traditional Arabic"/>
          <w:sz w:val="30"/>
          <w:szCs w:val="30"/>
          <w:rtl/>
          <w:lang w:eastAsia="zh-TW"/>
        </w:rPr>
        <w:t xml:space="preserve"> تقنياً من إطلاقات الزئبق في البيئة.</w:t>
      </w:r>
    </w:p>
    <w:p w:rsidR="005D1C9A" w:rsidRPr="00426042" w:rsidRDefault="005D1C9A" w:rsidP="003C0F43">
      <w:pPr>
        <w:pStyle w:val="Heading1"/>
        <w:bidi/>
        <w:spacing w:before="0" w:line="400" w:lineRule="exact"/>
        <w:ind w:left="1134" w:hanging="852"/>
        <w:jc w:val="both"/>
        <w:textDirection w:val="tbRlV"/>
        <w:rPr>
          <w:b/>
          <w:bCs/>
          <w:sz w:val="30"/>
          <w:u w:val="none"/>
          <w:rtl/>
          <w:lang w:eastAsia="zh-TW"/>
        </w:rPr>
      </w:pPr>
      <w:bookmarkStart w:id="19" w:name="_Toc485639177"/>
      <w:r w:rsidRPr="00426042">
        <w:rPr>
          <w:rFonts w:hint="eastAsia"/>
          <w:b/>
          <w:bCs/>
          <w:sz w:val="30"/>
          <w:u w:val="none"/>
          <w:rtl/>
          <w:lang w:eastAsia="zh-TW"/>
        </w:rPr>
        <w:t>دال</w:t>
      </w:r>
      <w:r w:rsidR="00D35954" w:rsidRPr="00426042">
        <w:rPr>
          <w:rFonts w:hint="cs"/>
          <w:b/>
          <w:bCs/>
          <w:sz w:val="30"/>
          <w:u w:val="none"/>
          <w:rtl/>
          <w:lang w:eastAsia="zh-TW"/>
        </w:rPr>
        <w:t xml:space="preserve"> </w:t>
      </w:r>
      <w:r w:rsidRPr="00426042">
        <w:rPr>
          <w:b/>
          <w:bCs/>
          <w:sz w:val="30"/>
          <w:u w:val="none"/>
          <w:rtl/>
          <w:lang w:eastAsia="zh-TW"/>
        </w:rPr>
        <w:t>-</w:t>
      </w:r>
      <w:r w:rsidR="003C0F43">
        <w:rPr>
          <w:rFonts w:hint="cs"/>
          <w:b/>
          <w:bCs/>
          <w:sz w:val="30"/>
          <w:u w:val="none"/>
          <w:rtl/>
          <w:lang w:eastAsia="zh-TW"/>
        </w:rPr>
        <w:tab/>
      </w:r>
      <w:r w:rsidRPr="00426042">
        <w:rPr>
          <w:b/>
          <w:bCs/>
          <w:sz w:val="30"/>
          <w:u w:val="none"/>
          <w:rtl/>
          <w:lang w:eastAsia="zh-TW"/>
        </w:rPr>
        <w:t>معايير تحديد المخزونات</w:t>
      </w:r>
      <w:bookmarkEnd w:id="19"/>
    </w:p>
    <w:p w:rsidR="00D35954" w:rsidRDefault="005D1C9A" w:rsidP="00426042">
      <w:pPr>
        <w:pStyle w:val="Normalnumber"/>
        <w:numPr>
          <w:ilvl w:val="0"/>
          <w:numId w:val="0"/>
        </w:numPr>
        <w:tabs>
          <w:tab w:val="left" w:pos="1841"/>
        </w:tabs>
        <w:autoSpaceDE/>
        <w:autoSpaceDN/>
        <w:bidi/>
        <w:adjustRightInd/>
        <w:spacing w:line="400" w:lineRule="exact"/>
        <w:ind w:left="1134"/>
        <w:jc w:val="both"/>
        <w:textDirection w:val="tbRlV"/>
        <w:rPr>
          <w:rFonts w:ascii="Traditional Arabic" w:hAnsi="Traditional Arabic" w:cs="Traditional Arabic"/>
          <w:sz w:val="30"/>
          <w:szCs w:val="30"/>
          <w:rtl/>
          <w:lang w:eastAsia="zh-TW"/>
        </w:rPr>
      </w:pPr>
      <w:r w:rsidRPr="003C0F43">
        <w:rPr>
          <w:rFonts w:eastAsia="Times New Roman" w:cs="Traditional Arabic"/>
          <w:sz w:val="30"/>
          <w:szCs w:val="30"/>
          <w:rtl/>
          <w:lang w:eastAsia="zh-TW"/>
        </w:rPr>
        <w:t>7</w:t>
      </w:r>
      <w:r w:rsidR="00306EED">
        <w:rPr>
          <w:rFonts w:eastAsia="Times New Roman" w:cs="Traditional Arabic" w:hint="cs"/>
          <w:sz w:val="30"/>
          <w:szCs w:val="30"/>
          <w:rtl/>
          <w:lang w:eastAsia="zh-TW"/>
        </w:rPr>
        <w:t>6</w:t>
      </w:r>
      <w:r w:rsidR="00D35954" w:rsidRPr="003C0F43">
        <w:rPr>
          <w:rFonts w:eastAsia="Times New Roman" w:cs="Traditional Arabic" w:hint="cs"/>
          <w:sz w:val="30"/>
          <w:szCs w:val="30"/>
          <w:rtl/>
          <w:lang w:eastAsia="zh-TW"/>
        </w:rPr>
        <w:t xml:space="preserve"> -</w:t>
      </w:r>
      <w:r w:rsidRPr="003C0F43">
        <w:rPr>
          <w:rFonts w:eastAsia="Times New Roman" w:cs="Traditional Arabic"/>
          <w:sz w:val="30"/>
          <w:szCs w:val="30"/>
          <w:rtl/>
          <w:lang w:eastAsia="zh-TW"/>
        </w:rPr>
        <w:tab/>
        <w:t>اعتمدت لجنة التفاوض الحكومية الدولية بصفة مؤقتة في دورتها السابعة التوجيهات المتعلقة بتحديد</w:t>
      </w:r>
      <w:r w:rsidRPr="003C0F43">
        <w:rPr>
          <w:rFonts w:ascii="Traditional Arabic" w:hAnsi="Traditional Arabic" w:cs="Traditional Arabic"/>
          <w:sz w:val="30"/>
          <w:szCs w:val="30"/>
          <w:rtl/>
          <w:lang w:eastAsia="zh-TW"/>
        </w:rPr>
        <w:t xml:space="preserve"> مخزونات الزئبق ومركبات الزئبق. وسيشار في مشروع المبادئ التوجيهية هذا إلى الصيغة النهائية من هذه</w:t>
      </w:r>
      <w:r w:rsidRPr="005D1C9A">
        <w:rPr>
          <w:rFonts w:ascii="Traditional Arabic" w:hAnsi="Traditional Arabic" w:cs="Traditional Arabic"/>
          <w:sz w:val="30"/>
          <w:szCs w:val="30"/>
          <w:rtl/>
          <w:lang w:eastAsia="zh-TW"/>
        </w:rPr>
        <w:t xml:space="preserve"> التوجيهات بعد قيام مؤتمر الأطراف باعتمادها رسمياً.</w:t>
      </w:r>
    </w:p>
    <w:p w:rsidR="00D35954" w:rsidRDefault="00D35954" w:rsidP="00426042">
      <w:pPr>
        <w:bidi/>
        <w:spacing w:after="120" w:line="400" w:lineRule="exact"/>
        <w:ind w:left="1134"/>
        <w:jc w:val="both"/>
        <w:rPr>
          <w:rFonts w:ascii="Traditional Arabic" w:eastAsiaTheme="minorEastAsia" w:hAnsi="Traditional Arabic"/>
          <w:sz w:val="30"/>
          <w:rtl/>
          <w:lang w:eastAsia="zh-TW"/>
        </w:rPr>
      </w:pPr>
      <w:r>
        <w:rPr>
          <w:rFonts w:ascii="Traditional Arabic" w:hAnsi="Traditional Arabic"/>
          <w:sz w:val="30"/>
          <w:rtl/>
          <w:lang w:eastAsia="zh-TW"/>
        </w:rPr>
        <w:br w:type="page"/>
      </w:r>
    </w:p>
    <w:p w:rsidR="005D1C9A" w:rsidRPr="00426042" w:rsidRDefault="00D35954" w:rsidP="00F16F6E">
      <w:pPr>
        <w:pStyle w:val="Heading1"/>
        <w:bidi/>
        <w:spacing w:before="0" w:after="360" w:line="400" w:lineRule="exact"/>
        <w:ind w:left="284"/>
        <w:jc w:val="both"/>
        <w:textDirection w:val="tbRlV"/>
        <w:rPr>
          <w:b/>
          <w:bCs/>
          <w:sz w:val="32"/>
          <w:szCs w:val="32"/>
          <w:u w:val="none"/>
          <w:rtl/>
          <w:lang w:eastAsia="zh-TW"/>
        </w:rPr>
      </w:pPr>
      <w:bookmarkStart w:id="20" w:name="_Toc485639178"/>
      <w:r w:rsidRPr="00426042">
        <w:rPr>
          <w:rFonts w:hint="cs"/>
          <w:b/>
          <w:bCs/>
          <w:sz w:val="32"/>
          <w:szCs w:val="32"/>
          <w:u w:val="none"/>
          <w:rtl/>
          <w:lang w:eastAsia="zh-TW"/>
        </w:rPr>
        <w:lastRenderedPageBreak/>
        <w:t>المراجع والمصادر الأخرى</w:t>
      </w:r>
      <w:bookmarkEnd w:id="20"/>
    </w:p>
    <w:p w:rsidR="00F16F6E" w:rsidRPr="00F16F6E" w:rsidRDefault="00F16F6E" w:rsidP="00F16F6E">
      <w:pPr>
        <w:pStyle w:val="Normal-pool"/>
        <w:tabs>
          <w:tab w:val="clear" w:pos="1247"/>
          <w:tab w:val="clear" w:pos="1814"/>
          <w:tab w:val="clear" w:pos="2381"/>
          <w:tab w:val="clear" w:pos="2948"/>
          <w:tab w:val="clear" w:pos="3515"/>
        </w:tabs>
        <w:spacing w:after="120"/>
        <w:ind w:left="1134"/>
      </w:pPr>
      <w:r w:rsidRPr="00F16F6E">
        <w:t xml:space="preserve">Canadian Centre for Occupational Health and Safety, undated. </w:t>
      </w:r>
      <w:r w:rsidRPr="00F16F6E">
        <w:rPr>
          <w:i/>
        </w:rPr>
        <w:t>OHS Fact Sheets: Mercury</w:t>
      </w:r>
      <w:r w:rsidRPr="00F16F6E">
        <w:t>. Available from: http://www.ccohs.ca/oshanswers/chemicals/chem_profiles/mercury.html.</w:t>
      </w:r>
    </w:p>
    <w:p w:rsidR="00F16F6E" w:rsidRPr="00842EC3" w:rsidRDefault="009825BE" w:rsidP="00F16F6E">
      <w:pPr>
        <w:pStyle w:val="Normal-pool"/>
        <w:tabs>
          <w:tab w:val="clear" w:pos="1247"/>
          <w:tab w:val="clear" w:pos="1814"/>
          <w:tab w:val="clear" w:pos="2381"/>
          <w:tab w:val="clear" w:pos="2948"/>
          <w:tab w:val="clear" w:pos="3515"/>
        </w:tabs>
        <w:spacing w:after="120"/>
        <w:ind w:left="1134"/>
      </w:pPr>
      <w:hyperlink w:history="1"/>
      <w:r w:rsidR="00F16F6E" w:rsidRPr="00842EC3">
        <w:t xml:space="preserve">European Union (EU) (2011). Council Directive 2011/97/EU of 5 December 2011 amending Directive 1999/31/EC as regards specific criteria for the storage of metallic mercury considered as waste. Available from </w:t>
      </w:r>
      <w:hyperlink r:id="rId10" w:history="1">
        <w:r w:rsidR="00F16F6E" w:rsidRPr="00842EC3">
          <w:rPr>
            <w:rStyle w:val="Hyperlink"/>
            <w:color w:val="auto"/>
            <w:u w:val="none"/>
          </w:rPr>
          <w:t>http://eur-lex.europa.eu/LexUriServ/LexUriServ.do?uri=OJ:L:2011:328:0049:0052:EN:PDF</w:t>
        </w:r>
      </w:hyperlink>
      <w:r w:rsidR="00F16F6E" w:rsidRPr="00842EC3">
        <w:t>.</w:t>
      </w:r>
    </w:p>
    <w:p w:rsidR="00F16F6E" w:rsidRPr="00842EC3" w:rsidRDefault="00F16F6E" w:rsidP="00F16F6E">
      <w:pPr>
        <w:pStyle w:val="Normal-pool"/>
        <w:tabs>
          <w:tab w:val="clear" w:pos="1247"/>
          <w:tab w:val="clear" w:pos="1814"/>
          <w:tab w:val="clear" w:pos="2381"/>
          <w:tab w:val="clear" w:pos="2948"/>
          <w:tab w:val="clear" w:pos="3515"/>
        </w:tabs>
        <w:spacing w:after="120"/>
        <w:ind w:left="1134"/>
      </w:pPr>
      <w:r w:rsidRPr="00842EC3">
        <w:t xml:space="preserve">International Air Transport Association (2016), </w:t>
      </w:r>
      <w:r w:rsidRPr="00842EC3">
        <w:rPr>
          <w:i/>
        </w:rPr>
        <w:t>Dangerous Goods Regulations</w:t>
      </w:r>
      <w:r w:rsidRPr="00842EC3">
        <w:t xml:space="preserve">. </w:t>
      </w:r>
    </w:p>
    <w:p w:rsidR="00F16F6E" w:rsidRPr="00842EC3" w:rsidRDefault="00F16F6E" w:rsidP="00124F6E">
      <w:pPr>
        <w:pStyle w:val="Normal-pool"/>
        <w:tabs>
          <w:tab w:val="clear" w:pos="1247"/>
          <w:tab w:val="clear" w:pos="1814"/>
          <w:tab w:val="clear" w:pos="2381"/>
          <w:tab w:val="clear" w:pos="2948"/>
          <w:tab w:val="clear" w:pos="3515"/>
        </w:tabs>
        <w:spacing w:after="120"/>
        <w:ind w:left="1134"/>
      </w:pPr>
      <w:r w:rsidRPr="00842EC3">
        <w:t>International Civil Aviation Organization.</w:t>
      </w:r>
      <w:r w:rsidRPr="00842EC3" w:rsidDel="00E60C49">
        <w:t xml:space="preserve"> </w:t>
      </w:r>
      <w:r w:rsidRPr="00842EC3">
        <w:rPr>
          <w:i/>
        </w:rPr>
        <w:t>Technical Instructions for the Safe Transport of Dangerous Goods by Air</w:t>
      </w:r>
      <w:r w:rsidRPr="00842EC3">
        <w:t xml:space="preserve">. Latest version available from </w:t>
      </w:r>
      <w:hyperlink r:id="rId11" w:history="1">
        <w:r w:rsidR="00124F6E" w:rsidRPr="00842EC3">
          <w:rPr>
            <w:rStyle w:val="Hyperlink"/>
            <w:color w:val="auto"/>
          </w:rPr>
          <w:t>https://www.icao.int/safety/DangerousGoods/Pages/technical-instructions.aspx</w:t>
        </w:r>
      </w:hyperlink>
      <w:r w:rsidRPr="00842EC3">
        <w:t>.</w:t>
      </w:r>
    </w:p>
    <w:p w:rsidR="00F16F6E" w:rsidRPr="00842EC3" w:rsidRDefault="00F16F6E" w:rsidP="00F16F6E">
      <w:pPr>
        <w:pStyle w:val="Normal-pool"/>
        <w:tabs>
          <w:tab w:val="clear" w:pos="1247"/>
          <w:tab w:val="clear" w:pos="1814"/>
          <w:tab w:val="clear" w:pos="2381"/>
          <w:tab w:val="clear" w:pos="2948"/>
          <w:tab w:val="clear" w:pos="3515"/>
        </w:tabs>
        <w:spacing w:after="120"/>
        <w:ind w:left="1134"/>
      </w:pPr>
      <w:r w:rsidRPr="00842EC3">
        <w:t xml:space="preserve">International Labour Organization (2001). </w:t>
      </w:r>
      <w:r w:rsidRPr="00842EC3">
        <w:rPr>
          <w:i/>
        </w:rPr>
        <w:t>Mercuric Oxide</w:t>
      </w:r>
      <w:r w:rsidRPr="00842EC3">
        <w:t>, International Occupational Safety and Health Information Centre.</w:t>
      </w:r>
    </w:p>
    <w:p w:rsidR="00F16F6E" w:rsidRPr="00842EC3" w:rsidRDefault="00F16F6E" w:rsidP="00124F6E">
      <w:pPr>
        <w:pStyle w:val="Normal-pool"/>
        <w:tabs>
          <w:tab w:val="clear" w:pos="1247"/>
          <w:tab w:val="clear" w:pos="1814"/>
          <w:tab w:val="clear" w:pos="2381"/>
          <w:tab w:val="clear" w:pos="2948"/>
          <w:tab w:val="clear" w:pos="3515"/>
        </w:tabs>
        <w:spacing w:after="120"/>
        <w:ind w:left="1134"/>
      </w:pPr>
      <w:r w:rsidRPr="00842EC3">
        <w:t xml:space="preserve">International Maritime Organization. </w:t>
      </w:r>
      <w:r w:rsidRPr="00842EC3">
        <w:rPr>
          <w:i/>
        </w:rPr>
        <w:t>International Maritime Dangerous Goods Code</w:t>
      </w:r>
      <w:r w:rsidRPr="00842EC3">
        <w:t xml:space="preserve">. Latest version available from </w:t>
      </w:r>
      <w:hyperlink r:id="rId12" w:history="1">
        <w:r w:rsidR="00124F6E" w:rsidRPr="00842EC3">
          <w:rPr>
            <w:rStyle w:val="Hyperlink"/>
            <w:color w:val="auto"/>
          </w:rPr>
          <w:t>http://www.imo.org/en/Publications/IMDGCode/Pages/Default.aspx</w:t>
        </w:r>
      </w:hyperlink>
      <w:r w:rsidRPr="00842EC3">
        <w:t>.</w:t>
      </w:r>
    </w:p>
    <w:p w:rsidR="00F16F6E" w:rsidRPr="00842EC3" w:rsidRDefault="00F16F6E" w:rsidP="00F16F6E">
      <w:pPr>
        <w:pStyle w:val="Normal-pool"/>
        <w:tabs>
          <w:tab w:val="clear" w:pos="1247"/>
          <w:tab w:val="clear" w:pos="1814"/>
          <w:tab w:val="clear" w:pos="2381"/>
          <w:tab w:val="clear" w:pos="2948"/>
          <w:tab w:val="clear" w:pos="3515"/>
        </w:tabs>
        <w:spacing w:after="120"/>
        <w:ind w:left="1134"/>
      </w:pPr>
      <w:r w:rsidRPr="00842EC3">
        <w:t xml:space="preserve">Organization for Economic Cooperation and Development (2001). </w:t>
      </w:r>
      <w:r w:rsidRPr="00842EC3">
        <w:rPr>
          <w:i/>
        </w:rPr>
        <w:t>Harmonised Integrated Classification System for Human Health and Environmental Hazards of Chemical Substances and Mixtures</w:t>
      </w:r>
      <w:r w:rsidRPr="00842EC3">
        <w:t>.</w:t>
      </w:r>
    </w:p>
    <w:p w:rsidR="00F16F6E" w:rsidRPr="00842EC3" w:rsidRDefault="00F16F6E" w:rsidP="00F16F6E">
      <w:pPr>
        <w:pStyle w:val="Normal-pool"/>
        <w:tabs>
          <w:tab w:val="clear" w:pos="1247"/>
          <w:tab w:val="clear" w:pos="1814"/>
          <w:tab w:val="clear" w:pos="2381"/>
          <w:tab w:val="clear" w:pos="2948"/>
          <w:tab w:val="clear" w:pos="3515"/>
        </w:tabs>
        <w:spacing w:after="120"/>
        <w:ind w:left="1134"/>
      </w:pPr>
      <w:r w:rsidRPr="00842EC3">
        <w:t xml:space="preserve">Quicksilver Caucus (QSC) (2003). </w:t>
      </w:r>
      <w:r w:rsidRPr="00842EC3">
        <w:rPr>
          <w:i/>
        </w:rPr>
        <w:t>Mercury Stewardship Best Management Practices</w:t>
      </w:r>
      <w:r w:rsidRPr="00842EC3">
        <w:t>, October (available on request).</w:t>
      </w:r>
    </w:p>
    <w:p w:rsidR="00F16F6E" w:rsidRPr="00842EC3" w:rsidRDefault="00F16F6E" w:rsidP="00F16F6E">
      <w:pPr>
        <w:pStyle w:val="Normal-pool"/>
        <w:tabs>
          <w:tab w:val="clear" w:pos="1247"/>
          <w:tab w:val="clear" w:pos="1814"/>
          <w:tab w:val="clear" w:pos="2381"/>
          <w:tab w:val="clear" w:pos="2948"/>
          <w:tab w:val="clear" w:pos="3515"/>
        </w:tabs>
        <w:spacing w:after="120"/>
        <w:ind w:left="1134"/>
      </w:pPr>
      <w:r w:rsidRPr="00842EC3">
        <w:t>United Nations (2015</w:t>
      </w:r>
      <w:r w:rsidR="00124F6E" w:rsidRPr="00842EC3">
        <w:rPr>
          <w:lang w:val="en-US"/>
        </w:rPr>
        <w:t>a</w:t>
      </w:r>
      <w:r w:rsidRPr="00842EC3">
        <w:t xml:space="preserve">). </w:t>
      </w:r>
      <w:r w:rsidRPr="00842EC3">
        <w:rPr>
          <w:i/>
        </w:rPr>
        <w:t>United Nations Recommendations on the Transport of Dangerous Goods: Model Regulations</w:t>
      </w:r>
      <w:r w:rsidRPr="00842EC3">
        <w:t xml:space="preserve"> (19th revised edition).</w:t>
      </w:r>
    </w:p>
    <w:p w:rsidR="00F16F6E" w:rsidRPr="00842EC3" w:rsidRDefault="00F16F6E" w:rsidP="00F16F6E">
      <w:pPr>
        <w:pStyle w:val="Normal-pool"/>
        <w:tabs>
          <w:tab w:val="clear" w:pos="1247"/>
          <w:tab w:val="clear" w:pos="1814"/>
          <w:tab w:val="clear" w:pos="2381"/>
          <w:tab w:val="clear" w:pos="2948"/>
          <w:tab w:val="clear" w:pos="3515"/>
        </w:tabs>
        <w:spacing w:after="120"/>
        <w:ind w:left="1134"/>
      </w:pPr>
      <w:r w:rsidRPr="00842EC3">
        <w:t>United Nations (2015</w:t>
      </w:r>
      <w:r w:rsidR="00124F6E" w:rsidRPr="00842EC3">
        <w:t>a</w:t>
      </w:r>
      <w:r w:rsidRPr="00842EC3">
        <w:t xml:space="preserve">). </w:t>
      </w:r>
      <w:r w:rsidRPr="00842EC3">
        <w:rPr>
          <w:i/>
        </w:rPr>
        <w:t>Globally Harmonized System of Classification and Labelling of Chemicals</w:t>
      </w:r>
      <w:r w:rsidRPr="00842EC3">
        <w:t>, sixth revised edition. Available from https://www.unece.org/fileadmin/DAM/trans/danger/publi/ghs/ghs_rev06/English/ST-SG-AC10-30-Rev6e.pdf.</w:t>
      </w:r>
    </w:p>
    <w:p w:rsidR="00F16F6E" w:rsidRPr="00842EC3" w:rsidRDefault="00F16F6E" w:rsidP="00124F6E">
      <w:pPr>
        <w:pStyle w:val="Normal-pool"/>
        <w:tabs>
          <w:tab w:val="clear" w:pos="1247"/>
          <w:tab w:val="clear" w:pos="1814"/>
          <w:tab w:val="clear" w:pos="2381"/>
          <w:tab w:val="clear" w:pos="2948"/>
          <w:tab w:val="clear" w:pos="3515"/>
        </w:tabs>
        <w:spacing w:after="120"/>
        <w:ind w:left="1134"/>
        <w:rPr>
          <w:lang w:eastAsia="ja-JP"/>
        </w:rPr>
      </w:pPr>
      <w:r w:rsidRPr="00842EC3">
        <w:rPr>
          <w:lang w:eastAsia="ja-JP"/>
        </w:rPr>
        <w:t xml:space="preserve">United </w:t>
      </w:r>
      <w:r w:rsidRPr="00842EC3">
        <w:t>Nations</w:t>
      </w:r>
      <w:r w:rsidRPr="00842EC3">
        <w:rPr>
          <w:lang w:eastAsia="ja-JP"/>
        </w:rPr>
        <w:t xml:space="preserve"> Development Programme (UNDP) (2010). </w:t>
      </w:r>
      <w:r w:rsidRPr="00842EC3">
        <w:rPr>
          <w:i/>
          <w:lang w:eastAsia="ja-JP"/>
        </w:rPr>
        <w:t>Guidance on the Cleanup, Temporary or Intermediate Storage, and Transport of Mercury Waste from Health Care Facilities</w:t>
      </w:r>
      <w:r w:rsidRPr="00842EC3">
        <w:rPr>
          <w:lang w:eastAsia="ja-JP"/>
        </w:rPr>
        <w:t xml:space="preserve">. Available at: </w:t>
      </w:r>
      <w:hyperlink r:id="rId13" w:history="1">
        <w:r w:rsidR="00124F6E" w:rsidRPr="00842EC3">
          <w:rPr>
            <w:rStyle w:val="Hyperlink"/>
            <w:color w:val="auto"/>
          </w:rPr>
          <w:t>https://noharm-global.org/sites/default/files/documents-files/1030/GEF_Guidance_Cleanup_Storage_Transport_Mercury.pdf</w:t>
        </w:r>
      </w:hyperlink>
      <w:r w:rsidRPr="00842EC3">
        <w:rPr>
          <w:lang w:eastAsia="ja-JP"/>
        </w:rPr>
        <w:t>.</w:t>
      </w:r>
    </w:p>
    <w:p w:rsidR="00F16F6E" w:rsidRPr="00842EC3" w:rsidRDefault="00F16F6E" w:rsidP="00124F6E">
      <w:pPr>
        <w:pStyle w:val="Normal-pool"/>
        <w:tabs>
          <w:tab w:val="clear" w:pos="1247"/>
          <w:tab w:val="clear" w:pos="1814"/>
          <w:tab w:val="clear" w:pos="2381"/>
          <w:tab w:val="clear" w:pos="2948"/>
          <w:tab w:val="clear" w:pos="3515"/>
        </w:tabs>
        <w:spacing w:after="120"/>
        <w:ind w:left="1134"/>
      </w:pPr>
      <w:r w:rsidRPr="00842EC3">
        <w:t xml:space="preserve">United Nations Food and Agriculture Organization (FAO) (1985). </w:t>
      </w:r>
      <w:r w:rsidR="00124F6E" w:rsidRPr="00842EC3">
        <w:t>“</w:t>
      </w:r>
      <w:r w:rsidRPr="00842EC3">
        <w:rPr>
          <w:i/>
        </w:rPr>
        <w:t>Guidelines for the Packaging and Storage of Pesticides</w:t>
      </w:r>
      <w:r w:rsidR="00124F6E" w:rsidRPr="00842EC3">
        <w:rPr>
          <w:i/>
        </w:rPr>
        <w:t>”</w:t>
      </w:r>
      <w:r w:rsidRPr="00842EC3">
        <w:t xml:space="preserve">. Available at: </w:t>
      </w:r>
      <w:hyperlink r:id="rId14" w:history="1">
        <w:r w:rsidR="00124F6E" w:rsidRPr="00842EC3">
          <w:rPr>
            <w:rStyle w:val="Hyperlink"/>
            <w:color w:val="auto"/>
          </w:rPr>
          <w:t>http://www.bvsde.paho.org/bvstox/i/fulltext/fao12/fao12.pdf</w:t>
        </w:r>
      </w:hyperlink>
      <w:r w:rsidRPr="00842EC3">
        <w:t>.</w:t>
      </w:r>
    </w:p>
    <w:p w:rsidR="00F16F6E" w:rsidRPr="00842EC3" w:rsidRDefault="00F16F6E" w:rsidP="00124F6E">
      <w:pPr>
        <w:pStyle w:val="Normal-pool"/>
        <w:tabs>
          <w:tab w:val="clear" w:pos="1247"/>
          <w:tab w:val="clear" w:pos="1814"/>
          <w:tab w:val="clear" w:pos="2381"/>
          <w:tab w:val="clear" w:pos="2948"/>
          <w:tab w:val="clear" w:pos="3515"/>
        </w:tabs>
        <w:spacing w:after="120"/>
        <w:ind w:left="1134"/>
        <w:rPr>
          <w:lang w:eastAsia="ja-JP"/>
        </w:rPr>
      </w:pPr>
      <w:r w:rsidRPr="00842EC3">
        <w:rPr>
          <w:lang w:eastAsia="ja-JP"/>
        </w:rPr>
        <w:t xml:space="preserve">United </w:t>
      </w:r>
      <w:r w:rsidRPr="00842EC3">
        <w:t>States</w:t>
      </w:r>
      <w:r w:rsidRPr="00842EC3">
        <w:rPr>
          <w:lang w:eastAsia="ja-JP"/>
        </w:rPr>
        <w:t xml:space="preserve"> Department of Energy (US DOE) (2009). </w:t>
      </w:r>
      <w:r w:rsidRPr="00842EC3">
        <w:rPr>
          <w:i/>
          <w:lang w:eastAsia="ja-JP"/>
        </w:rPr>
        <w:t>US Department of Energy Interim Guidance on Packaging, Transportation, Receipt, Management, and Long-Term Storage of Elemental Mercury</w:t>
      </w:r>
      <w:r w:rsidRPr="00842EC3">
        <w:rPr>
          <w:lang w:eastAsia="ja-JP"/>
        </w:rPr>
        <w:t xml:space="preserve">. Available at: </w:t>
      </w:r>
      <w:hyperlink r:id="rId15" w:history="1">
        <w:r w:rsidR="00124F6E" w:rsidRPr="00842EC3">
          <w:rPr>
            <w:rStyle w:val="Hyperlink"/>
            <w:color w:val="auto"/>
          </w:rPr>
          <w:t>https://energy.gov/sites/prod/files/2014/05/f15/Elementalmercurystorage%20Interim%20Guidance%20%28dated%202009-11-13%29.pdf</w:t>
        </w:r>
      </w:hyperlink>
      <w:r w:rsidRPr="00842EC3">
        <w:rPr>
          <w:lang w:eastAsia="ja-JP"/>
        </w:rPr>
        <w:t>.</w:t>
      </w:r>
    </w:p>
    <w:p w:rsidR="00F16F6E" w:rsidRPr="00842EC3" w:rsidRDefault="00F16F6E" w:rsidP="00F16F6E">
      <w:pPr>
        <w:pStyle w:val="Normal-pool"/>
        <w:tabs>
          <w:tab w:val="clear" w:pos="1247"/>
          <w:tab w:val="clear" w:pos="1814"/>
          <w:tab w:val="clear" w:pos="2381"/>
          <w:tab w:val="clear" w:pos="2948"/>
          <w:tab w:val="clear" w:pos="3515"/>
        </w:tabs>
        <w:spacing w:after="120"/>
        <w:ind w:left="1134"/>
      </w:pPr>
      <w:r w:rsidRPr="00842EC3">
        <w:t xml:space="preserve">United States Department of Transportation, Transport Canada and Secretariat of Communications and Transportation of Mexico, Emergency Response Guidebook. 2016 edition available from </w:t>
      </w:r>
      <w:hyperlink r:id="rId16" w:history="1">
        <w:r w:rsidRPr="00842EC3">
          <w:t>https://www.tc.gc.ca/eng/canutec/guide-menu-227.htm</w:t>
        </w:r>
      </w:hyperlink>
      <w:r w:rsidRPr="00842EC3">
        <w:t>.</w:t>
      </w:r>
    </w:p>
    <w:p w:rsidR="00F16F6E" w:rsidRPr="00842EC3" w:rsidRDefault="00F16F6E" w:rsidP="00F16F6E">
      <w:pPr>
        <w:spacing w:after="120"/>
        <w:ind w:left="1134"/>
        <w:rPr>
          <w:lang w:eastAsia="ja-JP"/>
        </w:rPr>
      </w:pPr>
      <w:r w:rsidRPr="00842EC3">
        <w:tab/>
      </w:r>
    </w:p>
    <w:p w:rsidR="00F16F6E" w:rsidRPr="00842EC3" w:rsidRDefault="00F16F6E">
      <w:pPr>
        <w:pStyle w:val="Normal-pool"/>
        <w:tabs>
          <w:tab w:val="clear" w:pos="1247"/>
          <w:tab w:val="clear" w:pos="1814"/>
          <w:tab w:val="clear" w:pos="2381"/>
          <w:tab w:val="clear" w:pos="2948"/>
          <w:tab w:val="clear" w:pos="3515"/>
        </w:tabs>
        <w:spacing w:after="120"/>
        <w:ind w:left="1134"/>
      </w:pPr>
      <w:r w:rsidRPr="00842EC3">
        <w:t xml:space="preserve">United States Environmental Protection Agency (US EPA) (1997). </w:t>
      </w:r>
      <w:r w:rsidRPr="00842EC3">
        <w:rPr>
          <w:i/>
        </w:rPr>
        <w:t>Sensitive Environments and the Siting of Hazardous Waste Management Facilities</w:t>
      </w:r>
      <w:r w:rsidRPr="00842EC3">
        <w:t xml:space="preserve">. Available at: </w:t>
      </w:r>
    </w:p>
    <w:p w:rsidR="00F16F6E" w:rsidRPr="00842EC3" w:rsidRDefault="00F16F6E" w:rsidP="00F16F6E">
      <w:pPr>
        <w:pStyle w:val="Normal-pool"/>
        <w:tabs>
          <w:tab w:val="clear" w:pos="1247"/>
          <w:tab w:val="clear" w:pos="1814"/>
          <w:tab w:val="clear" w:pos="2381"/>
          <w:tab w:val="clear" w:pos="2948"/>
          <w:tab w:val="clear" w:pos="3515"/>
        </w:tabs>
        <w:spacing w:after="120"/>
        <w:ind w:left="1134"/>
      </w:pPr>
      <w:r w:rsidRPr="00842EC3">
        <w:t xml:space="preserve"> </w:t>
      </w:r>
    </w:p>
    <w:p w:rsidR="00F16F6E" w:rsidRPr="00842EC3" w:rsidRDefault="00F16F6E" w:rsidP="00F16F6E">
      <w:pPr>
        <w:pStyle w:val="Normal-pool"/>
        <w:tabs>
          <w:tab w:val="clear" w:pos="1247"/>
          <w:tab w:val="clear" w:pos="1814"/>
          <w:tab w:val="clear" w:pos="2381"/>
          <w:tab w:val="clear" w:pos="2948"/>
          <w:tab w:val="clear" w:pos="3515"/>
        </w:tabs>
        <w:spacing w:after="120"/>
        <w:ind w:left="1134"/>
      </w:pPr>
      <w:r w:rsidRPr="00842EC3">
        <w:t xml:space="preserve">World Chlorine Council guidance available at: </w:t>
      </w:r>
    </w:p>
    <w:p w:rsidR="00F16F6E" w:rsidRPr="00842EC3" w:rsidRDefault="00124F6E" w:rsidP="00F16F6E">
      <w:pPr>
        <w:pStyle w:val="Normal-pool"/>
        <w:tabs>
          <w:tab w:val="clear" w:pos="1247"/>
          <w:tab w:val="clear" w:pos="1814"/>
          <w:tab w:val="clear" w:pos="2381"/>
          <w:tab w:val="clear" w:pos="2948"/>
          <w:tab w:val="clear" w:pos="3515"/>
        </w:tabs>
        <w:spacing w:after="120"/>
        <w:ind w:left="1134"/>
      </w:pPr>
      <w:r w:rsidRPr="00842EC3">
        <w:t xml:space="preserve">The following three webpages: </w:t>
      </w:r>
      <w:r w:rsidR="00F16F6E" w:rsidRPr="00842EC3">
        <w:t>http://www.worldchlorine.org/publications/unep-chlor-alkali-mercury-partnership/mercury-handling-during-normal-plant-operations/;</w:t>
      </w:r>
    </w:p>
    <w:p w:rsidR="00F16F6E" w:rsidRPr="00842EC3" w:rsidRDefault="00F16F6E" w:rsidP="00F16F6E">
      <w:pPr>
        <w:pStyle w:val="Normal-pool"/>
        <w:tabs>
          <w:tab w:val="clear" w:pos="1247"/>
          <w:tab w:val="clear" w:pos="1814"/>
          <w:tab w:val="clear" w:pos="2381"/>
          <w:tab w:val="clear" w:pos="2948"/>
          <w:tab w:val="clear" w:pos="3515"/>
        </w:tabs>
        <w:spacing w:after="120"/>
        <w:ind w:left="1134"/>
      </w:pPr>
      <w:r w:rsidRPr="00842EC3">
        <w:t>http://www.worldchlorine.org/wp-content/uploads/2015/08/Env-Prot-19-Edition-1.pdf;</w:t>
      </w:r>
    </w:p>
    <w:p w:rsidR="00F16F6E" w:rsidRPr="00842EC3" w:rsidRDefault="009825BE" w:rsidP="00F16F6E">
      <w:pPr>
        <w:pStyle w:val="Normal-pool"/>
        <w:tabs>
          <w:tab w:val="clear" w:pos="1247"/>
          <w:tab w:val="clear" w:pos="1814"/>
          <w:tab w:val="clear" w:pos="2381"/>
          <w:tab w:val="clear" w:pos="2948"/>
          <w:tab w:val="clear" w:pos="3515"/>
        </w:tabs>
        <w:spacing w:after="120"/>
        <w:ind w:left="1134"/>
      </w:pPr>
      <w:hyperlink r:id="rId17" w:history="1">
        <w:r w:rsidR="00F16F6E" w:rsidRPr="00842EC3">
          <w:t>http://www.worldchlorine.org/publications/unep-chlor-alkali-mercury-partnership/reporting-on-mercury-use/</w:t>
        </w:r>
      </w:hyperlink>
      <w:r w:rsidR="00F16F6E" w:rsidRPr="00842EC3">
        <w:t>.</w:t>
      </w:r>
    </w:p>
    <w:p w:rsidR="00F16F6E" w:rsidRPr="00842EC3" w:rsidRDefault="00F16F6E" w:rsidP="00F16F6E">
      <w:pPr>
        <w:pStyle w:val="Normal-pool"/>
        <w:tabs>
          <w:tab w:val="clear" w:pos="1247"/>
          <w:tab w:val="clear" w:pos="1814"/>
          <w:tab w:val="clear" w:pos="2381"/>
          <w:tab w:val="clear" w:pos="2948"/>
          <w:tab w:val="clear" w:pos="3515"/>
        </w:tabs>
        <w:spacing w:after="120"/>
        <w:ind w:left="1134"/>
        <w:rPr>
          <w:lang w:eastAsia="ja-JP"/>
        </w:rPr>
      </w:pPr>
      <w:r w:rsidRPr="00842EC3">
        <w:rPr>
          <w:lang w:eastAsia="ja-JP"/>
        </w:rPr>
        <w:lastRenderedPageBreak/>
        <w:t xml:space="preserve">World Health </w:t>
      </w:r>
      <w:r w:rsidRPr="00842EC3">
        <w:t>Organization</w:t>
      </w:r>
      <w:r w:rsidRPr="00842EC3">
        <w:rPr>
          <w:lang w:eastAsia="ja-JP"/>
        </w:rPr>
        <w:t xml:space="preserve"> (WHO) Regional Office for Europe (2000). </w:t>
      </w:r>
      <w:r w:rsidRPr="00842EC3">
        <w:rPr>
          <w:i/>
          <w:lang w:eastAsia="ja-JP"/>
        </w:rPr>
        <w:t>Air Quality Guidelines</w:t>
      </w:r>
      <w:r w:rsidRPr="00842EC3">
        <w:rPr>
          <w:lang w:eastAsia="ja-JP"/>
        </w:rPr>
        <w:t>.</w:t>
      </w:r>
      <w:r w:rsidRPr="00842EC3">
        <w:rPr>
          <w:i/>
          <w:lang w:eastAsia="ja-JP"/>
        </w:rPr>
        <w:t xml:space="preserve"> 2nd ed</w:t>
      </w:r>
      <w:r w:rsidRPr="00842EC3">
        <w:rPr>
          <w:lang w:eastAsia="ja-JP"/>
        </w:rPr>
        <w:t>. Available at: http://www.euro.who.int/__data/assets/pdf_file/0004/123079/AQG2ndEd_6_9Mercury.PDF.</w:t>
      </w:r>
    </w:p>
    <w:p w:rsidR="00426042" w:rsidRPr="00842EC3" w:rsidRDefault="00F16F6E">
      <w:pPr>
        <w:pStyle w:val="Normalnumber"/>
        <w:numPr>
          <w:ilvl w:val="0"/>
          <w:numId w:val="0"/>
        </w:numPr>
        <w:autoSpaceDE/>
        <w:autoSpaceDN/>
        <w:adjustRightInd/>
        <w:ind w:left="1134"/>
        <w:textDirection w:val="tbRlV"/>
        <w:rPr>
          <w:rFonts w:asciiTheme="majorBidi" w:hAnsiTheme="majorBidi" w:cstheme="majorBidi"/>
          <w:b/>
          <w:bCs/>
          <w:szCs w:val="20"/>
          <w:rtl/>
          <w:lang w:eastAsia="zh-TW"/>
        </w:rPr>
      </w:pPr>
      <w:r w:rsidRPr="00842EC3">
        <w:rPr>
          <w:lang w:eastAsia="ja-JP"/>
        </w:rPr>
        <w:t xml:space="preserve">World </w:t>
      </w:r>
      <w:r w:rsidRPr="00842EC3">
        <w:t>Health</w:t>
      </w:r>
      <w:r w:rsidRPr="00842EC3">
        <w:rPr>
          <w:lang w:eastAsia="ja-JP"/>
        </w:rPr>
        <w:t xml:space="preserve"> Organization (2006). </w:t>
      </w:r>
      <w:r w:rsidRPr="00842EC3">
        <w:rPr>
          <w:i/>
          <w:lang w:eastAsia="ja-JP"/>
        </w:rPr>
        <w:t>Guidelines for Drinking-</w:t>
      </w:r>
      <w:r w:rsidR="00124F6E" w:rsidRPr="00842EC3">
        <w:rPr>
          <w:i/>
          <w:lang w:eastAsia="ja-JP"/>
        </w:rPr>
        <w:t xml:space="preserve">water </w:t>
      </w:r>
      <w:r w:rsidRPr="00842EC3">
        <w:rPr>
          <w:i/>
          <w:lang w:eastAsia="ja-JP"/>
        </w:rPr>
        <w:t>Quality. 3rd edition, incorporating first and second addenda</w:t>
      </w:r>
      <w:r w:rsidRPr="00842EC3">
        <w:rPr>
          <w:lang w:eastAsia="ja-JP"/>
        </w:rPr>
        <w:t>. Available from: http://www.who.int/water_sanitation_health/</w:t>
      </w:r>
      <w:r w:rsidR="00124F6E" w:rsidRPr="00842EC3" w:rsidDel="00124F6E">
        <w:rPr>
          <w:lang w:eastAsia="ja-JP"/>
        </w:rPr>
        <w:t xml:space="preserve"> </w:t>
      </w:r>
      <w:r w:rsidR="00124F6E" w:rsidRPr="00842EC3">
        <w:rPr>
          <w:lang w:eastAsia="ja-JP"/>
        </w:rPr>
        <w:t>ar</w:t>
      </w:r>
      <w:r w:rsidRPr="00842EC3">
        <w:rPr>
          <w:lang w:eastAsia="ja-JP"/>
        </w:rPr>
        <w:t>/.</w:t>
      </w:r>
    </w:p>
    <w:p w:rsidR="00451ABD" w:rsidRPr="00842EC3" w:rsidRDefault="001A0DA3" w:rsidP="00E0210A">
      <w:pPr>
        <w:spacing w:after="120" w:line="400" w:lineRule="exact"/>
        <w:ind w:left="1134"/>
        <w:jc w:val="center"/>
        <w:rPr>
          <w:sz w:val="30"/>
          <w:rtl/>
        </w:rPr>
      </w:pPr>
      <w:r w:rsidRPr="00842EC3">
        <w:rPr>
          <w:rFonts w:hint="cs"/>
          <w:rtl/>
        </w:rPr>
        <w:t>___________</w:t>
      </w:r>
    </w:p>
    <w:sectPr w:rsidR="00451ABD" w:rsidRPr="00842EC3" w:rsidSect="00ED0538">
      <w:headerReference w:type="even" r:id="rId18"/>
      <w:headerReference w:type="default" r:id="rId19"/>
      <w:footerReference w:type="even" r:id="rId20"/>
      <w:footerReference w:type="default" r:id="rId21"/>
      <w:footerReference w:type="first" r:id="rId22"/>
      <w:endnotePr>
        <w:numFmt w:val="lowerLetter"/>
      </w:endnotePr>
      <w:type w:val="continuous"/>
      <w:pgSz w:w="11906" w:h="16838" w:code="9"/>
      <w:pgMar w:top="907" w:right="1418" w:bottom="1350"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CD9" w:rsidRDefault="008A0CD9">
      <w:r>
        <w:separator/>
      </w:r>
    </w:p>
  </w:endnote>
  <w:endnote w:type="continuationSeparator" w:id="0">
    <w:p w:rsidR="008A0CD9" w:rsidRDefault="008A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D9" w:rsidRDefault="008A0CD9" w:rsidP="003E104B">
    <w:pPr>
      <w:pStyle w:val="Footer"/>
      <w:tabs>
        <w:tab w:val="clear" w:pos="4153"/>
        <w:tab w:val="clear" w:pos="8306"/>
      </w:tabs>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9825BE">
      <w:rPr>
        <w:rStyle w:val="PageNumber"/>
        <w:rFonts w:ascii="Times New Roman" w:hAnsi="Times New Roman" w:cs="Times New Roman"/>
      </w:rPr>
      <w:t>20</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D9" w:rsidRDefault="008A0CD9" w:rsidP="003E104B">
    <w:pPr>
      <w:pStyle w:val="Footer"/>
      <w:tabs>
        <w:tab w:val="clear" w:pos="4153"/>
        <w:tab w:val="clear" w:pos="8306"/>
      </w:tabs>
      <w:spacing w:before="40"/>
      <w:jc w:val="both"/>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9825BE">
      <w:rPr>
        <w:rStyle w:val="PageNumber"/>
        <w:rFonts w:ascii="Times New Roman" w:hAnsi="Times New Roman" w:cs="Times New Roman"/>
      </w:rPr>
      <w:t>21</w:t>
    </w:r>
    <w:r w:rsidRPr="007B173A">
      <w:rPr>
        <w:rStyle w:val="PageNumbe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D9" w:rsidRPr="00D80FA4" w:rsidRDefault="008A0CD9" w:rsidP="008A0CD9">
    <w:pPr>
      <w:pStyle w:val="Footer"/>
      <w:tabs>
        <w:tab w:val="clear" w:pos="4153"/>
        <w:tab w:val="clear" w:pos="8306"/>
      </w:tabs>
      <w:bidi/>
      <w:jc w:val="left"/>
      <w:rPr>
        <w:rFonts w:asciiTheme="majorBidi" w:hAnsiTheme="majorBidi" w:cstheme="majorBidi"/>
        <w:szCs w:val="20"/>
      </w:rPr>
    </w:pPr>
    <w:r w:rsidRPr="00D80FA4">
      <w:rPr>
        <w:rStyle w:val="PageNumber"/>
        <w:rFonts w:asciiTheme="majorBidi" w:hAnsiTheme="majorBidi" w:cstheme="majorBidi"/>
        <w:szCs w:val="20"/>
      </w:rPr>
      <w:t>K170</w:t>
    </w:r>
    <w:r>
      <w:rPr>
        <w:rStyle w:val="PageNumber"/>
        <w:rFonts w:asciiTheme="majorBidi" w:hAnsiTheme="majorBidi" w:cstheme="majorBidi"/>
        <w:szCs w:val="20"/>
      </w:rPr>
      <w:t>3805</w:t>
    </w:r>
    <w:r>
      <w:rPr>
        <w:rStyle w:val="PageNumber"/>
        <w:rFonts w:asciiTheme="majorBidi" w:hAnsiTheme="majorBidi" w:cstheme="majorBidi" w:hint="cs"/>
        <w:szCs w:val="20"/>
        <w:rtl/>
      </w:rPr>
      <w:tab/>
    </w:r>
    <w:r>
      <w:rPr>
        <w:rStyle w:val="PageNumber"/>
        <w:rFonts w:asciiTheme="majorBidi" w:hAnsiTheme="majorBidi" w:cstheme="majorBidi"/>
        <w:szCs w:val="20"/>
      </w:rPr>
      <w:t>1107</w:t>
    </w:r>
    <w:r w:rsidRPr="00D80FA4">
      <w:rPr>
        <w:rStyle w:val="PageNumber"/>
        <w:rFonts w:asciiTheme="majorBidi" w:hAnsiTheme="majorBidi" w:cstheme="majorBidi"/>
        <w:szCs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CD9" w:rsidRDefault="008A0CD9" w:rsidP="008A79DC">
      <w:pPr>
        <w:bidi/>
        <w:ind w:left="720"/>
      </w:pPr>
      <w:r>
        <w:separator/>
      </w:r>
    </w:p>
  </w:footnote>
  <w:footnote w:type="continuationSeparator" w:id="0">
    <w:p w:rsidR="008A0CD9" w:rsidRDefault="008A0CD9">
      <w:r>
        <w:continuationSeparator/>
      </w:r>
    </w:p>
  </w:footnote>
  <w:footnote w:id="1">
    <w:p w:rsidR="008A0CD9" w:rsidRPr="007243C3" w:rsidRDefault="008A0CD9" w:rsidP="008A0CD9">
      <w:pPr>
        <w:pStyle w:val="FootnoteText"/>
        <w:bidi/>
        <w:spacing w:line="300" w:lineRule="exact"/>
        <w:ind w:left="1134"/>
        <w:jc w:val="left"/>
        <w:rPr>
          <w:rFonts w:ascii="Times New Roman" w:hAnsi="Times New Roman" w:cs="Times New Roman"/>
        </w:rPr>
      </w:pPr>
      <w:r w:rsidRPr="002A6981">
        <w:rPr>
          <w:rStyle w:val="FootnoteReference"/>
          <w:rFonts w:ascii="Times New Roman" w:hAnsi="Times New Roman" w:cs="Times New Roman"/>
          <w:sz w:val="18"/>
          <w:szCs w:val="18"/>
          <w:vertAlign w:val="baseline"/>
          <w:rtl/>
        </w:rPr>
        <w:t>*</w:t>
      </w:r>
      <w:r w:rsidRPr="007243C3">
        <w:rPr>
          <w:rFonts w:ascii="Times New Roman" w:hAnsi="Times New Roman" w:cs="Times New Roman"/>
          <w:rtl/>
        </w:rPr>
        <w:t xml:space="preserve">  </w:t>
      </w:r>
      <w:r w:rsidRPr="00B75CA1">
        <w:rPr>
          <w:rFonts w:ascii="Times New Roman" w:hAnsi="Times New Roman" w:cs="Times New Roman"/>
          <w:sz w:val="18"/>
          <w:szCs w:val="18"/>
        </w:rPr>
        <w:t>UNEP</w:t>
      </w:r>
      <w:r>
        <w:rPr>
          <w:rFonts w:ascii="Times New Roman" w:hAnsi="Times New Roman" w:cs="Times New Roman"/>
          <w:sz w:val="18"/>
          <w:szCs w:val="18"/>
        </w:rPr>
        <w:t>/MC/COP.1</w:t>
      </w:r>
      <w:r w:rsidRPr="00B75CA1">
        <w:rPr>
          <w:rFonts w:ascii="Times New Roman" w:hAnsi="Times New Roman" w:cs="Times New Roman"/>
          <w:sz w:val="18"/>
          <w:szCs w:val="18"/>
        </w:rPr>
        <w:t>/1</w:t>
      </w:r>
      <w:r w:rsidRPr="00043D33">
        <w:rPr>
          <w:rFonts w:ascii="Traditional Arabic" w:hAnsi="Traditional Arabic"/>
          <w:sz w:val="30"/>
          <w:szCs w:val="30"/>
          <w:rtl/>
        </w:rPr>
        <w:t>.</w:t>
      </w:r>
    </w:p>
  </w:footnote>
  <w:footnote w:id="2">
    <w:p w:rsidR="008A0CD9" w:rsidRPr="008A0CD9" w:rsidRDefault="008A0CD9" w:rsidP="008A0CD9">
      <w:pPr>
        <w:pStyle w:val="FootnoteText"/>
        <w:bidi/>
        <w:ind w:left="1134"/>
        <w:jc w:val="left"/>
        <w:rPr>
          <w:rFonts w:asciiTheme="majorBidi" w:hAnsiTheme="majorBidi" w:cstheme="majorBidi"/>
          <w:sz w:val="18"/>
          <w:szCs w:val="18"/>
          <w:rtl/>
        </w:rPr>
      </w:pPr>
      <w:r w:rsidRPr="008A0CD9">
        <w:rPr>
          <w:sz w:val="26"/>
          <w:szCs w:val="26"/>
          <w:rtl/>
        </w:rPr>
        <w:t>(</w:t>
      </w:r>
      <w:r w:rsidRPr="008A0CD9">
        <w:rPr>
          <w:rStyle w:val="FootnoteReference"/>
          <w:sz w:val="26"/>
          <w:szCs w:val="26"/>
          <w:vertAlign w:val="baseline"/>
          <w:rtl/>
        </w:rPr>
        <w:footnoteRef/>
      </w:r>
      <w:r w:rsidRPr="008A0CD9">
        <w:rPr>
          <w:sz w:val="26"/>
          <w:szCs w:val="26"/>
          <w:rtl/>
        </w:rPr>
        <w:t>)</w:t>
      </w:r>
      <w:r w:rsidRPr="008A0CD9">
        <w:rPr>
          <w:rFonts w:hint="cs"/>
          <w:noProof w:val="0"/>
          <w:sz w:val="26"/>
          <w:szCs w:val="26"/>
          <w:rtl/>
        </w:rPr>
        <w:t xml:space="preserve"> </w:t>
      </w:r>
      <w:r w:rsidRPr="008A0CD9">
        <w:rPr>
          <w:rFonts w:hint="cs"/>
          <w:sz w:val="26"/>
          <w:szCs w:val="26"/>
          <w:rtl/>
        </w:rPr>
        <w:t xml:space="preserve"> يمكن الاطلاع عليها على الرابط:</w:t>
      </w:r>
      <w:r>
        <w:rPr>
          <w:rFonts w:hint="cs"/>
          <w:sz w:val="26"/>
          <w:szCs w:val="26"/>
          <w:rtl/>
        </w:rPr>
        <w:t xml:space="preserve"> </w:t>
      </w:r>
      <w:r w:rsidRPr="008A0CD9">
        <w:rPr>
          <w:rFonts w:asciiTheme="majorBidi" w:hAnsiTheme="majorBidi" w:cstheme="majorBidi"/>
          <w:sz w:val="18"/>
          <w:szCs w:val="18"/>
          <w:lang w:val="en-GB"/>
        </w:rPr>
        <w:t>https://wedocs.unep.org/bitstream/handle/20.500.11822/14777/Hg-Toolkit-Guideline-IL1-January2017.pdf?sequence=1&amp;isAllowed=y</w:t>
      </w:r>
    </w:p>
  </w:footnote>
  <w:footnote w:id="3">
    <w:p w:rsidR="008A0CD9" w:rsidRPr="00842EC3" w:rsidRDefault="00842EC3" w:rsidP="009404B2">
      <w:pPr>
        <w:pStyle w:val="FootnoteText"/>
        <w:bidi/>
        <w:ind w:left="1132"/>
        <w:jc w:val="left"/>
        <w:rPr>
          <w:rtl/>
        </w:rPr>
      </w:pPr>
      <w:r w:rsidRPr="00842EC3">
        <w:rPr>
          <w:szCs w:val="26"/>
          <w:rtl/>
        </w:rPr>
        <w:t>(</w:t>
      </w:r>
      <w:r w:rsidRPr="00842EC3">
        <w:rPr>
          <w:rStyle w:val="FootnoteReference"/>
          <w:szCs w:val="26"/>
          <w:vertAlign w:val="baseline"/>
          <w:rtl/>
        </w:rPr>
        <w:footnoteRef/>
      </w:r>
      <w:r w:rsidRPr="00842EC3">
        <w:rPr>
          <w:szCs w:val="26"/>
          <w:rtl/>
        </w:rPr>
        <w:t>)</w:t>
      </w:r>
      <w:r w:rsidRPr="00842EC3">
        <w:rPr>
          <w:rFonts w:hint="cs"/>
          <w:noProof w:val="0"/>
          <w:szCs w:val="26"/>
          <w:rtl/>
        </w:rPr>
        <w:t xml:space="preserve">  </w:t>
      </w:r>
      <w:r w:rsidR="008A0CD9" w:rsidRPr="00842EC3">
        <w:rPr>
          <w:rFonts w:hint="cs"/>
          <w:rtl/>
        </w:rPr>
        <w:t xml:space="preserve">يمكن الاطلاع عليها على الرابط </w:t>
      </w:r>
      <w:r w:rsidR="008A0CD9" w:rsidRPr="00842EC3">
        <w:rPr>
          <w:sz w:val="18"/>
          <w:szCs w:val="18"/>
          <w:lang w:val="en-GB"/>
        </w:rPr>
        <w:t>https://www.ec.gc.ca/mercure-mercury/default.asp?lang=En&amp;n=D2B2AD47-1</w:t>
      </w:r>
      <w:r w:rsidR="008A0CD9" w:rsidRPr="00842EC3">
        <w:rPr>
          <w:rFonts w:hint="cs"/>
          <w:rtl/>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D9" w:rsidRPr="009D4EBB" w:rsidRDefault="008A0CD9" w:rsidP="00FF25FE">
    <w:pPr>
      <w:pBdr>
        <w:bottom w:val="single" w:sz="4" w:space="0" w:color="auto"/>
      </w:pBdr>
      <w:spacing w:before="20" w:after="40"/>
      <w:jc w:val="right"/>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D9" w:rsidRPr="00EC3A5F" w:rsidRDefault="008A0CD9" w:rsidP="00FF25FE">
    <w:pPr>
      <w:pBdr>
        <w:bottom w:val="single" w:sz="4" w:space="0" w:color="auto"/>
      </w:pBdr>
      <w:spacing w:before="20" w:after="40"/>
      <w:jc w:val="both"/>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15:restartNumberingAfterBreak="0">
    <w:nsid w:val="08AA0772"/>
    <w:multiLevelType w:val="hybridMultilevel"/>
    <w:tmpl w:val="06A41752"/>
    <w:lvl w:ilvl="0" w:tplc="8A160952">
      <w:start w:val="1"/>
      <w:numFmt w:val="decimal"/>
      <w:lvlText w:val="%1-"/>
      <w:lvlJc w:val="left"/>
      <w:pPr>
        <w:ind w:left="133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71113A7"/>
    <w:multiLevelType w:val="multilevel"/>
    <w:tmpl w:val="523EA4FE"/>
    <w:lvl w:ilvl="0">
      <w:start w:val="1"/>
      <w:numFmt w:val="decimal"/>
      <w:lvlText w:val="%1 -"/>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0927E40"/>
    <w:multiLevelType w:val="hybridMultilevel"/>
    <w:tmpl w:val="1D7091DA"/>
    <w:lvl w:ilvl="0" w:tplc="36C81850">
      <w:start w:val="21"/>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395D64A6"/>
    <w:multiLevelType w:val="hybridMultilevel"/>
    <w:tmpl w:val="4B54480E"/>
    <w:lvl w:ilvl="0" w:tplc="30CC5704">
      <w:start w:val="1"/>
      <w:numFmt w:val="bullet"/>
      <w:lvlText w:val=""/>
      <w:lvlJc w:val="left"/>
      <w:pPr>
        <w:ind w:left="720" w:hanging="360"/>
      </w:pPr>
      <w:rPr>
        <w:rFonts w:ascii="Symbol" w:hAnsi="Symbol" w:hint="default"/>
        <w:sz w:val="20"/>
        <w:szCs w:val="20"/>
      </w:rPr>
    </w:lvl>
    <w:lvl w:ilvl="1" w:tplc="C04E133C">
      <w:start w:val="1"/>
      <w:numFmt w:val="bullet"/>
      <w:lvlText w:val=""/>
      <w:lvlJc w:val="left"/>
      <w:pPr>
        <w:ind w:left="1440" w:hanging="360"/>
      </w:pPr>
      <w:rPr>
        <w:rFonts w:ascii="Symbol" w:hAnsi="Symbol"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2C831C3"/>
    <w:multiLevelType w:val="hybridMultilevel"/>
    <w:tmpl w:val="8B92FE12"/>
    <w:lvl w:ilvl="0" w:tplc="8F5891F2">
      <w:start w:val="17"/>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0C8561A"/>
    <w:multiLevelType w:val="singleLevel"/>
    <w:tmpl w:val="779E85D6"/>
    <w:lvl w:ilvl="0">
      <w:numFmt w:val="ganada"/>
      <w:lvlText w:val="%1"/>
      <w:lvlJc w:val="left"/>
      <w:pPr>
        <w:tabs>
          <w:tab w:val="num" w:pos="360"/>
        </w:tabs>
        <w:ind w:right="360" w:hanging="360"/>
      </w:pPr>
      <w:rPr>
        <w:rFonts w:hint="default"/>
      </w:rPr>
    </w:lvl>
  </w:abstractNum>
  <w:abstractNum w:abstractNumId="8" w15:restartNumberingAfterBreak="0">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9" w15:restartNumberingAfterBreak="0">
    <w:nsid w:val="54DA0699"/>
    <w:multiLevelType w:val="hybridMultilevel"/>
    <w:tmpl w:val="33CECC38"/>
    <w:lvl w:ilvl="0" w:tplc="6CD47A02">
      <w:start w:val="1"/>
      <w:numFmt w:val="arabicAlpha"/>
      <w:lvlText w:val="(%1)"/>
      <w:lvlJc w:val="left"/>
      <w:pPr>
        <w:ind w:left="2138" w:hanging="720"/>
      </w:pPr>
      <w:rPr>
        <w:rFonts w:hint="default"/>
        <w:color w:val="auto"/>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0" w15:restartNumberingAfterBreak="0">
    <w:nsid w:val="57B346CB"/>
    <w:multiLevelType w:val="hybridMultilevel"/>
    <w:tmpl w:val="69EAD434"/>
    <w:lvl w:ilvl="0" w:tplc="6ED6A31E">
      <w:start w:val="1"/>
      <w:numFmt w:val="bullet"/>
      <w:lvlText w:val=""/>
      <w:lvlJc w:val="left"/>
      <w:pPr>
        <w:ind w:left="2061" w:hanging="360"/>
      </w:pPr>
      <w:rPr>
        <w:rFonts w:ascii="Symbol" w:hAnsi="Symbol" w:hint="default"/>
        <w:sz w:val="20"/>
        <w:szCs w:val="20"/>
      </w:rPr>
    </w:lvl>
    <w:lvl w:ilvl="1" w:tplc="4A9CADDE">
      <w:start w:val="1"/>
      <w:numFmt w:val="bullet"/>
      <w:lvlText w:val="˗"/>
      <w:lvlJc w:val="left"/>
      <w:pPr>
        <w:ind w:left="1494" w:hanging="360"/>
      </w:pPr>
      <w:rPr>
        <w:rFonts w:ascii="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5D717927"/>
    <w:multiLevelType w:val="hybridMultilevel"/>
    <w:tmpl w:val="9E1C1C44"/>
    <w:lvl w:ilvl="0" w:tplc="D5D03EE0">
      <w:start w:val="1"/>
      <w:numFmt w:val="bullet"/>
      <w:lvlText w:val=""/>
      <w:lvlJc w:val="left"/>
      <w:pPr>
        <w:ind w:left="2880" w:hanging="360"/>
      </w:pPr>
      <w:rPr>
        <w:rFonts w:ascii="Symbol" w:eastAsiaTheme="minorHAnsi" w:hAnsi="Symbol" w:cs="Traditional Arabic"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ED2721E"/>
    <w:multiLevelType w:val="hybridMultilevel"/>
    <w:tmpl w:val="4A56294A"/>
    <w:lvl w:ilvl="0" w:tplc="6FD6C01A">
      <w:start w:val="18"/>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4"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15"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15"/>
  </w:num>
  <w:num w:numId="4">
    <w:abstractNumId w:val="14"/>
  </w:num>
  <w:num w:numId="5">
    <w:abstractNumId w:val="7"/>
  </w:num>
  <w:num w:numId="6">
    <w:abstractNumId w:val="9"/>
  </w:num>
  <w:num w:numId="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4"/>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num>
  <w:num w:numId="1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71"/>
  <w:drawingGridVerticalSpacing w:val="233"/>
  <w:displayHorizontalDrawingGridEvery w:val="0"/>
  <w:noPunctuationKerning/>
  <w:characterSpacingControl w:val="doNotCompress"/>
  <w:hdrShapeDefaults>
    <o:shapedefaults v:ext="edit" spidmax="16385"/>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2B"/>
    <w:rsid w:val="00007F7D"/>
    <w:rsid w:val="000242CB"/>
    <w:rsid w:val="00024566"/>
    <w:rsid w:val="00024D2B"/>
    <w:rsid w:val="0003131F"/>
    <w:rsid w:val="00033595"/>
    <w:rsid w:val="00033A5C"/>
    <w:rsid w:val="00037D52"/>
    <w:rsid w:val="0004010A"/>
    <w:rsid w:val="00051665"/>
    <w:rsid w:val="0006021A"/>
    <w:rsid w:val="0006317A"/>
    <w:rsid w:val="000668FE"/>
    <w:rsid w:val="00071F69"/>
    <w:rsid w:val="00072F5D"/>
    <w:rsid w:val="0008088A"/>
    <w:rsid w:val="000844F9"/>
    <w:rsid w:val="000A33B7"/>
    <w:rsid w:val="000B1AA7"/>
    <w:rsid w:val="000B41E8"/>
    <w:rsid w:val="000C042E"/>
    <w:rsid w:val="000C6AF1"/>
    <w:rsid w:val="000C72D5"/>
    <w:rsid w:val="000F083C"/>
    <w:rsid w:val="000F39C0"/>
    <w:rsid w:val="000F712A"/>
    <w:rsid w:val="00102A11"/>
    <w:rsid w:val="001051B1"/>
    <w:rsid w:val="00111DDA"/>
    <w:rsid w:val="001122CD"/>
    <w:rsid w:val="00115715"/>
    <w:rsid w:val="0012040B"/>
    <w:rsid w:val="001223A2"/>
    <w:rsid w:val="00124CC4"/>
    <w:rsid w:val="00124F6E"/>
    <w:rsid w:val="00131860"/>
    <w:rsid w:val="00131CE1"/>
    <w:rsid w:val="00134EB1"/>
    <w:rsid w:val="001367EA"/>
    <w:rsid w:val="001368B8"/>
    <w:rsid w:val="0014278C"/>
    <w:rsid w:val="00143EB4"/>
    <w:rsid w:val="00153644"/>
    <w:rsid w:val="001536B1"/>
    <w:rsid w:val="00154323"/>
    <w:rsid w:val="00154CC2"/>
    <w:rsid w:val="001640DB"/>
    <w:rsid w:val="00165BE3"/>
    <w:rsid w:val="0017427B"/>
    <w:rsid w:val="00174BBC"/>
    <w:rsid w:val="00177C0C"/>
    <w:rsid w:val="001841AD"/>
    <w:rsid w:val="001844E3"/>
    <w:rsid w:val="00186DE2"/>
    <w:rsid w:val="001A0DA3"/>
    <w:rsid w:val="001A0F83"/>
    <w:rsid w:val="001A6258"/>
    <w:rsid w:val="001B03D9"/>
    <w:rsid w:val="001C1DD1"/>
    <w:rsid w:val="001C513F"/>
    <w:rsid w:val="001D3A25"/>
    <w:rsid w:val="001D6BA5"/>
    <w:rsid w:val="001E1443"/>
    <w:rsid w:val="001E4795"/>
    <w:rsid w:val="001E6E8E"/>
    <w:rsid w:val="001F0C9C"/>
    <w:rsid w:val="001F171C"/>
    <w:rsid w:val="001F390D"/>
    <w:rsid w:val="002079F8"/>
    <w:rsid w:val="002300EA"/>
    <w:rsid w:val="0023160B"/>
    <w:rsid w:val="002323CD"/>
    <w:rsid w:val="00252FE5"/>
    <w:rsid w:val="00255F00"/>
    <w:rsid w:val="00260A65"/>
    <w:rsid w:val="00260C3B"/>
    <w:rsid w:val="00261436"/>
    <w:rsid w:val="00261451"/>
    <w:rsid w:val="00267DA8"/>
    <w:rsid w:val="0027071F"/>
    <w:rsid w:val="00291EAE"/>
    <w:rsid w:val="00295F25"/>
    <w:rsid w:val="002962A4"/>
    <w:rsid w:val="002A2BDE"/>
    <w:rsid w:val="002A6981"/>
    <w:rsid w:val="002B14DB"/>
    <w:rsid w:val="002C1EE1"/>
    <w:rsid w:val="002C46F7"/>
    <w:rsid w:val="002C60AD"/>
    <w:rsid w:val="002D07C5"/>
    <w:rsid w:val="002D57DB"/>
    <w:rsid w:val="002E6B46"/>
    <w:rsid w:val="002E7390"/>
    <w:rsid w:val="002F11C2"/>
    <w:rsid w:val="002F74A0"/>
    <w:rsid w:val="00304FAF"/>
    <w:rsid w:val="00306618"/>
    <w:rsid w:val="00306EED"/>
    <w:rsid w:val="00310BFE"/>
    <w:rsid w:val="00317E61"/>
    <w:rsid w:val="00323929"/>
    <w:rsid w:val="0032680C"/>
    <w:rsid w:val="003501E1"/>
    <w:rsid w:val="003511A7"/>
    <w:rsid w:val="00351754"/>
    <w:rsid w:val="00351FDC"/>
    <w:rsid w:val="003553DB"/>
    <w:rsid w:val="0036154E"/>
    <w:rsid w:val="0036250E"/>
    <w:rsid w:val="00377E2D"/>
    <w:rsid w:val="003821A4"/>
    <w:rsid w:val="0038322E"/>
    <w:rsid w:val="00386BD3"/>
    <w:rsid w:val="00387968"/>
    <w:rsid w:val="00387F5D"/>
    <w:rsid w:val="00390CD8"/>
    <w:rsid w:val="003923ED"/>
    <w:rsid w:val="00397363"/>
    <w:rsid w:val="003B1437"/>
    <w:rsid w:val="003B507C"/>
    <w:rsid w:val="003C0F43"/>
    <w:rsid w:val="003C3E04"/>
    <w:rsid w:val="003C42E1"/>
    <w:rsid w:val="003C6409"/>
    <w:rsid w:val="003C6718"/>
    <w:rsid w:val="003D355A"/>
    <w:rsid w:val="003E0E95"/>
    <w:rsid w:val="003E104B"/>
    <w:rsid w:val="003E1210"/>
    <w:rsid w:val="003E4E41"/>
    <w:rsid w:val="003F77FF"/>
    <w:rsid w:val="0040218B"/>
    <w:rsid w:val="00403B93"/>
    <w:rsid w:val="00405211"/>
    <w:rsid w:val="004112CD"/>
    <w:rsid w:val="00415986"/>
    <w:rsid w:val="0042042E"/>
    <w:rsid w:val="00420706"/>
    <w:rsid w:val="00423AEE"/>
    <w:rsid w:val="00426042"/>
    <w:rsid w:val="00451081"/>
    <w:rsid w:val="00451ABD"/>
    <w:rsid w:val="004524AB"/>
    <w:rsid w:val="004547E5"/>
    <w:rsid w:val="004606CA"/>
    <w:rsid w:val="00472C66"/>
    <w:rsid w:val="00485260"/>
    <w:rsid w:val="004916B5"/>
    <w:rsid w:val="0049251D"/>
    <w:rsid w:val="00495361"/>
    <w:rsid w:val="004A1FC4"/>
    <w:rsid w:val="004B0A17"/>
    <w:rsid w:val="004D0F9A"/>
    <w:rsid w:val="004D2B12"/>
    <w:rsid w:val="004D567F"/>
    <w:rsid w:val="004E001B"/>
    <w:rsid w:val="004E1EDE"/>
    <w:rsid w:val="004E4EB2"/>
    <w:rsid w:val="004E5370"/>
    <w:rsid w:val="004E7B30"/>
    <w:rsid w:val="004F26CB"/>
    <w:rsid w:val="005023EE"/>
    <w:rsid w:val="00505660"/>
    <w:rsid w:val="005064C3"/>
    <w:rsid w:val="00522932"/>
    <w:rsid w:val="005234DB"/>
    <w:rsid w:val="00530F46"/>
    <w:rsid w:val="00540949"/>
    <w:rsid w:val="005435B2"/>
    <w:rsid w:val="005521B6"/>
    <w:rsid w:val="00562277"/>
    <w:rsid w:val="005668AB"/>
    <w:rsid w:val="005815CF"/>
    <w:rsid w:val="00590B41"/>
    <w:rsid w:val="00591B8E"/>
    <w:rsid w:val="00594173"/>
    <w:rsid w:val="005945AA"/>
    <w:rsid w:val="00597815"/>
    <w:rsid w:val="005A6A53"/>
    <w:rsid w:val="005B198D"/>
    <w:rsid w:val="005B25B0"/>
    <w:rsid w:val="005B3616"/>
    <w:rsid w:val="005C1DB0"/>
    <w:rsid w:val="005C55FF"/>
    <w:rsid w:val="005D1C9A"/>
    <w:rsid w:val="005D23EF"/>
    <w:rsid w:val="005E06C5"/>
    <w:rsid w:val="005E2737"/>
    <w:rsid w:val="005E35EA"/>
    <w:rsid w:val="005E6B63"/>
    <w:rsid w:val="005F3809"/>
    <w:rsid w:val="005F5925"/>
    <w:rsid w:val="00601018"/>
    <w:rsid w:val="0060188A"/>
    <w:rsid w:val="0060772E"/>
    <w:rsid w:val="00614BE8"/>
    <w:rsid w:val="00615461"/>
    <w:rsid w:val="006160A4"/>
    <w:rsid w:val="006206A7"/>
    <w:rsid w:val="006227F4"/>
    <w:rsid w:val="00632CDF"/>
    <w:rsid w:val="0063365A"/>
    <w:rsid w:val="0063685D"/>
    <w:rsid w:val="00671875"/>
    <w:rsid w:val="00684004"/>
    <w:rsid w:val="00684243"/>
    <w:rsid w:val="00696059"/>
    <w:rsid w:val="006A7E4F"/>
    <w:rsid w:val="006B54B1"/>
    <w:rsid w:val="006C028B"/>
    <w:rsid w:val="006C3E63"/>
    <w:rsid w:val="006C560D"/>
    <w:rsid w:val="006D24F7"/>
    <w:rsid w:val="006D598B"/>
    <w:rsid w:val="006E1D97"/>
    <w:rsid w:val="006E4BE0"/>
    <w:rsid w:val="006F036C"/>
    <w:rsid w:val="006F7F31"/>
    <w:rsid w:val="00706852"/>
    <w:rsid w:val="00712158"/>
    <w:rsid w:val="00720D77"/>
    <w:rsid w:val="00726240"/>
    <w:rsid w:val="007275EE"/>
    <w:rsid w:val="00734EE4"/>
    <w:rsid w:val="00744D3B"/>
    <w:rsid w:val="00751096"/>
    <w:rsid w:val="0075378C"/>
    <w:rsid w:val="00764B71"/>
    <w:rsid w:val="0077392C"/>
    <w:rsid w:val="007775CF"/>
    <w:rsid w:val="00783165"/>
    <w:rsid w:val="007878A7"/>
    <w:rsid w:val="0079317D"/>
    <w:rsid w:val="007A671B"/>
    <w:rsid w:val="007B173A"/>
    <w:rsid w:val="007B5F59"/>
    <w:rsid w:val="007B7061"/>
    <w:rsid w:val="007C62EE"/>
    <w:rsid w:val="007C73F5"/>
    <w:rsid w:val="007D3018"/>
    <w:rsid w:val="007E0C9A"/>
    <w:rsid w:val="007F304D"/>
    <w:rsid w:val="00802B63"/>
    <w:rsid w:val="00805014"/>
    <w:rsid w:val="00810307"/>
    <w:rsid w:val="00811602"/>
    <w:rsid w:val="00822614"/>
    <w:rsid w:val="00823210"/>
    <w:rsid w:val="008321C1"/>
    <w:rsid w:val="008323B3"/>
    <w:rsid w:val="00842EC3"/>
    <w:rsid w:val="008500FB"/>
    <w:rsid w:val="00852F12"/>
    <w:rsid w:val="00873A40"/>
    <w:rsid w:val="00880C90"/>
    <w:rsid w:val="00887CE8"/>
    <w:rsid w:val="0089216B"/>
    <w:rsid w:val="0089620E"/>
    <w:rsid w:val="008A0CD9"/>
    <w:rsid w:val="008A5EBB"/>
    <w:rsid w:val="008A79DC"/>
    <w:rsid w:val="008B6A62"/>
    <w:rsid w:val="008C23F0"/>
    <w:rsid w:val="008C2B35"/>
    <w:rsid w:val="008F4416"/>
    <w:rsid w:val="0090002B"/>
    <w:rsid w:val="009017E0"/>
    <w:rsid w:val="0092522D"/>
    <w:rsid w:val="00926C1F"/>
    <w:rsid w:val="00931CC7"/>
    <w:rsid w:val="00934EBC"/>
    <w:rsid w:val="00934FB6"/>
    <w:rsid w:val="009404B2"/>
    <w:rsid w:val="00952DAB"/>
    <w:rsid w:val="00955980"/>
    <w:rsid w:val="00961AFB"/>
    <w:rsid w:val="0096449B"/>
    <w:rsid w:val="0096633F"/>
    <w:rsid w:val="00980B82"/>
    <w:rsid w:val="009819E2"/>
    <w:rsid w:val="009825BE"/>
    <w:rsid w:val="00983518"/>
    <w:rsid w:val="009852AB"/>
    <w:rsid w:val="0099049A"/>
    <w:rsid w:val="009A052E"/>
    <w:rsid w:val="009A0564"/>
    <w:rsid w:val="009A11E7"/>
    <w:rsid w:val="009A1FDF"/>
    <w:rsid w:val="009A6C71"/>
    <w:rsid w:val="009B2A75"/>
    <w:rsid w:val="009C295C"/>
    <w:rsid w:val="009C40AA"/>
    <w:rsid w:val="009C5B87"/>
    <w:rsid w:val="009D06F9"/>
    <w:rsid w:val="009D28AB"/>
    <w:rsid w:val="009D4EBB"/>
    <w:rsid w:val="009D58E8"/>
    <w:rsid w:val="009E2CE5"/>
    <w:rsid w:val="009E32EB"/>
    <w:rsid w:val="009E4569"/>
    <w:rsid w:val="009E46DF"/>
    <w:rsid w:val="009E6EAB"/>
    <w:rsid w:val="009F7025"/>
    <w:rsid w:val="00A02D05"/>
    <w:rsid w:val="00A108BD"/>
    <w:rsid w:val="00A178E1"/>
    <w:rsid w:val="00A23B72"/>
    <w:rsid w:val="00A25606"/>
    <w:rsid w:val="00A26E11"/>
    <w:rsid w:val="00A34C1A"/>
    <w:rsid w:val="00A579D1"/>
    <w:rsid w:val="00A57F44"/>
    <w:rsid w:val="00A67825"/>
    <w:rsid w:val="00A76B59"/>
    <w:rsid w:val="00A969A0"/>
    <w:rsid w:val="00AA32A0"/>
    <w:rsid w:val="00AB1E5D"/>
    <w:rsid w:val="00AC5F19"/>
    <w:rsid w:val="00AD1489"/>
    <w:rsid w:val="00AE4729"/>
    <w:rsid w:val="00AF0DF6"/>
    <w:rsid w:val="00B0033E"/>
    <w:rsid w:val="00B110B0"/>
    <w:rsid w:val="00B179A4"/>
    <w:rsid w:val="00B336C3"/>
    <w:rsid w:val="00B42C89"/>
    <w:rsid w:val="00B602AD"/>
    <w:rsid w:val="00B65469"/>
    <w:rsid w:val="00B66D5F"/>
    <w:rsid w:val="00B762F2"/>
    <w:rsid w:val="00B77EDA"/>
    <w:rsid w:val="00B83776"/>
    <w:rsid w:val="00B87B65"/>
    <w:rsid w:val="00B87FDB"/>
    <w:rsid w:val="00B913B6"/>
    <w:rsid w:val="00B945ED"/>
    <w:rsid w:val="00B97A52"/>
    <w:rsid w:val="00BA25F3"/>
    <w:rsid w:val="00BA5B08"/>
    <w:rsid w:val="00BA66F1"/>
    <w:rsid w:val="00BA6ED1"/>
    <w:rsid w:val="00BB0629"/>
    <w:rsid w:val="00BB4CA4"/>
    <w:rsid w:val="00BD1906"/>
    <w:rsid w:val="00BD4A65"/>
    <w:rsid w:val="00BE20CA"/>
    <w:rsid w:val="00BF64C6"/>
    <w:rsid w:val="00BF7F42"/>
    <w:rsid w:val="00C0594F"/>
    <w:rsid w:val="00C07BE5"/>
    <w:rsid w:val="00C1200F"/>
    <w:rsid w:val="00C1297E"/>
    <w:rsid w:val="00C2111C"/>
    <w:rsid w:val="00C33F5C"/>
    <w:rsid w:val="00C34FDE"/>
    <w:rsid w:val="00C36378"/>
    <w:rsid w:val="00C37B3A"/>
    <w:rsid w:val="00C43AD0"/>
    <w:rsid w:val="00C47E78"/>
    <w:rsid w:val="00C56205"/>
    <w:rsid w:val="00C712BF"/>
    <w:rsid w:val="00C7529E"/>
    <w:rsid w:val="00C75C0B"/>
    <w:rsid w:val="00C85728"/>
    <w:rsid w:val="00C86BDC"/>
    <w:rsid w:val="00C90A4C"/>
    <w:rsid w:val="00C91665"/>
    <w:rsid w:val="00C94729"/>
    <w:rsid w:val="00CA4F8C"/>
    <w:rsid w:val="00CB79F1"/>
    <w:rsid w:val="00CC0E4E"/>
    <w:rsid w:val="00CC16CF"/>
    <w:rsid w:val="00CD25C4"/>
    <w:rsid w:val="00CD399B"/>
    <w:rsid w:val="00CD4572"/>
    <w:rsid w:val="00CD5653"/>
    <w:rsid w:val="00D0655D"/>
    <w:rsid w:val="00D06E91"/>
    <w:rsid w:val="00D113A9"/>
    <w:rsid w:val="00D12FDA"/>
    <w:rsid w:val="00D15263"/>
    <w:rsid w:val="00D21049"/>
    <w:rsid w:val="00D23C71"/>
    <w:rsid w:val="00D35954"/>
    <w:rsid w:val="00D444E7"/>
    <w:rsid w:val="00D44CE3"/>
    <w:rsid w:val="00D50FFB"/>
    <w:rsid w:val="00D52B4F"/>
    <w:rsid w:val="00D55934"/>
    <w:rsid w:val="00D569AA"/>
    <w:rsid w:val="00D578BF"/>
    <w:rsid w:val="00D66C66"/>
    <w:rsid w:val="00D70490"/>
    <w:rsid w:val="00D71822"/>
    <w:rsid w:val="00D80A57"/>
    <w:rsid w:val="00D80FA4"/>
    <w:rsid w:val="00D90EDD"/>
    <w:rsid w:val="00D9173E"/>
    <w:rsid w:val="00D91942"/>
    <w:rsid w:val="00D958DE"/>
    <w:rsid w:val="00DA14CC"/>
    <w:rsid w:val="00DA1588"/>
    <w:rsid w:val="00DA494E"/>
    <w:rsid w:val="00DB686B"/>
    <w:rsid w:val="00DB6958"/>
    <w:rsid w:val="00DC4E2F"/>
    <w:rsid w:val="00DC590D"/>
    <w:rsid w:val="00DD2F15"/>
    <w:rsid w:val="00DE03BE"/>
    <w:rsid w:val="00DE44A3"/>
    <w:rsid w:val="00DE796A"/>
    <w:rsid w:val="00E015AC"/>
    <w:rsid w:val="00E0210A"/>
    <w:rsid w:val="00E0494C"/>
    <w:rsid w:val="00E1515A"/>
    <w:rsid w:val="00E176E7"/>
    <w:rsid w:val="00E323C0"/>
    <w:rsid w:val="00E35CE1"/>
    <w:rsid w:val="00E369DB"/>
    <w:rsid w:val="00E36EB2"/>
    <w:rsid w:val="00E51BAF"/>
    <w:rsid w:val="00E63CFD"/>
    <w:rsid w:val="00E642AB"/>
    <w:rsid w:val="00E760C7"/>
    <w:rsid w:val="00E90558"/>
    <w:rsid w:val="00E9586C"/>
    <w:rsid w:val="00E96DEF"/>
    <w:rsid w:val="00EA0788"/>
    <w:rsid w:val="00EA0F41"/>
    <w:rsid w:val="00EA14B6"/>
    <w:rsid w:val="00EB63CF"/>
    <w:rsid w:val="00EC35F9"/>
    <w:rsid w:val="00EC3A5F"/>
    <w:rsid w:val="00EC3A88"/>
    <w:rsid w:val="00ED0538"/>
    <w:rsid w:val="00ED77A3"/>
    <w:rsid w:val="00EE026C"/>
    <w:rsid w:val="00EE48F0"/>
    <w:rsid w:val="00EF0793"/>
    <w:rsid w:val="00F12DD6"/>
    <w:rsid w:val="00F1601D"/>
    <w:rsid w:val="00F16F6E"/>
    <w:rsid w:val="00F23263"/>
    <w:rsid w:val="00F240DC"/>
    <w:rsid w:val="00F26CD0"/>
    <w:rsid w:val="00F47390"/>
    <w:rsid w:val="00F50135"/>
    <w:rsid w:val="00F61AB5"/>
    <w:rsid w:val="00F64BB3"/>
    <w:rsid w:val="00F70C3F"/>
    <w:rsid w:val="00F7639B"/>
    <w:rsid w:val="00F93241"/>
    <w:rsid w:val="00FA6088"/>
    <w:rsid w:val="00FB3D7D"/>
    <w:rsid w:val="00FB4ED7"/>
    <w:rsid w:val="00FB59A6"/>
    <w:rsid w:val="00FC5790"/>
    <w:rsid w:val="00FD576F"/>
    <w:rsid w:val="00FD7BCB"/>
    <w:rsid w:val="00FD7F76"/>
    <w:rsid w:val="00FE21C0"/>
    <w:rsid w:val="00FF25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32A2F2"/>
  <w15:docId w15:val="{74B017F9-4BE8-4F61-95E5-B2DA3353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Cs w:val="30"/>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rPr>
  </w:style>
  <w:style w:type="paragraph" w:styleId="Heading8">
    <w:name w:val="heading 8"/>
    <w:basedOn w:val="Normal"/>
    <w:next w:val="Normal"/>
    <w:qFormat/>
    <w:pPr>
      <w:keepNext/>
      <w:jc w:val="center"/>
      <w:outlineLvl w:val="7"/>
    </w:pPr>
    <w:rPr>
      <w:b/>
      <w:bCs/>
      <w:sz w:val="30"/>
    </w:rPr>
  </w:style>
  <w:style w:type="paragraph" w:styleId="Heading9">
    <w:name w:val="heading 9"/>
    <w:basedOn w:val="Normal"/>
    <w:next w:val="Normal"/>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uiPriority w:val="39"/>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1A0DA3"/>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en-GB"/>
    </w:rPr>
  </w:style>
  <w:style w:type="character" w:customStyle="1" w:styleId="CH2Char">
    <w:name w:val="CH2 Char"/>
    <w:link w:val="CH2"/>
    <w:rsid w:val="001A0DA3"/>
    <w:rPr>
      <w:rFonts w:cs="Times New Roman"/>
      <w:b/>
      <w:sz w:val="24"/>
      <w:szCs w:val="24"/>
      <w:lang w:val="en-GB"/>
    </w:rPr>
  </w:style>
  <w:style w:type="paragraph" w:styleId="TOCHeading">
    <w:name w:val="TOC Heading"/>
    <w:basedOn w:val="Heading1"/>
    <w:next w:val="Normal"/>
    <w:uiPriority w:val="39"/>
    <w:unhideWhenUsed/>
    <w:qFormat/>
    <w:rsid w:val="005521B6"/>
    <w:pPr>
      <w:keepLines/>
      <w:spacing w:before="480" w:after="0" w:line="276" w:lineRule="auto"/>
      <w:jc w:val="left"/>
      <w:outlineLvl w:val="9"/>
    </w:pPr>
    <w:rPr>
      <w:rFonts w:asciiTheme="majorHAnsi" w:eastAsiaTheme="majorEastAsia" w:hAnsiTheme="majorHAnsi" w:cstheme="majorBidi"/>
      <w:b/>
      <w:bCs/>
      <w:color w:val="365F91" w:themeColor="accent1" w:themeShade="BF"/>
      <w:sz w:val="28"/>
      <w:szCs w:val="28"/>
      <w:u w:val="none"/>
      <w:lang w:eastAsia="ja-JP"/>
    </w:rPr>
  </w:style>
  <w:style w:type="paragraph" w:styleId="TOC1">
    <w:name w:val="toc 1"/>
    <w:basedOn w:val="Normal"/>
    <w:next w:val="Normal"/>
    <w:autoRedefine/>
    <w:uiPriority w:val="39"/>
    <w:rsid w:val="005521B6"/>
    <w:pPr>
      <w:tabs>
        <w:tab w:val="left" w:pos="1841"/>
        <w:tab w:val="right" w:leader="dot" w:pos="9486"/>
      </w:tabs>
      <w:bidi/>
      <w:spacing w:after="100"/>
      <w:ind w:left="1132"/>
      <w:jc w:val="both"/>
    </w:pPr>
  </w:style>
  <w:style w:type="paragraph" w:styleId="TOC2">
    <w:name w:val="toc 2"/>
    <w:basedOn w:val="Normal"/>
    <w:next w:val="Normal"/>
    <w:autoRedefine/>
    <w:uiPriority w:val="39"/>
    <w:rsid w:val="005521B6"/>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oharm-global.org/sites/default/files/documents-files/1030/GEF_Guidance_Cleanup_Storage_Transport_Mercury.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mo.org/en/Publications/IMDGCode/Pages/Default.aspx" TargetMode="External"/><Relationship Id="rId17" Type="http://schemas.openxmlformats.org/officeDocument/2006/relationships/hyperlink" Target="http://www.worldchlorine.org/publications/unep-chlor-alkali-mercury-partnership/reporting-on-mercury-use/" TargetMode="External"/><Relationship Id="rId2" Type="http://schemas.openxmlformats.org/officeDocument/2006/relationships/numbering" Target="numbering.xml"/><Relationship Id="rId16" Type="http://schemas.openxmlformats.org/officeDocument/2006/relationships/hyperlink" Target="https://www.tc.gc.ca/eng/canutec/guide-menu-227.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o.int/safety/DangerousGoods/Pages/technical-instructions.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ergy.gov/sites/prod/files/2014/05/f15/Elementalmercurystorage%20Interim%20Guidance%20%28dated%202009-11-13%29.pdf" TargetMode="External"/><Relationship Id="rId23" Type="http://schemas.openxmlformats.org/officeDocument/2006/relationships/fontTable" Target="fontTable.xml"/><Relationship Id="rId10" Type="http://schemas.openxmlformats.org/officeDocument/2006/relationships/hyperlink" Target="http://eur-lex.europa.eu/LexUriServ/LexUriServ.do?uri=OJ:L:2011:328:0049:0052:EN: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vsde.paho.org/bvstox/i/fulltext/fao12/fao12.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F0B0E-B685-4FD3-9918-78738511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8155</Words>
  <Characters>46485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54531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Mahmoud Hassan</cp:lastModifiedBy>
  <cp:revision>3</cp:revision>
  <cp:lastPrinted>2017-07-18T11:25:00Z</cp:lastPrinted>
  <dcterms:created xsi:type="dcterms:W3CDTF">2017-07-18T11:22:00Z</dcterms:created>
  <dcterms:modified xsi:type="dcterms:W3CDTF">2017-07-18T11:26:00Z</dcterms:modified>
</cp:coreProperties>
</file>