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A10C66">
              <w:rPr>
                <w:rFonts w:cs="Times New Roman"/>
                <w:szCs w:val="20"/>
              </w:rPr>
              <w:t>18/Rev.1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A10C66" w:rsidP="00934FB6">
            <w:pPr>
              <w:jc w:val="both"/>
              <w:rPr>
                <w:rFonts w:cs="Times New Roman"/>
                <w:szCs w:val="20"/>
              </w:rPr>
            </w:pPr>
            <w:r>
              <w:rPr>
                <w:rFonts w:cs="Times New Roman"/>
                <w:szCs w:val="20"/>
              </w:rPr>
              <w:t>5 September</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A10C66" w:rsidP="007D019B">
            <w:pPr>
              <w:spacing w:line="20" w:lineRule="exact"/>
            </w:pPr>
            <w:r>
              <w:rPr>
                <w:noProof/>
              </w:rPr>
              <w:drawing>
                <wp:anchor distT="0" distB="0" distL="114300" distR="114300" simplePos="0" relativeHeight="251656192" behindDoc="1" locked="0" layoutInCell="1" allowOverlap="1" wp14:anchorId="6A854403" wp14:editId="158F1B3B">
                  <wp:simplePos x="0" y="0"/>
                  <wp:positionH relativeFrom="column">
                    <wp:posOffset>89535</wp:posOffset>
                  </wp:positionH>
                  <wp:positionV relativeFrom="paragraph">
                    <wp:posOffset>29210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AA7">
              <w:rPr>
                <w:noProof/>
              </w:rPr>
              <w:drawing>
                <wp:anchor distT="0" distB="0" distL="114300" distR="114300" simplePos="0" relativeHeight="251662336"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CE6AD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CE6AD6">
            <w:pPr>
              <w:bidi/>
              <w:spacing w:line="360" w:lineRule="exact"/>
              <w:ind w:left="142" w:right="2019"/>
              <w:jc w:val="both"/>
              <w:rPr>
                <w:rFonts w:hint="cs"/>
                <w:b/>
                <w:bCs/>
                <w:sz w:val="30"/>
                <w:rtl/>
              </w:rPr>
            </w:pPr>
            <w:r>
              <w:rPr>
                <w:rFonts w:hint="cs"/>
                <w:b/>
                <w:bCs/>
                <w:sz w:val="30"/>
                <w:rtl/>
              </w:rPr>
              <w:t>بشأن الزئبق</w:t>
            </w:r>
          </w:p>
          <w:p w:rsidR="00934FB6" w:rsidRPr="00A579D1" w:rsidRDefault="00934FB6" w:rsidP="00CE6AD6">
            <w:pPr>
              <w:bidi/>
              <w:spacing w:line="360" w:lineRule="exact"/>
              <w:ind w:left="142" w:right="748"/>
              <w:jc w:val="both"/>
              <w:rPr>
                <w:b/>
                <w:bCs/>
                <w:sz w:val="30"/>
                <w:rtl/>
              </w:rPr>
            </w:pPr>
            <w:r>
              <w:rPr>
                <w:rFonts w:hint="cs"/>
                <w:b/>
                <w:bCs/>
                <w:sz w:val="30"/>
                <w:rtl/>
              </w:rPr>
              <w:t>الا</w:t>
            </w:r>
            <w:bookmarkStart w:id="0" w:name="_GoBack"/>
            <w:bookmarkEnd w:id="0"/>
            <w:r>
              <w:rPr>
                <w:rFonts w:hint="cs"/>
                <w:b/>
                <w:bCs/>
                <w:sz w:val="30"/>
                <w:rtl/>
              </w:rPr>
              <w:t>جتماع الأول</w:t>
            </w:r>
          </w:p>
          <w:p w:rsidR="00934FB6" w:rsidRDefault="00934FB6" w:rsidP="00CE6AD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CE6AD6">
            <w:pPr>
              <w:bidi/>
              <w:spacing w:after="40" w:line="360" w:lineRule="exact"/>
              <w:ind w:left="142"/>
              <w:jc w:val="both"/>
              <w:rPr>
                <w:b/>
                <w:bCs/>
                <w:sz w:val="28"/>
                <w:szCs w:val="28"/>
                <w:rtl/>
              </w:rPr>
            </w:pPr>
            <w:r>
              <w:rPr>
                <w:rFonts w:ascii="Traditional Arabic" w:hAnsi="Traditional Arabic" w:hint="cs"/>
                <w:sz w:val="30"/>
                <w:rtl/>
              </w:rPr>
              <w:t xml:space="preserve">البند </w:t>
            </w:r>
            <w:r w:rsidR="00A10C66">
              <w:rPr>
                <w:rFonts w:ascii="Traditional Arabic" w:hAnsi="Traditional Arabic" w:hint="cs"/>
                <w:sz w:val="30"/>
                <w:rtl/>
              </w:rPr>
              <w:t>5</w:t>
            </w:r>
            <w:r>
              <w:rPr>
                <w:rFonts w:ascii="Traditional Arabic" w:hAnsi="Traditional Arabic" w:hint="cs"/>
                <w:sz w:val="30"/>
                <w:rtl/>
              </w:rPr>
              <w:t xml:space="preserve"> (</w:t>
            </w:r>
            <w:r w:rsidR="00A10C66">
              <w:rPr>
                <w:rFonts w:ascii="Traditional Arabic" w:hAnsi="Traditional Arabic" w:hint="cs"/>
                <w:sz w:val="30"/>
                <w:rtl/>
              </w:rPr>
              <w:t>ج</w:t>
            </w:r>
            <w:r>
              <w:rPr>
                <w:rFonts w:ascii="Traditional Arabic" w:hAnsi="Traditional Arabic" w:hint="cs"/>
                <w:sz w:val="30"/>
                <w:rtl/>
              </w:rPr>
              <w:t xml:space="preserve">) </w:t>
            </w:r>
            <w:r w:rsidR="00A10C66">
              <w:rPr>
                <w:rFonts w:ascii="Traditional Arabic" w:hAnsi="Traditional Arabic" w:hint="cs"/>
                <w:sz w:val="30"/>
                <w:rtl/>
              </w:rPr>
              <w:t>’</w:t>
            </w:r>
            <w:proofErr w:type="gramStart"/>
            <w:r w:rsidR="00A10C66">
              <w:rPr>
                <w:rFonts w:ascii="Traditional Arabic" w:hAnsi="Traditional Arabic" w:hint="cs"/>
                <w:sz w:val="30"/>
                <w:rtl/>
              </w:rPr>
              <w:t xml:space="preserve">3‘ </w:t>
            </w:r>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tc>
      </w:tr>
    </w:tbl>
    <w:p w:rsidR="00D113A9" w:rsidRPr="006B05FA" w:rsidRDefault="00A10C66" w:rsidP="00CE6AD6">
      <w:pPr>
        <w:pStyle w:val="Title"/>
        <w:spacing w:after="240" w:line="360" w:lineRule="exact"/>
        <w:ind w:left="142" w:right="5812"/>
        <w:jc w:val="both"/>
        <w:rPr>
          <w:rFonts w:cs="Traditional Arabic"/>
          <w:b/>
          <w:bCs/>
          <w:sz w:val="28"/>
          <w:u w:val="none"/>
          <w:rtl/>
        </w:rPr>
      </w:pPr>
      <w:r w:rsidRPr="007231F8">
        <w:rPr>
          <w:rFonts w:ascii="Traditional Arabic" w:hAnsi="Traditional Arabic" w:cs="Traditional Arabic"/>
          <w:b/>
          <w:bCs/>
          <w:sz w:val="28"/>
          <w:u w:val="none"/>
          <w:rtl/>
          <w:lang w:eastAsia="zh-TW"/>
        </w:rPr>
        <w:t>مسائل ت</w:t>
      </w:r>
      <w:r w:rsidRPr="007231F8">
        <w:rPr>
          <w:rFonts w:ascii="Traditional Arabic" w:hAnsi="Traditional Arabic" w:cs="Traditional Arabic" w:hint="cs"/>
          <w:b/>
          <w:bCs/>
          <w:sz w:val="28"/>
          <w:u w:val="none"/>
          <w:rtl/>
          <w:lang w:eastAsia="zh-TW"/>
        </w:rPr>
        <w:t>ُ</w:t>
      </w:r>
      <w:r w:rsidRPr="007231F8">
        <w:rPr>
          <w:rFonts w:ascii="Traditional Arabic" w:hAnsi="Traditional Arabic" w:cs="Traditional Arabic"/>
          <w:b/>
          <w:bCs/>
          <w:sz w:val="28"/>
          <w:u w:val="none"/>
          <w:rtl/>
          <w:lang w:eastAsia="zh-TW"/>
        </w:rPr>
        <w:t>عرض على مؤتمر الأطراف لكي يتخذ إجراءً بشأنها في اجتماعه الأول: مسائل توصي بها لجنة التفاوض الحكومية الدولية: الموقع الفعلي للأمانة الدائمة</w:t>
      </w:r>
    </w:p>
    <w:p w:rsidR="00A10C66" w:rsidRPr="002420A3" w:rsidRDefault="00A10C66" w:rsidP="00A10C66">
      <w:pPr>
        <w:pStyle w:val="BBTitle"/>
        <w:tabs>
          <w:tab w:val="clear" w:pos="1247"/>
          <w:tab w:val="clear" w:pos="1814"/>
          <w:tab w:val="clear" w:pos="2381"/>
          <w:tab w:val="left" w:pos="1841"/>
          <w:tab w:val="left" w:pos="2408"/>
        </w:tabs>
        <w:bidi/>
        <w:spacing w:before="0" w:line="400" w:lineRule="exact"/>
        <w:ind w:left="1134" w:right="0"/>
        <w:jc w:val="both"/>
        <w:textDirection w:val="tbRlV"/>
        <w:rPr>
          <w:rFonts w:ascii="Traditional Arabic" w:hAnsi="Traditional Arabic" w:cs="Traditional Arabic"/>
          <w:b w:val="0"/>
          <w:bCs/>
          <w:sz w:val="34"/>
          <w:szCs w:val="34"/>
          <w:rtl/>
          <w:lang w:eastAsia="zh-TW"/>
        </w:rPr>
      </w:pPr>
      <w:r w:rsidRPr="002420A3">
        <w:rPr>
          <w:rFonts w:ascii="Traditional Arabic" w:hAnsi="Traditional Arabic" w:cs="Traditional Arabic"/>
          <w:b w:val="0"/>
          <w:bCs/>
          <w:sz w:val="34"/>
          <w:szCs w:val="34"/>
          <w:rtl/>
          <w:lang w:eastAsia="zh-TW"/>
        </w:rPr>
        <w:t>الموقع الفعلي للأمانة الدائمة لاتفاقية ميناماتا بشأن الزئبق</w:t>
      </w:r>
      <w:r w:rsidRPr="002420A3">
        <w:rPr>
          <w:rFonts w:ascii="Arial" w:hAnsi="Arial" w:cs="Arial" w:hint="cs"/>
          <w:b w:val="0"/>
          <w:bCs/>
          <w:sz w:val="34"/>
          <w:szCs w:val="34"/>
          <w:rtl/>
          <w:lang w:eastAsia="zh-TW"/>
        </w:rPr>
        <w:t>‬</w:t>
      </w:r>
    </w:p>
    <w:p w:rsidR="00A10C66" w:rsidRPr="002420A3" w:rsidRDefault="00A10C66" w:rsidP="00A10C66">
      <w:pPr>
        <w:pStyle w:val="CH2"/>
        <w:tabs>
          <w:tab w:val="clear" w:pos="851"/>
          <w:tab w:val="clear" w:pos="1247"/>
          <w:tab w:val="clear" w:pos="1814"/>
          <w:tab w:val="clear" w:pos="2381"/>
          <w:tab w:val="left" w:pos="1841"/>
          <w:tab w:val="left" w:pos="2408"/>
        </w:tabs>
        <w:bidi/>
        <w:spacing w:before="0" w:line="400" w:lineRule="exact"/>
        <w:ind w:left="1134" w:right="0" w:firstLine="0"/>
        <w:jc w:val="both"/>
        <w:textDirection w:val="tbRlV"/>
        <w:rPr>
          <w:rFonts w:ascii="Traditional Arabic" w:hAnsi="Traditional Arabic" w:cs="Traditional Arabic"/>
          <w:b w:val="0"/>
          <w:bCs/>
          <w:sz w:val="32"/>
          <w:szCs w:val="32"/>
          <w:rtl/>
          <w:lang w:eastAsia="zh-TW"/>
        </w:rPr>
      </w:pPr>
      <w:r w:rsidRPr="002420A3">
        <w:rPr>
          <w:rFonts w:ascii="Traditional Arabic" w:hAnsi="Traditional Arabic" w:cs="Traditional Arabic"/>
          <w:b w:val="0"/>
          <w:bCs/>
          <w:sz w:val="32"/>
          <w:szCs w:val="32"/>
          <w:rtl/>
          <w:lang w:eastAsia="zh-TW"/>
        </w:rPr>
        <w:t>مذكرة من الأمانة</w:t>
      </w:r>
    </w:p>
    <w:p w:rsidR="00A10C66" w:rsidRPr="00B768F9" w:rsidRDefault="00A10C66" w:rsidP="00A10C66">
      <w:pPr>
        <w:pStyle w:val="Normalnumber"/>
        <w:numPr>
          <w:ilvl w:val="0"/>
          <w:numId w:val="18"/>
        </w:numPr>
        <w:tabs>
          <w:tab w:val="clear" w:pos="1134"/>
          <w:tab w:val="left" w:pos="1841"/>
          <w:tab w:val="left" w:pos="2408"/>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B768F9">
        <w:rPr>
          <w:rFonts w:ascii="Traditional Arabic" w:hAnsi="Traditional Arabic" w:cs="Traditional Arabic"/>
          <w:sz w:val="30"/>
          <w:szCs w:val="30"/>
          <w:rtl/>
          <w:lang w:eastAsia="zh-TW"/>
        </w:rPr>
        <w:t xml:space="preserve">طلب مؤتمر المفوضين في اتفاقية ميناماتا بشأن الزئبق، في الفقرة ٩ من قراره بشأن الترتيبات في الفترة الانتقالية </w:t>
      </w:r>
      <w:r>
        <w:rPr>
          <w:rFonts w:asciiTheme="majorBidi" w:hAnsiTheme="majorBidi" w:cstheme="majorBidi"/>
          <w:szCs w:val="20"/>
          <w:lang w:eastAsia="zh-TW"/>
        </w:rPr>
        <w:t>UNEP(DTIE)/Hg/CONF/4)</w:t>
      </w:r>
      <w:r>
        <w:rPr>
          <w:rFonts w:ascii="Traditional Arabic" w:hAnsi="Traditional Arabic" w:cs="Traditional Arabic" w:hint="cs"/>
          <w:sz w:val="30"/>
          <w:szCs w:val="30"/>
          <w:rtl/>
          <w:lang w:eastAsia="zh-TW"/>
        </w:rPr>
        <w:t xml:space="preserve">، المرفق الأول) </w:t>
      </w:r>
      <w:r w:rsidRPr="00B768F9">
        <w:rPr>
          <w:rFonts w:ascii="Traditional Arabic" w:hAnsi="Traditional Arabic" w:cs="Traditional Arabic"/>
          <w:sz w:val="30"/>
          <w:szCs w:val="30"/>
          <w:rtl/>
          <w:lang w:eastAsia="zh-TW"/>
        </w:rPr>
        <w:t xml:space="preserve">إلى المدير التنفيذي [لبرنامج الأمم </w:t>
      </w:r>
      <w:r w:rsidR="0046715A">
        <w:rPr>
          <w:rFonts w:ascii="Traditional Arabic" w:hAnsi="Traditional Arabic" w:cs="Traditional Arabic" w:hint="cs"/>
          <w:sz w:val="30"/>
          <w:szCs w:val="30"/>
          <w:rtl/>
          <w:lang w:eastAsia="zh-TW"/>
        </w:rPr>
        <w:t xml:space="preserve">المتحدة </w:t>
      </w:r>
      <w:r w:rsidRPr="00B768F9">
        <w:rPr>
          <w:rFonts w:ascii="Traditional Arabic" w:hAnsi="Traditional Arabic" w:cs="Traditional Arabic"/>
          <w:sz w:val="30"/>
          <w:szCs w:val="30"/>
          <w:rtl/>
          <w:lang w:eastAsia="zh-TW"/>
        </w:rPr>
        <w:t>للبيئة] ما يلي:</w:t>
      </w:r>
    </w:p>
    <w:p w:rsidR="00A10C66" w:rsidRPr="00B768F9" w:rsidRDefault="00A10C66" w:rsidP="00A10C66">
      <w:pPr>
        <w:pStyle w:val="Normalnumber"/>
        <w:numPr>
          <w:ilvl w:val="0"/>
          <w:numId w:val="0"/>
        </w:numPr>
        <w:tabs>
          <w:tab w:val="left" w:pos="2408"/>
        </w:tabs>
        <w:bidi/>
        <w:spacing w:line="400" w:lineRule="exact"/>
        <w:ind w:left="1841"/>
        <w:jc w:val="both"/>
        <w:textDirection w:val="tbRlV"/>
        <w:rPr>
          <w:rFonts w:ascii="Traditional Arabic" w:hAnsi="Traditional Arabic" w:cs="Traditional Arabic" w:hint="cs"/>
          <w:sz w:val="30"/>
          <w:szCs w:val="30"/>
          <w:rtl/>
          <w:lang w:eastAsia="zh-TW"/>
        </w:rPr>
      </w:pPr>
      <w:r w:rsidRPr="00B768F9">
        <w:rPr>
          <w:rFonts w:ascii="Traditional Arabic" w:hAnsi="Traditional Arabic" w:cs="Traditional Arabic"/>
          <w:sz w:val="30"/>
          <w:szCs w:val="30"/>
          <w:rtl/>
          <w:lang w:eastAsia="zh-TW"/>
        </w:rPr>
        <w:t>’’أن يقدم تقريراً تنظر فيه اللجنة، قبل انعقاد الاجتماع الأول لمؤتمر الأطراف، يتناول مقترحات عن الكيفية التي يقوم أو تقوم بها بأداء وظائف الأمانة الدائمة للاتفاقية، ويشمل ذلك تحليلاً لخيارات تعالج جملة أمور منها الجوانب المتعلقة بالأمانة مثل الفعالية، والتكاليف والفوائد، وأماكن وضع مقر الأمانة، وإدماج الأمانة في أمانة اتفاقية بازل بشأن التحكم في نقل النفايات الخطرة والتخلص منها عبر الحدود، واتفاقية وروتردام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w:t>
      </w:r>
      <w:r w:rsidR="0046715A">
        <w:rPr>
          <w:rFonts w:ascii="Traditional Arabic" w:hAnsi="Traditional Arabic" w:cs="Traditional Arabic" w:hint="cs"/>
          <w:sz w:val="30"/>
          <w:szCs w:val="30"/>
          <w:rtl/>
          <w:lang w:eastAsia="zh-TW"/>
        </w:rPr>
        <w:t xml:space="preserve"> العض</w:t>
      </w:r>
      <w:r w:rsidR="003031EE">
        <w:rPr>
          <w:rFonts w:ascii="Traditional Arabic" w:hAnsi="Traditional Arabic" w:cs="Traditional Arabic" w:hint="cs"/>
          <w:sz w:val="30"/>
          <w:szCs w:val="30"/>
          <w:rtl/>
          <w:lang w:eastAsia="zh-TW"/>
        </w:rPr>
        <w:t>وية الثابتة</w:t>
      </w:r>
      <w:r w:rsidRPr="00B768F9">
        <w:rPr>
          <w:rFonts w:ascii="Traditional Arabic" w:hAnsi="Traditional Arabic" w:cs="Traditional Arabic"/>
          <w:sz w:val="30"/>
          <w:szCs w:val="30"/>
          <w:rtl/>
          <w:lang w:eastAsia="zh-TW"/>
        </w:rPr>
        <w:t>، واستخدام الأمانة المؤقتة‘‘.</w:t>
      </w:r>
    </w:p>
    <w:p w:rsidR="00A10C66" w:rsidRPr="00B768F9" w:rsidRDefault="00A10C66" w:rsidP="00A10C66">
      <w:pPr>
        <w:pStyle w:val="Normalnumber"/>
        <w:numPr>
          <w:ilvl w:val="0"/>
          <w:numId w:val="18"/>
        </w:numPr>
        <w:tabs>
          <w:tab w:val="num" w:pos="624"/>
          <w:tab w:val="left" w:pos="1841"/>
          <w:tab w:val="left" w:pos="2408"/>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B768F9">
        <w:rPr>
          <w:rFonts w:ascii="Traditional Arabic" w:hAnsi="Traditional Arabic" w:cs="Traditional Arabic"/>
          <w:sz w:val="30"/>
          <w:szCs w:val="30"/>
          <w:rtl/>
          <w:lang w:eastAsia="zh-TW"/>
        </w:rPr>
        <w:t>وبناء على طلب مؤتمر المفوضين، قام المدير التنفيذي عن طريق الأمانة المؤقتة وبالتشاور الوثيق مع أمانات اتفاقيات بازل وروتردام واستكهولم، بإعداد تقرير لكي تنظر فيه لجنة التفاوض الحكومية الدولية في دورتها السابعة، يتناول مقترحات حول كيفية اضطلاع المدير التنفيذي بمهام الأمانة الدائمة للاتفاقية.</w:t>
      </w:r>
    </w:p>
    <w:p w:rsidR="00A10C66" w:rsidRPr="00B768F9" w:rsidRDefault="00A10C66" w:rsidP="00A10C66">
      <w:pPr>
        <w:pStyle w:val="Normalnumber"/>
        <w:numPr>
          <w:ilvl w:val="0"/>
          <w:numId w:val="18"/>
        </w:numPr>
        <w:tabs>
          <w:tab w:val="left" w:pos="1841"/>
          <w:tab w:val="left" w:pos="2408"/>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B768F9">
        <w:rPr>
          <w:rFonts w:ascii="Traditional Arabic" w:hAnsi="Traditional Arabic" w:cs="Traditional Arabic"/>
          <w:sz w:val="30"/>
          <w:szCs w:val="30"/>
          <w:rtl/>
          <w:lang w:eastAsia="zh-TW"/>
        </w:rPr>
        <w:t>ويح</w:t>
      </w:r>
      <w:r>
        <w:rPr>
          <w:rFonts w:ascii="Traditional Arabic" w:hAnsi="Traditional Arabic" w:cs="Traditional Arabic" w:hint="cs"/>
          <w:sz w:val="30"/>
          <w:szCs w:val="30"/>
          <w:rtl/>
          <w:lang w:eastAsia="zh-TW"/>
        </w:rPr>
        <w:t>ــ</w:t>
      </w:r>
      <w:r w:rsidRPr="00B768F9">
        <w:rPr>
          <w:rFonts w:ascii="Traditional Arabic" w:hAnsi="Traditional Arabic" w:cs="Traditional Arabic"/>
          <w:sz w:val="30"/>
          <w:szCs w:val="30"/>
          <w:rtl/>
          <w:lang w:eastAsia="zh-TW"/>
        </w:rPr>
        <w:t xml:space="preserve">دد تقرير المدير التنفيذي، بصيغته الأصلية المقدمة إلى لجنة التفاوض الحكومية الدولية في دورتها </w:t>
      </w:r>
      <w:r>
        <w:rPr>
          <w:rFonts w:ascii="Traditional Arabic" w:hAnsi="Traditional Arabic" w:cs="Traditional Arabic" w:hint="cs"/>
          <w:sz w:val="30"/>
          <w:szCs w:val="30"/>
          <w:rtl/>
          <w:lang w:eastAsia="zh-TW"/>
        </w:rPr>
        <w:t xml:space="preserve">السابعة </w:t>
      </w:r>
      <w:r w:rsidRPr="00A10C66">
        <w:rPr>
          <w:rFonts w:asciiTheme="majorBidi" w:hAnsiTheme="majorBidi" w:cstheme="majorBidi"/>
          <w:szCs w:val="20"/>
          <w:lang w:eastAsia="zh-TW"/>
        </w:rPr>
        <w:t>(UNEP(DTIE)/Hg/INC.7/15)</w:t>
      </w:r>
      <w:r>
        <w:rPr>
          <w:rFonts w:ascii="Traditional Arabic" w:hAnsi="Traditional Arabic" w:cs="Traditional Arabic" w:hint="cs"/>
          <w:sz w:val="30"/>
          <w:szCs w:val="30"/>
          <w:rtl/>
          <w:lang w:eastAsia="zh-TW"/>
        </w:rPr>
        <w:t xml:space="preserve"> </w:t>
      </w:r>
      <w:r w:rsidRPr="00B768F9">
        <w:rPr>
          <w:rFonts w:ascii="Traditional Arabic" w:hAnsi="Traditional Arabic" w:cs="Traditional Arabic"/>
          <w:sz w:val="30"/>
          <w:szCs w:val="30"/>
          <w:rtl/>
          <w:lang w:eastAsia="zh-TW"/>
        </w:rPr>
        <w:t>و</w:t>
      </w:r>
      <w:r>
        <w:rPr>
          <w:rFonts w:ascii="Traditional Arabic" w:hAnsi="Traditional Arabic" w:cs="Traditional Arabic" w:hint="cs"/>
          <w:sz w:val="30"/>
          <w:szCs w:val="30"/>
          <w:rtl/>
          <w:lang w:eastAsia="zh-TW"/>
        </w:rPr>
        <w:t>ب</w:t>
      </w:r>
      <w:r w:rsidRPr="00B768F9">
        <w:rPr>
          <w:rFonts w:ascii="Traditional Arabic" w:hAnsi="Traditional Arabic" w:cs="Traditional Arabic"/>
          <w:sz w:val="30"/>
          <w:szCs w:val="30"/>
          <w:rtl/>
          <w:lang w:eastAsia="zh-TW"/>
        </w:rPr>
        <w:t xml:space="preserve">صيغته المنقحة لعرضها على الاجتماع الأول لمؤتمر الأطراف </w:t>
      </w:r>
      <w:r w:rsidRPr="00A10C66">
        <w:rPr>
          <w:rFonts w:asciiTheme="majorBidi" w:hAnsiTheme="majorBidi" w:cstheme="majorBidi"/>
          <w:szCs w:val="20"/>
          <w:rtl/>
          <w:lang w:eastAsia="zh-TW"/>
        </w:rPr>
        <w:lastRenderedPageBreak/>
        <w:t>(</w:t>
      </w:r>
      <w:r w:rsidRPr="00A10C66">
        <w:rPr>
          <w:rFonts w:asciiTheme="majorBidi" w:hAnsiTheme="majorBidi" w:cstheme="majorBidi"/>
          <w:szCs w:val="20"/>
          <w:lang w:eastAsia="zh-TW"/>
        </w:rPr>
        <w:t>.1/14</w:t>
      </w:r>
      <w:r w:rsidRPr="00A10C66">
        <w:rPr>
          <w:rFonts w:asciiTheme="majorBidi" w:hAnsiTheme="majorBidi" w:cstheme="majorBidi"/>
          <w:szCs w:val="20"/>
          <w:rtl/>
          <w:lang w:eastAsia="zh-TW"/>
        </w:rPr>
        <w:t>UNEP/MC/COP)</w:t>
      </w:r>
      <w:r w:rsidRPr="00B768F9">
        <w:rPr>
          <w:rFonts w:ascii="Traditional Arabic" w:hAnsi="Traditional Arabic" w:cs="Traditional Arabic"/>
          <w:sz w:val="30"/>
          <w:szCs w:val="30"/>
          <w:rtl/>
          <w:lang w:eastAsia="zh-TW"/>
        </w:rPr>
        <w:t>، ستة مواقع يمكن النظر في إقامة الأمانة الدائمة لاتفاقية ميناماتا فيها، وهي: بانكوك؛ جنيف؛ نيروبي؛ أوساكا باليابان؛ فيينا؛ واشنطن العاصمة.</w:t>
      </w:r>
    </w:p>
    <w:p w:rsidR="00A10C66" w:rsidRPr="00A10C66" w:rsidRDefault="00A10C66" w:rsidP="00A10C66">
      <w:pPr>
        <w:pStyle w:val="CH2"/>
        <w:tabs>
          <w:tab w:val="clear" w:pos="851"/>
          <w:tab w:val="clear" w:pos="1247"/>
          <w:tab w:val="clear" w:pos="1814"/>
          <w:tab w:val="clear" w:pos="2381"/>
          <w:tab w:val="left" w:pos="1841"/>
          <w:tab w:val="left" w:pos="2408"/>
        </w:tabs>
        <w:bidi/>
        <w:spacing w:before="0" w:line="400" w:lineRule="exact"/>
        <w:ind w:left="1134" w:right="0" w:firstLine="0"/>
        <w:jc w:val="both"/>
        <w:textDirection w:val="tbRlV"/>
        <w:rPr>
          <w:rFonts w:ascii="Traditional Arabic" w:hAnsi="Traditional Arabic" w:cs="Traditional Arabic"/>
          <w:b w:val="0"/>
          <w:bCs/>
          <w:sz w:val="32"/>
          <w:szCs w:val="32"/>
          <w:rtl/>
          <w:lang w:eastAsia="zh-TW"/>
        </w:rPr>
      </w:pPr>
      <w:r w:rsidRPr="00A10C66">
        <w:rPr>
          <w:rFonts w:ascii="Traditional Arabic" w:hAnsi="Traditional Arabic" w:cs="Traditional Arabic"/>
          <w:b w:val="0"/>
          <w:bCs/>
          <w:sz w:val="32"/>
          <w:szCs w:val="32"/>
          <w:rtl/>
          <w:lang w:eastAsia="zh-TW"/>
        </w:rPr>
        <w:t>الإجراء المقترح أن يتخذه مؤتمر الأطراف</w:t>
      </w:r>
    </w:p>
    <w:p w:rsidR="00A10C66" w:rsidRPr="00B768F9" w:rsidRDefault="00A10C66" w:rsidP="00A10C66">
      <w:pPr>
        <w:pStyle w:val="Normalnumber"/>
        <w:numPr>
          <w:ilvl w:val="0"/>
          <w:numId w:val="18"/>
        </w:numPr>
        <w:tabs>
          <w:tab w:val="num" w:pos="624"/>
          <w:tab w:val="left" w:pos="1841"/>
          <w:tab w:val="left" w:pos="2408"/>
        </w:tabs>
        <w:autoSpaceDE/>
        <w:autoSpaceDN/>
        <w:bidi/>
        <w:adjustRightInd/>
        <w:spacing w:line="400" w:lineRule="exact"/>
        <w:ind w:left="1134"/>
        <w:jc w:val="both"/>
        <w:textDirection w:val="tbRlV"/>
        <w:rPr>
          <w:rFonts w:ascii="Traditional Arabic" w:hAnsi="Traditional Arabic" w:cs="Traditional Arabic"/>
          <w:sz w:val="30"/>
          <w:szCs w:val="30"/>
          <w:rtl/>
          <w:lang w:eastAsia="zh-TW"/>
        </w:rPr>
      </w:pPr>
      <w:r w:rsidRPr="00B768F9">
        <w:rPr>
          <w:rFonts w:ascii="Traditional Arabic" w:hAnsi="Traditional Arabic" w:cs="Traditional Arabic"/>
          <w:sz w:val="30"/>
          <w:szCs w:val="30"/>
          <w:rtl/>
          <w:lang w:eastAsia="zh-TW"/>
        </w:rPr>
        <w:t>قد يود مؤتمر الأطراف أن ينظر في موقع الأمانة الدائمة و</w:t>
      </w:r>
      <w:r>
        <w:rPr>
          <w:rFonts w:ascii="Traditional Arabic" w:hAnsi="Traditional Arabic" w:cs="Traditional Arabic" w:hint="cs"/>
          <w:sz w:val="30"/>
          <w:szCs w:val="30"/>
          <w:rtl/>
          <w:lang w:eastAsia="zh-TW"/>
        </w:rPr>
        <w:t xml:space="preserve">يعتمد </w:t>
      </w:r>
      <w:r w:rsidRPr="00B768F9">
        <w:rPr>
          <w:rFonts w:ascii="Traditional Arabic" w:hAnsi="Traditional Arabic" w:cs="Traditional Arabic"/>
          <w:sz w:val="30"/>
          <w:szCs w:val="30"/>
          <w:rtl/>
          <w:lang w:eastAsia="zh-TW"/>
        </w:rPr>
        <w:t>مقرر</w:t>
      </w:r>
      <w:r>
        <w:rPr>
          <w:rFonts w:ascii="Traditional Arabic" w:hAnsi="Traditional Arabic" w:cs="Traditional Arabic" w:hint="cs"/>
          <w:sz w:val="30"/>
          <w:szCs w:val="30"/>
          <w:rtl/>
          <w:lang w:eastAsia="zh-TW"/>
        </w:rPr>
        <w:t>ا</w:t>
      </w:r>
      <w:r w:rsidR="0046715A">
        <w:rPr>
          <w:rFonts w:ascii="Traditional Arabic" w:hAnsi="Traditional Arabic" w:cs="Traditional Arabic" w:hint="cs"/>
          <w:sz w:val="30"/>
          <w:szCs w:val="30"/>
          <w:rtl/>
          <w:lang w:eastAsia="zh-TW"/>
        </w:rPr>
        <w:t>ً</w:t>
      </w:r>
      <w:r w:rsidRPr="00B768F9">
        <w:rPr>
          <w:rFonts w:ascii="Traditional Arabic" w:hAnsi="Traditional Arabic" w:cs="Traditional Arabic"/>
          <w:sz w:val="30"/>
          <w:szCs w:val="30"/>
          <w:rtl/>
          <w:lang w:eastAsia="zh-TW"/>
        </w:rPr>
        <w:t xml:space="preserve"> على نسق مشروع الم</w:t>
      </w:r>
      <w:r w:rsidR="0046715A">
        <w:rPr>
          <w:rFonts w:ascii="Traditional Arabic" w:hAnsi="Traditional Arabic" w:cs="Traditional Arabic"/>
          <w:sz w:val="30"/>
          <w:szCs w:val="30"/>
          <w:rtl/>
          <w:lang w:eastAsia="zh-TW"/>
        </w:rPr>
        <w:t>قرر الوارد في مرفق هذه المذكرة.</w:t>
      </w:r>
    </w:p>
    <w:p w:rsidR="00A10C66" w:rsidRDefault="00A10C66" w:rsidP="00A10C66">
      <w:pPr>
        <w:bidi/>
        <w:spacing w:after="120" w:line="400" w:lineRule="exact"/>
        <w:ind w:left="1134"/>
        <w:jc w:val="both"/>
        <w:rPr>
          <w:rFonts w:ascii="Traditional Arabic" w:hAnsi="Traditional Arabic"/>
          <w:b/>
          <w:bCs/>
          <w:sz w:val="30"/>
          <w:rtl/>
          <w:lang w:val="en-GB" w:eastAsia="zh-TW"/>
        </w:rPr>
      </w:pPr>
      <w:r>
        <w:rPr>
          <w:rFonts w:ascii="Traditional Arabic" w:hAnsi="Traditional Arabic"/>
          <w:sz w:val="30"/>
          <w:rtl/>
          <w:lang w:eastAsia="zh-TW"/>
        </w:rPr>
        <w:br w:type="page"/>
      </w:r>
    </w:p>
    <w:p w:rsidR="00A10C66" w:rsidRPr="00A10C66" w:rsidRDefault="00A10C66" w:rsidP="00A10C66">
      <w:pPr>
        <w:pStyle w:val="ZZAnxheader"/>
        <w:tabs>
          <w:tab w:val="clear" w:pos="1247"/>
          <w:tab w:val="clear" w:pos="1814"/>
          <w:tab w:val="clear" w:pos="2381"/>
          <w:tab w:val="left" w:pos="1841"/>
          <w:tab w:val="left" w:pos="2408"/>
        </w:tabs>
        <w:bidi/>
        <w:spacing w:after="240" w:line="400" w:lineRule="exact"/>
        <w:jc w:val="both"/>
        <w:textDirection w:val="tbRlV"/>
        <w:rPr>
          <w:rFonts w:ascii="Traditional Arabic" w:hAnsi="Traditional Arabic" w:cs="Traditional Arabic" w:hint="cs"/>
          <w:sz w:val="34"/>
          <w:szCs w:val="34"/>
          <w:rtl/>
          <w:lang w:eastAsia="zh-TW"/>
        </w:rPr>
      </w:pPr>
      <w:r w:rsidRPr="00A10C66">
        <w:rPr>
          <w:rFonts w:ascii="Traditional Arabic" w:hAnsi="Traditional Arabic" w:cs="Traditional Arabic"/>
          <w:sz w:val="34"/>
          <w:szCs w:val="34"/>
          <w:rtl/>
          <w:lang w:eastAsia="zh-TW"/>
        </w:rPr>
        <w:lastRenderedPageBreak/>
        <w:t>المرفق</w:t>
      </w:r>
    </w:p>
    <w:p w:rsidR="00A10C66" w:rsidRPr="00B768F9" w:rsidRDefault="00A10C66" w:rsidP="00A10C66">
      <w:pPr>
        <w:bidi/>
        <w:spacing w:after="240" w:line="400" w:lineRule="exact"/>
        <w:ind w:left="1134"/>
        <w:jc w:val="both"/>
        <w:rPr>
          <w:rFonts w:ascii="Traditional Arabic" w:hAnsi="Traditional Arabic"/>
          <w:sz w:val="30"/>
          <w:rtl/>
          <w:lang w:eastAsia="zh-TW"/>
        </w:rPr>
      </w:pPr>
      <w:r w:rsidRPr="00A10C66">
        <w:rPr>
          <w:rFonts w:ascii="Traditional Arabic" w:hAnsi="Traditional Arabic"/>
          <w:b/>
          <w:bCs/>
          <w:sz w:val="32"/>
          <w:szCs w:val="32"/>
          <w:rtl/>
          <w:lang w:eastAsia="zh-TW"/>
        </w:rPr>
        <w:t>مشروع المقرر ا</w:t>
      </w:r>
      <w:r w:rsidR="003031EE">
        <w:rPr>
          <w:rFonts w:ascii="Traditional Arabic" w:hAnsi="Traditional Arabic" w:hint="cs"/>
          <w:b/>
          <w:bCs/>
          <w:sz w:val="32"/>
          <w:szCs w:val="32"/>
          <w:rtl/>
          <w:lang w:eastAsia="zh-TW"/>
        </w:rPr>
        <w:t xml:space="preserve"> </w:t>
      </w:r>
      <w:r w:rsidRPr="00A10C66">
        <w:rPr>
          <w:rFonts w:ascii="Traditional Arabic" w:hAnsi="Traditional Arabic"/>
          <w:b/>
          <w:bCs/>
          <w:sz w:val="32"/>
          <w:szCs w:val="32"/>
          <w:rtl/>
          <w:lang w:eastAsia="zh-TW"/>
        </w:rPr>
        <w:t>م</w:t>
      </w:r>
      <w:r w:rsidR="003031EE">
        <w:rPr>
          <w:rFonts w:ascii="Traditional Arabic" w:hAnsi="Traditional Arabic" w:hint="cs"/>
          <w:b/>
          <w:bCs/>
          <w:sz w:val="32"/>
          <w:szCs w:val="32"/>
          <w:rtl/>
          <w:lang w:eastAsia="zh-TW"/>
        </w:rPr>
        <w:t xml:space="preserve"> </w:t>
      </w:r>
      <w:r w:rsidRPr="00A10C66">
        <w:rPr>
          <w:rFonts w:ascii="Traditional Arabic" w:hAnsi="Traditional Arabic"/>
          <w:b/>
          <w:bCs/>
          <w:sz w:val="32"/>
          <w:szCs w:val="32"/>
          <w:rtl/>
          <w:lang w:eastAsia="zh-TW"/>
        </w:rPr>
        <w:t>-1</w:t>
      </w:r>
      <w:proofErr w:type="gramStart"/>
      <w:r w:rsidRPr="00A10C66">
        <w:rPr>
          <w:rFonts w:ascii="Traditional Arabic" w:hAnsi="Traditional Arabic"/>
          <w:b/>
          <w:bCs/>
          <w:sz w:val="32"/>
          <w:szCs w:val="32"/>
          <w:rtl/>
          <w:lang w:eastAsia="zh-TW"/>
        </w:rPr>
        <w:t>/[</w:t>
      </w:r>
      <w:proofErr w:type="gramEnd"/>
      <w:r w:rsidR="003031EE">
        <w:rPr>
          <w:rFonts w:ascii="Traditional Arabic" w:hAnsi="Traditional Arabic" w:hint="cs"/>
          <w:b/>
          <w:bCs/>
          <w:sz w:val="32"/>
          <w:szCs w:val="32"/>
          <w:rtl/>
          <w:lang w:eastAsia="zh-TW"/>
        </w:rPr>
        <w:t>××</w:t>
      </w:r>
      <w:r w:rsidRPr="00A10C66">
        <w:rPr>
          <w:rFonts w:ascii="Traditional Arabic" w:hAnsi="Traditional Arabic"/>
          <w:b/>
          <w:bCs/>
          <w:sz w:val="32"/>
          <w:szCs w:val="32"/>
          <w:rtl/>
          <w:lang w:eastAsia="zh-TW"/>
        </w:rPr>
        <w:t>]: الموقع الفعلي للأمانة الدائمة لاتفاقية ميناماتا بشأن الزئبق</w:t>
      </w:r>
      <w:r w:rsidRPr="00B768F9">
        <w:rPr>
          <w:rFonts w:ascii="Arial" w:hAnsi="Arial" w:cs="Arial" w:hint="cs"/>
          <w:sz w:val="30"/>
          <w:rtl/>
          <w:lang w:eastAsia="zh-TW"/>
        </w:rPr>
        <w:t>‬</w:t>
      </w:r>
    </w:p>
    <w:p w:rsidR="00A10C66" w:rsidRPr="00B768F9" w:rsidRDefault="00A10C66" w:rsidP="003031EE">
      <w:pPr>
        <w:pStyle w:val="NormalNonumber"/>
        <w:tabs>
          <w:tab w:val="clear" w:pos="1247"/>
          <w:tab w:val="clear" w:pos="1814"/>
          <w:tab w:val="clear" w:pos="2381"/>
          <w:tab w:val="clear" w:pos="2948"/>
          <w:tab w:val="clear" w:pos="3515"/>
          <w:tab w:val="clear" w:pos="4082"/>
        </w:tabs>
        <w:bidi/>
        <w:spacing w:line="400" w:lineRule="exact"/>
        <w:ind w:left="1699"/>
        <w:jc w:val="both"/>
        <w:textDirection w:val="tbRlV"/>
        <w:rPr>
          <w:rFonts w:ascii="Traditional Arabic" w:hAnsi="Traditional Arabic" w:cs="Traditional Arabic"/>
          <w:i/>
          <w:sz w:val="30"/>
          <w:szCs w:val="30"/>
          <w:rtl/>
          <w:lang w:eastAsia="zh-TW"/>
        </w:rPr>
      </w:pPr>
      <w:r w:rsidRPr="00B768F9">
        <w:rPr>
          <w:rFonts w:ascii="Traditional Arabic" w:hAnsi="Traditional Arabic" w:cs="Traditional Arabic"/>
          <w:i/>
          <w:iCs/>
          <w:sz w:val="30"/>
          <w:szCs w:val="30"/>
          <w:rtl/>
          <w:lang w:eastAsia="zh-TW"/>
        </w:rPr>
        <w:t>إن مؤتمر الأطراف،</w:t>
      </w:r>
    </w:p>
    <w:p w:rsidR="00934FB6" w:rsidRPr="00CC627E" w:rsidRDefault="00A10C66" w:rsidP="004374FE">
      <w:pPr>
        <w:pStyle w:val="Title"/>
        <w:spacing w:after="120" w:line="400" w:lineRule="exact"/>
        <w:ind w:left="1134" w:firstLine="565"/>
        <w:jc w:val="both"/>
        <w:rPr>
          <w:rtl/>
        </w:rPr>
      </w:pPr>
      <w:r w:rsidRPr="004374FE">
        <w:rPr>
          <w:rFonts w:ascii="Traditional Arabic" w:hAnsi="Traditional Arabic" w:cs="Traditional Arabic"/>
          <w:i/>
          <w:iCs/>
          <w:sz w:val="30"/>
          <w:u w:val="none"/>
          <w:rtl/>
          <w:lang w:eastAsia="zh-TW"/>
        </w:rPr>
        <w:t>يقرر</w:t>
      </w:r>
      <w:r w:rsidRPr="004374FE">
        <w:rPr>
          <w:rFonts w:ascii="Traditional Arabic" w:hAnsi="Traditional Arabic" w:cs="Traditional Arabic"/>
          <w:sz w:val="30"/>
          <w:u w:val="none"/>
          <w:rtl/>
          <w:lang w:eastAsia="zh-TW"/>
        </w:rPr>
        <w:t xml:space="preserve"> أن </w:t>
      </w:r>
      <w:r w:rsidRPr="004374FE">
        <w:rPr>
          <w:rFonts w:ascii="Traditional Arabic" w:hAnsi="Traditional Arabic" w:cs="Traditional Arabic" w:hint="cs"/>
          <w:sz w:val="30"/>
          <w:u w:val="none"/>
          <w:rtl/>
          <w:lang w:eastAsia="zh-TW"/>
        </w:rPr>
        <w:t xml:space="preserve">يوصي المدير التنفيذي لبرنامج الأمم المتحدة للبيئة بأن </w:t>
      </w:r>
      <w:r w:rsidRPr="004374FE">
        <w:rPr>
          <w:rFonts w:ascii="Traditional Arabic" w:hAnsi="Traditional Arabic" w:cs="Traditional Arabic"/>
          <w:sz w:val="30"/>
          <w:u w:val="none"/>
          <w:rtl/>
          <w:lang w:eastAsia="zh-TW"/>
        </w:rPr>
        <w:t>يكون موقع أمانة اتفاقية ميناماتا بشأن الزئبق في [بانكوك] [جنيف] [نيروبي] [أوساكا باليابان] [فيينا] [واشنطن العاصمة].</w:t>
      </w:r>
    </w:p>
    <w:p w:rsidR="00451ABD" w:rsidRDefault="0046715A" w:rsidP="00B66D5F">
      <w:pPr>
        <w:bidi/>
        <w:spacing w:after="120" w:line="400" w:lineRule="exact"/>
        <w:ind w:left="1134"/>
        <w:jc w:val="center"/>
        <w:rPr>
          <w:sz w:val="30"/>
          <w:rtl/>
        </w:rPr>
      </w:pPr>
      <w:r>
        <w:rPr>
          <w:sz w:val="30"/>
        </w:rPr>
        <w:t>___</w:t>
      </w:r>
      <w:r w:rsidR="0038322E">
        <w:rPr>
          <w:sz w:val="30"/>
        </w:rPr>
        <w:t>____</w:t>
      </w:r>
      <w:r w:rsidR="00EC3A5F">
        <w:rPr>
          <w:sz w:val="30"/>
        </w:rPr>
        <w:t>______</w:t>
      </w:r>
    </w:p>
    <w:sectPr w:rsidR="00451ABD"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2E" w:rsidRDefault="0042042E">
      <w:r>
        <w:separator/>
      </w:r>
    </w:p>
  </w:endnote>
  <w:endnote w:type="continuationSeparator" w:id="0">
    <w:p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E6AD6">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CE6AD6">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A10C66">
      <w:rPr>
        <w:rStyle w:val="PageNumber"/>
        <w:rFonts w:asciiTheme="majorBidi" w:hAnsiTheme="majorBidi" w:cstheme="majorBidi"/>
        <w:szCs w:val="20"/>
      </w:rPr>
      <w:t>7628</w:t>
    </w:r>
    <w:r w:rsidR="006E1D97">
      <w:rPr>
        <w:rStyle w:val="PageNumber"/>
        <w:rFonts w:asciiTheme="majorBidi" w:hAnsiTheme="majorBidi" w:cstheme="majorBidi" w:hint="cs"/>
        <w:szCs w:val="20"/>
        <w:rtl/>
      </w:rPr>
      <w:tab/>
    </w:r>
    <w:r w:rsidR="00A10C66">
      <w:rPr>
        <w:rStyle w:val="PageNumber"/>
        <w:rFonts w:asciiTheme="majorBidi" w:hAnsiTheme="majorBidi" w:cstheme="majorBidi"/>
        <w:szCs w:val="20"/>
      </w:rPr>
      <w:t>0609</w:t>
    </w:r>
    <w:r w:rsidR="006E1D97"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2E" w:rsidRDefault="0042042E" w:rsidP="008A79DC">
      <w:pPr>
        <w:bidi/>
        <w:ind w:left="720"/>
      </w:pPr>
      <w:r>
        <w:separator/>
      </w:r>
    </w:p>
  </w:footnote>
  <w:footnote w:type="continuationSeparator" w:id="0">
    <w:p w:rsidR="0042042E" w:rsidRDefault="0042042E">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3031EE" w:rsidRDefault="00934FB6" w:rsidP="00D113A9">
    <w:pPr>
      <w:pBdr>
        <w:bottom w:val="single" w:sz="4" w:space="0" w:color="auto"/>
      </w:pBdr>
      <w:spacing w:before="20" w:after="40"/>
      <w:jc w:val="right"/>
      <w:rPr>
        <w:b/>
        <w:bCs/>
        <w:sz w:val="17"/>
        <w:szCs w:val="17"/>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46715A">
      <w:rPr>
        <w:rFonts w:cs="Times New Roman"/>
        <w:b/>
        <w:bCs/>
        <w:sz w:val="17"/>
        <w:szCs w:val="17"/>
      </w:rPr>
      <w:t>18/</w:t>
    </w:r>
    <w:r w:rsidR="004374FE">
      <w:rPr>
        <w:rFonts w:cs="Times New Roman"/>
        <w:b/>
        <w:bCs/>
        <w:sz w:val="17"/>
        <w:szCs w:val="17"/>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46715A">
      <w:rPr>
        <w:rFonts w:cs="Times New Roman"/>
        <w:b/>
        <w:bCs/>
        <w:sz w:val="17"/>
        <w:szCs w:val="17"/>
      </w:rPr>
      <w:t>18/</w:t>
    </w:r>
    <w:r w:rsidR="004374FE">
      <w:rPr>
        <w:rFonts w:cs="Times New Roman"/>
        <w:b/>
        <w:bCs/>
        <w:sz w:val="17"/>
        <w:szCs w:val="17"/>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
    <w:lvlOverride w:ilvl="0">
      <w:lvl w:ilvl="0">
        <w:start w:val="1"/>
        <w:numFmt w:val="decimal"/>
        <w:lvlText w:val="%1-"/>
        <w:lvlJc w:val="left"/>
        <w:pPr>
          <w:tabs>
            <w:tab w:val="num" w:pos="1134"/>
          </w:tabs>
          <w:ind w:left="1247" w:firstLine="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71"/>
  <w:drawingGridVerticalSpacing w:val="233"/>
  <w:displayHorizontalDrawingGridEvery w:val="0"/>
  <w:noPunctuationKerning/>
  <w:characterSpacingControl w:val="doNotCompress"/>
  <w:hdrShapeDefaults>
    <o:shapedefaults v:ext="edit" spidmax="3891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272C5"/>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31EE"/>
    <w:rsid w:val="00304FAF"/>
    <w:rsid w:val="00306618"/>
    <w:rsid w:val="00310BFE"/>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74FE"/>
    <w:rsid w:val="00451081"/>
    <w:rsid w:val="00451ABD"/>
    <w:rsid w:val="004524AB"/>
    <w:rsid w:val="004547E5"/>
    <w:rsid w:val="004606CA"/>
    <w:rsid w:val="0046715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05FA"/>
    <w:rsid w:val="006B54B1"/>
    <w:rsid w:val="006C028B"/>
    <w:rsid w:val="006C560D"/>
    <w:rsid w:val="006D598B"/>
    <w:rsid w:val="006E1D97"/>
    <w:rsid w:val="006E4BE0"/>
    <w:rsid w:val="006F036C"/>
    <w:rsid w:val="006F7F31"/>
    <w:rsid w:val="00702573"/>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019B"/>
    <w:rsid w:val="007D3018"/>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74191"/>
    <w:rsid w:val="00980B82"/>
    <w:rsid w:val="009819E2"/>
    <w:rsid w:val="00983518"/>
    <w:rsid w:val="0099049A"/>
    <w:rsid w:val="009A052E"/>
    <w:rsid w:val="009A0564"/>
    <w:rsid w:val="009A11E7"/>
    <w:rsid w:val="009A1FDF"/>
    <w:rsid w:val="009A36C0"/>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0C66"/>
    <w:rsid w:val="00A178E1"/>
    <w:rsid w:val="00A23B72"/>
    <w:rsid w:val="00A26E11"/>
    <w:rsid w:val="00A34C1A"/>
    <w:rsid w:val="00A579D1"/>
    <w:rsid w:val="00A57F44"/>
    <w:rsid w:val="00A62E47"/>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CE6AD6"/>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33A67A"/>
  <w15:docId w15:val="{34D03410-CEC8-4F62-971B-D891915B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10C6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BBTitle">
    <w:name w:val="BB_Title"/>
    <w:basedOn w:val="Normal"/>
    <w:rsid w:val="00A10C66"/>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paragraph" w:customStyle="1" w:styleId="NormalNonumber">
    <w:name w:val="Normal_No_number"/>
    <w:basedOn w:val="Normal"/>
    <w:rsid w:val="00A10C66"/>
    <w:pPr>
      <w:tabs>
        <w:tab w:val="left" w:pos="1247"/>
        <w:tab w:val="left" w:pos="1814"/>
        <w:tab w:val="left" w:pos="2381"/>
        <w:tab w:val="left" w:pos="2948"/>
        <w:tab w:val="left" w:pos="3515"/>
        <w:tab w:val="left" w:pos="4082"/>
      </w:tabs>
      <w:spacing w:after="120"/>
      <w:ind w:left="1247"/>
    </w:pPr>
    <w:rPr>
      <w:rFonts w:cs="Times New Roman"/>
      <w:szCs w:val="20"/>
      <w:lang w:val="en-GB"/>
    </w:rPr>
  </w:style>
  <w:style w:type="character" w:customStyle="1" w:styleId="ZZAnxheaderChar">
    <w:name w:val="ZZ_Anx_header Char"/>
    <w:link w:val="ZZAnxheader"/>
    <w:rsid w:val="00A10C66"/>
    <w:rPr>
      <w:rFonts w:cs="Times New Roman"/>
      <w:b/>
      <w:bCs/>
      <w:sz w:val="28"/>
      <w:szCs w:val="22"/>
      <w:lang w:val="en-GB"/>
    </w:rPr>
  </w:style>
  <w:style w:type="character" w:customStyle="1" w:styleId="CH2Char">
    <w:name w:val="CH2 Char"/>
    <w:link w:val="CH2"/>
    <w:rsid w:val="00A10C66"/>
    <w:rPr>
      <w:rFonts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A976-F451-4F8B-A4EF-EA9EA072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3</cp:revision>
  <cp:lastPrinted>2017-09-06T09:32:00Z</cp:lastPrinted>
  <dcterms:created xsi:type="dcterms:W3CDTF">2017-09-06T09:31:00Z</dcterms:created>
  <dcterms:modified xsi:type="dcterms:W3CDTF">2017-09-06T09:32:00Z</dcterms:modified>
</cp:coreProperties>
</file>