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A3" w:rsidRPr="0044009A" w:rsidRDefault="004C02A3" w:rsidP="004C02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9" w:hanging="1267"/>
        <w:rPr>
          <w:rFonts w:ascii="Times New Roman"/>
          <w:b/>
          <w:sz w:val="32"/>
          <w:szCs w:val="32"/>
        </w:rPr>
      </w:pPr>
      <w:r>
        <w:rPr>
          <w:rFonts w:ascii="Times New Roman"/>
          <w:b/>
          <w:sz w:val="32"/>
          <w:szCs w:val="32"/>
          <w:lang w:val="fr-CH"/>
        </w:rPr>
        <w:tab/>
      </w:r>
      <w:r>
        <w:rPr>
          <w:rFonts w:ascii="Times New Roman"/>
          <w:b/>
          <w:sz w:val="32"/>
          <w:szCs w:val="32"/>
          <w:lang w:val="fr-CH"/>
        </w:rPr>
        <w:tab/>
      </w:r>
      <w:bookmarkStart w:id="0" w:name="_GoBack"/>
      <w:bookmarkEnd w:id="0"/>
      <w:r w:rsidRPr="0044009A">
        <w:rPr>
          <w:rFonts w:ascii="Times New Roman" w:hint="eastAsia"/>
          <w:b/>
          <w:sz w:val="32"/>
          <w:szCs w:val="32"/>
        </w:rPr>
        <w:t>关于逐个查明</w:t>
      </w:r>
      <w:r w:rsidRPr="0044009A">
        <w:rPr>
          <w:rFonts w:ascii="Times New Roman" w:hint="eastAsia"/>
          <w:b/>
          <w:sz w:val="32"/>
          <w:szCs w:val="32"/>
        </w:rPr>
        <w:t>50</w:t>
      </w:r>
      <w:r w:rsidRPr="0044009A">
        <w:rPr>
          <w:rFonts w:ascii="Times New Roman" w:hint="eastAsia"/>
          <w:b/>
          <w:sz w:val="32"/>
          <w:szCs w:val="32"/>
        </w:rPr>
        <w:t>公吨以上的汞或汞化合物库存以及每年出产</w:t>
      </w:r>
      <w:r w:rsidRPr="0044009A">
        <w:rPr>
          <w:rFonts w:ascii="Times New Roman" w:hint="eastAsia"/>
          <w:b/>
          <w:sz w:val="32"/>
          <w:szCs w:val="32"/>
        </w:rPr>
        <w:t>10</w:t>
      </w:r>
      <w:r w:rsidRPr="0044009A">
        <w:rPr>
          <w:rFonts w:ascii="Times New Roman" w:hint="eastAsia"/>
          <w:b/>
          <w:sz w:val="32"/>
          <w:szCs w:val="32"/>
        </w:rPr>
        <w:t>公吨以上库存的汞供应来源的指导意见草案</w:t>
      </w:r>
    </w:p>
    <w:p w:rsidR="004C02A3" w:rsidRPr="0044009A" w:rsidRDefault="004C02A3" w:rsidP="004C02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b/>
          <w:sz w:val="32"/>
          <w:szCs w:val="32"/>
        </w:rPr>
      </w:pPr>
      <w:r w:rsidRPr="0055515E">
        <w:rPr>
          <w:rFonts w:ascii="Times New Roman" w:hint="eastAsia"/>
          <w:sz w:val="24"/>
          <w:szCs w:val="24"/>
        </w:rPr>
        <w:tab/>
      </w:r>
      <w:r w:rsidRPr="0044009A">
        <w:rPr>
          <w:rFonts w:ascii="Times New Roman" w:hint="eastAsia"/>
          <w:sz w:val="32"/>
          <w:szCs w:val="32"/>
        </w:rPr>
        <w:tab/>
      </w:r>
      <w:r w:rsidRPr="0044009A">
        <w:rPr>
          <w:rFonts w:ascii="Times New Roman" w:hint="eastAsia"/>
          <w:b/>
          <w:sz w:val="32"/>
          <w:szCs w:val="32"/>
        </w:rPr>
        <w:t>背景</w:t>
      </w:r>
    </w:p>
    <w:p w:rsidR="004C02A3" w:rsidRPr="0055515E" w:rsidRDefault="004C02A3" w:rsidP="004C02A3">
      <w:pPr>
        <w:pStyle w:val="SingleTxt"/>
        <w:spacing w:after="120" w:line="240" w:lineRule="auto"/>
        <w:ind w:right="25"/>
        <w:rPr>
          <w:sz w:val="24"/>
          <w:szCs w:val="24"/>
        </w:rPr>
      </w:pPr>
      <w:r w:rsidRPr="0055515E">
        <w:rPr>
          <w:rFonts w:hint="eastAsia"/>
          <w:sz w:val="24"/>
          <w:szCs w:val="24"/>
        </w:rPr>
        <w:t>1.</w:t>
      </w:r>
      <w:r w:rsidRPr="0055515E">
        <w:rPr>
          <w:rFonts w:hint="eastAsia"/>
          <w:sz w:val="24"/>
          <w:szCs w:val="24"/>
        </w:rPr>
        <w:tab/>
      </w:r>
      <w:r w:rsidRPr="0055515E">
        <w:rPr>
          <w:rFonts w:hint="eastAsia"/>
          <w:sz w:val="24"/>
          <w:szCs w:val="24"/>
        </w:rPr>
        <w:t>《关于汞的水俣公约》第三条第五款第一项规定，各缔约方“均应当……努力逐个查明位于其领土范围内的</w:t>
      </w:r>
      <w:r w:rsidRPr="0055515E">
        <w:rPr>
          <w:rFonts w:hint="eastAsia"/>
          <w:sz w:val="24"/>
          <w:szCs w:val="24"/>
        </w:rPr>
        <w:t>50</w:t>
      </w:r>
      <w:r w:rsidRPr="0055515E">
        <w:rPr>
          <w:rFonts w:hint="eastAsia"/>
          <w:sz w:val="24"/>
          <w:szCs w:val="24"/>
        </w:rPr>
        <w:t>公吨以上的汞或汞化合物库存，以及那些每年出产</w:t>
      </w:r>
      <w:r w:rsidRPr="0055515E">
        <w:rPr>
          <w:rFonts w:hint="eastAsia"/>
          <w:sz w:val="24"/>
          <w:szCs w:val="24"/>
        </w:rPr>
        <w:t>10</w:t>
      </w:r>
      <w:r w:rsidRPr="0055515E">
        <w:rPr>
          <w:rFonts w:hint="eastAsia"/>
          <w:sz w:val="24"/>
          <w:szCs w:val="24"/>
        </w:rPr>
        <w:t>公吨以上库存的汞供应来源”。第三条第十二款要求缔约方大会在其第一次会议上就此事项提供进一步指导。本指导意见旨在协助缔约方履行第三条第五款第一项规定的义务。</w:t>
      </w:r>
    </w:p>
    <w:p w:rsidR="004C02A3" w:rsidRPr="0055515E" w:rsidRDefault="004C02A3" w:rsidP="004C02A3">
      <w:pPr>
        <w:pStyle w:val="SingleTxt"/>
        <w:spacing w:after="120" w:line="240" w:lineRule="auto"/>
        <w:ind w:right="25"/>
        <w:rPr>
          <w:sz w:val="24"/>
          <w:szCs w:val="24"/>
        </w:rPr>
      </w:pPr>
      <w:r w:rsidRPr="0055515E">
        <w:rPr>
          <w:rFonts w:hint="eastAsia"/>
          <w:sz w:val="24"/>
          <w:szCs w:val="24"/>
        </w:rPr>
        <w:t>2.</w:t>
      </w:r>
      <w:r w:rsidRPr="0055515E">
        <w:rPr>
          <w:rFonts w:hint="eastAsia"/>
          <w:sz w:val="24"/>
          <w:szCs w:val="24"/>
        </w:rPr>
        <w:tab/>
      </w:r>
      <w:r w:rsidRPr="0055515E">
        <w:rPr>
          <w:rFonts w:hint="eastAsia"/>
          <w:spacing w:val="-4"/>
          <w:sz w:val="24"/>
          <w:szCs w:val="24"/>
        </w:rPr>
        <w:t>制定本指导意见时强调了各缔约方需要“努力逐个查明”汞的库存以及汞供应来源。认识到对于某些缔约方而言，可用于开展此类活动的资源可能有限，因此，指导意见将案头研究作为初期重点。还可通过编制汞存货清单来收集信息，很多国家正在通过由全球环境基金资助的《水俣公约》初始评估项目推动此项工作</w:t>
      </w:r>
      <w:r w:rsidRPr="0055515E">
        <w:rPr>
          <w:rFonts w:hint="eastAsia"/>
          <w:sz w:val="24"/>
          <w:szCs w:val="24"/>
        </w:rPr>
        <w:t>。</w:t>
      </w:r>
    </w:p>
    <w:p w:rsidR="004C02A3" w:rsidRPr="0055515E" w:rsidRDefault="004C02A3" w:rsidP="004C02A3">
      <w:pPr>
        <w:pStyle w:val="SingleTxt"/>
        <w:spacing w:after="120" w:line="240" w:lineRule="auto"/>
        <w:ind w:right="25"/>
        <w:rPr>
          <w:sz w:val="24"/>
          <w:szCs w:val="24"/>
        </w:rPr>
      </w:pPr>
      <w:r w:rsidRPr="0055515E">
        <w:rPr>
          <w:rFonts w:hint="eastAsia"/>
          <w:sz w:val="24"/>
          <w:szCs w:val="24"/>
        </w:rPr>
        <w:t>3.</w:t>
      </w:r>
      <w:r w:rsidRPr="0055515E">
        <w:rPr>
          <w:rFonts w:hint="eastAsia"/>
          <w:sz w:val="24"/>
          <w:szCs w:val="24"/>
        </w:rPr>
        <w:tab/>
      </w:r>
      <w:r w:rsidRPr="0055515E">
        <w:rPr>
          <w:rFonts w:hint="eastAsia"/>
          <w:sz w:val="24"/>
          <w:szCs w:val="24"/>
        </w:rPr>
        <w:t>还应认识到，缔约方有义务依据《公约》第十条之规定，采取措施确保以无害环境方式存放库存。</w:t>
      </w:r>
    </w:p>
    <w:p w:rsidR="004C02A3" w:rsidRPr="0044009A" w:rsidRDefault="004C02A3" w:rsidP="004C02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b/>
          <w:sz w:val="32"/>
          <w:szCs w:val="32"/>
        </w:rPr>
      </w:pPr>
      <w:r w:rsidRPr="0055515E">
        <w:rPr>
          <w:rFonts w:ascii="Times New Roman" w:hint="eastAsia"/>
          <w:sz w:val="24"/>
          <w:szCs w:val="24"/>
        </w:rPr>
        <w:tab/>
      </w:r>
      <w:r w:rsidRPr="0044009A">
        <w:rPr>
          <w:rFonts w:ascii="Times New Roman" w:hint="eastAsia"/>
          <w:b/>
          <w:sz w:val="32"/>
          <w:szCs w:val="32"/>
        </w:rPr>
        <w:tab/>
      </w:r>
      <w:r w:rsidRPr="0044009A">
        <w:rPr>
          <w:rFonts w:ascii="Times New Roman" w:hint="eastAsia"/>
          <w:b/>
          <w:sz w:val="32"/>
          <w:szCs w:val="32"/>
        </w:rPr>
        <w:t>定义</w:t>
      </w:r>
    </w:p>
    <w:p w:rsidR="004C02A3" w:rsidRPr="0055515E" w:rsidRDefault="004C02A3" w:rsidP="004C02A3">
      <w:pPr>
        <w:pStyle w:val="SingleTxt"/>
        <w:spacing w:after="120" w:line="240" w:lineRule="auto"/>
        <w:ind w:right="25"/>
        <w:rPr>
          <w:sz w:val="24"/>
          <w:szCs w:val="24"/>
        </w:rPr>
      </w:pPr>
      <w:r w:rsidRPr="0055515E">
        <w:rPr>
          <w:rFonts w:hint="eastAsia"/>
          <w:sz w:val="24"/>
          <w:szCs w:val="24"/>
        </w:rPr>
        <w:t>4.</w:t>
      </w:r>
      <w:r w:rsidRPr="0055515E">
        <w:rPr>
          <w:rFonts w:hint="eastAsia"/>
          <w:sz w:val="24"/>
          <w:szCs w:val="24"/>
        </w:rPr>
        <w:tab/>
      </w:r>
      <w:r w:rsidRPr="0055515E">
        <w:rPr>
          <w:rFonts w:hint="eastAsia"/>
          <w:sz w:val="24"/>
          <w:szCs w:val="24"/>
        </w:rPr>
        <w:t>在《水俣公约》第三条中，“汞”的定义包含汞含量按重量计至少占</w:t>
      </w:r>
      <w:r w:rsidRPr="0055515E">
        <w:rPr>
          <w:rFonts w:hint="eastAsia"/>
          <w:sz w:val="24"/>
          <w:szCs w:val="24"/>
        </w:rPr>
        <w:t>95%</w:t>
      </w:r>
      <w:r w:rsidRPr="0055515E">
        <w:rPr>
          <w:rFonts w:hint="eastAsia"/>
          <w:sz w:val="24"/>
          <w:szCs w:val="24"/>
        </w:rPr>
        <w:t>的汞与其他物质的混合物，其中包括汞的合金，“汞化合物”的定义是“氯化亚汞</w:t>
      </w:r>
      <w:r w:rsidRPr="0055515E">
        <w:rPr>
          <w:rFonts w:hint="eastAsia"/>
          <w:sz w:val="24"/>
          <w:szCs w:val="24"/>
        </w:rPr>
        <w:t>(I)(</w:t>
      </w:r>
      <w:r w:rsidRPr="0055515E">
        <w:rPr>
          <w:rFonts w:hint="eastAsia"/>
          <w:sz w:val="24"/>
          <w:szCs w:val="24"/>
        </w:rPr>
        <w:t>亦称甘汞</w:t>
      </w:r>
      <w:r w:rsidRPr="0055515E">
        <w:rPr>
          <w:rFonts w:hint="eastAsia"/>
          <w:sz w:val="24"/>
          <w:szCs w:val="24"/>
        </w:rPr>
        <w:t>)</w:t>
      </w:r>
      <w:r w:rsidRPr="0055515E">
        <w:rPr>
          <w:rFonts w:hint="eastAsia"/>
          <w:sz w:val="24"/>
          <w:szCs w:val="24"/>
        </w:rPr>
        <w:t>、氧化汞</w:t>
      </w:r>
      <w:r w:rsidRPr="0055515E">
        <w:rPr>
          <w:rFonts w:hint="eastAsia"/>
          <w:sz w:val="24"/>
          <w:szCs w:val="24"/>
        </w:rPr>
        <w:t>(II)</w:t>
      </w:r>
      <w:r w:rsidRPr="0055515E">
        <w:rPr>
          <w:rFonts w:hint="eastAsia"/>
          <w:sz w:val="24"/>
          <w:szCs w:val="24"/>
        </w:rPr>
        <w:t>、硫酸汞</w:t>
      </w:r>
      <w:r w:rsidRPr="0055515E">
        <w:rPr>
          <w:rFonts w:hint="eastAsia"/>
          <w:sz w:val="24"/>
          <w:szCs w:val="24"/>
        </w:rPr>
        <w:t>(II)</w:t>
      </w:r>
      <w:r w:rsidRPr="0055515E">
        <w:rPr>
          <w:rFonts w:hint="eastAsia"/>
          <w:sz w:val="24"/>
          <w:szCs w:val="24"/>
        </w:rPr>
        <w:t>、硝酸汞</w:t>
      </w:r>
      <w:r w:rsidRPr="0055515E">
        <w:rPr>
          <w:rFonts w:hint="eastAsia"/>
          <w:sz w:val="24"/>
          <w:szCs w:val="24"/>
        </w:rPr>
        <w:t>(II)</w:t>
      </w:r>
      <w:r w:rsidRPr="0055515E">
        <w:rPr>
          <w:rFonts w:hint="eastAsia"/>
          <w:sz w:val="24"/>
          <w:szCs w:val="24"/>
        </w:rPr>
        <w:t>、朱砂矿石和硫化汞”。本条并不涵盖“拟用于实验室规模的研究活动或用作参考标准的汞或汞化合物用量”、“在诸如非汞金属、非汞矿石或包括煤炭在内的非汞矿产品或从此类材料中衍生出来的产品中存在的、属于自然生成的痕量汞或汞化合物，以及在化学产品中意外生成的痕量汞”或“添汞产品”。</w:t>
      </w:r>
    </w:p>
    <w:p w:rsidR="004C02A3" w:rsidRPr="0044009A" w:rsidRDefault="004C02A3" w:rsidP="004C02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b/>
          <w:sz w:val="32"/>
          <w:szCs w:val="32"/>
        </w:rPr>
      </w:pPr>
      <w:r w:rsidRPr="0055515E">
        <w:rPr>
          <w:sz w:val="24"/>
          <w:szCs w:val="24"/>
        </w:rPr>
        <w:tab/>
      </w:r>
      <w:r w:rsidRPr="0055515E">
        <w:rPr>
          <w:sz w:val="24"/>
          <w:szCs w:val="24"/>
        </w:rPr>
        <w:tab/>
      </w:r>
      <w:r w:rsidRPr="0044009A">
        <w:rPr>
          <w:b/>
          <w:sz w:val="32"/>
          <w:szCs w:val="32"/>
        </w:rPr>
        <w:t>50</w:t>
      </w:r>
      <w:r w:rsidRPr="0044009A">
        <w:rPr>
          <w:rFonts w:hint="eastAsia"/>
          <w:b/>
          <w:sz w:val="32"/>
          <w:szCs w:val="32"/>
        </w:rPr>
        <w:t>公吨以上的汞或汞化合物个别库存</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z w:val="24"/>
          <w:szCs w:val="24"/>
        </w:rPr>
      </w:pPr>
      <w:r w:rsidRPr="0055515E">
        <w:rPr>
          <w:rFonts w:hint="eastAsia"/>
          <w:sz w:val="24"/>
          <w:szCs w:val="24"/>
        </w:rPr>
        <w:t>5.</w:t>
      </w:r>
      <w:r w:rsidRPr="0055515E">
        <w:rPr>
          <w:rFonts w:hint="eastAsia"/>
          <w:sz w:val="24"/>
          <w:szCs w:val="24"/>
        </w:rPr>
        <w:tab/>
      </w:r>
      <w:r w:rsidRPr="0055515E">
        <w:rPr>
          <w:rFonts w:hint="eastAsia"/>
          <w:sz w:val="24"/>
          <w:szCs w:val="24"/>
        </w:rPr>
        <w:t>第三条第五款第二项规定的义务涉及特定数量的汞或汞化合物“个别库存”。不过，《公约》并未对术语“个别库存”作出定义。因此，在公约文本没有“库存”定义的情况下，“库存”可被视为累积或可供未来使用的汞或汞化合物数量，但不包括作为废物处置和管理的汞，也不包括污染场地内的汞或汞地质储量。在查明库存时必须考虑到在常用地点保存的汞和汞化合物，以及储存于退役设施内的汞和汞化合物</w:t>
      </w:r>
      <w:r w:rsidRPr="0055515E">
        <w:rPr>
          <w:rFonts w:hint="eastAsia"/>
          <w:sz w:val="24"/>
          <w:szCs w:val="24"/>
        </w:rPr>
        <w:t>(</w:t>
      </w:r>
      <w:r w:rsidRPr="0055515E">
        <w:rPr>
          <w:rFonts w:hint="eastAsia"/>
          <w:sz w:val="24"/>
          <w:szCs w:val="24"/>
        </w:rPr>
        <w:t>非指汞废物</w:t>
      </w:r>
      <w:r w:rsidRPr="0055515E">
        <w:rPr>
          <w:rFonts w:hint="eastAsia"/>
          <w:sz w:val="24"/>
          <w:szCs w:val="24"/>
        </w:rPr>
        <w:t>)</w:t>
      </w:r>
      <w:r w:rsidRPr="0055515E">
        <w:rPr>
          <w:rFonts w:hint="eastAsia"/>
          <w:sz w:val="24"/>
          <w:szCs w:val="24"/>
        </w:rPr>
        <w:t>。汞或汞化合物总重量超过</w:t>
      </w:r>
      <w:r w:rsidRPr="0055515E">
        <w:rPr>
          <w:rFonts w:hint="eastAsia"/>
          <w:sz w:val="24"/>
          <w:szCs w:val="24"/>
        </w:rPr>
        <w:t>50</w:t>
      </w:r>
      <w:r w:rsidRPr="0055515E">
        <w:rPr>
          <w:rFonts w:hint="eastAsia"/>
          <w:sz w:val="24"/>
          <w:szCs w:val="24"/>
        </w:rPr>
        <w:t>公吨时即可定为个别库存。缔约方可将总重量表示为化合物中不同含汞量贡献之总和。</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6.</w:t>
      </w:r>
      <w:r w:rsidRPr="0055515E">
        <w:rPr>
          <w:rFonts w:hint="eastAsia"/>
          <w:sz w:val="24"/>
          <w:szCs w:val="24"/>
        </w:rPr>
        <w:tab/>
      </w:r>
      <w:r w:rsidRPr="0055515E">
        <w:rPr>
          <w:rFonts w:hint="eastAsia"/>
          <w:sz w:val="24"/>
          <w:szCs w:val="24"/>
        </w:rPr>
        <w:t>如汞或汞化合物的预期用途并非《公约》所允许，则此类汞或汞化合物符合第十一条所述汞废物的定义，即：“按照国家法律或本公约之规定予以处置或准备予以处置或必须加以处置的……物质或物品”。因此，应将此类汞作为汞废物加以管理，因而也应排除在第三条规定之外。应当考</w:t>
      </w:r>
      <w:r w:rsidRPr="0055515E">
        <w:rPr>
          <w:rFonts w:hint="eastAsia"/>
          <w:sz w:val="24"/>
          <w:szCs w:val="24"/>
        </w:rPr>
        <w:lastRenderedPageBreak/>
        <w:t>虑到第三条第五款第二项规定的与缔约方确定为氯碱设施退役过程中出现的过量汞有关的具体要求。</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7.</w:t>
      </w:r>
      <w:r w:rsidRPr="0055515E">
        <w:rPr>
          <w:rFonts w:hint="eastAsia"/>
          <w:sz w:val="24"/>
          <w:szCs w:val="24"/>
        </w:rPr>
        <w:tab/>
      </w:r>
      <w:r w:rsidRPr="0055515E">
        <w:rPr>
          <w:rFonts w:hint="eastAsia"/>
          <w:sz w:val="24"/>
          <w:szCs w:val="24"/>
        </w:rPr>
        <w:t>“汞或汞化合物个别库存</w:t>
      </w:r>
      <w:r w:rsidRPr="0055515E">
        <w:rPr>
          <w:rFonts w:hint="eastAsia"/>
          <w:sz w:val="24"/>
          <w:szCs w:val="24"/>
        </w:rPr>
        <w:t>(</w:t>
      </w:r>
      <w:r w:rsidRPr="0055515E">
        <w:rPr>
          <w:rFonts w:hint="eastAsia"/>
          <w:sz w:val="24"/>
          <w:szCs w:val="24"/>
        </w:rPr>
        <w:t>《公约》中未定义</w:t>
      </w:r>
      <w:r w:rsidRPr="0055515E">
        <w:rPr>
          <w:rFonts w:hint="eastAsia"/>
          <w:sz w:val="24"/>
          <w:szCs w:val="24"/>
        </w:rPr>
        <w:t>)</w:t>
      </w:r>
      <w:r w:rsidRPr="0055515E">
        <w:rPr>
          <w:rFonts w:hint="eastAsia"/>
          <w:sz w:val="24"/>
          <w:szCs w:val="24"/>
        </w:rPr>
        <w:t>”可被视为在某一缔约方或某一经济或法律实体控制下、被缔约方认定为适当的汞和汞化合物总量。如果某一实体在不同地点储存汞，则应将其合并视为单一个别库存。</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8.</w:t>
      </w:r>
      <w:r w:rsidRPr="0055515E">
        <w:rPr>
          <w:rFonts w:hint="eastAsia"/>
          <w:sz w:val="24"/>
          <w:szCs w:val="24"/>
        </w:rPr>
        <w:tab/>
      </w:r>
      <w:r w:rsidRPr="0055515E">
        <w:rPr>
          <w:rFonts w:hint="eastAsia"/>
          <w:sz w:val="24"/>
          <w:szCs w:val="24"/>
        </w:rPr>
        <w:t>关于查明</w:t>
      </w:r>
      <w:r w:rsidRPr="0055515E">
        <w:rPr>
          <w:rFonts w:hint="eastAsia"/>
          <w:sz w:val="24"/>
          <w:szCs w:val="24"/>
        </w:rPr>
        <w:t>50</w:t>
      </w:r>
      <w:r w:rsidRPr="0055515E">
        <w:rPr>
          <w:rFonts w:hint="eastAsia"/>
          <w:sz w:val="24"/>
          <w:szCs w:val="24"/>
        </w:rPr>
        <w:t>公吨以上库存的第五款第一项是一项持续性义务，并不仅限于《公约》对某一缔约方生效时已存在的库存。由于库存可能具有动态性质，库存因汞被用于允许用途而耗减，又因汞供应来源产生汞而得到补充，因此缔约方必须跟踪汞在商业活动中的动态，或许可跟踪有关实体的汞需求量或销售量，但《公约》并未要求开展持续跟踪。</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9.</w:t>
      </w:r>
      <w:r w:rsidRPr="0055515E">
        <w:rPr>
          <w:rFonts w:hint="eastAsia"/>
          <w:sz w:val="24"/>
          <w:szCs w:val="24"/>
        </w:rPr>
        <w:tab/>
      </w:r>
      <w:r w:rsidRPr="0055515E">
        <w:rPr>
          <w:rFonts w:hint="eastAsia"/>
          <w:sz w:val="24"/>
          <w:szCs w:val="24"/>
        </w:rPr>
        <w:t>在确定任何特定时间的汞库存水平时，初期行动将依赖于查明可能储存或使用汞的实体及相关设施。此类实体和设施可能包括：</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(a)</w:t>
      </w:r>
      <w:r w:rsidRPr="0055515E">
        <w:rPr>
          <w:rFonts w:hint="eastAsia"/>
          <w:sz w:val="24"/>
          <w:szCs w:val="24"/>
        </w:rPr>
        <w:tab/>
      </w:r>
      <w:r w:rsidRPr="0055515E">
        <w:rPr>
          <w:rFonts w:hint="eastAsia"/>
          <w:sz w:val="24"/>
          <w:szCs w:val="24"/>
        </w:rPr>
        <w:t>通过进出口等方式买卖汞或汞化合物并可能随时掌握不同数量汞或汞化合物的汞贸易商；</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(b)</w:t>
      </w:r>
      <w:r w:rsidRPr="0055515E">
        <w:rPr>
          <w:rFonts w:hint="eastAsia"/>
          <w:sz w:val="24"/>
          <w:szCs w:val="24"/>
        </w:rPr>
        <w:tab/>
      </w:r>
      <w:r w:rsidRPr="0055515E">
        <w:rPr>
          <w:rFonts w:hint="eastAsia"/>
          <w:sz w:val="24"/>
          <w:szCs w:val="24"/>
        </w:rPr>
        <w:t>可能有待售汞库存、从而取决于需求情况可能在某些时候掌握大量汞的初级汞矿；</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(c)</w:t>
      </w:r>
      <w:r w:rsidRPr="0055515E">
        <w:rPr>
          <w:rFonts w:hint="eastAsia"/>
          <w:sz w:val="24"/>
          <w:szCs w:val="24"/>
        </w:rPr>
        <w:tab/>
      </w:r>
      <w:r w:rsidRPr="0055515E">
        <w:rPr>
          <w:rFonts w:hint="eastAsia"/>
          <w:sz w:val="24"/>
          <w:szCs w:val="24"/>
        </w:rPr>
        <w:t>取决于总体汞需求量以及持有汞的目的是否是为了等待作出是否要处置的最后决定，生产汞或汞化合物的其他设施或活动</w:t>
      </w:r>
      <w:r w:rsidRPr="0055515E">
        <w:rPr>
          <w:rFonts w:hint="eastAsia"/>
          <w:sz w:val="24"/>
          <w:szCs w:val="24"/>
        </w:rPr>
        <w:t>(</w:t>
      </w:r>
      <w:r w:rsidRPr="0055515E">
        <w:rPr>
          <w:rFonts w:hint="eastAsia"/>
          <w:sz w:val="24"/>
          <w:szCs w:val="24"/>
        </w:rPr>
        <w:t>如循环再用</w:t>
      </w:r>
      <w:r w:rsidRPr="0055515E">
        <w:rPr>
          <w:rFonts w:hint="eastAsia"/>
          <w:sz w:val="24"/>
          <w:szCs w:val="24"/>
        </w:rPr>
        <w:t>)</w:t>
      </w:r>
      <w:r w:rsidRPr="0055515E">
        <w:rPr>
          <w:rFonts w:hint="eastAsia"/>
          <w:sz w:val="24"/>
          <w:szCs w:val="24"/>
        </w:rPr>
        <w:t>，包括汞废物处理设施，也可能掌握大量汞库存；</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(d)</w:t>
      </w:r>
      <w:r w:rsidRPr="0055515E">
        <w:rPr>
          <w:rFonts w:hint="eastAsia"/>
          <w:sz w:val="24"/>
          <w:szCs w:val="24"/>
        </w:rPr>
        <w:tab/>
      </w:r>
      <w:r w:rsidRPr="0055515E">
        <w:rPr>
          <w:rFonts w:hint="eastAsia"/>
          <w:sz w:val="24"/>
          <w:szCs w:val="24"/>
        </w:rPr>
        <w:t>各国政府可能因扣押汞以及军事储存等受权用途而掌握汞库存；</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(e)</w:t>
      </w:r>
      <w:r w:rsidRPr="0055515E">
        <w:rPr>
          <w:rFonts w:hint="eastAsia"/>
          <w:sz w:val="24"/>
          <w:szCs w:val="24"/>
        </w:rPr>
        <w:tab/>
      </w:r>
      <w:r w:rsidRPr="0055515E">
        <w:rPr>
          <w:rFonts w:hint="eastAsia"/>
          <w:sz w:val="24"/>
          <w:szCs w:val="24"/>
        </w:rPr>
        <w:t>添汞产品生产设施或使用汞或汞化合物的工艺设施也可能视供应链和当前需求情况维持大量汞库存。</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10.</w:t>
      </w:r>
      <w:r w:rsidRPr="0055515E">
        <w:rPr>
          <w:rFonts w:hint="eastAsia"/>
          <w:sz w:val="24"/>
          <w:szCs w:val="24"/>
        </w:rPr>
        <w:tab/>
      </w:r>
      <w:r w:rsidRPr="0055515E">
        <w:rPr>
          <w:rFonts w:hint="eastAsia"/>
          <w:sz w:val="24"/>
          <w:szCs w:val="24"/>
        </w:rPr>
        <w:t>对此类设施的评估最好考虑到在《公约》之下登记的豁免，以及环境署发表的全球氯碱清单</w:t>
      </w:r>
      <w:r w:rsidRPr="00821250">
        <w:rPr>
          <w:rStyle w:val="FootnoteReference"/>
          <w:sz w:val="24"/>
          <w:szCs w:val="24"/>
        </w:rPr>
        <w:footnoteReference w:id="1"/>
      </w:r>
      <w:r w:rsidRPr="0055515E">
        <w:rPr>
          <w:rFonts w:hint="eastAsia"/>
          <w:sz w:val="24"/>
          <w:szCs w:val="24"/>
        </w:rPr>
        <w:t>等工具提出的数据。如上文所述，通过编制国家汞清单，例如，按照水俣公约初始评估程序编制清单所收集的信息也有助于查明库存，如果已建立颁发存储汞或汞化合物许可证的制度，还有助于考虑颁发此类许可证。</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11.</w:t>
      </w:r>
      <w:r w:rsidRPr="0055515E">
        <w:rPr>
          <w:rFonts w:hint="eastAsia"/>
          <w:sz w:val="24"/>
          <w:szCs w:val="24"/>
        </w:rPr>
        <w:tab/>
      </w:r>
      <w:r w:rsidRPr="0055515E">
        <w:rPr>
          <w:rFonts w:hint="eastAsia"/>
          <w:sz w:val="24"/>
          <w:szCs w:val="24"/>
        </w:rPr>
        <w:t>在查明相关设施之后，应开展案头评估以确定这些设施是否持有</w:t>
      </w:r>
      <w:r w:rsidRPr="0055515E">
        <w:rPr>
          <w:rFonts w:hint="eastAsia"/>
          <w:sz w:val="24"/>
          <w:szCs w:val="24"/>
        </w:rPr>
        <w:t>50</w:t>
      </w:r>
      <w:r w:rsidRPr="0055515E">
        <w:rPr>
          <w:rFonts w:hint="eastAsia"/>
          <w:sz w:val="24"/>
          <w:szCs w:val="24"/>
        </w:rPr>
        <w:t>公吨以上的库存。在作出这个判断时可采用质量平衡法，考虑投入、产出、生成和消耗的物质，例如：</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(a)</w:t>
      </w:r>
      <w:r w:rsidRPr="0055515E">
        <w:rPr>
          <w:rFonts w:hint="eastAsia"/>
          <w:sz w:val="24"/>
          <w:szCs w:val="24"/>
        </w:rPr>
        <w:tab/>
      </w:r>
      <w:r w:rsidRPr="0055515E">
        <w:rPr>
          <w:rFonts w:hint="eastAsia"/>
          <w:sz w:val="24"/>
          <w:szCs w:val="24"/>
        </w:rPr>
        <w:t>汞或汞化合物使用量和构成；</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(b)</w:t>
      </w:r>
      <w:r w:rsidRPr="0055515E">
        <w:rPr>
          <w:rFonts w:hint="eastAsia"/>
          <w:sz w:val="24"/>
          <w:szCs w:val="24"/>
        </w:rPr>
        <w:tab/>
      </w:r>
      <w:r w:rsidRPr="0055515E">
        <w:rPr>
          <w:rFonts w:hint="eastAsia"/>
          <w:sz w:val="24"/>
          <w:szCs w:val="24"/>
        </w:rPr>
        <w:t>汞或汞化合物购买量；</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(c)</w:t>
      </w:r>
      <w:r w:rsidRPr="0055515E">
        <w:rPr>
          <w:rFonts w:hint="eastAsia"/>
          <w:sz w:val="24"/>
          <w:szCs w:val="24"/>
        </w:rPr>
        <w:tab/>
      </w:r>
      <w:r w:rsidRPr="0055515E">
        <w:rPr>
          <w:rFonts w:hint="eastAsia"/>
          <w:sz w:val="24"/>
          <w:szCs w:val="24"/>
        </w:rPr>
        <w:t>处置或管理的汞废物量；</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(d)</w:t>
      </w:r>
      <w:r w:rsidRPr="0055515E">
        <w:rPr>
          <w:rFonts w:hint="eastAsia"/>
          <w:sz w:val="24"/>
          <w:szCs w:val="24"/>
        </w:rPr>
        <w:tab/>
      </w:r>
      <w:r w:rsidRPr="0055515E">
        <w:rPr>
          <w:rFonts w:hint="eastAsia"/>
          <w:sz w:val="24"/>
          <w:szCs w:val="24"/>
        </w:rPr>
        <w:t>汞或汞化合物销售量；</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(e)</w:t>
      </w:r>
      <w:r w:rsidRPr="0055515E">
        <w:rPr>
          <w:rFonts w:hint="eastAsia"/>
          <w:sz w:val="24"/>
          <w:szCs w:val="24"/>
        </w:rPr>
        <w:tab/>
      </w:r>
      <w:r w:rsidRPr="0055515E">
        <w:rPr>
          <w:rFonts w:hint="eastAsia"/>
          <w:sz w:val="24"/>
          <w:szCs w:val="24"/>
        </w:rPr>
        <w:t>散失到环境中或各流程回收的汞或汞化合物估算量。</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12.</w:t>
      </w:r>
      <w:r w:rsidRPr="0055515E">
        <w:rPr>
          <w:rFonts w:hint="eastAsia"/>
          <w:sz w:val="24"/>
          <w:szCs w:val="24"/>
        </w:rPr>
        <w:tab/>
      </w:r>
      <w:r w:rsidRPr="0055515E">
        <w:rPr>
          <w:rFonts w:hint="eastAsia"/>
          <w:sz w:val="24"/>
          <w:szCs w:val="24"/>
        </w:rPr>
        <w:t>获取信息的渠道包括各国管理汞进口的程序、国内汞营销资料以及需要环境许可证的设施登记册。各设施提交报告以及保存详细记录可为此类评估提供便利。似应对与设施有关的记录开展详尽评估，同时进行直接沟通和现场检查。</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13.</w:t>
      </w:r>
      <w:r w:rsidRPr="0055515E">
        <w:rPr>
          <w:rFonts w:hint="eastAsia"/>
          <w:sz w:val="24"/>
          <w:szCs w:val="24"/>
        </w:rPr>
        <w:tab/>
      </w:r>
      <w:r w:rsidRPr="0055515E">
        <w:rPr>
          <w:rFonts w:hint="eastAsia"/>
          <w:sz w:val="24"/>
          <w:szCs w:val="24"/>
        </w:rPr>
        <w:t>应在评估各设施实际持有的库存水平时进行现场视察，以验证汞存储量。作为指导，一个</w:t>
      </w:r>
      <w:r w:rsidRPr="0055515E">
        <w:rPr>
          <w:rFonts w:hint="eastAsia"/>
          <w:sz w:val="24"/>
          <w:szCs w:val="24"/>
        </w:rPr>
        <w:t>35</w:t>
      </w:r>
      <w:r w:rsidRPr="0055515E">
        <w:rPr>
          <w:rFonts w:hint="eastAsia"/>
          <w:sz w:val="24"/>
          <w:szCs w:val="24"/>
        </w:rPr>
        <w:t>公斤汞瓶的尺寸约为</w:t>
      </w:r>
      <w:r w:rsidRPr="0055515E">
        <w:rPr>
          <w:rFonts w:hint="eastAsia"/>
          <w:sz w:val="24"/>
          <w:szCs w:val="24"/>
        </w:rPr>
        <w:t>30</w:t>
      </w:r>
      <w:r w:rsidRPr="0055515E">
        <w:rPr>
          <w:rFonts w:hint="eastAsia"/>
          <w:sz w:val="24"/>
          <w:szCs w:val="24"/>
        </w:rPr>
        <w:t>厘米高、直径</w:t>
      </w:r>
      <w:r w:rsidRPr="0055515E">
        <w:rPr>
          <w:rFonts w:hint="eastAsia"/>
          <w:sz w:val="24"/>
          <w:szCs w:val="24"/>
        </w:rPr>
        <w:t>12.5</w:t>
      </w:r>
      <w:r w:rsidRPr="0055515E">
        <w:rPr>
          <w:rFonts w:hint="eastAsia"/>
          <w:sz w:val="24"/>
          <w:szCs w:val="24"/>
        </w:rPr>
        <w:t>厘米。</w:t>
      </w:r>
      <w:r w:rsidRPr="0055515E">
        <w:rPr>
          <w:rFonts w:hint="eastAsia"/>
          <w:sz w:val="24"/>
          <w:szCs w:val="24"/>
        </w:rPr>
        <w:t>1</w:t>
      </w:r>
      <w:r w:rsidRPr="0055515E">
        <w:rPr>
          <w:rFonts w:hint="eastAsia"/>
          <w:sz w:val="24"/>
          <w:szCs w:val="24"/>
        </w:rPr>
        <w:t>公吨汞容器的尺寸约为</w:t>
      </w:r>
      <w:r w:rsidRPr="0055515E">
        <w:rPr>
          <w:rFonts w:hint="eastAsia"/>
          <w:sz w:val="24"/>
          <w:szCs w:val="24"/>
        </w:rPr>
        <w:t>50</w:t>
      </w:r>
      <w:r w:rsidRPr="0055515E">
        <w:rPr>
          <w:rFonts w:hint="eastAsia"/>
          <w:sz w:val="24"/>
          <w:szCs w:val="24"/>
        </w:rPr>
        <w:t>厘米高、直径</w:t>
      </w:r>
      <w:r w:rsidRPr="0055515E">
        <w:rPr>
          <w:rFonts w:hint="eastAsia"/>
          <w:sz w:val="24"/>
          <w:szCs w:val="24"/>
        </w:rPr>
        <w:t>50</w:t>
      </w:r>
      <w:r w:rsidRPr="0055515E">
        <w:rPr>
          <w:rFonts w:hint="eastAsia"/>
          <w:sz w:val="24"/>
          <w:szCs w:val="24"/>
        </w:rPr>
        <w:t>厘米。照此计算，</w:t>
      </w:r>
      <w:r w:rsidRPr="0055515E">
        <w:rPr>
          <w:rFonts w:hint="eastAsia"/>
          <w:sz w:val="24"/>
          <w:szCs w:val="24"/>
        </w:rPr>
        <w:t>50</w:t>
      </w:r>
      <w:r w:rsidRPr="0055515E">
        <w:rPr>
          <w:rFonts w:hint="eastAsia"/>
          <w:sz w:val="24"/>
          <w:szCs w:val="24"/>
        </w:rPr>
        <w:t>公吨汞将装满至少</w:t>
      </w:r>
      <w:r w:rsidRPr="0055515E">
        <w:rPr>
          <w:rFonts w:hint="eastAsia"/>
          <w:sz w:val="24"/>
          <w:szCs w:val="24"/>
        </w:rPr>
        <w:t>50</w:t>
      </w:r>
      <w:r w:rsidRPr="0055515E">
        <w:rPr>
          <w:rFonts w:hint="eastAsia"/>
          <w:sz w:val="24"/>
          <w:szCs w:val="24"/>
        </w:rPr>
        <w:t>个容器，其占地面积大约是</w:t>
      </w:r>
      <w:r w:rsidRPr="0055515E">
        <w:rPr>
          <w:rFonts w:hint="eastAsia"/>
          <w:sz w:val="24"/>
          <w:szCs w:val="24"/>
        </w:rPr>
        <w:t>12.5</w:t>
      </w:r>
      <w:r w:rsidRPr="0055515E">
        <w:rPr>
          <w:rFonts w:hint="eastAsia"/>
          <w:sz w:val="24"/>
          <w:szCs w:val="24"/>
        </w:rPr>
        <w:t>平方米。</w:t>
      </w:r>
    </w:p>
    <w:p w:rsidR="004C02A3" w:rsidRPr="006D4EE2" w:rsidRDefault="004C02A3" w:rsidP="004C02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b/>
          <w:sz w:val="32"/>
          <w:szCs w:val="32"/>
        </w:rPr>
      </w:pPr>
      <w:r w:rsidRPr="0055515E">
        <w:rPr>
          <w:sz w:val="24"/>
          <w:szCs w:val="24"/>
        </w:rPr>
        <w:tab/>
      </w:r>
      <w:r w:rsidRPr="00427473">
        <w:rPr>
          <w:szCs w:val="28"/>
        </w:rPr>
        <w:tab/>
      </w:r>
      <w:r w:rsidRPr="006D4EE2">
        <w:rPr>
          <w:rFonts w:hint="eastAsia"/>
          <w:b/>
          <w:sz w:val="32"/>
          <w:szCs w:val="32"/>
        </w:rPr>
        <w:t>每年产生</w:t>
      </w:r>
      <w:r w:rsidRPr="006D4EE2">
        <w:rPr>
          <w:b/>
          <w:sz w:val="32"/>
          <w:szCs w:val="32"/>
        </w:rPr>
        <w:t>10</w:t>
      </w:r>
      <w:r w:rsidRPr="006D4EE2">
        <w:rPr>
          <w:rFonts w:hint="eastAsia"/>
          <w:b/>
          <w:sz w:val="32"/>
          <w:szCs w:val="32"/>
        </w:rPr>
        <w:t>公吨以上库存的汞供应来源</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14.</w:t>
      </w:r>
      <w:r w:rsidRPr="0055515E">
        <w:rPr>
          <w:rFonts w:hint="eastAsia"/>
          <w:sz w:val="24"/>
          <w:szCs w:val="24"/>
        </w:rPr>
        <w:tab/>
      </w:r>
      <w:r w:rsidRPr="0055515E">
        <w:rPr>
          <w:rFonts w:hint="eastAsia"/>
          <w:sz w:val="24"/>
          <w:szCs w:val="24"/>
        </w:rPr>
        <w:t>缔约方领土上有一些可能的汞供应来源，按照第三条的定义每年出产总重量</w:t>
      </w:r>
      <w:r w:rsidRPr="0055515E">
        <w:rPr>
          <w:rFonts w:hint="eastAsia"/>
          <w:sz w:val="24"/>
          <w:szCs w:val="24"/>
        </w:rPr>
        <w:t>10</w:t>
      </w:r>
      <w:r w:rsidRPr="0055515E">
        <w:rPr>
          <w:rFonts w:hint="eastAsia"/>
          <w:sz w:val="24"/>
          <w:szCs w:val="24"/>
        </w:rPr>
        <w:t>公吨以上库存。缔约方应将此类来源纳入查明汞供应来源的工作。上述来源不含汞或汞化合物进口，因为此类进口并非位于缔约方领土上的来源。</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15.</w:t>
      </w:r>
      <w:r w:rsidRPr="0055515E">
        <w:rPr>
          <w:rFonts w:hint="eastAsia"/>
          <w:sz w:val="24"/>
          <w:szCs w:val="24"/>
        </w:rPr>
        <w:tab/>
      </w:r>
      <w:r w:rsidRPr="0055515E">
        <w:rPr>
          <w:rFonts w:hint="eastAsia"/>
          <w:sz w:val="24"/>
          <w:szCs w:val="24"/>
        </w:rPr>
        <w:t>查明可能的汞供应来源可以从案头工作开始，包括检查各种可以与估算用量对比的记录，如交易记录、汞或汞化合物分销证明和进出口记录。对比的目的是查明可能揭示以往未知汞用途或者表明存在其他供应来源的重大差异。</w:t>
      </w:r>
      <w:r w:rsidRPr="0055515E">
        <w:rPr>
          <w:rFonts w:hint="eastAsia"/>
          <w:sz w:val="24"/>
          <w:szCs w:val="24"/>
        </w:rPr>
        <w:t xml:space="preserve"> </w:t>
      </w:r>
    </w:p>
    <w:p w:rsidR="004C02A3" w:rsidRPr="00193B09" w:rsidRDefault="004C02A3" w:rsidP="004C02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7" w:right="29" w:hanging="1267"/>
        <w:rPr>
          <w:rFonts w:hAnsi="SimHei"/>
          <w:b/>
          <w:szCs w:val="28"/>
        </w:rPr>
      </w:pPr>
      <w:r w:rsidRPr="0055515E">
        <w:rPr>
          <w:rFonts w:hAnsi="SimHei"/>
          <w:sz w:val="24"/>
          <w:szCs w:val="24"/>
        </w:rPr>
        <w:tab/>
      </w:r>
      <w:r w:rsidRPr="0055515E">
        <w:rPr>
          <w:rFonts w:hAnsi="SimHei"/>
          <w:sz w:val="24"/>
          <w:szCs w:val="24"/>
        </w:rPr>
        <w:tab/>
      </w:r>
      <w:r w:rsidRPr="00193B09">
        <w:rPr>
          <w:rFonts w:hAnsi="SimHei" w:hint="eastAsia"/>
          <w:b/>
          <w:szCs w:val="28"/>
        </w:rPr>
        <w:t>协助查明汞或汞化合物库存或汞供应来源的指导性问题</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16.</w:t>
      </w:r>
      <w:r w:rsidRPr="0055515E">
        <w:rPr>
          <w:rFonts w:hint="eastAsia"/>
          <w:sz w:val="24"/>
          <w:szCs w:val="24"/>
        </w:rPr>
        <w:tab/>
      </w:r>
      <w:r w:rsidRPr="0055515E">
        <w:rPr>
          <w:rFonts w:hint="eastAsia"/>
          <w:sz w:val="24"/>
          <w:szCs w:val="24"/>
        </w:rPr>
        <w:t>考虑到上述内容，下列问题可协助确定某个国家是否有</w:t>
      </w:r>
      <w:r w:rsidRPr="0055515E">
        <w:rPr>
          <w:rFonts w:hint="eastAsia"/>
          <w:sz w:val="24"/>
          <w:szCs w:val="24"/>
        </w:rPr>
        <w:t>50</w:t>
      </w:r>
      <w:r w:rsidRPr="0055515E">
        <w:rPr>
          <w:rFonts w:hint="eastAsia"/>
          <w:sz w:val="24"/>
          <w:szCs w:val="24"/>
        </w:rPr>
        <w:t>公吨以上汞或汞化合物库存或每年产生</w:t>
      </w:r>
      <w:r w:rsidRPr="0055515E">
        <w:rPr>
          <w:rFonts w:hint="eastAsia"/>
          <w:sz w:val="24"/>
          <w:szCs w:val="24"/>
        </w:rPr>
        <w:t>10</w:t>
      </w:r>
      <w:r w:rsidRPr="0055515E">
        <w:rPr>
          <w:rFonts w:hint="eastAsia"/>
          <w:sz w:val="24"/>
          <w:szCs w:val="24"/>
        </w:rPr>
        <w:t>公吨以上库存的汞供应来源：</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(a)</w:t>
      </w:r>
      <w:r w:rsidRPr="0055515E">
        <w:rPr>
          <w:rFonts w:hint="eastAsia"/>
          <w:sz w:val="24"/>
          <w:szCs w:val="24"/>
        </w:rPr>
        <w:tab/>
      </w:r>
      <w:r w:rsidRPr="0055515E">
        <w:rPr>
          <w:rFonts w:hint="eastAsia"/>
          <w:sz w:val="24"/>
          <w:szCs w:val="24"/>
        </w:rPr>
        <w:t>该国领土上有无初级采矿活动？</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(b)</w:t>
      </w:r>
      <w:r w:rsidRPr="0055515E">
        <w:rPr>
          <w:rFonts w:hint="eastAsia"/>
          <w:sz w:val="24"/>
          <w:szCs w:val="24"/>
        </w:rPr>
        <w:tab/>
      </w:r>
      <w:r w:rsidRPr="0055515E">
        <w:rPr>
          <w:rFonts w:hint="eastAsia"/>
          <w:sz w:val="24"/>
          <w:szCs w:val="24"/>
        </w:rPr>
        <w:t>领土上有无已查明的使用前汞储存场地？</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(c)</w:t>
      </w:r>
      <w:r w:rsidRPr="0055515E">
        <w:rPr>
          <w:rFonts w:hint="eastAsia"/>
          <w:sz w:val="24"/>
          <w:szCs w:val="24"/>
        </w:rPr>
        <w:tab/>
      </w:r>
      <w:r w:rsidRPr="0055515E">
        <w:rPr>
          <w:rFonts w:hint="eastAsia"/>
          <w:sz w:val="24"/>
          <w:szCs w:val="24"/>
        </w:rPr>
        <w:t>领土上有无可能产生汞的循环再用或回收活动？如有，此类活动产生的汞数量是多少？</w:t>
      </w:r>
      <w:r w:rsidRPr="0055515E">
        <w:rPr>
          <w:rFonts w:hint="eastAsia"/>
          <w:sz w:val="24"/>
          <w:szCs w:val="24"/>
        </w:rPr>
        <w:t xml:space="preserve"> </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(d)</w:t>
      </w:r>
      <w:r w:rsidRPr="0055515E">
        <w:rPr>
          <w:rFonts w:hint="eastAsia"/>
          <w:sz w:val="24"/>
          <w:szCs w:val="24"/>
        </w:rPr>
        <w:tab/>
      </w:r>
      <w:r w:rsidRPr="0055515E">
        <w:rPr>
          <w:rFonts w:hint="eastAsia"/>
          <w:sz w:val="24"/>
          <w:szCs w:val="24"/>
        </w:rPr>
        <w:t>有无氯碱厂、氯乙烯单体厂或其他在制造工艺中使用汞或汞化合物的设施退役计划？</w:t>
      </w:r>
    </w:p>
    <w:p w:rsidR="004C02A3" w:rsidRPr="0055515E" w:rsidRDefault="004C02A3" w:rsidP="004C02A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pacing w:val="2"/>
          <w:sz w:val="24"/>
          <w:szCs w:val="24"/>
        </w:rPr>
      </w:pPr>
      <w:r w:rsidRPr="0055515E">
        <w:rPr>
          <w:spacing w:val="2"/>
          <w:sz w:val="24"/>
          <w:szCs w:val="24"/>
        </w:rPr>
        <w:tab/>
      </w:r>
      <w:r w:rsidRPr="0055515E">
        <w:rPr>
          <w:rFonts w:hint="eastAsia"/>
          <w:spacing w:val="2"/>
          <w:sz w:val="24"/>
          <w:szCs w:val="24"/>
        </w:rPr>
        <w:t>(e)</w:t>
      </w:r>
      <w:r w:rsidRPr="0055515E">
        <w:rPr>
          <w:rFonts w:hint="eastAsia"/>
          <w:spacing w:val="2"/>
          <w:sz w:val="24"/>
          <w:szCs w:val="24"/>
        </w:rPr>
        <w:tab/>
      </w:r>
      <w:r w:rsidRPr="0055515E">
        <w:rPr>
          <w:rFonts w:hint="eastAsia"/>
          <w:spacing w:val="2"/>
          <w:sz w:val="24"/>
          <w:szCs w:val="24"/>
        </w:rPr>
        <w:t>境内有无可能产生衍生汞的设施？如有，这些设施所产生的汞数量是多少？</w:t>
      </w:r>
    </w:p>
    <w:p w:rsidR="00F45136" w:rsidRPr="004C02A3" w:rsidRDefault="004C02A3">
      <w:pPr>
        <w:rPr>
          <w:lang w:val="en-US"/>
        </w:rPr>
      </w:pPr>
    </w:p>
    <w:sectPr w:rsidR="00F45136" w:rsidRPr="004C02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A3" w:rsidRDefault="004C02A3" w:rsidP="004C02A3">
      <w:pPr>
        <w:spacing w:after="0" w:line="240" w:lineRule="auto"/>
      </w:pPr>
      <w:r>
        <w:separator/>
      </w:r>
    </w:p>
  </w:endnote>
  <w:endnote w:type="continuationSeparator" w:id="0">
    <w:p w:rsidR="004C02A3" w:rsidRDefault="004C02A3" w:rsidP="004C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A3" w:rsidRDefault="004C02A3" w:rsidP="004C02A3">
      <w:pPr>
        <w:spacing w:after="0" w:line="240" w:lineRule="auto"/>
      </w:pPr>
      <w:r>
        <w:separator/>
      </w:r>
    </w:p>
  </w:footnote>
  <w:footnote w:type="continuationSeparator" w:id="0">
    <w:p w:rsidR="004C02A3" w:rsidRDefault="004C02A3" w:rsidP="004C02A3">
      <w:pPr>
        <w:spacing w:after="0" w:line="240" w:lineRule="auto"/>
      </w:pPr>
      <w:r>
        <w:continuationSeparator/>
      </w:r>
    </w:p>
  </w:footnote>
  <w:footnote w:id="1">
    <w:p w:rsidR="004C02A3" w:rsidRPr="0046580C" w:rsidRDefault="004C02A3" w:rsidP="004C02A3">
      <w:pPr>
        <w:pStyle w:val="FootnoteText"/>
        <w:widowControl w:val="0"/>
        <w:tabs>
          <w:tab w:val="right" w:pos="1195"/>
          <w:tab w:val="left" w:pos="1264"/>
          <w:tab w:val="left" w:pos="1695"/>
          <w:tab w:val="left" w:pos="2126"/>
          <w:tab w:val="left" w:pos="2557"/>
        </w:tabs>
        <w:kinsoku w:val="0"/>
        <w:overflowPunct w:val="0"/>
        <w:autoSpaceDE w:val="0"/>
        <w:autoSpaceDN w:val="0"/>
        <w:spacing w:before="20" w:after="40" w:line="240" w:lineRule="auto"/>
        <w:ind w:left="1267" w:right="1267" w:firstLine="0"/>
        <w:jc w:val="left"/>
        <w:rPr>
          <w:sz w:val="20"/>
        </w:rPr>
      </w:pPr>
      <w:r w:rsidRPr="00821250">
        <w:rPr>
          <w:rStyle w:val="FootnoteReference"/>
        </w:rPr>
        <w:footnoteRef/>
      </w:r>
      <w:r>
        <w:rPr>
          <w:sz w:val="20"/>
        </w:rPr>
        <w:t xml:space="preserve"> </w:t>
      </w:r>
      <w:r w:rsidRPr="00C44372">
        <w:rPr>
          <w:sz w:val="20"/>
        </w:rPr>
        <w:t>可查询：</w:t>
      </w:r>
      <w:r w:rsidRPr="0046580C">
        <w:rPr>
          <w:rFonts w:hint="eastAsia"/>
          <w:sz w:val="20"/>
        </w:rPr>
        <w:t>www.unep.org/chemicalsandwaste/Mercury/ GlobalMercuryPartnership/</w:t>
      </w:r>
      <w:r>
        <w:rPr>
          <w:sz w:val="20"/>
        </w:rPr>
        <w:br/>
      </w:r>
      <w:r w:rsidRPr="0046580C">
        <w:rPr>
          <w:rFonts w:hint="eastAsia"/>
          <w:sz w:val="20"/>
        </w:rPr>
        <w:t>ChloralkaliSector /</w:t>
      </w:r>
      <w:r w:rsidRPr="0046580C">
        <w:rPr>
          <w:sz w:val="20"/>
        </w:rPr>
        <w:t xml:space="preserve"> </w:t>
      </w:r>
      <w:r w:rsidRPr="0046580C">
        <w:rPr>
          <w:rFonts w:hint="eastAsia"/>
          <w:sz w:val="20"/>
        </w:rPr>
        <w:t>Reports/tabid/4495/language/en-US/Default.aspx</w:t>
      </w:r>
      <w:r w:rsidRPr="0046580C">
        <w:rPr>
          <w:rFonts w:hint="eastAsia"/>
          <w:sz w:val="20"/>
        </w:rPr>
        <w:t>。</w:t>
      </w:r>
    </w:p>
    <w:p w:rsidR="004C02A3" w:rsidRDefault="004C02A3" w:rsidP="004C02A3">
      <w:pPr>
        <w:pStyle w:val="FootnoteText"/>
        <w:widowControl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A3"/>
    <w:rsid w:val="0045515E"/>
    <w:rsid w:val="004919DC"/>
    <w:rsid w:val="004C02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SingleTxt"/>
    <w:qFormat/>
    <w:rsid w:val="004C02A3"/>
    <w:pPr>
      <w:keepNext/>
      <w:keepLines/>
      <w:tabs>
        <w:tab w:val="left" w:pos="57"/>
      </w:tabs>
      <w:suppressAutoHyphens/>
      <w:spacing w:after="0" w:line="400" w:lineRule="exact"/>
      <w:jc w:val="both"/>
      <w:outlineLvl w:val="0"/>
    </w:pPr>
    <w:rPr>
      <w:rFonts w:ascii="SimHei" w:eastAsia="SimHei" w:hAnsi="Times New Roman" w:cs="Times New Roman"/>
      <w:kern w:val="14"/>
      <w:sz w:val="28"/>
      <w:szCs w:val="20"/>
      <w:lang w:val="en-US"/>
    </w:rPr>
  </w:style>
  <w:style w:type="paragraph" w:customStyle="1" w:styleId="SingleTxt">
    <w:name w:val="__Single Txt"/>
    <w:basedOn w:val="Normal"/>
    <w:qFormat/>
    <w:rsid w:val="004C02A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ascii="Times New Roman" w:eastAsia="SimSun" w:hAnsi="Times New Roman" w:cs="Times New Roman"/>
      <w:kern w:val="14"/>
      <w:sz w:val="21"/>
      <w:szCs w:val="20"/>
      <w:lang w:val="en-US"/>
    </w:rPr>
  </w:style>
  <w:style w:type="character" w:styleId="FootnoteReference">
    <w:name w:val="footnote reference"/>
    <w:basedOn w:val="DefaultParagraphFont"/>
    <w:semiHidden/>
    <w:rsid w:val="004C02A3"/>
    <w:rPr>
      <w:color w:val="auto"/>
      <w:spacing w:val="0"/>
      <w:w w:val="150"/>
      <w:position w:val="0"/>
      <w:vertAlign w:val="superscript"/>
    </w:rPr>
  </w:style>
  <w:style w:type="paragraph" w:styleId="FootnoteText">
    <w:name w:val="footnote text"/>
    <w:basedOn w:val="Normal"/>
    <w:link w:val="FootnoteTextChar"/>
    <w:semiHidden/>
    <w:rsid w:val="004C02A3"/>
    <w:pPr>
      <w:tabs>
        <w:tab w:val="right" w:pos="418"/>
      </w:tabs>
      <w:spacing w:after="120" w:line="240" w:lineRule="exact"/>
      <w:ind w:left="170" w:hanging="170"/>
      <w:jc w:val="both"/>
    </w:pPr>
    <w:rPr>
      <w:rFonts w:ascii="Times New Roman" w:eastAsia="SimSun" w:hAnsi="Times New Roman" w:cs="Times New Roman"/>
      <w:noProof/>
      <w:kern w:val="14"/>
      <w:sz w:val="18"/>
      <w:szCs w:val="20"/>
      <w:lang w:val="en-US"/>
    </w:rPr>
  </w:style>
  <w:style w:type="character" w:customStyle="1" w:styleId="FootnoteTextChar">
    <w:name w:val="Footnote Text Char"/>
    <w:basedOn w:val="DefaultParagraphFont"/>
    <w:link w:val="FootnoteText"/>
    <w:semiHidden/>
    <w:rsid w:val="004C02A3"/>
    <w:rPr>
      <w:rFonts w:ascii="Times New Roman" w:eastAsia="SimSun" w:hAnsi="Times New Roman" w:cs="Times New Roman"/>
      <w:noProof/>
      <w:kern w:val="14"/>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SingleTxt"/>
    <w:qFormat/>
    <w:rsid w:val="004C02A3"/>
    <w:pPr>
      <w:keepNext/>
      <w:keepLines/>
      <w:tabs>
        <w:tab w:val="left" w:pos="57"/>
      </w:tabs>
      <w:suppressAutoHyphens/>
      <w:spacing w:after="0" w:line="400" w:lineRule="exact"/>
      <w:jc w:val="both"/>
      <w:outlineLvl w:val="0"/>
    </w:pPr>
    <w:rPr>
      <w:rFonts w:ascii="SimHei" w:eastAsia="SimHei" w:hAnsi="Times New Roman" w:cs="Times New Roman"/>
      <w:kern w:val="14"/>
      <w:sz w:val="28"/>
      <w:szCs w:val="20"/>
      <w:lang w:val="en-US"/>
    </w:rPr>
  </w:style>
  <w:style w:type="paragraph" w:customStyle="1" w:styleId="SingleTxt">
    <w:name w:val="__Single Txt"/>
    <w:basedOn w:val="Normal"/>
    <w:qFormat/>
    <w:rsid w:val="004C02A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ascii="Times New Roman" w:eastAsia="SimSun" w:hAnsi="Times New Roman" w:cs="Times New Roman"/>
      <w:kern w:val="14"/>
      <w:sz w:val="21"/>
      <w:szCs w:val="20"/>
      <w:lang w:val="en-US"/>
    </w:rPr>
  </w:style>
  <w:style w:type="character" w:styleId="FootnoteReference">
    <w:name w:val="footnote reference"/>
    <w:basedOn w:val="DefaultParagraphFont"/>
    <w:semiHidden/>
    <w:rsid w:val="004C02A3"/>
    <w:rPr>
      <w:color w:val="auto"/>
      <w:spacing w:val="0"/>
      <w:w w:val="150"/>
      <w:position w:val="0"/>
      <w:vertAlign w:val="superscript"/>
    </w:rPr>
  </w:style>
  <w:style w:type="paragraph" w:styleId="FootnoteText">
    <w:name w:val="footnote text"/>
    <w:basedOn w:val="Normal"/>
    <w:link w:val="FootnoteTextChar"/>
    <w:semiHidden/>
    <w:rsid w:val="004C02A3"/>
    <w:pPr>
      <w:tabs>
        <w:tab w:val="right" w:pos="418"/>
      </w:tabs>
      <w:spacing w:after="120" w:line="240" w:lineRule="exact"/>
      <w:ind w:left="170" w:hanging="170"/>
      <w:jc w:val="both"/>
    </w:pPr>
    <w:rPr>
      <w:rFonts w:ascii="Times New Roman" w:eastAsia="SimSun" w:hAnsi="Times New Roman" w:cs="Times New Roman"/>
      <w:noProof/>
      <w:kern w:val="14"/>
      <w:sz w:val="18"/>
      <w:szCs w:val="20"/>
      <w:lang w:val="en-US"/>
    </w:rPr>
  </w:style>
  <w:style w:type="character" w:customStyle="1" w:styleId="FootnoteTextChar">
    <w:name w:val="Footnote Text Char"/>
    <w:basedOn w:val="DefaultParagraphFont"/>
    <w:link w:val="FootnoteText"/>
    <w:semiHidden/>
    <w:rsid w:val="004C02A3"/>
    <w:rPr>
      <w:rFonts w:ascii="Times New Roman" w:eastAsia="SimSun" w:hAnsi="Times New Roman" w:cs="Times New Roman"/>
      <w:noProof/>
      <w:kern w:val="14"/>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关于逐个查明50公吨以上的汞或汞化合物库存以及每年出产10公吨以上库存的汞供应来源的指导意见草案</vt:lpstr>
      <vt:lpstr>背景</vt:lpstr>
      <vt:lpstr>定义</vt:lpstr>
      <vt:lpstr>50公吨以上的汞或汞化合物个别库存</vt:lpstr>
      <vt:lpstr>每年产生10公吨以上库存的汞供应来源</vt:lpstr>
      <vt:lpstr>协助查明汞或汞化合物库存或汞供应来源的指导性问题</vt:lpstr>
    </vt:vector>
  </TitlesOfParts>
  <Company>United Nations Office at Geneva</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2016-12-28T15:25:00Z</dcterms:created>
  <dcterms:modified xsi:type="dcterms:W3CDTF">2016-12-28T15:25:00Z</dcterms:modified>
</cp:coreProperties>
</file>