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0F203051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6C310F">
              <w:rPr>
                <w:lang w:val="en-GB"/>
              </w:rPr>
              <w:t>3/</w:t>
            </w:r>
            <w:r w:rsidR="006004E9">
              <w:rPr>
                <w:lang w:val="en-GB"/>
              </w:rPr>
              <w:t>Dec.</w:t>
            </w:r>
            <w:r w:rsidR="00AA2719">
              <w:rPr>
                <w:lang w:val="en-GB"/>
              </w:rPr>
              <w:t>8</w:t>
            </w:r>
          </w:p>
        </w:tc>
      </w:tr>
      <w:tr w:rsidR="00032E4E" w:rsidRPr="00673B23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605C9DC1" w:rsidR="00093477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</w:t>
            </w:r>
            <w:r w:rsidRPr="00826AF3">
              <w:rPr>
                <w:lang w:val="en-GB"/>
              </w:rPr>
              <w:t xml:space="preserve">.: </w:t>
            </w:r>
            <w:r w:rsidR="00684351">
              <w:rPr>
                <w:lang w:val="en-GB"/>
              </w:rPr>
              <w:t>General</w:t>
            </w:r>
          </w:p>
          <w:p w14:paraId="32AB44BC" w14:textId="10AB42FC" w:rsidR="00032E4E" w:rsidRPr="00620245" w:rsidRDefault="008E14EB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620245">
              <w:rPr>
                <w:lang w:val="en-GB"/>
              </w:rPr>
              <w:t xml:space="preserve"> </w:t>
            </w:r>
            <w:r>
              <w:rPr>
                <w:lang w:val="en-GB"/>
              </w:rPr>
              <w:t>January</w:t>
            </w:r>
            <w:r w:rsidR="00032E4E" w:rsidRPr="00826AF3">
              <w:rPr>
                <w:lang w:val="en-GB"/>
              </w:rPr>
              <w:t xml:space="preserve"> 20</w:t>
            </w:r>
            <w:r>
              <w:rPr>
                <w:lang w:val="en-GB"/>
              </w:rPr>
              <w:t>20</w:t>
            </w:r>
          </w:p>
          <w:p w14:paraId="6F78AAFF" w14:textId="77777777" w:rsidR="00032E4E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826AF3">
              <w:rPr>
                <w:lang w:val="en-GB"/>
              </w:rPr>
              <w:t xml:space="preserve"> </w:t>
            </w:r>
            <w:r w:rsidRPr="00826AF3">
              <w:rPr>
                <w:lang w:val="en-GB"/>
              </w:rPr>
              <w:br/>
            </w:r>
            <w:r w:rsidRPr="00200ABD">
              <w:rPr>
                <w:lang w:val="en-GB"/>
              </w:rPr>
              <w:t>Original</w:t>
            </w:r>
            <w:r w:rsidRPr="00826AF3">
              <w:rPr>
                <w:lang w:val="en-GB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51C0D5DE" w:rsidR="00E976AB" w:rsidRPr="00A54CB9" w:rsidRDefault="008257C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>
        <w:rPr>
          <w:b/>
        </w:rPr>
        <w:t>Третье</w:t>
      </w:r>
      <w:r w:rsidR="00787688" w:rsidRPr="00A54CB9">
        <w:rPr>
          <w:b/>
        </w:rPr>
        <w:t xml:space="preserve"> совещание</w:t>
      </w:r>
    </w:p>
    <w:p w14:paraId="025D4C98" w14:textId="7DFFDF00" w:rsidR="00E976AB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>Женева, 2</w:t>
      </w:r>
      <w:r w:rsidR="006C310F" w:rsidRPr="008257C8">
        <w:t>5-29</w:t>
      </w:r>
      <w:r w:rsidRPr="00A54CB9">
        <w:t xml:space="preserve"> </w:t>
      </w:r>
      <w:r w:rsidR="00826AF3">
        <w:t>ноября</w:t>
      </w:r>
      <w:r w:rsidRPr="00A54CB9">
        <w:t xml:space="preserve"> 201</w:t>
      </w:r>
      <w:r w:rsidR="006C310F" w:rsidRPr="008257C8">
        <w:t>9</w:t>
      </w:r>
      <w:r w:rsidRPr="00A54CB9">
        <w:t xml:space="preserve"> года</w:t>
      </w:r>
    </w:p>
    <w:p w14:paraId="7ADEF145" w14:textId="77777777" w:rsidR="00673B23" w:rsidRDefault="00673B23" w:rsidP="00673B23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38968181"/>
      <w:r>
        <w:rPr>
          <w:b/>
          <w:bCs/>
          <w:sz w:val="28"/>
          <w:szCs w:val="28"/>
        </w:rPr>
        <w:t xml:space="preserve">Решение принятое на третьем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25F682A6" w14:textId="77777777" w:rsidR="00AA2719" w:rsidRPr="00C86D57" w:rsidRDefault="00AA2719" w:rsidP="00AA2719">
      <w:pPr>
        <w:pStyle w:val="Heading1"/>
        <w:rPr>
          <w:rFonts w:eastAsia="MS PGothic"/>
          <w:sz w:val="28"/>
          <w:szCs w:val="28"/>
        </w:rPr>
      </w:pPr>
      <w:bookmarkStart w:id="3" w:name="_GoBack"/>
      <w:bookmarkEnd w:id="3"/>
      <w:r>
        <w:t>МК-3/8</w:t>
      </w:r>
      <w:r w:rsidRPr="00E10D27">
        <w:t>: Статья 14: Создание потенциала, техническое содействие и передача технологии</w:t>
      </w:r>
      <w:bookmarkEnd w:id="2"/>
    </w:p>
    <w:p w14:paraId="7CFECF0D" w14:textId="77777777" w:rsidR="00AA2719" w:rsidRPr="00C86D57" w:rsidRDefault="00AA2719" w:rsidP="00AA27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jc w:val="both"/>
        <w:rPr>
          <w:rFonts w:eastAsia="MS PGothic"/>
          <w:i/>
        </w:rPr>
      </w:pPr>
      <w:bookmarkStart w:id="4" w:name="_DV_C968"/>
      <w:r w:rsidRPr="00C86D57">
        <w:rPr>
          <w:i/>
          <w:iCs/>
        </w:rPr>
        <w:t>Конференция Сторон</w:t>
      </w:r>
      <w:bookmarkEnd w:id="4"/>
      <w:r w:rsidRPr="00C86D57">
        <w:rPr>
          <w:i/>
          <w:iCs/>
        </w:rPr>
        <w:t>,</w:t>
      </w:r>
    </w:p>
    <w:p w14:paraId="565A2121" w14:textId="77777777" w:rsidR="00AA2719" w:rsidRPr="00C86D57" w:rsidRDefault="00AA2719" w:rsidP="00AA27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PGothic"/>
        </w:rPr>
      </w:pPr>
      <w:bookmarkStart w:id="5" w:name="_DV_C969"/>
      <w:bookmarkStart w:id="6" w:name="_Hlk530301547"/>
      <w:r w:rsidRPr="00C86D57">
        <w:rPr>
          <w:i/>
          <w:iCs/>
        </w:rPr>
        <w:t>ссылаясь</w:t>
      </w:r>
      <w:r w:rsidRPr="00C86D57">
        <w:t xml:space="preserve"> на решения MК-1/21 и МК-2/11 о создании потенциала, техническом содействии и передаче технологии для </w:t>
      </w:r>
      <w:proofErr w:type="spellStart"/>
      <w:r w:rsidRPr="00C86D57">
        <w:t>Минаматской</w:t>
      </w:r>
      <w:proofErr w:type="spellEnd"/>
      <w:r w:rsidRPr="00C86D57">
        <w:t xml:space="preserve"> конвенции о ртути, в которых признается, что некоторые из существующих региональных и субрегиональных центров уже разрабатывают проекты и мероприятия по вопросам, касающимся ртути,</w:t>
      </w:r>
      <w:bookmarkStart w:id="7" w:name="_DV_C970"/>
      <w:bookmarkStart w:id="8" w:name="_Toc495572439"/>
      <w:bookmarkStart w:id="9" w:name="_DV_C971"/>
      <w:bookmarkStart w:id="10" w:name="_DV_C972"/>
      <w:bookmarkEnd w:id="5"/>
      <w:bookmarkEnd w:id="6"/>
      <w:bookmarkEnd w:id="7"/>
      <w:bookmarkEnd w:id="8"/>
      <w:bookmarkEnd w:id="9"/>
      <w:bookmarkEnd w:id="10"/>
    </w:p>
    <w:p w14:paraId="5AB5CF1F" w14:textId="77777777" w:rsidR="00AA2719" w:rsidRPr="008766F2" w:rsidRDefault="00AA2719" w:rsidP="00AA27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PGothic"/>
        </w:rPr>
      </w:pPr>
      <w:bookmarkStart w:id="11" w:name="_DV_C973"/>
      <w:r w:rsidRPr="00C86D57">
        <w:rPr>
          <w:i/>
          <w:iCs/>
        </w:rPr>
        <w:t>приветствуя</w:t>
      </w:r>
      <w:r w:rsidRPr="00C86D57">
        <w:t xml:space="preserve"> представления Межправительственной сети по химическим веществам и отходам для Латинской Америки и Карибского бассейна и правительства Японии, содержащиеся в подборке информации, полученной в рамках существующих региональных, субрегиональных и национальных механизмов, об их деятельности по созданию потенциала и оказанию технического содействия в целях предоставления Сторонам поддержки в выполнении их обязательств по </w:t>
      </w:r>
      <w:proofErr w:type="spellStart"/>
      <w:r w:rsidRPr="00C86D57">
        <w:t>Минаматской</w:t>
      </w:r>
      <w:proofErr w:type="spellEnd"/>
      <w:r w:rsidRPr="00C86D57">
        <w:t xml:space="preserve"> </w:t>
      </w:r>
      <w:r w:rsidRPr="008766F2">
        <w:t>конвенции</w:t>
      </w:r>
      <w:r w:rsidRPr="008766F2">
        <w:rPr>
          <w:rStyle w:val="DeltaViewInsertion"/>
          <w:rFonts w:eastAsia="MS PGothic"/>
          <w:color w:val="auto"/>
          <w:szCs w:val="18"/>
          <w:u w:val="none"/>
          <w:vertAlign w:val="superscript"/>
        </w:rPr>
        <w:footnoteReference w:customMarkFollows="1" w:id="1"/>
        <w:t>6</w:t>
      </w:r>
      <w:r w:rsidRPr="008766F2">
        <w:t>,</w:t>
      </w:r>
      <w:bookmarkStart w:id="12" w:name="_DV_C974"/>
      <w:bookmarkStart w:id="13" w:name="_DV_C976"/>
      <w:bookmarkEnd w:id="11"/>
      <w:bookmarkEnd w:id="12"/>
    </w:p>
    <w:p w14:paraId="0BD7B3D4" w14:textId="77777777" w:rsidR="00AA2719" w:rsidRPr="00C86D57" w:rsidRDefault="00AA2719" w:rsidP="00AA2719">
      <w:pPr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autoSpaceDE w:val="0"/>
        <w:autoSpaceDN w:val="0"/>
        <w:adjustRightInd w:val="0"/>
        <w:spacing w:after="120"/>
        <w:ind w:left="1247" w:firstLine="624"/>
        <w:rPr>
          <w:rFonts w:eastAsia="MS PGothic"/>
        </w:rPr>
      </w:pPr>
      <w:bookmarkStart w:id="14" w:name="_DV_C977"/>
      <w:bookmarkEnd w:id="13"/>
      <w:r w:rsidRPr="00C86D57">
        <w:rPr>
          <w:i/>
          <w:iCs/>
        </w:rPr>
        <w:t>подчеркивает</w:t>
      </w:r>
      <w:r w:rsidRPr="00C86D57">
        <w:t xml:space="preserve"> актуальность использования, в соответствующих случаях, региональных, субрегиональных и национальных механизмов, включая существующие региональные и субрегиональные центры Базельской конвенции о контроле за трансграничной перевозкой опасных отходов и их удалением и Стокгольмской конвенции о стойких органических загрязнителях, для создания потенциала и оказания технического содействия в соответствии со статьей 14 Конвенции;</w:t>
      </w:r>
      <w:bookmarkStart w:id="15" w:name="_DV_C978"/>
      <w:bookmarkEnd w:id="14"/>
    </w:p>
    <w:p w14:paraId="6D1A7E24" w14:textId="77777777" w:rsidR="00AA2719" w:rsidRPr="00C86D57" w:rsidRDefault="00AA2719" w:rsidP="00AA2719">
      <w:pPr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autoSpaceDE w:val="0"/>
        <w:autoSpaceDN w:val="0"/>
        <w:adjustRightInd w:val="0"/>
        <w:spacing w:after="120"/>
        <w:ind w:left="1247" w:firstLine="624"/>
        <w:rPr>
          <w:rFonts w:eastAsia="MS PGothic"/>
        </w:rPr>
      </w:pPr>
      <w:bookmarkStart w:id="16" w:name="_DV_C979"/>
      <w:bookmarkEnd w:id="15"/>
      <w:r w:rsidRPr="00C86D57">
        <w:rPr>
          <w:i/>
          <w:iCs/>
        </w:rPr>
        <w:t>принимает во внимание</w:t>
      </w:r>
      <w:r w:rsidRPr="00C86D57">
        <w:t xml:space="preserve"> информацию, собранную во исполнение решения МК</w:t>
      </w:r>
      <w:r>
        <w:noBreakHyphen/>
      </w:r>
      <w:r w:rsidRPr="00C86D57">
        <w:t>2/11, ожидает в будущем любую информацию, полученную во исполнение пункта 3 настоящего решения, и призывает Стороны, в рамках их соответствующих возможностей, принимать такую информацию во внимание при осуществлении деятельности по созданию потенциала и оказанию технического содействия во исполнение статьи 14;</w:t>
      </w:r>
      <w:bookmarkStart w:id="17" w:name="_DV_C980"/>
      <w:bookmarkEnd w:id="16"/>
    </w:p>
    <w:bookmarkEnd w:id="17"/>
    <w:p w14:paraId="599F8EF3" w14:textId="48D96A82" w:rsidR="00B943AB" w:rsidRPr="00663E2D" w:rsidRDefault="00AA2719" w:rsidP="00AA27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3.</w:t>
      </w:r>
      <w:r w:rsidRPr="00C86D57">
        <w:tab/>
      </w:r>
      <w:bookmarkStart w:id="18" w:name="_DV_C981"/>
      <w:r w:rsidRPr="00C86D57">
        <w:rPr>
          <w:i/>
          <w:iCs/>
        </w:rPr>
        <w:t>поручает</w:t>
      </w:r>
      <w:r w:rsidRPr="00C86D57">
        <w:t xml:space="preserve"> секретариату </w:t>
      </w:r>
      <w:proofErr w:type="spellStart"/>
      <w:r w:rsidRPr="00C86D57">
        <w:t>Минаматской</w:t>
      </w:r>
      <w:proofErr w:type="spellEnd"/>
      <w:r w:rsidRPr="00C86D57">
        <w:t xml:space="preserve"> конвенции скомпилировать любую информацию, полученную от Сторон, существующих региональных, субрегиональных и национальных механизмов, включая существующие региональные и субрегиональные центры Базельской и Стокгольмской конвенций, об их деятельности по созданию потенциала и оказанию технического содействия в целях предоставления Сторонам поддержки в выполнении их обязательств по </w:t>
      </w:r>
      <w:proofErr w:type="spellStart"/>
      <w:r w:rsidRPr="00C86D57">
        <w:t>Минаматской</w:t>
      </w:r>
      <w:proofErr w:type="spellEnd"/>
      <w:r w:rsidRPr="00C86D57">
        <w:t xml:space="preserve"> конвенции, а также поручает секретариату представить доклад по этому вопросу Конференции Сторон на ее четвертом совещании</w:t>
      </w:r>
      <w:bookmarkEnd w:id="18"/>
      <w:r w:rsidRPr="00C86D57">
        <w:t>.</w:t>
      </w:r>
    </w:p>
    <w:sectPr w:rsidR="00B943AB" w:rsidRPr="00663E2D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F362F" w14:textId="77777777" w:rsidR="008E782D" w:rsidRDefault="008E782D">
      <w:r>
        <w:separator/>
      </w:r>
    </w:p>
  </w:endnote>
  <w:endnote w:type="continuationSeparator" w:id="0">
    <w:p w14:paraId="1F3C55C6" w14:textId="77777777" w:rsidR="008E782D" w:rsidRDefault="008E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19722" w14:textId="77777777" w:rsidR="008E782D" w:rsidRDefault="008E782D" w:rsidP="00851756">
      <w:pPr>
        <w:spacing w:before="60"/>
        <w:ind w:left="624"/>
      </w:pPr>
      <w:r>
        <w:separator/>
      </w:r>
    </w:p>
  </w:footnote>
  <w:footnote w:type="continuationSeparator" w:id="0">
    <w:p w14:paraId="61AB57DE" w14:textId="77777777" w:rsidR="008E782D" w:rsidRDefault="008E782D">
      <w:r>
        <w:continuationSeparator/>
      </w:r>
    </w:p>
  </w:footnote>
  <w:footnote w:id="1">
    <w:p w14:paraId="6CC88569" w14:textId="77777777" w:rsidR="00AA2719" w:rsidRPr="0056253D" w:rsidRDefault="00AA2719" w:rsidP="00AA2719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GB"/>
        </w:rPr>
      </w:pPr>
      <w:r w:rsidRPr="0056253D">
        <w:rPr>
          <w:szCs w:val="18"/>
          <w:vertAlign w:val="superscript"/>
          <w:lang w:val="en-GB"/>
        </w:rPr>
        <w:t>6</w:t>
      </w:r>
      <w:r w:rsidRPr="0056253D">
        <w:rPr>
          <w:szCs w:val="18"/>
          <w:lang w:val="en-GB"/>
        </w:rPr>
        <w:tab/>
        <w:t>UNEP/MC/COP.3/INF/14.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6AC17EA6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</w:t>
    </w:r>
    <w:r w:rsidR="00AF7C58">
      <w:rPr>
        <w:lang w:val="en-US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16196451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</w:t>
    </w:r>
    <w:r w:rsidR="00AA2719">
      <w:rPr>
        <w:lang w:val="en-US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7"/>
  </w:num>
  <w:num w:numId="19">
    <w:abstractNumId w:val="8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2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1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0"/>
  </w:num>
  <w:num w:numId="24">
    <w:abstractNumId w:val="17"/>
  </w:num>
  <w:num w:numId="25">
    <w:abstractNumId w:val="4"/>
  </w:num>
  <w:num w:numId="26">
    <w:abstractNumId w:val="1"/>
  </w:num>
  <w:num w:numId="27">
    <w:abstractNumId w:val="16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9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56F1"/>
    <w:rsid w:val="00106C0B"/>
    <w:rsid w:val="00110D0D"/>
    <w:rsid w:val="001143B8"/>
    <w:rsid w:val="0011776D"/>
    <w:rsid w:val="001202E3"/>
    <w:rsid w:val="00123699"/>
    <w:rsid w:val="001241FB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4C59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07DF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64E6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5D27"/>
    <w:rsid w:val="00466991"/>
    <w:rsid w:val="0047064C"/>
    <w:rsid w:val="004822B7"/>
    <w:rsid w:val="00483E03"/>
    <w:rsid w:val="004844FA"/>
    <w:rsid w:val="00490473"/>
    <w:rsid w:val="004918A9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3E2D"/>
    <w:rsid w:val="00665396"/>
    <w:rsid w:val="00665A4B"/>
    <w:rsid w:val="00665D0D"/>
    <w:rsid w:val="00671E19"/>
    <w:rsid w:val="00673B23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E782D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5BA5"/>
    <w:rsid w:val="00AA0040"/>
    <w:rsid w:val="00AA0FD7"/>
    <w:rsid w:val="00AA2719"/>
    <w:rsid w:val="00AA2EC0"/>
    <w:rsid w:val="00AA5BF4"/>
    <w:rsid w:val="00AB102F"/>
    <w:rsid w:val="00AB2615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AF7C58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3AB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EA3"/>
    <w:rsid w:val="00CA5CA9"/>
    <w:rsid w:val="00CA6C7F"/>
    <w:rsid w:val="00CA7DA7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3D7C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EC99FB-33CD-4234-8986-9475DA33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4</cp:revision>
  <cp:lastPrinted>2020-11-09T11:55:00Z</cp:lastPrinted>
  <dcterms:created xsi:type="dcterms:W3CDTF">2020-11-06T11:05:00Z</dcterms:created>
  <dcterms:modified xsi:type="dcterms:W3CDTF">2020-11-09T11:55:00Z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