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5C08494C"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w:t>
            </w:r>
            <w:r w:rsidR="00B84C67">
              <w:rPr>
                <w:rFonts w:eastAsiaTheme="minorEastAsia"/>
                <w:sz w:val="20"/>
                <w:szCs w:val="20"/>
                <w:lang w:val="en-GB" w:eastAsia="en-US"/>
              </w:rPr>
              <w:t>6</w:t>
            </w:r>
            <w:bookmarkStart w:id="0" w:name="_GoBack"/>
            <w:bookmarkEnd w:id="0"/>
          </w:p>
        </w:tc>
      </w:tr>
      <w:bookmarkStart w:id="1" w:name="_MON_1021710510"/>
      <w:bookmarkEnd w:id="1"/>
      <w:bookmarkStart w:id="2" w:name="_MON_1021710482"/>
      <w:bookmarkEnd w:id="2"/>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1.8pt;mso-width-percent:0;mso-height-percent:0;mso-width-percent:0;mso-height-percent:0" o:ole="" fillcolor="window">
                  <v:imagedata r:id="rId11" o:title=""/>
                </v:shape>
                <o:OLEObject Type="Embed" ProgID="Word.Picture.8" ShapeID="_x0000_i1025" DrawAspect="Content" ObjectID="_1667227007"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FA6EEC" w:rsidRDefault="00C955D4" w:rsidP="00FA6EEC">
      <w:pPr>
        <w:keepNext/>
        <w:keepLines/>
        <w:tabs>
          <w:tab w:val="left" w:pos="4082"/>
        </w:tabs>
        <w:suppressAutoHyphens/>
        <w:spacing w:after="0" w:line="240" w:lineRule="auto"/>
        <w:ind w:right="5103"/>
        <w:jc w:val="left"/>
        <w:rPr>
          <w:sz w:val="24"/>
          <w:szCs w:val="24"/>
          <w:lang w:val="zh-CN"/>
        </w:rPr>
      </w:pPr>
    </w:p>
    <w:p w14:paraId="4DE0267D" w14:textId="40DAFE81" w:rsidR="00C955D4" w:rsidRDefault="00C955D4" w:rsidP="00FA6EEC">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第三届缔约方会议通过关于汞的水俣公约的决定</w:t>
      </w:r>
    </w:p>
    <w:p w14:paraId="0AFA4944" w14:textId="37A38CA8"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p>
    <w:p w14:paraId="0C878623" w14:textId="7261C253" w:rsidR="00B84C67" w:rsidRDefault="00B84C67" w:rsidP="00B84C67">
      <w:pPr>
        <w:pStyle w:val="Normalnumber"/>
        <w:numPr>
          <w:ilvl w:val="0"/>
          <w:numId w:val="0"/>
        </w:numPr>
        <w:spacing w:before="240"/>
        <w:ind w:left="1247"/>
        <w:outlineLvl w:val="0"/>
        <w:rPr>
          <w:rFonts w:eastAsia="SimHei"/>
          <w:b/>
          <w:sz w:val="28"/>
          <w:szCs w:val="32"/>
          <w:lang w:val="zh-CN" w:eastAsia="zh-CN"/>
        </w:rPr>
      </w:pPr>
      <w:bookmarkStart w:id="3" w:name="_Toc38887986"/>
      <w:r>
        <w:rPr>
          <w:rFonts w:eastAsia="SimHei" w:hint="eastAsia"/>
          <w:b/>
          <w:sz w:val="28"/>
          <w:szCs w:val="32"/>
          <w:lang w:val="zh-CN" w:eastAsia="zh-CN"/>
        </w:rPr>
        <w:t>MC-3/6</w:t>
      </w:r>
      <w:r>
        <w:rPr>
          <w:rFonts w:eastAsia="SimHei" w:hint="eastAsia"/>
          <w:b/>
          <w:sz w:val="28"/>
          <w:szCs w:val="32"/>
          <w:lang w:val="zh-CN" w:eastAsia="zh-CN"/>
        </w:rPr>
        <w:t>：关于污染场地管理的指导意见</w:t>
      </w:r>
      <w:bookmarkEnd w:id="3"/>
    </w:p>
    <w:p w14:paraId="46319E51" w14:textId="77777777" w:rsidR="00B84C67" w:rsidRDefault="00B84C67" w:rsidP="00B84C67">
      <w:pPr>
        <w:pStyle w:val="Normal-pool"/>
        <w:tabs>
          <w:tab w:val="left" w:pos="624"/>
        </w:tabs>
        <w:spacing w:after="120"/>
        <w:ind w:left="1247" w:firstLine="624"/>
        <w:jc w:val="both"/>
        <w:rPr>
          <w:rFonts w:eastAsia="KaiTi" w:hint="eastAsia"/>
          <w:sz w:val="24"/>
          <w:szCs w:val="24"/>
          <w:lang w:eastAsia="zh-CN"/>
        </w:rPr>
      </w:pPr>
      <w:r>
        <w:rPr>
          <w:rFonts w:eastAsia="KaiTi" w:hint="eastAsia"/>
          <w:sz w:val="24"/>
          <w:szCs w:val="24"/>
          <w:lang w:val="zh-CN" w:eastAsia="zh-CN"/>
        </w:rPr>
        <w:t>缔约方大会，</w:t>
      </w:r>
    </w:p>
    <w:p w14:paraId="78936CB4" w14:textId="77777777" w:rsidR="00B84C67" w:rsidRDefault="00B84C67" w:rsidP="00B84C67">
      <w:pPr>
        <w:pStyle w:val="Normal-pool"/>
        <w:tabs>
          <w:tab w:val="left" w:pos="624"/>
        </w:tabs>
        <w:spacing w:after="120"/>
        <w:ind w:left="1247" w:firstLine="624"/>
        <w:jc w:val="both"/>
        <w:rPr>
          <w:i/>
          <w:sz w:val="24"/>
          <w:szCs w:val="24"/>
          <w:lang w:eastAsia="zh-CN"/>
        </w:rPr>
      </w:pPr>
      <w:r>
        <w:rPr>
          <w:rFonts w:eastAsia="KaiTi" w:hint="eastAsia"/>
          <w:sz w:val="24"/>
          <w:szCs w:val="24"/>
          <w:lang w:val="zh-CN" w:eastAsia="zh-CN"/>
        </w:rPr>
        <w:t>确认</w:t>
      </w:r>
      <w:r>
        <w:rPr>
          <w:rFonts w:hint="eastAsia"/>
          <w:sz w:val="24"/>
          <w:szCs w:val="24"/>
          <w:lang w:val="zh-CN" w:eastAsia="zh-CN"/>
        </w:rPr>
        <w:t>需要通过提供指导意见来协助缔约方对污染场地进行无害环境管理，</w:t>
      </w:r>
    </w:p>
    <w:p w14:paraId="4ABE2914" w14:textId="77777777" w:rsidR="00B84C67" w:rsidRDefault="00B84C67" w:rsidP="00B84C67">
      <w:pPr>
        <w:pStyle w:val="Normal-pool"/>
        <w:tabs>
          <w:tab w:val="left" w:pos="624"/>
        </w:tabs>
        <w:spacing w:after="120"/>
        <w:ind w:left="1253" w:firstLine="619"/>
        <w:jc w:val="both"/>
        <w:rPr>
          <w:i/>
          <w:sz w:val="24"/>
          <w:szCs w:val="24"/>
          <w:lang w:eastAsia="zh-CN"/>
        </w:rPr>
      </w:pPr>
      <w:r>
        <w:rPr>
          <w:rFonts w:eastAsia="KaiTi" w:hint="eastAsia"/>
          <w:sz w:val="24"/>
          <w:szCs w:val="24"/>
          <w:lang w:val="zh-CN" w:eastAsia="zh-CN"/>
        </w:rPr>
        <w:t>注意到</w:t>
      </w:r>
      <w:r>
        <w:rPr>
          <w:rFonts w:hint="eastAsia"/>
          <w:sz w:val="24"/>
          <w:szCs w:val="24"/>
          <w:lang w:val="zh-CN" w:eastAsia="zh-CN"/>
        </w:rPr>
        <w:t>秘书处在与各方提名的专家协商的基础上编写了关于污染场地管理的指导意见草案，载于秘书处关于该事项的说明</w:t>
      </w:r>
      <w:r>
        <w:rPr>
          <w:rStyle w:val="FootnoteReference"/>
          <w:sz w:val="24"/>
          <w:szCs w:val="24"/>
          <w:lang w:val="zh-CN" w:eastAsia="zh-CN"/>
        </w:rPr>
        <w:footnoteReference w:id="2"/>
      </w:r>
      <w:r>
        <w:rPr>
          <w:rFonts w:hint="eastAsia"/>
          <w:sz w:val="24"/>
          <w:szCs w:val="24"/>
          <w:lang w:val="zh-CN" w:eastAsia="zh-CN"/>
        </w:rPr>
        <w:t xml:space="preserve"> </w:t>
      </w:r>
      <w:r>
        <w:rPr>
          <w:rFonts w:hint="eastAsia"/>
          <w:sz w:val="24"/>
          <w:szCs w:val="24"/>
          <w:lang w:val="zh-CN" w:eastAsia="zh-CN"/>
        </w:rPr>
        <w:t>附件二，</w:t>
      </w:r>
    </w:p>
    <w:p w14:paraId="7C3ACF7C" w14:textId="77777777" w:rsidR="00B84C67" w:rsidRDefault="00B84C67" w:rsidP="00B84C67">
      <w:pPr>
        <w:pStyle w:val="Normal-pool"/>
        <w:numPr>
          <w:ilvl w:val="0"/>
          <w:numId w:val="39"/>
        </w:numPr>
        <w:tabs>
          <w:tab w:val="clear" w:pos="1247"/>
          <w:tab w:val="clear" w:pos="1814"/>
          <w:tab w:val="clear" w:pos="2381"/>
          <w:tab w:val="left" w:pos="624"/>
          <w:tab w:val="left" w:pos="2430"/>
        </w:tabs>
        <w:spacing w:after="120"/>
        <w:ind w:left="1195" w:firstLine="720"/>
        <w:jc w:val="both"/>
        <w:rPr>
          <w:sz w:val="24"/>
          <w:szCs w:val="24"/>
          <w:lang w:eastAsia="zh-CN"/>
        </w:rPr>
      </w:pPr>
      <w:r>
        <w:rPr>
          <w:rFonts w:eastAsia="KaiTi" w:hint="eastAsia"/>
          <w:sz w:val="24"/>
          <w:szCs w:val="24"/>
          <w:lang w:val="zh-CN" w:eastAsia="zh-CN"/>
        </w:rPr>
        <w:t>通过</w:t>
      </w:r>
      <w:r>
        <w:rPr>
          <w:rFonts w:hint="eastAsia"/>
          <w:sz w:val="24"/>
          <w:szCs w:val="24"/>
          <w:lang w:val="zh-CN" w:eastAsia="zh-CN"/>
        </w:rPr>
        <w:t>载于秘书处关于该事项的修订说明</w:t>
      </w:r>
      <w:r>
        <w:rPr>
          <w:rStyle w:val="FootnoteReference"/>
          <w:sz w:val="24"/>
          <w:szCs w:val="24"/>
          <w:lang w:val="zh-CN" w:eastAsia="zh-CN"/>
        </w:rPr>
        <w:footnoteReference w:id="3"/>
      </w:r>
      <w:r>
        <w:rPr>
          <w:rFonts w:hint="eastAsia"/>
          <w:sz w:val="24"/>
          <w:szCs w:val="24"/>
          <w:lang w:val="zh-CN" w:eastAsia="zh-CN"/>
        </w:rPr>
        <w:t xml:space="preserve"> </w:t>
      </w:r>
      <w:r>
        <w:rPr>
          <w:rFonts w:hint="eastAsia"/>
          <w:sz w:val="24"/>
          <w:szCs w:val="24"/>
          <w:lang w:val="zh-CN" w:eastAsia="zh-CN"/>
        </w:rPr>
        <w:t>附件二的关于污染场地管理的指导意见；</w:t>
      </w:r>
    </w:p>
    <w:p w14:paraId="7736C579" w14:textId="77777777" w:rsidR="00B84C67" w:rsidRDefault="00B84C67" w:rsidP="00B84C67">
      <w:pPr>
        <w:pStyle w:val="Normal-pool"/>
        <w:numPr>
          <w:ilvl w:val="0"/>
          <w:numId w:val="39"/>
        </w:numPr>
        <w:tabs>
          <w:tab w:val="left" w:pos="624"/>
          <w:tab w:val="left" w:pos="2430"/>
        </w:tabs>
        <w:spacing w:after="120"/>
        <w:ind w:left="1200" w:firstLine="720"/>
        <w:jc w:val="both"/>
        <w:rPr>
          <w:rFonts w:eastAsia="KaiTi"/>
          <w:sz w:val="24"/>
          <w:szCs w:val="24"/>
          <w:lang w:val="zh-CN" w:eastAsia="zh-CN"/>
        </w:rPr>
      </w:pPr>
      <w:r>
        <w:rPr>
          <w:rFonts w:eastAsia="KaiTi" w:hint="eastAsia"/>
          <w:sz w:val="24"/>
          <w:szCs w:val="24"/>
          <w:lang w:val="zh-CN" w:eastAsia="zh-CN"/>
        </w:rPr>
        <w:t>指出</w:t>
      </w:r>
      <w:r>
        <w:rPr>
          <w:rFonts w:hint="eastAsia"/>
          <w:sz w:val="24"/>
          <w:szCs w:val="24"/>
          <w:lang w:val="zh-CN" w:eastAsia="zh-CN"/>
        </w:rPr>
        <w:t>根据《关于汞的水俣公约》第</w:t>
      </w:r>
      <w:r>
        <w:rPr>
          <w:rFonts w:hint="eastAsia"/>
          <w:sz w:val="24"/>
          <w:szCs w:val="24"/>
          <w:lang w:val="zh-CN" w:eastAsia="zh-CN"/>
        </w:rPr>
        <w:t>13</w:t>
      </w:r>
      <w:r>
        <w:rPr>
          <w:rFonts w:hint="eastAsia"/>
          <w:sz w:val="24"/>
          <w:szCs w:val="24"/>
          <w:lang w:val="zh-CN" w:eastAsia="zh-CN"/>
        </w:rPr>
        <w:t>和第</w:t>
      </w:r>
      <w:r>
        <w:rPr>
          <w:rFonts w:hint="eastAsia"/>
          <w:sz w:val="24"/>
          <w:szCs w:val="24"/>
          <w:lang w:val="zh-CN" w:eastAsia="zh-CN"/>
        </w:rPr>
        <w:t>14</w:t>
      </w:r>
      <w:r>
        <w:rPr>
          <w:rFonts w:hint="eastAsia"/>
          <w:sz w:val="24"/>
          <w:szCs w:val="24"/>
          <w:lang w:val="zh-CN" w:eastAsia="zh-CN"/>
        </w:rPr>
        <w:t>条酌情开展能力建设、技术援助和技术转让的重要性；</w:t>
      </w:r>
    </w:p>
    <w:p w14:paraId="0B42B5DC" w14:textId="77777777" w:rsidR="00B84C67" w:rsidRDefault="00B84C67" w:rsidP="00B84C67">
      <w:pPr>
        <w:pStyle w:val="Normal-pool"/>
        <w:numPr>
          <w:ilvl w:val="0"/>
          <w:numId w:val="39"/>
        </w:numPr>
        <w:tabs>
          <w:tab w:val="left" w:pos="624"/>
          <w:tab w:val="left" w:pos="2430"/>
        </w:tabs>
        <w:spacing w:after="120"/>
        <w:ind w:left="1200" w:firstLine="720"/>
        <w:jc w:val="both"/>
        <w:rPr>
          <w:rFonts w:hint="eastAsia"/>
          <w:sz w:val="24"/>
          <w:szCs w:val="24"/>
          <w:lang w:eastAsia="zh-CN"/>
        </w:rPr>
      </w:pPr>
      <w:r>
        <w:rPr>
          <w:rFonts w:eastAsia="KaiTi" w:hint="eastAsia"/>
          <w:sz w:val="24"/>
          <w:szCs w:val="24"/>
          <w:lang w:val="zh-CN" w:eastAsia="zh-CN"/>
        </w:rPr>
        <w:t>鼓励</w:t>
      </w:r>
      <w:r>
        <w:rPr>
          <w:rFonts w:hint="eastAsia"/>
          <w:sz w:val="24"/>
          <w:szCs w:val="24"/>
          <w:lang w:val="zh-CN" w:eastAsia="zh-CN"/>
        </w:rPr>
        <w:t>缔约方在识别、评估、管理和酌情修复被汞或汞化合物污染的场地时参考该指导意见；</w:t>
      </w:r>
    </w:p>
    <w:p w14:paraId="194778FD" w14:textId="77777777" w:rsidR="00B84C67" w:rsidRDefault="00B84C67" w:rsidP="00B84C67">
      <w:pPr>
        <w:pStyle w:val="Normal-pool"/>
        <w:numPr>
          <w:ilvl w:val="0"/>
          <w:numId w:val="39"/>
        </w:numPr>
        <w:tabs>
          <w:tab w:val="left" w:pos="624"/>
          <w:tab w:val="left" w:pos="2430"/>
        </w:tabs>
        <w:spacing w:after="120"/>
        <w:ind w:left="1200" w:firstLine="720"/>
        <w:jc w:val="both"/>
        <w:rPr>
          <w:sz w:val="24"/>
          <w:szCs w:val="24"/>
          <w:lang w:eastAsia="zh-CN"/>
        </w:rPr>
      </w:pPr>
      <w:r>
        <w:rPr>
          <w:rFonts w:eastAsia="KaiTi" w:hint="eastAsia"/>
          <w:sz w:val="24"/>
          <w:szCs w:val="24"/>
          <w:lang w:val="zh-CN" w:eastAsia="zh-CN"/>
        </w:rPr>
        <w:t>请</w:t>
      </w:r>
      <w:r>
        <w:rPr>
          <w:rFonts w:hint="eastAsia"/>
          <w:sz w:val="24"/>
          <w:szCs w:val="24"/>
          <w:lang w:val="zh-CN" w:eastAsia="zh-CN"/>
        </w:rPr>
        <w:t>秘书处与各国政府、相关网络和其他方面提名的专家合作，继续收集支持该指导意见的技术资料，并向缔约方提供此类资料；</w:t>
      </w:r>
    </w:p>
    <w:p w14:paraId="65F940FF" w14:textId="77777777" w:rsidR="00B84C67" w:rsidRDefault="00B84C67" w:rsidP="00B84C67">
      <w:pPr>
        <w:pStyle w:val="Normal-pool"/>
        <w:numPr>
          <w:ilvl w:val="0"/>
          <w:numId w:val="39"/>
        </w:numPr>
        <w:tabs>
          <w:tab w:val="left" w:pos="624"/>
          <w:tab w:val="left" w:pos="2430"/>
        </w:tabs>
        <w:spacing w:after="120"/>
        <w:ind w:left="1200" w:firstLine="720"/>
        <w:jc w:val="both"/>
        <w:rPr>
          <w:sz w:val="24"/>
          <w:szCs w:val="24"/>
          <w:lang w:eastAsia="zh-CN"/>
        </w:rPr>
      </w:pPr>
      <w:r>
        <w:rPr>
          <w:rFonts w:eastAsia="KaiTi" w:hint="eastAsia"/>
          <w:sz w:val="24"/>
          <w:szCs w:val="24"/>
          <w:lang w:val="zh-CN" w:eastAsia="zh-CN"/>
        </w:rPr>
        <w:t>指出</w:t>
      </w:r>
      <w:r>
        <w:rPr>
          <w:rFonts w:hint="eastAsia"/>
          <w:sz w:val="24"/>
          <w:szCs w:val="24"/>
          <w:lang w:val="zh-CN" w:eastAsia="zh-CN"/>
        </w:rPr>
        <w:t>今后可能需要根据使用经验修订该指导意见，以确保其继续反映最佳做法。</w:t>
      </w:r>
    </w:p>
    <w:p w14:paraId="6AD9913D" w14:textId="263F7498" w:rsidR="00BC57A5" w:rsidRPr="00B84C67" w:rsidRDefault="00BC57A5" w:rsidP="00B84C67">
      <w:pPr>
        <w:pStyle w:val="Normalpool"/>
        <w:spacing w:before="240" w:after="120"/>
        <w:outlineLvl w:val="0"/>
        <w:rPr>
          <w:iCs/>
          <w:sz w:val="24"/>
          <w:szCs w:val="24"/>
          <w:lang w:val="en-GB" w:eastAsia="zh-CN"/>
        </w:rPr>
      </w:pPr>
    </w:p>
    <w:p w14:paraId="0595B7FB" w14:textId="77777777" w:rsidR="005409D8" w:rsidRPr="00FA6EEC" w:rsidRDefault="005409D8" w:rsidP="00FA6EEC">
      <w:pPr>
        <w:pStyle w:val="Normalnumber"/>
        <w:numPr>
          <w:ilvl w:val="0"/>
          <w:numId w:val="0"/>
        </w:numPr>
        <w:ind w:left="1247"/>
        <w:jc w:val="both"/>
        <w:rPr>
          <w:rFonts w:ascii="SimSun" w:hAnsi="SimSun"/>
          <w:sz w:val="24"/>
          <w:szCs w:val="24"/>
          <w:lang w:eastAsia="zh-CN"/>
        </w:rPr>
      </w:pPr>
    </w:p>
    <w:p w14:paraId="0AC921F8" w14:textId="7B9E18EC" w:rsidR="0008311A" w:rsidRPr="00FA6EEC" w:rsidRDefault="0008311A" w:rsidP="00374B66">
      <w:pPr>
        <w:pStyle w:val="Normalnumber"/>
        <w:numPr>
          <w:ilvl w:val="0"/>
          <w:numId w:val="0"/>
        </w:numPr>
        <w:jc w:val="both"/>
        <w:rPr>
          <w:rFonts w:ascii="SimSun" w:hAnsi="SimSun"/>
          <w:sz w:val="24"/>
          <w:szCs w:val="24"/>
          <w:lang w:val="en-US" w:eastAsia="zh-CN"/>
        </w:rPr>
      </w:pPr>
    </w:p>
    <w:sectPr w:rsidR="0008311A" w:rsidRPr="00FA6EEC" w:rsidSect="005C0019">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203D" w14:textId="77777777" w:rsidR="00202C30" w:rsidRDefault="00202C30">
      <w:r>
        <w:separator/>
      </w:r>
    </w:p>
  </w:endnote>
  <w:endnote w:type="continuationSeparator" w:id="0">
    <w:p w14:paraId="5D5176C8" w14:textId="77777777" w:rsidR="00202C30" w:rsidRDefault="00202C30">
      <w:r>
        <w:continuationSeparator/>
      </w:r>
    </w:p>
  </w:endnote>
  <w:endnote w:type="continuationNotice" w:id="1">
    <w:p w14:paraId="4A496EA6" w14:textId="77777777" w:rsidR="00202C30" w:rsidRDefault="0020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83A" w14:textId="41C71A1B" w:rsidR="006A65E1" w:rsidRPr="00F220B0" w:rsidRDefault="006A65E1" w:rsidP="00697F26">
    <w:pPr>
      <w:pStyle w:val="Footer-pool"/>
      <w:spacing w:before="0"/>
      <w:rPr>
        <w:bCs/>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5B86" w14:textId="77777777" w:rsidR="00202C30" w:rsidRPr="008D1ED6" w:rsidRDefault="00202C30"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46514EDD" w14:textId="77777777" w:rsidR="00202C30" w:rsidRDefault="00202C30">
      <w:r>
        <w:continuationSeparator/>
      </w:r>
    </w:p>
  </w:footnote>
  <w:footnote w:type="continuationNotice" w:id="1">
    <w:p w14:paraId="3DAA6028" w14:textId="77777777" w:rsidR="00202C30" w:rsidRDefault="00202C30"/>
  </w:footnote>
  <w:footnote w:id="2">
    <w:p w14:paraId="6B68ABA8" w14:textId="77777777" w:rsidR="00B84C67" w:rsidRDefault="00B84C67" w:rsidP="00B84C67">
      <w:pPr>
        <w:pStyle w:val="FootnoteText"/>
        <w:spacing w:after="40" w:line="240" w:lineRule="auto"/>
        <w:ind w:left="1200" w:firstLine="0"/>
        <w:rPr>
          <w:spacing w:val="0"/>
          <w:w w:val="100"/>
          <w:kern w:val="0"/>
        </w:rPr>
      </w:pPr>
      <w:r>
        <w:rPr>
          <w:rStyle w:val="FootnoteReference"/>
          <w:spacing w:val="0"/>
          <w:w w:val="100"/>
          <w:kern w:val="0"/>
        </w:rPr>
        <w:footnoteRef/>
      </w:r>
      <w:r>
        <w:rPr>
          <w:spacing w:val="0"/>
          <w:w w:val="100"/>
          <w:kern w:val="0"/>
        </w:rPr>
        <w:t xml:space="preserve"> </w:t>
      </w:r>
      <w:r>
        <w:rPr>
          <w:spacing w:val="0"/>
          <w:w w:val="100"/>
          <w:kern w:val="0"/>
          <w:sz w:val="20"/>
          <w:lang w:val="en-US" w:eastAsia="zh-CN"/>
        </w:rPr>
        <w:t>UNEP/MC/COP.3/8</w:t>
      </w:r>
      <w:r>
        <w:rPr>
          <w:rFonts w:hint="eastAsia"/>
          <w:spacing w:val="0"/>
          <w:w w:val="100"/>
          <w:kern w:val="0"/>
          <w:sz w:val="20"/>
          <w:lang w:val="zh-CN" w:eastAsia="zh-CN"/>
        </w:rPr>
        <w:t>。</w:t>
      </w:r>
    </w:p>
  </w:footnote>
  <w:footnote w:id="3">
    <w:p w14:paraId="298E2DF7" w14:textId="77777777" w:rsidR="00B84C67" w:rsidRDefault="00B84C67" w:rsidP="00B84C67">
      <w:pPr>
        <w:pStyle w:val="FootnoteText"/>
        <w:spacing w:after="40" w:line="240" w:lineRule="auto"/>
        <w:ind w:left="1200" w:firstLine="0"/>
      </w:pPr>
      <w:r>
        <w:rPr>
          <w:rStyle w:val="FootnoteReference"/>
          <w:spacing w:val="0"/>
          <w:w w:val="100"/>
          <w:kern w:val="0"/>
        </w:rPr>
        <w:footnoteRef/>
      </w:r>
      <w:r>
        <w:rPr>
          <w:spacing w:val="0"/>
          <w:w w:val="100"/>
          <w:kern w:val="0"/>
        </w:rPr>
        <w:t xml:space="preserve"> </w:t>
      </w:r>
      <w:r>
        <w:rPr>
          <w:spacing w:val="0"/>
          <w:w w:val="100"/>
          <w:kern w:val="0"/>
          <w:sz w:val="20"/>
          <w:lang w:val="en-US" w:eastAsia="zh-CN"/>
        </w:rPr>
        <w:t>UNEP/MC/COP.3/8/</w:t>
      </w:r>
      <w:r>
        <w:rPr>
          <w:spacing w:val="0"/>
          <w:w w:val="100"/>
          <w:kern w:val="0"/>
          <w:sz w:val="20"/>
          <w:lang w:eastAsia="zh-CN"/>
        </w:rPr>
        <w:t>Rev.1</w:t>
      </w:r>
      <w:r>
        <w:rPr>
          <w:rFonts w:hint="eastAsia"/>
          <w:spacing w:val="0"/>
          <w:w w:val="100"/>
          <w:kern w:val="0"/>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415B6620"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w:t>
    </w:r>
    <w:r w:rsidR="00BC57A5">
      <w:rPr>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723E0AE8"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004A4770" w:rsidR="006A65E1" w:rsidRPr="00BC57A5" w:rsidRDefault="00BC57A5" w:rsidP="00BC57A5">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w:t>
    </w:r>
    <w:r w:rsidR="00B84C67">
      <w:rPr>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38"/>
    <w:multiLevelType w:val="hybridMultilevel"/>
    <w:tmpl w:val="76D4452C"/>
    <w:lvl w:ilvl="0" w:tplc="0CBCD482">
      <w:start w:val="1"/>
      <w:numFmt w:val="decimal"/>
      <w:lvlText w:val="%1."/>
      <w:lvlJc w:val="left"/>
      <w:pPr>
        <w:ind w:left="2850" w:hanging="420"/>
      </w:pPr>
      <w:rPr>
        <w:rFonts w:ascii="Times New Roman" w:hAnsi="Times New Roman" w:hint="default"/>
        <w:vertAlign w:val="baseline"/>
      </w:rPr>
    </w:lvl>
    <w:lvl w:ilvl="1" w:tplc="2C4CA38C">
      <w:start w:val="1"/>
      <w:numFmt w:val="lowerLetter"/>
      <w:lvlText w:val="(%2)"/>
      <w:lvlJc w:val="left"/>
      <w:pPr>
        <w:ind w:left="3270" w:hanging="420"/>
      </w:pPr>
      <w:rPr>
        <w:rFonts w:ascii="Times New Roman" w:eastAsia="SimSun" w:hAnsi="Times New Roman" w:hint="default"/>
      </w:rPr>
    </w:lvl>
    <w:lvl w:ilvl="2" w:tplc="0409001B" w:tentative="1">
      <w:start w:val="1"/>
      <w:numFmt w:val="lowerRoman"/>
      <w:lvlText w:val="%3."/>
      <w:lvlJc w:val="right"/>
      <w:pPr>
        <w:ind w:left="3690" w:hanging="420"/>
      </w:pPr>
    </w:lvl>
    <w:lvl w:ilvl="3" w:tplc="0409000F" w:tentative="1">
      <w:start w:val="1"/>
      <w:numFmt w:val="decimal"/>
      <w:lvlText w:val="%4."/>
      <w:lvlJc w:val="left"/>
      <w:pPr>
        <w:ind w:left="411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950" w:hanging="420"/>
      </w:pPr>
    </w:lvl>
    <w:lvl w:ilvl="6" w:tplc="0409000F" w:tentative="1">
      <w:start w:val="1"/>
      <w:numFmt w:val="decimal"/>
      <w:lvlText w:val="%7."/>
      <w:lvlJc w:val="left"/>
      <w:pPr>
        <w:ind w:left="5370" w:hanging="420"/>
      </w:pPr>
    </w:lvl>
    <w:lvl w:ilvl="7" w:tplc="04090019" w:tentative="1">
      <w:start w:val="1"/>
      <w:numFmt w:val="lowerLetter"/>
      <w:lvlText w:val="%8)"/>
      <w:lvlJc w:val="left"/>
      <w:pPr>
        <w:ind w:left="5790" w:hanging="420"/>
      </w:pPr>
    </w:lvl>
    <w:lvl w:ilvl="8" w:tplc="0409001B" w:tentative="1">
      <w:start w:val="1"/>
      <w:numFmt w:val="lowerRoman"/>
      <w:lvlText w:val="%9."/>
      <w:lvlJc w:val="right"/>
      <w:pPr>
        <w:ind w:left="6210" w:hanging="42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7519F9"/>
    <w:multiLevelType w:val="hybridMultilevel"/>
    <w:tmpl w:val="5B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A06A9"/>
    <w:multiLevelType w:val="hybridMultilevel"/>
    <w:tmpl w:val="FFBC89AA"/>
    <w:lvl w:ilvl="0" w:tplc="0409000F">
      <w:start w:val="1"/>
      <w:numFmt w:val="decimal"/>
      <w:lvlText w:val="%1."/>
      <w:lvlJc w:val="left"/>
      <w:pPr>
        <w:ind w:left="2640" w:hanging="360"/>
      </w:pPr>
    </w:lvl>
    <w:lvl w:ilvl="1" w:tplc="08090019">
      <w:start w:val="1"/>
      <w:numFmt w:val="lowerLetter"/>
      <w:lvlText w:val="%2."/>
      <w:lvlJc w:val="left"/>
      <w:pPr>
        <w:ind w:left="3360" w:hanging="360"/>
      </w:pPr>
    </w:lvl>
    <w:lvl w:ilvl="2" w:tplc="0809001B">
      <w:start w:val="1"/>
      <w:numFmt w:val="lowerRoman"/>
      <w:lvlText w:val="%3."/>
      <w:lvlJc w:val="right"/>
      <w:pPr>
        <w:ind w:left="4080" w:hanging="180"/>
      </w:pPr>
    </w:lvl>
    <w:lvl w:ilvl="3" w:tplc="0809000F">
      <w:start w:val="1"/>
      <w:numFmt w:val="decimal"/>
      <w:lvlText w:val="%4."/>
      <w:lvlJc w:val="left"/>
      <w:pPr>
        <w:ind w:left="4800" w:hanging="360"/>
      </w:pPr>
    </w:lvl>
    <w:lvl w:ilvl="4" w:tplc="08090019">
      <w:start w:val="1"/>
      <w:numFmt w:val="lowerLetter"/>
      <w:lvlText w:val="%5."/>
      <w:lvlJc w:val="left"/>
      <w:pPr>
        <w:ind w:left="5520" w:hanging="360"/>
      </w:pPr>
    </w:lvl>
    <w:lvl w:ilvl="5" w:tplc="0809001B">
      <w:start w:val="1"/>
      <w:numFmt w:val="lowerRoman"/>
      <w:lvlText w:val="%6."/>
      <w:lvlJc w:val="right"/>
      <w:pPr>
        <w:ind w:left="6240" w:hanging="180"/>
      </w:pPr>
    </w:lvl>
    <w:lvl w:ilvl="6" w:tplc="0809000F">
      <w:start w:val="1"/>
      <w:numFmt w:val="decimal"/>
      <w:lvlText w:val="%7."/>
      <w:lvlJc w:val="left"/>
      <w:pPr>
        <w:ind w:left="6960" w:hanging="360"/>
      </w:pPr>
    </w:lvl>
    <w:lvl w:ilvl="7" w:tplc="08090019">
      <w:start w:val="1"/>
      <w:numFmt w:val="lowerLetter"/>
      <w:lvlText w:val="%8."/>
      <w:lvlJc w:val="left"/>
      <w:pPr>
        <w:ind w:left="7680" w:hanging="360"/>
      </w:pPr>
    </w:lvl>
    <w:lvl w:ilvl="8" w:tplc="0809001B">
      <w:start w:val="1"/>
      <w:numFmt w:val="lowerRoman"/>
      <w:lvlText w:val="%9."/>
      <w:lvlJc w:val="right"/>
      <w:pPr>
        <w:ind w:left="8400" w:hanging="180"/>
      </w:pPr>
    </w:lvl>
  </w:abstractNum>
  <w:abstractNum w:abstractNumId="6"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1122E4"/>
    <w:multiLevelType w:val="hybridMultilevel"/>
    <w:tmpl w:val="C6BCC0A6"/>
    <w:lvl w:ilvl="0" w:tplc="38A0BC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9" w15:restartNumberingAfterBreak="0">
    <w:nsid w:val="1A3C3625"/>
    <w:multiLevelType w:val="hybridMultilevel"/>
    <w:tmpl w:val="8ACA138C"/>
    <w:lvl w:ilvl="0" w:tplc="78083696">
      <w:start w:val="1"/>
      <w:numFmt w:val="lowerLetter"/>
      <w:lvlText w:val="(%1)"/>
      <w:lvlJc w:val="left"/>
      <w:pPr>
        <w:ind w:left="2232" w:hanging="360"/>
      </w:pPr>
    </w:lvl>
    <w:lvl w:ilvl="1" w:tplc="78083696">
      <w:start w:val="1"/>
      <w:numFmt w:val="lowerLetter"/>
      <w:lvlText w:val="(%2)"/>
      <w:lvlJc w:val="left"/>
      <w:pPr>
        <w:ind w:left="2952" w:hanging="360"/>
      </w:pPr>
    </w:lvl>
    <w:lvl w:ilvl="2" w:tplc="0809001B">
      <w:start w:val="1"/>
      <w:numFmt w:val="lowerRoman"/>
      <w:lvlText w:val="%3."/>
      <w:lvlJc w:val="right"/>
      <w:pPr>
        <w:ind w:left="3672" w:hanging="180"/>
      </w:pPr>
    </w:lvl>
    <w:lvl w:ilvl="3" w:tplc="0809000F">
      <w:start w:val="1"/>
      <w:numFmt w:val="decimal"/>
      <w:lvlText w:val="%4."/>
      <w:lvlJc w:val="left"/>
      <w:pPr>
        <w:ind w:left="4392" w:hanging="360"/>
      </w:pPr>
    </w:lvl>
    <w:lvl w:ilvl="4" w:tplc="08090019">
      <w:start w:val="1"/>
      <w:numFmt w:val="lowerLetter"/>
      <w:lvlText w:val="%5."/>
      <w:lvlJc w:val="left"/>
      <w:pPr>
        <w:ind w:left="5112" w:hanging="360"/>
      </w:pPr>
    </w:lvl>
    <w:lvl w:ilvl="5" w:tplc="0809001B">
      <w:start w:val="1"/>
      <w:numFmt w:val="lowerRoman"/>
      <w:lvlText w:val="%6."/>
      <w:lvlJc w:val="right"/>
      <w:pPr>
        <w:ind w:left="5832" w:hanging="180"/>
      </w:pPr>
    </w:lvl>
    <w:lvl w:ilvl="6" w:tplc="0809000F">
      <w:start w:val="1"/>
      <w:numFmt w:val="decimal"/>
      <w:lvlText w:val="%7."/>
      <w:lvlJc w:val="left"/>
      <w:pPr>
        <w:ind w:left="6552" w:hanging="360"/>
      </w:pPr>
    </w:lvl>
    <w:lvl w:ilvl="7" w:tplc="08090019">
      <w:start w:val="1"/>
      <w:numFmt w:val="lowerLetter"/>
      <w:lvlText w:val="%8."/>
      <w:lvlJc w:val="left"/>
      <w:pPr>
        <w:ind w:left="7272" w:hanging="360"/>
      </w:pPr>
    </w:lvl>
    <w:lvl w:ilvl="8" w:tplc="0809001B">
      <w:start w:val="1"/>
      <w:numFmt w:val="lowerRoman"/>
      <w:lvlText w:val="%9."/>
      <w:lvlJc w:val="right"/>
      <w:pPr>
        <w:ind w:left="7992" w:hanging="180"/>
      </w:pPr>
    </w:lvl>
  </w:abstractNum>
  <w:abstractNum w:abstractNumId="10" w15:restartNumberingAfterBreak="0">
    <w:nsid w:val="1ABC45E1"/>
    <w:multiLevelType w:val="hybridMultilevel"/>
    <w:tmpl w:val="075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7F6955"/>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start w:val="1"/>
      <w:numFmt w:val="decimal"/>
      <w:lvlText w:val="%4."/>
      <w:lvlJc w:val="left"/>
      <w:pPr>
        <w:ind w:left="3104" w:hanging="360"/>
      </w:pPr>
    </w:lvl>
    <w:lvl w:ilvl="4" w:tplc="08090019">
      <w:start w:val="1"/>
      <w:numFmt w:val="lowerLetter"/>
      <w:lvlText w:val="%5."/>
      <w:lvlJc w:val="left"/>
      <w:pPr>
        <w:ind w:left="3824" w:hanging="360"/>
      </w:pPr>
    </w:lvl>
    <w:lvl w:ilvl="5" w:tplc="0809001B">
      <w:start w:val="1"/>
      <w:numFmt w:val="lowerRoman"/>
      <w:lvlText w:val="%6."/>
      <w:lvlJc w:val="right"/>
      <w:pPr>
        <w:ind w:left="4544" w:hanging="180"/>
      </w:pPr>
    </w:lvl>
    <w:lvl w:ilvl="6" w:tplc="0809000F">
      <w:start w:val="1"/>
      <w:numFmt w:val="decimal"/>
      <w:lvlText w:val="%7."/>
      <w:lvlJc w:val="left"/>
      <w:pPr>
        <w:ind w:left="5264" w:hanging="360"/>
      </w:pPr>
    </w:lvl>
    <w:lvl w:ilvl="7" w:tplc="08090019">
      <w:start w:val="1"/>
      <w:numFmt w:val="lowerLetter"/>
      <w:lvlText w:val="%8."/>
      <w:lvlJc w:val="left"/>
      <w:pPr>
        <w:ind w:left="5984" w:hanging="360"/>
      </w:pPr>
    </w:lvl>
    <w:lvl w:ilvl="8" w:tplc="0809001B">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811E23"/>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7" w15:restartNumberingAfterBreak="0">
    <w:nsid w:val="248549E4"/>
    <w:multiLevelType w:val="hybridMultilevel"/>
    <w:tmpl w:val="4D0083F6"/>
    <w:lvl w:ilvl="0" w:tplc="F4FC1496">
      <w:start w:val="1"/>
      <w:numFmt w:val="chineseCountingThousand"/>
      <w:lvlText w:val="%1、"/>
      <w:lvlJc w:val="left"/>
      <w:pPr>
        <w:ind w:left="1287" w:hanging="360"/>
      </w:pPr>
      <w:rPr>
        <w:sz w:val="28"/>
        <w:szCs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24FF7BCD"/>
    <w:multiLevelType w:val="hybridMultilevel"/>
    <w:tmpl w:val="7D6E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2FB01FCC"/>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2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4" w15:restartNumberingAfterBreak="0">
    <w:nsid w:val="381A73AC"/>
    <w:multiLevelType w:val="hybridMultilevel"/>
    <w:tmpl w:val="311EC9F4"/>
    <w:lvl w:ilvl="0" w:tplc="0FF446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93854D6"/>
    <w:multiLevelType w:val="hybridMultilevel"/>
    <w:tmpl w:val="448405EA"/>
    <w:lvl w:ilvl="0" w:tplc="D89EAC36">
      <w:start w:val="1"/>
      <w:numFmt w:val="upperLetter"/>
      <w:lvlText w:val="%1."/>
      <w:lvlJc w:val="left"/>
      <w:pPr>
        <w:ind w:left="1479" w:hanging="855"/>
      </w:pPr>
      <w:rPr>
        <w:rFonts w:hint="default"/>
      </w:r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7" w15:restartNumberingAfterBreak="0">
    <w:nsid w:val="395F2A72"/>
    <w:multiLevelType w:val="hybridMultilevel"/>
    <w:tmpl w:val="3EDE1B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C251FC0"/>
    <w:multiLevelType w:val="hybridMultilevel"/>
    <w:tmpl w:val="F5AC540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A26D3B"/>
    <w:multiLevelType w:val="hybridMultilevel"/>
    <w:tmpl w:val="97E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62FDF"/>
    <w:multiLevelType w:val="hybridMultilevel"/>
    <w:tmpl w:val="1B922A9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6"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551E1B1F"/>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38" w15:restartNumberingAfterBreak="0">
    <w:nsid w:val="555D0FBC"/>
    <w:multiLevelType w:val="hybridMultilevel"/>
    <w:tmpl w:val="C0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41"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297111"/>
    <w:multiLevelType w:val="hybridMultilevel"/>
    <w:tmpl w:val="E572ED9E"/>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35ECC"/>
    <w:multiLevelType w:val="hybridMultilevel"/>
    <w:tmpl w:val="E2849A40"/>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0F">
      <w:start w:val="1"/>
      <w:numFmt w:val="decimal"/>
      <w:lvlText w:val="%3."/>
      <w:lvlJc w:val="lef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6" w15:restartNumberingAfterBreak="0">
    <w:nsid w:val="6B653E7E"/>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47" w15:restartNumberingAfterBreak="0">
    <w:nsid w:val="6FB42071"/>
    <w:multiLevelType w:val="hybridMultilevel"/>
    <w:tmpl w:val="9822F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0AA7E57"/>
    <w:multiLevelType w:val="hybridMultilevel"/>
    <w:tmpl w:val="53321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5D258FB"/>
    <w:multiLevelType w:val="hybridMultilevel"/>
    <w:tmpl w:val="DAF8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F4843"/>
    <w:multiLevelType w:val="hybridMultilevel"/>
    <w:tmpl w:val="9E966072"/>
    <w:lvl w:ilvl="0" w:tplc="0FF44622">
      <w:start w:val="1"/>
      <w:numFmt w:val="chineseCounting"/>
      <w:lvlText w:val="（%1）"/>
      <w:lvlJc w:val="left"/>
      <w:pPr>
        <w:ind w:left="840" w:hanging="48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1"/>
  </w:num>
  <w:num w:numId="3">
    <w:abstractNumId w:val="23"/>
  </w:num>
  <w:num w:numId="4">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
  </w:num>
  <w:num w:numId="7">
    <w:abstractNumId w:val="19"/>
  </w:num>
  <w:num w:numId="8">
    <w:abstractNumId w:val="29"/>
  </w:num>
  <w:num w:numId="9">
    <w:abstractNumId w:val="15"/>
  </w:num>
  <w:num w:numId="10">
    <w:abstractNumId w:val="32"/>
  </w:num>
  <w:num w:numId="11">
    <w:abstractNumId w:val="3"/>
  </w:num>
  <w:num w:numId="12">
    <w:abstractNumId w:val="26"/>
    <w:lvlOverride w:ilvl="0">
      <w:lvl w:ilvl="0" w:tplc="D89EAC36">
        <w:start w:val="1"/>
        <w:numFmt w:val="upperLetter"/>
        <w:lvlText w:val="%1."/>
        <w:lvlJc w:val="left"/>
        <w:pPr>
          <w:ind w:left="1479" w:hanging="855"/>
        </w:pPr>
        <w:rPr>
          <w:rFonts w:hint="default"/>
        </w:rPr>
      </w:lvl>
    </w:lvlOverride>
  </w:num>
  <w:num w:numId="13">
    <w:abstractNumId w:val="55"/>
    <w:lvlOverride w:ilvl="0">
      <w:lvl w:ilvl="0" w:tplc="0409000F">
        <w:start w:val="1"/>
        <w:numFmt w:val="decimal"/>
        <w:lvlText w:val="%1."/>
        <w:lvlJc w:val="left"/>
        <w:pPr>
          <w:ind w:left="720" w:hanging="360"/>
        </w:pPr>
      </w:lvl>
    </w:lvlOverride>
  </w:num>
  <w:num w:numId="14">
    <w:abstractNumId w:val="4"/>
    <w:lvlOverride w:ilvl="0">
      <w:lvl w:ilvl="0" w:tplc="B492C146">
        <w:start w:val="1"/>
        <w:numFmt w:val="lowerLetter"/>
        <w:lvlText w:val="(%1)"/>
        <w:lvlJc w:val="left"/>
        <w:pPr>
          <w:ind w:left="720" w:hanging="360"/>
        </w:pPr>
        <w:rPr>
          <w:rFonts w:hint="default"/>
        </w:rPr>
      </w:lvl>
    </w:lvlOverride>
  </w:num>
  <w:num w:numId="15">
    <w:abstractNumId w:val="39"/>
    <w:lvlOverride w:ilvl="0">
      <w:lvl w:ilvl="0" w:tplc="B492C146">
        <w:start w:val="1"/>
        <w:numFmt w:val="lowerLetter"/>
        <w:lvlText w:val="(%1)"/>
        <w:lvlJc w:val="left"/>
        <w:pPr>
          <w:ind w:left="720" w:hanging="360"/>
        </w:pPr>
        <w:rPr>
          <w:rFonts w:hint="default"/>
        </w:rPr>
      </w:lvl>
    </w:lvlOverride>
  </w:num>
  <w:num w:numId="16">
    <w:abstractNumId w:val="24"/>
    <w:lvlOverride w:ilvl="0">
      <w:lvl w:ilvl="0" w:tplc="0FF44622">
        <w:start w:val="1"/>
        <w:numFmt w:val="chineseCounting"/>
        <w:lvlText w:val="（%1）"/>
        <w:lvlJc w:val="left"/>
        <w:pPr>
          <w:ind w:left="720" w:hanging="360"/>
        </w:pPr>
        <w:rPr>
          <w:rFonts w:hint="default"/>
          <w:sz w:val="20"/>
          <w:szCs w:val="20"/>
        </w:rPr>
      </w:lvl>
    </w:lvlOverride>
  </w:num>
  <w:num w:numId="17">
    <w:abstractNumId w:val="7"/>
    <w:lvlOverride w:ilvl="0">
      <w:lvl w:ilvl="0" w:tplc="38A0BC34">
        <w:start w:val="1"/>
        <w:numFmt w:val="chineseCounting"/>
        <w:lvlText w:val="（%1）"/>
        <w:lvlJc w:val="left"/>
        <w:pPr>
          <w:ind w:left="720" w:hanging="360"/>
        </w:pPr>
        <w:rPr>
          <w:rFonts w:hint="default"/>
          <w:sz w:val="20"/>
          <w:szCs w:val="20"/>
        </w:rPr>
      </w:lvl>
    </w:lvlOverride>
  </w:num>
  <w:num w:numId="18">
    <w:abstractNumId w:val="51"/>
    <w:lvlOverride w:ilvl="0">
      <w:lvl w:ilvl="0" w:tplc="B492C146">
        <w:start w:val="1"/>
        <w:numFmt w:val="lowerLetter"/>
        <w:lvlText w:val="(%1)"/>
        <w:lvlJc w:val="left"/>
        <w:pPr>
          <w:ind w:left="720" w:hanging="360"/>
        </w:pPr>
        <w:rPr>
          <w:rFonts w:hint="default"/>
        </w:rPr>
      </w:lvl>
    </w:lvlOverride>
  </w:num>
  <w:num w:numId="19">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5"/>
    <w:lvlOverride w:ilvl="0">
      <w:lvl w:ilvl="0" w:tplc="29F2B758">
        <w:start w:val="1"/>
        <w:numFmt w:val="decimal"/>
        <w:lvlText w:val="%1."/>
        <w:lvlJc w:val="left"/>
        <w:pPr>
          <w:ind w:left="2591" w:hanging="360"/>
        </w:pPr>
        <w:rPr>
          <w:b w:val="0"/>
        </w:rPr>
      </w:lvl>
    </w:lvlOverride>
  </w:num>
  <w:num w:numId="23">
    <w:abstractNumId w:val="8"/>
    <w:lvlOverride w:ilvl="1">
      <w:lvl w:ilvl="1" w:tplc="ECA88BCE">
        <w:start w:val="1"/>
        <w:numFmt w:val="lowerLetter"/>
        <w:lvlText w:val="(%2)"/>
        <w:lvlJc w:val="left"/>
        <w:pPr>
          <w:ind w:left="3966" w:hanging="360"/>
        </w:pPr>
        <w:rPr>
          <w:rFonts w:hint="default"/>
          <w:i w:val="0"/>
        </w:rPr>
      </w:lvl>
    </w:lvlOverride>
  </w:num>
  <w:num w:numId="24">
    <w:abstractNumId w:val="56"/>
    <w:lvlOverride w:ilvl="0">
      <w:lvl w:ilvl="0" w:tplc="0416000F">
        <w:start w:val="1"/>
        <w:numFmt w:val="decimal"/>
        <w:lvlText w:val="%1."/>
        <w:lvlJc w:val="left"/>
        <w:pPr>
          <w:ind w:left="720" w:hanging="360"/>
        </w:pPr>
        <w:rPr>
          <w:rFonts w:hint="default"/>
        </w:rPr>
      </w:lvl>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num>
  <w:num w:numId="31">
    <w:abstractNumId w:val="0"/>
  </w:num>
  <w:num w:numId="32">
    <w:abstractNumId w:val="25"/>
    <w:lvlOverride w:ilvl="0">
      <w:lvl w:ilvl="0" w:tplc="F0C20A44">
        <w:start w:val="1"/>
        <w:numFmt w:val="decimal"/>
        <w:lvlText w:val="%1."/>
        <w:lvlJc w:val="left"/>
        <w:pPr>
          <w:ind w:left="720" w:hanging="360"/>
        </w:pPr>
        <w:rPr>
          <w:i w:val="0"/>
        </w:rPr>
      </w:lvl>
    </w:lvlOverride>
  </w:num>
  <w:num w:numId="33">
    <w:abstractNumId w:val="43"/>
    <w:lvlOverride w:ilvl="0">
      <w:lvl w:ilvl="0" w:tplc="A072B35A">
        <w:start w:val="1"/>
        <w:numFmt w:val="lowerLetter"/>
        <w:lvlText w:val="(%1)"/>
        <w:lvlJc w:val="left"/>
        <w:pPr>
          <w:ind w:left="1800" w:hanging="360"/>
        </w:pPr>
        <w:rPr>
          <w:rFonts w:hint="default"/>
        </w:rPr>
      </w:lvl>
    </w:lvlOverride>
  </w:num>
  <w:num w:numId="34">
    <w:abstractNumId w:val="41"/>
    <w:lvlOverride w:ilvl="0">
      <w:lvl w:ilvl="0" w:tplc="A072B35A">
        <w:start w:val="1"/>
        <w:numFmt w:val="lowerLetter"/>
        <w:lvlText w:val="(%1)"/>
        <w:lvlJc w:val="left"/>
        <w:pPr>
          <w:ind w:left="1800" w:hanging="360"/>
        </w:pPr>
        <w:rPr>
          <w:rFonts w:hint="default"/>
        </w:rPr>
      </w:lvl>
    </w:lvlOverride>
  </w:num>
  <w:num w:numId="35">
    <w:abstractNumId w:val="2"/>
  </w:num>
  <w:num w:numId="36">
    <w:abstractNumId w:val="10"/>
  </w:num>
  <w:num w:numId="37">
    <w:abstractNumId w:val="38"/>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 w:ilvl="0" w:tplc="0809000F">
        <w:start w:val="1"/>
        <w:numFmt w:val="decimal"/>
        <w:lvlText w:val="%1."/>
        <w:lvlJc w:val="left"/>
        <w:pPr>
          <w:ind w:left="72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 w:ilvl="0" w:tplc="6374D186">
        <w:start w:val="1"/>
        <w:numFmt w:val="decimal"/>
        <w:lvlText w:val="%1."/>
        <w:lvlJc w:val="left"/>
        <w:pPr>
          <w:ind w:left="2591" w:hanging="360"/>
        </w:pPr>
        <w:rPr>
          <w:i w: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9">
    <w:abstractNumId w:val="13"/>
    <w:lvlOverride w:ilvl="0">
      <w:startOverride w:val="1"/>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50">
    <w:abstractNumId w:val="30"/>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1">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2">
    <w:abstractNumId w:val="49"/>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3">
    <w:abstractNumId w:val="20"/>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4">
    <w:abstractNumId w:val="44"/>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5">
    <w:abstractNumId w:val="27"/>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6">
    <w:abstractNumId w:val="34"/>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7">
    <w:abstractNumId w:val="48"/>
  </w:num>
  <w:num w:numId="58">
    <w:abstractNumId w:val="18"/>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59">
    <w:abstractNumId w:val="42"/>
    <w:lvlOverride w:ilvl="0">
      <w:startOverride w:val="1"/>
      <w:lvl w:ilvl="0" w:tplc="B492C146">
        <w:start w:val="1"/>
        <w:numFmt w:val="lowerLetter"/>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60">
    <w:abstractNumId w:val="9"/>
    <w:lvlOverride w:ilvl="0">
      <w:startOverride w:val="1"/>
      <w:lvl w:ilvl="0" w:tplc="78083696">
        <w:start w:val="1"/>
        <w:numFmt w:val="decimal"/>
        <w:lvlText w:val=""/>
        <w:lvlJc w:val="left"/>
      </w:lvl>
    </w:lvlOverride>
    <w:lvlOverride w:ilvl="1">
      <w:startOverride w:val="1"/>
      <w:lvl w:ilvl="1" w:tplc="78083696">
        <w:start w:val="1"/>
        <w:numFmt w:val="lowerLetter"/>
        <w:lvlText w:val="(%2)"/>
        <w:lvlJc w:val="left"/>
        <w:pPr>
          <w:ind w:left="2952" w:hanging="360"/>
        </w:pPr>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61">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4">
    <w:abstractNumId w:val="31"/>
    <w:lvlOverride w:ilvl="0">
      <w:startOverride w:val="1"/>
      <w:lvl w:ilvl="0" w:tplc="1009000F">
        <w:start w:val="1"/>
        <w:numFmt w:val="decimal"/>
        <w:lvlText w:val="%1."/>
        <w:lvlJc w:val="left"/>
        <w:pPr>
          <w:ind w:left="720" w:hanging="360"/>
        </w:pPr>
      </w:lvl>
    </w:lvlOverride>
    <w:lvlOverride w:ilvl="1">
      <w:startOverride w:val="1"/>
      <w:lvl w:ilvl="1" w:tplc="10090017">
        <w:start w:val="1"/>
        <w:numFmt w:val="decimal"/>
        <w:lvlText w:val=""/>
        <w:lvlJc w:val="left"/>
      </w:lvl>
    </w:lvlOverride>
    <w:lvlOverride w:ilvl="2">
      <w:startOverride w:val="1"/>
      <w:lvl w:ilvl="2" w:tplc="1009001B">
        <w:start w:val="1"/>
        <w:numFmt w:val="decimal"/>
        <w:lvlText w:val=""/>
        <w:lvlJc w:val="left"/>
      </w:lvl>
    </w:lvlOverride>
    <w:lvlOverride w:ilvl="3">
      <w:startOverride w:val="1"/>
      <w:lvl w:ilvl="3" w:tplc="1009000F">
        <w:start w:val="1"/>
        <w:numFmt w:val="decimal"/>
        <w:lvlText w:val=""/>
        <w:lvlJc w:val="left"/>
      </w:lvl>
    </w:lvlOverride>
    <w:lvlOverride w:ilvl="4">
      <w:startOverride w:val="1"/>
      <w:lvl w:ilvl="4" w:tplc="10090019">
        <w:start w:val="1"/>
        <w:numFmt w:val="decimal"/>
        <w:lvlText w:val=""/>
        <w:lvlJc w:val="left"/>
      </w:lvl>
    </w:lvlOverride>
    <w:lvlOverride w:ilvl="5">
      <w:startOverride w:val="1"/>
      <w:lvl w:ilvl="5" w:tplc="1009001B">
        <w:start w:val="1"/>
        <w:numFmt w:val="decimal"/>
        <w:lvlText w:val=""/>
        <w:lvlJc w:val="left"/>
      </w:lvl>
    </w:lvlOverride>
    <w:lvlOverride w:ilvl="6">
      <w:startOverride w:val="1"/>
      <w:lvl w:ilvl="6" w:tplc="1009000F">
        <w:start w:val="1"/>
        <w:numFmt w:val="decimal"/>
        <w:lvlText w:val=""/>
        <w:lvlJc w:val="left"/>
      </w:lvl>
    </w:lvlOverride>
    <w:lvlOverride w:ilvl="7">
      <w:startOverride w:val="1"/>
      <w:lvl w:ilvl="7" w:tplc="10090019">
        <w:start w:val="1"/>
        <w:numFmt w:val="decimal"/>
        <w:lvlText w:val=""/>
        <w:lvlJc w:val="left"/>
      </w:lvl>
    </w:lvlOverride>
    <w:lvlOverride w:ilvl="8">
      <w:startOverride w:val="1"/>
      <w:lvl w:ilvl="8" w:tplc="1009001B">
        <w:start w:val="1"/>
        <w:numFmt w:val="decimal"/>
        <w:lvlText w:val=""/>
        <w:lvlJc w:val="left"/>
      </w:lvl>
    </w:lvlOverride>
  </w:num>
  <w:num w:numId="65">
    <w:abstractNumId w:val="45"/>
    <w:lvlOverride w:ilvl="2">
      <w:lvl w:ilvl="2" w:tplc="0409000F">
        <w:start w:val="1"/>
        <w:numFmt w:val="decimal"/>
        <w:lvlText w:val="%3."/>
        <w:lvlJc w:val="left"/>
        <w:pPr>
          <w:ind w:left="4031" w:hanging="180"/>
        </w:pPr>
      </w:lvl>
    </w:lvlOverride>
  </w:num>
  <w:num w:numId="66">
    <w:abstractNumId w:val="53"/>
    <w:lvlOverride w:ilvl="0">
      <w:lvl w:ilvl="0" w:tplc="B492C146">
        <w:start w:val="1"/>
        <w:numFmt w:val="lowerLetter"/>
        <w:lvlText w:val="(%1)"/>
        <w:lvlJc w:val="left"/>
        <w:pPr>
          <w:ind w:left="720" w:hanging="360"/>
        </w:pPr>
        <w:rPr>
          <w:rFonts w:hint="default"/>
        </w:rPr>
      </w:lvl>
    </w:lvlOverride>
  </w:num>
  <w:num w:numId="67">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56"/>
    <w:lvlOverride w:ilvl="0">
      <w:startOverride w:val="1"/>
      <w:lvl w:ilvl="0" w:tplc="0416000F">
        <w:start w:val="1"/>
        <w:numFmt w:val="decimal"/>
        <w:lvlText w:val="%1."/>
        <w:lvlJc w:val="left"/>
        <w:pPr>
          <w:ind w:left="720" w:hanging="360"/>
        </w:pPr>
      </w:lvl>
    </w:lvlOverride>
    <w:lvlOverride w:ilvl="1">
      <w:startOverride w:val="1"/>
      <w:lvl w:ilvl="1" w:tplc="04160019">
        <w:start w:val="1"/>
        <w:numFmt w:val="decimal"/>
        <w:lvlText w:val=""/>
        <w:lvlJc w:val="left"/>
      </w:lvl>
    </w:lvlOverride>
    <w:lvlOverride w:ilvl="2">
      <w:startOverride w:val="1"/>
      <w:lvl w:ilvl="2" w:tplc="0416001B">
        <w:start w:val="1"/>
        <w:numFmt w:val="decimal"/>
        <w:lvlText w:val=""/>
        <w:lvlJc w:val="left"/>
      </w:lvl>
    </w:lvlOverride>
    <w:lvlOverride w:ilvl="3">
      <w:startOverride w:val="1"/>
      <w:lvl w:ilvl="3" w:tplc="0416000F">
        <w:start w:val="1"/>
        <w:numFmt w:val="decimal"/>
        <w:lvlText w:val=""/>
        <w:lvlJc w:val="left"/>
      </w:lvl>
    </w:lvlOverride>
    <w:lvlOverride w:ilvl="4">
      <w:startOverride w:val="1"/>
      <w:lvl w:ilvl="4" w:tplc="04160019">
        <w:start w:val="1"/>
        <w:numFmt w:val="decimal"/>
        <w:lvlText w:val=""/>
        <w:lvlJc w:val="left"/>
      </w:lvl>
    </w:lvlOverride>
    <w:lvlOverride w:ilvl="5">
      <w:startOverride w:val="1"/>
      <w:lvl w:ilvl="5" w:tplc="0416001B">
        <w:start w:val="1"/>
        <w:numFmt w:val="decimal"/>
        <w:lvlText w:val=""/>
        <w:lvlJc w:val="left"/>
      </w:lvl>
    </w:lvlOverride>
    <w:lvlOverride w:ilvl="6">
      <w:startOverride w:val="1"/>
      <w:lvl w:ilvl="6" w:tplc="0416000F">
        <w:start w:val="1"/>
        <w:numFmt w:val="decimal"/>
        <w:lvlText w:val=""/>
        <w:lvlJc w:val="left"/>
      </w:lvl>
    </w:lvlOverride>
    <w:lvlOverride w:ilvl="7">
      <w:startOverride w:val="1"/>
      <w:lvl w:ilvl="7" w:tplc="04160019">
        <w:start w:val="1"/>
        <w:numFmt w:val="decimal"/>
        <w:lvlText w:val=""/>
        <w:lvlJc w:val="left"/>
      </w:lvl>
    </w:lvlOverride>
    <w:lvlOverride w:ilvl="8">
      <w:startOverride w:val="1"/>
      <w:lvl w:ilvl="8" w:tplc="0416001B">
        <w:start w:val="1"/>
        <w:numFmt w:val="decimal"/>
        <w:lvlText w:val=""/>
        <w:lvlJc w:val="left"/>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2C30"/>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4B66"/>
    <w:rsid w:val="0037624B"/>
    <w:rsid w:val="0037692F"/>
    <w:rsid w:val="00380921"/>
    <w:rsid w:val="00381EA8"/>
    <w:rsid w:val="0038295D"/>
    <w:rsid w:val="00384BCC"/>
    <w:rsid w:val="003877D5"/>
    <w:rsid w:val="003912D6"/>
    <w:rsid w:val="003929B8"/>
    <w:rsid w:val="00393432"/>
    <w:rsid w:val="00394A5E"/>
    <w:rsid w:val="00395F40"/>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56FB"/>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4C67"/>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7A5"/>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29"/>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7947911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4787">
      <w:bodyDiv w:val="1"/>
      <w:marLeft w:val="0"/>
      <w:marRight w:val="0"/>
      <w:marTop w:val="0"/>
      <w:marBottom w:val="0"/>
      <w:divBdr>
        <w:top w:val="none" w:sz="0" w:space="0" w:color="auto"/>
        <w:left w:val="none" w:sz="0" w:space="0" w:color="auto"/>
        <w:bottom w:val="none" w:sz="0" w:space="0" w:color="auto"/>
        <w:right w:val="none" w:sz="0" w:space="0" w:color="auto"/>
      </w:divBdr>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D6A06-FDF3-42D0-9D15-0822B627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8</cp:revision>
  <cp:lastPrinted>2020-04-29T06:03:00Z</cp:lastPrinted>
  <dcterms:created xsi:type="dcterms:W3CDTF">2020-05-18T10:12:00Z</dcterms:created>
  <dcterms:modified xsi:type="dcterms:W3CDTF">2020-11-18T16:50:00Z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