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0E0A9E6C"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w:t>
            </w:r>
            <w:r w:rsidR="003D5B2F">
              <w:t>5</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99814FA" w14:textId="0F12B28E" w:rsidR="0099003C" w:rsidRPr="002927A1" w:rsidRDefault="00530A2C" w:rsidP="0099003C">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1EB92A7C" w14:textId="77777777" w:rsidR="00837B6B" w:rsidRPr="002927A1" w:rsidRDefault="00837B6B" w:rsidP="00837B6B">
      <w:pPr>
        <w:pStyle w:val="ZZAnxtitle"/>
        <w:spacing w:before="300"/>
        <w:rPr>
          <w:b w:val="0"/>
          <w:lang w:val="es-ES_tradnl"/>
        </w:rPr>
      </w:pPr>
      <w:r w:rsidRPr="002927A1">
        <w:rPr>
          <w:bCs w:val="0"/>
          <w:lang w:val="es-ES_tradnl"/>
        </w:rPr>
        <w:t xml:space="preserve">MC-3/5: </w:t>
      </w:r>
      <w:r w:rsidRPr="002927A1">
        <w:rPr>
          <w:lang w:val="es-ES_tradnl"/>
        </w:rPr>
        <w:t xml:space="preserve">Umbrales para los desechos de mercurio </w:t>
      </w:r>
    </w:p>
    <w:p w14:paraId="409F9876" w14:textId="77777777" w:rsidR="00837B6B" w:rsidRPr="002927A1" w:rsidRDefault="00837B6B" w:rsidP="00837B6B">
      <w:pPr>
        <w:keepNext/>
        <w:keepLines/>
        <w:tabs>
          <w:tab w:val="clear" w:pos="1247"/>
          <w:tab w:val="clear" w:pos="1814"/>
          <w:tab w:val="clear" w:pos="2381"/>
          <w:tab w:val="clear" w:pos="2948"/>
          <w:tab w:val="clear" w:pos="3515"/>
          <w:tab w:val="left" w:pos="624"/>
        </w:tabs>
        <w:spacing w:after="120"/>
        <w:ind w:left="1247" w:firstLine="624"/>
        <w:rPr>
          <w:i/>
        </w:rPr>
      </w:pPr>
      <w:r w:rsidRPr="002927A1">
        <w:rPr>
          <w:i/>
        </w:rPr>
        <w:t>La Conferencia de las Partes,</w:t>
      </w:r>
    </w:p>
    <w:p w14:paraId="07ECCAE2" w14:textId="77777777" w:rsidR="00837B6B" w:rsidRPr="002927A1" w:rsidRDefault="00837B6B" w:rsidP="00837B6B">
      <w:pPr>
        <w:keepNext/>
        <w:keepLines/>
        <w:tabs>
          <w:tab w:val="clear" w:pos="1247"/>
          <w:tab w:val="clear" w:pos="1814"/>
          <w:tab w:val="clear" w:pos="2381"/>
          <w:tab w:val="clear" w:pos="2948"/>
          <w:tab w:val="clear" w:pos="3515"/>
          <w:tab w:val="left" w:pos="624"/>
        </w:tabs>
        <w:spacing w:after="120"/>
        <w:ind w:left="1247" w:firstLine="624"/>
      </w:pPr>
      <w:r w:rsidRPr="002927A1">
        <w:rPr>
          <w:i/>
          <w:iCs/>
        </w:rPr>
        <w:t>Acogiendo con be</w:t>
      </w:r>
      <w:r w:rsidRPr="002927A1">
        <w:rPr>
          <w:i/>
        </w:rPr>
        <w:t>n</w:t>
      </w:r>
      <w:r w:rsidRPr="002927A1">
        <w:rPr>
          <w:i/>
          <w:iCs/>
        </w:rPr>
        <w:t>eplácito</w:t>
      </w:r>
      <w:r w:rsidRPr="002927A1">
        <w:t xml:space="preserve"> los resultados de la labor del grupo de expertos técnicos sobre los umbrales para los desechos de mercurio,</w:t>
      </w:r>
    </w:p>
    <w:p w14:paraId="79705993" w14:textId="77777777" w:rsidR="00837B6B" w:rsidRPr="002927A1" w:rsidRDefault="00837B6B" w:rsidP="00837B6B">
      <w:pPr>
        <w:keepNext/>
        <w:keepLines/>
        <w:tabs>
          <w:tab w:val="clear" w:pos="1247"/>
          <w:tab w:val="clear" w:pos="1814"/>
          <w:tab w:val="clear" w:pos="2381"/>
          <w:tab w:val="clear" w:pos="2948"/>
          <w:tab w:val="clear" w:pos="3515"/>
          <w:tab w:val="left" w:pos="624"/>
        </w:tabs>
        <w:spacing w:after="120"/>
        <w:ind w:left="1247" w:firstLine="624"/>
      </w:pPr>
      <w:r w:rsidRPr="005D2C10">
        <w:rPr>
          <w:i/>
          <w:iCs/>
        </w:rPr>
        <w:t xml:space="preserve">Tomando </w:t>
      </w:r>
      <w:r w:rsidRPr="005D2C10">
        <w:rPr>
          <w:i/>
        </w:rPr>
        <w:t>nota</w:t>
      </w:r>
      <w:r w:rsidRPr="005D2C10">
        <w:t xml:space="preserve"> de la decisión BC-14/8, relativa a directrices técnicas para la gestión ambientalmente racional de desechos consistentes en mercurio o compuestos de mercurio, que los contengan o estén contaminados con ellos, aproba</w:t>
      </w:r>
      <w:r w:rsidRPr="002927A1">
        <w:t>da por la Conferencia de las Partes en el Convenio de Basilea sobre el Control de los Movimientos Transfronterizos de los Desechos Peligrosos y su Eliminación en su 14ª reunión,</w:t>
      </w:r>
    </w:p>
    <w:p w14:paraId="6629479F" w14:textId="77777777" w:rsidR="00837B6B" w:rsidRPr="002927A1" w:rsidRDefault="00837B6B" w:rsidP="00837B6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w:t>
      </w:r>
      <w:r w:rsidRPr="002927A1">
        <w:t>que no es necesario establecer ningún umbral para los desechos de mercurio contemplados en el apartado a) del párrafo 2 del artículo 11, y que los desechos incluidos en el cuadro 1 del anexo de la presente decisión se considerarán desechos de mercurio de ese tipo</w:t>
      </w:r>
      <w:r w:rsidRPr="002927A1">
        <w:rPr>
          <w:rFonts w:eastAsia="MS PGothic"/>
        </w:rPr>
        <w:t>;</w:t>
      </w:r>
    </w:p>
    <w:p w14:paraId="58AD9C44" w14:textId="77777777" w:rsidR="00837B6B" w:rsidRPr="002927A1" w:rsidRDefault="00837B6B" w:rsidP="00837B6B">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también </w:t>
      </w:r>
      <w:r w:rsidRPr="002927A1">
        <w:t xml:space="preserve">que no es necesario establecer ningún umbral para los desechos de mercurio contemplados en el apartado b) del párrafo 2 del artículo 11, y que los productos con mercurio añadido </w:t>
      </w:r>
      <w:r w:rsidRPr="002927A1">
        <w:rPr>
          <w:rFonts w:cs="Myriad Pro"/>
          <w:color w:val="000000"/>
        </w:rPr>
        <w:t>a cuya eliminación se procede, se propone proceder o se está obligado a proceder</w:t>
      </w:r>
      <w:r w:rsidRPr="002927A1">
        <w:t>, incluidos los que figuran en el cuadro 2 del anexo de la presente decisión, se considerarán desechos de mercurio de ese tipo</w:t>
      </w:r>
      <w:r w:rsidRPr="002927A1">
        <w:rPr>
          <w:rFonts w:eastAsia="MS PGothic"/>
        </w:rPr>
        <w:t>;</w:t>
      </w:r>
    </w:p>
    <w:p w14:paraId="257A433F" w14:textId="3E1AD8F1" w:rsidR="00E8784C" w:rsidRPr="009F1888" w:rsidRDefault="00837B6B"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 xml:space="preserve">Solicita </w:t>
      </w:r>
      <w:r w:rsidRPr="002927A1">
        <w:rPr>
          <w:rFonts w:eastAsia="MS PGothic"/>
        </w:rPr>
        <w:t xml:space="preserve">al </w:t>
      </w:r>
      <w:r w:rsidRPr="009F1888">
        <w:rPr>
          <w:iCs/>
        </w:rPr>
        <w:t>grupo</w:t>
      </w:r>
      <w:r w:rsidRPr="009F1888">
        <w:rPr>
          <w:rFonts w:eastAsia="MS PGothic"/>
          <w:iCs/>
        </w:rPr>
        <w:t xml:space="preserve"> de expertos técnicos que siga fundamentando su recomendación de que podría resultar pertinente</w:t>
      </w:r>
      <w:r w:rsidRPr="009F1888">
        <w:rPr>
          <w:rFonts w:eastAsia="MS PGothic"/>
        </w:rPr>
        <w:t xml:space="preserve"> </w:t>
      </w:r>
      <w:r w:rsidRPr="009F1888">
        <w:rPr>
          <w:rFonts w:eastAsia="MS PGothic"/>
          <w:color w:val="000000" w:themeColor="text1"/>
        </w:rPr>
        <w:t xml:space="preserve">definir </w:t>
      </w:r>
      <w:r w:rsidRPr="009F1888">
        <w:rPr>
          <w:color w:val="000000" w:themeColor="text1"/>
        </w:rPr>
        <w:t xml:space="preserve">umbrales para la concentración total de desechos de mercurio recogidos en el apartado </w:t>
      </w:r>
      <w:r w:rsidRPr="009F1888">
        <w:rPr>
          <w:rFonts w:eastAsia="MS PGothic"/>
          <w:color w:val="000000" w:themeColor="text1"/>
        </w:rPr>
        <w:t xml:space="preserve">2 c) del artículo </w:t>
      </w:r>
      <w:r w:rsidRPr="009F1888">
        <w:rPr>
          <w:rFonts w:eastAsia="MS PGothic"/>
        </w:rPr>
        <w:t>11, incluido un análisis técnico de opciones y el examen de las posibles repercusiones;</w:t>
      </w:r>
    </w:p>
    <w:p w14:paraId="6C478438"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Solicita</w:t>
      </w:r>
      <w:r w:rsidRPr="002927A1">
        <w:rPr>
          <w:rFonts w:eastAsia="MS PGothic"/>
        </w:rPr>
        <w:t xml:space="preserve"> a la Se</w:t>
      </w:r>
      <w:r w:rsidRPr="002927A1">
        <w:rPr>
          <w:i/>
        </w:rPr>
        <w:t>c</w:t>
      </w:r>
      <w:r w:rsidRPr="002927A1">
        <w:rPr>
          <w:rFonts w:eastAsia="MS PGothic"/>
        </w:rPr>
        <w:t>retaría que, en cooperación con la esfera de asociación de la extracción de oro artesanal y en pequeña escala, trate de obtener de las Partes y otros interesados observaciones para mejorar las orientaciones sobre la preparación de planes nacionales de acción sobre la extracción de oro artesanal y en pequeña escala relativos a la gestión de los residuos de esa extracción, con miras a presentar una versión revisada de las orientaciones para su examen y posible aprobación por la Conferencia de las Partes en su cuarta reunión;</w:t>
      </w:r>
    </w:p>
    <w:p w14:paraId="5B9E8B01" w14:textId="77777777" w:rsidR="0068024A" w:rsidRPr="0068024A" w:rsidRDefault="0068024A" w:rsidP="0068024A">
      <w:pPr>
        <w:pStyle w:val="Normalnumber"/>
        <w:rPr>
          <w:lang w:val="es-ES_tradnl"/>
        </w:rPr>
      </w:pPr>
    </w:p>
    <w:p w14:paraId="1ED6DC7F"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iCs/>
        </w:rPr>
      </w:pPr>
      <w:r w:rsidRPr="002927A1">
        <w:rPr>
          <w:i/>
          <w:iCs/>
        </w:rPr>
        <w:lastRenderedPageBreak/>
        <w:t xml:space="preserve">Decide </w:t>
      </w:r>
      <w:r w:rsidRPr="002927A1">
        <w:t>que, actualmente, no es necesario establecer umbrales para la roca de recubrimiento y de desecho de la minería, salvo en la extracción primaria de mercurio, y que los umbrales para los residuos de la extracción minera distintos de la extracción primaria de mercurio deberían establecerse con arreglo a un enfoque a dos niveles utilizando un umbral para la concentración total como parámetro inicial y un umbral para la lixiviación en el segundo nivel, y solicita al grupo de expertos técnicos que continúe trabajando para establecer los umbrales</w:t>
      </w:r>
      <w:r w:rsidRPr="002927A1">
        <w:rPr>
          <w:rFonts w:eastAsia="MS PGothic"/>
        </w:rPr>
        <w:t>;</w:t>
      </w:r>
    </w:p>
    <w:p w14:paraId="33D5C835"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Decide también </w:t>
      </w:r>
      <w:r w:rsidRPr="002927A1">
        <w:t>prorrogar el mandato del grupo de expertos técnicos hasta la cuarta reunión de la Conferencia de las Partes, y exhorta a la Secretaría a cooperar con la Secretaría de los Convenios de Basilea, Estocolmo y Rotterdam para facilitar la cooperación entre los miembros de</w:t>
      </w:r>
      <w:r>
        <w:t>l</w:t>
      </w:r>
      <w:r w:rsidRPr="002927A1">
        <w:t xml:space="preserve"> grupo de expertos técnicos y el pequeño grupo de trabajo entre reuniones establecido en virtud del Convenio de Basilea para actualizar las directrices técnicas sobre el manejo ambientalmente racional de desechos consistentes en mercurio o compuestos de mercurio, que los contengan o estén contaminados con ellos</w:t>
      </w:r>
      <w:r w:rsidRPr="002927A1">
        <w:rPr>
          <w:rFonts w:eastAsia="MS PGothic"/>
          <w:szCs w:val="18"/>
          <w:vertAlign w:val="superscript"/>
        </w:rPr>
        <w:footnoteReference w:id="2"/>
      </w:r>
      <w:r w:rsidRPr="002927A1">
        <w:t>;</w:t>
      </w:r>
    </w:p>
    <w:p w14:paraId="2B6E6B74"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i/>
        </w:rPr>
      </w:pPr>
      <w:r w:rsidRPr="002927A1">
        <w:rPr>
          <w:rFonts w:eastAsia="MS PGothic"/>
          <w:i/>
        </w:rPr>
        <w:t xml:space="preserve">Decide además </w:t>
      </w:r>
      <w:r w:rsidRPr="002927A1">
        <w:t>prorrogar</w:t>
      </w:r>
      <w:r w:rsidRPr="002927A1">
        <w:rPr>
          <w:rFonts w:eastAsia="MS PGothic"/>
        </w:rPr>
        <w:t xml:space="preserve"> el mandato del grupo de expertos técnicos a fin de que este</w:t>
      </w:r>
      <w:r>
        <w:rPr>
          <w:rFonts w:eastAsia="MS PGothic"/>
        </w:rPr>
        <w:t> </w:t>
      </w:r>
      <w:r w:rsidRPr="002927A1">
        <w:rPr>
          <w:rFonts w:eastAsia="MS PGothic"/>
        </w:rPr>
        <w:t xml:space="preserve">pueda: </w:t>
      </w:r>
    </w:p>
    <w:p w14:paraId="461CFE95" w14:textId="77777777" w:rsidR="0068024A" w:rsidRPr="002927A1" w:rsidRDefault="0068024A" w:rsidP="0068024A">
      <w:pPr>
        <w:numPr>
          <w:ilvl w:val="0"/>
          <w:numId w:val="16"/>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Llevar a cabo un análisis técnico de las opciones de umbrales, tomando en consideración las consecuencias de aplicar las opciones propuestas, y formular recomendaciones;</w:t>
      </w:r>
    </w:p>
    <w:p w14:paraId="615F71DE" w14:textId="77777777" w:rsidR="0068024A" w:rsidRPr="002927A1" w:rsidRDefault="0068024A" w:rsidP="0068024A">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Definir umbrales para los desechos de mercurio que se abordan en el</w:t>
      </w:r>
      <w:r w:rsidRPr="00936F3F">
        <w:rPr>
          <w:rFonts w:eastAsia="MS PGothic"/>
        </w:rPr>
        <w:t xml:space="preserve"> párrafo</w:t>
      </w:r>
      <w:r w:rsidRPr="002927A1">
        <w:rPr>
          <w:rFonts w:eastAsia="MS PGothic"/>
        </w:rPr>
        <w:t xml:space="preserve"> 2 c) del artículo 11;</w:t>
      </w:r>
    </w:p>
    <w:p w14:paraId="25A04663" w14:textId="77777777" w:rsidR="0068024A" w:rsidRPr="002927A1" w:rsidRDefault="0068024A" w:rsidP="0068024A">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 xml:space="preserve">Realizar un análisis para determinar si habría que definir un umbral para los residuos de la extracción de oro artesanal y en pequeña escala, tomando en cuenta la relación entre los artículos 11 y 7; </w:t>
      </w:r>
    </w:p>
    <w:p w14:paraId="10B91DA8" w14:textId="77777777" w:rsidR="0068024A" w:rsidRPr="002927A1" w:rsidRDefault="0068024A" w:rsidP="0068024A">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Recomendar umbrales para los residuos de la minería de metales no ferrosos a escala industrial distinta de la extracción primaria de mercurio;</w:t>
      </w:r>
    </w:p>
    <w:p w14:paraId="28B379C5" w14:textId="77777777" w:rsidR="0068024A" w:rsidRPr="002927A1" w:rsidRDefault="0068024A" w:rsidP="0068024A">
      <w:pPr>
        <w:numPr>
          <w:ilvl w:val="0"/>
          <w:numId w:val="16"/>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rPr>
        <w:t>Con sujeción a la realización de las actividades referidas en los apartados a) a d) anteriores, revisar las listas de desechos de mercurio recogidos en los apartados 2 a) a c) del artículo 11, que figuran en los cuadros 1, 2 y 3 del anexo de la presente decisión, o recomendar una posible revisión de estas, según proceda;</w:t>
      </w:r>
    </w:p>
    <w:p w14:paraId="085335D7"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Invita</w:t>
      </w:r>
      <w:r w:rsidRPr="002927A1">
        <w:rPr>
          <w:rFonts w:eastAsia="MS PGothic"/>
        </w:rPr>
        <w:t xml:space="preserve"> a las Partes a confirmar a los miembros actuales del grupo de expertos técnicos, designar nuevos miembros, o sustituir miembros, según proceda, con arreglo a las regiones que representan los miembros de la Mesa, tomando en cuenta la necesidad de contar con conocimientos especializados en esferas que abarca el mandato del grupo;</w:t>
      </w:r>
    </w:p>
    <w:p w14:paraId="7B452037"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t>Decide</w:t>
      </w:r>
      <w:r w:rsidRPr="002927A1">
        <w:rPr>
          <w:rFonts w:eastAsia="MS PGothic"/>
        </w:rPr>
        <w:t xml:space="preserve"> que el grupo de expertos técnicos realizará su labor por medios electrónicos y celebrará una reunión presencial para </w:t>
      </w:r>
      <w:r w:rsidRPr="002927A1">
        <w:t>debatir</w:t>
      </w:r>
      <w:r w:rsidRPr="002927A1">
        <w:rPr>
          <w:rFonts w:eastAsia="MS PGothic"/>
        </w:rPr>
        <w:t xml:space="preserve"> las cuestiones mencionadas en los párrafos anteriores de la presente decisión, hará las actualizaciones necesarias a las listas de los cuadros 1, 2 y 3 del anexo de la presente decisión, y rendirá informe sobre su labor a la Conferencia de las Partes en su cuarta reunión</w:t>
      </w:r>
      <w:r w:rsidRPr="002927A1">
        <w:rPr>
          <w:rFonts w:eastAsia="MS PGothic"/>
          <w:iCs/>
        </w:rPr>
        <w:t>;</w:t>
      </w:r>
    </w:p>
    <w:p w14:paraId="25F1D724"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s>
        <w:spacing w:after="120"/>
        <w:ind w:left="1247" w:firstLine="624"/>
        <w:rPr>
          <w:rFonts w:eastAsia="MS PGothic"/>
          <w:i/>
        </w:rPr>
      </w:pPr>
      <w:r w:rsidRPr="002927A1">
        <w:rPr>
          <w:rFonts w:eastAsia="MS PGothic"/>
          <w:i/>
        </w:rPr>
        <w:t xml:space="preserve">Solicita </w:t>
      </w:r>
      <w:r w:rsidRPr="002927A1">
        <w:rPr>
          <w:rFonts w:eastAsia="MS PGothic"/>
        </w:rPr>
        <w:t xml:space="preserve">que se </w:t>
      </w:r>
      <w:r w:rsidRPr="002927A1">
        <w:t>pongan</w:t>
      </w:r>
      <w:r w:rsidRPr="002927A1">
        <w:rPr>
          <w:rFonts w:eastAsia="MS PGothic"/>
        </w:rPr>
        <w:t xml:space="preserve"> en práctica las disposiciones de procedimiento adicionales siguientes para orientar la labor del grupo</w:t>
      </w:r>
      <w:r w:rsidRPr="002927A1">
        <w:rPr>
          <w:rFonts w:eastAsia="MS PGothic"/>
          <w:iCs/>
        </w:rPr>
        <w:t>:</w:t>
      </w:r>
    </w:p>
    <w:p w14:paraId="49D74EFA" w14:textId="77777777" w:rsidR="0068024A" w:rsidRPr="002927A1" w:rsidRDefault="0068024A" w:rsidP="0068024A">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 xml:space="preserve">Todos los expertos designados por las Partes que se encuentren presentes en las reuniones abordarán las cuestiones sujetas al mandato del grupo, evitando tratar por separado las cuestiones técnicas; </w:t>
      </w:r>
    </w:p>
    <w:p w14:paraId="63FDB0EC" w14:textId="77777777" w:rsidR="0068024A" w:rsidRPr="002927A1" w:rsidRDefault="0068024A" w:rsidP="0068024A">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Todas las decisiones del grupo de expertos técnicos deberán acordarse por consenso. En caso de que no sea posible lograr consenso, la Secretaría debería tomar nota de la falta de consenso, dejar constancia del debate y de las diferentes posiciones y tomar conocimiento del nivel de respaldo a cada una de las alternativas planteadas;</w:t>
      </w:r>
    </w:p>
    <w:p w14:paraId="1679415A" w14:textId="77777777" w:rsidR="0068024A" w:rsidRPr="002927A1" w:rsidRDefault="0068024A" w:rsidP="0068024A">
      <w:pPr>
        <w:pStyle w:val="ListParagraph"/>
        <w:numPr>
          <w:ilvl w:val="0"/>
          <w:numId w:val="65"/>
        </w:numPr>
        <w:tabs>
          <w:tab w:val="clear" w:pos="1247"/>
          <w:tab w:val="clear" w:pos="1814"/>
          <w:tab w:val="clear" w:pos="2381"/>
          <w:tab w:val="clear" w:pos="2948"/>
          <w:tab w:val="clear" w:pos="3515"/>
        </w:tabs>
        <w:spacing w:after="120"/>
        <w:ind w:left="1247" w:firstLine="624"/>
        <w:rPr>
          <w:rFonts w:eastAsia="MS PGothic"/>
        </w:rPr>
      </w:pPr>
      <w:r w:rsidRPr="002927A1">
        <w:rPr>
          <w:rFonts w:eastAsia="MS PGothic"/>
        </w:rPr>
        <w:t>Con antelación a la reunión, la Secretaría y la presidencia del grupo de expertos técnicos distribuirán a las Partes un programa provisional y una nota informativa en preparación de la reunión;</w:t>
      </w:r>
    </w:p>
    <w:p w14:paraId="44CCD796" w14:textId="77777777" w:rsidR="0068024A" w:rsidRPr="0034148F"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rFonts w:eastAsia="MS PGothic"/>
          <w:i/>
        </w:rPr>
        <w:lastRenderedPageBreak/>
        <w:t xml:space="preserve">Alienta </w:t>
      </w:r>
      <w:r w:rsidRPr="002927A1">
        <w:rPr>
          <w:rFonts w:eastAsia="MS PGothic"/>
        </w:rPr>
        <w:t xml:space="preserve">a </w:t>
      </w:r>
      <w:r w:rsidRPr="0034148F">
        <w:rPr>
          <w:rFonts w:eastAsia="MS PGothic"/>
        </w:rPr>
        <w:t>las P</w:t>
      </w:r>
      <w:r w:rsidRPr="0034148F">
        <w:rPr>
          <w:rFonts w:eastAsia="MS PGothic"/>
          <w:iCs/>
        </w:rPr>
        <w:t>artes</w:t>
      </w:r>
      <w:r w:rsidRPr="0034148F">
        <w:rPr>
          <w:rFonts w:eastAsia="MS PGothic"/>
        </w:rPr>
        <w:t xml:space="preserve"> y otros interesados a hacer aportaciones al proceso de actualización de las directrices técnicas sobre la </w:t>
      </w:r>
      <w:r w:rsidRPr="0034148F">
        <w:t>gestión</w:t>
      </w:r>
      <w:r w:rsidRPr="0034148F">
        <w:rPr>
          <w:rFonts w:eastAsia="MS PGothic"/>
        </w:rPr>
        <w:t xml:space="preserve"> ambientalmente racional de los desechos</w:t>
      </w:r>
      <w:r w:rsidRPr="0034148F">
        <w:rPr>
          <w:color w:val="212529"/>
        </w:rPr>
        <w:t xml:space="preserve"> consistentes en mercurio o compuestos de mercurio, que los contengan o estén contaminados con ellos dando a conocer sus op</w:t>
      </w:r>
      <w:bookmarkStart w:id="1" w:name="_GoBack"/>
      <w:bookmarkEnd w:id="1"/>
      <w:r w:rsidRPr="0034148F">
        <w:rPr>
          <w:color w:val="212529"/>
        </w:rPr>
        <w:t>iniones acerca del proyecto de directrices actualizadas cuando se les invite a hacerlo</w:t>
      </w:r>
      <w:r w:rsidRPr="0034148F">
        <w:rPr>
          <w:rFonts w:eastAsia="MS PGothic"/>
        </w:rPr>
        <w:t>;</w:t>
      </w:r>
    </w:p>
    <w:p w14:paraId="017770AF"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34148F">
        <w:rPr>
          <w:i/>
          <w:iCs/>
        </w:rPr>
        <w:t xml:space="preserve">Invita </w:t>
      </w:r>
      <w:r w:rsidRPr="0034148F">
        <w:t>a los órganos competentes</w:t>
      </w:r>
      <w:r w:rsidRPr="002927A1">
        <w:t xml:space="preserve"> del Convenio de Basilea a que tengan en cuenta la presente decisión al actualizar las directrices técnicas sobre el manejo ambientalmente racional de desechos consistentes en mercurio o compuestos de mercurio, que los contengan o estén contaminados con ellos</w:t>
      </w:r>
      <w:r w:rsidRPr="002927A1">
        <w:rPr>
          <w:rFonts w:eastAsia="MS PGothic"/>
        </w:rPr>
        <w:t xml:space="preserve">; </w:t>
      </w:r>
    </w:p>
    <w:p w14:paraId="5E2A9F39" w14:textId="77777777" w:rsidR="0068024A" w:rsidRPr="002927A1" w:rsidRDefault="0068024A" w:rsidP="0068024A">
      <w:pPr>
        <w:keepNext/>
        <w:keepLines/>
        <w:numPr>
          <w:ilvl w:val="0"/>
          <w:numId w:val="15"/>
        </w:numPr>
        <w:tabs>
          <w:tab w:val="clear" w:pos="1247"/>
          <w:tab w:val="clear" w:pos="1814"/>
          <w:tab w:val="clear" w:pos="2381"/>
          <w:tab w:val="clear" w:pos="2948"/>
          <w:tab w:val="clear" w:pos="3515"/>
          <w:tab w:val="left" w:pos="624"/>
        </w:tabs>
        <w:spacing w:after="120"/>
        <w:ind w:left="1247" w:firstLine="624"/>
        <w:rPr>
          <w:rFonts w:eastAsia="MS PGothic"/>
        </w:rPr>
      </w:pPr>
      <w:r w:rsidRPr="002927A1">
        <w:rPr>
          <w:i/>
          <w:iCs/>
        </w:rPr>
        <w:t xml:space="preserve">Solicita </w:t>
      </w:r>
      <w:r w:rsidRPr="002927A1">
        <w:t>a la Secretaría que siga apoyando la labor del grupo de expertos técnicos.</w:t>
      </w:r>
    </w:p>
    <w:p w14:paraId="0501711D" w14:textId="77777777" w:rsidR="0068024A" w:rsidRPr="002927A1" w:rsidRDefault="0068024A" w:rsidP="0068024A">
      <w:pPr>
        <w:keepNext/>
        <w:keepLines/>
        <w:tabs>
          <w:tab w:val="clear" w:pos="1247"/>
          <w:tab w:val="clear" w:pos="1814"/>
          <w:tab w:val="clear" w:pos="2381"/>
          <w:tab w:val="clear" w:pos="2948"/>
          <w:tab w:val="clear" w:pos="3515"/>
          <w:tab w:val="left" w:pos="624"/>
        </w:tabs>
        <w:spacing w:after="120"/>
        <w:rPr>
          <w:rFonts w:eastAsia="MS PGothic"/>
          <w:sz w:val="28"/>
          <w:szCs w:val="28"/>
        </w:rPr>
      </w:pPr>
      <w:r w:rsidRPr="002927A1">
        <w:rPr>
          <w:b/>
          <w:bCs/>
          <w:sz w:val="28"/>
          <w:szCs w:val="28"/>
        </w:rPr>
        <w:t>Anexo de la decisión MC-3/5</w:t>
      </w:r>
    </w:p>
    <w:p w14:paraId="235D1E55" w14:textId="77777777" w:rsidR="0068024A" w:rsidRPr="002927A1" w:rsidRDefault="0068024A" w:rsidP="0068024A">
      <w:pPr>
        <w:pStyle w:val="CH2"/>
        <w:rPr>
          <w:lang w:val="es-ES_tradnl"/>
        </w:rPr>
      </w:pPr>
      <w:r w:rsidRPr="002927A1">
        <w:rPr>
          <w:rFonts w:eastAsia="MS PGothic"/>
          <w:w w:val="0"/>
          <w:lang w:val="es-ES_tradnl"/>
        </w:rPr>
        <w:tab/>
      </w:r>
      <w:r w:rsidRPr="002927A1">
        <w:rPr>
          <w:rFonts w:eastAsia="MS PGothic"/>
          <w:w w:val="0"/>
          <w:lang w:val="es-ES_tradnl"/>
        </w:rPr>
        <w:tab/>
        <w:t>Listas</w:t>
      </w:r>
      <w:r w:rsidRPr="002927A1">
        <w:rPr>
          <w:bCs/>
          <w:lang w:val="es-ES_tradnl"/>
        </w:rPr>
        <w:t xml:space="preserve"> de desechos de mercurio recogidos en el apartado 2 del artículo 11</w:t>
      </w:r>
    </w:p>
    <w:p w14:paraId="46617094" w14:textId="77777777" w:rsidR="0068024A" w:rsidRPr="002927A1" w:rsidRDefault="0068024A" w:rsidP="0068024A">
      <w:pPr>
        <w:pStyle w:val="Titletable"/>
        <w:rPr>
          <w:lang w:val="es-ES_tradnl"/>
        </w:rPr>
      </w:pPr>
      <w:bookmarkStart w:id="2" w:name="_gjdgxs"/>
      <w:bookmarkEnd w:id="2"/>
      <w:r w:rsidRPr="002927A1">
        <w:rPr>
          <w:b w:val="0"/>
          <w:lang w:val="es-ES_tradnl"/>
        </w:rPr>
        <w:t xml:space="preserve">Cuadro 1 </w:t>
      </w:r>
      <w:r w:rsidRPr="002927A1">
        <w:rPr>
          <w:b w:val="0"/>
          <w:lang w:val="es-ES_tradnl"/>
        </w:rPr>
        <w:br/>
      </w:r>
      <w:r w:rsidRPr="002927A1">
        <w:rPr>
          <w:lang w:val="es-ES_tradnl"/>
        </w:rPr>
        <w:t>Lista de los desechos de mercurio que constan de mercurio o compuestos de mercurio (apartado a) del párrafo 2 del artículo 11)</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687"/>
        <w:gridCol w:w="5620"/>
      </w:tblGrid>
      <w:tr w:rsidR="0068024A" w:rsidRPr="005D2C10" w14:paraId="34E1AA59" w14:textId="77777777" w:rsidTr="00A53323">
        <w:trPr>
          <w:trHeight w:val="57"/>
          <w:tblHeader/>
          <w:jc w:val="right"/>
        </w:trPr>
        <w:tc>
          <w:tcPr>
            <w:tcW w:w="2687" w:type="dxa"/>
            <w:tcBorders>
              <w:top w:val="single" w:sz="4" w:space="0" w:color="auto"/>
              <w:bottom w:val="single" w:sz="12" w:space="0" w:color="auto"/>
            </w:tcBorders>
          </w:tcPr>
          <w:p w14:paraId="2328C578" w14:textId="77777777" w:rsidR="0068024A" w:rsidRPr="005D2C10" w:rsidRDefault="0068024A" w:rsidP="00A53323">
            <w:pPr>
              <w:pStyle w:val="Normal-pool"/>
              <w:spacing w:before="40" w:after="40"/>
              <w:rPr>
                <w:i/>
                <w:sz w:val="18"/>
                <w:szCs w:val="18"/>
                <w:lang w:val="es-ES_tradnl"/>
              </w:rPr>
            </w:pPr>
            <w:r w:rsidRPr="005D2C10">
              <w:rPr>
                <w:i/>
                <w:iCs/>
                <w:sz w:val="18"/>
                <w:szCs w:val="18"/>
                <w:lang w:val="es-ES_tradnl"/>
              </w:rPr>
              <w:t>Tipo de desechos</w:t>
            </w:r>
          </w:p>
        </w:tc>
        <w:tc>
          <w:tcPr>
            <w:tcW w:w="5620" w:type="dxa"/>
            <w:tcBorders>
              <w:top w:val="single" w:sz="4" w:space="0" w:color="auto"/>
              <w:bottom w:val="single" w:sz="12" w:space="0" w:color="auto"/>
            </w:tcBorders>
          </w:tcPr>
          <w:p w14:paraId="6E2C4F0D" w14:textId="77777777" w:rsidR="0068024A" w:rsidRPr="005D2C10" w:rsidRDefault="0068024A" w:rsidP="00A53323">
            <w:pPr>
              <w:pStyle w:val="Normal-pool"/>
              <w:spacing w:before="40" w:after="40"/>
              <w:rPr>
                <w:i/>
                <w:sz w:val="18"/>
                <w:szCs w:val="18"/>
                <w:lang w:val="es-ES_tradnl"/>
              </w:rPr>
            </w:pPr>
            <w:r w:rsidRPr="005D2C10">
              <w:rPr>
                <w:i/>
                <w:iCs/>
                <w:sz w:val="18"/>
                <w:szCs w:val="18"/>
                <w:lang w:val="es-ES_tradnl"/>
              </w:rPr>
              <w:t xml:space="preserve">Fuente de los </w:t>
            </w:r>
            <w:proofErr w:type="spellStart"/>
            <w:r w:rsidRPr="005D2C10">
              <w:rPr>
                <w:i/>
                <w:iCs/>
                <w:sz w:val="18"/>
                <w:szCs w:val="18"/>
                <w:lang w:val="es-ES_tradnl"/>
              </w:rPr>
              <w:t>desechos</w:t>
            </w:r>
            <w:r w:rsidRPr="005D2C10">
              <w:rPr>
                <w:i/>
                <w:iCs/>
                <w:sz w:val="18"/>
                <w:szCs w:val="18"/>
                <w:vertAlign w:val="superscript"/>
                <w:lang w:val="es-ES_tradnl"/>
              </w:rPr>
              <w:t>b</w:t>
            </w:r>
            <w:proofErr w:type="spellEnd"/>
          </w:p>
        </w:tc>
      </w:tr>
      <w:tr w:rsidR="0068024A" w:rsidRPr="005D2C10" w14:paraId="37EF84CB" w14:textId="77777777" w:rsidTr="00A53323">
        <w:trPr>
          <w:trHeight w:val="57"/>
          <w:jc w:val="right"/>
        </w:trPr>
        <w:tc>
          <w:tcPr>
            <w:tcW w:w="2687" w:type="dxa"/>
            <w:tcBorders>
              <w:top w:val="single" w:sz="12" w:space="0" w:color="auto"/>
            </w:tcBorders>
          </w:tcPr>
          <w:p w14:paraId="5050DF4A"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 xml:space="preserve">Mercurio elemental </w:t>
            </w:r>
            <w:proofErr w:type="spellStart"/>
            <w:r w:rsidRPr="005D2C10">
              <w:rPr>
                <w:sz w:val="18"/>
                <w:szCs w:val="18"/>
                <w:lang w:val="es-ES_tradnl"/>
              </w:rPr>
              <w:t>recuperado</w:t>
            </w:r>
            <w:r w:rsidRPr="005D2C10">
              <w:rPr>
                <w:sz w:val="18"/>
                <w:szCs w:val="18"/>
                <w:vertAlign w:val="superscript"/>
                <w:lang w:val="es-ES_tradnl"/>
              </w:rPr>
              <w:t>c</w:t>
            </w:r>
            <w:proofErr w:type="spellEnd"/>
          </w:p>
        </w:tc>
        <w:tc>
          <w:tcPr>
            <w:tcW w:w="5620" w:type="dxa"/>
            <w:tcBorders>
              <w:top w:val="single" w:sz="12" w:space="0" w:color="auto"/>
            </w:tcBorders>
          </w:tcPr>
          <w:p w14:paraId="4992F43F" w14:textId="77777777" w:rsidR="0068024A" w:rsidRPr="005D2C10" w:rsidRDefault="0068024A" w:rsidP="00A53323">
            <w:pPr>
              <w:pStyle w:val="Normal-pool"/>
              <w:rPr>
                <w:sz w:val="18"/>
                <w:szCs w:val="18"/>
                <w:lang w:val="es-ES_tradnl"/>
              </w:rPr>
            </w:pPr>
            <w:r w:rsidRPr="005D2C10">
              <w:rPr>
                <w:sz w:val="18"/>
                <w:szCs w:val="18"/>
                <w:lang w:val="es-ES_tradnl"/>
              </w:rPr>
              <w:t>Actividad minera:</w:t>
            </w:r>
          </w:p>
          <w:p w14:paraId="25B0F0FA"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Residuos de la extracción de oro artesanal y en pequeña escala</w:t>
            </w:r>
          </w:p>
          <w:p w14:paraId="1019635E" w14:textId="77777777" w:rsidR="0068024A" w:rsidRPr="005D2C10" w:rsidRDefault="0068024A" w:rsidP="00A53323">
            <w:pPr>
              <w:pStyle w:val="Normal-pool"/>
              <w:rPr>
                <w:sz w:val="18"/>
                <w:szCs w:val="18"/>
                <w:lang w:val="es-ES_tradnl"/>
              </w:rPr>
            </w:pPr>
            <w:r w:rsidRPr="005D2C10">
              <w:rPr>
                <w:sz w:val="18"/>
                <w:szCs w:val="18"/>
                <w:lang w:val="es-ES_tradnl"/>
              </w:rPr>
              <w:t>Mercurio capturado de:</w:t>
            </w:r>
          </w:p>
          <w:p w14:paraId="3905B7A2"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Procesos de calcinación y fundición de metales no ferrosos</w:t>
            </w:r>
          </w:p>
          <w:p w14:paraId="2B629B51"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Procesamiento de petróleo crudo y gas natural</w:t>
            </w:r>
          </w:p>
          <w:p w14:paraId="00ED47A0" w14:textId="77777777" w:rsidR="0068024A" w:rsidRPr="005D2C10" w:rsidRDefault="0068024A" w:rsidP="00A53323">
            <w:pPr>
              <w:pStyle w:val="Normal-pool"/>
              <w:rPr>
                <w:sz w:val="18"/>
                <w:szCs w:val="18"/>
                <w:lang w:val="es-ES_tradnl"/>
              </w:rPr>
            </w:pPr>
            <w:r w:rsidRPr="005D2C10">
              <w:rPr>
                <w:sz w:val="18"/>
                <w:szCs w:val="18"/>
                <w:lang w:val="es-ES_tradnl"/>
              </w:rPr>
              <w:t>Tratamiento de:</w:t>
            </w:r>
          </w:p>
          <w:p w14:paraId="29E16665"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Productos con mercurio añadido cuando se convierten en desechos</w:t>
            </w:r>
          </w:p>
          <w:p w14:paraId="4721FD0B" w14:textId="77777777" w:rsidR="0068024A" w:rsidRPr="005D2C10" w:rsidRDefault="0068024A" w:rsidP="0068024A">
            <w:pPr>
              <w:pStyle w:val="Normal-pool"/>
              <w:numPr>
                <w:ilvl w:val="0"/>
                <w:numId w:val="37"/>
              </w:numPr>
              <w:tabs>
                <w:tab w:val="left" w:pos="675"/>
              </w:tabs>
              <w:spacing w:before="40" w:after="40"/>
              <w:ind w:left="710" w:right="284" w:hanging="395"/>
              <w:rPr>
                <w:sz w:val="18"/>
                <w:szCs w:val="18"/>
                <w:lang w:val="es-ES_tradnl"/>
              </w:rPr>
            </w:pPr>
            <w:r w:rsidRPr="005D2C10">
              <w:rPr>
                <w:sz w:val="18"/>
                <w:szCs w:val="18"/>
                <w:lang w:val="es-ES_tradnl"/>
              </w:rPr>
              <w:t>Desechos contaminados con mercurio o compuestos de mercurio</w:t>
            </w:r>
          </w:p>
          <w:p w14:paraId="7DF577DB"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80"/>
              <w:ind w:left="715" w:right="284" w:hanging="397"/>
              <w:rPr>
                <w:sz w:val="18"/>
                <w:szCs w:val="18"/>
                <w:lang w:val="es-ES_tradnl"/>
              </w:rPr>
            </w:pPr>
            <w:r w:rsidRPr="005D2C10">
              <w:rPr>
                <w:sz w:val="18"/>
                <w:szCs w:val="18"/>
                <w:lang w:val="es-ES_tradnl"/>
              </w:rPr>
              <w:t>Medios ambientales contaminados</w:t>
            </w:r>
          </w:p>
          <w:p w14:paraId="4D040172" w14:textId="77777777" w:rsidR="0068024A" w:rsidRPr="005D2C10" w:rsidRDefault="0068024A" w:rsidP="00A53323">
            <w:pPr>
              <w:pStyle w:val="Normal-pool"/>
              <w:rPr>
                <w:sz w:val="18"/>
                <w:szCs w:val="18"/>
                <w:lang w:val="es-ES_tradnl"/>
              </w:rPr>
            </w:pPr>
            <w:r w:rsidRPr="005D2C10">
              <w:rPr>
                <w:sz w:val="18"/>
                <w:szCs w:val="18"/>
                <w:lang w:val="es-ES_tradnl"/>
              </w:rPr>
              <w:t>Tratamiento de los desechos de:</w:t>
            </w:r>
          </w:p>
          <w:p w14:paraId="2DB85A0B" w14:textId="77777777" w:rsidR="0068024A" w:rsidRPr="005D2C10" w:rsidRDefault="0068024A" w:rsidP="0068024A">
            <w:pPr>
              <w:pStyle w:val="Normal-pool"/>
              <w:numPr>
                <w:ilvl w:val="0"/>
                <w:numId w:val="37"/>
              </w:numPr>
              <w:pBdr>
                <w:top w:val="nil"/>
                <w:left w:val="nil"/>
                <w:bottom w:val="nil"/>
                <w:right w:val="nil"/>
                <w:between w:val="nil"/>
              </w:pBdr>
              <w:tabs>
                <w:tab w:val="left" w:pos="675"/>
              </w:tabs>
              <w:spacing w:before="40" w:after="40"/>
              <w:ind w:left="710" w:right="284" w:hanging="395"/>
              <w:rPr>
                <w:sz w:val="18"/>
                <w:szCs w:val="18"/>
                <w:lang w:val="es-ES_tradnl"/>
              </w:rPr>
            </w:pPr>
            <w:r w:rsidRPr="005D2C10">
              <w:rPr>
                <w:sz w:val="18"/>
                <w:szCs w:val="18"/>
                <w:lang w:val="es-ES_tradnl"/>
              </w:rPr>
              <w:t xml:space="preserve">Producción de cloro </w:t>
            </w:r>
            <w:proofErr w:type="spellStart"/>
            <w:r w:rsidRPr="005D2C10">
              <w:rPr>
                <w:sz w:val="18"/>
                <w:szCs w:val="18"/>
                <w:lang w:val="es-ES_tradnl"/>
              </w:rPr>
              <w:t>álcali</w:t>
            </w:r>
            <w:r w:rsidRPr="005D2C10">
              <w:rPr>
                <w:sz w:val="18"/>
                <w:szCs w:val="18"/>
                <w:vertAlign w:val="superscript"/>
                <w:lang w:val="es-ES_tradnl"/>
              </w:rPr>
              <w:t>d</w:t>
            </w:r>
            <w:proofErr w:type="spellEnd"/>
            <w:r w:rsidRPr="005D2C10">
              <w:rPr>
                <w:sz w:val="18"/>
                <w:szCs w:val="18"/>
                <w:lang w:val="es-ES_tradnl"/>
              </w:rPr>
              <w:t xml:space="preserve">, alcoholatos (por ejemplo, </w:t>
            </w:r>
            <w:proofErr w:type="spellStart"/>
            <w:r w:rsidRPr="005D2C10">
              <w:rPr>
                <w:sz w:val="18"/>
                <w:szCs w:val="18"/>
                <w:lang w:val="es-ES_tradnl"/>
              </w:rPr>
              <w:t>metilato</w:t>
            </w:r>
            <w:proofErr w:type="spellEnd"/>
            <w:r w:rsidRPr="005D2C10">
              <w:rPr>
                <w:sz w:val="18"/>
                <w:szCs w:val="18"/>
                <w:lang w:val="es-ES_tradnl"/>
              </w:rPr>
              <w:t xml:space="preserve"> o </w:t>
            </w:r>
            <w:proofErr w:type="spellStart"/>
            <w:r w:rsidRPr="005D2C10">
              <w:rPr>
                <w:sz w:val="18"/>
                <w:szCs w:val="18"/>
                <w:lang w:val="es-ES_tradnl"/>
              </w:rPr>
              <w:t>etilato</w:t>
            </w:r>
            <w:proofErr w:type="spellEnd"/>
            <w:r w:rsidRPr="005D2C10">
              <w:rPr>
                <w:sz w:val="18"/>
                <w:szCs w:val="18"/>
                <w:lang w:val="es-ES_tradnl"/>
              </w:rPr>
              <w:t xml:space="preserve"> sódico o potásico), </w:t>
            </w:r>
            <w:proofErr w:type="spellStart"/>
            <w:r w:rsidRPr="005D2C10">
              <w:rPr>
                <w:sz w:val="18"/>
                <w:szCs w:val="18"/>
                <w:lang w:val="es-ES_tradnl"/>
              </w:rPr>
              <w:t>hidrosulfito</w:t>
            </w:r>
            <w:proofErr w:type="spellEnd"/>
            <w:r w:rsidRPr="005D2C10">
              <w:rPr>
                <w:sz w:val="18"/>
                <w:szCs w:val="18"/>
                <w:lang w:val="es-ES_tradnl"/>
              </w:rPr>
              <w:t xml:space="preserve"> y solución de hidróxido de potasio </w:t>
            </w:r>
            <w:proofErr w:type="spellStart"/>
            <w:r w:rsidRPr="005D2C10">
              <w:rPr>
                <w:sz w:val="18"/>
                <w:szCs w:val="18"/>
                <w:lang w:val="es-ES_tradnl"/>
              </w:rPr>
              <w:t>ultrapura</w:t>
            </w:r>
            <w:proofErr w:type="spellEnd"/>
            <w:r w:rsidRPr="005D2C10">
              <w:rPr>
                <w:sz w:val="18"/>
                <w:szCs w:val="18"/>
                <w:lang w:val="es-ES_tradnl"/>
              </w:rPr>
              <w:t xml:space="preserve"> con tecnología que usa mercurio, incluidas las instalaciones de desmantelamiento</w:t>
            </w:r>
          </w:p>
          <w:p w14:paraId="1463137E" w14:textId="77777777" w:rsidR="0068024A" w:rsidRPr="005D2C10" w:rsidRDefault="0068024A" w:rsidP="0068024A">
            <w:pPr>
              <w:pStyle w:val="Normal-pool"/>
              <w:numPr>
                <w:ilvl w:val="0"/>
                <w:numId w:val="37"/>
              </w:numPr>
              <w:tabs>
                <w:tab w:val="left" w:pos="675"/>
              </w:tabs>
              <w:spacing w:before="40" w:after="40"/>
              <w:ind w:left="710" w:right="284" w:hanging="395"/>
              <w:rPr>
                <w:sz w:val="18"/>
                <w:szCs w:val="18"/>
                <w:lang w:val="es-ES_tradnl"/>
              </w:rPr>
            </w:pPr>
            <w:r w:rsidRPr="005D2C10">
              <w:rPr>
                <w:sz w:val="18"/>
                <w:szCs w:val="18"/>
                <w:lang w:val="es-ES_tradnl"/>
              </w:rPr>
              <w:t>Producción de poliuretano, monómeros de cloruro de vinilo y acetaldehído en la que se utiliza mercurio como catalizador</w:t>
            </w:r>
          </w:p>
        </w:tc>
      </w:tr>
      <w:tr w:rsidR="0068024A" w:rsidRPr="005D2C10" w14:paraId="67A8600A" w14:textId="77777777" w:rsidTr="00A53323">
        <w:trPr>
          <w:trHeight w:val="57"/>
          <w:jc w:val="right"/>
        </w:trPr>
        <w:tc>
          <w:tcPr>
            <w:tcW w:w="2687" w:type="dxa"/>
          </w:tcPr>
          <w:p w14:paraId="7AC6262D"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Mercurio elemental</w:t>
            </w:r>
          </w:p>
        </w:tc>
        <w:tc>
          <w:tcPr>
            <w:tcW w:w="5620" w:type="dxa"/>
          </w:tcPr>
          <w:p w14:paraId="1EB382A9"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Mercurio almacenado (por ejemplo, industrias, laboratorios, consultorios dentales, instituciones educativas y de investigación, instituciones gubernamentales, vertederos, basureros, faros)</w:t>
            </w:r>
          </w:p>
        </w:tc>
      </w:tr>
      <w:tr w:rsidR="0068024A" w:rsidRPr="005D2C10" w14:paraId="0ECBAF56" w14:textId="77777777" w:rsidTr="00A53323">
        <w:trPr>
          <w:trHeight w:val="57"/>
          <w:jc w:val="right"/>
        </w:trPr>
        <w:tc>
          <w:tcPr>
            <w:tcW w:w="2687" w:type="dxa"/>
          </w:tcPr>
          <w:p w14:paraId="417946E2" w14:textId="77777777" w:rsidR="0068024A" w:rsidRPr="005D2C10" w:rsidRDefault="0068024A" w:rsidP="00A53323">
            <w:pPr>
              <w:pStyle w:val="Normal-pool"/>
              <w:rPr>
                <w:sz w:val="18"/>
                <w:szCs w:val="18"/>
                <w:lang w:val="es-ES_tradnl"/>
              </w:rPr>
            </w:pPr>
            <w:r w:rsidRPr="005D2C10">
              <w:rPr>
                <w:sz w:val="18"/>
                <w:szCs w:val="18"/>
                <w:lang w:val="es-ES_tradnl"/>
              </w:rPr>
              <w:t xml:space="preserve">Cloruro de mercurio (I) y </w:t>
            </w:r>
          </w:p>
          <w:p w14:paraId="64A1317A"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 xml:space="preserve">cloruro de mercurio (II) </w:t>
            </w:r>
          </w:p>
        </w:tc>
        <w:tc>
          <w:tcPr>
            <w:tcW w:w="5620" w:type="dxa"/>
          </w:tcPr>
          <w:p w14:paraId="16F40C4F"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Procesos de calcinación y fundición de zinc, plomo, cobre y oro primarios</w:t>
            </w:r>
          </w:p>
          <w:p w14:paraId="2B88F743"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Reactivo</w:t>
            </w:r>
          </w:p>
          <w:p w14:paraId="40828089"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 xml:space="preserve">Electrodo de calomelanos para mediciones electroquímicas </w:t>
            </w:r>
          </w:p>
          <w:p w14:paraId="6989CE46"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Medicina/fármacos</w:t>
            </w:r>
          </w:p>
          <w:p w14:paraId="66BB50B5"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Catalizador para el monómero de cloruro de vinilo - cloruro de mercurio (II)</w:t>
            </w:r>
          </w:p>
          <w:p w14:paraId="3B142491"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Existencias</w:t>
            </w:r>
          </w:p>
        </w:tc>
      </w:tr>
      <w:tr w:rsidR="0068024A" w:rsidRPr="005D2C10" w14:paraId="69B9AFD7" w14:textId="77777777" w:rsidTr="00A53323">
        <w:trPr>
          <w:trHeight w:val="57"/>
          <w:jc w:val="right"/>
        </w:trPr>
        <w:tc>
          <w:tcPr>
            <w:tcW w:w="2687" w:type="dxa"/>
          </w:tcPr>
          <w:p w14:paraId="371235DB" w14:textId="77777777" w:rsidR="0068024A" w:rsidRPr="005D2C10" w:rsidRDefault="0068024A" w:rsidP="00A53323">
            <w:pPr>
              <w:pStyle w:val="Normal-pool"/>
              <w:rPr>
                <w:sz w:val="18"/>
                <w:szCs w:val="18"/>
                <w:lang w:val="es-ES_tradnl"/>
              </w:rPr>
            </w:pPr>
            <w:r w:rsidRPr="005D2C10">
              <w:rPr>
                <w:sz w:val="18"/>
                <w:szCs w:val="18"/>
                <w:lang w:val="es-ES_tradnl"/>
              </w:rPr>
              <w:t xml:space="preserve">Óxido de mercurio (II) </w:t>
            </w:r>
          </w:p>
          <w:p w14:paraId="50A8F490"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(óxido mercúrico)</w:t>
            </w:r>
          </w:p>
        </w:tc>
        <w:tc>
          <w:tcPr>
            <w:tcW w:w="5620" w:type="dxa"/>
          </w:tcPr>
          <w:p w14:paraId="7CBB28A0"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Baterías secas, pigmentos en pinturas y modificadores de vidrio, fungicidas, cosméticos, reactivos de laboratorio, pinturas antiincrustantes</w:t>
            </w:r>
          </w:p>
          <w:p w14:paraId="33128D0B"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Existencias</w:t>
            </w:r>
          </w:p>
        </w:tc>
      </w:tr>
      <w:tr w:rsidR="0068024A" w:rsidRPr="005D2C10" w14:paraId="298DDE5A" w14:textId="77777777" w:rsidTr="00A53323">
        <w:trPr>
          <w:trHeight w:val="57"/>
          <w:jc w:val="right"/>
        </w:trPr>
        <w:tc>
          <w:tcPr>
            <w:tcW w:w="2687" w:type="dxa"/>
          </w:tcPr>
          <w:p w14:paraId="139BCAF0" w14:textId="77777777" w:rsidR="0068024A" w:rsidRPr="005D2C10" w:rsidRDefault="0068024A" w:rsidP="00A53323">
            <w:pPr>
              <w:pStyle w:val="Normal-pool"/>
              <w:rPr>
                <w:sz w:val="18"/>
                <w:szCs w:val="18"/>
                <w:lang w:val="es-ES_tradnl"/>
              </w:rPr>
            </w:pPr>
            <w:r w:rsidRPr="005D2C10">
              <w:rPr>
                <w:sz w:val="18"/>
                <w:szCs w:val="18"/>
                <w:lang w:val="es-ES_tradnl"/>
              </w:rPr>
              <w:t>Sulfato de mercurio (II)</w:t>
            </w:r>
          </w:p>
          <w:p w14:paraId="5AC50804"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(sulfato de mercurio)</w:t>
            </w:r>
          </w:p>
        </w:tc>
        <w:tc>
          <w:tcPr>
            <w:tcW w:w="5620" w:type="dxa"/>
          </w:tcPr>
          <w:p w14:paraId="53D16F72"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Reactivo de laboratorio, catalizador utilizado para la producción de acetaldehído</w:t>
            </w:r>
          </w:p>
          <w:p w14:paraId="24AD5B22"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Existencias</w:t>
            </w:r>
          </w:p>
        </w:tc>
      </w:tr>
      <w:tr w:rsidR="0068024A" w:rsidRPr="005D2C10" w14:paraId="5D4183DF" w14:textId="77777777" w:rsidTr="00A53323">
        <w:trPr>
          <w:trHeight w:val="57"/>
          <w:jc w:val="right"/>
        </w:trPr>
        <w:tc>
          <w:tcPr>
            <w:tcW w:w="2687" w:type="dxa"/>
          </w:tcPr>
          <w:p w14:paraId="4297E29C" w14:textId="77777777" w:rsidR="0068024A" w:rsidRPr="005D2C10" w:rsidRDefault="0068024A" w:rsidP="00A53323">
            <w:pPr>
              <w:pStyle w:val="Normal-pool"/>
              <w:rPr>
                <w:sz w:val="18"/>
                <w:szCs w:val="18"/>
                <w:lang w:val="es-ES_tradnl"/>
              </w:rPr>
            </w:pPr>
            <w:r w:rsidRPr="005D2C10">
              <w:rPr>
                <w:sz w:val="18"/>
                <w:szCs w:val="18"/>
                <w:lang w:val="es-ES_tradnl"/>
              </w:rPr>
              <w:t>Nitrato de mercurio (II)</w:t>
            </w:r>
          </w:p>
          <w:p w14:paraId="57DD5230"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(nitrato de mercurio)</w:t>
            </w:r>
          </w:p>
        </w:tc>
        <w:tc>
          <w:tcPr>
            <w:tcW w:w="5620" w:type="dxa"/>
          </w:tcPr>
          <w:p w14:paraId="60A6DB45"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Agente oxidante, reactivo de laboratorio</w:t>
            </w:r>
          </w:p>
          <w:p w14:paraId="7C36CC1E"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Existencias</w:t>
            </w:r>
          </w:p>
        </w:tc>
      </w:tr>
      <w:tr w:rsidR="0068024A" w:rsidRPr="005D2C10" w14:paraId="0512E8BE" w14:textId="77777777" w:rsidTr="00A53323">
        <w:trPr>
          <w:trHeight w:val="57"/>
          <w:jc w:val="right"/>
        </w:trPr>
        <w:tc>
          <w:tcPr>
            <w:tcW w:w="2687" w:type="dxa"/>
          </w:tcPr>
          <w:p w14:paraId="356CEE49"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Cinabrio concentrado</w:t>
            </w:r>
          </w:p>
        </w:tc>
        <w:tc>
          <w:tcPr>
            <w:tcW w:w="5620" w:type="dxa"/>
          </w:tcPr>
          <w:p w14:paraId="2EFE2C0E"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Extracción primaria de mercurio</w:t>
            </w:r>
          </w:p>
          <w:p w14:paraId="67ECDE24"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lastRenderedPageBreak/>
              <w:t>Existencias</w:t>
            </w:r>
          </w:p>
        </w:tc>
      </w:tr>
      <w:tr w:rsidR="0068024A" w:rsidRPr="005D2C10" w14:paraId="1F0FCACB" w14:textId="77777777" w:rsidTr="00A53323">
        <w:trPr>
          <w:trHeight w:val="57"/>
          <w:jc w:val="right"/>
        </w:trPr>
        <w:tc>
          <w:tcPr>
            <w:tcW w:w="2687" w:type="dxa"/>
            <w:tcBorders>
              <w:bottom w:val="single" w:sz="12" w:space="0" w:color="auto"/>
            </w:tcBorders>
          </w:tcPr>
          <w:p w14:paraId="41777673"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lastRenderedPageBreak/>
              <w:t>Sulfuro de mercurio</w:t>
            </w:r>
          </w:p>
        </w:tc>
        <w:tc>
          <w:tcPr>
            <w:tcW w:w="5620" w:type="dxa"/>
            <w:tcBorders>
              <w:bottom w:val="single" w:sz="12" w:space="0" w:color="auto"/>
            </w:tcBorders>
          </w:tcPr>
          <w:p w14:paraId="1F07E0D0"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Pigmento</w:t>
            </w:r>
          </w:p>
          <w:p w14:paraId="0C484689"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Estabilización de desechos de mercurio para su almacenamiento o eliminación</w:t>
            </w:r>
          </w:p>
          <w:p w14:paraId="4BC6A75F" w14:textId="77777777" w:rsidR="0068024A" w:rsidRPr="005D2C10" w:rsidRDefault="0068024A" w:rsidP="00A53323">
            <w:pPr>
              <w:pStyle w:val="Normal-pool"/>
              <w:spacing w:before="40" w:after="40"/>
              <w:rPr>
                <w:sz w:val="18"/>
                <w:szCs w:val="18"/>
                <w:lang w:val="es-ES_tradnl"/>
              </w:rPr>
            </w:pPr>
            <w:r w:rsidRPr="005D2C10">
              <w:rPr>
                <w:sz w:val="18"/>
                <w:szCs w:val="18"/>
                <w:lang w:val="es-ES_tradnl"/>
              </w:rPr>
              <w:t>Existencias</w:t>
            </w:r>
          </w:p>
        </w:tc>
      </w:tr>
    </w:tbl>
    <w:p w14:paraId="3BE39B13" w14:textId="77777777" w:rsidR="0068024A" w:rsidRPr="002927A1" w:rsidRDefault="0068024A" w:rsidP="0068024A">
      <w:pPr>
        <w:pStyle w:val="NormalNonumber"/>
        <w:spacing w:before="20" w:after="40"/>
        <w:rPr>
          <w:b/>
          <w:sz w:val="17"/>
          <w:szCs w:val="17"/>
          <w:lang w:val="es-ES_tradnl"/>
        </w:rPr>
      </w:pPr>
      <w:r w:rsidRPr="002927A1">
        <w:rPr>
          <w:sz w:val="17"/>
          <w:szCs w:val="17"/>
          <w:vertAlign w:val="superscript"/>
          <w:lang w:val="es-ES_tradnl"/>
        </w:rPr>
        <w:t>a</w:t>
      </w:r>
      <w:r w:rsidRPr="002927A1">
        <w:rPr>
          <w:sz w:val="17"/>
          <w:szCs w:val="17"/>
          <w:lang w:val="es-ES_tradnl"/>
        </w:rPr>
        <w:t xml:space="preserve"> El Convenio define un compuesto de mercurio como toda sustancia que consiste en átomos de mercurio y uno o más átomos de elementos químicos distintos que puedan separarse en componentes diferentes solo por medio de reacciones químicas. </w:t>
      </w:r>
    </w:p>
    <w:p w14:paraId="25C0ECC3"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b</w:t>
      </w:r>
      <w:r w:rsidRPr="002927A1">
        <w:rPr>
          <w:sz w:val="17"/>
          <w:szCs w:val="17"/>
          <w:lang w:val="es-ES_tradnl"/>
        </w:rPr>
        <w:t xml:space="preserve"> Una instalación o actividad en la que es probable que se generen o acumulen desechos.</w:t>
      </w:r>
    </w:p>
    <w:p w14:paraId="7547CBE7"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 xml:space="preserve">c </w:t>
      </w:r>
      <w:r w:rsidRPr="002927A1">
        <w:rPr>
          <w:sz w:val="17"/>
          <w:szCs w:val="17"/>
          <w:lang w:val="es-ES_tradnl"/>
        </w:rPr>
        <w:t>Mercurio recuperado según se describe en el apartado b) del párrafo 3 del artículo 11.</w:t>
      </w:r>
    </w:p>
    <w:p w14:paraId="5E665FAB"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d</w:t>
      </w:r>
      <w:r w:rsidRPr="002927A1">
        <w:rPr>
          <w:sz w:val="17"/>
          <w:szCs w:val="17"/>
          <w:lang w:val="es-ES_tradnl"/>
        </w:rPr>
        <w:t xml:space="preserve"> Es posible que la recuperación ocurra sin tratamiento.</w:t>
      </w:r>
    </w:p>
    <w:p w14:paraId="1870FB9D" w14:textId="77777777" w:rsidR="0068024A" w:rsidRPr="002927A1" w:rsidRDefault="0068024A" w:rsidP="0068024A">
      <w:pPr>
        <w:pStyle w:val="NormalNonumber"/>
        <w:spacing w:before="20" w:after="40"/>
        <w:rPr>
          <w:b/>
          <w:lang w:val="es-ES_tradnl"/>
        </w:rPr>
      </w:pPr>
    </w:p>
    <w:p w14:paraId="39E355FE" w14:textId="5A9ADA29" w:rsidR="0068024A" w:rsidRPr="002927A1" w:rsidRDefault="0068024A" w:rsidP="0068024A">
      <w:pPr>
        <w:tabs>
          <w:tab w:val="clear" w:pos="1247"/>
          <w:tab w:val="clear" w:pos="1814"/>
          <w:tab w:val="clear" w:pos="2381"/>
          <w:tab w:val="clear" w:pos="2948"/>
          <w:tab w:val="clear" w:pos="3515"/>
        </w:tabs>
        <w:ind w:left="1247" w:firstLine="1"/>
        <w:rPr>
          <w:b/>
        </w:rPr>
      </w:pPr>
      <w:r w:rsidRPr="002927A1">
        <w:t>Cuadro 2</w:t>
      </w:r>
      <w:r w:rsidRPr="002927A1">
        <w:br/>
      </w:r>
      <w:r w:rsidRPr="002927A1">
        <w:rPr>
          <w:b/>
          <w:bCs/>
        </w:rPr>
        <w:t>Lista no exhaustiva de desechos que contienen mercurio o compuestos de mercurio (apartado b) del párrafo 2</w:t>
      </w:r>
      <w:r w:rsidRPr="002927A1">
        <w:t xml:space="preserve"> </w:t>
      </w:r>
      <w:r w:rsidRPr="002927A1">
        <w:rPr>
          <w:b/>
          <w:bCs/>
        </w:rPr>
        <w:t>del artículo </w:t>
      </w:r>
      <w:proofErr w:type="gramStart"/>
      <w:r w:rsidRPr="002927A1">
        <w:rPr>
          <w:b/>
          <w:bCs/>
        </w:rPr>
        <w:t>11)</w:t>
      </w:r>
      <w:r w:rsidRPr="00936F3F">
        <w:rPr>
          <w:b/>
          <w:bCs/>
          <w:vertAlign w:val="superscript"/>
        </w:rPr>
        <w:t>a</w:t>
      </w:r>
      <w:proofErr w:type="gramEnd"/>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960"/>
        <w:gridCol w:w="5347"/>
      </w:tblGrid>
      <w:tr w:rsidR="0068024A" w:rsidRPr="002927A1" w14:paraId="45BE186E" w14:textId="77777777" w:rsidTr="00A53323">
        <w:trPr>
          <w:trHeight w:val="57"/>
          <w:tblHeader/>
          <w:jc w:val="right"/>
        </w:trPr>
        <w:tc>
          <w:tcPr>
            <w:tcW w:w="2960" w:type="dxa"/>
            <w:tcBorders>
              <w:top w:val="single" w:sz="4" w:space="0" w:color="auto"/>
              <w:bottom w:val="single" w:sz="12" w:space="0" w:color="auto"/>
            </w:tcBorders>
          </w:tcPr>
          <w:p w14:paraId="6166B8C1" w14:textId="77777777" w:rsidR="0068024A" w:rsidRPr="002927A1" w:rsidRDefault="0068024A" w:rsidP="00A53323">
            <w:pPr>
              <w:pStyle w:val="Normal-pool"/>
              <w:spacing w:before="40" w:after="40"/>
              <w:rPr>
                <w:i/>
                <w:iCs/>
                <w:sz w:val="18"/>
                <w:szCs w:val="18"/>
                <w:lang w:val="es-ES_tradnl"/>
              </w:rPr>
            </w:pPr>
            <w:r w:rsidRPr="002927A1">
              <w:rPr>
                <w:i/>
                <w:iCs/>
                <w:sz w:val="18"/>
                <w:szCs w:val="18"/>
                <w:lang w:val="es-ES_tradnl"/>
              </w:rPr>
              <w:t>Tipo de desechos</w:t>
            </w:r>
          </w:p>
        </w:tc>
        <w:tc>
          <w:tcPr>
            <w:tcW w:w="5347" w:type="dxa"/>
            <w:tcBorders>
              <w:top w:val="single" w:sz="4" w:space="0" w:color="auto"/>
              <w:bottom w:val="single" w:sz="12" w:space="0" w:color="auto"/>
            </w:tcBorders>
          </w:tcPr>
          <w:p w14:paraId="3CCAA8E4" w14:textId="77777777" w:rsidR="0068024A" w:rsidRPr="002927A1" w:rsidRDefault="0068024A" w:rsidP="00A53323">
            <w:pPr>
              <w:pStyle w:val="Normal-pool"/>
              <w:spacing w:before="40" w:after="40"/>
              <w:rPr>
                <w:i/>
                <w:iCs/>
                <w:sz w:val="18"/>
                <w:szCs w:val="18"/>
                <w:lang w:val="es-ES_tradnl"/>
              </w:rPr>
            </w:pPr>
            <w:r w:rsidRPr="002927A1">
              <w:rPr>
                <w:i/>
                <w:iCs/>
                <w:sz w:val="18"/>
                <w:szCs w:val="18"/>
                <w:lang w:val="es-ES_tradnl"/>
              </w:rPr>
              <w:t xml:space="preserve">Fuente de los </w:t>
            </w:r>
            <w:proofErr w:type="spellStart"/>
            <w:r w:rsidRPr="002927A1">
              <w:rPr>
                <w:i/>
                <w:iCs/>
                <w:sz w:val="18"/>
                <w:szCs w:val="18"/>
                <w:lang w:val="es-ES_tradnl"/>
              </w:rPr>
              <w:t>desechos</w:t>
            </w:r>
            <w:r w:rsidRPr="002927A1">
              <w:rPr>
                <w:i/>
                <w:iCs/>
                <w:sz w:val="18"/>
                <w:szCs w:val="18"/>
                <w:vertAlign w:val="superscript"/>
                <w:lang w:val="es-ES_tradnl"/>
              </w:rPr>
              <w:t>b</w:t>
            </w:r>
            <w:proofErr w:type="spellEnd"/>
            <w:r w:rsidRPr="002927A1">
              <w:rPr>
                <w:sz w:val="18"/>
                <w:szCs w:val="18"/>
                <w:lang w:val="es-ES_tradnl"/>
              </w:rPr>
              <w:t xml:space="preserve"> </w:t>
            </w:r>
          </w:p>
        </w:tc>
      </w:tr>
      <w:tr w:rsidR="0068024A" w:rsidRPr="002927A1" w14:paraId="278742C7" w14:textId="77777777" w:rsidTr="00A53323">
        <w:trPr>
          <w:trHeight w:val="57"/>
          <w:tblHeader/>
          <w:jc w:val="right"/>
        </w:trPr>
        <w:tc>
          <w:tcPr>
            <w:tcW w:w="2960" w:type="dxa"/>
            <w:tcBorders>
              <w:top w:val="single" w:sz="12" w:space="0" w:color="auto"/>
            </w:tcBorders>
          </w:tcPr>
          <w:p w14:paraId="28BC197E" w14:textId="77777777" w:rsidR="0068024A" w:rsidRPr="002927A1" w:rsidRDefault="0068024A" w:rsidP="00A53323">
            <w:pPr>
              <w:pStyle w:val="Normal-pool"/>
              <w:tabs>
                <w:tab w:val="clear" w:pos="1247"/>
                <w:tab w:val="clear" w:pos="1814"/>
                <w:tab w:val="clear" w:pos="2381"/>
                <w:tab w:val="clear" w:pos="2948"/>
                <w:tab w:val="clear" w:pos="3515"/>
                <w:tab w:val="left" w:pos="624"/>
              </w:tabs>
              <w:spacing w:before="40" w:after="40"/>
              <w:rPr>
                <w:sz w:val="18"/>
                <w:szCs w:val="18"/>
                <w:lang w:val="es-ES_tradnl"/>
              </w:rPr>
            </w:pPr>
            <w:r w:rsidRPr="002927A1">
              <w:rPr>
                <w:sz w:val="18"/>
                <w:szCs w:val="18"/>
                <w:lang w:val="es-ES_tradnl"/>
              </w:rPr>
              <w:t>Aparatos de medición no electrónicos que contienen mercurio (barómetros, higrómetros, manómetros, termómetros y esfigmomanómetros)</w:t>
            </w:r>
          </w:p>
        </w:tc>
        <w:tc>
          <w:tcPr>
            <w:tcW w:w="5347" w:type="dxa"/>
            <w:tcBorders>
              <w:top w:val="single" w:sz="12" w:space="0" w:color="auto"/>
            </w:tcBorders>
          </w:tcPr>
          <w:p w14:paraId="532AAEF8"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Hospitales, clínicas, instalaciones sanitarias (humanas y animales), farmacias, hogares, escuelas, laboratorios, universidades, instalaciones industriales, aeropuertos, estaciones meteorológicas, instalaciones de reciclaje de barcos</w:t>
            </w:r>
          </w:p>
        </w:tc>
      </w:tr>
      <w:tr w:rsidR="0068024A" w:rsidRPr="002927A1" w14:paraId="3A3E0D32" w14:textId="77777777" w:rsidTr="00A53323">
        <w:trPr>
          <w:trHeight w:val="57"/>
          <w:tblHeader/>
          <w:jc w:val="right"/>
        </w:trPr>
        <w:tc>
          <w:tcPr>
            <w:tcW w:w="2960" w:type="dxa"/>
          </w:tcPr>
          <w:p w14:paraId="0B19883D"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 xml:space="preserve">Interruptores eléctricos y electrónicos, contactos, relés y conectores eléctricos rotativos con mercurio </w:t>
            </w:r>
          </w:p>
        </w:tc>
        <w:tc>
          <w:tcPr>
            <w:tcW w:w="5347" w:type="dxa"/>
          </w:tcPr>
          <w:p w14:paraId="6D8C4B9F"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 xml:space="preserve">Instalaciones de desmantelamiento de residuos de aparatos eléctricos y electrónicos (relés, conectores e interruptores), instalaciones industriales (conectadas a calderas), hogares, oficinas </w:t>
            </w:r>
          </w:p>
        </w:tc>
      </w:tr>
      <w:tr w:rsidR="0068024A" w:rsidRPr="002927A1" w14:paraId="0C6246BF" w14:textId="77777777" w:rsidTr="00A53323">
        <w:trPr>
          <w:trHeight w:val="57"/>
          <w:tblHeader/>
          <w:jc w:val="right"/>
        </w:trPr>
        <w:tc>
          <w:tcPr>
            <w:tcW w:w="2960" w:type="dxa"/>
          </w:tcPr>
          <w:p w14:paraId="798D0982"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Bombillas fluorescentes, bombillas con descarga de alta intensidad (HID) (bombillas de vapor de mercurio, bombillas de haluro metálico y bombillas de sodio de alta presión), lámparas de neón/argón</w:t>
            </w:r>
          </w:p>
        </w:tc>
        <w:tc>
          <w:tcPr>
            <w:tcW w:w="5347" w:type="dxa"/>
          </w:tcPr>
          <w:p w14:paraId="32B2B1F8"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 xml:space="preserve">Hogares, instalaciones industriales y comerciales, instalaciones automovilísticas, puntos de recogida </w:t>
            </w:r>
          </w:p>
        </w:tc>
      </w:tr>
      <w:tr w:rsidR="0068024A" w:rsidRPr="002927A1" w14:paraId="0BC5ECB2" w14:textId="77777777" w:rsidTr="00A53323">
        <w:trPr>
          <w:trHeight w:val="57"/>
          <w:tblHeader/>
          <w:jc w:val="right"/>
        </w:trPr>
        <w:tc>
          <w:tcPr>
            <w:tcW w:w="2960" w:type="dxa"/>
          </w:tcPr>
          <w:p w14:paraId="3140C416"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Baterías y acumuladores que contienen mercurio</w:t>
            </w:r>
          </w:p>
        </w:tc>
        <w:tc>
          <w:tcPr>
            <w:tcW w:w="5347" w:type="dxa"/>
          </w:tcPr>
          <w:p w14:paraId="1CAF4A66"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Hogares, instalaciones industriales y comerciales, puntos de recogida</w:t>
            </w:r>
          </w:p>
        </w:tc>
      </w:tr>
      <w:tr w:rsidR="0068024A" w:rsidRPr="002927A1" w14:paraId="60540A94" w14:textId="77777777" w:rsidTr="00A53323">
        <w:trPr>
          <w:trHeight w:val="57"/>
          <w:tblHeader/>
          <w:jc w:val="right"/>
        </w:trPr>
        <w:tc>
          <w:tcPr>
            <w:tcW w:w="2960" w:type="dxa"/>
          </w:tcPr>
          <w:p w14:paraId="431620A3"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Biocidas y plaguicidas que contienen mercurio y sus formulaciones y productos</w:t>
            </w:r>
          </w:p>
        </w:tc>
        <w:tc>
          <w:tcPr>
            <w:tcW w:w="5347" w:type="dxa"/>
          </w:tcPr>
          <w:p w14:paraId="42EEDAFE"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Instalaciones agrícolas, hortícolas, industriales y comerciales (incluidos los almacenes), laboratorios</w:t>
            </w:r>
          </w:p>
        </w:tc>
      </w:tr>
      <w:tr w:rsidR="0068024A" w:rsidRPr="002927A1" w14:paraId="71EE20B7" w14:textId="77777777" w:rsidTr="00A53323">
        <w:trPr>
          <w:trHeight w:val="57"/>
          <w:tblHeader/>
          <w:jc w:val="right"/>
        </w:trPr>
        <w:tc>
          <w:tcPr>
            <w:tcW w:w="2960" w:type="dxa"/>
          </w:tcPr>
          <w:p w14:paraId="1326B479"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 xml:space="preserve">Pinturas y barnices que contienen mercurio </w:t>
            </w:r>
          </w:p>
        </w:tc>
        <w:tc>
          <w:tcPr>
            <w:tcW w:w="5347" w:type="dxa"/>
          </w:tcPr>
          <w:p w14:paraId="4EE63E3A"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Instalaciones industriales y comerciales, hogares</w:t>
            </w:r>
          </w:p>
        </w:tc>
      </w:tr>
      <w:tr w:rsidR="0068024A" w:rsidRPr="002927A1" w14:paraId="20FD92CF" w14:textId="77777777" w:rsidTr="00A53323">
        <w:trPr>
          <w:trHeight w:val="57"/>
          <w:tblHeader/>
          <w:jc w:val="right"/>
        </w:trPr>
        <w:tc>
          <w:tcPr>
            <w:tcW w:w="2960" w:type="dxa"/>
          </w:tcPr>
          <w:p w14:paraId="576A1107"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Productos farmacéuticos que contienen mercurio para uso humano y veterinario, incluidas las vacunas</w:t>
            </w:r>
          </w:p>
        </w:tc>
        <w:tc>
          <w:tcPr>
            <w:tcW w:w="5347" w:type="dxa"/>
          </w:tcPr>
          <w:p w14:paraId="1B1C1FD3"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Instalaciones industriales y sanitarias (incluidos los almacenes), industria ganadera</w:t>
            </w:r>
          </w:p>
        </w:tc>
      </w:tr>
      <w:tr w:rsidR="0068024A" w:rsidRPr="002927A1" w14:paraId="279836F6" w14:textId="77777777" w:rsidTr="00A53323">
        <w:trPr>
          <w:trHeight w:val="57"/>
          <w:tblHeader/>
          <w:jc w:val="right"/>
        </w:trPr>
        <w:tc>
          <w:tcPr>
            <w:tcW w:w="2960" w:type="dxa"/>
          </w:tcPr>
          <w:p w14:paraId="3AF5C8AB"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Cosméticos y otros productos relacionados que contienen mercurio</w:t>
            </w:r>
          </w:p>
        </w:tc>
        <w:tc>
          <w:tcPr>
            <w:tcW w:w="5347" w:type="dxa"/>
          </w:tcPr>
          <w:p w14:paraId="02202E2D"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Instalaciones industriales (incluidos los almacenes)</w:t>
            </w:r>
          </w:p>
        </w:tc>
      </w:tr>
      <w:tr w:rsidR="0068024A" w:rsidRPr="002927A1" w14:paraId="4FD59BFA" w14:textId="77777777" w:rsidTr="00A53323">
        <w:trPr>
          <w:trHeight w:val="57"/>
          <w:tblHeader/>
          <w:jc w:val="right"/>
        </w:trPr>
        <w:tc>
          <w:tcPr>
            <w:tcW w:w="2960" w:type="dxa"/>
          </w:tcPr>
          <w:p w14:paraId="15814135"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Amalgama dental</w:t>
            </w:r>
          </w:p>
        </w:tc>
        <w:tc>
          <w:tcPr>
            <w:tcW w:w="5347" w:type="dxa"/>
          </w:tcPr>
          <w:p w14:paraId="1AAF3D76"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Consultorios dentales, escuelas de odontología, crematorios</w:t>
            </w:r>
          </w:p>
        </w:tc>
      </w:tr>
      <w:tr w:rsidR="0068024A" w:rsidRPr="002927A1" w14:paraId="0FEB4156" w14:textId="77777777" w:rsidTr="00A53323">
        <w:trPr>
          <w:trHeight w:val="57"/>
          <w:tblHeader/>
          <w:jc w:val="right"/>
        </w:trPr>
        <w:tc>
          <w:tcPr>
            <w:tcW w:w="2960" w:type="dxa"/>
            <w:tcBorders>
              <w:bottom w:val="single" w:sz="12" w:space="0" w:color="auto"/>
            </w:tcBorders>
          </w:tcPr>
          <w:p w14:paraId="50CDA3EE"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Instrumento científico utilizado para la calibración de dispositivos médicos o científicos que contienen mercurio</w:t>
            </w:r>
          </w:p>
        </w:tc>
        <w:tc>
          <w:tcPr>
            <w:tcW w:w="5347" w:type="dxa"/>
            <w:tcBorders>
              <w:bottom w:val="single" w:sz="12" w:space="0" w:color="auto"/>
            </w:tcBorders>
          </w:tcPr>
          <w:p w14:paraId="7C16C0B1" w14:textId="77777777" w:rsidR="0068024A" w:rsidRPr="002927A1" w:rsidRDefault="0068024A" w:rsidP="00A53323">
            <w:pPr>
              <w:pStyle w:val="Normal-pool"/>
              <w:spacing w:before="40" w:after="40"/>
              <w:rPr>
                <w:sz w:val="18"/>
                <w:szCs w:val="18"/>
                <w:lang w:val="es-ES_tradnl"/>
              </w:rPr>
            </w:pPr>
            <w:r w:rsidRPr="002927A1">
              <w:rPr>
                <w:sz w:val="18"/>
                <w:szCs w:val="18"/>
                <w:lang w:val="es-ES_tradnl"/>
              </w:rPr>
              <w:t>Laboratorios, instituciones (incluidos los almacenes)</w:t>
            </w:r>
          </w:p>
        </w:tc>
      </w:tr>
    </w:tbl>
    <w:p w14:paraId="4F363D9C"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a</w:t>
      </w:r>
      <w:r w:rsidRPr="002927A1">
        <w:rPr>
          <w:sz w:val="17"/>
          <w:szCs w:val="17"/>
          <w:lang w:val="es-ES_tradnl"/>
        </w:rPr>
        <w:t xml:space="preserve"> Los productos con mercurio añadido que figuran en la columna “tipo de desechos” de este cuadro se consideran desechos contemplados en el apartado b) del párrafo 2 del artículo 11 </w:t>
      </w:r>
      <w:r w:rsidRPr="002927A1">
        <w:rPr>
          <w:rFonts w:cs="Myriad Pro"/>
          <w:color w:val="000000"/>
          <w:sz w:val="17"/>
          <w:szCs w:val="17"/>
          <w:lang w:val="es-ES_tradnl"/>
        </w:rPr>
        <w:t xml:space="preserve">a cuya eliminación se procede, se propone proceder o se está obligado a proceder en virtud de lo dispuesto en la legislación nacional o en el </w:t>
      </w:r>
      <w:r w:rsidRPr="002927A1">
        <w:rPr>
          <w:sz w:val="17"/>
          <w:szCs w:val="17"/>
          <w:lang w:val="es-ES_tradnl"/>
        </w:rPr>
        <w:t>Convenio de Minamata.</w:t>
      </w:r>
    </w:p>
    <w:p w14:paraId="6EE65A71"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b</w:t>
      </w:r>
      <w:r w:rsidRPr="002927A1">
        <w:rPr>
          <w:sz w:val="17"/>
          <w:szCs w:val="17"/>
          <w:lang w:val="es-ES_tradnl"/>
        </w:rPr>
        <w:t xml:space="preserve"> Una instalación o actividad en la que es probable que se generen o acumulen desechos.</w:t>
      </w:r>
    </w:p>
    <w:p w14:paraId="162899EA" w14:textId="77777777" w:rsidR="0068024A" w:rsidRPr="002927A1" w:rsidRDefault="0068024A" w:rsidP="0068024A">
      <w:pPr>
        <w:pStyle w:val="NormalNonumber"/>
        <w:spacing w:before="20" w:after="40"/>
        <w:rPr>
          <w:sz w:val="17"/>
          <w:szCs w:val="17"/>
          <w:lang w:val="es-ES_tradnl"/>
        </w:rPr>
      </w:pPr>
      <w:r w:rsidRPr="002927A1">
        <w:rPr>
          <w:sz w:val="17"/>
          <w:szCs w:val="17"/>
          <w:vertAlign w:val="superscript"/>
          <w:lang w:val="es-ES_tradnl"/>
        </w:rPr>
        <w:t>c</w:t>
      </w:r>
      <w:r w:rsidRPr="002927A1">
        <w:rPr>
          <w:sz w:val="17"/>
          <w:szCs w:val="17"/>
          <w:lang w:val="es-ES_tradnl"/>
        </w:rPr>
        <w:t xml:space="preserve"> Incluye tanto las instituciones públicas como las privadas.</w:t>
      </w:r>
    </w:p>
    <w:p w14:paraId="2EA55909" w14:textId="77777777" w:rsidR="0068024A" w:rsidRPr="002927A1" w:rsidRDefault="0068024A" w:rsidP="0068024A">
      <w:pPr>
        <w:pStyle w:val="Normal-pool"/>
        <w:tabs>
          <w:tab w:val="clear" w:pos="1247"/>
          <w:tab w:val="clear" w:pos="1814"/>
          <w:tab w:val="clear" w:pos="2381"/>
          <w:tab w:val="clear" w:pos="2948"/>
          <w:tab w:val="clear" w:pos="3515"/>
          <w:tab w:val="clear" w:pos="4082"/>
        </w:tabs>
        <w:spacing w:after="120"/>
        <w:ind w:left="1247"/>
        <w:rPr>
          <w:b/>
          <w:lang w:val="es-ES_tradnl"/>
        </w:rPr>
      </w:pPr>
      <w:r w:rsidRPr="002927A1">
        <w:rPr>
          <w:lang w:val="es-ES_tradnl"/>
        </w:rPr>
        <w:br w:type="page"/>
      </w:r>
      <w:r w:rsidRPr="002927A1">
        <w:rPr>
          <w:lang w:val="es-ES_tradnl"/>
        </w:rPr>
        <w:lastRenderedPageBreak/>
        <w:t xml:space="preserve">Cuadro 3 </w:t>
      </w:r>
      <w:r w:rsidRPr="002927A1">
        <w:rPr>
          <w:lang w:val="es-ES_tradnl"/>
        </w:rPr>
        <w:br/>
      </w:r>
      <w:r w:rsidRPr="002927A1">
        <w:rPr>
          <w:b/>
          <w:bCs/>
          <w:lang w:val="es-ES_tradnl"/>
        </w:rPr>
        <w:t>Lista indicativa de desechos contaminados con mercurio o compuestos de mercurio (apartado c) del párrafo 2</w:t>
      </w:r>
      <w:r w:rsidRPr="002927A1">
        <w:rPr>
          <w:lang w:val="es-ES_tradnl"/>
        </w:rPr>
        <w:t xml:space="preserve"> </w:t>
      </w:r>
      <w:r w:rsidRPr="002927A1">
        <w:rPr>
          <w:b/>
          <w:bCs/>
          <w:lang w:val="es-ES_tradnl"/>
        </w:rPr>
        <w:t>del artículo </w:t>
      </w:r>
      <w:proofErr w:type="gramStart"/>
      <w:r w:rsidRPr="002927A1">
        <w:rPr>
          <w:b/>
          <w:bCs/>
          <w:lang w:val="es-ES_tradnl"/>
        </w:rPr>
        <w:t>11)</w:t>
      </w:r>
      <w:r w:rsidRPr="002927A1">
        <w:rPr>
          <w:vertAlign w:val="superscript"/>
          <w:lang w:val="es-ES_tradnl"/>
        </w:rPr>
        <w:t>a</w:t>
      </w:r>
      <w:proofErr w:type="gramEnd"/>
    </w:p>
    <w:tbl>
      <w:tblPr>
        <w:tblW w:w="4349" w:type="pc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791"/>
        <w:gridCol w:w="5455"/>
      </w:tblGrid>
      <w:tr w:rsidR="0068024A" w:rsidRPr="00CC06FE" w14:paraId="6ABAF9CE" w14:textId="77777777" w:rsidTr="00A53323">
        <w:trPr>
          <w:tblHeader/>
        </w:trPr>
        <w:tc>
          <w:tcPr>
            <w:tcW w:w="2791" w:type="dxa"/>
            <w:tcBorders>
              <w:bottom w:val="single" w:sz="12" w:space="0" w:color="auto"/>
            </w:tcBorders>
          </w:tcPr>
          <w:p w14:paraId="18557C7F" w14:textId="77777777" w:rsidR="0068024A" w:rsidRPr="00CC06FE" w:rsidRDefault="0068024A" w:rsidP="00A53323">
            <w:pPr>
              <w:tabs>
                <w:tab w:val="left" w:pos="4082"/>
              </w:tabs>
              <w:rPr>
                <w:i/>
                <w:iCs/>
                <w:sz w:val="17"/>
                <w:szCs w:val="17"/>
              </w:rPr>
            </w:pPr>
            <w:r w:rsidRPr="00CC06FE">
              <w:rPr>
                <w:i/>
                <w:iCs/>
                <w:sz w:val="17"/>
                <w:szCs w:val="17"/>
              </w:rPr>
              <w:t>Tipo de desechos</w:t>
            </w:r>
          </w:p>
        </w:tc>
        <w:tc>
          <w:tcPr>
            <w:tcW w:w="5455" w:type="dxa"/>
            <w:tcBorders>
              <w:bottom w:val="single" w:sz="12" w:space="0" w:color="auto"/>
            </w:tcBorders>
          </w:tcPr>
          <w:p w14:paraId="2295DFE4" w14:textId="77777777" w:rsidR="0068024A" w:rsidRPr="00CC06FE" w:rsidRDefault="0068024A" w:rsidP="00A53323">
            <w:pPr>
              <w:rPr>
                <w:i/>
                <w:iCs/>
                <w:sz w:val="17"/>
                <w:szCs w:val="17"/>
              </w:rPr>
            </w:pPr>
            <w:r w:rsidRPr="00CC06FE">
              <w:rPr>
                <w:i/>
                <w:iCs/>
                <w:sz w:val="17"/>
                <w:szCs w:val="17"/>
              </w:rPr>
              <w:t xml:space="preserve">Fuente de los </w:t>
            </w:r>
            <w:proofErr w:type="spellStart"/>
            <w:r w:rsidRPr="00CC06FE">
              <w:rPr>
                <w:i/>
                <w:iCs/>
                <w:sz w:val="17"/>
                <w:szCs w:val="17"/>
              </w:rPr>
              <w:t>desechos</w:t>
            </w:r>
            <w:r w:rsidRPr="00CC06FE">
              <w:rPr>
                <w:i/>
                <w:iCs/>
                <w:sz w:val="17"/>
                <w:szCs w:val="17"/>
                <w:vertAlign w:val="superscript"/>
              </w:rPr>
              <w:t>b</w:t>
            </w:r>
            <w:proofErr w:type="spellEnd"/>
            <w:r w:rsidRPr="00CC06FE">
              <w:rPr>
                <w:sz w:val="17"/>
                <w:szCs w:val="17"/>
              </w:rPr>
              <w:t xml:space="preserve"> </w:t>
            </w:r>
          </w:p>
        </w:tc>
      </w:tr>
      <w:tr w:rsidR="0068024A" w:rsidRPr="00CC06FE" w14:paraId="32D9F4A7" w14:textId="77777777" w:rsidTr="00A53323">
        <w:trPr>
          <w:trHeight w:val="1620"/>
        </w:trPr>
        <w:tc>
          <w:tcPr>
            <w:tcW w:w="2791" w:type="dxa"/>
            <w:tcBorders>
              <w:top w:val="single" w:sz="12" w:space="0" w:color="auto"/>
              <w:left w:val="nil"/>
              <w:bottom w:val="nil"/>
              <w:right w:val="nil"/>
            </w:tcBorders>
          </w:tcPr>
          <w:p w14:paraId="220E34B8" w14:textId="77777777" w:rsidR="0068024A" w:rsidRPr="00CC06FE" w:rsidRDefault="0068024A" w:rsidP="00A53323">
            <w:pPr>
              <w:tabs>
                <w:tab w:val="left" w:pos="4082"/>
              </w:tabs>
              <w:rPr>
                <w:sz w:val="17"/>
                <w:szCs w:val="17"/>
              </w:rPr>
            </w:pPr>
            <w:r w:rsidRPr="00CC06FE">
              <w:rPr>
                <w:sz w:val="17"/>
                <w:szCs w:val="17"/>
              </w:rPr>
              <w:t xml:space="preserve">Desechos resultantes de la utilización de dispositivos de control de la contaminación industrial o la depuración de los gases </w:t>
            </w:r>
            <w:proofErr w:type="spellStart"/>
            <w:r w:rsidRPr="00CC06FE">
              <w:rPr>
                <w:sz w:val="17"/>
                <w:szCs w:val="17"/>
              </w:rPr>
              <w:t>industriales</w:t>
            </w:r>
            <w:r w:rsidRPr="00CC06FE">
              <w:rPr>
                <w:sz w:val="17"/>
                <w:szCs w:val="17"/>
                <w:vertAlign w:val="superscript"/>
              </w:rPr>
              <w:t>c</w:t>
            </w:r>
            <w:proofErr w:type="spellEnd"/>
          </w:p>
        </w:tc>
        <w:tc>
          <w:tcPr>
            <w:tcW w:w="5455" w:type="dxa"/>
            <w:tcBorders>
              <w:top w:val="single" w:sz="12" w:space="0" w:color="auto"/>
              <w:left w:val="nil"/>
              <w:bottom w:val="nil"/>
              <w:right w:val="nil"/>
            </w:tcBorders>
          </w:tcPr>
          <w:p w14:paraId="16094B5E" w14:textId="77777777" w:rsidR="0068024A" w:rsidRPr="00CC06FE" w:rsidRDefault="0068024A" w:rsidP="00A53323">
            <w:pPr>
              <w:rPr>
                <w:sz w:val="17"/>
                <w:szCs w:val="17"/>
              </w:rPr>
            </w:pPr>
            <w:r w:rsidRPr="00CC06FE">
              <w:rPr>
                <w:sz w:val="17"/>
                <w:szCs w:val="17"/>
              </w:rPr>
              <w:t>Gas de combustión de fuentes tales como:</w:t>
            </w:r>
          </w:p>
          <w:p w14:paraId="7D9D046D" w14:textId="77777777" w:rsidR="0068024A" w:rsidRPr="00CC06FE" w:rsidRDefault="0068024A" w:rsidP="00A53323">
            <w:pPr>
              <w:rPr>
                <w:sz w:val="17"/>
                <w:szCs w:val="17"/>
              </w:rPr>
            </w:pPr>
            <w:r w:rsidRPr="00CC06FE">
              <w:rPr>
                <w:sz w:val="17"/>
                <w:szCs w:val="17"/>
              </w:rPr>
              <w:t>Extracción y uso de combustibles/fuentes de energía</w:t>
            </w:r>
          </w:p>
          <w:p w14:paraId="0BBFBB0B" w14:textId="77777777" w:rsidR="0068024A" w:rsidRPr="00CC06FE" w:rsidRDefault="0068024A" w:rsidP="00A53323">
            <w:pPr>
              <w:rPr>
                <w:sz w:val="17"/>
                <w:szCs w:val="17"/>
              </w:rPr>
            </w:pPr>
            <w:r w:rsidRPr="00CC06FE">
              <w:rPr>
                <w:sz w:val="17"/>
                <w:szCs w:val="17"/>
              </w:rPr>
              <w:t>Procesos de fundición y calcinación utilizados en la producción de metales no ferrosos</w:t>
            </w:r>
          </w:p>
          <w:p w14:paraId="557748C5" w14:textId="77777777" w:rsidR="0068024A" w:rsidRPr="00CC06FE" w:rsidRDefault="0068024A" w:rsidP="00A53323">
            <w:pPr>
              <w:rPr>
                <w:sz w:val="17"/>
                <w:szCs w:val="17"/>
              </w:rPr>
            </w:pPr>
            <w:r w:rsidRPr="00CC06FE">
              <w:rPr>
                <w:sz w:val="17"/>
                <w:szCs w:val="17"/>
              </w:rPr>
              <w:t>Procesos de producción con impurezas de mercurio</w:t>
            </w:r>
          </w:p>
          <w:p w14:paraId="5C2F9B1C" w14:textId="77777777" w:rsidR="0068024A" w:rsidRPr="00CC06FE" w:rsidRDefault="0068024A" w:rsidP="00A53323">
            <w:pPr>
              <w:rPr>
                <w:sz w:val="17"/>
                <w:szCs w:val="17"/>
              </w:rPr>
            </w:pPr>
            <w:r w:rsidRPr="00CC06FE">
              <w:rPr>
                <w:sz w:val="17"/>
                <w:szCs w:val="17"/>
              </w:rPr>
              <w:t>Recuperación de metales preciosos de residuos de aparatos eléctricos y electrónicos</w:t>
            </w:r>
          </w:p>
          <w:p w14:paraId="295E7071" w14:textId="77777777" w:rsidR="0068024A" w:rsidRPr="00CC06FE" w:rsidRDefault="0068024A" w:rsidP="00A53323">
            <w:pPr>
              <w:rPr>
                <w:sz w:val="17"/>
                <w:szCs w:val="17"/>
              </w:rPr>
            </w:pPr>
            <w:r w:rsidRPr="00CC06FE">
              <w:rPr>
                <w:sz w:val="17"/>
                <w:szCs w:val="17"/>
              </w:rPr>
              <w:t>Combustión de carbón</w:t>
            </w:r>
          </w:p>
          <w:p w14:paraId="270C6EC7" w14:textId="77777777" w:rsidR="0068024A" w:rsidRPr="00CC06FE" w:rsidRDefault="0068024A" w:rsidP="00A53323">
            <w:pPr>
              <w:rPr>
                <w:sz w:val="17"/>
                <w:szCs w:val="17"/>
              </w:rPr>
            </w:pPr>
            <w:r w:rsidRPr="00CC06FE">
              <w:rPr>
                <w:sz w:val="17"/>
                <w:szCs w:val="17"/>
              </w:rPr>
              <w:t xml:space="preserve">Incineración y </w:t>
            </w:r>
            <w:proofErr w:type="spellStart"/>
            <w:r w:rsidRPr="00CC06FE">
              <w:rPr>
                <w:sz w:val="17"/>
                <w:szCs w:val="17"/>
              </w:rPr>
              <w:t>coincineración</w:t>
            </w:r>
            <w:proofErr w:type="spellEnd"/>
            <w:r w:rsidRPr="00CC06FE">
              <w:rPr>
                <w:sz w:val="17"/>
                <w:szCs w:val="17"/>
              </w:rPr>
              <w:t xml:space="preserve"> de desechos</w:t>
            </w:r>
          </w:p>
          <w:p w14:paraId="230285F6" w14:textId="77777777" w:rsidR="0068024A" w:rsidRPr="00CC06FE" w:rsidRDefault="0068024A" w:rsidP="00A53323">
            <w:pPr>
              <w:rPr>
                <w:sz w:val="17"/>
                <w:szCs w:val="17"/>
              </w:rPr>
            </w:pPr>
            <w:r w:rsidRPr="00CC06FE">
              <w:rPr>
                <w:sz w:val="17"/>
                <w:szCs w:val="17"/>
              </w:rPr>
              <w:t xml:space="preserve">Crematorios </w:t>
            </w:r>
          </w:p>
        </w:tc>
      </w:tr>
      <w:tr w:rsidR="0068024A" w:rsidRPr="00CC06FE" w14:paraId="4803235C" w14:textId="77777777" w:rsidTr="00A53323">
        <w:tc>
          <w:tcPr>
            <w:tcW w:w="2791" w:type="dxa"/>
            <w:tcBorders>
              <w:top w:val="nil"/>
              <w:left w:val="nil"/>
              <w:bottom w:val="nil"/>
              <w:right w:val="nil"/>
            </w:tcBorders>
          </w:tcPr>
          <w:p w14:paraId="6E8B6CAD" w14:textId="77777777" w:rsidR="0068024A" w:rsidRPr="00CC06FE" w:rsidRDefault="0068024A" w:rsidP="00A53323">
            <w:pPr>
              <w:tabs>
                <w:tab w:val="left" w:pos="4082"/>
              </w:tabs>
              <w:rPr>
                <w:sz w:val="17"/>
                <w:szCs w:val="17"/>
              </w:rPr>
            </w:pPr>
            <w:r w:rsidRPr="00CC06FE">
              <w:rPr>
                <w:sz w:val="17"/>
                <w:szCs w:val="17"/>
              </w:rPr>
              <w:t xml:space="preserve">Cenizas de fondo </w:t>
            </w:r>
          </w:p>
        </w:tc>
        <w:tc>
          <w:tcPr>
            <w:tcW w:w="5455" w:type="dxa"/>
            <w:tcBorders>
              <w:top w:val="nil"/>
              <w:left w:val="nil"/>
              <w:bottom w:val="nil"/>
              <w:right w:val="nil"/>
            </w:tcBorders>
          </w:tcPr>
          <w:p w14:paraId="75D52A05" w14:textId="77777777" w:rsidR="0068024A" w:rsidRPr="00CC06FE" w:rsidRDefault="0068024A" w:rsidP="00A53323">
            <w:pPr>
              <w:rPr>
                <w:sz w:val="17"/>
                <w:szCs w:val="17"/>
              </w:rPr>
            </w:pPr>
            <w:r w:rsidRPr="00CC06FE">
              <w:rPr>
                <w:sz w:val="17"/>
                <w:szCs w:val="17"/>
              </w:rPr>
              <w:t>Combustión de carbón</w:t>
            </w:r>
          </w:p>
          <w:p w14:paraId="0DBA07B7" w14:textId="77777777" w:rsidR="0068024A" w:rsidRPr="00CC06FE" w:rsidRDefault="0068024A" w:rsidP="00A53323">
            <w:pPr>
              <w:rPr>
                <w:sz w:val="17"/>
                <w:szCs w:val="17"/>
              </w:rPr>
            </w:pPr>
            <w:r w:rsidRPr="00CC06FE">
              <w:rPr>
                <w:sz w:val="17"/>
                <w:szCs w:val="17"/>
              </w:rPr>
              <w:t>Generación de energía y calor a partir de biomasa</w:t>
            </w:r>
          </w:p>
          <w:p w14:paraId="34C6C1BC" w14:textId="77777777" w:rsidR="0068024A" w:rsidRPr="00CC06FE" w:rsidRDefault="0068024A" w:rsidP="00A53323">
            <w:pPr>
              <w:rPr>
                <w:sz w:val="17"/>
                <w:szCs w:val="17"/>
              </w:rPr>
            </w:pPr>
            <w:r w:rsidRPr="00CC06FE">
              <w:rPr>
                <w:sz w:val="17"/>
                <w:szCs w:val="17"/>
              </w:rPr>
              <w:t>Incineración de desechos</w:t>
            </w:r>
          </w:p>
        </w:tc>
      </w:tr>
      <w:tr w:rsidR="0068024A" w:rsidRPr="00CC06FE" w14:paraId="31C0978D" w14:textId="77777777" w:rsidTr="00A53323">
        <w:trPr>
          <w:trHeight w:val="1540"/>
        </w:trPr>
        <w:tc>
          <w:tcPr>
            <w:tcW w:w="2791" w:type="dxa"/>
            <w:tcBorders>
              <w:top w:val="nil"/>
              <w:left w:val="nil"/>
              <w:bottom w:val="nil"/>
              <w:right w:val="nil"/>
            </w:tcBorders>
          </w:tcPr>
          <w:p w14:paraId="3B706700" w14:textId="77777777" w:rsidR="0068024A" w:rsidRPr="00CC06FE" w:rsidRDefault="0068024A" w:rsidP="00A53323">
            <w:pPr>
              <w:tabs>
                <w:tab w:val="left" w:pos="4082"/>
              </w:tabs>
              <w:rPr>
                <w:sz w:val="17"/>
                <w:szCs w:val="17"/>
              </w:rPr>
            </w:pPr>
            <w:r w:rsidRPr="00CC06FE">
              <w:rPr>
                <w:sz w:val="17"/>
                <w:szCs w:val="17"/>
              </w:rPr>
              <w:t xml:space="preserve">Residuos del tratamiento de las aguas residuales, fangos de </w:t>
            </w:r>
            <w:proofErr w:type="spellStart"/>
            <w:r w:rsidRPr="00CC06FE">
              <w:rPr>
                <w:sz w:val="17"/>
                <w:szCs w:val="17"/>
              </w:rPr>
              <w:t>lavado</w:t>
            </w:r>
            <w:r w:rsidRPr="00CC06FE">
              <w:rPr>
                <w:sz w:val="17"/>
                <w:szCs w:val="17"/>
                <w:vertAlign w:val="superscript"/>
              </w:rPr>
              <w:t>d</w:t>
            </w:r>
            <w:proofErr w:type="spellEnd"/>
          </w:p>
        </w:tc>
        <w:tc>
          <w:tcPr>
            <w:tcW w:w="5455" w:type="dxa"/>
            <w:tcBorders>
              <w:top w:val="nil"/>
              <w:left w:val="nil"/>
              <w:bottom w:val="nil"/>
              <w:right w:val="nil"/>
            </w:tcBorders>
          </w:tcPr>
          <w:p w14:paraId="622C3806" w14:textId="77777777" w:rsidR="0068024A" w:rsidRPr="00CC06FE" w:rsidRDefault="0068024A" w:rsidP="00A53323">
            <w:pPr>
              <w:rPr>
                <w:sz w:val="17"/>
                <w:szCs w:val="17"/>
              </w:rPr>
            </w:pPr>
            <w:r w:rsidRPr="00CC06FE">
              <w:rPr>
                <w:sz w:val="17"/>
                <w:szCs w:val="17"/>
              </w:rPr>
              <w:t>Tratamiento de aguas residuales de:</w:t>
            </w:r>
          </w:p>
          <w:p w14:paraId="556E33E4" w14:textId="77777777" w:rsidR="0068024A" w:rsidRPr="00CC06FE" w:rsidRDefault="0068024A" w:rsidP="00A53323">
            <w:pPr>
              <w:pBdr>
                <w:top w:val="nil"/>
                <w:left w:val="nil"/>
                <w:bottom w:val="nil"/>
                <w:right w:val="nil"/>
                <w:between w:val="nil"/>
              </w:pBdr>
              <w:rPr>
                <w:sz w:val="17"/>
                <w:szCs w:val="17"/>
              </w:rPr>
            </w:pPr>
            <w:r w:rsidRPr="00CC06FE">
              <w:rPr>
                <w:sz w:val="17"/>
                <w:szCs w:val="17"/>
              </w:rPr>
              <w:t>Extracción y uso de combustibles/energía</w:t>
            </w:r>
          </w:p>
          <w:p w14:paraId="7FC99960" w14:textId="77777777" w:rsidR="0068024A" w:rsidRPr="00CC06FE" w:rsidRDefault="0068024A" w:rsidP="00A53323">
            <w:pPr>
              <w:pBdr>
                <w:top w:val="nil"/>
                <w:left w:val="nil"/>
                <w:bottom w:val="nil"/>
                <w:right w:val="nil"/>
                <w:between w:val="nil"/>
              </w:pBdr>
              <w:rPr>
                <w:sz w:val="17"/>
                <w:szCs w:val="17"/>
              </w:rPr>
            </w:pPr>
            <w:r w:rsidRPr="00CC06FE">
              <w:rPr>
                <w:sz w:val="17"/>
                <w:szCs w:val="17"/>
              </w:rPr>
              <w:t>Producción de productos con mercurio añadido</w:t>
            </w:r>
          </w:p>
          <w:p w14:paraId="740DF920" w14:textId="77777777" w:rsidR="0068024A" w:rsidRPr="00CC06FE" w:rsidRDefault="0068024A" w:rsidP="00A53323">
            <w:pPr>
              <w:pBdr>
                <w:top w:val="nil"/>
                <w:left w:val="nil"/>
                <w:bottom w:val="nil"/>
                <w:right w:val="nil"/>
                <w:between w:val="nil"/>
              </w:pBdr>
              <w:rPr>
                <w:sz w:val="17"/>
                <w:szCs w:val="17"/>
              </w:rPr>
            </w:pPr>
            <w:r w:rsidRPr="00CC06FE">
              <w:rPr>
                <w:sz w:val="17"/>
                <w:szCs w:val="17"/>
              </w:rPr>
              <w:t>Procesos de fabricación en los que se utiliza mercurio o compuestos de mercurio</w:t>
            </w:r>
          </w:p>
          <w:p w14:paraId="571B2733" w14:textId="77777777" w:rsidR="0068024A" w:rsidRPr="00CC06FE" w:rsidRDefault="0068024A" w:rsidP="00A53323">
            <w:pPr>
              <w:pBdr>
                <w:top w:val="nil"/>
                <w:left w:val="nil"/>
                <w:bottom w:val="nil"/>
                <w:right w:val="nil"/>
                <w:between w:val="nil"/>
              </w:pBdr>
              <w:rPr>
                <w:sz w:val="17"/>
                <w:szCs w:val="17"/>
              </w:rPr>
            </w:pPr>
            <w:r w:rsidRPr="00CC06FE">
              <w:rPr>
                <w:sz w:val="17"/>
                <w:szCs w:val="17"/>
              </w:rPr>
              <w:t>Producción primaria de metales no ferrosos</w:t>
            </w:r>
          </w:p>
          <w:p w14:paraId="47BBC2FE" w14:textId="77777777" w:rsidR="0068024A" w:rsidRPr="00CC06FE" w:rsidRDefault="0068024A" w:rsidP="00A53323">
            <w:pPr>
              <w:pBdr>
                <w:top w:val="nil"/>
                <w:left w:val="nil"/>
                <w:bottom w:val="nil"/>
                <w:right w:val="nil"/>
                <w:between w:val="nil"/>
              </w:pBdr>
              <w:rPr>
                <w:sz w:val="17"/>
                <w:szCs w:val="17"/>
              </w:rPr>
            </w:pPr>
            <w:r w:rsidRPr="00CC06FE">
              <w:rPr>
                <w:sz w:val="17"/>
                <w:szCs w:val="17"/>
              </w:rPr>
              <w:t xml:space="preserve">Procesos de producción con impurezas de mercurio </w:t>
            </w:r>
          </w:p>
          <w:p w14:paraId="09346098" w14:textId="77777777" w:rsidR="0068024A" w:rsidRPr="00CC06FE" w:rsidRDefault="0068024A" w:rsidP="00A53323">
            <w:pPr>
              <w:pBdr>
                <w:top w:val="nil"/>
                <w:left w:val="nil"/>
                <w:bottom w:val="nil"/>
                <w:right w:val="nil"/>
                <w:between w:val="nil"/>
              </w:pBdr>
              <w:rPr>
                <w:sz w:val="17"/>
                <w:szCs w:val="17"/>
              </w:rPr>
            </w:pPr>
            <w:r w:rsidRPr="00CC06FE">
              <w:rPr>
                <w:sz w:val="17"/>
                <w:szCs w:val="17"/>
              </w:rPr>
              <w:t>Recuperación de metales preciosos de residuos de aparatos eléctricos y electrónicos</w:t>
            </w:r>
          </w:p>
          <w:p w14:paraId="396A6449" w14:textId="77777777" w:rsidR="0068024A" w:rsidRPr="00CC06FE" w:rsidRDefault="0068024A" w:rsidP="00A53323">
            <w:pPr>
              <w:pBdr>
                <w:top w:val="nil"/>
                <w:left w:val="nil"/>
                <w:bottom w:val="nil"/>
                <w:right w:val="nil"/>
                <w:between w:val="nil"/>
              </w:pBdr>
              <w:rPr>
                <w:sz w:val="17"/>
                <w:szCs w:val="17"/>
              </w:rPr>
            </w:pPr>
            <w:r w:rsidRPr="00CC06FE">
              <w:rPr>
                <w:sz w:val="17"/>
                <w:szCs w:val="17"/>
              </w:rPr>
              <w:t xml:space="preserve">Incineración, </w:t>
            </w:r>
            <w:proofErr w:type="spellStart"/>
            <w:r w:rsidRPr="00CC06FE">
              <w:rPr>
                <w:sz w:val="17"/>
                <w:szCs w:val="17"/>
              </w:rPr>
              <w:t>coincineración</w:t>
            </w:r>
            <w:proofErr w:type="spellEnd"/>
            <w:r w:rsidRPr="00CC06FE">
              <w:rPr>
                <w:sz w:val="17"/>
                <w:szCs w:val="17"/>
              </w:rPr>
              <w:t xml:space="preserve"> y otros tratamientos térmicos de desechos</w:t>
            </w:r>
          </w:p>
          <w:p w14:paraId="41961FC8" w14:textId="77777777" w:rsidR="0068024A" w:rsidRPr="00CC06FE" w:rsidRDefault="0068024A" w:rsidP="00A53323">
            <w:pPr>
              <w:pBdr>
                <w:top w:val="nil"/>
                <w:left w:val="nil"/>
                <w:bottom w:val="nil"/>
                <w:right w:val="nil"/>
                <w:between w:val="nil"/>
              </w:pBdr>
              <w:rPr>
                <w:sz w:val="17"/>
                <w:szCs w:val="17"/>
              </w:rPr>
            </w:pPr>
            <w:r w:rsidRPr="00CC06FE">
              <w:rPr>
                <w:sz w:val="17"/>
                <w:szCs w:val="17"/>
              </w:rPr>
              <w:t>Crematorios</w:t>
            </w:r>
          </w:p>
          <w:p w14:paraId="374E1EA3" w14:textId="77777777" w:rsidR="0068024A" w:rsidRPr="00CC06FE" w:rsidRDefault="0068024A" w:rsidP="00A53323">
            <w:pPr>
              <w:pBdr>
                <w:top w:val="nil"/>
                <w:left w:val="nil"/>
                <w:bottom w:val="nil"/>
                <w:right w:val="nil"/>
                <w:between w:val="nil"/>
              </w:pBdr>
              <w:rPr>
                <w:sz w:val="17"/>
                <w:szCs w:val="17"/>
              </w:rPr>
            </w:pPr>
            <w:r w:rsidRPr="00CC06FE">
              <w:rPr>
                <w:sz w:val="17"/>
                <w:szCs w:val="17"/>
              </w:rPr>
              <w:t>Servicios sanitarios</w:t>
            </w:r>
          </w:p>
          <w:p w14:paraId="4AFA2B08" w14:textId="77777777" w:rsidR="0068024A" w:rsidRPr="00CC06FE" w:rsidRDefault="0068024A" w:rsidP="00A53323">
            <w:pPr>
              <w:pBdr>
                <w:top w:val="nil"/>
                <w:left w:val="nil"/>
                <w:bottom w:val="nil"/>
                <w:right w:val="nil"/>
                <w:between w:val="nil"/>
              </w:pBdr>
              <w:rPr>
                <w:sz w:val="17"/>
                <w:szCs w:val="17"/>
              </w:rPr>
            </w:pPr>
            <w:r w:rsidRPr="00CC06FE">
              <w:rPr>
                <w:sz w:val="17"/>
                <w:szCs w:val="17"/>
              </w:rPr>
              <w:t>Lixiviado en vertederos controlados</w:t>
            </w:r>
          </w:p>
          <w:p w14:paraId="7A51A73F" w14:textId="77777777" w:rsidR="0068024A" w:rsidRPr="00CC06FE" w:rsidRDefault="0068024A" w:rsidP="00A53323">
            <w:pPr>
              <w:pBdr>
                <w:top w:val="nil"/>
                <w:left w:val="nil"/>
                <w:bottom w:val="nil"/>
                <w:right w:val="nil"/>
                <w:between w:val="nil"/>
              </w:pBdr>
              <w:rPr>
                <w:sz w:val="17"/>
                <w:szCs w:val="17"/>
              </w:rPr>
            </w:pPr>
            <w:r w:rsidRPr="00CC06FE">
              <w:rPr>
                <w:sz w:val="17"/>
                <w:szCs w:val="17"/>
              </w:rPr>
              <w:t>Vertido no controlado de desechos</w:t>
            </w:r>
          </w:p>
          <w:p w14:paraId="298A17D2" w14:textId="77777777" w:rsidR="0068024A" w:rsidRPr="00CC06FE" w:rsidRDefault="0068024A" w:rsidP="00A53323">
            <w:pPr>
              <w:pBdr>
                <w:top w:val="nil"/>
                <w:left w:val="nil"/>
                <w:bottom w:val="nil"/>
                <w:right w:val="nil"/>
                <w:between w:val="nil"/>
              </w:pBdr>
              <w:rPr>
                <w:sz w:val="17"/>
                <w:szCs w:val="17"/>
              </w:rPr>
            </w:pPr>
            <w:r w:rsidRPr="00CC06FE">
              <w:rPr>
                <w:sz w:val="17"/>
                <w:szCs w:val="17"/>
              </w:rPr>
              <w:t>Instalaciones agrícolas</w:t>
            </w:r>
          </w:p>
        </w:tc>
      </w:tr>
      <w:tr w:rsidR="0068024A" w:rsidRPr="00CC06FE" w14:paraId="1BF7A35F" w14:textId="77777777" w:rsidTr="00A53323">
        <w:tc>
          <w:tcPr>
            <w:tcW w:w="2791" w:type="dxa"/>
            <w:tcBorders>
              <w:top w:val="nil"/>
              <w:left w:val="nil"/>
              <w:bottom w:val="nil"/>
              <w:right w:val="nil"/>
            </w:tcBorders>
          </w:tcPr>
          <w:p w14:paraId="4482C1E8" w14:textId="77777777" w:rsidR="0068024A" w:rsidRPr="00CC06FE" w:rsidRDefault="0068024A" w:rsidP="00A53323">
            <w:pPr>
              <w:tabs>
                <w:tab w:val="left" w:pos="4082"/>
              </w:tabs>
              <w:rPr>
                <w:sz w:val="17"/>
                <w:szCs w:val="17"/>
              </w:rPr>
            </w:pPr>
            <w:r w:rsidRPr="00CC06FE">
              <w:rPr>
                <w:sz w:val="17"/>
                <w:szCs w:val="17"/>
              </w:rPr>
              <w:t xml:space="preserve">Fango residual </w:t>
            </w:r>
          </w:p>
        </w:tc>
        <w:tc>
          <w:tcPr>
            <w:tcW w:w="5455" w:type="dxa"/>
            <w:tcBorders>
              <w:top w:val="nil"/>
              <w:left w:val="nil"/>
              <w:bottom w:val="nil"/>
              <w:right w:val="nil"/>
            </w:tcBorders>
          </w:tcPr>
          <w:p w14:paraId="6755B845" w14:textId="77777777" w:rsidR="0068024A" w:rsidRPr="00CC06FE" w:rsidRDefault="0068024A" w:rsidP="00A53323">
            <w:pPr>
              <w:rPr>
                <w:sz w:val="17"/>
                <w:szCs w:val="17"/>
              </w:rPr>
            </w:pPr>
            <w:r w:rsidRPr="00CC06FE">
              <w:rPr>
                <w:sz w:val="17"/>
                <w:szCs w:val="17"/>
              </w:rPr>
              <w:t>Depósitos de separación y depósitos de arena sedimentaria para la refinación de petróleo crudo, producción y procesamiento de gas natural, perforación, limpieza de barcos, procesos químicos, etc.</w:t>
            </w:r>
          </w:p>
          <w:p w14:paraId="5E8B2AD9" w14:textId="77777777" w:rsidR="0068024A" w:rsidRPr="00CC06FE" w:rsidRDefault="0068024A" w:rsidP="00A53323">
            <w:pPr>
              <w:rPr>
                <w:sz w:val="17"/>
                <w:szCs w:val="17"/>
              </w:rPr>
            </w:pPr>
            <w:r w:rsidRPr="00CC06FE">
              <w:rPr>
                <w:sz w:val="17"/>
                <w:szCs w:val="17"/>
              </w:rPr>
              <w:t xml:space="preserve">Tratamiento de desechos contaminados con mercurio (por ejemplo, </w:t>
            </w:r>
            <w:proofErr w:type="gramStart"/>
            <w:r w:rsidRPr="00CC06FE">
              <w:rPr>
                <w:sz w:val="17"/>
                <w:szCs w:val="17"/>
              </w:rPr>
              <w:t>precipitación química y oxidación química</w:t>
            </w:r>
            <w:proofErr w:type="gramEnd"/>
            <w:r w:rsidRPr="00CC06FE">
              <w:rPr>
                <w:sz w:val="17"/>
                <w:szCs w:val="17"/>
              </w:rPr>
              <w:t xml:space="preserve">) </w:t>
            </w:r>
          </w:p>
        </w:tc>
      </w:tr>
      <w:tr w:rsidR="0068024A" w:rsidRPr="00CC06FE" w14:paraId="1141F868" w14:textId="77777777" w:rsidTr="00A53323">
        <w:tc>
          <w:tcPr>
            <w:tcW w:w="2791" w:type="dxa"/>
            <w:tcBorders>
              <w:top w:val="nil"/>
              <w:left w:val="nil"/>
              <w:bottom w:val="nil"/>
              <w:right w:val="nil"/>
            </w:tcBorders>
          </w:tcPr>
          <w:p w14:paraId="06433381" w14:textId="77777777" w:rsidR="0068024A" w:rsidRPr="00CC06FE" w:rsidRDefault="0068024A" w:rsidP="00A53323">
            <w:pPr>
              <w:tabs>
                <w:tab w:val="left" w:pos="4082"/>
              </w:tabs>
              <w:rPr>
                <w:sz w:val="17"/>
                <w:szCs w:val="17"/>
              </w:rPr>
            </w:pPr>
            <w:r w:rsidRPr="00CC06FE">
              <w:rPr>
                <w:sz w:val="17"/>
                <w:szCs w:val="17"/>
              </w:rPr>
              <w:t>Catalizador de refinado de petróleo y gas</w:t>
            </w:r>
          </w:p>
        </w:tc>
        <w:tc>
          <w:tcPr>
            <w:tcW w:w="5455" w:type="dxa"/>
            <w:tcBorders>
              <w:top w:val="nil"/>
              <w:left w:val="nil"/>
              <w:bottom w:val="nil"/>
              <w:right w:val="nil"/>
            </w:tcBorders>
          </w:tcPr>
          <w:p w14:paraId="5B1B93FC" w14:textId="77777777" w:rsidR="0068024A" w:rsidRPr="00CC06FE" w:rsidRDefault="0068024A" w:rsidP="00A53323">
            <w:pPr>
              <w:rPr>
                <w:sz w:val="17"/>
                <w:szCs w:val="17"/>
              </w:rPr>
            </w:pPr>
            <w:r w:rsidRPr="00CC06FE">
              <w:rPr>
                <w:sz w:val="17"/>
                <w:szCs w:val="17"/>
              </w:rPr>
              <w:t>Refinado de petróleo crudo</w:t>
            </w:r>
          </w:p>
          <w:p w14:paraId="4C090642" w14:textId="77777777" w:rsidR="0068024A" w:rsidRPr="00CC06FE" w:rsidRDefault="0068024A" w:rsidP="00A53323">
            <w:pPr>
              <w:rPr>
                <w:sz w:val="17"/>
                <w:szCs w:val="17"/>
              </w:rPr>
            </w:pPr>
            <w:r w:rsidRPr="00CC06FE">
              <w:rPr>
                <w:sz w:val="17"/>
                <w:szCs w:val="17"/>
              </w:rPr>
              <w:t>Procesamiento de gas natural</w:t>
            </w:r>
          </w:p>
        </w:tc>
      </w:tr>
      <w:tr w:rsidR="0068024A" w:rsidRPr="00CC06FE" w14:paraId="11344152" w14:textId="77777777" w:rsidTr="00A53323">
        <w:trPr>
          <w:trHeight w:val="260"/>
        </w:trPr>
        <w:tc>
          <w:tcPr>
            <w:tcW w:w="2791" w:type="dxa"/>
            <w:tcBorders>
              <w:top w:val="nil"/>
              <w:left w:val="nil"/>
              <w:bottom w:val="nil"/>
              <w:right w:val="nil"/>
            </w:tcBorders>
          </w:tcPr>
          <w:p w14:paraId="2AE36CDF" w14:textId="77777777" w:rsidR="0068024A" w:rsidRPr="00CC06FE" w:rsidRDefault="0068024A" w:rsidP="00A53323">
            <w:pPr>
              <w:tabs>
                <w:tab w:val="left" w:pos="4082"/>
              </w:tabs>
              <w:rPr>
                <w:sz w:val="17"/>
                <w:szCs w:val="17"/>
              </w:rPr>
            </w:pPr>
            <w:r w:rsidRPr="00CC06FE">
              <w:rPr>
                <w:sz w:val="17"/>
                <w:szCs w:val="17"/>
              </w:rPr>
              <w:t>Residuos de la extracción minera y residuos del proceso de extracción</w:t>
            </w:r>
          </w:p>
        </w:tc>
        <w:tc>
          <w:tcPr>
            <w:tcW w:w="5455" w:type="dxa"/>
            <w:tcBorders>
              <w:top w:val="nil"/>
              <w:left w:val="nil"/>
              <w:bottom w:val="nil"/>
              <w:right w:val="nil"/>
            </w:tcBorders>
          </w:tcPr>
          <w:p w14:paraId="71D47E9A" w14:textId="77777777" w:rsidR="0068024A" w:rsidRPr="00CC06FE" w:rsidRDefault="0068024A" w:rsidP="00A53323">
            <w:pPr>
              <w:rPr>
                <w:sz w:val="17"/>
                <w:szCs w:val="17"/>
              </w:rPr>
            </w:pPr>
            <w:r w:rsidRPr="00CC06FE">
              <w:rPr>
                <w:sz w:val="17"/>
                <w:szCs w:val="17"/>
              </w:rPr>
              <w:t>Extracción primaria de mercurio</w:t>
            </w:r>
          </w:p>
          <w:p w14:paraId="0009C0C0" w14:textId="77777777" w:rsidR="0068024A" w:rsidRPr="00CC06FE" w:rsidRDefault="0068024A" w:rsidP="00A53323">
            <w:pPr>
              <w:rPr>
                <w:sz w:val="17"/>
                <w:szCs w:val="17"/>
              </w:rPr>
            </w:pPr>
            <w:r w:rsidRPr="00CC06FE">
              <w:rPr>
                <w:sz w:val="17"/>
                <w:szCs w:val="17"/>
              </w:rPr>
              <w:t>Extracción de oro artesanal y en pequeña escala</w:t>
            </w:r>
          </w:p>
        </w:tc>
      </w:tr>
      <w:tr w:rsidR="0068024A" w:rsidRPr="00CC06FE" w14:paraId="30B86382" w14:textId="77777777" w:rsidTr="00A53323">
        <w:trPr>
          <w:trHeight w:val="60"/>
        </w:trPr>
        <w:tc>
          <w:tcPr>
            <w:tcW w:w="2791" w:type="dxa"/>
            <w:tcBorders>
              <w:top w:val="nil"/>
              <w:left w:val="nil"/>
              <w:bottom w:val="nil"/>
              <w:right w:val="nil"/>
            </w:tcBorders>
          </w:tcPr>
          <w:p w14:paraId="1CBAA9C7" w14:textId="77777777" w:rsidR="0068024A" w:rsidRPr="00CC06FE" w:rsidRDefault="0068024A" w:rsidP="00A53323">
            <w:pPr>
              <w:tabs>
                <w:tab w:val="left" w:pos="4082"/>
              </w:tabs>
              <w:rPr>
                <w:sz w:val="17"/>
                <w:szCs w:val="17"/>
              </w:rPr>
            </w:pPr>
            <w:r w:rsidRPr="00CC06FE">
              <w:rPr>
                <w:sz w:val="17"/>
                <w:szCs w:val="17"/>
              </w:rPr>
              <w:t xml:space="preserve">Escombros, detritos y </w:t>
            </w:r>
            <w:proofErr w:type="spellStart"/>
            <w:r w:rsidRPr="00CC06FE">
              <w:rPr>
                <w:sz w:val="17"/>
                <w:szCs w:val="17"/>
              </w:rPr>
              <w:t>tierra</w:t>
            </w:r>
            <w:r w:rsidRPr="00CC06FE">
              <w:rPr>
                <w:sz w:val="17"/>
                <w:szCs w:val="17"/>
                <w:vertAlign w:val="superscript"/>
              </w:rPr>
              <w:t>e</w:t>
            </w:r>
            <w:proofErr w:type="spellEnd"/>
          </w:p>
        </w:tc>
        <w:tc>
          <w:tcPr>
            <w:tcW w:w="5455" w:type="dxa"/>
            <w:tcBorders>
              <w:top w:val="nil"/>
              <w:left w:val="nil"/>
              <w:bottom w:val="nil"/>
              <w:right w:val="nil"/>
            </w:tcBorders>
          </w:tcPr>
          <w:p w14:paraId="40100743" w14:textId="77777777" w:rsidR="0068024A" w:rsidRPr="00CC06FE" w:rsidRDefault="0068024A" w:rsidP="00A53323">
            <w:pPr>
              <w:rPr>
                <w:sz w:val="17"/>
                <w:szCs w:val="17"/>
              </w:rPr>
            </w:pPr>
            <w:r w:rsidRPr="00CC06FE">
              <w:rPr>
                <w:sz w:val="17"/>
                <w:szCs w:val="17"/>
              </w:rPr>
              <w:t>Construcción/demolición</w:t>
            </w:r>
          </w:p>
          <w:p w14:paraId="41F3600B" w14:textId="77777777" w:rsidR="0068024A" w:rsidRPr="00CC06FE" w:rsidRDefault="0068024A" w:rsidP="00A53323">
            <w:pPr>
              <w:rPr>
                <w:sz w:val="17"/>
                <w:szCs w:val="17"/>
              </w:rPr>
            </w:pPr>
            <w:r w:rsidRPr="00CC06FE">
              <w:rPr>
                <w:sz w:val="17"/>
                <w:szCs w:val="17"/>
              </w:rPr>
              <w:t>Rehabilitación de lugares contaminados</w:t>
            </w:r>
          </w:p>
        </w:tc>
      </w:tr>
      <w:tr w:rsidR="0068024A" w:rsidRPr="00CC06FE" w14:paraId="3F35E749" w14:textId="77777777" w:rsidTr="00A53323">
        <w:trPr>
          <w:trHeight w:val="60"/>
        </w:trPr>
        <w:tc>
          <w:tcPr>
            <w:tcW w:w="2791" w:type="dxa"/>
            <w:tcBorders>
              <w:top w:val="nil"/>
              <w:left w:val="nil"/>
              <w:bottom w:val="nil"/>
              <w:right w:val="nil"/>
            </w:tcBorders>
          </w:tcPr>
          <w:p w14:paraId="2CCE4014" w14:textId="77777777" w:rsidR="0068024A" w:rsidRPr="00CC06FE" w:rsidRDefault="0068024A" w:rsidP="00A53323">
            <w:pPr>
              <w:tabs>
                <w:tab w:val="left" w:pos="4082"/>
              </w:tabs>
              <w:rPr>
                <w:sz w:val="17"/>
                <w:szCs w:val="17"/>
              </w:rPr>
            </w:pPr>
            <w:r w:rsidRPr="00CC06FE">
              <w:rPr>
                <w:sz w:val="17"/>
                <w:szCs w:val="17"/>
              </w:rPr>
              <w:t xml:space="preserve">Otros desechos procedentes de procesos de fabricación en los que se utiliza mercurio o compuestos de </w:t>
            </w:r>
            <w:proofErr w:type="spellStart"/>
            <w:r w:rsidRPr="00CC06FE">
              <w:rPr>
                <w:sz w:val="17"/>
                <w:szCs w:val="17"/>
              </w:rPr>
              <w:t>mercurio</w:t>
            </w:r>
            <w:r w:rsidRPr="00CC06FE">
              <w:rPr>
                <w:sz w:val="17"/>
                <w:szCs w:val="17"/>
                <w:vertAlign w:val="superscript"/>
              </w:rPr>
              <w:t>f</w:t>
            </w:r>
            <w:proofErr w:type="spellEnd"/>
          </w:p>
        </w:tc>
        <w:tc>
          <w:tcPr>
            <w:tcW w:w="5455" w:type="dxa"/>
            <w:tcBorders>
              <w:top w:val="nil"/>
              <w:left w:val="nil"/>
              <w:bottom w:val="nil"/>
              <w:right w:val="nil"/>
            </w:tcBorders>
          </w:tcPr>
          <w:p w14:paraId="7F7D0E89" w14:textId="77777777" w:rsidR="0068024A" w:rsidRPr="00CC06FE" w:rsidRDefault="0068024A" w:rsidP="00A53323">
            <w:pPr>
              <w:rPr>
                <w:sz w:val="17"/>
                <w:szCs w:val="17"/>
              </w:rPr>
            </w:pPr>
            <w:r w:rsidRPr="00CC06FE">
              <w:rPr>
                <w:sz w:val="17"/>
                <w:szCs w:val="17"/>
              </w:rPr>
              <w:t xml:space="preserve">Producción de cloro álcali con tecnología basada en el mercurio </w:t>
            </w:r>
          </w:p>
          <w:p w14:paraId="7BA3A4B6" w14:textId="77777777" w:rsidR="0068024A" w:rsidRPr="00CC06FE" w:rsidRDefault="0068024A" w:rsidP="00A53323">
            <w:pPr>
              <w:rPr>
                <w:sz w:val="17"/>
                <w:szCs w:val="17"/>
              </w:rPr>
            </w:pPr>
            <w:r w:rsidRPr="00CC06FE">
              <w:rPr>
                <w:sz w:val="17"/>
                <w:szCs w:val="17"/>
              </w:rPr>
              <w:t xml:space="preserve">Producción de alcoholatos (por ejemplo, </w:t>
            </w:r>
            <w:proofErr w:type="spellStart"/>
            <w:r w:rsidRPr="00CC06FE">
              <w:rPr>
                <w:sz w:val="17"/>
                <w:szCs w:val="17"/>
              </w:rPr>
              <w:t>metilato</w:t>
            </w:r>
            <w:proofErr w:type="spellEnd"/>
            <w:r w:rsidRPr="00CC06FE">
              <w:rPr>
                <w:sz w:val="17"/>
                <w:szCs w:val="17"/>
              </w:rPr>
              <w:t xml:space="preserve"> o </w:t>
            </w:r>
            <w:proofErr w:type="spellStart"/>
            <w:r w:rsidRPr="00CC06FE">
              <w:rPr>
                <w:sz w:val="17"/>
                <w:szCs w:val="17"/>
              </w:rPr>
              <w:t>etilato</w:t>
            </w:r>
            <w:proofErr w:type="spellEnd"/>
            <w:r w:rsidRPr="00CC06FE">
              <w:rPr>
                <w:sz w:val="17"/>
                <w:szCs w:val="17"/>
              </w:rPr>
              <w:t xml:space="preserve"> sódico o potásico)</w:t>
            </w:r>
          </w:p>
          <w:p w14:paraId="4FF2DF90" w14:textId="77777777" w:rsidR="0068024A" w:rsidRPr="00CC06FE" w:rsidRDefault="0068024A" w:rsidP="00A53323">
            <w:pPr>
              <w:rPr>
                <w:sz w:val="17"/>
                <w:szCs w:val="17"/>
              </w:rPr>
            </w:pPr>
            <w:proofErr w:type="spellStart"/>
            <w:r w:rsidRPr="00CC06FE">
              <w:rPr>
                <w:sz w:val="17"/>
                <w:szCs w:val="17"/>
              </w:rPr>
              <w:t>Ditionita</w:t>
            </w:r>
            <w:proofErr w:type="spellEnd"/>
            <w:r w:rsidRPr="00CC06FE">
              <w:rPr>
                <w:sz w:val="17"/>
                <w:szCs w:val="17"/>
              </w:rPr>
              <w:t xml:space="preserve"> y solución de hidróxido de potasio </w:t>
            </w:r>
            <w:proofErr w:type="spellStart"/>
            <w:r w:rsidRPr="00CC06FE">
              <w:rPr>
                <w:sz w:val="17"/>
                <w:szCs w:val="17"/>
              </w:rPr>
              <w:t>ultrapura</w:t>
            </w:r>
            <w:proofErr w:type="spellEnd"/>
            <w:r w:rsidRPr="00CC06FE">
              <w:rPr>
                <w:sz w:val="17"/>
                <w:szCs w:val="17"/>
              </w:rPr>
              <w:t xml:space="preserve"> </w:t>
            </w:r>
          </w:p>
          <w:p w14:paraId="3377847C" w14:textId="77777777" w:rsidR="0068024A" w:rsidRPr="00CC06FE" w:rsidRDefault="0068024A" w:rsidP="00A53323">
            <w:pPr>
              <w:rPr>
                <w:sz w:val="17"/>
                <w:szCs w:val="17"/>
              </w:rPr>
            </w:pPr>
            <w:r w:rsidRPr="00CC06FE">
              <w:rPr>
                <w:sz w:val="17"/>
                <w:szCs w:val="17"/>
              </w:rPr>
              <w:t>Producción de monómeros de cloruro de vinilo con catalizador de cloruro de mercurio (HgCl</w:t>
            </w:r>
            <w:r w:rsidRPr="00CC06FE">
              <w:rPr>
                <w:sz w:val="17"/>
                <w:szCs w:val="17"/>
                <w:vertAlign w:val="subscript"/>
              </w:rPr>
              <w:t>2</w:t>
            </w:r>
            <w:r w:rsidRPr="00CC06FE">
              <w:rPr>
                <w:sz w:val="17"/>
                <w:szCs w:val="17"/>
              </w:rPr>
              <w:t xml:space="preserve">) </w:t>
            </w:r>
          </w:p>
          <w:p w14:paraId="0B22557A" w14:textId="77777777" w:rsidR="0068024A" w:rsidRPr="00CC06FE" w:rsidRDefault="0068024A" w:rsidP="00A53323">
            <w:pPr>
              <w:rPr>
                <w:sz w:val="17"/>
                <w:szCs w:val="17"/>
              </w:rPr>
            </w:pPr>
            <w:r w:rsidRPr="00CC06FE">
              <w:rPr>
                <w:sz w:val="17"/>
                <w:szCs w:val="17"/>
              </w:rPr>
              <w:t>Producción de acetaldehído con catalizador de sulfato de mercurio (HgSO</w:t>
            </w:r>
            <w:r w:rsidRPr="00CC06FE">
              <w:rPr>
                <w:sz w:val="17"/>
                <w:szCs w:val="17"/>
                <w:vertAlign w:val="subscript"/>
              </w:rPr>
              <w:t>4</w:t>
            </w:r>
            <w:r w:rsidRPr="00CC06FE">
              <w:rPr>
                <w:sz w:val="17"/>
                <w:szCs w:val="17"/>
              </w:rPr>
              <w:t>),</w:t>
            </w:r>
            <w:r>
              <w:rPr>
                <w:sz w:val="17"/>
                <w:szCs w:val="17"/>
              </w:rPr>
              <w:t> </w:t>
            </w:r>
            <w:r w:rsidRPr="00CC06FE">
              <w:rPr>
                <w:sz w:val="17"/>
                <w:szCs w:val="17"/>
              </w:rPr>
              <w:t>etc.</w:t>
            </w:r>
          </w:p>
        </w:tc>
      </w:tr>
      <w:tr w:rsidR="0068024A" w:rsidRPr="00CC06FE" w14:paraId="0099C7FA" w14:textId="77777777" w:rsidTr="00A53323">
        <w:trPr>
          <w:trHeight w:val="60"/>
        </w:trPr>
        <w:tc>
          <w:tcPr>
            <w:tcW w:w="2791" w:type="dxa"/>
            <w:tcBorders>
              <w:top w:val="nil"/>
              <w:left w:val="nil"/>
              <w:bottom w:val="nil"/>
              <w:right w:val="nil"/>
            </w:tcBorders>
          </w:tcPr>
          <w:p w14:paraId="11F6BDAE" w14:textId="77777777" w:rsidR="0068024A" w:rsidRPr="00CC06FE" w:rsidRDefault="0068024A" w:rsidP="00A53323">
            <w:pPr>
              <w:rPr>
                <w:sz w:val="17"/>
                <w:szCs w:val="17"/>
              </w:rPr>
            </w:pPr>
            <w:r w:rsidRPr="00CC06FE">
              <w:rPr>
                <w:sz w:val="17"/>
                <w:szCs w:val="17"/>
              </w:rPr>
              <w:t xml:space="preserve">Otros desechos procedentes de la fabricación de productos con mercurio </w:t>
            </w:r>
            <w:proofErr w:type="spellStart"/>
            <w:r w:rsidRPr="00CC06FE">
              <w:rPr>
                <w:sz w:val="17"/>
                <w:szCs w:val="17"/>
              </w:rPr>
              <w:t>añadido</w:t>
            </w:r>
            <w:r w:rsidRPr="00CC06FE">
              <w:rPr>
                <w:sz w:val="17"/>
                <w:szCs w:val="17"/>
                <w:vertAlign w:val="superscript"/>
              </w:rPr>
              <w:t>g</w:t>
            </w:r>
            <w:proofErr w:type="spellEnd"/>
          </w:p>
        </w:tc>
        <w:tc>
          <w:tcPr>
            <w:tcW w:w="5455" w:type="dxa"/>
            <w:tcBorders>
              <w:top w:val="nil"/>
              <w:left w:val="nil"/>
              <w:bottom w:val="nil"/>
              <w:right w:val="nil"/>
            </w:tcBorders>
          </w:tcPr>
          <w:p w14:paraId="41D76DBD" w14:textId="77777777" w:rsidR="0068024A" w:rsidRPr="00CC06FE" w:rsidRDefault="0068024A" w:rsidP="00A53323">
            <w:pPr>
              <w:rPr>
                <w:sz w:val="17"/>
                <w:szCs w:val="17"/>
              </w:rPr>
            </w:pPr>
            <w:r w:rsidRPr="00CC06FE">
              <w:rPr>
                <w:sz w:val="17"/>
                <w:szCs w:val="17"/>
              </w:rPr>
              <w:t>Fabricación de productos con mercurio añadido</w:t>
            </w:r>
          </w:p>
        </w:tc>
      </w:tr>
      <w:tr w:rsidR="0068024A" w:rsidRPr="00CC06FE" w14:paraId="30D0794B" w14:textId="77777777" w:rsidTr="00A53323">
        <w:trPr>
          <w:trHeight w:val="60"/>
        </w:trPr>
        <w:tc>
          <w:tcPr>
            <w:tcW w:w="2791" w:type="dxa"/>
            <w:tcBorders>
              <w:top w:val="nil"/>
              <w:left w:val="nil"/>
              <w:bottom w:val="nil"/>
              <w:right w:val="nil"/>
            </w:tcBorders>
          </w:tcPr>
          <w:p w14:paraId="26996CE8" w14:textId="77777777" w:rsidR="0068024A" w:rsidRPr="00CC06FE" w:rsidRDefault="0068024A" w:rsidP="00A53323">
            <w:pPr>
              <w:rPr>
                <w:sz w:val="17"/>
                <w:szCs w:val="17"/>
                <w:vertAlign w:val="superscript"/>
              </w:rPr>
            </w:pPr>
            <w:r w:rsidRPr="00CC06FE">
              <w:rPr>
                <w:sz w:val="17"/>
                <w:szCs w:val="17"/>
              </w:rPr>
              <w:t xml:space="preserve">Otros desechos procedentes de la depuración del gas </w:t>
            </w:r>
            <w:proofErr w:type="spellStart"/>
            <w:r w:rsidRPr="00CC06FE">
              <w:rPr>
                <w:sz w:val="17"/>
                <w:szCs w:val="17"/>
              </w:rPr>
              <w:t>natural</w:t>
            </w:r>
            <w:r w:rsidRPr="00CC06FE">
              <w:rPr>
                <w:sz w:val="17"/>
                <w:szCs w:val="17"/>
                <w:vertAlign w:val="superscript"/>
              </w:rPr>
              <w:t>h</w:t>
            </w:r>
            <w:proofErr w:type="spellEnd"/>
          </w:p>
        </w:tc>
        <w:tc>
          <w:tcPr>
            <w:tcW w:w="5455" w:type="dxa"/>
            <w:tcBorders>
              <w:top w:val="nil"/>
              <w:left w:val="nil"/>
              <w:bottom w:val="nil"/>
              <w:right w:val="nil"/>
            </w:tcBorders>
          </w:tcPr>
          <w:p w14:paraId="66F3C4C4" w14:textId="77777777" w:rsidR="0068024A" w:rsidRPr="00CC06FE" w:rsidRDefault="0068024A" w:rsidP="00A53323">
            <w:pPr>
              <w:rPr>
                <w:sz w:val="17"/>
                <w:szCs w:val="17"/>
              </w:rPr>
            </w:pPr>
            <w:r w:rsidRPr="00CC06FE">
              <w:rPr>
                <w:sz w:val="17"/>
                <w:szCs w:val="17"/>
              </w:rPr>
              <w:t>Depuración del gas natural</w:t>
            </w:r>
          </w:p>
        </w:tc>
      </w:tr>
      <w:tr w:rsidR="0068024A" w:rsidRPr="00CC06FE" w14:paraId="15E162EA" w14:textId="77777777" w:rsidTr="00A53323">
        <w:trPr>
          <w:trHeight w:val="60"/>
        </w:trPr>
        <w:tc>
          <w:tcPr>
            <w:tcW w:w="2791" w:type="dxa"/>
            <w:tcBorders>
              <w:top w:val="nil"/>
              <w:left w:val="nil"/>
              <w:bottom w:val="single" w:sz="12" w:space="0" w:color="auto"/>
              <w:right w:val="nil"/>
            </w:tcBorders>
          </w:tcPr>
          <w:p w14:paraId="48CA0B8F" w14:textId="77777777" w:rsidR="0068024A" w:rsidRPr="00CC06FE" w:rsidRDefault="0068024A" w:rsidP="00A53323">
            <w:pPr>
              <w:rPr>
                <w:sz w:val="17"/>
                <w:szCs w:val="17"/>
              </w:rPr>
            </w:pPr>
            <w:r w:rsidRPr="00CC06FE">
              <w:rPr>
                <w:sz w:val="17"/>
                <w:szCs w:val="17"/>
              </w:rPr>
              <w:t xml:space="preserve">Desechos procedentes de instalaciones de tratamiento de </w:t>
            </w:r>
            <w:proofErr w:type="spellStart"/>
            <w:r w:rsidRPr="00CC06FE">
              <w:rPr>
                <w:sz w:val="17"/>
                <w:szCs w:val="17"/>
              </w:rPr>
              <w:t>desechos</w:t>
            </w:r>
            <w:r w:rsidRPr="00CC06FE">
              <w:rPr>
                <w:sz w:val="17"/>
                <w:szCs w:val="17"/>
                <w:vertAlign w:val="superscript"/>
              </w:rPr>
              <w:t>i</w:t>
            </w:r>
            <w:proofErr w:type="spellEnd"/>
          </w:p>
        </w:tc>
        <w:tc>
          <w:tcPr>
            <w:tcW w:w="5455" w:type="dxa"/>
            <w:tcBorders>
              <w:top w:val="nil"/>
              <w:left w:val="nil"/>
              <w:bottom w:val="single" w:sz="12" w:space="0" w:color="auto"/>
              <w:right w:val="nil"/>
            </w:tcBorders>
          </w:tcPr>
          <w:p w14:paraId="0A2A5A93" w14:textId="77777777" w:rsidR="0068024A" w:rsidRPr="00CC06FE" w:rsidRDefault="0068024A" w:rsidP="00A53323">
            <w:pPr>
              <w:rPr>
                <w:sz w:val="17"/>
                <w:szCs w:val="17"/>
              </w:rPr>
            </w:pPr>
            <w:r w:rsidRPr="00CC06FE">
              <w:rPr>
                <w:sz w:val="17"/>
                <w:szCs w:val="17"/>
              </w:rPr>
              <w:t>Instalaciones de tratamiento de desechos</w:t>
            </w:r>
          </w:p>
        </w:tc>
      </w:tr>
    </w:tbl>
    <w:p w14:paraId="029C769D"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a</w:t>
      </w:r>
      <w:r w:rsidRPr="002927A1">
        <w:rPr>
          <w:sz w:val="16"/>
          <w:szCs w:val="16"/>
          <w:lang w:val="es-ES_tradnl"/>
        </w:rPr>
        <w:t xml:space="preserve"> Los desechos que se incluyen en este cuadro se consideran desechos de mercurio cuando superan los umbrales establecidos. Los desechos que superen el umbral pero que no figuren en esta lista también se considerarán residuos de mercurio.</w:t>
      </w:r>
    </w:p>
    <w:p w14:paraId="477F2313"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b</w:t>
      </w:r>
      <w:r w:rsidRPr="002927A1">
        <w:rPr>
          <w:sz w:val="16"/>
          <w:szCs w:val="16"/>
          <w:lang w:val="es-ES_tradnl"/>
        </w:rPr>
        <w:t xml:space="preserve"> Una instalación o actividad en la que es probable que se generen o acumulen desechos.</w:t>
      </w:r>
    </w:p>
    <w:p w14:paraId="73717907"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 xml:space="preserve">c </w:t>
      </w:r>
      <w:r w:rsidRPr="002927A1">
        <w:rPr>
          <w:sz w:val="16"/>
          <w:szCs w:val="16"/>
          <w:lang w:val="es-ES_tradnl"/>
        </w:rPr>
        <w:t>Incluye filtros y carbón activado.</w:t>
      </w:r>
    </w:p>
    <w:p w14:paraId="633CEC50"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d</w:t>
      </w:r>
      <w:r w:rsidRPr="002927A1">
        <w:rPr>
          <w:sz w:val="16"/>
          <w:szCs w:val="16"/>
          <w:lang w:val="es-ES_tradnl"/>
        </w:rPr>
        <w:t xml:space="preserve"> Incluye filtros y resinas.</w:t>
      </w:r>
    </w:p>
    <w:p w14:paraId="3342B31F" w14:textId="77777777" w:rsidR="0068024A" w:rsidRPr="002927A1" w:rsidRDefault="0068024A" w:rsidP="0068024A">
      <w:pPr>
        <w:pStyle w:val="BodyText"/>
        <w:spacing w:before="20"/>
        <w:ind w:left="1247"/>
        <w:rPr>
          <w:sz w:val="16"/>
          <w:szCs w:val="16"/>
          <w:lang w:val="es-ES_tradnl"/>
        </w:rPr>
      </w:pPr>
      <w:proofErr w:type="spellStart"/>
      <w:r w:rsidRPr="002927A1">
        <w:rPr>
          <w:sz w:val="16"/>
          <w:szCs w:val="16"/>
          <w:vertAlign w:val="superscript"/>
          <w:lang w:val="es-ES_tradnl"/>
        </w:rPr>
        <w:t>e</w:t>
      </w:r>
      <w:proofErr w:type="spellEnd"/>
      <w:r w:rsidRPr="002927A1">
        <w:rPr>
          <w:sz w:val="16"/>
          <w:szCs w:val="16"/>
          <w:vertAlign w:val="superscript"/>
          <w:lang w:val="es-ES_tradnl"/>
        </w:rPr>
        <w:t xml:space="preserve"> </w:t>
      </w:r>
      <w:r w:rsidRPr="002927A1">
        <w:rPr>
          <w:sz w:val="16"/>
          <w:szCs w:val="16"/>
          <w:lang w:val="es-ES_tradnl"/>
        </w:rPr>
        <w:t>El suelo contaminado transportado fuera del emplazamiento se considera residuo.</w:t>
      </w:r>
    </w:p>
    <w:p w14:paraId="20DE81FB"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f</w:t>
      </w:r>
      <w:r w:rsidRPr="002927A1">
        <w:rPr>
          <w:sz w:val="16"/>
          <w:szCs w:val="16"/>
          <w:lang w:val="es-ES_tradnl"/>
        </w:rPr>
        <w:t xml:space="preserve"> Células de mercurio, unidades de recuperación de mercurio (retorta), desechos de catalizadores, desechos resultantes del desmantelamiento o la demolición, equipos de protección personal, elementos utilizados para contener derrames de mercurio, etc.</w:t>
      </w:r>
    </w:p>
    <w:p w14:paraId="132D4C3C"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 xml:space="preserve">g </w:t>
      </w:r>
      <w:r w:rsidRPr="002927A1">
        <w:rPr>
          <w:sz w:val="16"/>
          <w:szCs w:val="16"/>
          <w:lang w:val="es-ES_tradnl"/>
        </w:rPr>
        <w:t>Desechos del proceso, desechos de demolición, etc.</w:t>
      </w:r>
    </w:p>
    <w:p w14:paraId="4BD2494D" w14:textId="77777777" w:rsidR="0068024A" w:rsidRPr="002927A1" w:rsidRDefault="0068024A" w:rsidP="0068024A">
      <w:pPr>
        <w:pStyle w:val="BodyText"/>
        <w:spacing w:before="20"/>
        <w:ind w:left="1247"/>
        <w:rPr>
          <w:sz w:val="16"/>
          <w:szCs w:val="16"/>
          <w:lang w:val="es-ES_tradnl"/>
        </w:rPr>
      </w:pPr>
      <w:r w:rsidRPr="002927A1">
        <w:rPr>
          <w:sz w:val="16"/>
          <w:szCs w:val="16"/>
          <w:vertAlign w:val="superscript"/>
          <w:lang w:val="es-ES_tradnl"/>
        </w:rPr>
        <w:t xml:space="preserve">h </w:t>
      </w:r>
      <w:r w:rsidRPr="002927A1">
        <w:rPr>
          <w:sz w:val="16"/>
          <w:szCs w:val="16"/>
          <w:lang w:val="es-ES_tradnl"/>
        </w:rPr>
        <w:t>Incrustaciones removidas de las tuberías y del equipo de limpieza de tuberías, etc.</w:t>
      </w:r>
    </w:p>
    <w:p w14:paraId="533807B3" w14:textId="4830C709" w:rsidR="009E64B0" w:rsidRPr="00071859" w:rsidRDefault="0068024A" w:rsidP="00071859">
      <w:pPr>
        <w:tabs>
          <w:tab w:val="left" w:pos="6494"/>
        </w:tabs>
        <w:spacing w:before="20"/>
        <w:ind w:left="1247"/>
        <w:rPr>
          <w:sz w:val="16"/>
          <w:szCs w:val="16"/>
        </w:rPr>
      </w:pPr>
      <w:r w:rsidRPr="002927A1">
        <w:rPr>
          <w:sz w:val="16"/>
          <w:szCs w:val="16"/>
          <w:vertAlign w:val="superscript"/>
        </w:rPr>
        <w:t xml:space="preserve">i </w:t>
      </w:r>
      <w:r w:rsidRPr="002927A1">
        <w:rPr>
          <w:sz w:val="16"/>
          <w:szCs w:val="16"/>
        </w:rPr>
        <w:t>Desechos tratados para estabilizar o solidificar el mercurio de residuos, revestimientos fluorescentes, metal y vidrio.</w:t>
      </w:r>
    </w:p>
    <w:sectPr w:rsidR="009E64B0" w:rsidRPr="00071859"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F6CB" w14:textId="77777777" w:rsidR="00E069E1" w:rsidRDefault="00E069E1">
      <w:r>
        <w:separator/>
      </w:r>
    </w:p>
  </w:endnote>
  <w:endnote w:type="continuationSeparator" w:id="0">
    <w:p w14:paraId="4458A471" w14:textId="77777777" w:rsidR="00E069E1" w:rsidRDefault="00E069E1">
      <w:r>
        <w:continuationSeparator/>
      </w:r>
    </w:p>
  </w:endnote>
  <w:endnote w:type="continuationNotice" w:id="1">
    <w:p w14:paraId="56B98FDF" w14:textId="77777777" w:rsidR="00E069E1" w:rsidRDefault="00E06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MS PGothic">
    <w:panose1 w:val="020B0600070205080204"/>
    <w:charset w:val="80"/>
    <w:family w:val="swiss"/>
    <w:pitch w:val="variable"/>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F4A1" w14:textId="77777777" w:rsidR="00E069E1" w:rsidRPr="008D1ED6" w:rsidRDefault="00E069E1"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0B751BD8" w14:textId="77777777" w:rsidR="00E069E1" w:rsidRDefault="00E069E1">
      <w:r>
        <w:continuationSeparator/>
      </w:r>
    </w:p>
  </w:footnote>
  <w:footnote w:type="continuationNotice" w:id="1">
    <w:p w14:paraId="43705BAA" w14:textId="77777777" w:rsidR="00E069E1" w:rsidRDefault="00E069E1"/>
  </w:footnote>
  <w:footnote w:id="2">
    <w:p w14:paraId="242B29A6" w14:textId="77777777" w:rsidR="0068024A" w:rsidRPr="00FB6282" w:rsidRDefault="0068024A" w:rsidP="0068024A">
      <w:pPr>
        <w:pStyle w:val="FootnoteText"/>
        <w:tabs>
          <w:tab w:val="left" w:pos="624"/>
        </w:tabs>
        <w:rPr>
          <w:szCs w:val="18"/>
          <w:lang w:val="en-US"/>
        </w:rPr>
      </w:pPr>
      <w:r w:rsidRPr="00157E17">
        <w:rPr>
          <w:rStyle w:val="FootnoteReference"/>
          <w:sz w:val="18"/>
          <w:lang w:val="es-ES_tradnl"/>
        </w:rPr>
        <w:footnoteRef/>
      </w:r>
      <w:r w:rsidRPr="00FB6282">
        <w:rPr>
          <w:szCs w:val="18"/>
          <w:lang w:val="en-US"/>
        </w:rPr>
        <w:t xml:space="preserve"> UNEP/CHW.12/5/Add.8/Rev.1.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11017BC" w:rsidR="00454804" w:rsidRPr="00417FE2" w:rsidRDefault="00454804">
    <w:pPr>
      <w:pStyle w:val="Header"/>
      <w:rPr>
        <w:szCs w:val="18"/>
      </w:rPr>
    </w:pPr>
    <w:r w:rsidRPr="009C52E8">
      <w:rPr>
        <w:bCs/>
        <w:szCs w:val="18"/>
      </w:rPr>
      <w:t>UNEP</w:t>
    </w:r>
    <w:r w:rsidRPr="009C52E8">
      <w:rPr>
        <w:szCs w:val="18"/>
      </w:rPr>
      <w:t>/MC/COP.3/</w:t>
    </w:r>
    <w:r w:rsidR="00367391">
      <w:rPr>
        <w:szCs w:val="18"/>
      </w:rPr>
      <w:t>Dec.</w:t>
    </w:r>
    <w:r w:rsidR="00071859">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38C4364" w:rsidR="00454804" w:rsidRPr="00417FE2" w:rsidRDefault="00454804" w:rsidP="00E8784C">
    <w:pPr>
      <w:pStyle w:val="Header"/>
      <w:ind w:right="90"/>
      <w:jc w:val="right"/>
      <w:rPr>
        <w:szCs w:val="18"/>
      </w:rPr>
    </w:pPr>
    <w:r w:rsidRPr="009C52E8">
      <w:rPr>
        <w:bCs/>
        <w:szCs w:val="18"/>
      </w:rPr>
      <w:t>UNEP</w:t>
    </w:r>
    <w:r w:rsidRPr="009C52E8">
      <w:rPr>
        <w:szCs w:val="18"/>
      </w:rPr>
      <w:t>/MC/COP.3/</w:t>
    </w:r>
    <w:r w:rsidR="00367391">
      <w:rPr>
        <w:szCs w:val="18"/>
      </w:rPr>
      <w:t>Dec.</w:t>
    </w:r>
    <w:r w:rsidR="003D5B2F">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59"/>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148F"/>
    <w:rsid w:val="0034200A"/>
    <w:rsid w:val="00342783"/>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D5B2F"/>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024A"/>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37B6B"/>
    <w:rsid w:val="008425D8"/>
    <w:rsid w:val="00842625"/>
    <w:rsid w:val="00843576"/>
    <w:rsid w:val="00843B64"/>
    <w:rsid w:val="00845152"/>
    <w:rsid w:val="00845261"/>
    <w:rsid w:val="008469D8"/>
    <w:rsid w:val="008478FC"/>
    <w:rsid w:val="00851014"/>
    <w:rsid w:val="00851C51"/>
    <w:rsid w:val="008521CF"/>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5C96"/>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1888"/>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4D62"/>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9E1"/>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84C"/>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1E4"/>
    <w:rsid w:val="00F3037A"/>
    <w:rsid w:val="00F317CD"/>
    <w:rsid w:val="00F3465A"/>
    <w:rsid w:val="00F34FF8"/>
    <w:rsid w:val="00F37DC8"/>
    <w:rsid w:val="00F410E2"/>
    <w:rsid w:val="00F4240C"/>
    <w:rsid w:val="00F4294B"/>
    <w:rsid w:val="00F439B3"/>
    <w:rsid w:val="00F45202"/>
    <w:rsid w:val="00F46CDC"/>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1385"/>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2C564295-3C9E-4D0B-B1BF-952BC39E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2431</Words>
  <Characters>13857</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8</cp:revision>
  <cp:lastPrinted>2020-03-02T13:04:00Z</cp:lastPrinted>
  <dcterms:created xsi:type="dcterms:W3CDTF">2021-01-13T16:22:00Z</dcterms:created>
  <dcterms:modified xsi:type="dcterms:W3CDTF">2021-01-13T16:39:00Z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