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6267F5FC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1D07DF">
              <w:rPr>
                <w:lang w:val="en-GB"/>
              </w:rPr>
              <w:t>4</w:t>
            </w:r>
          </w:p>
        </w:tc>
      </w:tr>
      <w:tr w:rsidR="00032E4E" w:rsidRPr="00A8682E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68BB87C4" w14:textId="77777777" w:rsidR="00A8682E" w:rsidRDefault="00A8682E" w:rsidP="00A8682E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38968177"/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5AA36079" w14:textId="77777777" w:rsidR="001D07DF" w:rsidRPr="00C86D57" w:rsidRDefault="001D07DF" w:rsidP="001D07DF">
      <w:pPr>
        <w:pStyle w:val="Heading1"/>
      </w:pPr>
      <w:bookmarkStart w:id="3" w:name="_GoBack"/>
      <w:bookmarkEnd w:id="3"/>
      <w:r>
        <w:t>МК-3</w:t>
      </w:r>
      <w:r w:rsidRPr="00C86D57">
        <w:t>/4: Высвобождения ртути</w:t>
      </w:r>
      <w:bookmarkEnd w:id="2"/>
    </w:p>
    <w:p w14:paraId="48B8EA8F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  <w:iCs/>
        </w:rPr>
        <w:t>Конференция Сторон</w:t>
      </w:r>
      <w:r w:rsidRPr="00C86D57">
        <w:t>,</w:t>
      </w:r>
    </w:p>
    <w:p w14:paraId="790B394D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  <w:iCs/>
        </w:rPr>
        <w:t>приветствуя</w:t>
      </w:r>
      <w:r w:rsidRPr="00C86D57">
        <w:t xml:space="preserve"> доклад группы технических экспертов о руководящих принципах в отношении высвобождений ртути, учрежденной в соответствии с решением MК-2/3,</w:t>
      </w:r>
    </w:p>
    <w:p w14:paraId="3EA23882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  <w:iCs/>
        </w:rPr>
        <w:t>учитывая</w:t>
      </w:r>
      <w:r w:rsidRPr="00C86D57">
        <w:t>, что решением MК-2/3 группе было поручено разработать проект руководящих принципов, касающихся стандартизированных и известных методологий формирования кадастров выявленных соответствующих точечных источников для возможного принятия Конференцией Сторон на ее четвертом совещании,</w:t>
      </w:r>
    </w:p>
    <w:p w14:paraId="705E9EAD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  <w:iCs/>
        </w:rPr>
        <w:t>учитывая также</w:t>
      </w:r>
      <w:r w:rsidRPr="00C86D57">
        <w:t>, что Конференция Сторон постановила в решении MК-2/3 вновь рассмотреть на своем третьем совещании состав группы экспертов и необходимость проведения очного совещания группы,</w:t>
      </w:r>
    </w:p>
    <w:p w14:paraId="78FA4FAD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1.</w:t>
      </w:r>
      <w:r w:rsidRPr="00C86D57">
        <w:tab/>
      </w:r>
      <w:r w:rsidRPr="00C86D57">
        <w:rPr>
          <w:i/>
          <w:iCs/>
        </w:rPr>
        <w:t xml:space="preserve">предлагает </w:t>
      </w:r>
      <w:r w:rsidRPr="00C86D57">
        <w:t>Сторонам подтвердить действующих членов группы, назначить новых членов или, в случае необходимости, заменить членов через членов Бюро;</w:t>
      </w:r>
    </w:p>
    <w:p w14:paraId="35CF915D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2.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группе продолжать работу с использованием электронных средств с возможностью проведения одного очного совещания в случае необходимости и при условии наличия ресурсов в соответствии с планом мероприятий, изложенным в докладе о подготовке руководства в отношении методологии составления кадастров высвобождений ртути на сушу и в воду в соответствии со статьей 9 Конвенции</w:t>
      </w:r>
      <w:r w:rsidRPr="00C86D57">
        <w:rPr>
          <w:szCs w:val="18"/>
          <w:vertAlign w:val="superscript"/>
        </w:rPr>
        <w:footnoteReference w:customMarkFollows="1" w:id="1"/>
        <w:t>1</w:t>
      </w:r>
      <w:r w:rsidRPr="00C86D57">
        <w:t>, для подготовки доклада, включающего проект руководящих принципов в отношении методологии составления кадастров высвобождений, предлагаемые категории точечных источников высвобождений и план мероприятий по разработке руководящих принципов в отношении наилучших имеющихся методов и наилучших видов природоохранной деятельности;</w:t>
      </w:r>
    </w:p>
    <w:p w14:paraId="77087DD0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i/>
        </w:rPr>
      </w:pPr>
      <w:r w:rsidRPr="00C86D57">
        <w:t>3.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</w:t>
      </w:r>
      <w:r w:rsidRPr="00C86D57">
        <w:rPr>
          <w:i/>
          <w:iCs/>
        </w:rPr>
        <w:t xml:space="preserve">также </w:t>
      </w:r>
      <w:r w:rsidRPr="00C86D57">
        <w:t>группе в своей работе исходить из следующих соображений:</w:t>
      </w:r>
    </w:p>
    <w:p w14:paraId="1BCF9D62" w14:textId="77777777" w:rsidR="001D07DF" w:rsidRPr="00C86D57" w:rsidRDefault="001D07DF" w:rsidP="001D07DF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r w:rsidRPr="00C86D57">
        <w:tab/>
        <w:t>a)</w:t>
      </w:r>
      <w:r w:rsidRPr="00C86D57">
        <w:tab/>
        <w:t xml:space="preserve">предлагаемые категории не должны включать потенциально значимые точечные источники, в отношении которых высвобождения рассматриваются в других положениях </w:t>
      </w:r>
      <w:proofErr w:type="spellStart"/>
      <w:r w:rsidRPr="00C86D57">
        <w:t>Минаматской</w:t>
      </w:r>
      <w:proofErr w:type="spellEnd"/>
      <w:r w:rsidRPr="00C86D57">
        <w:t xml:space="preserve"> конвенции о ртути, независимо от того, содержат ли эти другие положения обязательство по составлению кадастров;</w:t>
      </w:r>
    </w:p>
    <w:p w14:paraId="06D58628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r w:rsidRPr="00C86D57">
        <w:tab/>
        <w:t>b)</w:t>
      </w:r>
      <w:r w:rsidRPr="00C86D57">
        <w:tab/>
        <w:t xml:space="preserve">учитывая, что статья 9 Конвенции касается соответствующих точечных источников, в предлагаемые категории не следует включать диффузные источники. </w:t>
      </w:r>
      <w:r w:rsidRPr="00C86D57">
        <w:lastRenderedPageBreak/>
        <w:t>Определенные в руководстве категории должны быть также ограничены теми категориями источников, в отношении которых были документально зафиксированы высвобождения ртути;</w:t>
      </w:r>
    </w:p>
    <w:p w14:paraId="48885FEF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r w:rsidRPr="00C86D57">
        <w:tab/>
        <w:t>c)</w:t>
      </w:r>
      <w:r w:rsidRPr="00C86D57">
        <w:tab/>
        <w:t>изложенное в Конвенции обязательство обеспечивать экологически обоснованное регулирование отходов относится к значительным высвобождениям на сушу и в воду;</w:t>
      </w:r>
    </w:p>
    <w:p w14:paraId="32D51E87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r w:rsidRPr="00C86D57">
        <w:tab/>
        <w:t>d)</w:t>
      </w:r>
      <w:r w:rsidRPr="00C86D57">
        <w:tab/>
        <w:t>хотя сточные воды рассматриваются в рамках статьи 9, Стороны могут дополнительно контролировать сточные воды в соответствии со статьей 11 Конвенции;</w:t>
      </w:r>
    </w:p>
    <w:p w14:paraId="3500FE8E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e)</w:t>
      </w:r>
      <w:r w:rsidRPr="00C86D57">
        <w:tab/>
        <w:t>при условии завершения описанной выше работы и в целях оказания помощи Сторонам, желающим расширить сферу охвата кадастра, упомянутого в пункте 6 статьи 9, за счет дополнительных точечных источников помимо тех, которые охватываются статьей 9, в руководстве по методологии составления кадастров высвобождений должна также содержаться информация о значительных точечных источниках высвобождений, охватываемых другими положениями Конвенции;</w:t>
      </w:r>
    </w:p>
    <w:p w14:paraId="02325B71" w14:textId="77777777" w:rsidR="001D07DF" w:rsidRPr="00C86D57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ab/>
        <w:t>4.</w:t>
      </w:r>
      <w:r w:rsidRPr="00C86D57">
        <w:tab/>
      </w:r>
      <w:r w:rsidRPr="00C86D57">
        <w:rPr>
          <w:i/>
          <w:iCs/>
        </w:rPr>
        <w:t xml:space="preserve">поручает </w:t>
      </w:r>
      <w:r w:rsidRPr="00C86D57">
        <w:t>секретариату продолжать оказывать поддержку работе группы.</w:t>
      </w:r>
    </w:p>
    <w:p w14:paraId="663F91E3" w14:textId="096CBE41" w:rsidR="001D07DF" w:rsidRPr="001D07DF" w:rsidRDefault="001D07DF" w:rsidP="001D07D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</w:pPr>
    </w:p>
    <w:sectPr w:rsidR="001D07DF" w:rsidRPr="001D07D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9592F" w14:textId="77777777" w:rsidR="00361EF1" w:rsidRDefault="00361EF1">
      <w:r>
        <w:separator/>
      </w:r>
    </w:p>
  </w:endnote>
  <w:endnote w:type="continuationSeparator" w:id="0">
    <w:p w14:paraId="5F265CA6" w14:textId="77777777" w:rsidR="00361EF1" w:rsidRDefault="0036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CB37" w14:textId="77777777" w:rsidR="00361EF1" w:rsidRDefault="00361EF1" w:rsidP="00851756">
      <w:pPr>
        <w:spacing w:before="60"/>
        <w:ind w:left="624"/>
      </w:pPr>
      <w:r>
        <w:separator/>
      </w:r>
    </w:p>
  </w:footnote>
  <w:footnote w:type="continuationSeparator" w:id="0">
    <w:p w14:paraId="10608976" w14:textId="77777777" w:rsidR="00361EF1" w:rsidRDefault="00361EF1">
      <w:r>
        <w:continuationSeparator/>
      </w:r>
    </w:p>
  </w:footnote>
  <w:footnote w:id="1">
    <w:p w14:paraId="25140BF4" w14:textId="77777777" w:rsidR="001D07DF" w:rsidRPr="00320402" w:rsidRDefault="001D07DF" w:rsidP="001D07D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bookmarkStart w:id="4" w:name="_DV_C763"/>
      <w:r w:rsidRPr="00320402">
        <w:rPr>
          <w:rStyle w:val="DeltaViewInsertion"/>
          <w:color w:val="auto"/>
          <w:szCs w:val="18"/>
          <w:u w:val="none"/>
          <w:vertAlign w:val="superscript"/>
        </w:rPr>
        <w:t>1</w:t>
      </w:r>
      <w:r w:rsidRPr="00320402">
        <w:rPr>
          <w:rStyle w:val="DeltaViewInsertion"/>
          <w:color w:val="auto"/>
          <w:szCs w:val="18"/>
          <w:u w:val="none"/>
        </w:rPr>
        <w:tab/>
      </w:r>
      <w:r w:rsidRPr="00320402">
        <w:rPr>
          <w:rStyle w:val="DeltaViewInsertion"/>
          <w:color w:val="auto"/>
          <w:szCs w:val="18"/>
          <w:u w:val="none"/>
          <w:lang w:val="en-GB"/>
        </w:rPr>
        <w:t>UNEP</w:t>
      </w:r>
      <w:r w:rsidRPr="00320402">
        <w:rPr>
          <w:rStyle w:val="DeltaViewInsertion"/>
          <w:color w:val="auto"/>
          <w:szCs w:val="18"/>
          <w:u w:val="none"/>
        </w:rPr>
        <w:t>/</w:t>
      </w:r>
      <w:r w:rsidRPr="00320402">
        <w:rPr>
          <w:rStyle w:val="DeltaViewInsertion"/>
          <w:color w:val="auto"/>
          <w:szCs w:val="18"/>
          <w:u w:val="none"/>
          <w:lang w:val="en-GB"/>
        </w:rPr>
        <w:t>MC</w:t>
      </w:r>
      <w:r w:rsidRPr="00320402">
        <w:rPr>
          <w:rStyle w:val="DeltaViewInsertion"/>
          <w:color w:val="auto"/>
          <w:szCs w:val="18"/>
          <w:u w:val="none"/>
        </w:rPr>
        <w:t>/</w:t>
      </w:r>
      <w:r w:rsidRPr="00320402">
        <w:rPr>
          <w:rStyle w:val="DeltaViewInsertion"/>
          <w:color w:val="auto"/>
          <w:szCs w:val="18"/>
          <w:u w:val="none"/>
          <w:lang w:val="en-GB"/>
        </w:rPr>
        <w:t>COP</w:t>
      </w:r>
      <w:r w:rsidRPr="00320402">
        <w:rPr>
          <w:rStyle w:val="DeltaViewInsertion"/>
          <w:color w:val="auto"/>
          <w:szCs w:val="18"/>
          <w:u w:val="none"/>
        </w:rPr>
        <w:t xml:space="preserve">.3/6, приложение </w:t>
      </w:r>
      <w:r w:rsidRPr="00320402">
        <w:rPr>
          <w:rStyle w:val="DeltaViewInsertion"/>
          <w:color w:val="auto"/>
          <w:szCs w:val="18"/>
          <w:u w:val="none"/>
          <w:lang w:val="en-GB"/>
        </w:rPr>
        <w:t>II</w:t>
      </w:r>
      <w:r w:rsidRPr="00320402">
        <w:rPr>
          <w:rStyle w:val="DeltaViewInsertion"/>
          <w:color w:val="auto"/>
          <w:szCs w:val="18"/>
          <w:u w:val="none"/>
        </w:rPr>
        <w:t>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383FB80B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D07DF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143E7200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D07DF">
      <w:rPr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1EF1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8682E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5B2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415A3-B3C1-4EFD-B219-4EC06C65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2020-11-09T11:54:00Z</cp:lastPrinted>
  <dcterms:created xsi:type="dcterms:W3CDTF">2020-11-06T11:01:00Z</dcterms:created>
  <dcterms:modified xsi:type="dcterms:W3CDTF">2020-11-09T11:54:00Z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