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3FDB098A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C41B8D">
              <w:t>4</w:t>
            </w:r>
            <w:bookmarkStart w:id="2" w:name="_GoBack"/>
            <w:bookmarkEnd w:id="2"/>
          </w:p>
        </w:tc>
      </w:tr>
      <w:bookmarkStart w:id="3" w:name="_1021710482"/>
      <w:bookmarkStart w:id="4" w:name="_1021710510"/>
      <w:bookmarkEnd w:id="3"/>
      <w:bookmarkEnd w:id="4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25pt" o:ole="" fillcolor="window">
                  <v:imagedata r:id="rId11" o:title=""/>
                </v:shape>
                <o:OLEObject Type="Embed" ProgID="Word.Picture.8" ShapeID="_x0000_i1025" DrawAspect="Content" ObjectID="_1666179353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7F0B1759" w14:textId="77777777" w:rsidR="00C41B8D" w:rsidRPr="00091854" w:rsidRDefault="002A2EA6" w:rsidP="00C41B8D">
      <w:pPr>
        <w:pStyle w:val="CH2"/>
        <w:rPr>
          <w:sz w:val="28"/>
          <w:szCs w:val="28"/>
          <w:lang w:val="fr-FR"/>
        </w:rPr>
      </w:pPr>
      <w:r w:rsidRPr="00091854">
        <w:rPr>
          <w:sz w:val="28"/>
          <w:szCs w:val="28"/>
          <w:lang w:val="fr-FR"/>
        </w:rPr>
        <w:tab/>
      </w:r>
      <w:bookmarkStart w:id="5" w:name="_DV_C676"/>
      <w:r w:rsidR="00AD1174" w:rsidRPr="00091854">
        <w:rPr>
          <w:sz w:val="28"/>
          <w:szCs w:val="28"/>
          <w:lang w:val="fr-FR"/>
        </w:rPr>
        <w:tab/>
      </w:r>
      <w:bookmarkStart w:id="6" w:name="_Toc39063352"/>
      <w:r w:rsidR="00C41B8D" w:rsidRPr="00091854">
        <w:rPr>
          <w:sz w:val="28"/>
          <w:szCs w:val="28"/>
          <w:lang w:val="fr-FR"/>
        </w:rPr>
        <w:t>MC-3/4 : Rejets de mercure</w:t>
      </w:r>
      <w:bookmarkEnd w:id="6"/>
    </w:p>
    <w:p w14:paraId="678BACE3" w14:textId="77777777" w:rsidR="00C41B8D" w:rsidRPr="002A2EA6" w:rsidRDefault="00C41B8D" w:rsidP="00C41B8D">
      <w:pPr>
        <w:pStyle w:val="NormalNonumber"/>
        <w:rPr>
          <w:bCs/>
          <w:i/>
          <w:lang w:val="fr-FR"/>
        </w:rPr>
      </w:pPr>
      <w:r w:rsidRPr="002A2EA6">
        <w:rPr>
          <w:lang w:val="fr-FR"/>
        </w:rPr>
        <w:tab/>
      </w:r>
      <w:r w:rsidRPr="002A2EA6">
        <w:rPr>
          <w:i/>
          <w:lang w:val="fr-FR"/>
        </w:rPr>
        <w:t>La Conférence des Parties,</w:t>
      </w:r>
    </w:p>
    <w:p w14:paraId="74746E88" w14:textId="77777777" w:rsidR="00C41B8D" w:rsidRPr="002A2EA6" w:rsidRDefault="00C41B8D" w:rsidP="00C41B8D">
      <w:pPr>
        <w:pStyle w:val="NormalNonumber"/>
        <w:rPr>
          <w:bCs/>
          <w:lang w:val="fr-FR"/>
        </w:rPr>
      </w:pPr>
      <w:r w:rsidRPr="002A2EA6">
        <w:rPr>
          <w:i/>
          <w:iCs/>
          <w:lang w:val="fr-FR"/>
        </w:rPr>
        <w:tab/>
        <w:t xml:space="preserve">Se félicitant </w:t>
      </w:r>
      <w:r w:rsidRPr="002A2EA6">
        <w:rPr>
          <w:lang w:val="fr-FR"/>
        </w:rPr>
        <w:t>du rapport du groupe d</w:t>
      </w:r>
      <w:r>
        <w:rPr>
          <w:lang w:val="fr-FR"/>
        </w:rPr>
        <w:t>’</w:t>
      </w:r>
      <w:r w:rsidRPr="002A2EA6">
        <w:rPr>
          <w:lang w:val="fr-FR"/>
        </w:rPr>
        <w:t xml:space="preserve">experts techniques sur les orientations concernant les rejets de mercure, établi comme </w:t>
      </w:r>
      <w:proofErr w:type="gramStart"/>
      <w:r w:rsidRPr="002A2EA6">
        <w:rPr>
          <w:lang w:val="fr-FR"/>
        </w:rPr>
        <w:t>suite à</w:t>
      </w:r>
      <w:proofErr w:type="gramEnd"/>
      <w:r w:rsidRPr="002A2EA6">
        <w:rPr>
          <w:lang w:val="fr-FR"/>
        </w:rPr>
        <w:t xml:space="preserve"> la décision MC-2/3,</w:t>
      </w:r>
    </w:p>
    <w:p w14:paraId="31C15117" w14:textId="77777777" w:rsidR="00C41B8D" w:rsidRPr="002A2EA6" w:rsidRDefault="00C41B8D" w:rsidP="00C41B8D">
      <w:pPr>
        <w:pStyle w:val="NormalNonumber"/>
        <w:rPr>
          <w:bCs/>
          <w:lang w:val="fr-FR"/>
        </w:rPr>
      </w:pPr>
      <w:r w:rsidRPr="002A2EA6">
        <w:rPr>
          <w:i/>
          <w:iCs/>
          <w:lang w:val="fr-FR"/>
        </w:rPr>
        <w:tab/>
        <w:t xml:space="preserve">Sachant </w:t>
      </w:r>
      <w:r w:rsidRPr="002A2EA6">
        <w:rPr>
          <w:iCs/>
          <w:lang w:val="fr-FR"/>
        </w:rPr>
        <w:t>qu</w:t>
      </w:r>
      <w:r>
        <w:rPr>
          <w:iCs/>
          <w:lang w:val="fr-FR"/>
        </w:rPr>
        <w:t>’</w:t>
      </w:r>
      <w:r w:rsidRPr="002A2EA6">
        <w:rPr>
          <w:iCs/>
          <w:lang w:val="fr-FR"/>
        </w:rPr>
        <w:t xml:space="preserve">elle avait, dans sa </w:t>
      </w:r>
      <w:r w:rsidRPr="002A2EA6">
        <w:rPr>
          <w:lang w:val="fr-FR"/>
        </w:rPr>
        <w:t>décision MC-2/3, prié le groupe d</w:t>
      </w:r>
      <w:r>
        <w:rPr>
          <w:lang w:val="fr-FR"/>
        </w:rPr>
        <w:t>’</w:t>
      </w:r>
      <w:r w:rsidRPr="002A2EA6">
        <w:rPr>
          <w:lang w:val="fr-FR"/>
        </w:rPr>
        <w:t>élaborer un projet d</w:t>
      </w:r>
      <w:r>
        <w:rPr>
          <w:lang w:val="fr-FR"/>
        </w:rPr>
        <w:t>’</w:t>
      </w:r>
      <w:r w:rsidRPr="002A2EA6">
        <w:rPr>
          <w:lang w:val="fr-FR"/>
        </w:rPr>
        <w:t>orientations sur les méthodes normalisées et connues d</w:t>
      </w:r>
      <w:r>
        <w:rPr>
          <w:lang w:val="fr-FR"/>
        </w:rPr>
        <w:t>’</w:t>
      </w:r>
      <w:r w:rsidRPr="002A2EA6">
        <w:rPr>
          <w:lang w:val="fr-FR"/>
        </w:rPr>
        <w:t>établissement d</w:t>
      </w:r>
      <w:r>
        <w:rPr>
          <w:lang w:val="fr-FR"/>
        </w:rPr>
        <w:t>’</w:t>
      </w:r>
      <w:r w:rsidRPr="002A2EA6">
        <w:rPr>
          <w:lang w:val="fr-FR"/>
        </w:rPr>
        <w:t>inventaires applicables aux sources ponctuelles pertinentes identifiées, pour qu</w:t>
      </w:r>
      <w:r>
        <w:rPr>
          <w:lang w:val="fr-FR"/>
        </w:rPr>
        <w:t>’</w:t>
      </w:r>
      <w:r w:rsidRPr="002A2EA6">
        <w:rPr>
          <w:lang w:val="fr-FR"/>
        </w:rPr>
        <w:t>elle l</w:t>
      </w:r>
      <w:r>
        <w:rPr>
          <w:lang w:val="fr-FR"/>
        </w:rPr>
        <w:t>’</w:t>
      </w:r>
      <w:r w:rsidRPr="002A2EA6">
        <w:rPr>
          <w:lang w:val="fr-FR"/>
        </w:rPr>
        <w:t>adopte éventuellement à sa quatrième réunion,</w:t>
      </w:r>
    </w:p>
    <w:p w14:paraId="6050B898" w14:textId="77777777" w:rsidR="00C41B8D" w:rsidRPr="002A2EA6" w:rsidRDefault="00C41B8D" w:rsidP="00C41B8D">
      <w:pPr>
        <w:pStyle w:val="NormalNonumber"/>
        <w:rPr>
          <w:bCs/>
          <w:lang w:val="fr-FR"/>
        </w:rPr>
      </w:pPr>
      <w:r w:rsidRPr="002A2EA6">
        <w:rPr>
          <w:i/>
          <w:iCs/>
          <w:lang w:val="fr-FR"/>
        </w:rPr>
        <w:tab/>
        <w:t>Sachant également</w:t>
      </w:r>
      <w:r w:rsidRPr="002A2EA6">
        <w:rPr>
          <w:lang w:val="fr-FR"/>
        </w:rPr>
        <w:t xml:space="preserve"> qu</w:t>
      </w:r>
      <w:r>
        <w:rPr>
          <w:lang w:val="fr-FR"/>
        </w:rPr>
        <w:t>’</w:t>
      </w:r>
      <w:r w:rsidRPr="002A2EA6">
        <w:rPr>
          <w:lang w:val="fr-FR"/>
        </w:rPr>
        <w:t>elle avait indiqué, dans sa décision MC-2/3, qu</w:t>
      </w:r>
      <w:r>
        <w:rPr>
          <w:lang w:val="fr-FR"/>
        </w:rPr>
        <w:t>’</w:t>
      </w:r>
      <w:r w:rsidRPr="002A2EA6">
        <w:rPr>
          <w:lang w:val="fr-FR"/>
        </w:rPr>
        <w:t>elle réexaminerait, à sa troisième réunion, la composition du groupe d</w:t>
      </w:r>
      <w:r>
        <w:rPr>
          <w:lang w:val="fr-FR"/>
        </w:rPr>
        <w:t>’</w:t>
      </w:r>
      <w:r w:rsidRPr="002A2EA6">
        <w:rPr>
          <w:lang w:val="fr-FR"/>
        </w:rPr>
        <w:t>experts et la nécessité que ses membres se réunissent en présentiel,</w:t>
      </w:r>
    </w:p>
    <w:p w14:paraId="13C685E0" w14:textId="77777777" w:rsidR="00C41B8D" w:rsidRPr="002A2EA6" w:rsidRDefault="00C41B8D" w:rsidP="00C41B8D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r w:rsidRPr="002A2EA6">
        <w:rPr>
          <w:i/>
          <w:iCs/>
          <w:lang w:val="fr-FR"/>
        </w:rPr>
        <w:t xml:space="preserve">Invite </w:t>
      </w:r>
      <w:r w:rsidRPr="002A2EA6">
        <w:rPr>
          <w:lang w:val="fr-FR"/>
        </w:rPr>
        <w:t>les Parties à confirmer les membres faisant actuellement partie du groupe, à désigner de nouveaux membres ou à remplacer des membres, selon qu</w:t>
      </w:r>
      <w:r>
        <w:rPr>
          <w:lang w:val="fr-FR"/>
        </w:rPr>
        <w:t>’</w:t>
      </w:r>
      <w:r w:rsidRPr="002A2EA6">
        <w:rPr>
          <w:lang w:val="fr-FR"/>
        </w:rPr>
        <w:t>il conviendra, par l</w:t>
      </w:r>
      <w:r>
        <w:rPr>
          <w:lang w:val="fr-FR"/>
        </w:rPr>
        <w:t>’</w:t>
      </w:r>
      <w:r w:rsidRPr="002A2EA6">
        <w:rPr>
          <w:lang w:val="fr-FR"/>
        </w:rPr>
        <w:t>intermédiaire de leurs membres siégeant au Bureau ;</w:t>
      </w:r>
    </w:p>
    <w:p w14:paraId="420A9002" w14:textId="77777777" w:rsidR="00C41B8D" w:rsidRPr="002A2EA6" w:rsidRDefault="00C41B8D" w:rsidP="00C41B8D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r w:rsidRPr="002A2EA6">
        <w:rPr>
          <w:i/>
          <w:iCs/>
          <w:lang w:val="fr-FR"/>
        </w:rPr>
        <w:t xml:space="preserve">Prie </w:t>
      </w:r>
      <w:r w:rsidRPr="002A2EA6">
        <w:rPr>
          <w:lang w:val="fr-FR"/>
        </w:rPr>
        <w:t>le groupe de continuer à travailler par voie électronique, en organisant une réunion en présentiel si nécessaire et sous réserve de la disponibilité de ressources, conformément à la feuille de route figurant dans le rapport sur l</w:t>
      </w:r>
      <w:r>
        <w:rPr>
          <w:lang w:val="fr-FR"/>
        </w:rPr>
        <w:t>’</w:t>
      </w:r>
      <w:r w:rsidRPr="002A2EA6">
        <w:rPr>
          <w:lang w:val="fr-FR"/>
        </w:rPr>
        <w:t>élaboration d</w:t>
      </w:r>
      <w:r>
        <w:rPr>
          <w:lang w:val="fr-FR"/>
        </w:rPr>
        <w:t>’</w:t>
      </w:r>
      <w:r w:rsidRPr="002A2EA6">
        <w:rPr>
          <w:lang w:val="fr-FR"/>
        </w:rPr>
        <w:t>orientations concernant les méthodes à suivre pour établir les inventaires des rejets de mercure dans le sol et l</w:t>
      </w:r>
      <w:r>
        <w:rPr>
          <w:lang w:val="fr-FR"/>
        </w:rPr>
        <w:t>’</w:t>
      </w:r>
      <w:r w:rsidRPr="002A2EA6">
        <w:rPr>
          <w:lang w:val="fr-FR"/>
        </w:rPr>
        <w:t>eau conformément à l</w:t>
      </w:r>
      <w:r>
        <w:rPr>
          <w:lang w:val="fr-FR"/>
        </w:rPr>
        <w:t>’</w:t>
      </w:r>
      <w:r w:rsidRPr="002A2EA6">
        <w:rPr>
          <w:lang w:val="fr-FR"/>
        </w:rPr>
        <w:t>article 9 de la Convention</w:t>
      </w:r>
      <w:r w:rsidRPr="002A2EA6">
        <w:rPr>
          <w:rStyle w:val="FootnoteReference"/>
          <w:lang w:val="fr-FR"/>
        </w:rPr>
        <w:footnoteReference w:id="2"/>
      </w:r>
      <w:r w:rsidRPr="002A2EA6">
        <w:rPr>
          <w:lang w:val="fr-FR"/>
        </w:rPr>
        <w:t>, afin de produire un rapport comprenant un projet d</w:t>
      </w:r>
      <w:r>
        <w:rPr>
          <w:lang w:val="fr-FR"/>
        </w:rPr>
        <w:t>’</w:t>
      </w:r>
      <w:r w:rsidRPr="002A2EA6">
        <w:rPr>
          <w:lang w:val="fr-FR"/>
        </w:rPr>
        <w:t>orientations sur les méthodes d</w:t>
      </w:r>
      <w:r>
        <w:rPr>
          <w:lang w:val="fr-FR"/>
        </w:rPr>
        <w:t>’</w:t>
      </w:r>
      <w:r w:rsidRPr="002A2EA6">
        <w:rPr>
          <w:lang w:val="fr-FR"/>
        </w:rPr>
        <w:t>établissement d</w:t>
      </w:r>
      <w:r>
        <w:rPr>
          <w:lang w:val="fr-FR"/>
        </w:rPr>
        <w:t>’</w:t>
      </w:r>
      <w:r w:rsidRPr="002A2EA6">
        <w:rPr>
          <w:lang w:val="fr-FR"/>
        </w:rPr>
        <w:t>inventaires des rejets, un projet de liste des catégories de sources ponctuelles de rejets et une feuille de route encadrant l</w:t>
      </w:r>
      <w:r>
        <w:rPr>
          <w:lang w:val="fr-FR"/>
        </w:rPr>
        <w:t>’</w:t>
      </w:r>
      <w:r w:rsidRPr="002A2EA6">
        <w:rPr>
          <w:lang w:val="fr-FR"/>
        </w:rPr>
        <w:t>élaboration d</w:t>
      </w:r>
      <w:r>
        <w:rPr>
          <w:lang w:val="fr-FR"/>
        </w:rPr>
        <w:t>’</w:t>
      </w:r>
      <w:r w:rsidRPr="002A2EA6">
        <w:rPr>
          <w:lang w:val="fr-FR"/>
        </w:rPr>
        <w:t>orientations sur les meilleures techniques disponibles et les meilleures pratiques environnementales</w:t>
      </w:r>
      <w:r w:rsidRPr="002A2EA6">
        <w:rPr>
          <w:vertAlign w:val="superscript"/>
          <w:lang w:val="fr-FR"/>
        </w:rPr>
        <w:t> ;</w:t>
      </w:r>
    </w:p>
    <w:p w14:paraId="2A4367F5" w14:textId="77777777" w:rsidR="00C41B8D" w:rsidRPr="002A2EA6" w:rsidRDefault="00C41B8D" w:rsidP="00C41B8D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r w:rsidRPr="002A2EA6">
        <w:rPr>
          <w:i/>
          <w:iCs/>
          <w:lang w:val="fr-FR"/>
        </w:rPr>
        <w:t>Prie également</w:t>
      </w:r>
      <w:r w:rsidRPr="002A2EA6">
        <w:rPr>
          <w:lang w:val="fr-FR"/>
        </w:rPr>
        <w:t xml:space="preserve"> le groupe de fonder ses travaux sur les considérations suivantes :</w:t>
      </w:r>
    </w:p>
    <w:p w14:paraId="76F7E390" w14:textId="77777777" w:rsidR="00C41B8D" w:rsidRPr="002A2EA6" w:rsidRDefault="00C41B8D" w:rsidP="00C41B8D">
      <w:pPr>
        <w:pStyle w:val="Normalnumber"/>
        <w:numPr>
          <w:ilvl w:val="1"/>
          <w:numId w:val="35"/>
        </w:numPr>
        <w:rPr>
          <w:lang w:val="fr-FR"/>
        </w:rPr>
      </w:pPr>
      <w:r w:rsidRPr="002A2EA6">
        <w:rPr>
          <w:lang w:val="fr-FR"/>
        </w:rPr>
        <w:t>Les catégories proposées ne sont pas censées inclure les sources ponctuelles pertinentes potentiellement importantes de rejets qui sont traités dans d</w:t>
      </w:r>
      <w:r>
        <w:rPr>
          <w:lang w:val="fr-FR"/>
        </w:rPr>
        <w:t>’</w:t>
      </w:r>
      <w:r w:rsidRPr="002A2EA6">
        <w:rPr>
          <w:lang w:val="fr-FR"/>
        </w:rPr>
        <w:t>autres dispositions de la Convention de Minamata sur le mercure, que ces autres dispositions prévoient ou non une obligation d</w:t>
      </w:r>
      <w:r>
        <w:rPr>
          <w:lang w:val="fr-FR"/>
        </w:rPr>
        <w:t>’</w:t>
      </w:r>
      <w:r w:rsidRPr="002A2EA6">
        <w:rPr>
          <w:lang w:val="fr-FR"/>
        </w:rPr>
        <w:t>inventaire </w:t>
      </w:r>
    </w:p>
    <w:p w14:paraId="1EE2090B" w14:textId="77777777" w:rsidR="00C41B8D" w:rsidRPr="002A2EA6" w:rsidRDefault="00C41B8D" w:rsidP="00C41B8D">
      <w:pPr>
        <w:pStyle w:val="Normalnumber"/>
        <w:numPr>
          <w:ilvl w:val="1"/>
          <w:numId w:val="35"/>
        </w:numPr>
        <w:rPr>
          <w:lang w:val="fr-FR"/>
        </w:rPr>
      </w:pPr>
      <w:r w:rsidRPr="002A2EA6">
        <w:rPr>
          <w:lang w:val="fr-FR"/>
        </w:rPr>
        <w:t>Étant donné que l</w:t>
      </w:r>
      <w:r>
        <w:rPr>
          <w:lang w:val="fr-FR"/>
        </w:rPr>
        <w:t>’</w:t>
      </w:r>
      <w:r w:rsidRPr="002A2EA6">
        <w:rPr>
          <w:lang w:val="fr-FR"/>
        </w:rPr>
        <w:t xml:space="preserve">article 9 de la Convention porte sur les sources ponctuelles pertinentes, les sources diffuses ne devraient pas être incluses dans les catégories proposées. </w:t>
      </w:r>
      <w:r w:rsidRPr="002A2EA6">
        <w:rPr>
          <w:lang w:val="fr-FR"/>
        </w:rPr>
        <w:lastRenderedPageBreak/>
        <w:t>Les catégories recensées dans les orientations devraient également être limitées aux catégories de sources pour lesquelles des rejets de mercure ont été constatés ;</w:t>
      </w:r>
    </w:p>
    <w:p w14:paraId="6081BD0A" w14:textId="77777777" w:rsidR="00C41B8D" w:rsidRPr="002A2EA6" w:rsidRDefault="00C41B8D" w:rsidP="00C41B8D">
      <w:pPr>
        <w:pStyle w:val="Normalnumber"/>
        <w:numPr>
          <w:ilvl w:val="1"/>
          <w:numId w:val="35"/>
        </w:numPr>
        <w:rPr>
          <w:lang w:val="fr-FR"/>
        </w:rPr>
      </w:pPr>
      <w:r w:rsidRPr="002A2EA6">
        <w:rPr>
          <w:lang w:val="fr-FR"/>
        </w:rPr>
        <w:t>L</w:t>
      </w:r>
      <w:r>
        <w:rPr>
          <w:lang w:val="fr-FR"/>
        </w:rPr>
        <w:t>’</w:t>
      </w:r>
      <w:r w:rsidRPr="002A2EA6">
        <w:rPr>
          <w:lang w:val="fr-FR"/>
        </w:rPr>
        <w:t>obligation d</w:t>
      </w:r>
      <w:r>
        <w:rPr>
          <w:lang w:val="fr-FR"/>
        </w:rPr>
        <w:t>’</w:t>
      </w:r>
      <w:r w:rsidRPr="002A2EA6">
        <w:rPr>
          <w:lang w:val="fr-FR"/>
        </w:rPr>
        <w:t>assurer la gestion écologiquement rationnelle des déchets énoncée dans la Convention porte sur les rejets importants dans le sol et dans l</w:t>
      </w:r>
      <w:r>
        <w:rPr>
          <w:lang w:val="fr-FR"/>
        </w:rPr>
        <w:t>’</w:t>
      </w:r>
      <w:r w:rsidRPr="002A2EA6">
        <w:rPr>
          <w:lang w:val="fr-FR"/>
        </w:rPr>
        <w:t xml:space="preserve">eau ; </w:t>
      </w:r>
    </w:p>
    <w:p w14:paraId="6C3E24DD" w14:textId="77777777" w:rsidR="00C41B8D" w:rsidRPr="002A2EA6" w:rsidRDefault="00C41B8D" w:rsidP="00C41B8D">
      <w:pPr>
        <w:pStyle w:val="Normalnumber"/>
        <w:numPr>
          <w:ilvl w:val="1"/>
          <w:numId w:val="35"/>
        </w:numPr>
        <w:rPr>
          <w:lang w:val="fr-FR"/>
        </w:rPr>
      </w:pPr>
      <w:r w:rsidRPr="002A2EA6">
        <w:rPr>
          <w:lang w:val="fr-FR"/>
        </w:rPr>
        <w:t>Bien que les eaux usées soient visées à l</w:t>
      </w:r>
      <w:r>
        <w:rPr>
          <w:lang w:val="fr-FR"/>
        </w:rPr>
        <w:t>’</w:t>
      </w:r>
      <w:r w:rsidRPr="002A2EA6">
        <w:rPr>
          <w:lang w:val="fr-FR"/>
        </w:rPr>
        <w:t>article 9, les Parties peuvent également contrôler les eaux usées au titre de l</w:t>
      </w:r>
      <w:r>
        <w:rPr>
          <w:lang w:val="fr-FR"/>
        </w:rPr>
        <w:t>’</w:t>
      </w:r>
      <w:r w:rsidRPr="002A2EA6">
        <w:rPr>
          <w:lang w:val="fr-FR"/>
        </w:rPr>
        <w:t>article 11 de la Convention ;</w:t>
      </w:r>
    </w:p>
    <w:p w14:paraId="27191245" w14:textId="77777777" w:rsidR="00C41B8D" w:rsidRPr="002A2EA6" w:rsidRDefault="00C41B8D" w:rsidP="00C41B8D">
      <w:pPr>
        <w:pStyle w:val="Normalnumber"/>
        <w:numPr>
          <w:ilvl w:val="1"/>
          <w:numId w:val="35"/>
        </w:numPr>
        <w:rPr>
          <w:lang w:val="fr-FR"/>
        </w:rPr>
      </w:pPr>
      <w:r w:rsidRPr="002A2EA6">
        <w:rPr>
          <w:lang w:val="fr-FR"/>
        </w:rPr>
        <w:t>Sous réserve que les travaux décrits ci-dessus soient achevés et en vue d</w:t>
      </w:r>
      <w:r>
        <w:rPr>
          <w:lang w:val="fr-FR"/>
        </w:rPr>
        <w:t>’</w:t>
      </w:r>
      <w:r w:rsidRPr="002A2EA6">
        <w:rPr>
          <w:lang w:val="fr-FR"/>
        </w:rPr>
        <w:t>aider les Parties qui souhaitent élargir la portée de l</w:t>
      </w:r>
      <w:r>
        <w:rPr>
          <w:lang w:val="fr-FR"/>
        </w:rPr>
        <w:t>’</w:t>
      </w:r>
      <w:r w:rsidRPr="002A2EA6">
        <w:rPr>
          <w:lang w:val="fr-FR"/>
        </w:rPr>
        <w:t>inventaire visé au paragraphe 6 de l</w:t>
      </w:r>
      <w:r>
        <w:rPr>
          <w:lang w:val="fr-FR"/>
        </w:rPr>
        <w:t>’</w:t>
      </w:r>
      <w:r w:rsidRPr="002A2EA6">
        <w:rPr>
          <w:lang w:val="fr-FR"/>
        </w:rPr>
        <w:t>article 9 à des sources ponctuelles autres que celles visées à l</w:t>
      </w:r>
      <w:r>
        <w:rPr>
          <w:lang w:val="fr-FR"/>
        </w:rPr>
        <w:t>’</w:t>
      </w:r>
      <w:r w:rsidRPr="002A2EA6">
        <w:rPr>
          <w:lang w:val="fr-FR"/>
        </w:rPr>
        <w:t>article 9, les orientations concernant la méthode d</w:t>
      </w:r>
      <w:r>
        <w:rPr>
          <w:lang w:val="fr-FR"/>
        </w:rPr>
        <w:t>’</w:t>
      </w:r>
      <w:r w:rsidRPr="002A2EA6">
        <w:rPr>
          <w:lang w:val="fr-FR"/>
        </w:rPr>
        <w:t>établissement des inventaires des rejets devraient également fournir des informations sur les sources ponctuelles importantes de rejets figurant dans d</w:t>
      </w:r>
      <w:r>
        <w:rPr>
          <w:lang w:val="fr-FR"/>
        </w:rPr>
        <w:t>’</w:t>
      </w:r>
      <w:r w:rsidRPr="002A2EA6">
        <w:rPr>
          <w:lang w:val="fr-FR"/>
        </w:rPr>
        <w:t>autres dispositions de la Convention ;</w:t>
      </w:r>
    </w:p>
    <w:p w14:paraId="07DEAEC5" w14:textId="77777777" w:rsidR="00C41B8D" w:rsidRPr="002A2EA6" w:rsidRDefault="00C41B8D" w:rsidP="00C41B8D">
      <w:pPr>
        <w:pStyle w:val="Normalnumber"/>
        <w:numPr>
          <w:ilvl w:val="0"/>
          <w:numId w:val="35"/>
        </w:numPr>
        <w:ind w:firstLine="567"/>
        <w:rPr>
          <w:bCs/>
          <w:lang w:val="fr-FR"/>
        </w:rPr>
      </w:pPr>
      <w:r w:rsidRPr="002A2EA6">
        <w:rPr>
          <w:i/>
          <w:iCs/>
          <w:lang w:val="fr-FR"/>
        </w:rPr>
        <w:t xml:space="preserve">Prie </w:t>
      </w:r>
      <w:r w:rsidRPr="002A2EA6">
        <w:rPr>
          <w:lang w:val="fr-FR"/>
        </w:rPr>
        <w:t>le secrétariat de continuer à aider le groupe dans ses travaux.</w:t>
      </w:r>
    </w:p>
    <w:p w14:paraId="50420867" w14:textId="04E37CE8" w:rsidR="00982443" w:rsidRPr="00A92454" w:rsidRDefault="00982443" w:rsidP="00C41B8D">
      <w:pPr>
        <w:pStyle w:val="CH2"/>
        <w:rPr>
          <w:lang w:val="fr-FR"/>
        </w:rPr>
      </w:pPr>
    </w:p>
    <w:bookmarkEnd w:id="5"/>
    <w:p w14:paraId="2D0FBFD5" w14:textId="1134473A" w:rsidR="00BE1F6B" w:rsidRPr="002A2EA6" w:rsidRDefault="00BE1F6B" w:rsidP="00C543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2"/>
          <w:szCs w:val="22"/>
        </w:rPr>
      </w:pPr>
    </w:p>
    <w:sectPr w:rsidR="00BE1F6B" w:rsidRPr="002A2EA6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9C66" w14:textId="77777777" w:rsidR="008F010E" w:rsidRDefault="008F010E">
      <w:r>
        <w:separator/>
      </w:r>
    </w:p>
  </w:endnote>
  <w:endnote w:type="continuationSeparator" w:id="0">
    <w:p w14:paraId="4B1733F3" w14:textId="77777777" w:rsidR="008F010E" w:rsidRDefault="008F010E">
      <w:r>
        <w:continuationSeparator/>
      </w:r>
    </w:p>
  </w:endnote>
  <w:endnote w:type="continuationNotice" w:id="1">
    <w:p w14:paraId="6E6315C7" w14:textId="77777777" w:rsidR="008F010E" w:rsidRDefault="008F0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3810" w14:textId="77777777" w:rsidR="008F010E" w:rsidRDefault="008F010E" w:rsidP="00D92DE0">
      <w:pPr>
        <w:ind w:left="624"/>
      </w:pPr>
      <w:r>
        <w:separator/>
      </w:r>
    </w:p>
  </w:footnote>
  <w:footnote w:type="continuationSeparator" w:id="0">
    <w:p w14:paraId="44AA7420" w14:textId="77777777" w:rsidR="008F010E" w:rsidRDefault="008F010E">
      <w:r>
        <w:continuationSeparator/>
      </w:r>
    </w:p>
  </w:footnote>
  <w:footnote w:type="continuationNotice" w:id="1">
    <w:p w14:paraId="5A5C8479" w14:textId="77777777" w:rsidR="008F010E" w:rsidRDefault="008F010E"/>
  </w:footnote>
  <w:footnote w:id="2">
    <w:p w14:paraId="263B92BF" w14:textId="77777777" w:rsidR="00C41B8D" w:rsidRPr="00A869A2" w:rsidRDefault="00C41B8D" w:rsidP="00C41B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869A2">
        <w:rPr>
          <w:lang w:val="en-US"/>
        </w:rPr>
        <w:t xml:space="preserve"> </w:t>
      </w:r>
      <w:r w:rsidRPr="00904E06">
        <w:rPr>
          <w:lang w:val="en-US"/>
        </w:rPr>
        <w:t xml:space="preserve">UNEP/MC/COP.3/6, </w:t>
      </w:r>
      <w:proofErr w:type="spellStart"/>
      <w:r w:rsidRPr="00904E06">
        <w:rPr>
          <w:lang w:val="en-US"/>
        </w:rPr>
        <w:t>annexe</w:t>
      </w:r>
      <w:proofErr w:type="spellEnd"/>
      <w:r>
        <w:rPr>
          <w:lang w:val="en-US"/>
        </w:rPr>
        <w:t> </w:t>
      </w:r>
      <w:r w:rsidRPr="00904E06">
        <w:rPr>
          <w:lang w:val="en-US"/>
        </w:rPr>
        <w:t>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18F4D133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C41B8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3E1F90DA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C41B8D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10E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1B8D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9F55C-6B5D-49A5-87DE-8717BD9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3653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2020-11-06T13:49:00Z</cp:lastPrinted>
  <dcterms:created xsi:type="dcterms:W3CDTF">2020-11-06T13:49:00Z</dcterms:created>
  <dcterms:modified xsi:type="dcterms:W3CDTF">2020-11-06T13:49:00Z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