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3C8DFAD4"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9F49F8">
              <w:rPr>
                <w:rFonts w:cs="Times New Roman"/>
                <w:szCs w:val="20"/>
              </w:rPr>
              <w:t>4</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07BAAC1E" w:rsidR="006C5B02" w:rsidRDefault="00DA595E"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DA595E">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14AA4C57" w14:textId="77777777" w:rsidR="009F49F8" w:rsidRPr="00771434" w:rsidRDefault="009F49F8" w:rsidP="009F49F8">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r w:rsidRPr="00771434">
        <w:rPr>
          <w:rFonts w:hint="cs"/>
          <w:bCs/>
          <w:sz w:val="26"/>
          <w:szCs w:val="26"/>
          <w:rtl/>
        </w:rPr>
        <w:t>ا م-3/4:</w:t>
      </w:r>
      <w:r w:rsidRPr="00771434">
        <w:rPr>
          <w:bCs/>
          <w:sz w:val="26"/>
          <w:szCs w:val="26"/>
          <w:rtl/>
        </w:rPr>
        <w:tab/>
      </w:r>
      <w:r w:rsidRPr="00771434">
        <w:rPr>
          <w:rFonts w:hint="cs"/>
          <w:bCs/>
          <w:sz w:val="26"/>
          <w:szCs w:val="26"/>
          <w:rtl/>
        </w:rPr>
        <w:t>إطلاقات الزئبق</w:t>
      </w:r>
    </w:p>
    <w:p w14:paraId="643F5F73" w14:textId="77777777" w:rsidR="009F49F8" w:rsidRPr="00DC2B8D" w:rsidRDefault="009F49F8" w:rsidP="009F49F8">
      <w:pPr>
        <w:tabs>
          <w:tab w:val="left" w:pos="2408"/>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إن مؤتمر الأطراف،</w:t>
      </w:r>
    </w:p>
    <w:p w14:paraId="6E3DA14E" w14:textId="77777777" w:rsidR="009F49F8" w:rsidRPr="00DC2B8D" w:rsidRDefault="009F49F8" w:rsidP="009F49F8">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إذ يرحب </w:t>
      </w:r>
      <w:r w:rsidRPr="00DC2B8D">
        <w:rPr>
          <w:rFonts w:ascii="Simplified Arabic" w:hAnsi="Simplified Arabic" w:cs="Simplified Arabic"/>
          <w:sz w:val="24"/>
          <w:szCs w:val="24"/>
          <w:rtl/>
          <w:lang w:val="en-GB" w:eastAsia="zh-TW"/>
        </w:rPr>
        <w:t>بتقرير فريق الخبراء التقنيين المعني بالتوجيهات المتعلقة بإطلاقات الزئبق، والذي أُنشئ عملاً بالمقرر ا</w:t>
      </w:r>
      <w:r w:rsidRPr="00DC2B8D">
        <w:rPr>
          <w:rFonts w:hint="cs"/>
          <w:sz w:val="24"/>
          <w:szCs w:val="24"/>
          <w:rtl/>
        </w:rPr>
        <w:t> </w:t>
      </w:r>
      <w:r w:rsidRPr="00DC2B8D">
        <w:rPr>
          <w:rFonts w:ascii="Simplified Arabic" w:hAnsi="Simplified Arabic" w:cs="Simplified Arabic"/>
          <w:sz w:val="24"/>
          <w:szCs w:val="24"/>
          <w:rtl/>
          <w:lang w:val="en-GB" w:eastAsia="zh-TW"/>
        </w:rPr>
        <w:t>م-2/3،</w:t>
      </w:r>
    </w:p>
    <w:p w14:paraId="4D622811" w14:textId="77777777" w:rsidR="009F49F8" w:rsidRPr="00DC2B8D" w:rsidRDefault="009F49F8" w:rsidP="009F49F8">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وإذ يدرك </w:t>
      </w:r>
      <w:r w:rsidRPr="00DC2B8D">
        <w:rPr>
          <w:rFonts w:ascii="Simplified Arabic" w:hAnsi="Simplified Arabic" w:cs="Simplified Arabic"/>
          <w:sz w:val="24"/>
          <w:szCs w:val="24"/>
          <w:rtl/>
          <w:lang w:val="en-GB" w:eastAsia="zh-TW"/>
        </w:rPr>
        <w:t>أن الفريق قد طُلب إليه في المقرر ا م-2/3 أن يضع مشروع توجيهات بشأن منهجيات موحدة ومعروفة لإعداد قوائم الجرد للمصادر الثابتة ذات الصلة المحددة لكي يعتمدها مؤتمر الأطراف إن أمكن في اجتماعه الرابع،</w:t>
      </w:r>
    </w:p>
    <w:p w14:paraId="49A80265" w14:textId="77777777" w:rsidR="009F49F8" w:rsidRPr="00DC2B8D" w:rsidRDefault="009F49F8" w:rsidP="009F49F8">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وإذ يدرك أيضاً </w:t>
      </w:r>
      <w:r w:rsidRPr="00DC2B8D">
        <w:rPr>
          <w:rFonts w:ascii="Simplified Arabic" w:hAnsi="Simplified Arabic" w:cs="Simplified Arabic"/>
          <w:sz w:val="24"/>
          <w:szCs w:val="24"/>
          <w:rtl/>
          <w:lang w:val="en-GB" w:eastAsia="zh-TW"/>
        </w:rPr>
        <w:t xml:space="preserve">أن مؤتمر الأطراف قد قرر في مقرره ا م-2/3 أن ينظر مرة أخرى، في اجتماعه الثالث، في </w:t>
      </w:r>
      <w:r w:rsidRPr="00DC2B8D">
        <w:rPr>
          <w:rFonts w:ascii="Simplified Arabic" w:hAnsi="Simplified Arabic" w:cs="Simplified Arabic" w:hint="cs"/>
          <w:sz w:val="24"/>
          <w:szCs w:val="24"/>
          <w:rtl/>
          <w:lang w:val="en-GB" w:eastAsia="zh-TW"/>
        </w:rPr>
        <w:t>تركيبة</w:t>
      </w:r>
      <w:r w:rsidRPr="00DC2B8D">
        <w:rPr>
          <w:rFonts w:ascii="Simplified Arabic" w:hAnsi="Simplified Arabic" w:cs="Simplified Arabic"/>
          <w:sz w:val="24"/>
          <w:szCs w:val="24"/>
          <w:rtl/>
          <w:lang w:val="en-GB" w:eastAsia="zh-TW"/>
        </w:rPr>
        <w:t xml:space="preserve"> فريق الخبراء وفي الحاجة إلى أن يعقد الفريق اجتماعاً مباشراً،</w:t>
      </w:r>
    </w:p>
    <w:p w14:paraId="4D70BDF3" w14:textId="77777777" w:rsidR="009F49F8" w:rsidRPr="00DC2B8D" w:rsidRDefault="009F49F8" w:rsidP="009F49F8">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i/>
          <w:sz w:val="24"/>
          <w:szCs w:val="24"/>
          <w:rtl/>
          <w:lang w:val="en-GB" w:eastAsia="zh-TW"/>
        </w:rPr>
      </w:pPr>
      <w:r w:rsidRPr="00DC2B8D">
        <w:rPr>
          <w:rFonts w:ascii="Simplified Arabic" w:hAnsi="Simplified Arabic" w:cs="Simplified Arabic"/>
          <w:i/>
          <w:iCs/>
          <w:sz w:val="24"/>
          <w:szCs w:val="24"/>
          <w:rtl/>
          <w:lang w:val="en-GB" w:eastAsia="zh-TW"/>
        </w:rPr>
        <w:t xml:space="preserve">يدعو </w:t>
      </w:r>
      <w:r w:rsidRPr="00DC2B8D">
        <w:rPr>
          <w:rFonts w:ascii="Simplified Arabic" w:hAnsi="Simplified Arabic" w:cs="Simplified Arabic"/>
          <w:sz w:val="24"/>
          <w:szCs w:val="24"/>
          <w:rtl/>
          <w:lang w:val="en-GB" w:eastAsia="zh-TW"/>
        </w:rPr>
        <w:t xml:space="preserve">الأطراف إلى </w:t>
      </w:r>
      <w:r w:rsidRPr="00DC2B8D">
        <w:rPr>
          <w:rFonts w:ascii="Simplified Arabic" w:hAnsi="Simplified Arabic" w:cs="Simplified Arabic" w:hint="cs"/>
          <w:sz w:val="24"/>
          <w:szCs w:val="24"/>
          <w:rtl/>
          <w:lang w:val="en-GB" w:eastAsia="zh-TW"/>
        </w:rPr>
        <w:t>إقرار</w:t>
      </w:r>
      <w:r w:rsidRPr="00DC2B8D">
        <w:rPr>
          <w:rFonts w:ascii="Simplified Arabic" w:hAnsi="Simplified Arabic" w:cs="Simplified Arabic"/>
          <w:sz w:val="24"/>
          <w:szCs w:val="24"/>
          <w:rtl/>
          <w:lang w:val="en-GB" w:eastAsia="zh-TW"/>
        </w:rPr>
        <w:t xml:space="preserve"> الأعضاء الحاليين في الفريق أو ترشيح أعضاء جدد أو استبدال الأعضاء، حسب الاقتضاء، من خلال </w:t>
      </w:r>
      <w:r w:rsidRPr="00DC2B8D">
        <w:rPr>
          <w:rFonts w:ascii="Simplified Arabic" w:hAnsi="Simplified Arabic" w:cs="Simplified Arabic" w:hint="cs"/>
          <w:sz w:val="24"/>
          <w:szCs w:val="24"/>
          <w:rtl/>
          <w:lang w:val="en-GB" w:eastAsia="zh-TW"/>
        </w:rPr>
        <w:t>أعضاء</w:t>
      </w:r>
      <w:r w:rsidRPr="00DC2B8D">
        <w:rPr>
          <w:rFonts w:ascii="Simplified Arabic" w:hAnsi="Simplified Arabic" w:cs="Simplified Arabic"/>
          <w:sz w:val="24"/>
          <w:szCs w:val="24"/>
          <w:rtl/>
          <w:lang w:val="en-GB" w:eastAsia="zh-TW"/>
        </w:rPr>
        <w:t xml:space="preserve"> المكتب؛</w:t>
      </w:r>
    </w:p>
    <w:p w14:paraId="7933E446" w14:textId="77777777" w:rsidR="009F49F8" w:rsidRPr="00DC2B8D" w:rsidRDefault="009F49F8" w:rsidP="009F49F8">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يطلب </w:t>
      </w:r>
      <w:r w:rsidRPr="00DC2B8D">
        <w:rPr>
          <w:rFonts w:ascii="Simplified Arabic" w:hAnsi="Simplified Arabic" w:cs="Simplified Arabic"/>
          <w:sz w:val="24"/>
          <w:szCs w:val="24"/>
          <w:rtl/>
          <w:lang w:val="en-GB" w:eastAsia="zh-TW"/>
        </w:rPr>
        <w:t>إلى</w:t>
      </w:r>
      <w:r w:rsidRPr="00DC2B8D">
        <w:rPr>
          <w:rFonts w:ascii="Simplified Arabic" w:hAnsi="Simplified Arabic" w:cs="Simplified Arabic"/>
          <w:i/>
          <w:iCs/>
          <w:sz w:val="24"/>
          <w:szCs w:val="24"/>
          <w:rtl/>
          <w:lang w:val="en-GB" w:eastAsia="zh-TW"/>
        </w:rPr>
        <w:t xml:space="preserve"> </w:t>
      </w:r>
      <w:r w:rsidRPr="00DC2B8D">
        <w:rPr>
          <w:rFonts w:ascii="Simplified Arabic" w:hAnsi="Simplified Arabic" w:cs="Simplified Arabic"/>
          <w:sz w:val="24"/>
          <w:szCs w:val="24"/>
          <w:rtl/>
          <w:lang w:val="en-GB" w:eastAsia="zh-TW"/>
        </w:rPr>
        <w:t xml:space="preserve">الفريق أن يواصل العمل </w:t>
      </w:r>
      <w:r w:rsidRPr="00DC2B8D">
        <w:rPr>
          <w:rFonts w:ascii="Simplified Arabic" w:hAnsi="Simplified Arabic" w:cs="Simplified Arabic" w:hint="cs"/>
          <w:sz w:val="24"/>
          <w:szCs w:val="24"/>
          <w:rtl/>
          <w:lang w:val="en-GB" w:eastAsia="zh-TW"/>
        </w:rPr>
        <w:t>بالوسائل الإلكترونية</w:t>
      </w:r>
      <w:r w:rsidRPr="00DC2B8D">
        <w:rPr>
          <w:rFonts w:ascii="Simplified Arabic" w:hAnsi="Simplified Arabic" w:cs="Simplified Arabic"/>
          <w:sz w:val="24"/>
          <w:szCs w:val="24"/>
          <w:rtl/>
          <w:lang w:val="en-GB" w:eastAsia="zh-TW"/>
        </w:rPr>
        <w:t>،</w:t>
      </w:r>
      <w:r w:rsidRPr="00DC2B8D">
        <w:rPr>
          <w:rFonts w:ascii="Simplified Arabic" w:hAnsi="Simplified Arabic" w:cs="Simplified Arabic" w:hint="cs"/>
          <w:sz w:val="24"/>
          <w:szCs w:val="24"/>
          <w:rtl/>
          <w:lang w:val="en-GB" w:eastAsia="zh-TW"/>
        </w:rPr>
        <w:t xml:space="preserve"> مع احتمال عقد اجتماع مباشر واحد إذا لزم الأمر، ورهناً بتوافر الموارد، تمشياً </w:t>
      </w:r>
      <w:r w:rsidRPr="00DC2B8D">
        <w:rPr>
          <w:rFonts w:ascii="Simplified Arabic" w:hAnsi="Simplified Arabic" w:cs="Simplified Arabic"/>
          <w:sz w:val="24"/>
          <w:szCs w:val="24"/>
          <w:rtl/>
          <w:lang w:val="en-GB" w:eastAsia="zh-TW"/>
        </w:rPr>
        <w:t xml:space="preserve">مع خريطة الطريق الواردة </w:t>
      </w:r>
      <w:r w:rsidRPr="00DC2B8D">
        <w:rPr>
          <w:rFonts w:ascii="Simplified Arabic" w:hAnsi="Simplified Arabic" w:cs="Simplified Arabic" w:hint="cs"/>
          <w:sz w:val="24"/>
          <w:szCs w:val="24"/>
          <w:rtl/>
          <w:lang w:val="en-GB" w:eastAsia="zh-TW"/>
        </w:rPr>
        <w:t>في ال</w:t>
      </w:r>
      <w:r w:rsidRPr="00DC2B8D">
        <w:rPr>
          <w:rFonts w:ascii="Simplified Arabic" w:hAnsi="Simplified Arabic" w:cs="Simplified Arabic"/>
          <w:sz w:val="24"/>
          <w:szCs w:val="24"/>
          <w:rtl/>
          <w:lang w:val="en-GB" w:eastAsia="zh-TW"/>
        </w:rPr>
        <w:t>تقرير عن إعداد توجيهات بشأن منهجيات لقوائم جرد إطلاقات الزئبق في الأراضي والمياه بموجب المادة 9 من الاتفاقية</w:t>
      </w:r>
      <w:r w:rsidRPr="00DC2B8D">
        <w:rPr>
          <w:rFonts w:ascii="Simplified Arabic" w:hAnsi="Simplified Arabic" w:cs="Simplified Arabic" w:hint="cs"/>
          <w:sz w:val="24"/>
          <w:szCs w:val="24"/>
          <w:vertAlign w:val="superscript"/>
          <w:rtl/>
          <w:lang w:val="en-GB" w:eastAsia="zh-TW"/>
        </w:rPr>
        <w:t>(</w:t>
      </w:r>
      <w:r w:rsidRPr="00DC2B8D">
        <w:rPr>
          <w:rStyle w:val="FootnoteReference"/>
          <w:rFonts w:ascii="Simplified Arabic" w:hAnsi="Simplified Arabic" w:cs="Simplified Arabic"/>
          <w:sz w:val="24"/>
          <w:szCs w:val="24"/>
          <w:rtl/>
          <w:lang w:val="en-GB" w:eastAsia="zh-TW"/>
        </w:rPr>
        <w:footnoteReference w:id="2"/>
      </w:r>
      <w:r w:rsidRPr="00DC2B8D">
        <w:rPr>
          <w:rFonts w:ascii="Simplified Arabic" w:hAnsi="Simplified Arabic" w:cs="Simplified Arabic" w:hint="cs"/>
          <w:sz w:val="24"/>
          <w:szCs w:val="24"/>
          <w:vertAlign w:val="superscript"/>
          <w:rtl/>
          <w:lang w:val="en-GB" w:eastAsia="zh-TW"/>
        </w:rPr>
        <w:t>)</w:t>
      </w:r>
      <w:r w:rsidRPr="00DC2B8D">
        <w:rPr>
          <w:rFonts w:ascii="Simplified Arabic" w:hAnsi="Simplified Arabic" w:cs="Simplified Arabic"/>
          <w:sz w:val="24"/>
          <w:szCs w:val="24"/>
          <w:rtl/>
          <w:lang w:val="en-GB" w:eastAsia="zh-TW"/>
        </w:rPr>
        <w:t>، من أجل إعداد تقرير يتضمن مشروع توجيهات بشأن منهجية إعداد قوائم جرد الإطلاقات، والفئات المقترحة للمصادر الثابتة للإطلاقات وخريطة طريق لإعداد توجيهات بشأن أفضل التقنيات المتاحة وأفضل الممارسات البيئية؛</w:t>
      </w:r>
    </w:p>
    <w:p w14:paraId="56C938D4" w14:textId="77777777" w:rsidR="009F49F8" w:rsidRPr="00DC2B8D" w:rsidRDefault="009F49F8" w:rsidP="009F49F8">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sz w:val="24"/>
          <w:szCs w:val="24"/>
          <w:lang w:val="en-GB" w:eastAsia="zh-TW"/>
        </w:rPr>
      </w:pPr>
      <w:r w:rsidRPr="009132A3">
        <w:rPr>
          <w:rFonts w:ascii="Simplified Arabic" w:hAnsi="Simplified Arabic" w:cs="Simplified Arabic"/>
          <w:i/>
          <w:iCs/>
          <w:sz w:val="24"/>
          <w:szCs w:val="24"/>
          <w:rtl/>
          <w:lang w:val="en-GB" w:eastAsia="zh-TW"/>
        </w:rPr>
        <w:lastRenderedPageBreak/>
        <w:t>يطلب أيضاً</w:t>
      </w:r>
      <w:r w:rsidRPr="00DC2B8D">
        <w:rPr>
          <w:rFonts w:ascii="Simplified Arabic" w:hAnsi="Simplified Arabic" w:cs="Simplified Arabic"/>
          <w:sz w:val="24"/>
          <w:szCs w:val="24"/>
          <w:rtl/>
          <w:lang w:val="en-GB" w:eastAsia="zh-TW"/>
        </w:rPr>
        <w:t xml:space="preserve"> إلى الفريق أن يستند في عمله إلى الاعتبارات التالية:</w:t>
      </w:r>
    </w:p>
    <w:p w14:paraId="00961056" w14:textId="77777777" w:rsidR="009F49F8" w:rsidRPr="00DC2B8D" w:rsidRDefault="009F49F8" w:rsidP="009F49F8">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(أ)</w:t>
      </w:r>
      <w:r w:rsidRPr="00DC2B8D">
        <w:rPr>
          <w:rFonts w:ascii="Simplified Arabic" w:hAnsi="Simplified Arabic" w:cs="Simplified Arabic"/>
          <w:sz w:val="24"/>
          <w:szCs w:val="24"/>
          <w:rtl/>
          <w:lang w:val="en-GB" w:eastAsia="zh-TW"/>
        </w:rPr>
        <w:tab/>
        <w:t>لا ينبغي أن تشمل الفئات المقترحة مصادر ثابتة قد تكون ذات أهمية وتُعالج إطلاقاتها في أحكام أخرى من اتفاقية ميناماتا بشأن الزئبق، بصرف النظر عما إذا كانت تلك الأحكام الأخرى تتضمن التزامات لقوائم الجرد؛</w:t>
      </w:r>
    </w:p>
    <w:p w14:paraId="17FD5543" w14:textId="77777777" w:rsidR="009F49F8" w:rsidRPr="00DC2B8D" w:rsidRDefault="009F49F8" w:rsidP="009F49F8">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(ب)</w:t>
      </w:r>
      <w:r w:rsidRPr="00DC2B8D">
        <w:rPr>
          <w:rFonts w:ascii="Simplified Arabic" w:hAnsi="Simplified Arabic" w:cs="Simplified Arabic"/>
          <w:sz w:val="24"/>
          <w:szCs w:val="24"/>
          <w:rtl/>
          <w:lang w:val="en-GB" w:eastAsia="zh-TW"/>
        </w:rPr>
        <w:tab/>
        <w:t>وبالنظر إلى أن المادة 9 من الاتفاقية تتعلق بالمصادر الثابتة ذات الصلة، لا ينبغي إدراج المصادر المنتشرة في الفئات المقترحة. وكذلك ينبغي أن تقتصر الفئات المحددة في التوجيهات على فئات المصادر التي لم يجر توثيق إطلاقاتها من الزئبق؛</w:t>
      </w:r>
    </w:p>
    <w:p w14:paraId="6CBCB0A6" w14:textId="77777777" w:rsidR="009F49F8" w:rsidRPr="00DC2B8D" w:rsidRDefault="009F49F8" w:rsidP="009F49F8">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(ج)</w:t>
      </w:r>
      <w:r w:rsidRPr="00DC2B8D">
        <w:rPr>
          <w:rFonts w:ascii="Simplified Arabic" w:hAnsi="Simplified Arabic" w:cs="Simplified Arabic"/>
          <w:sz w:val="24"/>
          <w:szCs w:val="24"/>
          <w:rtl/>
          <w:lang w:val="en-GB" w:eastAsia="zh-TW"/>
        </w:rPr>
        <w:tab/>
        <w:t>الالتزام بضمان الإدارة السليمة بيئياً للنفايات المنصوص عليه بموجب الاتفاقية يعالج الإطلاقات الكبيرة في الأراضي والمياه؛</w:t>
      </w:r>
    </w:p>
    <w:p w14:paraId="1DD1B652" w14:textId="77777777" w:rsidR="009F49F8" w:rsidRPr="00DC2B8D" w:rsidRDefault="009F49F8" w:rsidP="009F49F8">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(د)</w:t>
      </w:r>
      <w:r w:rsidRPr="00DC2B8D">
        <w:rPr>
          <w:rFonts w:ascii="Simplified Arabic" w:hAnsi="Simplified Arabic" w:cs="Simplified Arabic"/>
          <w:sz w:val="24"/>
          <w:szCs w:val="24"/>
          <w:rtl/>
          <w:lang w:val="en-GB" w:eastAsia="zh-TW"/>
        </w:rPr>
        <w:tab/>
        <w:t>على الرغم من أن مياه الصرف تعالج في إطار المادة 9، يجوز للأطراف أن تضع ضوابط إضافية لمياه الصرف بموجب المادة 11 من الاتفاقية؛</w:t>
      </w:r>
    </w:p>
    <w:p w14:paraId="114C3A23" w14:textId="77777777" w:rsidR="009F49F8" w:rsidRPr="00DC2B8D" w:rsidRDefault="009F49F8" w:rsidP="009F49F8">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(هـ)</w:t>
      </w:r>
      <w:r w:rsidRPr="00DC2B8D">
        <w:rPr>
          <w:rFonts w:ascii="Simplified Arabic" w:hAnsi="Simplified Arabic" w:cs="Simplified Arabic"/>
          <w:sz w:val="24"/>
          <w:szCs w:val="24"/>
          <w:rtl/>
          <w:lang w:val="en-GB" w:eastAsia="zh-TW"/>
        </w:rPr>
        <w:tab/>
        <w:t>ورهناً بإنجاز العمل المبين أعلاه، وبغية مساعدة الأطراف التي ترغب في توسيع نطاق قائمة الجرد المشار إليها في الفقرة 6 من المادة 9 إلى مصادر ثابتة إضافية غير تلك التي تشملها المادة 9، ينبغي للتوجيهات المتعلقة بمنهجيات إعداد قوائم جرد للإطلاقات أن تقدم أيضاً معلومات عن المصادر الثابتة الهامة للإطلاقات التي تتناولها أحكام أخرى من الاتفاقية</w:t>
      </w:r>
      <w:r>
        <w:rPr>
          <w:rFonts w:ascii="Simplified Arabic" w:hAnsi="Simplified Arabic" w:cs="Simplified Arabic" w:hint="cs"/>
          <w:sz w:val="24"/>
          <w:szCs w:val="24"/>
          <w:rtl/>
          <w:lang w:val="en-GB" w:eastAsia="zh-TW"/>
        </w:rPr>
        <w:t>؛</w:t>
      </w:r>
    </w:p>
    <w:p w14:paraId="345F1C18" w14:textId="77777777" w:rsidR="009F49F8" w:rsidRPr="00DC2B8D" w:rsidRDefault="009F49F8" w:rsidP="009F49F8">
      <w:pPr>
        <w:numPr>
          <w:ilvl w:val="0"/>
          <w:numId w:val="16"/>
        </w:numPr>
        <w:bidi/>
        <w:spacing w:after="120" w:line="360" w:lineRule="exact"/>
        <w:ind w:left="2266" w:hanging="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 xml:space="preserve">يطلب </w:t>
      </w:r>
      <w:r w:rsidRPr="00DC2B8D">
        <w:rPr>
          <w:rFonts w:ascii="Simplified Arabic" w:hAnsi="Simplified Arabic" w:cs="Simplified Arabic"/>
          <w:sz w:val="24"/>
          <w:szCs w:val="24"/>
          <w:rtl/>
          <w:lang w:val="en-GB" w:eastAsia="zh-TW"/>
        </w:rPr>
        <w:t>إلى</w:t>
      </w:r>
      <w:r w:rsidRPr="00DC2B8D">
        <w:rPr>
          <w:rFonts w:ascii="Simplified Arabic" w:hAnsi="Simplified Arabic" w:cs="Simplified Arabic"/>
          <w:i/>
          <w:iCs/>
          <w:sz w:val="24"/>
          <w:szCs w:val="24"/>
          <w:rtl/>
          <w:lang w:val="en-GB" w:eastAsia="zh-TW"/>
        </w:rPr>
        <w:t xml:space="preserve"> </w:t>
      </w:r>
      <w:r w:rsidRPr="00DC2B8D">
        <w:rPr>
          <w:rFonts w:ascii="Simplified Arabic" w:hAnsi="Simplified Arabic" w:cs="Simplified Arabic"/>
          <w:sz w:val="24"/>
          <w:szCs w:val="24"/>
          <w:rtl/>
          <w:lang w:val="en-GB" w:eastAsia="zh-TW"/>
        </w:rPr>
        <w:t>الأمانة أن تواصل تقديم الدعم لعمل الفريق.</w:t>
      </w:r>
    </w:p>
    <w:p w14:paraId="52A41936" w14:textId="204EAD7E" w:rsidR="005B6028" w:rsidRPr="009F49F8" w:rsidRDefault="005B6028" w:rsidP="009F49F8">
      <w:pPr>
        <w:bidi/>
        <w:rPr>
          <w:rFonts w:cs="Times New Roman"/>
          <w:b/>
          <w:bCs/>
          <w:sz w:val="24"/>
          <w:szCs w:val="24"/>
          <w:rtl/>
          <w:lang w:val="en-GB" w:eastAsia="zh-TW"/>
        </w:rPr>
      </w:pPr>
    </w:p>
    <w:sectPr w:rsidR="005B6028" w:rsidRPr="009F49F8"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3C4EE" w14:textId="77777777" w:rsidR="009D73C7" w:rsidRDefault="009D73C7">
      <w:r>
        <w:separator/>
      </w:r>
    </w:p>
  </w:endnote>
  <w:endnote w:type="continuationSeparator" w:id="0">
    <w:p w14:paraId="3A59DB89" w14:textId="77777777" w:rsidR="009D73C7" w:rsidRDefault="009D73C7">
      <w:r>
        <w:continuationSeparator/>
      </w:r>
    </w:p>
  </w:endnote>
  <w:endnote w:type="continuationNotice" w:id="1">
    <w:p w14:paraId="7442E0BC" w14:textId="77777777" w:rsidR="009D73C7" w:rsidRDefault="009D7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59FF7F5D" w:rsidR="00BB2125" w:rsidRPr="00A54E25" w:rsidRDefault="00E05CFB" w:rsidP="00E05CFB">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F1D4" w14:textId="77777777" w:rsidR="009D73C7" w:rsidRDefault="009D73C7" w:rsidP="008A79DC">
      <w:pPr>
        <w:bidi/>
        <w:ind w:left="720"/>
      </w:pPr>
      <w:r>
        <w:separator/>
      </w:r>
    </w:p>
  </w:footnote>
  <w:footnote w:type="continuationSeparator" w:id="0">
    <w:p w14:paraId="107E19F5" w14:textId="77777777" w:rsidR="009D73C7" w:rsidRDefault="009D73C7">
      <w:r>
        <w:continuationSeparator/>
      </w:r>
    </w:p>
  </w:footnote>
  <w:footnote w:type="continuationNotice" w:id="1">
    <w:p w14:paraId="08085809" w14:textId="77777777" w:rsidR="009D73C7" w:rsidRDefault="009D73C7"/>
  </w:footnote>
  <w:footnote w:id="2">
    <w:p w14:paraId="19D3F778" w14:textId="77777777" w:rsidR="009F49F8" w:rsidRPr="00FE197F" w:rsidRDefault="009F49F8" w:rsidP="009F49F8">
      <w:pPr>
        <w:pStyle w:val="FootnoteText"/>
        <w:bidi/>
        <w:ind w:left="1132"/>
        <w:jc w:val="left"/>
        <w:rPr>
          <w:rFonts w:ascii="Simplified Arabic" w:hAnsi="Simplified Arabic" w:cs="Simplified Arabic"/>
          <w:sz w:val="18"/>
          <w:szCs w:val="18"/>
          <w:rtl/>
          <w:lang w:bidi="ar-SY"/>
        </w:rPr>
      </w:pPr>
      <w:r w:rsidRPr="00FE197F">
        <w:rPr>
          <w:rFonts w:ascii="Simplified Arabic" w:hAnsi="Simplified Arabic" w:cs="Simplified Arabic"/>
          <w:sz w:val="18"/>
          <w:szCs w:val="18"/>
          <w:rtl/>
        </w:rPr>
        <w:t>(</w:t>
      </w:r>
      <w:r w:rsidRPr="00FE197F">
        <w:rPr>
          <w:rStyle w:val="FootnoteReference"/>
          <w:rFonts w:ascii="Simplified Arabic" w:hAnsi="Simplified Arabic" w:cs="Simplified Arabic"/>
          <w:sz w:val="18"/>
          <w:szCs w:val="18"/>
          <w:vertAlign w:val="baseline"/>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UNEP/MC/COP.3/6</w:t>
      </w:r>
      <w:r w:rsidRPr="00FE197F">
        <w:rPr>
          <w:rFonts w:ascii="Simplified Arabic" w:hAnsi="Simplified Arabic" w:cs="Simplified Arabic"/>
          <w:sz w:val="18"/>
          <w:szCs w:val="18"/>
          <w:rtl/>
        </w:rPr>
        <w:t>، المرفق الثاني.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09F6989B" w:rsidR="006D6A63" w:rsidRPr="00424B1D" w:rsidRDefault="00424B1D" w:rsidP="00424B1D">
    <w:pPr>
      <w:pStyle w:val="Header"/>
      <w:pBdr>
        <w:bottom w:val="single" w:sz="4" w:space="1" w:color="auto"/>
      </w:pBdr>
      <w:rPr>
        <w:b/>
        <w:sz w:val="17"/>
        <w:szCs w:val="17"/>
      </w:rPr>
    </w:pPr>
    <w:r w:rsidRPr="00424B1D">
      <w:rPr>
        <w:b/>
        <w:sz w:val="17"/>
        <w:szCs w:val="17"/>
      </w:rPr>
      <w:t>UNEP/MC/COP.3/</w:t>
    </w:r>
    <w:r w:rsidR="009F49F8">
      <w:rPr>
        <w:b/>
        <w:sz w:val="17"/>
        <w:szCs w:val="17"/>
      </w:rPr>
      <w:t>Dec.4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680E48AB" w:rsidR="006D6A63" w:rsidRPr="00424B1D" w:rsidRDefault="00424B1D" w:rsidP="00424B1D">
    <w:pPr>
      <w:pStyle w:val="Header"/>
      <w:pBdr>
        <w:bottom w:val="single" w:sz="4" w:space="1" w:color="auto"/>
      </w:pBdr>
      <w:jc w:val="both"/>
      <w:rPr>
        <w:lang w:val="en-GB"/>
      </w:rPr>
    </w:pPr>
    <w:r w:rsidRPr="00424B1D">
      <w:rPr>
        <w:b/>
        <w:sz w:val="17"/>
        <w:szCs w:val="17"/>
      </w:rPr>
      <w:t>UNEP/MC/COP.3/23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C7FE1"/>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0F1"/>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1075"/>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E4"/>
    <w:rsid w:val="0063365A"/>
    <w:rsid w:val="00633B60"/>
    <w:rsid w:val="0063685D"/>
    <w:rsid w:val="00643039"/>
    <w:rsid w:val="00643398"/>
    <w:rsid w:val="0064436F"/>
    <w:rsid w:val="0065224B"/>
    <w:rsid w:val="00652BB3"/>
    <w:rsid w:val="00653AF1"/>
    <w:rsid w:val="0065416B"/>
    <w:rsid w:val="00655228"/>
    <w:rsid w:val="006554EB"/>
    <w:rsid w:val="00656408"/>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D73C7"/>
    <w:rsid w:val="009E032C"/>
    <w:rsid w:val="009E2CE5"/>
    <w:rsid w:val="009E3346"/>
    <w:rsid w:val="009E4569"/>
    <w:rsid w:val="009E46DF"/>
    <w:rsid w:val="009E6EAB"/>
    <w:rsid w:val="009E7551"/>
    <w:rsid w:val="009F49F8"/>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95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7082C"/>
    <w:rsid w:val="00F70982"/>
    <w:rsid w:val="00F70C3F"/>
    <w:rsid w:val="00F73923"/>
    <w:rsid w:val="00F74047"/>
    <w:rsid w:val="00F7639B"/>
    <w:rsid w:val="00F76FB1"/>
    <w:rsid w:val="00F775FA"/>
    <w:rsid w:val="00F77F47"/>
    <w:rsid w:val="00F81B72"/>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4.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5</cp:revision>
  <cp:lastPrinted>2020-05-18T13:06:00Z</cp:lastPrinted>
  <dcterms:created xsi:type="dcterms:W3CDTF">2020-12-16T20:37:00Z</dcterms:created>
  <dcterms:modified xsi:type="dcterms:W3CDTF">2020-12-17T07:41:00Z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