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4EC13604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C310F">
              <w:rPr>
                <w:lang w:val="en-GB"/>
              </w:rPr>
              <w:t>3/</w:t>
            </w:r>
            <w:r w:rsidR="006004E9">
              <w:rPr>
                <w:lang w:val="en-GB"/>
              </w:rPr>
              <w:t>Dec.</w:t>
            </w:r>
            <w:r w:rsidR="00AB2615">
              <w:rPr>
                <w:lang w:val="en-GB"/>
              </w:rPr>
              <w:t>3</w:t>
            </w:r>
          </w:p>
        </w:tc>
      </w:tr>
      <w:tr w:rsidR="00032E4E" w:rsidRPr="001C6F9A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0AB42FC" w:rsidR="00032E4E" w:rsidRPr="00620245" w:rsidRDefault="008E14EB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="00032E4E" w:rsidRPr="00826AF3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20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51C0D5DE" w:rsidR="00E976AB" w:rsidRPr="00A54CB9" w:rsidRDefault="008257C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Третье</w:t>
      </w:r>
      <w:r w:rsidR="00787688" w:rsidRPr="00A54CB9">
        <w:rPr>
          <w:b/>
        </w:rPr>
        <w:t xml:space="preserve"> совещание</w:t>
      </w:r>
    </w:p>
    <w:p w14:paraId="025D4C98" w14:textId="7DFFDF00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</w:t>
      </w:r>
      <w:r w:rsidR="006C310F" w:rsidRPr="008257C8">
        <w:t>5-29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C310F" w:rsidRPr="008257C8">
        <w:t>9</w:t>
      </w:r>
      <w:r w:rsidRPr="00A54CB9">
        <w:t xml:space="preserve"> года</w:t>
      </w:r>
    </w:p>
    <w:p w14:paraId="0BB6376C" w14:textId="77777777" w:rsidR="001C6F9A" w:rsidRDefault="001C6F9A" w:rsidP="001C6F9A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38968176"/>
      <w:r>
        <w:rPr>
          <w:b/>
          <w:bCs/>
          <w:sz w:val="28"/>
          <w:szCs w:val="28"/>
        </w:rPr>
        <w:t xml:space="preserve">Решение принятое на третьем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1FDB067E" w14:textId="77777777" w:rsidR="00AB2615" w:rsidRPr="00C86D57" w:rsidRDefault="00AB2615" w:rsidP="00AB2615">
      <w:pPr>
        <w:pStyle w:val="Heading1"/>
      </w:pPr>
      <w:bookmarkStart w:id="3" w:name="_GoBack"/>
      <w:bookmarkEnd w:id="3"/>
      <w:r w:rsidRPr="00C86D57">
        <w:t>МК-3/3: Таможенные коды</w:t>
      </w:r>
      <w:bookmarkEnd w:id="2"/>
    </w:p>
    <w:p w14:paraId="3094C726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rPr>
          <w:i/>
        </w:rPr>
        <w:t>Конференция Сторон</w:t>
      </w:r>
      <w:r w:rsidRPr="0058397F">
        <w:rPr>
          <w:iCs/>
        </w:rPr>
        <w:t>:</w:t>
      </w:r>
    </w:p>
    <w:p w14:paraId="56A8B932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1.</w:t>
      </w:r>
      <w:r w:rsidRPr="00C86D57">
        <w:tab/>
      </w:r>
      <w:r w:rsidRPr="00C86D57">
        <w:rPr>
          <w:i/>
        </w:rPr>
        <w:t>поручает</w:t>
      </w:r>
      <w:r w:rsidRPr="00C86D57">
        <w:t xml:space="preserve"> секретариату, чтобы он в сотрудничестве с Глобальным партнерством по ртути Программы Организации Объединенных Наций по окружающей среде – область Партнерства «Ртутьсодержащие продукты» (далее именуемым «Партнерство по продуктам») </w:t>
      </w:r>
      <w:r>
        <w:t xml:space="preserve">– </w:t>
      </w:r>
      <w:r w:rsidRPr="00C86D57">
        <w:t>и с привлечением соответствующих экспертов:</w:t>
      </w:r>
    </w:p>
    <w:p w14:paraId="21D59C71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a)</w:t>
      </w:r>
      <w:r w:rsidRPr="00C86D57">
        <w:tab/>
        <w:t>подготовил проект руководящего документа, который включал бы в себя:</w:t>
      </w:r>
    </w:p>
    <w:p w14:paraId="1ADF5666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  <w:rPr>
          <w:rFonts w:eastAsia="Calibri"/>
        </w:rPr>
      </w:pPr>
      <w:r w:rsidRPr="00C86D57">
        <w:rPr>
          <w:rFonts w:eastAsia="Calibri"/>
        </w:rPr>
        <w:t>i)</w:t>
      </w:r>
      <w:r w:rsidRPr="00C86D57">
        <w:rPr>
          <w:rFonts w:eastAsia="Calibri"/>
        </w:rPr>
        <w:tab/>
      </w:r>
      <w:r w:rsidRPr="00C86D57">
        <w:t>для продуктов с добавлением ртути, перечисленных в приложении А к Конвенции, – перечень возможных кодов таможенной номенклатуры, которые состояли бы более чем из шести цифр и могли бы использоваться Сторонами;</w:t>
      </w:r>
    </w:p>
    <w:p w14:paraId="05023524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  <w:rPr>
          <w:rFonts w:eastAsia="Calibri"/>
        </w:rPr>
      </w:pPr>
      <w:bookmarkStart w:id="4" w:name="_Hlk25816095"/>
      <w:proofErr w:type="spellStart"/>
      <w:r w:rsidRPr="00C86D57">
        <w:rPr>
          <w:rFonts w:eastAsia="Calibri"/>
        </w:rPr>
        <w:t>ii</w:t>
      </w:r>
      <w:proofErr w:type="spellEnd"/>
      <w:r w:rsidRPr="00C86D57">
        <w:rPr>
          <w:rFonts w:eastAsia="Calibri"/>
        </w:rPr>
        <w:t>)</w:t>
      </w:r>
      <w:r w:rsidRPr="00C86D57">
        <w:rPr>
          <w:rFonts w:eastAsia="Calibri"/>
        </w:rPr>
        <w:tab/>
      </w:r>
      <w:r w:rsidRPr="00C86D57">
        <w:t>для продуктов с добавлением ртути, не включенных в приложение А к Конвенции, – подготовленную национальными экспертами по кодам таможенной номенклатуры подборку примеров кодов, состоящих из более чем шести цифр и используемых Сторонами в настоящее время;</w:t>
      </w:r>
      <w:bookmarkEnd w:id="4"/>
    </w:p>
    <w:p w14:paraId="40BD4E64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  <w:rPr>
          <w:rFonts w:eastAsia="Calibri"/>
        </w:rPr>
      </w:pPr>
      <w:proofErr w:type="spellStart"/>
      <w:r w:rsidRPr="00C86D57">
        <w:rPr>
          <w:rFonts w:eastAsia="Calibri"/>
        </w:rPr>
        <w:t>iii</w:t>
      </w:r>
      <w:proofErr w:type="spellEnd"/>
      <w:r w:rsidRPr="00C86D57">
        <w:rPr>
          <w:rFonts w:eastAsia="Calibri"/>
        </w:rPr>
        <w:t>)</w:t>
      </w:r>
      <w:r w:rsidRPr="00C86D57">
        <w:rPr>
          <w:rFonts w:eastAsia="Calibri"/>
        </w:rPr>
        <w:tab/>
      </w:r>
      <w:r w:rsidRPr="00C86D57">
        <w:t>описание примеров удачной практики, когда использование кодов таможенной номенклатуры на национальном уровне дополняется использованием других инструментов контроля в целях осуществления торговых положений, таких как положения, содержащиеся в статье 4 Конвенции;</w:t>
      </w:r>
    </w:p>
    <w:p w14:paraId="39752187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b)</w:t>
      </w:r>
      <w:r w:rsidRPr="00C86D57">
        <w:tab/>
        <w:t xml:space="preserve">представил оценку того, станет ли последующая разработка шестизначных цифровых гармонизированных кодов полезным дополнением к результатам работы, проделанной во исполнение подпункта 1 а) i) настоящего решения в отношении продуктов с добавлением ртути, перечисленных в приложении А, или работы, проделанной во исполнение подпункта 1 а) </w:t>
      </w:r>
      <w:proofErr w:type="spellStart"/>
      <w:r w:rsidRPr="00C86D57">
        <w:t>ii</w:t>
      </w:r>
      <w:proofErr w:type="spellEnd"/>
      <w:r w:rsidRPr="00C86D57">
        <w:t>) в отношении продуктов с добавлением ртути, не включенных в приложение А. Оценка должна по возможности включать несколько примеров использования таких кодов для продуктов с добавлением ртути как для включенных, так и не включенных в указанное приложение, и должна учитывать опыт применения таких кодов в рамках других международных природоохранных конвенций;</w:t>
      </w:r>
    </w:p>
    <w:p w14:paraId="5D9411A8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2.</w:t>
      </w:r>
      <w:r w:rsidRPr="00C86D57">
        <w:tab/>
      </w:r>
      <w:r w:rsidRPr="00C86D57">
        <w:rPr>
          <w:i/>
        </w:rPr>
        <w:t xml:space="preserve">поручает </w:t>
      </w:r>
      <w:r w:rsidRPr="00C86D57">
        <w:rPr>
          <w:i/>
          <w:iCs/>
        </w:rPr>
        <w:t>также</w:t>
      </w:r>
      <w:r w:rsidRPr="00C86D57">
        <w:t xml:space="preserve"> секретариату:</w:t>
      </w:r>
    </w:p>
    <w:p w14:paraId="14763D2A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a)</w:t>
      </w:r>
      <w:r w:rsidRPr="00C86D57">
        <w:tab/>
        <w:t xml:space="preserve">обратиться ко всем Сторонам, государствам, не являющимся Сторонами, и другим заинтересованным субъектам, включая соответствующие организации, с открытым </w:t>
      </w:r>
      <w:r w:rsidRPr="00C86D57">
        <w:lastRenderedPageBreak/>
        <w:t>призывом помочь выявить экспертов, знакомых с практикой применения национальных таможенных кодов, для участия в открытом процессе;</w:t>
      </w:r>
    </w:p>
    <w:p w14:paraId="171533A6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b)</w:t>
      </w:r>
      <w:r w:rsidRPr="00C86D57">
        <w:tab/>
        <w:t>обратиться к таким экспертам с предложением представить свои материалы к 31 марта 2020 года; в такие материалы следует включать информацию, имеющую отношение к работе, связанной с подпунктами 1 a) i)-</w:t>
      </w:r>
      <w:proofErr w:type="spellStart"/>
      <w:r w:rsidRPr="00C86D57">
        <w:t>iii</w:t>
      </w:r>
      <w:proofErr w:type="spellEnd"/>
      <w:r w:rsidRPr="00C86D57">
        <w:t>) настоящего решения;</w:t>
      </w:r>
    </w:p>
    <w:p w14:paraId="236B3468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c)</w:t>
      </w:r>
      <w:r w:rsidRPr="00C86D57">
        <w:tab/>
        <w:t>подготовить в сотрудничестве с Партнерством по продуктам проект доклада, который охватывал бы три области, определенные в подпункте 1 а) настоящего решения;</w:t>
      </w:r>
    </w:p>
    <w:p w14:paraId="62C65019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d)</w:t>
      </w:r>
      <w:r w:rsidRPr="00C86D57">
        <w:tab/>
        <w:t>разместить проект доклада на веб-сайте Конвенции и предложить Сторонам и другим субъектам представить свои замечания к 30 января 2021 года;</w:t>
      </w:r>
    </w:p>
    <w:p w14:paraId="6CFBB282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e)</w:t>
      </w:r>
      <w:r w:rsidRPr="00C86D57">
        <w:tab/>
        <w:t>пересмотреть в сотрудничестве с Партнерством по продуктам проект доклада с должным учетом дополнительных материалов, полученных от Сторон и других субъектов;</w:t>
      </w:r>
    </w:p>
    <w:p w14:paraId="0EFC26DB" w14:textId="77777777" w:rsidR="00AB2615" w:rsidRPr="00C86D57" w:rsidRDefault="00AB2615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ab/>
        <w:t>f)</w:t>
      </w:r>
      <w:r w:rsidRPr="00C86D57">
        <w:tab/>
        <w:t>представить Конференции Сторон на ее четвертом совещании окончательный доклад для его рассмотрения.</w:t>
      </w:r>
    </w:p>
    <w:p w14:paraId="7A425BC3" w14:textId="1070DD96" w:rsidR="009027BB" w:rsidRPr="004364E6" w:rsidRDefault="009027BB" w:rsidP="00AB26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</w:p>
    <w:sectPr w:rsidR="009027BB" w:rsidRPr="004364E6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5FB1" w14:textId="77777777" w:rsidR="00F325C0" w:rsidRDefault="00F325C0">
      <w:r>
        <w:separator/>
      </w:r>
    </w:p>
  </w:endnote>
  <w:endnote w:type="continuationSeparator" w:id="0">
    <w:p w14:paraId="6611CAB8" w14:textId="77777777" w:rsidR="00F325C0" w:rsidRDefault="00F3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5C45" w14:textId="77777777" w:rsidR="00F325C0" w:rsidRDefault="00F325C0" w:rsidP="00851756">
      <w:pPr>
        <w:spacing w:before="60"/>
        <w:ind w:left="624"/>
      </w:pPr>
      <w:r>
        <w:separator/>
      </w:r>
    </w:p>
  </w:footnote>
  <w:footnote w:type="continuationSeparator" w:id="0">
    <w:p w14:paraId="1C18A275" w14:textId="77777777" w:rsidR="00F325C0" w:rsidRDefault="00F3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5C6ACCE2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AB2615">
      <w:rPr>
        <w:lang w:val="en-U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31E36453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AB2615">
      <w:rPr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C6F9A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64E6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18A9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B70B4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2615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3D7C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25C0"/>
    <w:rsid w:val="00F3465A"/>
    <w:rsid w:val="00F37DC8"/>
    <w:rsid w:val="00F439B3"/>
    <w:rsid w:val="00F5416A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EE3DF-926D-46B9-8523-EC37BDCF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2020-11-09T11:53:00Z</cp:lastPrinted>
  <dcterms:created xsi:type="dcterms:W3CDTF">2020-11-06T11:00:00Z</dcterms:created>
  <dcterms:modified xsi:type="dcterms:W3CDTF">2020-11-09T11:53:00Z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