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21582ED5"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931BD3">
              <w:rPr>
                <w:rFonts w:cs="Times New Roman"/>
                <w:szCs w:val="20"/>
              </w:rPr>
              <w:t>11</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687D5542" w:rsidR="006C5B02" w:rsidRDefault="00100739"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100739">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2EDCBF9F" w14:textId="77777777" w:rsidR="00931BD3" w:rsidRPr="00CE1973" w:rsidRDefault="00931BD3" w:rsidP="00931BD3">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0" w:name="_Toc39163569"/>
      <w:r w:rsidRPr="00CE1973">
        <w:rPr>
          <w:rFonts w:hint="cs"/>
          <w:bCs/>
          <w:sz w:val="26"/>
          <w:szCs w:val="26"/>
          <w:rtl/>
        </w:rPr>
        <w:t>ا م-</w:t>
      </w:r>
      <w:r w:rsidRPr="00CE1973">
        <w:rPr>
          <w:bCs/>
          <w:sz w:val="26"/>
          <w:szCs w:val="26"/>
          <w:rtl/>
        </w:rPr>
        <w:t>3/11:</w:t>
      </w:r>
      <w:r>
        <w:rPr>
          <w:bCs/>
          <w:sz w:val="26"/>
          <w:szCs w:val="26"/>
          <w:rtl/>
        </w:rPr>
        <w:tab/>
      </w:r>
      <w:r w:rsidRPr="00CE1973">
        <w:rPr>
          <w:bCs/>
          <w:sz w:val="26"/>
          <w:szCs w:val="26"/>
          <w:rtl/>
        </w:rPr>
        <w:t>تعزيز التعاون بين أمانة اتفاقية ميناماتا وأمانة اتفاقيات بازل وروتردام واستكهولم</w:t>
      </w:r>
      <w:bookmarkEnd w:id="0"/>
    </w:p>
    <w:p w14:paraId="65B01120" w14:textId="77777777" w:rsidR="00931BD3" w:rsidRPr="00EB024A" w:rsidRDefault="00931BD3" w:rsidP="00931BD3">
      <w:pPr>
        <w:bidi/>
        <w:spacing w:before="120"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إن مؤتمر الأطراف</w:t>
      </w:r>
      <w:r w:rsidRPr="00EB024A">
        <w:rPr>
          <w:rFonts w:ascii="Simplified Arabic" w:hAnsi="Simplified Arabic" w:cs="Simplified Arabic"/>
          <w:sz w:val="24"/>
          <w:szCs w:val="24"/>
          <w:rtl/>
          <w:lang w:val="en-GB"/>
        </w:rPr>
        <w:t>،</w:t>
      </w:r>
    </w:p>
    <w:p w14:paraId="2E8DD4B7" w14:textId="77777777" w:rsidR="00931BD3" w:rsidRPr="00EB024A" w:rsidRDefault="00931BD3" w:rsidP="00931BD3">
      <w:pPr>
        <w:tabs>
          <w:tab w:val="left" w:pos="2409"/>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إذ يشير</w:t>
      </w:r>
      <w:r w:rsidRPr="00EB024A">
        <w:rPr>
          <w:rFonts w:ascii="Simplified Arabic" w:hAnsi="Simplified Arabic" w:cs="Simplified Arabic"/>
          <w:sz w:val="24"/>
          <w:szCs w:val="24"/>
          <w:rtl/>
          <w:lang w:val="en-GB"/>
        </w:rPr>
        <w:t xml:space="preserve"> إلى أن الفقرة 4 من المادة 24 من الاتفاقية تنص على أنه يجوز لمؤتمر الأطراف، بالتشاور ‏مع الهيئات الدولية المختصة، أن يعمل على تعزيز التعاون والتنسيق بين الأمانة وأمانات الاتفاقيات الأخرى المتعلقة بالمواد الكيميائية والنفايات، وأن يقدِّم توجيهات إضافية بشأن هذه المسألة،</w:t>
      </w:r>
    </w:p>
    <w:p w14:paraId="12262D07" w14:textId="77777777" w:rsidR="00931BD3" w:rsidRPr="00EB024A" w:rsidRDefault="00931BD3" w:rsidP="00931BD3">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 xml:space="preserve">وإذ يشير </w:t>
      </w:r>
      <w:r w:rsidRPr="00EB024A">
        <w:rPr>
          <w:rFonts w:ascii="Simplified Arabic" w:hAnsi="Simplified Arabic" w:cs="Simplified Arabic" w:hint="cs"/>
          <w:i/>
          <w:iCs/>
          <w:sz w:val="24"/>
          <w:szCs w:val="24"/>
          <w:rtl/>
          <w:lang w:val="en-GB"/>
        </w:rPr>
        <w:t>أيضاً</w:t>
      </w:r>
      <w:r w:rsidRPr="00EB024A">
        <w:rPr>
          <w:rFonts w:ascii="Simplified Arabic" w:hAnsi="Simplified Arabic" w:cs="Simplified Arabic"/>
          <w:sz w:val="24"/>
          <w:szCs w:val="24"/>
          <w:rtl/>
          <w:lang w:val="en-GB"/>
        </w:rPr>
        <w:t xml:space="preserve"> إلى المقرر ا م-2/7 لمؤتمر الأطراف في اتفاقية ميناماتا، وكذلك المقرر ا ب-14/22 الصادر عن مؤتمر الأطراف في اتفاقية بازل بشأن التحكم في نقل النفايات الخطرة والتخلص منها عبر الحدود، والمقرر</w:t>
      </w:r>
      <w:r>
        <w:rPr>
          <w:rFonts w:ascii="Simplified Arabic" w:hAnsi="Simplified Arabic" w:cs="Simplified Arabic"/>
          <w:sz w:val="24"/>
          <w:szCs w:val="24"/>
          <w:rtl/>
          <w:lang w:val="en-GB"/>
        </w:rPr>
        <w:br/>
      </w:r>
      <w:r w:rsidRPr="00EB024A">
        <w:rPr>
          <w:rFonts w:ascii="Simplified Arabic" w:hAnsi="Simplified Arabic" w:cs="Simplified Arabic"/>
          <w:sz w:val="24"/>
          <w:szCs w:val="24"/>
          <w:rtl/>
          <w:lang w:val="en-GB"/>
        </w:rPr>
        <w:t>ا ر-9/10 الصادر عن مؤتمر الأطراف في اتفاقية روتردام المتعلقة بتطبيق إجراء الموافقة المسبقة عن علم على مواد كيميائية ومبيدات آفات معينة خطرة متداولة في التجارة الدولية، والمقرر ا س</w:t>
      </w:r>
      <w:r w:rsidRPr="00EB024A">
        <w:rPr>
          <w:rFonts w:ascii="Simplified Arabic" w:hAnsi="Simplified Arabic" w:cs="Simplified Arabic"/>
          <w:sz w:val="24"/>
          <w:szCs w:val="24"/>
          <w:rtl/>
          <w:lang w:val="en-GB"/>
        </w:rPr>
        <w:noBreakHyphen/>
        <w:t>9/20 الصادر عن مؤتمر الأطراف في اتفاقية استكهولم بشأن الملوثات العضوية الثابتة، بما في ذلك الطلبات الواردة في تلك المقررات بشأن إطار مستقر لتبادل الخدمات بين أمانات هذه الاتفاقيات،</w:t>
      </w:r>
    </w:p>
    <w:p w14:paraId="5D9A1007" w14:textId="77777777" w:rsidR="00931BD3" w:rsidRPr="00EB024A" w:rsidRDefault="00931BD3" w:rsidP="00931BD3">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وإذ يسلم</w:t>
      </w:r>
      <w:r w:rsidRPr="00EB024A">
        <w:rPr>
          <w:rFonts w:ascii="Simplified Arabic" w:hAnsi="Simplified Arabic" w:cs="Simplified Arabic"/>
          <w:sz w:val="24"/>
          <w:szCs w:val="24"/>
          <w:rtl/>
          <w:lang w:val="en-GB"/>
        </w:rPr>
        <w:t xml:space="preserve"> بأن </w:t>
      </w:r>
      <w:r w:rsidRPr="00EB024A">
        <w:rPr>
          <w:rFonts w:ascii="Simplified Arabic" w:hAnsi="Simplified Arabic" w:cs="Simplified Arabic" w:hint="cs"/>
          <w:sz w:val="24"/>
          <w:szCs w:val="24"/>
          <w:rtl/>
          <w:lang w:val="en-GB"/>
        </w:rPr>
        <w:t>تقاسم</w:t>
      </w:r>
      <w:r w:rsidRPr="00EB024A">
        <w:rPr>
          <w:rFonts w:ascii="Simplified Arabic" w:hAnsi="Simplified Arabic" w:cs="Simplified Arabic"/>
          <w:sz w:val="24"/>
          <w:szCs w:val="24"/>
          <w:rtl/>
          <w:lang w:val="en-GB"/>
        </w:rPr>
        <w:t xml:space="preserve"> الخدمات ضمن إطار مستقر، سيعزز التعاون والتنسيق، على أساس الخبرات والتقارب ويمكنه أن يشجع التنفيذ الفعال لاتفاقية ميناماتا دون الإخلال باستقلال الأمانات أو بقابلية رؤسائها التنفيذيين للمساءلة،</w:t>
      </w:r>
    </w:p>
    <w:p w14:paraId="7A65B601" w14:textId="77777777" w:rsidR="00931BD3" w:rsidRPr="00EB024A" w:rsidRDefault="00931BD3" w:rsidP="00931BD3">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وإذ يعرب عن تقديره</w:t>
      </w:r>
      <w:r w:rsidRPr="00EB024A">
        <w:rPr>
          <w:rFonts w:ascii="Simplified Arabic" w:hAnsi="Simplified Arabic" w:cs="Simplified Arabic"/>
          <w:sz w:val="24"/>
          <w:szCs w:val="24"/>
          <w:rtl/>
          <w:lang w:val="en-GB"/>
        </w:rPr>
        <w:t xml:space="preserve"> للاقتراح العملي من المديرة التنفيذية لبرنامج الأمم المتحدة للبيئة بشأن تبادل الخدمات بين أمانة اتفاقية ميناماتا وأمانة اتفاقيات بازل وروتردام واستكهولم</w:t>
      </w:r>
      <w:r w:rsidRPr="00EB024A">
        <w:rPr>
          <w:rFonts w:ascii="Simplified Arabic" w:hAnsi="Simplified Arabic" w:cs="Simplified Arabic"/>
          <w:sz w:val="24"/>
          <w:szCs w:val="24"/>
          <w:vertAlign w:val="superscript"/>
          <w:rtl/>
          <w:lang w:val="en-GB"/>
        </w:rPr>
        <w:t>(</w:t>
      </w:r>
      <w:r w:rsidRPr="00EB024A">
        <w:rPr>
          <w:rFonts w:ascii="Simplified Arabic" w:hAnsi="Simplified Arabic" w:cs="Simplified Arabic"/>
          <w:sz w:val="24"/>
          <w:szCs w:val="24"/>
          <w:vertAlign w:val="superscript"/>
          <w:rtl/>
          <w:lang w:val="en-GB"/>
        </w:rPr>
        <w:footnoteReference w:id="2"/>
      </w:r>
      <w:r w:rsidRPr="00EB024A">
        <w:rPr>
          <w:rFonts w:ascii="Simplified Arabic" w:hAnsi="Simplified Arabic" w:cs="Simplified Arabic"/>
          <w:sz w:val="24"/>
          <w:szCs w:val="24"/>
          <w:vertAlign w:val="superscript"/>
          <w:rtl/>
          <w:lang w:val="en-GB"/>
        </w:rPr>
        <w:t>)</w:t>
      </w:r>
      <w:r w:rsidRPr="00EB024A">
        <w:rPr>
          <w:rFonts w:ascii="Simplified Arabic" w:hAnsi="Simplified Arabic" w:cs="Simplified Arabic"/>
          <w:sz w:val="24"/>
          <w:szCs w:val="24"/>
          <w:rtl/>
          <w:lang w:val="en-GB"/>
        </w:rPr>
        <w:t>،</w:t>
      </w:r>
    </w:p>
    <w:p w14:paraId="2B043FEC" w14:textId="77777777" w:rsidR="00931BD3" w:rsidRPr="00EB024A" w:rsidRDefault="00931BD3" w:rsidP="00931BD3">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lastRenderedPageBreak/>
        <w:t>يحيط علماً</w:t>
      </w:r>
      <w:r w:rsidRPr="00EB024A">
        <w:rPr>
          <w:rFonts w:ascii="Simplified Arabic" w:hAnsi="Simplified Arabic" w:cs="Simplified Arabic"/>
          <w:sz w:val="24"/>
          <w:szCs w:val="24"/>
          <w:rtl/>
          <w:lang w:val="en-GB"/>
        </w:rPr>
        <w:t xml:space="preserve"> بمحتوى الاقتراح العملي من المديرة التنفيذية وبالخيارات المختلفة الواردة فيه؛</w:t>
      </w:r>
    </w:p>
    <w:p w14:paraId="5D150870" w14:textId="77777777" w:rsidR="00931BD3" w:rsidRPr="00EB024A" w:rsidRDefault="00931BD3" w:rsidP="00931BD3">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يؤكد</w:t>
      </w:r>
      <w:r w:rsidRPr="00EB024A">
        <w:rPr>
          <w:rFonts w:ascii="Simplified Arabic" w:hAnsi="Simplified Arabic" w:cs="Simplified Arabic"/>
          <w:sz w:val="24"/>
          <w:szCs w:val="24"/>
          <w:rtl/>
          <w:lang w:val="en-GB"/>
        </w:rPr>
        <w:t xml:space="preserve"> أهمية مواصلة التعاون بشأن التآزر البرامجي؛ واستخدام فرقة العمل بين الأمانتين وفرع المواد الكيميائية والصحة في برنامج الأمم المتحدة للبيئة؛ وإمكانية شراء أمانة اتفاقية ميناماتا للخدمات من أمانة اتفاقيات بازل وروتردام واستكهولم على أساس استرداد التكاليف، وفقاً لبرنامج العمل والميزانية لاتفاقية ميناماتا لكل فترة من فترات السنتين؛</w:t>
      </w:r>
    </w:p>
    <w:p w14:paraId="0AF1AA60" w14:textId="77777777" w:rsidR="00931BD3" w:rsidRPr="00EB024A" w:rsidRDefault="00931BD3" w:rsidP="00931BD3">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يرحب</w:t>
      </w:r>
      <w:r w:rsidRPr="00EB024A">
        <w:rPr>
          <w:rFonts w:ascii="Simplified Arabic" w:hAnsi="Simplified Arabic" w:cs="Simplified Arabic"/>
          <w:sz w:val="24"/>
          <w:szCs w:val="24"/>
          <w:rtl/>
          <w:lang w:val="en-GB"/>
        </w:rPr>
        <w:t xml:space="preserve"> بالتوصية التي قدمها برنامج الأمم المتحدة للبيئة بإنشاء أفرقة عاملة بين الأمانتين من أجل معالجة جوانب محددة من الخدمات ذات الصلة؛</w:t>
      </w:r>
    </w:p>
    <w:p w14:paraId="7421D7C0" w14:textId="77777777" w:rsidR="00931BD3" w:rsidRPr="00EB024A" w:rsidRDefault="00931BD3" w:rsidP="00931BD3">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يطلب</w:t>
      </w:r>
      <w:r w:rsidRPr="00EB024A">
        <w:rPr>
          <w:rFonts w:ascii="Simplified Arabic" w:hAnsi="Simplified Arabic" w:cs="Simplified Arabic"/>
          <w:sz w:val="24"/>
          <w:szCs w:val="24"/>
          <w:rtl/>
          <w:lang w:val="en-GB"/>
        </w:rPr>
        <w:t xml:space="preserve"> إلى المديرة التنفيذية لبرنامج الأمم المتحدة للبيئة، في سياق أداءها لمهام الأمانة لاتفاقية ميناماتا، وواضعة في اعتبارها الاستقلالية القانونية لكل من الأمانتين، أن تؤيد أمانة اتفاقية ميناماتا في جهودها الرامية إلى تعزيز التعاون مع أمانة اتفاقيات بازل وروتردام واستكهولم، بوسائل منها الاستخدام المنتظم لفرقة العمل المؤلفة من الأمانتين وفرع المواد الكيميائية والصحة في برنامج الأمم المتحدة للبيئة بوصفها إطاراً مستقراً للتعاون وتقاسم خدمات الأمانة ذات الصلة، وفقاً للمقرر ا م-2/7؛</w:t>
      </w:r>
    </w:p>
    <w:p w14:paraId="515EC767" w14:textId="77777777" w:rsidR="00931BD3" w:rsidRPr="00EB024A" w:rsidRDefault="00931BD3" w:rsidP="00931BD3">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يطلب</w:t>
      </w:r>
      <w:r w:rsidRPr="00EB024A">
        <w:rPr>
          <w:rFonts w:ascii="Simplified Arabic" w:hAnsi="Simplified Arabic" w:cs="Simplified Arabic"/>
          <w:sz w:val="24"/>
          <w:szCs w:val="24"/>
          <w:rtl/>
          <w:lang w:val="en-GB"/>
        </w:rPr>
        <w:t xml:space="preserve"> إلى الأمينة التنفيذية </w:t>
      </w:r>
      <w:r w:rsidRPr="00EB024A">
        <w:rPr>
          <w:rFonts w:ascii="Simplified Arabic" w:hAnsi="Simplified Arabic" w:cs="Simplified Arabic" w:hint="cs"/>
          <w:sz w:val="24"/>
          <w:szCs w:val="24"/>
          <w:rtl/>
          <w:lang w:val="en-GB"/>
        </w:rPr>
        <w:t>ما يلي</w:t>
      </w:r>
      <w:r w:rsidRPr="00EB024A">
        <w:rPr>
          <w:rFonts w:ascii="Simplified Arabic" w:hAnsi="Simplified Arabic" w:cs="Simplified Arabic"/>
          <w:sz w:val="24"/>
          <w:szCs w:val="24"/>
          <w:rtl/>
          <w:lang w:val="en-GB"/>
        </w:rPr>
        <w:t>:</w:t>
      </w:r>
    </w:p>
    <w:p w14:paraId="3C148E90" w14:textId="77777777" w:rsidR="00931BD3" w:rsidRPr="00EB024A" w:rsidRDefault="00931BD3" w:rsidP="00931BD3">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sz w:val="24"/>
          <w:szCs w:val="24"/>
          <w:rtl/>
          <w:lang w:val="en-GB"/>
        </w:rPr>
        <w:t>(أ)</w:t>
      </w:r>
      <w:r w:rsidRPr="00EB024A">
        <w:rPr>
          <w:rFonts w:ascii="Simplified Arabic" w:hAnsi="Simplified Arabic" w:cs="Simplified Arabic"/>
          <w:sz w:val="24"/>
          <w:szCs w:val="24"/>
          <w:rtl/>
          <w:lang w:val="en-GB"/>
        </w:rPr>
        <w:tab/>
        <w:t>أن تنشئ مع أمانة اتفاقيات بازل وروتردام واستكهولم وفي إطار التوجيه العام من فرقة العمل، الأفرقة العاملة بين الأمانتين، حسب الاقتضاء، لكي تتعاون بشأن المسائل ذات الصلة المتعلقة بالإدارة والبرمجة والمساعدة التقنية والشؤون التقنية، وفقاً لبرنامج العمل والميزانية؛</w:t>
      </w:r>
    </w:p>
    <w:p w14:paraId="7BAE0379" w14:textId="77777777" w:rsidR="00931BD3" w:rsidRPr="00EB024A" w:rsidRDefault="00931BD3" w:rsidP="00931BD3">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sz w:val="24"/>
          <w:szCs w:val="24"/>
          <w:rtl/>
          <w:lang w:val="en-GB"/>
        </w:rPr>
        <w:t>(ب)</w:t>
      </w:r>
      <w:r w:rsidRPr="00EB024A">
        <w:rPr>
          <w:rFonts w:ascii="Simplified Arabic" w:hAnsi="Simplified Arabic" w:cs="Simplified Arabic"/>
          <w:sz w:val="24"/>
          <w:szCs w:val="24"/>
          <w:rtl/>
          <w:lang w:val="en-GB"/>
        </w:rPr>
        <w:tab/>
        <w:t>أن تواصل تنفيذ الخدمات المشتركة وشراء الخدمات ذات الصلة من أمانة اتفاقيات بازل وروتردام واستكهولم، على أساس استرداد التكاليف، حسب الاقتضاء، ووفقاً لبرنامج العمل والميزانية لكل فترة من فترات السنتين؛</w:t>
      </w:r>
    </w:p>
    <w:p w14:paraId="5DC83F01" w14:textId="77777777" w:rsidR="00931BD3" w:rsidRPr="00EB024A" w:rsidRDefault="00931BD3" w:rsidP="00931BD3">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en-GB"/>
        </w:rPr>
      </w:pPr>
      <w:r w:rsidRPr="00EB024A">
        <w:rPr>
          <w:rFonts w:ascii="Simplified Arabic" w:hAnsi="Simplified Arabic" w:cs="Simplified Arabic"/>
          <w:sz w:val="24"/>
          <w:szCs w:val="24"/>
          <w:rtl/>
          <w:lang w:val="en-GB"/>
        </w:rPr>
        <w:t>(ج)</w:t>
      </w:r>
      <w:r w:rsidRPr="00EB024A">
        <w:rPr>
          <w:rFonts w:ascii="Simplified Arabic" w:hAnsi="Simplified Arabic" w:cs="Simplified Arabic"/>
          <w:sz w:val="24"/>
          <w:szCs w:val="24"/>
          <w:rtl/>
          <w:lang w:val="en-GB"/>
        </w:rPr>
        <w:tab/>
        <w:t xml:space="preserve">أن تقدم تقريراً عن تنفيذ هذا القرار، بما في ذلك بشأن إطار مستقر للتعاون </w:t>
      </w:r>
      <w:r w:rsidRPr="00EB024A">
        <w:rPr>
          <w:rFonts w:ascii="Simplified Arabic" w:hAnsi="Simplified Arabic" w:cs="Simplified Arabic" w:hint="cs"/>
          <w:sz w:val="24"/>
          <w:szCs w:val="24"/>
          <w:rtl/>
          <w:lang w:val="en-GB"/>
        </w:rPr>
        <w:t>وتقاسم</w:t>
      </w:r>
      <w:r w:rsidRPr="00EB024A">
        <w:rPr>
          <w:rFonts w:ascii="Simplified Arabic" w:hAnsi="Simplified Arabic" w:cs="Simplified Arabic"/>
          <w:sz w:val="24"/>
          <w:szCs w:val="24"/>
          <w:rtl/>
          <w:lang w:val="en-GB"/>
        </w:rPr>
        <w:t xml:space="preserve"> الخدمات، </w:t>
      </w:r>
      <w:r w:rsidRPr="00EB024A">
        <w:rPr>
          <w:rFonts w:ascii="Simplified Arabic" w:hAnsi="Simplified Arabic" w:cs="Simplified Arabic" w:hint="cs"/>
          <w:sz w:val="24"/>
          <w:szCs w:val="24"/>
          <w:rtl/>
          <w:lang w:val="en-GB"/>
        </w:rPr>
        <w:t xml:space="preserve">مرفقاً بموجز عام لأنشطة التعاون المقررة ضمن هذا الإطار للفترة 2022-2023، </w:t>
      </w:r>
      <w:r w:rsidRPr="00EB024A">
        <w:rPr>
          <w:rFonts w:ascii="Simplified Arabic" w:hAnsi="Simplified Arabic" w:cs="Simplified Arabic"/>
          <w:sz w:val="24"/>
          <w:szCs w:val="24"/>
          <w:rtl/>
          <w:lang w:val="en-GB"/>
        </w:rPr>
        <w:t xml:space="preserve">لكي ينظر فيه مؤتمر الأطراف في اجتماعه </w:t>
      </w:r>
      <w:r w:rsidRPr="00EB024A">
        <w:rPr>
          <w:rFonts w:ascii="Simplified Arabic" w:hAnsi="Simplified Arabic" w:cs="Simplified Arabic" w:hint="cs"/>
          <w:sz w:val="24"/>
          <w:szCs w:val="24"/>
          <w:rtl/>
          <w:lang w:val="en-GB"/>
        </w:rPr>
        <w:t>الرابع</w:t>
      </w:r>
      <w:r w:rsidRPr="00EB024A">
        <w:rPr>
          <w:rFonts w:ascii="Simplified Arabic" w:hAnsi="Simplified Arabic" w:cs="Simplified Arabic"/>
          <w:sz w:val="24"/>
          <w:szCs w:val="24"/>
          <w:rtl/>
          <w:lang w:val="en-GB"/>
        </w:rPr>
        <w:t xml:space="preserve"> ويقدم المزيد من التوجيه بشأنه، حسب الاقتضاء.</w:t>
      </w:r>
    </w:p>
    <w:p w14:paraId="52A41936" w14:textId="61F57B36" w:rsidR="005B6028" w:rsidRPr="000C178F" w:rsidRDefault="005B6028" w:rsidP="00931BD3">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both"/>
        <w:outlineLvl w:val="0"/>
        <w:rPr>
          <w:rFonts w:ascii="Simplified Arabic" w:hAnsi="Simplified Arabic"/>
          <w:szCs w:val="20"/>
          <w:rtl/>
        </w:rPr>
      </w:pPr>
    </w:p>
    <w:sectPr w:rsidR="005B6028" w:rsidRPr="000C178F"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3CD5" w14:textId="77777777" w:rsidR="00842CCF" w:rsidRDefault="00842CCF">
      <w:r>
        <w:separator/>
      </w:r>
    </w:p>
  </w:endnote>
  <w:endnote w:type="continuationSeparator" w:id="0">
    <w:p w14:paraId="7703AB08" w14:textId="77777777" w:rsidR="00842CCF" w:rsidRDefault="00842CCF">
      <w:r>
        <w:continuationSeparator/>
      </w:r>
    </w:p>
  </w:endnote>
  <w:endnote w:type="continuationNotice" w:id="1">
    <w:p w14:paraId="44E66533" w14:textId="77777777" w:rsidR="00842CCF" w:rsidRDefault="00842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3C748DD4" w:rsidR="00BB2125" w:rsidRPr="00A54E25" w:rsidRDefault="00E05CFB" w:rsidP="00632D1E">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0636" w14:textId="77777777" w:rsidR="00842CCF" w:rsidRDefault="00842CCF" w:rsidP="008A79DC">
      <w:pPr>
        <w:bidi/>
        <w:ind w:left="720"/>
      </w:pPr>
      <w:r>
        <w:separator/>
      </w:r>
    </w:p>
  </w:footnote>
  <w:footnote w:type="continuationSeparator" w:id="0">
    <w:p w14:paraId="212920DB" w14:textId="77777777" w:rsidR="00842CCF" w:rsidRDefault="00842CCF">
      <w:r>
        <w:continuationSeparator/>
      </w:r>
    </w:p>
  </w:footnote>
  <w:footnote w:type="continuationNotice" w:id="1">
    <w:p w14:paraId="04E8DD4C" w14:textId="77777777" w:rsidR="00842CCF" w:rsidRDefault="00842CCF"/>
  </w:footnote>
  <w:footnote w:id="2">
    <w:p w14:paraId="6625E18D" w14:textId="77777777" w:rsidR="00931BD3" w:rsidRPr="00FE197F" w:rsidRDefault="00931BD3" w:rsidP="00931BD3">
      <w:pPr>
        <w:pStyle w:val="Normal-pool"/>
        <w:tabs>
          <w:tab w:val="clear" w:pos="1247"/>
          <w:tab w:val="clear" w:pos="1814"/>
          <w:tab w:val="clear" w:pos="2381"/>
          <w:tab w:val="clear" w:pos="2948"/>
          <w:tab w:val="clear" w:pos="3515"/>
          <w:tab w:val="left" w:pos="624"/>
        </w:tabs>
        <w:bidi/>
        <w:spacing w:line="340" w:lineRule="exact"/>
        <w:ind w:left="1247"/>
        <w:jc w:val="both"/>
        <w:rPr>
          <w:rFonts w:ascii="Simplified Arabic" w:hAnsi="Simplified Arabic" w:cs="Simplified Arabic"/>
          <w:sz w:val="18"/>
          <w:szCs w:val="18"/>
          <w:rtl/>
          <w:lang w:val="ar-SA" w:eastAsia="zh-TW"/>
        </w:rPr>
      </w:pPr>
      <w:r w:rsidRPr="00FE197F">
        <w:rPr>
          <w:rFonts w:ascii="Simplified Arabic" w:hAnsi="Simplified Arabic" w:cs="Simplified Arabic"/>
          <w:sz w:val="18"/>
          <w:szCs w:val="18"/>
          <w:rtl/>
        </w:rPr>
        <w:t>(</w:t>
      </w:r>
      <w:r w:rsidRPr="00FE197F">
        <w:rPr>
          <w:rStyle w:val="FootnoteReference"/>
          <w:rFonts w:ascii="Simplified Arabic" w:hAnsi="Simplified Arabic" w:cs="Simplified Arabic"/>
          <w:sz w:val="18"/>
          <w:szCs w:val="18"/>
          <w:vertAlign w:val="baseline"/>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UNEP/MC/COP.3/16</w:t>
      </w:r>
      <w:r w:rsidRPr="00FE197F">
        <w:rPr>
          <w:rFonts w:ascii="Simplified Arabic" w:hAnsi="Simplified Arabic" w:cs="Simplified Arabic"/>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19957D8E" w:rsidR="006D6A63" w:rsidRPr="00424B1D" w:rsidRDefault="00424B1D" w:rsidP="00424B1D">
    <w:pPr>
      <w:pStyle w:val="Header"/>
      <w:pBdr>
        <w:bottom w:val="single" w:sz="4" w:space="1" w:color="auto"/>
      </w:pBdr>
      <w:rPr>
        <w:b/>
        <w:sz w:val="17"/>
        <w:szCs w:val="17"/>
      </w:rPr>
    </w:pPr>
    <w:r w:rsidRPr="00424B1D">
      <w:rPr>
        <w:b/>
        <w:sz w:val="17"/>
        <w:szCs w:val="17"/>
      </w:rPr>
      <w:t>UNEP/MC/COP.3/</w:t>
    </w:r>
    <w:r w:rsidR="00931BD3">
      <w:rPr>
        <w:b/>
        <w:sz w:val="17"/>
        <w:szCs w:val="17"/>
      </w:rPr>
      <w:t>Dec.11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680E48AB" w:rsidR="006D6A63" w:rsidRPr="00424B1D" w:rsidRDefault="00424B1D" w:rsidP="00424B1D">
    <w:pPr>
      <w:pStyle w:val="Header"/>
      <w:pBdr>
        <w:bottom w:val="single" w:sz="4" w:space="1" w:color="auto"/>
      </w:pBdr>
      <w:jc w:val="both"/>
      <w:rPr>
        <w:lang w:val="en-GB"/>
      </w:rPr>
    </w:pPr>
    <w:r w:rsidRPr="00424B1D">
      <w:rPr>
        <w:b/>
        <w:sz w:val="17"/>
        <w:szCs w:val="17"/>
      </w:rPr>
      <w:t>UNEP/MC/COP.3/23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5EB4"/>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0739"/>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705"/>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539"/>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1E"/>
    <w:rsid w:val="0063365A"/>
    <w:rsid w:val="00633B60"/>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3B0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2CCF"/>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BD3"/>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0839"/>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4C71"/>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11AF"/>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66B10"/>
    <w:rsid w:val="00F7082C"/>
    <w:rsid w:val="00F70982"/>
    <w:rsid w:val="00F70C3F"/>
    <w:rsid w:val="00F73923"/>
    <w:rsid w:val="00F74047"/>
    <w:rsid w:val="00F7639B"/>
    <w:rsid w:val="00F76FB1"/>
    <w:rsid w:val="00F775FA"/>
    <w:rsid w:val="00F77F47"/>
    <w:rsid w:val="00F81B72"/>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3.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customXml/itemProps4.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5</cp:revision>
  <cp:lastPrinted>2020-05-18T13:06:00Z</cp:lastPrinted>
  <dcterms:created xsi:type="dcterms:W3CDTF">2020-12-16T21:45:00Z</dcterms:created>
  <dcterms:modified xsi:type="dcterms:W3CDTF">2020-12-17T07:45:00Z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