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5F59BB0E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1B48FD">
              <w:rPr>
                <w:lang w:val="en-GB"/>
              </w:rPr>
              <w:t>10</w:t>
            </w:r>
          </w:p>
        </w:tc>
      </w:tr>
      <w:tr w:rsidR="00032E4E" w:rsidRPr="00CA705E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402406CB" w14:textId="77777777" w:rsidR="00CA705E" w:rsidRDefault="00CA705E" w:rsidP="00CA705E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44D27F8D" w14:textId="77777777" w:rsidR="001B48FD" w:rsidRPr="00264B29" w:rsidRDefault="00FA5D0A" w:rsidP="001B48FD">
      <w:pPr>
        <w:pStyle w:val="Heading1"/>
      </w:pPr>
      <w:bookmarkStart w:id="2" w:name="_GoBack"/>
      <w:bookmarkEnd w:id="2"/>
      <w:r>
        <w:rPr>
          <w:bCs/>
          <w:sz w:val="28"/>
          <w:szCs w:val="28"/>
        </w:rPr>
        <w:tab/>
      </w:r>
      <w:bookmarkStart w:id="3" w:name="_Toc38968183"/>
      <w:r w:rsidR="001B48FD" w:rsidRPr="00264B29">
        <w:t xml:space="preserve">МК-3/10: Порядок проведения первой оценки эффективности </w:t>
      </w:r>
      <w:proofErr w:type="spellStart"/>
      <w:r w:rsidR="001B48FD" w:rsidRPr="00264B29">
        <w:t>Минаматской</w:t>
      </w:r>
      <w:proofErr w:type="spellEnd"/>
      <w:r w:rsidR="001B48FD" w:rsidRPr="00264B29">
        <w:t xml:space="preserve"> конвенции о ртути</w:t>
      </w:r>
      <w:bookmarkEnd w:id="3"/>
    </w:p>
    <w:p w14:paraId="5A74184A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bookmarkStart w:id="4" w:name="_DV_C1169"/>
      <w:r w:rsidRPr="00264B29">
        <w:rPr>
          <w:i/>
          <w:iCs/>
        </w:rPr>
        <w:t>Конференция Сторон</w:t>
      </w:r>
      <w:r w:rsidRPr="00264B29">
        <w:t>,</w:t>
      </w:r>
      <w:bookmarkEnd w:id="4"/>
    </w:p>
    <w:p w14:paraId="32D4C772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bookmarkStart w:id="5" w:name="_DV_C1170"/>
      <w:r w:rsidRPr="00264B29">
        <w:rPr>
          <w:i/>
          <w:iCs/>
        </w:rPr>
        <w:t>с удовлетворением отмечая</w:t>
      </w:r>
      <w:r w:rsidRPr="00264B29">
        <w:t xml:space="preserve"> доклад о предлагаемой системе оценки эффективности и механизмах мониторинга в рамках </w:t>
      </w:r>
      <w:proofErr w:type="spellStart"/>
      <w:r w:rsidRPr="00264B29">
        <w:t>Минаматской</w:t>
      </w:r>
      <w:proofErr w:type="spellEnd"/>
      <w:r w:rsidRPr="00264B29">
        <w:t xml:space="preserve"> конвенции</w:t>
      </w:r>
      <w:r w:rsidRPr="008F43A1">
        <w:rPr>
          <w:vertAlign w:val="superscript"/>
        </w:rPr>
        <w:footnoteReference w:customMarkFollows="1" w:id="1"/>
        <w:t>8</w:t>
      </w:r>
      <w:r w:rsidRPr="00264B29">
        <w:t xml:space="preserve"> и дополняющую его информацию, подготовленную специальной технической группой экспертов во исполнение мандатов, определенных в решениях МК-1/9 и МК-2/10</w:t>
      </w:r>
      <w:r w:rsidRPr="008F43A1">
        <w:rPr>
          <w:vertAlign w:val="superscript"/>
        </w:rPr>
        <w:footnoteReference w:customMarkFollows="1" w:id="2"/>
        <w:t>9</w:t>
      </w:r>
      <w:r w:rsidRPr="00264B29">
        <w:t>,</w:t>
      </w:r>
      <w:bookmarkStart w:id="6" w:name="_DV_C1171"/>
      <w:bookmarkStart w:id="7" w:name="_DV_C1173"/>
      <w:bookmarkStart w:id="8" w:name="_DV_C1174"/>
      <w:bookmarkEnd w:id="5"/>
      <w:bookmarkEnd w:id="6"/>
      <w:bookmarkEnd w:id="7"/>
      <w:bookmarkEnd w:id="8"/>
    </w:p>
    <w:p w14:paraId="27F41DDB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bookmarkStart w:id="9" w:name="_DV_C1176"/>
      <w:r w:rsidRPr="00264B29">
        <w:rPr>
          <w:i/>
          <w:iCs/>
        </w:rPr>
        <w:t>признавая</w:t>
      </w:r>
      <w:r w:rsidRPr="00264B29">
        <w:t xml:space="preserve"> усилия по продвижению работы над оценкой эффективности, предпринятые на третьем совещании Конференции Сторон,</w:t>
      </w:r>
      <w:bookmarkStart w:id="10" w:name="_DV_C1177"/>
      <w:bookmarkEnd w:id="9"/>
    </w:p>
    <w:p w14:paraId="5B2A324C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bookmarkStart w:id="11" w:name="_DV_C1178"/>
      <w:bookmarkEnd w:id="10"/>
      <w:r w:rsidRPr="0046065B">
        <w:t>1.</w:t>
      </w:r>
      <w:r w:rsidRPr="0046065B">
        <w:tab/>
      </w:r>
      <w:r w:rsidRPr="00657A0C">
        <w:rPr>
          <w:i/>
          <w:iCs/>
        </w:rPr>
        <w:t xml:space="preserve">предлагает </w:t>
      </w:r>
      <w:r w:rsidRPr="00264B29">
        <w:t>Сторонам представить мнения по показателям, изложенным в приложении I к настоящему решению, и поручает секретариату скомпилировать эти мнения до начала четвертого совещания Конференции Сторон;</w:t>
      </w:r>
      <w:bookmarkStart w:id="12" w:name="_DV_C1179"/>
      <w:bookmarkEnd w:id="11"/>
    </w:p>
    <w:p w14:paraId="7CD88258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bookmarkStart w:id="13" w:name="_DV_C1180"/>
      <w:bookmarkEnd w:id="12"/>
      <w:r>
        <w:t>2.</w:t>
      </w:r>
      <w:r>
        <w:tab/>
      </w:r>
      <w:r w:rsidRPr="00657A0C">
        <w:rPr>
          <w:i/>
          <w:iCs/>
        </w:rPr>
        <w:t>поручает</w:t>
      </w:r>
      <w:r w:rsidRPr="00264B29">
        <w:t xml:space="preserve"> секретариату продвигать работу путем обеспечения услуг по составлению проектов следующих документов:</w:t>
      </w:r>
      <w:bookmarkStart w:id="14" w:name="_DV_C1181"/>
      <w:bookmarkEnd w:id="13"/>
    </w:p>
    <w:p w14:paraId="190D6A06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8" w:firstLine="624"/>
      </w:pPr>
      <w:bookmarkStart w:id="15" w:name="_DV_C1182"/>
      <w:bookmarkEnd w:id="14"/>
      <w:r>
        <w:t>a</w:t>
      </w:r>
      <w:r w:rsidRPr="0046065B">
        <w:t>)</w:t>
      </w:r>
      <w:r w:rsidRPr="0046065B">
        <w:tab/>
      </w:r>
      <w:r w:rsidRPr="00264B29">
        <w:t xml:space="preserve">руководство по мониторингу для обеспечения согласованной, сопоставимой информации об уровнях содержания ртути в окружающей среде с учетом проекта структуры, изложенного в записке о </w:t>
      </w:r>
      <w:r>
        <w:t>справочной</w:t>
      </w:r>
      <w:r w:rsidRPr="00264B29">
        <w:t xml:space="preserve"> информации о мониторинге содержания ртути</w:t>
      </w:r>
      <w:r w:rsidRPr="00657A0C">
        <w:rPr>
          <w:vertAlign w:val="superscript"/>
        </w:rPr>
        <w:t>1</w:t>
      </w:r>
      <w:r w:rsidRPr="00657A0C">
        <w:rPr>
          <w:vertAlign w:val="superscript"/>
        </w:rPr>
        <w:footnoteReference w:customMarkFollows="1" w:id="3"/>
        <w:t>0</w:t>
      </w:r>
      <w:r w:rsidRPr="00264B29">
        <w:t>;</w:t>
      </w:r>
      <w:bookmarkStart w:id="17" w:name="_DV_C1183"/>
      <w:bookmarkStart w:id="18" w:name="_DV_C1185"/>
      <w:bookmarkEnd w:id="15"/>
      <w:bookmarkEnd w:id="17"/>
    </w:p>
    <w:bookmarkEnd w:id="18"/>
    <w:p w14:paraId="32A92BFE" w14:textId="77777777" w:rsidR="001B48FD" w:rsidRPr="00264B2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 w:firstLine="624"/>
      </w:pPr>
      <w:r w:rsidRPr="00264B29">
        <w:t>b)</w:t>
      </w:r>
      <w:r w:rsidRPr="00264B29">
        <w:tab/>
      </w:r>
      <w:bookmarkStart w:id="19" w:name="_DV_C1186"/>
      <w:r w:rsidRPr="00264B29">
        <w:t>докладов, изложенных в рамках системы, содержащейся в приложении II к настоящему решению, за исключением доклада о выбросах и высвобождениях, доклада о мониторинге и доклада о моделировании.</w:t>
      </w:r>
      <w:bookmarkEnd w:id="19"/>
    </w:p>
    <w:p w14:paraId="1F097183" w14:textId="77777777" w:rsidR="001B48FD" w:rsidRPr="00657A0C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</w:rPr>
      </w:pPr>
      <w:r w:rsidRPr="00657A0C">
        <w:rPr>
          <w:b/>
          <w:bCs/>
          <w:sz w:val="24"/>
          <w:szCs w:val="24"/>
        </w:rPr>
        <w:t>Приложение I к решению МК-3/10</w:t>
      </w:r>
    </w:p>
    <w:p w14:paraId="485477F2" w14:textId="77777777" w:rsidR="001B48FD" w:rsidRPr="00657A0C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</w:rPr>
      </w:pPr>
      <w:r w:rsidRPr="00657A0C">
        <w:rPr>
          <w:b/>
          <w:bCs/>
          <w:sz w:val="24"/>
          <w:szCs w:val="24"/>
        </w:rPr>
        <w:t xml:space="preserve">Предлагаемые показатели для оценки эффективности </w:t>
      </w:r>
      <w:proofErr w:type="spellStart"/>
      <w:r w:rsidRPr="00657A0C">
        <w:rPr>
          <w:b/>
          <w:bCs/>
          <w:sz w:val="24"/>
          <w:szCs w:val="24"/>
        </w:rPr>
        <w:t>Минаматской</w:t>
      </w:r>
      <w:proofErr w:type="spellEnd"/>
      <w:r w:rsidRPr="00657A0C">
        <w:rPr>
          <w:b/>
          <w:bCs/>
          <w:sz w:val="24"/>
          <w:szCs w:val="24"/>
        </w:rPr>
        <w:t xml:space="preserve"> конвенции в разбивке по статьям</w:t>
      </w: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3939"/>
        <w:gridCol w:w="1785"/>
        <w:gridCol w:w="1785"/>
      </w:tblGrid>
      <w:tr w:rsidR="001B48FD" w:rsidRPr="008F43A1" w14:paraId="46F7F550" w14:textId="77777777" w:rsidTr="00CB5D61">
        <w:trPr>
          <w:trHeight w:val="454"/>
          <w:jc w:val="center"/>
        </w:trPr>
        <w:tc>
          <w:tcPr>
            <w:tcW w:w="8404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6B8A5215" w14:textId="77777777" w:rsidR="001B48FD" w:rsidRPr="0039597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</w:rPr>
            </w:pPr>
            <w:r w:rsidRPr="00395971">
              <w:rPr>
                <w:i/>
                <w:iCs/>
                <w:sz w:val="18"/>
                <w:szCs w:val="18"/>
              </w:rPr>
              <w:t>A. Статья 1 (цель)</w:t>
            </w:r>
          </w:p>
          <w:p w14:paraId="347BE14C" w14:textId="77777777" w:rsidR="001B48FD" w:rsidRPr="00B05DC9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624"/>
              <w:rPr>
                <w:b/>
                <w:bCs/>
                <w:i/>
                <w:iCs/>
                <w:sz w:val="18"/>
                <w:szCs w:val="18"/>
              </w:rPr>
            </w:pPr>
            <w:r w:rsidRPr="00B05DC9">
              <w:rPr>
                <w:i/>
                <w:iCs/>
                <w:sz w:val="18"/>
                <w:szCs w:val="18"/>
              </w:rPr>
              <w:lastRenderedPageBreak/>
              <w:t>(Показатель для статьи 1 следует рассматривать вместе с соответствующим контрольным показателем, приведенным в таблице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B05DC9">
              <w:rPr>
                <w:i/>
                <w:iCs/>
                <w:sz w:val="18"/>
                <w:szCs w:val="18"/>
              </w:rPr>
              <w:t>4</w:t>
            </w:r>
            <w:r>
              <w:rPr>
                <w:i/>
                <w:iCs/>
                <w:sz w:val="18"/>
                <w:szCs w:val="18"/>
              </w:rPr>
              <w:t xml:space="preserve"> документа </w:t>
            </w:r>
            <w:r w:rsidRPr="00973A33">
              <w:rPr>
                <w:i/>
                <w:iCs/>
                <w:sz w:val="18"/>
                <w:szCs w:val="18"/>
              </w:rPr>
              <w:t>UNEP/MC/COP.3/14</w:t>
            </w:r>
            <w:r w:rsidRPr="00B05DC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0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7EE938" w14:textId="77777777" w:rsidR="001B48FD" w:rsidRPr="0039597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</w:rPr>
            </w:pPr>
            <w:r w:rsidRPr="00395971">
              <w:rPr>
                <w:i/>
                <w:iCs/>
                <w:sz w:val="18"/>
                <w:szCs w:val="18"/>
              </w:rPr>
              <w:lastRenderedPageBreak/>
              <w:t>Источник информации для расчета показателя</w:t>
            </w:r>
          </w:p>
        </w:tc>
        <w:tc>
          <w:tcPr>
            <w:tcW w:w="250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2C5BD32" w14:textId="77777777" w:rsidR="001B48FD" w:rsidRPr="0039597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</w:rPr>
            </w:pPr>
            <w:r w:rsidRPr="00395971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8F43A1" w14:paraId="030ED988" w14:textId="77777777" w:rsidTr="00CB5D61">
        <w:trPr>
          <w:trHeight w:val="454"/>
          <w:jc w:val="center"/>
        </w:trPr>
        <w:tc>
          <w:tcPr>
            <w:tcW w:w="27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8AE936" w14:textId="77777777" w:rsidR="001B48FD" w:rsidRPr="008F43A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8F43A1">
              <w:rPr>
                <w:sz w:val="18"/>
                <w:szCs w:val="18"/>
              </w:rPr>
              <w:t>A1. Сквозной контрольный показатель</w:t>
            </w:r>
          </w:p>
        </w:tc>
        <w:tc>
          <w:tcPr>
            <w:tcW w:w="56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218CB7" w14:textId="77777777" w:rsidR="001B48FD" w:rsidRPr="008F43A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8F43A1">
              <w:rPr>
                <w:sz w:val="18"/>
                <w:szCs w:val="18"/>
              </w:rPr>
              <w:t>Уровни содержания ртути в окружающей среде и в организме человека, обусловленные антропогенными выбросами и высвобождениями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2028FD" w14:textId="77777777" w:rsidR="001B48FD" w:rsidRPr="008F43A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8F43A1">
              <w:rPr>
                <w:sz w:val="18"/>
                <w:szCs w:val="18"/>
              </w:rPr>
              <w:t>Моделирование для установления взаимосвязи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D149F4" w14:textId="77777777" w:rsidR="001B48FD" w:rsidRPr="008F43A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8F43A1">
              <w:rPr>
                <w:sz w:val="18"/>
                <w:szCs w:val="18"/>
              </w:rPr>
              <w:t>Значение при проведении первой оценки (если модели доступны)</w:t>
            </w:r>
          </w:p>
        </w:tc>
      </w:tr>
      <w:tr w:rsidR="001B48FD" w:rsidRPr="008F43A1" w14:paraId="7A54D0C2" w14:textId="77777777" w:rsidTr="00CB5D61">
        <w:trPr>
          <w:trHeight w:val="57"/>
          <w:jc w:val="center"/>
        </w:trPr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BBD93F" w14:textId="77777777" w:rsidR="001B48FD" w:rsidRPr="008F43A1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8F43A1">
              <w:rPr>
                <w:b/>
                <w:bCs/>
                <w:sz w:val="18"/>
                <w:szCs w:val="18"/>
              </w:rPr>
              <w:t>Примечания</w:t>
            </w:r>
          </w:p>
        </w:tc>
        <w:tc>
          <w:tcPr>
            <w:tcW w:w="1062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8A317D" w14:textId="77777777" w:rsidR="001B48FD" w:rsidRPr="00395971" w:rsidRDefault="001B48FD" w:rsidP="00CB5D6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95971">
              <w:rPr>
                <w:sz w:val="18"/>
                <w:szCs w:val="18"/>
              </w:rPr>
              <w:t>Оценка взаимосвязи должна проводиться с применением моделей, которые еще предстоит разработать; таким образом, в ходе первого цикла оценки эффективности информация по данному показателю может быть доступна, а может отсутствовать.</w:t>
            </w:r>
          </w:p>
          <w:p w14:paraId="70994CAB" w14:textId="77777777" w:rsidR="001B48FD" w:rsidRPr="00395971" w:rsidRDefault="001B48FD" w:rsidP="00CB5D6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95971">
              <w:rPr>
                <w:sz w:val="18"/>
                <w:szCs w:val="18"/>
              </w:rPr>
              <w:t>Оценки на основе моделирования должны сопровождаться соответствующими примечаниями о возможных погрешностях моделирования.</w:t>
            </w:r>
          </w:p>
          <w:p w14:paraId="441F282B" w14:textId="77777777" w:rsidR="001B48FD" w:rsidRPr="00395971" w:rsidRDefault="001B48FD" w:rsidP="00CB5D61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95971">
              <w:rPr>
                <w:sz w:val="18"/>
                <w:szCs w:val="18"/>
              </w:rPr>
              <w:t>В случае отсутствия информации, получаемой при помощи моделей, для целей установления взаимосвязи могут использоваться показатели уровней содержания ртути и тенденции их изменений (</w:t>
            </w:r>
            <w:proofErr w:type="spellStart"/>
            <w:r w:rsidRPr="00395971">
              <w:rPr>
                <w:sz w:val="18"/>
                <w:szCs w:val="18"/>
              </w:rPr>
              <w:t>временны́х</w:t>
            </w:r>
            <w:proofErr w:type="spellEnd"/>
            <w:r w:rsidRPr="00395971">
              <w:rPr>
                <w:sz w:val="18"/>
                <w:szCs w:val="18"/>
              </w:rPr>
              <w:t xml:space="preserve"> изменений).</w:t>
            </w:r>
          </w:p>
        </w:tc>
      </w:tr>
    </w:tbl>
    <w:p w14:paraId="22D9AC32" w14:textId="77777777" w:rsidR="001B48FD" w:rsidRPr="00B05DC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3942"/>
        <w:gridCol w:w="1784"/>
        <w:gridCol w:w="1784"/>
      </w:tblGrid>
      <w:tr w:rsidR="001B48FD" w:rsidRPr="00AF531F" w14:paraId="2C9037F3" w14:textId="77777777" w:rsidTr="00CB5D61">
        <w:trPr>
          <w:trHeight w:val="454"/>
          <w:tblHeader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3AFCE9C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</w:rPr>
            </w:pPr>
            <w:r w:rsidRPr="00AF531F">
              <w:rPr>
                <w:i/>
                <w:iCs/>
                <w:sz w:val="18"/>
                <w:szCs w:val="18"/>
              </w:rPr>
              <w:t>B. Группа показателей, связанных с предложением</w:t>
            </w:r>
          </w:p>
          <w:p w14:paraId="5A960558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AF531F">
              <w:rPr>
                <w:i/>
                <w:iCs/>
                <w:sz w:val="18"/>
                <w:szCs w:val="18"/>
              </w:rPr>
              <w:t>Статья 3 (источники поставок ртути и торговля ею); статья 10 (экологически безопасное временное хранение ртути, кроме ртутных отходов); статья 11 (ртутные отходы)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57F688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AF531F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1999905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AF531F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AF531F" w14:paraId="7773C64D" w14:textId="77777777" w:rsidTr="00CB5D61">
        <w:trPr>
          <w:trHeight w:val="624"/>
          <w:jc w:val="center"/>
        </w:trPr>
        <w:tc>
          <w:tcPr>
            <w:tcW w:w="2689" w:type="dxa"/>
            <w:tcBorders>
              <w:top w:val="single" w:sz="12" w:space="0" w:color="auto"/>
              <w:right w:val="nil"/>
            </w:tcBorders>
          </w:tcPr>
          <w:p w14:paraId="33BF24BE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B1. Общий показатель процесса для статей 3, 10 и 11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right w:val="nil"/>
            </w:tcBorders>
          </w:tcPr>
          <w:p w14:paraId="46F16118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Доля Сторон, выполнивших основные положения в рамках данной группы показателей (включая все нижеприведенные показатели процесса, т.е. В5, В6, В7, В8, В9 и В13)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right w:val="nil"/>
            </w:tcBorders>
          </w:tcPr>
          <w:p w14:paraId="3526A7EB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</w:tcBorders>
          </w:tcPr>
          <w:p w14:paraId="27049FD0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AF531F" w14:paraId="73236F62" w14:textId="77777777" w:rsidTr="00CB5D61">
        <w:trPr>
          <w:trHeight w:val="284"/>
          <w:jc w:val="center"/>
        </w:trPr>
        <w:tc>
          <w:tcPr>
            <w:tcW w:w="2689" w:type="dxa"/>
            <w:tcBorders>
              <w:bottom w:val="single" w:sz="4" w:space="0" w:color="auto"/>
              <w:right w:val="nil"/>
            </w:tcBorders>
          </w:tcPr>
          <w:p w14:paraId="2F8B6CB6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B2. Дополнительный сквозной показатель результата для статей 3, 10 и 11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</w:tcPr>
          <w:p w14:paraId="12D65BF6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Ориентировочный объем глобального предложения ртути, в тоннах в год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49297AD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Информация, обобщенная на основе отдельных показателей для статей 3, 10 и 11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46D1A13D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AF531F" w14:paraId="4AF06173" w14:textId="77777777" w:rsidTr="00CB5D61">
        <w:trPr>
          <w:trHeight w:val="57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74F4B8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AF531F">
              <w:rPr>
                <w:b/>
                <w:bCs/>
                <w:sz w:val="18"/>
                <w:szCs w:val="18"/>
              </w:rPr>
              <w:t>Статья 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D02E5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4F30B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192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ACBD8C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192"/>
              <w:rPr>
                <w:sz w:val="18"/>
                <w:szCs w:val="18"/>
              </w:rPr>
            </w:pPr>
          </w:p>
        </w:tc>
      </w:tr>
      <w:tr w:rsidR="001B48FD" w:rsidRPr="00AF531F" w14:paraId="25634055" w14:textId="77777777" w:rsidTr="00CB5D61">
        <w:trPr>
          <w:trHeight w:val="57"/>
          <w:jc w:val="center"/>
        </w:trPr>
        <w:tc>
          <w:tcPr>
            <w:tcW w:w="2689" w:type="dxa"/>
            <w:tcBorders>
              <w:top w:val="single" w:sz="4" w:space="0" w:color="auto"/>
              <w:right w:val="nil"/>
            </w:tcBorders>
          </w:tcPr>
          <w:p w14:paraId="02D75E76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B3. Показатель результата для статьи 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</w:tcPr>
          <w:p w14:paraId="1B4F74A4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b/>
                <w:b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Общий объем ртути, полученной из рудников первичной добычи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523A6BA8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Доклад 2017 года о глобальном предложении ртути, торговле ею и спросе на нее</w:t>
            </w:r>
          </w:p>
          <w:p w14:paraId="2640DFBA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21D3B84A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Доклады о национальных планах действий по КМЗ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5251C0EE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AF531F" w14:paraId="5C94E23F" w14:textId="77777777" w:rsidTr="00CB5D61">
        <w:trPr>
          <w:trHeight w:val="283"/>
          <w:jc w:val="center"/>
        </w:trPr>
        <w:tc>
          <w:tcPr>
            <w:tcW w:w="2689" w:type="dxa"/>
            <w:tcBorders>
              <w:right w:val="nil"/>
            </w:tcBorders>
          </w:tcPr>
          <w:p w14:paraId="6BA7B67F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B4. Показатель результата для статьи 3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1C111A21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Объем торговли ртутью с разбивкой по конкретным целям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7241E5B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Формы согласно статье 3</w:t>
            </w:r>
          </w:p>
        </w:tc>
        <w:tc>
          <w:tcPr>
            <w:tcW w:w="2410" w:type="dxa"/>
            <w:tcBorders>
              <w:left w:val="nil"/>
            </w:tcBorders>
          </w:tcPr>
          <w:p w14:paraId="1FAD7602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AF531F" w14:paraId="674BB7D5" w14:textId="77777777" w:rsidTr="00CB5D61">
        <w:trPr>
          <w:trHeight w:val="454"/>
          <w:jc w:val="center"/>
        </w:trPr>
        <w:tc>
          <w:tcPr>
            <w:tcW w:w="2689" w:type="dxa"/>
            <w:tcBorders>
              <w:right w:val="nil"/>
            </w:tcBorders>
          </w:tcPr>
          <w:p w14:paraId="56B87B94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B5. Показатель процесса для статьи 3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7E69BDCB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Число Сторон, предпринявших усилия для определения запасов и источников предложения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9A31D91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left w:val="nil"/>
            </w:tcBorders>
          </w:tcPr>
          <w:p w14:paraId="41B2113A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AF531F" w14:paraId="049D9B7C" w14:textId="77777777" w:rsidTr="00CB5D61">
        <w:trPr>
          <w:trHeight w:val="624"/>
          <w:jc w:val="center"/>
        </w:trPr>
        <w:tc>
          <w:tcPr>
            <w:tcW w:w="2689" w:type="dxa"/>
            <w:tcBorders>
              <w:right w:val="nil"/>
            </w:tcBorders>
          </w:tcPr>
          <w:p w14:paraId="5ED85772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B6. Показатель процесса для статьи 3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C9F8DED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Для Сторон, установивших, что они обладают избытком ртути: были ли ими приняты меры, предусмотренные подпунктом 5 b) статьи 3, и объем ртути, удаленной в соответствии с этими мерами, если такая информация имеется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0148AF4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2F235B8E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Доклады Всемирного совета по хлору</w:t>
            </w:r>
          </w:p>
        </w:tc>
        <w:tc>
          <w:tcPr>
            <w:tcW w:w="2410" w:type="dxa"/>
            <w:tcBorders>
              <w:left w:val="nil"/>
            </w:tcBorders>
          </w:tcPr>
          <w:p w14:paraId="7A7C10CE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AF531F" w14:paraId="3A47DDCC" w14:textId="77777777" w:rsidTr="00CB5D61">
        <w:trPr>
          <w:trHeight w:val="454"/>
          <w:jc w:val="center"/>
        </w:trPr>
        <w:tc>
          <w:tcPr>
            <w:tcW w:w="2689" w:type="dxa"/>
            <w:tcBorders>
              <w:right w:val="nil"/>
            </w:tcBorders>
          </w:tcPr>
          <w:p w14:paraId="2D62A636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B7. Показатель процесса для статьи 3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3C8F2801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Число и доля Сторон, участвующих в торговле ртутью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AFE85A7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715A48F5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Формы согласно статье 3</w:t>
            </w:r>
          </w:p>
        </w:tc>
        <w:tc>
          <w:tcPr>
            <w:tcW w:w="2410" w:type="dxa"/>
            <w:tcBorders>
              <w:left w:val="nil"/>
            </w:tcBorders>
          </w:tcPr>
          <w:p w14:paraId="2FADD16C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 доля </w:t>
            </w:r>
            <w:r w:rsidRPr="00AF531F">
              <w:rPr>
                <w:sz w:val="18"/>
                <w:szCs w:val="18"/>
              </w:rPr>
              <w:t>на момент проведения первой оценки</w:t>
            </w:r>
          </w:p>
        </w:tc>
      </w:tr>
      <w:tr w:rsidR="001B48FD" w:rsidRPr="00AF531F" w14:paraId="0B7474CD" w14:textId="77777777" w:rsidTr="00CB5D61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  <w:right w:val="nil"/>
            </w:tcBorders>
          </w:tcPr>
          <w:p w14:paraId="7214B27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B8. Показатель процесса для статьи 3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</w:tcPr>
          <w:p w14:paraId="1F0FC438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Объем ртути в торговом обороте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3AE7605A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 xml:space="preserve">- Отчетность в соответствии со статьей 21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59682586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AF531F" w14:paraId="7116488F" w14:textId="77777777" w:rsidTr="00CB5D61">
        <w:trPr>
          <w:trHeight w:val="57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B19E43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AF531F">
              <w:rPr>
                <w:b/>
                <w:bCs/>
                <w:sz w:val="18"/>
                <w:szCs w:val="18"/>
              </w:rPr>
              <w:lastRenderedPageBreak/>
              <w:t>Статья 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1363F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AFAC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192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53BA13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1B48FD" w:rsidRPr="00AF531F" w14:paraId="3E8B2F3A" w14:textId="77777777" w:rsidTr="00CB5D61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right w:val="nil"/>
            </w:tcBorders>
          </w:tcPr>
          <w:p w14:paraId="7EEA981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B9. Показатель процесса для статьи 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</w:tcPr>
          <w:p w14:paraId="08D9E48E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Число и доля Сторон, принявших меры для обеспечения безопасного временного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2A21DD9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703F1164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03A55">
              <w:rPr>
                <w:sz w:val="18"/>
                <w:szCs w:val="18"/>
              </w:rPr>
              <w:t xml:space="preserve">Число и доля </w:t>
            </w:r>
            <w:r w:rsidRPr="00AF531F">
              <w:rPr>
                <w:sz w:val="18"/>
                <w:szCs w:val="18"/>
              </w:rPr>
              <w:t>на момент проведения первой оценки</w:t>
            </w:r>
          </w:p>
        </w:tc>
      </w:tr>
      <w:tr w:rsidR="001B48FD" w:rsidRPr="00AF531F" w14:paraId="1AAACFF4" w14:textId="77777777" w:rsidTr="00CB5D61">
        <w:trPr>
          <w:trHeight w:val="454"/>
          <w:jc w:val="center"/>
        </w:trPr>
        <w:tc>
          <w:tcPr>
            <w:tcW w:w="2689" w:type="dxa"/>
            <w:tcBorders>
              <w:bottom w:val="single" w:sz="4" w:space="0" w:color="auto"/>
              <w:right w:val="nil"/>
            </w:tcBorders>
          </w:tcPr>
          <w:p w14:paraId="7C9F8E52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57"/>
              <w:rPr>
                <w:spacing w:val="-2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B10. Показатель результата для статьи 10</w:t>
            </w: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</w:tcPr>
          <w:p w14:paraId="1023E038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Объем ртути, хранящейся экологически безопасно (как установлено в кадастре запасов)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4B5D84B5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14:paraId="5DB8EEB7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AF531F" w14:paraId="5A1CFE68" w14:textId="77777777" w:rsidTr="00CB5D61">
        <w:trPr>
          <w:trHeight w:val="57"/>
          <w:jc w:val="center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88594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AF531F">
              <w:rPr>
                <w:b/>
                <w:bCs/>
                <w:sz w:val="18"/>
                <w:szCs w:val="18"/>
              </w:rPr>
              <w:t>Статья 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9529C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30E54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192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3597652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1B48FD" w:rsidRPr="00AF531F" w14:paraId="6AA97614" w14:textId="77777777" w:rsidTr="00CB5D61">
        <w:trPr>
          <w:trHeight w:val="454"/>
          <w:jc w:val="center"/>
        </w:trPr>
        <w:tc>
          <w:tcPr>
            <w:tcW w:w="2689" w:type="dxa"/>
            <w:tcBorders>
              <w:top w:val="single" w:sz="4" w:space="0" w:color="auto"/>
              <w:right w:val="nil"/>
            </w:tcBorders>
          </w:tcPr>
          <w:p w14:paraId="2558B4B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57"/>
              <w:rPr>
                <w:spacing w:val="-2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B11. Показатель результата для статьи 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nil"/>
            </w:tcBorders>
          </w:tcPr>
          <w:p w14:paraId="5719E7FC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Объем содержащих ртуть или ртутные соединения отходов, подлежащих окончательному удалению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17E59307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14:paraId="5D463D45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AF531F" w14:paraId="577F4DE7" w14:textId="77777777" w:rsidTr="00CB5D61">
        <w:trPr>
          <w:trHeight w:val="454"/>
          <w:jc w:val="center"/>
        </w:trPr>
        <w:tc>
          <w:tcPr>
            <w:tcW w:w="2689" w:type="dxa"/>
            <w:tcBorders>
              <w:right w:val="nil"/>
            </w:tcBorders>
          </w:tcPr>
          <w:p w14:paraId="0223BA55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57"/>
              <w:rPr>
                <w:spacing w:val="-2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B12. Показатель результата для статьи 11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FAFF2EC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Число Сторон, имеющих объекты для окончательного удаления отходов, содержащих ртуть или ртутные соединения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C070961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left w:val="nil"/>
            </w:tcBorders>
          </w:tcPr>
          <w:p w14:paraId="04FF76DA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  <w:r w:rsidRPr="00AF531F">
              <w:rPr>
                <w:sz w:val="18"/>
                <w:szCs w:val="18"/>
              </w:rPr>
              <w:t xml:space="preserve"> на момент проведения первой оценки</w:t>
            </w:r>
          </w:p>
        </w:tc>
      </w:tr>
      <w:tr w:rsidR="001B48FD" w:rsidRPr="00AF531F" w14:paraId="437D8CCC" w14:textId="77777777" w:rsidTr="00CB5D61">
        <w:trPr>
          <w:trHeight w:val="454"/>
          <w:jc w:val="center"/>
        </w:trPr>
        <w:tc>
          <w:tcPr>
            <w:tcW w:w="2689" w:type="dxa"/>
            <w:tcBorders>
              <w:right w:val="nil"/>
            </w:tcBorders>
          </w:tcPr>
          <w:p w14:paraId="49DC866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57"/>
              <w:rPr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B13. Показатель процесса для статьи 11</w:t>
            </w:r>
          </w:p>
        </w:tc>
        <w:tc>
          <w:tcPr>
            <w:tcW w:w="5386" w:type="dxa"/>
            <w:tcBorders>
              <w:left w:val="nil"/>
              <w:right w:val="nil"/>
            </w:tcBorders>
          </w:tcPr>
          <w:p w14:paraId="2C1D4EC6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Число Сторон, применяющих меры по регулированию экологически безопасного обращения с ртутными отходами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B63D998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F531F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410" w:type="dxa"/>
            <w:tcBorders>
              <w:left w:val="nil"/>
            </w:tcBorders>
          </w:tcPr>
          <w:p w14:paraId="409F89FD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A46619">
              <w:rPr>
                <w:sz w:val="18"/>
                <w:szCs w:val="18"/>
              </w:rPr>
              <w:t>Число</w:t>
            </w:r>
            <w:r w:rsidRPr="00A46619" w:rsidDel="00A46619">
              <w:rPr>
                <w:sz w:val="18"/>
                <w:szCs w:val="18"/>
              </w:rPr>
              <w:t xml:space="preserve"> </w:t>
            </w:r>
            <w:r w:rsidRPr="00AF531F">
              <w:rPr>
                <w:sz w:val="18"/>
                <w:szCs w:val="18"/>
              </w:rPr>
              <w:t>на момент проведения первой оценки</w:t>
            </w:r>
          </w:p>
        </w:tc>
      </w:tr>
      <w:tr w:rsidR="001B48FD" w:rsidRPr="00AF531F" w14:paraId="22CFD24D" w14:textId="77777777" w:rsidTr="00CB5D61">
        <w:trPr>
          <w:trHeight w:val="227"/>
          <w:jc w:val="center"/>
        </w:trPr>
        <w:tc>
          <w:tcPr>
            <w:tcW w:w="2689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28F3870" w14:textId="77777777" w:rsidR="001B48FD" w:rsidRPr="00AF531F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AF531F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206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B7501B9" w14:textId="77777777" w:rsidR="001B48FD" w:rsidRPr="00AF531F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AF531F">
              <w:rPr>
                <w:rFonts w:ascii="Wingdings" w:hAnsi="Wingdings"/>
                <w:sz w:val="18"/>
                <w:szCs w:val="18"/>
              </w:rPr>
              <w:t></w:t>
            </w:r>
            <w:r w:rsidRPr="00AF531F">
              <w:rPr>
                <w:rFonts w:ascii="Wingdings" w:hAnsi="Wingdings"/>
                <w:sz w:val="18"/>
                <w:szCs w:val="18"/>
              </w:rPr>
              <w:tab/>
            </w:r>
            <w:r w:rsidRPr="00AF531F">
              <w:rPr>
                <w:sz w:val="18"/>
                <w:szCs w:val="18"/>
              </w:rPr>
              <w:t>В некоторых случаях важную роль могут также играть данные, получаемые от государств, не являющихся Сторонами.</w:t>
            </w:r>
          </w:p>
        </w:tc>
      </w:tr>
    </w:tbl>
    <w:p w14:paraId="19C3A160" w14:textId="77777777" w:rsidR="001B48FD" w:rsidRPr="00B05DC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0"/>
        <w:gridCol w:w="3823"/>
        <w:gridCol w:w="1847"/>
        <w:gridCol w:w="1746"/>
      </w:tblGrid>
      <w:tr w:rsidR="001B48FD" w:rsidRPr="003218CA" w14:paraId="6DF1084F" w14:textId="77777777" w:rsidTr="00CB5D61">
        <w:trPr>
          <w:trHeight w:val="454"/>
          <w:jc w:val="center"/>
        </w:trPr>
        <w:tc>
          <w:tcPr>
            <w:tcW w:w="807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12ABB5" w14:textId="77777777" w:rsidR="001B48FD" w:rsidRPr="003218CA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3218CA">
              <w:rPr>
                <w:rFonts w:eastAsia="Roboto"/>
                <w:i/>
                <w:iCs/>
                <w:sz w:val="18"/>
                <w:szCs w:val="18"/>
                <w:u w:color="4F81BD"/>
              </w:rPr>
              <w:t>C. Группа показателей, касающихся спроса</w:t>
            </w:r>
          </w:p>
          <w:p w14:paraId="4451EB56" w14:textId="77777777" w:rsidR="001B48FD" w:rsidRPr="003218CA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3218CA">
              <w:rPr>
                <w:rFonts w:eastAsia="Roboto"/>
                <w:i/>
                <w:iCs/>
                <w:sz w:val="18"/>
                <w:szCs w:val="18"/>
                <w:u w:color="4F81BD"/>
              </w:rPr>
              <w:t xml:space="preserve">Статья 4 (продукты с добавлением ртути); статья 5 (производственные процессы, в которых применяются ртуть или ртутные соединения); статья 7 (кустарная и мелкомасштабная золотодобыча) </w:t>
            </w:r>
          </w:p>
        </w:tc>
        <w:tc>
          <w:tcPr>
            <w:tcW w:w="250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BE1F02" w14:textId="77777777" w:rsidR="001B48FD" w:rsidRPr="003218CA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3218CA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36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B849B9" w14:textId="77777777" w:rsidR="001B48FD" w:rsidRPr="003218CA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3218CA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D57594" w14:paraId="337D25C3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D8B130" w14:textId="77777777" w:rsidR="001B48FD" w:rsidRPr="007D37B4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sz w:val="18"/>
                <w:szCs w:val="18"/>
              </w:rPr>
            </w:pPr>
            <w:r w:rsidRPr="006C0CC0">
              <w:rPr>
                <w:sz w:val="18"/>
                <w:szCs w:val="18"/>
              </w:rPr>
              <w:t>C</w:t>
            </w:r>
            <w:r w:rsidRPr="007D37B4">
              <w:rPr>
                <w:sz w:val="18"/>
                <w:szCs w:val="18"/>
              </w:rPr>
              <w:t>1. Сквозной показатель процесса для статей 4, 5 и 7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126D41" w14:textId="77777777" w:rsidR="001B48FD" w:rsidRPr="007D37B4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t>С</w:t>
            </w:r>
            <w:r w:rsidRPr="00226429">
              <w:rPr>
                <w:sz w:val="18"/>
                <w:szCs w:val="18"/>
              </w:rPr>
              <w:t>торон</w:t>
            </w:r>
            <w:r w:rsidRPr="007D37B4">
              <w:rPr>
                <w:sz w:val="18"/>
                <w:szCs w:val="18"/>
              </w:rPr>
              <w:t>, выполнивших ключевые положения в рамках данной группы показателей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F64942" w14:textId="77777777" w:rsidR="001B48FD" w:rsidRPr="007D37B4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- Информация, обобщенная на основе отдельных показателей для статей 4, 5 и 7</w:t>
            </w:r>
          </w:p>
        </w:tc>
        <w:tc>
          <w:tcPr>
            <w:tcW w:w="23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651902" w14:textId="77777777" w:rsidR="001B48FD" w:rsidRPr="007D37B4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C340BB" w14:paraId="015A8879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E80FB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sz w:val="18"/>
                <w:szCs w:val="18"/>
              </w:rPr>
            </w:pPr>
            <w:r w:rsidRPr="00C340BB">
              <w:rPr>
                <w:sz w:val="18"/>
                <w:szCs w:val="18"/>
              </w:rPr>
              <w:t>C2. Сквозной показатель результата для статей 4, 5 и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7008A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C340BB">
              <w:rPr>
                <w:sz w:val="18"/>
                <w:szCs w:val="18"/>
              </w:rPr>
              <w:t>Общемировой объем ртути, применяемой в производстве продукции или в процессах, в тоннах на одну заявку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C826D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C340BB">
              <w:rPr>
                <w:sz w:val="18"/>
                <w:szCs w:val="18"/>
              </w:rPr>
              <w:t>- Информация из промышленных источников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476B3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C340BB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C340BB" w14:paraId="6F7C3DCD" w14:textId="77777777" w:rsidTr="00CB5D61">
        <w:trPr>
          <w:trHeight w:val="5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09323C76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C340BB">
              <w:rPr>
                <w:b/>
                <w:bCs/>
                <w:sz w:val="18"/>
                <w:szCs w:val="18"/>
              </w:rPr>
              <w:t>Статья 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7463EAD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14:paraId="0CDF66F4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717D503E" w14:textId="77777777" w:rsidR="001B48FD" w:rsidRPr="00C340BB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1B48FD" w:rsidRPr="00D57594" w14:paraId="2A44D0E3" w14:textId="77777777" w:rsidTr="00CB5D61">
        <w:trPr>
          <w:trHeight w:val="624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0C5BD53E" w14:textId="77777777" w:rsidR="001B48FD" w:rsidRPr="007D37B4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6C0CC0">
              <w:rPr>
                <w:sz w:val="18"/>
                <w:szCs w:val="18"/>
              </w:rPr>
              <w:t>C</w:t>
            </w:r>
            <w:r w:rsidRPr="007D37B4">
              <w:rPr>
                <w:sz w:val="18"/>
                <w:szCs w:val="18"/>
              </w:rPr>
              <w:t>3. Показатель процесса для статьи 4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3A105110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 xml:space="preserve">Число Сторон, принявших надлежащие меры для предотвращения производства, экспорта или импорта продуктов с добавлением ртути, перечисленных в части </w:t>
            </w:r>
            <w:r w:rsidRPr="006C0CC0">
              <w:rPr>
                <w:sz w:val="18"/>
                <w:szCs w:val="18"/>
              </w:rPr>
              <w:t>I</w:t>
            </w:r>
            <w:r w:rsidRPr="007D37B4">
              <w:rPr>
                <w:sz w:val="18"/>
                <w:szCs w:val="18"/>
              </w:rPr>
              <w:t xml:space="preserve"> приложения А</w:t>
            </w:r>
          </w:p>
        </w:tc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1F02ACBB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  <w:lang w:eastAsia="ja-JP"/>
              </w:rPr>
            </w:pPr>
            <w:r w:rsidRPr="007D37B4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14:paraId="44A93436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D57594" w14:paraId="15FF8D08" w14:textId="77777777" w:rsidTr="00CB5D61">
        <w:trPr>
          <w:trHeight w:val="283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D0E6311" w14:textId="77777777" w:rsidR="001B48FD" w:rsidRPr="007D37B4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6C0CC0">
              <w:rPr>
                <w:sz w:val="18"/>
                <w:szCs w:val="18"/>
              </w:rPr>
              <w:t>C</w:t>
            </w:r>
            <w:r w:rsidRPr="007D37B4">
              <w:rPr>
                <w:sz w:val="18"/>
                <w:szCs w:val="18"/>
              </w:rPr>
              <w:t>4. Показатель процесса для статьи 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BFB4B69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Количество все еще действующих исключений из правил по каждой товарной категории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1288B285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- Реестр исключений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13554B6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D57594" w14:paraId="12B8B174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7D22741" w14:textId="77777777" w:rsidR="001B48FD" w:rsidRPr="007D37B4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6C0CC0">
              <w:rPr>
                <w:sz w:val="18"/>
                <w:szCs w:val="18"/>
              </w:rPr>
              <w:t>C</w:t>
            </w:r>
            <w:r w:rsidRPr="007D37B4">
              <w:rPr>
                <w:sz w:val="18"/>
                <w:szCs w:val="18"/>
              </w:rPr>
              <w:t>5. Показатель процесса для статьи 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43896B2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 xml:space="preserve">Число Сторон, принявших две или более мер в отношении продуктов с добавлением ртути, перечисленных в части </w:t>
            </w:r>
            <w:r w:rsidRPr="006C0CC0">
              <w:rPr>
                <w:sz w:val="18"/>
                <w:szCs w:val="18"/>
              </w:rPr>
              <w:t>II</w:t>
            </w:r>
            <w:r w:rsidRPr="007D37B4">
              <w:rPr>
                <w:sz w:val="18"/>
                <w:szCs w:val="18"/>
              </w:rPr>
              <w:t xml:space="preserve"> приложения А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29F9F957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5DF4DCD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D57594" w14:paraId="2C36B573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C6BE8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6C0CC0">
              <w:rPr>
                <w:sz w:val="18"/>
                <w:szCs w:val="18"/>
              </w:rPr>
              <w:t>C</w:t>
            </w:r>
            <w:r w:rsidRPr="007D37B4">
              <w:rPr>
                <w:sz w:val="18"/>
                <w:szCs w:val="18"/>
              </w:rPr>
              <w:t>6. Дополнительный показатель результата для статьи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890A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 xml:space="preserve">Объем (в тоннах) продукции с добавлением ртути, а) импортированной и </w:t>
            </w:r>
            <w:r w:rsidRPr="006C0CC0">
              <w:rPr>
                <w:sz w:val="18"/>
                <w:szCs w:val="18"/>
              </w:rPr>
              <w:t>b</w:t>
            </w:r>
            <w:r w:rsidRPr="007D37B4">
              <w:rPr>
                <w:sz w:val="18"/>
                <w:szCs w:val="18"/>
              </w:rPr>
              <w:t xml:space="preserve">) </w:t>
            </w:r>
            <w:proofErr w:type="spellStart"/>
            <w:r w:rsidRPr="007D37B4">
              <w:rPr>
                <w:sz w:val="18"/>
                <w:szCs w:val="18"/>
              </w:rPr>
              <w:t>экспортиро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D37B4">
              <w:rPr>
                <w:sz w:val="18"/>
                <w:szCs w:val="18"/>
              </w:rPr>
              <w:t xml:space="preserve">ванной (в единицах в год) по каждой товарной категории согласно части </w:t>
            </w:r>
            <w:r w:rsidRPr="006C0CC0">
              <w:rPr>
                <w:sz w:val="18"/>
                <w:szCs w:val="18"/>
              </w:rPr>
              <w:t>I</w:t>
            </w:r>
            <w:r w:rsidRPr="007D37B4">
              <w:rPr>
                <w:sz w:val="18"/>
                <w:szCs w:val="18"/>
              </w:rPr>
              <w:t xml:space="preserve"> приложения 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EB60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- Данные о торговле и таможенные сведения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771D4" w14:textId="77777777" w:rsidR="001B48FD" w:rsidRPr="007D37B4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7D37B4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2102F7" w14:paraId="020B9D10" w14:textId="77777777" w:rsidTr="00CB5D61">
        <w:trPr>
          <w:trHeight w:val="57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BC8AE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2102F7">
              <w:rPr>
                <w:b/>
                <w:bCs/>
                <w:sz w:val="18"/>
                <w:szCs w:val="18"/>
              </w:rPr>
              <w:t>Статья 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AE9521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BC544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B96F8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</w:tr>
      <w:tr w:rsidR="001B48FD" w:rsidRPr="002102F7" w14:paraId="5A92F2F1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510C2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C7. Показатель процесса для статьи 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0A0D1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Число Сторон, которым предоставлены действующие по настоящее время исключения в отношении процессов, перечисленных в части I приложения В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66790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- Реестр исключений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FE00B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2102F7" w14:paraId="3848AA01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7EE596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C8. Показатель процесса для статьи 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93A83C1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 xml:space="preserve">Число Сторон, принимающих меры по недопущению использования ртути или ртутных соединений в производственных </w:t>
            </w:r>
            <w:r w:rsidRPr="002102F7">
              <w:rPr>
                <w:sz w:val="18"/>
                <w:szCs w:val="18"/>
              </w:rPr>
              <w:lastRenderedPageBreak/>
              <w:t>процессах, перечисленных в части I приложения В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04DD8245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lastRenderedPageBreak/>
              <w:t>- Отчетность в соответствии со статьей 21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0DB4DE9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2102F7" w14:paraId="22467D21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EB158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C9. Показатель процесса для статьи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653AA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Доля Сторон, в отношении которых действуют процедуры, предусмотренные пунктом 3 статьи 5, и которые приняли все меры в отношении соответствующих процессов, перечисленных в части II приложения B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45A4D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928FF" w14:textId="77777777" w:rsidR="001B48FD" w:rsidRPr="002102F7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2102F7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F337ED" w14:paraId="53CF5119" w14:textId="77777777" w:rsidTr="00CB5D61">
        <w:trPr>
          <w:trHeight w:val="57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B213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55C9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D2BF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CCE9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</w:tr>
      <w:tr w:rsidR="001B48FD" w:rsidRPr="00F337ED" w14:paraId="1B4D38DF" w14:textId="77777777" w:rsidTr="00CB5D61">
        <w:trPr>
          <w:trHeight w:val="850"/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713C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C10. Показатель результата для статьи 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C87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Общий объем ртути, используемой в КМЗ в общемировом масштабе, в тоннах в год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DF4F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477AAEB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Национальные планы действий по КМЗ и их обзоры</w:t>
            </w:r>
          </w:p>
          <w:p w14:paraId="488DBBA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Уведомления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41A2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F337ED" w14:paraId="7DE29D15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C8B748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C11. Показатель процесса для статьи 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D02BCD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представивших национальные планы действий Сторон от числа Сторон, сообщивших, что КМЗ на их территории выходит за рамки незначительной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3D13040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Уведомления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D8E79C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2650666D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B12E0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C12. Показатель процесса для статьи 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D3ED47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Сторон, представивших национальные планы действий и проведших их обзоры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14:paraId="0E6A0665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Обзоры по статье 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483FB6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192694B5" w14:textId="77777777" w:rsidTr="00CB5D61">
        <w:trPr>
          <w:trHeight w:val="227"/>
          <w:jc w:val="center"/>
        </w:trPr>
        <w:tc>
          <w:tcPr>
            <w:tcW w:w="2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5762C6D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9340B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F337ED">
              <w:rPr>
                <w:rFonts w:ascii="Wingdings" w:hAnsi="Wingdings"/>
                <w:sz w:val="18"/>
                <w:szCs w:val="18"/>
              </w:rPr>
              <w:t></w:t>
            </w:r>
            <w:r w:rsidRPr="00F337ED">
              <w:rPr>
                <w:rFonts w:ascii="Wingdings" w:hAnsi="Wingdings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Некоторые данные о продуктах могут быть труднодоступны.</w:t>
            </w:r>
          </w:p>
        </w:tc>
      </w:tr>
    </w:tbl>
    <w:p w14:paraId="7823B0A1" w14:textId="77777777" w:rsidR="001B48FD" w:rsidRPr="00F337ED" w:rsidRDefault="001B48FD" w:rsidP="001B48FD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9"/>
        <w:gridCol w:w="3823"/>
        <w:gridCol w:w="1845"/>
        <w:gridCol w:w="1749"/>
      </w:tblGrid>
      <w:tr w:rsidR="001B48FD" w:rsidRPr="008C1FFC" w14:paraId="612F341C" w14:textId="77777777" w:rsidTr="00CB5D61">
        <w:trPr>
          <w:trHeight w:val="454"/>
          <w:jc w:val="center"/>
        </w:trPr>
        <w:tc>
          <w:tcPr>
            <w:tcW w:w="807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3BF844" w14:textId="77777777" w:rsidR="001B48FD" w:rsidRPr="008C1FFC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8C1FFC">
              <w:rPr>
                <w:rFonts w:eastAsia="Roboto"/>
                <w:i/>
                <w:iCs/>
                <w:sz w:val="18"/>
                <w:szCs w:val="18"/>
                <w:u w:color="4F81BD"/>
              </w:rPr>
              <w:t>D. Группа показателей, связанных с последствиями</w:t>
            </w:r>
          </w:p>
          <w:p w14:paraId="73B01234" w14:textId="77777777" w:rsidR="001B48FD" w:rsidRPr="008C1FFC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8C1FFC">
              <w:rPr>
                <w:rFonts w:eastAsia="Roboto"/>
                <w:i/>
                <w:iCs/>
                <w:sz w:val="18"/>
                <w:szCs w:val="18"/>
                <w:u w:color="4F81BD"/>
              </w:rPr>
              <w:t xml:space="preserve">Статья 8 (выбросы); статья 9 (высвобождения); статья 12 (загрязненные участки) </w:t>
            </w:r>
          </w:p>
        </w:tc>
        <w:tc>
          <w:tcPr>
            <w:tcW w:w="25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B75C5C" w14:textId="77777777" w:rsidR="001B48FD" w:rsidRPr="008C1FFC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8C1FFC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3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95F1ED9" w14:textId="77777777" w:rsidR="001B48FD" w:rsidRPr="008C1FFC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8C1FFC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652FF5DC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EF08BC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D1. Общий показатель процесса для статей 8, 9 и 12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2F0A15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Сторон, выполнивших ключевые положения в рамках данной группы показателей</w:t>
            </w:r>
          </w:p>
        </w:tc>
        <w:tc>
          <w:tcPr>
            <w:tcW w:w="25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A2B625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32A6A5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77E099C6" w14:textId="77777777" w:rsidTr="00CB5D61">
        <w:trPr>
          <w:trHeight w:val="1077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7E4AA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D2. Сквозной показатель результата для статей 8, 9 и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559A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Общий объем выбросов и высвобождений ртути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CDAED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- Доклад </w:t>
            </w:r>
            <w:r w:rsidRPr="00304BEE">
              <w:rPr>
                <w:sz w:val="18"/>
                <w:szCs w:val="18"/>
                <w:lang w:val="en-US"/>
              </w:rPr>
              <w:t>Global</w:t>
            </w:r>
            <w:r w:rsidRPr="00B864EB">
              <w:rPr>
                <w:sz w:val="18"/>
                <w:szCs w:val="18"/>
              </w:rPr>
              <w:t xml:space="preserve"> </w:t>
            </w:r>
            <w:r w:rsidRPr="00304BEE">
              <w:rPr>
                <w:sz w:val="18"/>
                <w:szCs w:val="18"/>
                <w:lang w:val="en-US"/>
              </w:rPr>
              <w:t>Mercury</w:t>
            </w:r>
            <w:r w:rsidRPr="00B864EB">
              <w:rPr>
                <w:sz w:val="18"/>
                <w:szCs w:val="18"/>
              </w:rPr>
              <w:t xml:space="preserve"> </w:t>
            </w:r>
            <w:r w:rsidRPr="00304BEE">
              <w:rPr>
                <w:sz w:val="18"/>
                <w:szCs w:val="18"/>
                <w:lang w:val="en-US"/>
              </w:rPr>
              <w:t>Assessment</w:t>
            </w:r>
            <w:r w:rsidRPr="00F337ED">
              <w:rPr>
                <w:sz w:val="18"/>
                <w:szCs w:val="18"/>
              </w:rPr>
              <w:t xml:space="preserve"> 2018 («Глобальная оценка ртути, 2018 год»)</w:t>
            </w:r>
          </w:p>
          <w:p w14:paraId="4DA771D1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Кадастры</w:t>
            </w:r>
          </w:p>
          <w:p w14:paraId="2BC62FDA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- Первоначальные оценки в рамках </w:t>
            </w:r>
            <w:proofErr w:type="spellStart"/>
            <w:r w:rsidRPr="00F337ED">
              <w:rPr>
                <w:sz w:val="18"/>
                <w:szCs w:val="18"/>
              </w:rPr>
              <w:t>Минаматской</w:t>
            </w:r>
            <w:proofErr w:type="spellEnd"/>
            <w:r w:rsidRPr="00F337ED">
              <w:rPr>
                <w:sz w:val="18"/>
                <w:szCs w:val="18"/>
              </w:rPr>
              <w:t xml:space="preserve"> конвенции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7843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на момент проведения первой оценки</w:t>
            </w:r>
          </w:p>
        </w:tc>
      </w:tr>
      <w:tr w:rsidR="001B48FD" w:rsidRPr="00F337ED" w14:paraId="63C1259E" w14:textId="77777777" w:rsidTr="00CB5D61">
        <w:trPr>
          <w:trHeight w:val="227"/>
          <w:jc w:val="center"/>
        </w:trPr>
        <w:tc>
          <w:tcPr>
            <w:tcW w:w="129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82F72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 xml:space="preserve">Статья 8 </w:t>
            </w:r>
            <w:r w:rsidRPr="00F337ED">
              <w:rPr>
                <w:sz w:val="18"/>
                <w:szCs w:val="18"/>
              </w:rPr>
              <w:t>(Показатели для статьи 8 следует рассматривать вместе с соответствующими контрольными показателями, приведенными в таблице 4)</w:t>
            </w:r>
          </w:p>
        </w:tc>
      </w:tr>
      <w:tr w:rsidR="001B48FD" w:rsidRPr="00F337ED" w14:paraId="5837E63D" w14:textId="77777777" w:rsidTr="00CB5D61">
        <w:trPr>
          <w:trHeight w:val="454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03CD0C52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D3. Показатель результата для статьи 8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C5E6B2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Общий объем выбросов ртути по каждой категории точечных источников, перечисленных в приложении D </w:t>
            </w: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14:paraId="7D42587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7548B33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Кадастры</w:t>
            </w:r>
          </w:p>
        </w:tc>
        <w:tc>
          <w:tcPr>
            <w:tcW w:w="2371" w:type="dxa"/>
            <w:tcBorders>
              <w:left w:val="nil"/>
              <w:bottom w:val="nil"/>
              <w:right w:val="nil"/>
            </w:tcBorders>
          </w:tcPr>
          <w:p w14:paraId="010FDA5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0B76CF83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388998F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D4. Показатель процесса для статьи 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A7801B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которым требуются НИМ/НПД или достижение предельных значений выбросов, согласующихся с применением НИМ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8E7234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6641F59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18DD5989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8039686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D5. Показатель процесса для статьи 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CB28CE3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ввели меры контроля в отношении существующих источников (указывается по каждой из мер, предусмотренных в пункте 5 статьи 8)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8D3C41F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0F17A338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3DFB850A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0AD77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D6. Показатель процесса для статьи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BA01F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создали кадастры выбросов и ведут их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AA2B2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073E9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282C0AA3" w14:textId="77777777" w:rsidTr="00CB5D61">
        <w:trPr>
          <w:trHeight w:val="227"/>
          <w:jc w:val="center"/>
        </w:trPr>
        <w:tc>
          <w:tcPr>
            <w:tcW w:w="129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BB0D6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9</w:t>
            </w:r>
            <w:r w:rsidRPr="00F337ED">
              <w:rPr>
                <w:sz w:val="18"/>
                <w:szCs w:val="18"/>
              </w:rPr>
              <w:t xml:space="preserve"> (Показатели для статьи 9 следует рассматривать вместе с соответствующими контрольными показателями, приведенными в таблице 4)</w:t>
            </w:r>
          </w:p>
        </w:tc>
      </w:tr>
      <w:tr w:rsidR="001B48FD" w:rsidRPr="00F337ED" w14:paraId="45ADA600" w14:textId="77777777" w:rsidTr="00CB5D61">
        <w:trPr>
          <w:trHeight w:val="454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3CA0E3A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D7. Показатель результата для статьи 9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034A991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Общий объем учтенн</w:t>
            </w:r>
            <w:r>
              <w:rPr>
                <w:sz w:val="18"/>
                <w:szCs w:val="18"/>
              </w:rPr>
              <w:t>ых</w:t>
            </w:r>
            <w:r w:rsidRPr="00F337ED">
              <w:rPr>
                <w:sz w:val="18"/>
                <w:szCs w:val="18"/>
              </w:rPr>
              <w:t xml:space="preserve"> в кадастре высвобождений ртути из соответствующих источников</w:t>
            </w: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14:paraId="5FDF16BD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0C782A4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lastRenderedPageBreak/>
              <w:t>Кадастры</w:t>
            </w:r>
          </w:p>
        </w:tc>
        <w:tc>
          <w:tcPr>
            <w:tcW w:w="2371" w:type="dxa"/>
            <w:tcBorders>
              <w:left w:val="nil"/>
              <w:bottom w:val="nil"/>
              <w:right w:val="nil"/>
            </w:tcBorders>
          </w:tcPr>
          <w:p w14:paraId="78FAB98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A46619">
              <w:rPr>
                <w:sz w:val="18"/>
                <w:szCs w:val="18"/>
              </w:rPr>
              <w:lastRenderedPageBreak/>
              <w:t>Число</w:t>
            </w:r>
            <w:r w:rsidRPr="00A46619" w:rsidDel="00A46619">
              <w:rPr>
                <w:sz w:val="18"/>
                <w:szCs w:val="18"/>
              </w:rPr>
              <w:t xml:space="preserve"> </w:t>
            </w:r>
            <w:r w:rsidRPr="00F337ED">
              <w:rPr>
                <w:sz w:val="18"/>
                <w:szCs w:val="18"/>
              </w:rPr>
              <w:t>при проведении первой оценки</w:t>
            </w:r>
          </w:p>
        </w:tc>
      </w:tr>
      <w:tr w:rsidR="001B48FD" w:rsidRPr="00F337ED" w14:paraId="743D69EC" w14:textId="77777777" w:rsidTr="00CB5D61">
        <w:trPr>
          <w:trHeight w:val="25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1C61C0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D8. Показатель процесса для статьи 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82D093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выявивших соответствующие загрязненные участки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2C734F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F477AC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708FCF00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56FE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D9. Показатель процесса для статьи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2E3C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создали кадастры высвобождений из соответствующих источников и ведут их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5B0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6008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3F9E163C" w14:textId="77777777" w:rsidTr="00CB5D61">
        <w:trPr>
          <w:trHeight w:val="227"/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5328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12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044E0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25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F2B6E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1DD94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color w:val="4F81BD" w:themeColor="accent1"/>
                <w:sz w:val="18"/>
                <w:szCs w:val="18"/>
              </w:rPr>
            </w:pPr>
          </w:p>
        </w:tc>
      </w:tr>
      <w:tr w:rsidR="001B48FD" w:rsidRPr="00F337ED" w14:paraId="53E6BF7B" w14:textId="77777777" w:rsidTr="00CB5D61">
        <w:trPr>
          <w:trHeight w:val="454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2EC7E0B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D10. Показатель процесса для статьи 12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4505183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разработавших надлежащие стратегии по выявлению и оценке участков, загрязненных ртутью или ртутными соединениями</w:t>
            </w:r>
          </w:p>
        </w:tc>
        <w:tc>
          <w:tcPr>
            <w:tcW w:w="2504" w:type="dxa"/>
            <w:tcBorders>
              <w:left w:val="nil"/>
              <w:bottom w:val="nil"/>
              <w:right w:val="nil"/>
            </w:tcBorders>
          </w:tcPr>
          <w:p w14:paraId="6F7EA4E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left w:val="nil"/>
              <w:bottom w:val="nil"/>
              <w:right w:val="nil"/>
            </w:tcBorders>
          </w:tcPr>
          <w:p w14:paraId="6888671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72C93D99" w14:textId="77777777" w:rsidTr="00CB5D61">
        <w:trPr>
          <w:trHeight w:val="255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64CB66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D11. Показатель процесса для статьи 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7FDD29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pacing w:val="-2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создали кадастры загрязненных участков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F85213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14:paraId="7158B29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540C6B1E" w14:textId="77777777" w:rsidTr="00CB5D61">
        <w:trPr>
          <w:trHeight w:val="227"/>
          <w:jc w:val="center"/>
        </w:trPr>
        <w:tc>
          <w:tcPr>
            <w:tcW w:w="2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D4D0D7F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B7EC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F337ED">
              <w:rPr>
                <w:rFonts w:ascii="Wingdings" w:hAnsi="Wingdings"/>
                <w:sz w:val="18"/>
                <w:szCs w:val="18"/>
              </w:rPr>
              <w:t></w:t>
            </w:r>
            <w:r w:rsidRPr="00F337ED">
              <w:rPr>
                <w:rFonts w:ascii="Wingdings" w:hAnsi="Wingdings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Поскольку Стороны не обязаны обмениваться информацией, собранной в их кадастрах, сведения могут быть неполными.</w:t>
            </w:r>
          </w:p>
        </w:tc>
      </w:tr>
    </w:tbl>
    <w:p w14:paraId="7B764646" w14:textId="77777777" w:rsidR="001B48FD" w:rsidRPr="00282F5C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1"/>
        <w:gridCol w:w="3820"/>
        <w:gridCol w:w="1868"/>
        <w:gridCol w:w="1727"/>
      </w:tblGrid>
      <w:tr w:rsidR="001B48FD" w:rsidRPr="00282F5C" w14:paraId="74A2CC63" w14:textId="77777777" w:rsidTr="00CB5D61">
        <w:trPr>
          <w:trHeight w:val="454"/>
          <w:jc w:val="center"/>
        </w:trPr>
        <w:tc>
          <w:tcPr>
            <w:tcW w:w="589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72D3E2" w14:textId="77777777" w:rsidR="001B48FD" w:rsidRPr="00282F5C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282F5C">
              <w:rPr>
                <w:rFonts w:eastAsia="Roboto"/>
                <w:i/>
                <w:iCs/>
                <w:sz w:val="18"/>
                <w:szCs w:val="18"/>
                <w:u w:color="4F81BD"/>
              </w:rPr>
              <w:t>E. Группа показателей, связанных с поддержкой</w:t>
            </w:r>
          </w:p>
          <w:p w14:paraId="673740AB" w14:textId="77777777" w:rsidR="001B48FD" w:rsidRPr="00282F5C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282F5C">
              <w:rPr>
                <w:rFonts w:eastAsia="Roboto"/>
                <w:i/>
                <w:iCs/>
                <w:sz w:val="18"/>
                <w:szCs w:val="18"/>
                <w:u w:color="4F81BD"/>
              </w:rPr>
              <w:t xml:space="preserve">Статья 13 (финансовые ресурсы и механизм финансирования); статья 14 (создание потенциала, техническое содействие и передача технологии) </w:t>
            </w:r>
          </w:p>
        </w:tc>
        <w:tc>
          <w:tcPr>
            <w:tcW w:w="18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DB8C978" w14:textId="77777777" w:rsidR="001B48FD" w:rsidRPr="00282F5C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282F5C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172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15E945" w14:textId="77777777" w:rsidR="001B48FD" w:rsidRPr="00282F5C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282F5C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51737BDF" w14:textId="77777777" w:rsidTr="00CB5D61">
        <w:trPr>
          <w:trHeight w:val="227"/>
          <w:jc w:val="center"/>
        </w:trPr>
        <w:tc>
          <w:tcPr>
            <w:tcW w:w="207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7E761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13</w:t>
            </w: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43FFF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7BF40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0DB21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1B48FD" w:rsidRPr="00F337ED" w14:paraId="711ED74F" w14:textId="77777777" w:rsidTr="00CB5D61">
        <w:trPr>
          <w:trHeight w:val="1276"/>
          <w:jc w:val="center"/>
        </w:trPr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5663EFA7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E1. Показатель процесса для статьи 13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</w:tcPr>
          <w:p w14:paraId="52EDCB1C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которые:</w:t>
            </w:r>
          </w:p>
          <w:p w14:paraId="0795CB2A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сделали вклад в механизм финансирования, упоминаем</w:t>
            </w:r>
            <w:r>
              <w:rPr>
                <w:sz w:val="18"/>
                <w:szCs w:val="18"/>
              </w:rPr>
              <w:t>ый</w:t>
            </w:r>
            <w:r w:rsidRPr="00F337ED">
              <w:rPr>
                <w:sz w:val="18"/>
                <w:szCs w:val="18"/>
              </w:rPr>
              <w:t xml:space="preserve"> в пункте 5 статьи 13</w:t>
            </w:r>
          </w:p>
          <w:p w14:paraId="189FC381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получили ресурсы по линии Глобального экологического фонда</w:t>
            </w:r>
          </w:p>
          <w:p w14:paraId="441BFD03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получили ресурсы по линии ЦМП</w:t>
            </w:r>
          </w:p>
          <w:p w14:paraId="00C62B12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в течение отчетного периода мобилизовали для осуществления Конвенции ресурсы на национальном уровне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14:paraId="4D6EEFE2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</w:tcPr>
          <w:p w14:paraId="33F5A099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7FB86731" w14:textId="77777777" w:rsidTr="00CB5D61">
        <w:trPr>
          <w:trHeight w:val="1077"/>
          <w:jc w:val="center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736E7B6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E2. Показатель процесса для статьи 13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20640E4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Объем ресурсов, предоставленных:</w:t>
            </w:r>
          </w:p>
          <w:p w14:paraId="3983A4F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по линии Глобального экологического фонда</w:t>
            </w:r>
          </w:p>
          <w:p w14:paraId="0A5D3B6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в рамках ЦМП</w:t>
            </w:r>
          </w:p>
          <w:p w14:paraId="35BDA34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в рамках двусторонней поддержки в течение отчетного периода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472ED7F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6B1F85B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Другие открытые источники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335930F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ресурсов</w:t>
            </w:r>
            <w:r w:rsidRPr="00F337ED">
              <w:rPr>
                <w:sz w:val="18"/>
                <w:szCs w:val="18"/>
              </w:rPr>
              <w:t xml:space="preserve"> при проведении первой оценки</w:t>
            </w:r>
          </w:p>
        </w:tc>
      </w:tr>
      <w:tr w:rsidR="001B48FD" w:rsidRPr="00F337ED" w14:paraId="77CC5F2B" w14:textId="77777777" w:rsidTr="00CB5D61">
        <w:trPr>
          <w:trHeight w:val="454"/>
          <w:jc w:val="center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BF7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E3. Дополнительный показатель результата для статьи 13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DB51D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Количество вынесенных по результатам финансового обзора рекомендаций, отраженных в директивных документах Глобального экологического фонда/ЦМП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F4CD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Информация из директивных документов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1191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Нулевое значение</w:t>
            </w:r>
          </w:p>
        </w:tc>
      </w:tr>
      <w:tr w:rsidR="001B48FD" w:rsidRPr="00F337ED" w14:paraId="28CF9F28" w14:textId="77777777" w:rsidTr="00CB5D61">
        <w:trPr>
          <w:trHeight w:val="227"/>
          <w:jc w:val="center"/>
        </w:trPr>
        <w:tc>
          <w:tcPr>
            <w:tcW w:w="20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BFBD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14</w:t>
            </w:r>
          </w:p>
        </w:tc>
        <w:tc>
          <w:tcPr>
            <w:tcW w:w="3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8D85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808A3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17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2A56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</w:tr>
      <w:tr w:rsidR="001B48FD" w:rsidRPr="00F337ED" w14:paraId="63B1D65B" w14:textId="77777777" w:rsidTr="00CB5D61">
        <w:trPr>
          <w:trHeight w:val="1276"/>
          <w:jc w:val="center"/>
        </w:trPr>
        <w:tc>
          <w:tcPr>
            <w:tcW w:w="2079" w:type="dxa"/>
            <w:tcBorders>
              <w:left w:val="nil"/>
              <w:bottom w:val="nil"/>
              <w:right w:val="nil"/>
            </w:tcBorders>
          </w:tcPr>
          <w:p w14:paraId="4019935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E4. Показатель процесса для статьи 14</w:t>
            </w:r>
          </w:p>
        </w:tc>
        <w:tc>
          <w:tcPr>
            <w:tcW w:w="3816" w:type="dxa"/>
            <w:tcBorders>
              <w:left w:val="nil"/>
              <w:bottom w:val="nil"/>
              <w:right w:val="nil"/>
            </w:tcBorders>
          </w:tcPr>
          <w:p w14:paraId="3036CB0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которые:</w:t>
            </w:r>
          </w:p>
          <w:p w14:paraId="41176B2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приняли участие в создании потенциала другой Стороны и в оказании ей технического содействия</w:t>
            </w:r>
          </w:p>
          <w:p w14:paraId="3A76F6C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обращались с просьбой об оказании им технического содействия</w:t>
            </w:r>
          </w:p>
          <w:p w14:paraId="00E55BC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получили помощь в создании потенциала или техническ</w:t>
            </w:r>
            <w:r>
              <w:rPr>
                <w:sz w:val="18"/>
                <w:szCs w:val="18"/>
              </w:rPr>
              <w:t>о</w:t>
            </w:r>
            <w:r w:rsidRPr="00F337ED">
              <w:rPr>
                <w:sz w:val="18"/>
                <w:szCs w:val="18"/>
              </w:rPr>
              <w:t>е содействие</w:t>
            </w:r>
          </w:p>
          <w:p w14:paraId="79FE98F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97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>o</w:t>
            </w:r>
            <w:r w:rsidRPr="00F337ED">
              <w:rPr>
                <w:rFonts w:ascii="Courier New" w:eastAsia="Roboto" w:hAnsi="Courier New" w:cs="Courier New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содействовали или способствовали передаче технологии</w:t>
            </w: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</w:tcPr>
          <w:p w14:paraId="373F13F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09EF01F8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Другие открытые источники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</w:tcPr>
          <w:p w14:paraId="312B42E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66F768C8" w14:textId="77777777" w:rsidTr="00CB5D61">
        <w:trPr>
          <w:trHeight w:val="454"/>
          <w:jc w:val="center"/>
        </w:trPr>
        <w:tc>
          <w:tcPr>
            <w:tcW w:w="20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793D5F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Примечания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3436F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F337ED">
              <w:rPr>
                <w:rFonts w:ascii="Wingdings" w:hAnsi="Wingdings"/>
                <w:sz w:val="18"/>
                <w:szCs w:val="18"/>
              </w:rPr>
              <w:t></w:t>
            </w:r>
            <w:r w:rsidRPr="00F337ED">
              <w:rPr>
                <w:rFonts w:ascii="Wingdings" w:hAnsi="Wingdings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Цикл обзора финансового механизма может не совпадать с циклом оценки эффективности.</w:t>
            </w:r>
          </w:p>
          <w:p w14:paraId="542D3FD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F337ED">
              <w:rPr>
                <w:rFonts w:ascii="Wingdings" w:hAnsi="Wingdings"/>
                <w:sz w:val="18"/>
                <w:szCs w:val="18"/>
              </w:rPr>
              <w:t></w:t>
            </w:r>
            <w:r w:rsidRPr="00F337ED">
              <w:rPr>
                <w:rFonts w:ascii="Wingdings" w:hAnsi="Wingdings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 xml:space="preserve">Поскольку формат представления данных не требует определения долларового эквивалента полученных ресурсов, могут использоваться и другие открытые источники. </w:t>
            </w:r>
          </w:p>
        </w:tc>
      </w:tr>
    </w:tbl>
    <w:p w14:paraId="3C7BB1A6" w14:textId="77777777" w:rsidR="001B48FD" w:rsidRPr="00D73CC8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0"/>
        <w:gridCol w:w="3872"/>
        <w:gridCol w:w="1772"/>
        <w:gridCol w:w="1772"/>
      </w:tblGrid>
      <w:tr w:rsidR="001B48FD" w:rsidRPr="00D73CC8" w14:paraId="33F03E38" w14:textId="77777777" w:rsidTr="00CB5D61">
        <w:trPr>
          <w:trHeight w:val="454"/>
          <w:jc w:val="center"/>
        </w:trPr>
        <w:tc>
          <w:tcPr>
            <w:tcW w:w="8143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5B03D8" w14:textId="77777777" w:rsidR="001B48FD" w:rsidRPr="00D73CC8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D73CC8">
              <w:rPr>
                <w:i/>
                <w:iCs/>
                <w:sz w:val="18"/>
                <w:szCs w:val="18"/>
              </w:rPr>
              <w:t>F. Статья 15 (Комитет по осуществлению и соблюдению)</w:t>
            </w:r>
          </w:p>
        </w:tc>
        <w:tc>
          <w:tcPr>
            <w:tcW w:w="240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AF6DCD" w14:textId="77777777" w:rsidR="001B48FD" w:rsidRPr="00D73CC8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D73CC8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40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1446E2" w14:textId="77777777" w:rsidR="001B48FD" w:rsidRPr="00D73CC8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D73CC8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6AC6BECD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8FB653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F1. Показатель процесса</w:t>
            </w:r>
          </w:p>
        </w:tc>
        <w:tc>
          <w:tcPr>
            <w:tcW w:w="53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5248AB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вопросов, которые Комитет по осуществлению и соблюдению смог урегулировать, в том числе вопросов, имеющих признаки системных проблем, если таковые рассматривались</w:t>
            </w: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BAC301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Доклад Комитета по осуществлению и соблюдению, о котором идет речь в статье 21</w:t>
            </w:r>
          </w:p>
        </w:tc>
        <w:tc>
          <w:tcPr>
            <w:tcW w:w="24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D7D301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  <w:r w:rsidRPr="00F337ED">
              <w:rPr>
                <w:sz w:val="18"/>
                <w:szCs w:val="18"/>
              </w:rPr>
              <w:t>при проведении первой оценки</w:t>
            </w:r>
          </w:p>
        </w:tc>
      </w:tr>
      <w:tr w:rsidR="001B48FD" w:rsidRPr="00F337ED" w14:paraId="6D74AF5B" w14:textId="77777777" w:rsidTr="00CB5D61">
        <w:trPr>
          <w:trHeight w:val="227"/>
          <w:jc w:val="center"/>
        </w:trPr>
        <w:tc>
          <w:tcPr>
            <w:tcW w:w="2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92BED3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AF845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rFonts w:asciiTheme="majorBidi" w:hAnsiTheme="majorBidi" w:cstheme="majorBidi"/>
                <w:spacing w:val="-2"/>
                <w:sz w:val="18"/>
                <w:szCs w:val="18"/>
              </w:rPr>
            </w:pPr>
            <w:r w:rsidRPr="00F337ED">
              <w:rPr>
                <w:rFonts w:ascii="Wingdings" w:hAnsi="Wingdings" w:cstheme="majorBidi"/>
                <w:spacing w:val="-2"/>
                <w:sz w:val="18"/>
                <w:szCs w:val="18"/>
              </w:rPr>
              <w:t></w:t>
            </w:r>
            <w:r w:rsidRPr="00F337ED">
              <w:rPr>
                <w:rFonts w:ascii="Wingdings" w:hAnsi="Wingdings" w:cstheme="majorBidi"/>
                <w:spacing w:val="-2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На своем третьем совещании Конференция Сторон должна рассмотреть положение о Комитете по осуществлению и соблюдению.</w:t>
            </w:r>
          </w:p>
        </w:tc>
      </w:tr>
    </w:tbl>
    <w:p w14:paraId="30782747" w14:textId="77777777" w:rsidR="001B48FD" w:rsidRPr="00D73CC8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0"/>
        <w:gridCol w:w="3823"/>
        <w:gridCol w:w="1842"/>
        <w:gridCol w:w="1751"/>
      </w:tblGrid>
      <w:tr w:rsidR="001B48FD" w:rsidRPr="007F68FE" w14:paraId="5FC5F71C" w14:textId="77777777" w:rsidTr="00CB5D61">
        <w:trPr>
          <w:trHeight w:val="454"/>
          <w:tblHeader/>
          <w:jc w:val="center"/>
        </w:trPr>
        <w:tc>
          <w:tcPr>
            <w:tcW w:w="807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8793F5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7F68FE">
              <w:rPr>
                <w:i/>
                <w:iCs/>
                <w:sz w:val="18"/>
                <w:szCs w:val="18"/>
              </w:rPr>
              <w:t>G. Статья 16 (медико-санитарные аспекты)</w:t>
            </w:r>
          </w:p>
          <w:p w14:paraId="4843C438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7F68FE">
              <w:rPr>
                <w:i/>
                <w:iCs/>
                <w:sz w:val="18"/>
                <w:szCs w:val="18"/>
              </w:rPr>
              <w:t>(Показатель для статьи 16 следует рассматривать вместе с соответствующими контрольными показателями, приведенными в таблице 4)</w:t>
            </w:r>
          </w:p>
        </w:tc>
        <w:tc>
          <w:tcPr>
            <w:tcW w:w="25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CB643E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7F68FE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37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D19ECE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7F68FE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79F96890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single" w:sz="12" w:space="0" w:color="auto"/>
              <w:left w:val="nil"/>
              <w:right w:val="nil"/>
            </w:tcBorders>
          </w:tcPr>
          <w:p w14:paraId="48A5E8CE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G1. Контрольный показатель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right w:val="nil"/>
            </w:tcBorders>
          </w:tcPr>
          <w:p w14:paraId="1FE0F570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Уровни содержания ртути в организмах людей, относящихся к отдельным группам населения (определяются согласно механизмам контроля)</w:t>
            </w:r>
          </w:p>
        </w:tc>
        <w:tc>
          <w:tcPr>
            <w:tcW w:w="2501" w:type="dxa"/>
            <w:tcBorders>
              <w:top w:val="single" w:sz="12" w:space="0" w:color="auto"/>
              <w:left w:val="nil"/>
              <w:right w:val="nil"/>
            </w:tcBorders>
          </w:tcPr>
          <w:p w14:paraId="143491EC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Существующие данные мониторинга и данные, получаемые в ходе осуществления деятельности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right w:val="nil"/>
            </w:tcBorders>
          </w:tcPr>
          <w:p w14:paraId="3FCEC21B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2D673DA5" w14:textId="77777777" w:rsidTr="00CB5D61">
        <w:trPr>
          <w:trHeight w:val="624"/>
          <w:jc w:val="center"/>
        </w:trPr>
        <w:tc>
          <w:tcPr>
            <w:tcW w:w="2830" w:type="dxa"/>
            <w:tcBorders>
              <w:left w:val="nil"/>
              <w:right w:val="nil"/>
            </w:tcBorders>
          </w:tcPr>
          <w:p w14:paraId="702D4596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G2. Показатель процесса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3D36D47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приняли меры, такие как подготовка информационных материалов о рыбе, для предоставления общественности информации о воздействии ртути в соответствии с пунктом 1 статьи 16</w:t>
            </w:r>
          </w:p>
        </w:tc>
        <w:tc>
          <w:tcPr>
            <w:tcW w:w="2501" w:type="dxa"/>
            <w:tcBorders>
              <w:left w:val="nil"/>
              <w:right w:val="nil"/>
            </w:tcBorders>
          </w:tcPr>
          <w:p w14:paraId="3113F1EB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74" w:type="dxa"/>
            <w:tcBorders>
              <w:left w:val="nil"/>
              <w:right w:val="nil"/>
            </w:tcBorders>
          </w:tcPr>
          <w:p w14:paraId="653495E4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0ADD7157" w14:textId="77777777" w:rsidTr="00CB5D61">
        <w:trPr>
          <w:trHeight w:val="454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6CB4B968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G3. Показатель процесса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6C39BC25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приняли меры для охраны здоровья человека в соответствии со статьей 16</w:t>
            </w:r>
          </w:p>
        </w:tc>
        <w:tc>
          <w:tcPr>
            <w:tcW w:w="2501" w:type="dxa"/>
            <w:tcBorders>
              <w:left w:val="nil"/>
              <w:bottom w:val="nil"/>
              <w:right w:val="nil"/>
            </w:tcBorders>
          </w:tcPr>
          <w:p w14:paraId="7DF3D0E6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  <w:p w14:paraId="0DA1F255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Материалы, представленные секретариату</w:t>
            </w: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18DA5437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264DB3E3" w14:textId="77777777" w:rsidTr="00CB5D61">
        <w:trPr>
          <w:trHeight w:val="227"/>
          <w:jc w:val="center"/>
        </w:trPr>
        <w:tc>
          <w:tcPr>
            <w:tcW w:w="2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51C249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79766C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rFonts w:ascii="Wingdings" w:hAnsi="Wingdings" w:cstheme="majorBidi"/>
                <w:sz w:val="18"/>
                <w:szCs w:val="18"/>
              </w:rPr>
              <w:t></w:t>
            </w:r>
            <w:r w:rsidRPr="00F337ED">
              <w:rPr>
                <w:rFonts w:ascii="Wingdings" w:hAnsi="Wingdings" w:cstheme="majorBidi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 xml:space="preserve">Должны также приниматься во внимание уровни содержания ртути в биоте. </w:t>
            </w:r>
          </w:p>
        </w:tc>
      </w:tr>
    </w:tbl>
    <w:p w14:paraId="0DFAC0AB" w14:textId="77777777" w:rsidR="001B48FD" w:rsidRPr="007F68FE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0"/>
        <w:gridCol w:w="3823"/>
        <w:gridCol w:w="1857"/>
        <w:gridCol w:w="1736"/>
      </w:tblGrid>
      <w:tr w:rsidR="001B48FD" w:rsidRPr="007F68FE" w14:paraId="6CB5D00B" w14:textId="77777777" w:rsidTr="00CB5D61">
        <w:trPr>
          <w:trHeight w:val="454"/>
          <w:jc w:val="center"/>
        </w:trPr>
        <w:tc>
          <w:tcPr>
            <w:tcW w:w="807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7BE123F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7F68FE">
              <w:rPr>
                <w:rFonts w:eastAsia="Roboto"/>
                <w:i/>
                <w:iCs/>
                <w:sz w:val="18"/>
                <w:szCs w:val="18"/>
                <w:u w:color="4F81BD"/>
              </w:rPr>
              <w:t>H. Группа показателей, связанных с информацией и исследованиями</w:t>
            </w:r>
          </w:p>
          <w:p w14:paraId="01CEE896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i/>
                <w:iCs/>
                <w:sz w:val="18"/>
                <w:szCs w:val="18"/>
                <w:u w:color="4F81BD"/>
              </w:rPr>
            </w:pPr>
            <w:r w:rsidRPr="007F68FE">
              <w:rPr>
                <w:rFonts w:eastAsia="Roboto"/>
                <w:i/>
                <w:iCs/>
                <w:sz w:val="18"/>
                <w:szCs w:val="18"/>
                <w:u w:color="4F81BD"/>
              </w:rPr>
              <w:t>Статья 17 (обмен информацией); статья 18 (информирование, повышение осведомленности и просвещение общественности); статья 19 (научные исследования, разработки и мониторинг)</w:t>
            </w:r>
          </w:p>
        </w:tc>
        <w:tc>
          <w:tcPr>
            <w:tcW w:w="25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BD72F8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7F68FE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35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F081F0" w14:textId="77777777" w:rsidR="001B48FD" w:rsidRPr="007F68FE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7F68FE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6C6504A7" w14:textId="77777777" w:rsidTr="00CB5D61">
        <w:trPr>
          <w:trHeight w:val="227"/>
          <w:jc w:val="center"/>
        </w:trPr>
        <w:tc>
          <w:tcPr>
            <w:tcW w:w="28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B1994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17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105AD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39F8D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CDF08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1B48FD" w:rsidRPr="00F337ED" w14:paraId="3B0E291F" w14:textId="77777777" w:rsidTr="00CB5D61">
        <w:trPr>
          <w:trHeight w:val="255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7A707732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Н1. Показатель процесса для статьи 17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4799B52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имеющих специализированные национальные координационные центры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6EC8242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54" w:type="dxa"/>
            <w:tcBorders>
              <w:left w:val="nil"/>
              <w:bottom w:val="nil"/>
              <w:right w:val="nil"/>
            </w:tcBorders>
          </w:tcPr>
          <w:p w14:paraId="0F1F33AD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0557969A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C69B9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H2. Показатель процесса для статьи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0A16A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Число Сторон, которые способствовали обмену информацией, касающейся ртути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D5D1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8FF5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5FDD8D06" w14:textId="77777777" w:rsidTr="00CB5D61">
        <w:trPr>
          <w:trHeight w:val="227"/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9531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18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43A5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012C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CFB9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</w:tr>
      <w:tr w:rsidR="001B48FD" w:rsidRPr="00F337ED" w14:paraId="44D5904E" w14:textId="77777777" w:rsidTr="00CB5D61">
        <w:trPr>
          <w:trHeight w:val="255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51781B0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H3. Показатель процесса для статьи 18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07B20BC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принявших меры по осуществлению статьи 18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547A8D2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54" w:type="dxa"/>
            <w:tcBorders>
              <w:left w:val="nil"/>
              <w:bottom w:val="nil"/>
              <w:right w:val="nil"/>
            </w:tcBorders>
          </w:tcPr>
          <w:p w14:paraId="7C863CC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63F25B52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00DD23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Н4. Показатель процесса для статьи 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D470FB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Среднее количество осуществляемых Сторонами мер в соответствии с пунктом 1 статьи 18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A333AC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На основе отчетности согласно статье 21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4A6370F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2C1EA9FF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3A64895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H5. Показатель процесса для статьи 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D3B564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располагают открытой информацией об уровнях содержания ртути в воздухе, организме человека и биоте на их территории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68695C3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2D04CC4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03BD0CC5" w14:textId="77777777" w:rsidTr="00CB5D61">
        <w:trPr>
          <w:trHeight w:val="454"/>
          <w:jc w:val="center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C776D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H6. Показатель процесса для статьи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E57A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Число Сторон, которые занимаются на своей территории информированием о </w:t>
            </w:r>
            <w:r w:rsidRPr="00F337ED">
              <w:rPr>
                <w:sz w:val="18"/>
                <w:szCs w:val="18"/>
              </w:rPr>
              <w:lastRenderedPageBreak/>
              <w:t>потенциальной опасности попадания ртути в организм человека с едой или водой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49CD2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lastRenderedPageBreak/>
              <w:t>- Отчетность в соответствии со статьей 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0FC54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2CF9A5C3" w14:textId="77777777" w:rsidTr="00CB5D61">
        <w:trPr>
          <w:trHeight w:val="227"/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F846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Статья 19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7756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EDDC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  <w:tc>
          <w:tcPr>
            <w:tcW w:w="23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F2FC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</w:p>
        </w:tc>
      </w:tr>
      <w:tr w:rsidR="001B48FD" w:rsidRPr="00F337ED" w14:paraId="36CE38AD" w14:textId="77777777" w:rsidTr="00CB5D61">
        <w:trPr>
          <w:trHeight w:val="454"/>
          <w:jc w:val="center"/>
        </w:trPr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0058FEF6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Н7. Показатель процесса для статьи 19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7139E40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проводят исследования, разработки и мониторинг в соответствии с пунктом 1 статьи 19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14:paraId="54EDD76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354" w:type="dxa"/>
            <w:tcBorders>
              <w:left w:val="nil"/>
              <w:bottom w:val="nil"/>
              <w:right w:val="nil"/>
            </w:tcBorders>
          </w:tcPr>
          <w:p w14:paraId="436C8F9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59373C57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06118F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H8. Показатель процесса для статьи 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808A17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которые предоставляют данные и сведения для проведения комплексных оценок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0E26256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Существующие сети мониторинга, базы данных, научные данные и научная литература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687485A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08121C7C" w14:textId="77777777" w:rsidTr="00CB5D61">
        <w:trPr>
          <w:trHeight w:val="624"/>
          <w:jc w:val="center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712C10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 xml:space="preserve">H9. Дополнительный показатель результата для статьи 19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584FBB1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Roboto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регионов, способствующих созданию региональных баз данных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39B8ABB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Существующие сети мониторинга, базы данных, научные данные и научная литература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14:paraId="7C9F587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Значение при проведении первой оценки</w:t>
            </w:r>
          </w:p>
        </w:tc>
      </w:tr>
      <w:tr w:rsidR="001B48FD" w:rsidRPr="00F337ED" w14:paraId="618D5077" w14:textId="77777777" w:rsidTr="00CB5D61">
        <w:trPr>
          <w:trHeight w:val="227"/>
          <w:jc w:val="center"/>
        </w:trPr>
        <w:tc>
          <w:tcPr>
            <w:tcW w:w="28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DB84B5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1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7EEE6B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F337ED">
              <w:rPr>
                <w:rFonts w:ascii="Wingdings" w:hAnsi="Wingdings"/>
                <w:sz w:val="18"/>
                <w:szCs w:val="18"/>
              </w:rPr>
              <w:t></w:t>
            </w:r>
            <w:r w:rsidRPr="00F337ED">
              <w:rPr>
                <w:rFonts w:ascii="Wingdings" w:hAnsi="Wingdings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Материалы, представляемые в секретариат в дополнение к отчетности согласно статье 21</w:t>
            </w:r>
            <w:r>
              <w:rPr>
                <w:sz w:val="18"/>
                <w:szCs w:val="18"/>
              </w:rPr>
              <w:t>.</w:t>
            </w:r>
            <w:r w:rsidRPr="00F337ED">
              <w:rPr>
                <w:sz w:val="18"/>
                <w:szCs w:val="18"/>
              </w:rPr>
              <w:t xml:space="preserve"> </w:t>
            </w:r>
          </w:p>
        </w:tc>
      </w:tr>
    </w:tbl>
    <w:p w14:paraId="0554DE05" w14:textId="77777777" w:rsidR="001B48FD" w:rsidRPr="001C4F4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2"/>
        <w:gridCol w:w="3856"/>
        <w:gridCol w:w="1886"/>
        <w:gridCol w:w="1682"/>
      </w:tblGrid>
      <w:tr w:rsidR="001B48FD" w:rsidRPr="001C4F49" w14:paraId="601FFDC9" w14:textId="77777777" w:rsidTr="00CB5D61">
        <w:trPr>
          <w:trHeight w:val="454"/>
          <w:jc w:val="center"/>
        </w:trPr>
        <w:tc>
          <w:tcPr>
            <w:tcW w:w="807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D611CD" w14:textId="77777777" w:rsidR="001B48FD" w:rsidRPr="001C4F49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1C4F49">
              <w:rPr>
                <w:i/>
                <w:iCs/>
                <w:sz w:val="18"/>
                <w:szCs w:val="18"/>
              </w:rPr>
              <w:t>I. Статья 20 (планы осуществления)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75B0D9" w14:textId="77777777" w:rsidR="001B48FD" w:rsidRPr="001C4F49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1C4F49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26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0E6AB2" w14:textId="77777777" w:rsidR="001B48FD" w:rsidRPr="001C4F49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1C4F49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78D130CE" w14:textId="77777777" w:rsidTr="00CB5D61">
        <w:trPr>
          <w:trHeight w:val="624"/>
          <w:jc w:val="center"/>
        </w:trPr>
        <w:tc>
          <w:tcPr>
            <w:tcW w:w="2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580107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I1. Показатель процесса</w:t>
            </w:r>
          </w:p>
        </w:tc>
        <w:tc>
          <w:tcPr>
            <w:tcW w:w="5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92C50CB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Число Сторон, представивших планы осуществления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24611F" w14:textId="77777777" w:rsidR="001B48FD" w:rsidRPr="00F337ED" w:rsidRDefault="001B48FD" w:rsidP="00CB5D61">
            <w:pPr>
              <w:keepNext/>
              <w:keepLines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right="-107"/>
              <w:rPr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Доклад о представленных планах осуществления, подготавливаемый секретариатом для Конференции Сторон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AED940" w14:textId="77777777" w:rsidR="001B48FD" w:rsidRPr="00F337ED" w:rsidRDefault="001B48FD" w:rsidP="00CB5D6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Нулевое значение</w:t>
            </w:r>
          </w:p>
        </w:tc>
      </w:tr>
      <w:tr w:rsidR="001B48FD" w:rsidRPr="00F337ED" w14:paraId="61575834" w14:textId="77777777" w:rsidTr="00CB5D61">
        <w:trPr>
          <w:trHeight w:val="454"/>
          <w:jc w:val="center"/>
        </w:trPr>
        <w:tc>
          <w:tcPr>
            <w:tcW w:w="2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C4A56C2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0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EF1723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rFonts w:eastAsia="Roboto"/>
                <w:sz w:val="18"/>
                <w:szCs w:val="18"/>
              </w:rPr>
            </w:pPr>
            <w:r w:rsidRPr="00F337ED">
              <w:rPr>
                <w:rFonts w:ascii="Wingdings" w:eastAsia="Roboto" w:hAnsi="Wingdings"/>
                <w:sz w:val="18"/>
                <w:szCs w:val="18"/>
              </w:rPr>
              <w:t></w:t>
            </w:r>
            <w:r w:rsidRPr="00F337ED">
              <w:rPr>
                <w:rFonts w:ascii="Wingdings" w:eastAsia="Roboto" w:hAnsi="Wingdings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Стороны не обязаны разрабатывать планы осуществления. Тем не менее некоторые Стороны сочли целесообразным подготовить такие планы и представить их в секретариат.</w:t>
            </w:r>
          </w:p>
        </w:tc>
      </w:tr>
    </w:tbl>
    <w:p w14:paraId="6EDFAF76" w14:textId="77777777" w:rsidR="001B48FD" w:rsidRPr="00630786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2"/>
        <w:gridCol w:w="3856"/>
        <w:gridCol w:w="1886"/>
        <w:gridCol w:w="1682"/>
      </w:tblGrid>
      <w:tr w:rsidR="001B48FD" w:rsidRPr="00630786" w14:paraId="12E4D29E" w14:textId="77777777" w:rsidTr="00CB5D61">
        <w:trPr>
          <w:trHeight w:val="454"/>
          <w:jc w:val="center"/>
        </w:trPr>
        <w:tc>
          <w:tcPr>
            <w:tcW w:w="807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5B2347" w14:textId="77777777" w:rsidR="001B48FD" w:rsidRPr="00630786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i/>
                <w:iCs/>
                <w:sz w:val="18"/>
                <w:szCs w:val="18"/>
              </w:rPr>
            </w:pPr>
            <w:r w:rsidRPr="00630786">
              <w:rPr>
                <w:i/>
                <w:iCs/>
                <w:sz w:val="18"/>
                <w:szCs w:val="18"/>
              </w:rPr>
              <w:t>J. Статья 21 (представление информации)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165135D" w14:textId="77777777" w:rsidR="001B48FD" w:rsidRPr="00630786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630786">
              <w:rPr>
                <w:i/>
                <w:iCs/>
                <w:sz w:val="18"/>
                <w:szCs w:val="18"/>
              </w:rPr>
              <w:t>Источник информации для расчета показателя</w:t>
            </w:r>
          </w:p>
        </w:tc>
        <w:tc>
          <w:tcPr>
            <w:tcW w:w="226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DA4B5F1" w14:textId="77777777" w:rsidR="001B48FD" w:rsidRPr="00630786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i/>
                <w:iCs/>
                <w:sz w:val="18"/>
                <w:szCs w:val="18"/>
              </w:rPr>
            </w:pPr>
            <w:r w:rsidRPr="00630786">
              <w:rPr>
                <w:i/>
                <w:iCs/>
                <w:sz w:val="18"/>
                <w:szCs w:val="18"/>
              </w:rPr>
              <w:t>Исходное значение показателя</w:t>
            </w:r>
          </w:p>
        </w:tc>
      </w:tr>
      <w:tr w:rsidR="001B48FD" w:rsidRPr="00F337ED" w14:paraId="7491FCBA" w14:textId="77777777" w:rsidTr="00CB5D61">
        <w:trPr>
          <w:trHeight w:val="454"/>
          <w:jc w:val="center"/>
        </w:trPr>
        <w:tc>
          <w:tcPr>
            <w:tcW w:w="28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F70B8BC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J1. Показатель процесса</w:t>
            </w:r>
          </w:p>
        </w:tc>
        <w:tc>
          <w:tcPr>
            <w:tcW w:w="5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6BED1F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Сторон, представляющих информацию в срок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749C9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A8675C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Сторон, представивших первый доклад в срок</w:t>
            </w:r>
          </w:p>
        </w:tc>
      </w:tr>
      <w:tr w:rsidR="001B48FD" w:rsidRPr="00F337ED" w14:paraId="121D34EE" w14:textId="77777777" w:rsidTr="00CB5D61">
        <w:trPr>
          <w:trHeight w:val="454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1F995047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J2. Показатель процесса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14:paraId="57A96C10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докладов, полученных в срок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A38B77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iCs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22A0C0E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докладов, недоступных при первом представлении докладов</w:t>
            </w:r>
          </w:p>
        </w:tc>
      </w:tr>
      <w:tr w:rsidR="001B48FD" w:rsidRPr="00F337ED" w14:paraId="57ED61E1" w14:textId="77777777" w:rsidTr="00CB5D61">
        <w:trPr>
          <w:trHeight w:val="454"/>
          <w:jc w:val="center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058438A6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J3. Показатель процесса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14:paraId="3C7DF5E5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Сторон, отмечающих, что по конкретным вопросам информация отсутствует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4F37DE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eastAsia="Roboto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- Отчетность в соответствии со статьей 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51F2C25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sz w:val="18"/>
                <w:szCs w:val="18"/>
              </w:rPr>
              <w:t>Доля Сторон, указавших при первом представлении докладов об отсутствии информации</w:t>
            </w:r>
          </w:p>
        </w:tc>
      </w:tr>
      <w:tr w:rsidR="001B48FD" w:rsidRPr="00F337ED" w14:paraId="2A8AE3A1" w14:textId="77777777" w:rsidTr="00CB5D61">
        <w:trPr>
          <w:trHeight w:val="227"/>
          <w:jc w:val="center"/>
        </w:trPr>
        <w:tc>
          <w:tcPr>
            <w:tcW w:w="28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D0D7CB" w14:textId="77777777" w:rsidR="001B48FD" w:rsidRPr="00F337ED" w:rsidRDefault="001B48FD" w:rsidP="00CB5D61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337ED">
              <w:rPr>
                <w:b/>
                <w:bCs/>
                <w:sz w:val="18"/>
                <w:szCs w:val="18"/>
              </w:rPr>
              <w:t>Примечание</w:t>
            </w:r>
          </w:p>
        </w:tc>
        <w:tc>
          <w:tcPr>
            <w:tcW w:w="100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EF36589" w14:textId="77777777" w:rsidR="001B48FD" w:rsidRPr="00F337ED" w:rsidRDefault="001B48FD" w:rsidP="00CB5D6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rFonts w:asciiTheme="majorBidi" w:hAnsiTheme="majorBidi" w:cstheme="majorBidi"/>
                <w:sz w:val="18"/>
                <w:szCs w:val="18"/>
              </w:rPr>
            </w:pPr>
            <w:r w:rsidRPr="00F337ED">
              <w:rPr>
                <w:rFonts w:ascii="Wingdings" w:hAnsi="Wingdings" w:cstheme="majorBidi"/>
                <w:sz w:val="18"/>
                <w:szCs w:val="18"/>
              </w:rPr>
              <w:t></w:t>
            </w:r>
            <w:r w:rsidRPr="00F337ED">
              <w:rPr>
                <w:rFonts w:ascii="Wingdings" w:hAnsi="Wingdings" w:cstheme="majorBidi"/>
                <w:sz w:val="18"/>
                <w:szCs w:val="18"/>
              </w:rPr>
              <w:tab/>
            </w:r>
            <w:r w:rsidRPr="00F337ED">
              <w:rPr>
                <w:sz w:val="18"/>
                <w:szCs w:val="18"/>
              </w:rPr>
              <w:t>Стороны должны представлять данные каждые два года.</w:t>
            </w:r>
          </w:p>
        </w:tc>
      </w:tr>
    </w:tbl>
    <w:p w14:paraId="2D4B6D6F" w14:textId="77777777" w:rsidR="001B48FD" w:rsidRPr="0082297E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60" w:after="240"/>
        <w:rPr>
          <w:rStyle w:val="DeltaViewInsertion"/>
          <w:color w:val="auto"/>
          <w:sz w:val="18"/>
          <w:szCs w:val="18"/>
        </w:rPr>
      </w:pPr>
      <w:r w:rsidRPr="0082297E">
        <w:rPr>
          <w:rFonts w:eastAsia="Roboto"/>
          <w:bCs/>
          <w:i/>
          <w:iCs/>
          <w:sz w:val="18"/>
          <w:szCs w:val="18"/>
          <w:u w:color="4F81BD"/>
        </w:rPr>
        <w:t>Сокращения</w:t>
      </w:r>
      <w:r w:rsidRPr="0082297E">
        <w:rPr>
          <w:rFonts w:eastAsia="Roboto"/>
          <w:bCs/>
          <w:sz w:val="18"/>
          <w:szCs w:val="18"/>
          <w:u w:color="4F81BD"/>
        </w:rPr>
        <w:t>: КМЗ – кустарная и мелкомасштабная золотодобыча; НИМ/НПД – наилучшие имеющиеся методы/наилучшие виды природоохранной деятельности; ЦМП – Целевая международная программа для поддержки процессов создания потенциала и оказания технической помощи.</w:t>
      </w:r>
    </w:p>
    <w:p w14:paraId="41B1FBEA" w14:textId="77777777" w:rsidR="001B48FD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1A0983" w14:textId="77777777" w:rsidR="001B48FD" w:rsidRPr="00AF469F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</w:rPr>
      </w:pPr>
      <w:r w:rsidRPr="00AF469F">
        <w:rPr>
          <w:b/>
          <w:bCs/>
          <w:sz w:val="24"/>
          <w:szCs w:val="24"/>
        </w:rPr>
        <w:lastRenderedPageBreak/>
        <w:t>Приложение II к решению МК-3/10</w:t>
      </w:r>
    </w:p>
    <w:p w14:paraId="55EBC7B2" w14:textId="77777777" w:rsidR="001B48FD" w:rsidRPr="00AF469F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</w:rPr>
      </w:pPr>
      <w:r w:rsidRPr="00AF469F">
        <w:rPr>
          <w:b/>
          <w:bCs/>
          <w:sz w:val="24"/>
          <w:szCs w:val="24"/>
        </w:rPr>
        <w:t xml:space="preserve">Система оценки эффективности </w:t>
      </w:r>
      <w:proofErr w:type="spellStart"/>
      <w:r w:rsidRPr="00AF469F">
        <w:rPr>
          <w:b/>
          <w:bCs/>
          <w:sz w:val="24"/>
          <w:szCs w:val="24"/>
        </w:rPr>
        <w:t>Минаматской</w:t>
      </w:r>
      <w:proofErr w:type="spellEnd"/>
      <w:r w:rsidRPr="00AF469F">
        <w:rPr>
          <w:b/>
          <w:bCs/>
          <w:sz w:val="24"/>
          <w:szCs w:val="24"/>
        </w:rPr>
        <w:t xml:space="preserve"> конвенции</w:t>
      </w:r>
    </w:p>
    <w:p w14:paraId="5158E116" w14:textId="77777777" w:rsidR="001B48FD" w:rsidRPr="00016069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ind w:left="1247"/>
        <w:rPr>
          <w:b/>
          <w:bCs/>
        </w:rPr>
      </w:pPr>
      <w:r w:rsidRPr="00426DA0">
        <w:t>Диаграмма 1</w:t>
      </w:r>
      <w:r>
        <w:br/>
      </w:r>
      <w:r w:rsidRPr="00016069">
        <w:rPr>
          <w:b/>
          <w:bCs/>
        </w:rPr>
        <w:t>Обработка информации и ее анализ</w:t>
      </w:r>
    </w:p>
    <w:p w14:paraId="59BFF8A2" w14:textId="77777777" w:rsidR="001B48FD" w:rsidRPr="007F41F5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firstLine="624"/>
        <w:rPr>
          <w:rFonts w:eastAsia="Roboto"/>
          <w:bCs/>
          <w:sz w:val="24"/>
          <w:szCs w:val="24"/>
          <w:u w:color="4F81BD"/>
        </w:rPr>
      </w:pPr>
      <w:r w:rsidRPr="007F41F5">
        <w:rPr>
          <w:rFonts w:eastAsia="Roboto"/>
          <w:bCs/>
          <w:noProof/>
          <w:sz w:val="18"/>
          <w:szCs w:val="18"/>
          <w:u w:color="4F81BD"/>
        </w:rPr>
        <w:drawing>
          <wp:inline distT="0" distB="0" distL="0" distR="0" wp14:anchorId="7E3EFD05" wp14:editId="517DAFFC">
            <wp:extent cx="6030595" cy="3822700"/>
            <wp:effectExtent l="0" t="0" r="8255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2516B" w14:textId="77777777" w:rsidR="001B48FD" w:rsidRDefault="001B48FD" w:rsidP="001B48FD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</w:p>
    <w:p w14:paraId="37EA454C" w14:textId="77777777" w:rsidR="001B48FD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>
        <w:br w:type="page"/>
      </w:r>
    </w:p>
    <w:p w14:paraId="31713CC4" w14:textId="77777777" w:rsidR="001B48FD" w:rsidRDefault="001B48FD" w:rsidP="001B48FD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</w:rPr>
      </w:pPr>
      <w:bookmarkStart w:id="20" w:name="_Hlk40106430"/>
      <w:r w:rsidRPr="00426DA0">
        <w:lastRenderedPageBreak/>
        <w:t>Диаграмма 2</w:t>
      </w:r>
      <w:r w:rsidRPr="00426DA0">
        <w:br/>
      </w:r>
      <w:r w:rsidRPr="00016069">
        <w:rPr>
          <w:b/>
          <w:bCs/>
        </w:rPr>
        <w:t>Институциональные процедуры для системы оценки</w:t>
      </w:r>
    </w:p>
    <w:p w14:paraId="603501F8" w14:textId="77777777" w:rsidR="001B48FD" w:rsidRPr="00DD7037" w:rsidRDefault="001B48FD" w:rsidP="001B48FD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-567"/>
      </w:pPr>
      <w:r w:rsidRPr="00DD7037">
        <w:rPr>
          <w:noProof/>
        </w:rPr>
        <w:drawing>
          <wp:inline distT="0" distB="0" distL="0" distR="0" wp14:anchorId="5DD54A76" wp14:editId="5A966AA1">
            <wp:extent cx="6767512" cy="453329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4305" cy="455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6DF8" w14:textId="77777777" w:rsidR="001B48FD" w:rsidRPr="000E2288" w:rsidRDefault="001B48FD" w:rsidP="001B48FD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bCs/>
          <w:noProof/>
        </w:rPr>
      </w:pPr>
      <w:bookmarkStart w:id="21" w:name="_Hlk40106462"/>
      <w:bookmarkEnd w:id="20"/>
    </w:p>
    <w:p w14:paraId="551CABFE" w14:textId="77777777" w:rsidR="001B48FD" w:rsidRPr="00674272" w:rsidRDefault="001B48FD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</w:pPr>
      <w:r>
        <w:rPr>
          <w:bCs/>
          <w:i/>
          <w:iCs/>
          <w:noProof/>
        </w:rPr>
        <w:t>Сокращения:</w:t>
      </w:r>
      <w:r w:rsidRPr="00674272">
        <w:rPr>
          <w:bCs/>
          <w:noProof/>
        </w:rPr>
        <w:t xml:space="preserve"> КОС</w:t>
      </w:r>
      <w:r w:rsidRPr="005854D2">
        <w:rPr>
          <w:bCs/>
        </w:rPr>
        <w:t xml:space="preserve"> – Комитет по осуществлению и соблюдению; КС – Конференция Сторон; НПД – национальный план действий; НПО – национальный план по осуществлению; ПОМ – первоначальная оценка в рамках </w:t>
      </w:r>
      <w:proofErr w:type="spellStart"/>
      <w:r w:rsidRPr="005854D2">
        <w:rPr>
          <w:bCs/>
        </w:rPr>
        <w:t>Минаматской</w:t>
      </w:r>
      <w:proofErr w:type="spellEnd"/>
      <w:r w:rsidRPr="005854D2">
        <w:rPr>
          <w:bCs/>
        </w:rPr>
        <w:t xml:space="preserve"> конвенции; ЦМП – Целевая международная программа для поддержки процессов создания потенциала и оказания технической помощи</w:t>
      </w:r>
      <w:r>
        <w:rPr>
          <w:bCs/>
        </w:rPr>
        <w:t>.</w:t>
      </w:r>
    </w:p>
    <w:bookmarkEnd w:id="21"/>
    <w:p w14:paraId="47FF1480" w14:textId="77777777" w:rsidR="001B48FD" w:rsidRPr="003947DB" w:rsidRDefault="001B48FD" w:rsidP="001B48FD">
      <w:pPr>
        <w:spacing w:after="120"/>
      </w:pPr>
    </w:p>
    <w:p w14:paraId="771C7DA0" w14:textId="1FC25B8D" w:rsidR="00FA5D0A" w:rsidRPr="001B48FD" w:rsidRDefault="00FA5D0A" w:rsidP="001B48F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i/>
          <w:iCs/>
        </w:rPr>
      </w:pPr>
    </w:p>
    <w:p w14:paraId="599F8EF3" w14:textId="6BFD0B69" w:rsidR="00B943AB" w:rsidRPr="00FA5D0A" w:rsidRDefault="00B943AB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rFonts w:eastAsia="SimSun"/>
        </w:rPr>
      </w:pPr>
    </w:p>
    <w:sectPr w:rsidR="00B943AB" w:rsidRPr="00FA5D0A" w:rsidSect="00C676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22028" w14:textId="77777777" w:rsidR="00537A15" w:rsidRDefault="00537A15">
      <w:r>
        <w:separator/>
      </w:r>
    </w:p>
  </w:endnote>
  <w:endnote w:type="continuationSeparator" w:id="0">
    <w:p w14:paraId="62F8BAEE" w14:textId="77777777" w:rsidR="00537A15" w:rsidRDefault="005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5BEA5" w14:textId="77777777" w:rsidR="00537A15" w:rsidRDefault="00537A15" w:rsidP="00851756">
      <w:pPr>
        <w:spacing w:before="60"/>
        <w:ind w:left="624"/>
      </w:pPr>
      <w:r>
        <w:separator/>
      </w:r>
    </w:p>
  </w:footnote>
  <w:footnote w:type="continuationSeparator" w:id="0">
    <w:p w14:paraId="7E42C5DD" w14:textId="77777777" w:rsidR="00537A15" w:rsidRDefault="00537A15">
      <w:r>
        <w:continuationSeparator/>
      </w:r>
    </w:p>
  </w:footnote>
  <w:footnote w:id="1">
    <w:p w14:paraId="5785938E" w14:textId="77777777" w:rsidR="001B48FD" w:rsidRPr="00F11903" w:rsidRDefault="001B48FD" w:rsidP="001B48FD">
      <w:pPr>
        <w:pStyle w:val="Text"/>
        <w:widowControl/>
        <w:spacing w:before="20" w:after="40" w:line="240" w:lineRule="auto"/>
        <w:ind w:left="1247"/>
        <w:rPr>
          <w:rFonts w:ascii="Times New Roman" w:hAnsi="Times New Roman" w:cs="Times New Roman"/>
          <w:sz w:val="18"/>
          <w:szCs w:val="18"/>
        </w:rPr>
      </w:pPr>
      <w:r w:rsidRPr="0085720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8</w:t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F11903">
        <w:rPr>
          <w:rFonts w:ascii="Times New Roman" w:hAnsi="Times New Roman" w:cs="Times New Roman"/>
          <w:sz w:val="18"/>
          <w:szCs w:val="18"/>
          <w:lang w:val="en-GB"/>
        </w:rPr>
        <w:t>UNEP/MC/COP.3/14.</w:t>
      </w:r>
    </w:p>
  </w:footnote>
  <w:footnote w:id="2">
    <w:p w14:paraId="3A7A8C19" w14:textId="77777777" w:rsidR="001B48FD" w:rsidRPr="00F11903" w:rsidRDefault="001B48FD" w:rsidP="001B48FD">
      <w:pPr>
        <w:pStyle w:val="Text"/>
        <w:widowControl/>
        <w:spacing w:before="20" w:after="40" w:line="240" w:lineRule="auto"/>
        <w:ind w:left="1247"/>
        <w:rPr>
          <w:rFonts w:ascii="Times New Roman" w:hAnsi="Times New Roman" w:cs="Times New Roman"/>
          <w:sz w:val="18"/>
          <w:szCs w:val="18"/>
        </w:rPr>
      </w:pPr>
      <w:r w:rsidRPr="0085720C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9</w:t>
      </w:r>
      <w:r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F11903">
        <w:rPr>
          <w:rFonts w:ascii="Times New Roman" w:hAnsi="Times New Roman" w:cs="Times New Roman"/>
          <w:sz w:val="18"/>
          <w:szCs w:val="18"/>
          <w:lang w:val="en-GB"/>
        </w:rPr>
        <w:t>UNEP/MC/COP.3</w:t>
      </w:r>
      <w:r>
        <w:rPr>
          <w:rFonts w:ascii="Times New Roman" w:hAnsi="Times New Roman" w:cs="Times New Roman"/>
          <w:sz w:val="18"/>
          <w:szCs w:val="18"/>
          <w:lang w:val="en-GB"/>
        </w:rPr>
        <w:t>/</w:t>
      </w:r>
      <w:r w:rsidRPr="00F11903">
        <w:rPr>
          <w:rFonts w:ascii="Times New Roman" w:hAnsi="Times New Roman" w:cs="Times New Roman"/>
          <w:sz w:val="18"/>
          <w:szCs w:val="18"/>
          <w:lang w:val="en-GB"/>
        </w:rPr>
        <w:t>INF/15.</w:t>
      </w:r>
    </w:p>
  </w:footnote>
  <w:footnote w:id="3">
    <w:p w14:paraId="0A5D68F0" w14:textId="77777777" w:rsidR="001B48FD" w:rsidRPr="00984F1C" w:rsidRDefault="001B48FD" w:rsidP="001B48F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GB"/>
        </w:rPr>
      </w:pPr>
      <w:bookmarkStart w:id="16" w:name="_DV_C1184"/>
      <w:r w:rsidRPr="00984F1C">
        <w:rPr>
          <w:szCs w:val="18"/>
          <w:vertAlign w:val="superscript"/>
          <w:lang w:val="en-GB"/>
        </w:rPr>
        <w:t>10</w:t>
      </w:r>
      <w:r w:rsidRPr="00984F1C">
        <w:rPr>
          <w:szCs w:val="18"/>
          <w:lang w:val="en-GB"/>
        </w:rPr>
        <w:tab/>
        <w:t>UNEP/MC/COP.3</w:t>
      </w:r>
      <w:r>
        <w:rPr>
          <w:szCs w:val="18"/>
          <w:lang w:val="en-GB"/>
        </w:rPr>
        <w:t>/</w:t>
      </w:r>
      <w:r w:rsidRPr="00984F1C">
        <w:rPr>
          <w:szCs w:val="18"/>
          <w:lang w:val="en-GB"/>
        </w:rPr>
        <w:t>INF/15.</w:t>
      </w:r>
      <w:bookmarkEnd w:id="1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3C3CB289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50C11D78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48FD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37A15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719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05E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42C"/>
    <w:rsid w:val="00E21C83"/>
    <w:rsid w:val="00E24ADA"/>
    <w:rsid w:val="00E32F59"/>
    <w:rsid w:val="00E35AFA"/>
    <w:rsid w:val="00E40B02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5D0A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738B9-45C6-46BE-820F-D6691AAB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3130</Words>
  <Characters>17844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2020-11-09T11:56:00Z</cp:lastPrinted>
  <dcterms:created xsi:type="dcterms:W3CDTF">2020-11-06T11:08:00Z</dcterms:created>
  <dcterms:modified xsi:type="dcterms:W3CDTF">2020-11-09T11:56:00Z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