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2A2EA6" w:rsidRPr="002A2EA6" w14:paraId="4B9F0F9B" w14:textId="77777777" w:rsidTr="00A971D0">
        <w:trPr>
          <w:cantSplit/>
          <w:trHeight w:val="680"/>
          <w:jc w:val="right"/>
        </w:trPr>
        <w:tc>
          <w:tcPr>
            <w:tcW w:w="1518" w:type="dxa"/>
          </w:tcPr>
          <w:p w14:paraId="2A9B9F9D" w14:textId="43799AB8" w:rsidR="00032E4E" w:rsidRPr="002A2EA6" w:rsidRDefault="00032E4E" w:rsidP="4AD2ABB5">
            <w:pPr>
              <w:rPr>
                <w:rFonts w:ascii="Univers" w:hAnsi="Univers"/>
                <w:b/>
                <w:bCs/>
                <w:sz w:val="27"/>
                <w:szCs w:val="27"/>
              </w:rPr>
            </w:pPr>
            <w:r w:rsidRPr="002A2EA6">
              <w:rPr>
                <w:rFonts w:ascii="Arial" w:hAnsi="Arial" w:cs="Arial"/>
                <w:b/>
                <w:bCs/>
                <w:sz w:val="27"/>
                <w:szCs w:val="27"/>
              </w:rPr>
              <w:t>NATIONS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27"/>
                <w:szCs w:val="27"/>
              </w:rPr>
              <w:t>UNIES</w:t>
            </w:r>
          </w:p>
        </w:tc>
        <w:tc>
          <w:tcPr>
            <w:tcW w:w="4643" w:type="dxa"/>
          </w:tcPr>
          <w:p w14:paraId="2F47229A" w14:textId="77777777" w:rsidR="00032E4E" w:rsidRPr="002A2EA6" w:rsidRDefault="00032E4E" w:rsidP="4AD2ABB5">
            <w:pPr>
              <w:rPr>
                <w:rFonts w:ascii="Univers" w:hAnsi="Univers"/>
                <w:b/>
                <w:bCs/>
                <w:sz w:val="27"/>
                <w:szCs w:val="27"/>
              </w:rPr>
            </w:pPr>
          </w:p>
        </w:tc>
        <w:tc>
          <w:tcPr>
            <w:tcW w:w="3335" w:type="dxa"/>
          </w:tcPr>
          <w:p w14:paraId="57073C3F" w14:textId="77777777" w:rsidR="00032E4E" w:rsidRPr="002A2EA6" w:rsidRDefault="00787688" w:rsidP="4AD2ABB5">
            <w:pPr>
              <w:jc w:val="righ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2A2EA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</w:tr>
      <w:tr w:rsidR="002A2EA6" w:rsidRPr="002A2EA6" w14:paraId="0DEAC680" w14:textId="77777777" w:rsidTr="4AD2ABB5">
        <w:trPr>
          <w:cantSplit/>
          <w:trHeight w:val="281"/>
          <w:jc w:val="right"/>
        </w:trPr>
        <w:tc>
          <w:tcPr>
            <w:tcW w:w="1518" w:type="dxa"/>
            <w:tcBorders>
              <w:bottom w:val="single" w:sz="4" w:space="0" w:color="auto"/>
            </w:tcBorders>
          </w:tcPr>
          <w:p w14:paraId="30269B88" w14:textId="77777777" w:rsidR="00032E4E" w:rsidRPr="002A2EA6" w:rsidRDefault="00032E4E" w:rsidP="4AD2ABB5">
            <w:pPr>
              <w:rPr>
                <w:sz w:val="18"/>
                <w:szCs w:val="1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54296B4D" w14:textId="77777777" w:rsidR="00032E4E" w:rsidRPr="002A2EA6" w:rsidRDefault="00032E4E" w:rsidP="4AD2ABB5">
            <w:pPr>
              <w:rPr>
                <w:rFonts w:ascii="Univers" w:hAnsi="Univers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540639F8" w14:textId="50E46E50" w:rsidR="00032E4E" w:rsidRPr="002A2EA6" w:rsidRDefault="00032E4E" w:rsidP="4AD2ABB5">
            <w:r w:rsidRPr="002A2EA6">
              <w:rPr>
                <w:b/>
                <w:bCs/>
                <w:sz w:val="28"/>
                <w:szCs w:val="28"/>
              </w:rPr>
              <w:t>UNEP</w:t>
            </w:r>
            <w:r w:rsidR="00787688" w:rsidRPr="002A2EA6">
              <w:rPr>
                <w:b/>
                <w:bCs/>
                <w:sz w:val="28"/>
                <w:szCs w:val="28"/>
              </w:rPr>
              <w:t>/</w:t>
            </w:r>
            <w:r w:rsidR="00787688" w:rsidRPr="002A2EA6">
              <w:t>MC</w:t>
            </w:r>
            <w:r w:rsidRPr="002A2EA6">
              <w:t>/</w:t>
            </w:r>
            <w:r w:rsidR="00871232" w:rsidRPr="002A2EA6">
              <w:t>COP.</w:t>
            </w:r>
            <w:r w:rsidR="007A517A" w:rsidRPr="002A2EA6">
              <w:t>3</w:t>
            </w:r>
            <w:r w:rsidRPr="002A2EA6">
              <w:t>/</w:t>
            </w:r>
            <w:bookmarkStart w:id="0" w:name="OLE_LINK1"/>
            <w:bookmarkStart w:id="1" w:name="OLE_LINK2"/>
            <w:bookmarkEnd w:id="0"/>
            <w:bookmarkEnd w:id="1"/>
            <w:r w:rsidR="00C54317">
              <w:t>Dec.</w:t>
            </w:r>
            <w:r w:rsidR="003F5D8A">
              <w:t>10</w:t>
            </w:r>
          </w:p>
        </w:tc>
      </w:tr>
      <w:bookmarkStart w:id="2" w:name="_1021710482"/>
      <w:bookmarkStart w:id="3" w:name="_1021710510"/>
      <w:bookmarkEnd w:id="2"/>
      <w:bookmarkEnd w:id="3"/>
      <w:tr w:rsidR="002A2EA6" w:rsidRPr="002A2EA6" w14:paraId="34AA74B4" w14:textId="77777777" w:rsidTr="4AD2ABB5">
        <w:trPr>
          <w:cantSplit/>
          <w:trHeight w:val="2549"/>
          <w:jc w:val="right"/>
        </w:trPr>
        <w:tc>
          <w:tcPr>
            <w:tcW w:w="1518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2A2EA6" w:rsidRDefault="00032E4E" w:rsidP="00CC2FBB">
            <w:r w:rsidRPr="002A2EA6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64.5pt;height:61.25pt" o:ole="" fillcolor="window">
                  <v:imagedata r:id="rId11" o:title=""/>
                </v:shape>
                <o:OLEObject Type="Embed" ProgID="Word.Picture.8" ShapeID="_x0000_i1030" DrawAspect="Content" ObjectID="_1666179731" r:id="rId12"/>
              </w:object>
            </w:r>
            <w:r w:rsidR="00011A16" w:rsidRPr="002A2EA6">
              <w:rPr>
                <w:noProof/>
                <w:lang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3A453A75" w:rsidR="00032E4E" w:rsidRPr="002A2EA6" w:rsidRDefault="00032E4E" w:rsidP="4AD2ABB5">
            <w:pPr>
              <w:spacing w:before="1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Programme</w:t>
            </w:r>
            <w:r w:rsidR="00654F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des Nations Unies</w:t>
            </w:r>
            <w:r w:rsidR="00654F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pour l</w:t>
            </w:r>
            <w:r w:rsidR="00CA4DAC">
              <w:rPr>
                <w:rFonts w:ascii="Arial" w:hAnsi="Arial" w:cs="Arial"/>
                <w:b/>
                <w:bCs/>
                <w:sz w:val="32"/>
                <w:szCs w:val="32"/>
              </w:rPr>
              <w:t>’</w:t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environnement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22632B77" w:rsidR="00032E4E" w:rsidRPr="002A2EA6" w:rsidRDefault="00FD27BC" w:rsidP="4AD2ABB5">
            <w:pPr>
              <w:spacing w:before="120"/>
            </w:pPr>
            <w:proofErr w:type="spellStart"/>
            <w:r w:rsidRPr="002A2EA6">
              <w:t>Distr</w:t>
            </w:r>
            <w:proofErr w:type="spellEnd"/>
            <w:r w:rsidRPr="002A2EA6">
              <w:t>.</w:t>
            </w:r>
            <w:r w:rsidR="006A0F16" w:rsidRPr="002A2EA6">
              <w:t> </w:t>
            </w:r>
            <w:proofErr w:type="gramStart"/>
            <w:r w:rsidR="027992BE" w:rsidRPr="002A2EA6">
              <w:t>générale</w:t>
            </w:r>
            <w:proofErr w:type="gramEnd"/>
            <w:r w:rsidR="009F4431" w:rsidRPr="002A2EA6">
              <w:t xml:space="preserve"> </w:t>
            </w:r>
            <w:r w:rsidRPr="002A2EA6">
              <w:br/>
            </w:r>
            <w:r w:rsidR="0A184B18" w:rsidRPr="002A2EA6">
              <w:t>7</w:t>
            </w:r>
            <w:r w:rsidR="006A0F16" w:rsidRPr="002A2EA6">
              <w:t> </w:t>
            </w:r>
            <w:r w:rsidR="0A184B18" w:rsidRPr="002A2EA6">
              <w:t>janvier 2020</w:t>
            </w:r>
          </w:p>
          <w:p w14:paraId="1A75CF9D" w14:textId="4BF39AEE" w:rsidR="00032E4E" w:rsidRPr="002A2EA6" w:rsidRDefault="00FD27BC" w:rsidP="4AD2ABB5">
            <w:pPr>
              <w:spacing w:before="240"/>
            </w:pPr>
            <w:r w:rsidRPr="002A2EA6">
              <w:t>Français</w:t>
            </w:r>
            <w:r w:rsidR="0095048C" w:rsidRPr="002A2EA6">
              <w:t xml:space="preserve"> </w:t>
            </w:r>
            <w:r w:rsidRPr="002A2EA6">
              <w:br/>
            </w:r>
            <w:r w:rsidR="00032E4E" w:rsidRPr="002A2EA6">
              <w:t>Original</w:t>
            </w:r>
            <w:r w:rsidR="006A0F16" w:rsidRPr="002A2EA6">
              <w:t> </w:t>
            </w:r>
            <w:r w:rsidR="7A7F35F0" w:rsidRPr="002A2EA6">
              <w:t>:</w:t>
            </w:r>
            <w:r w:rsidRPr="002A2EA6">
              <w:t xml:space="preserve"> anglais</w:t>
            </w:r>
          </w:p>
        </w:tc>
      </w:tr>
    </w:tbl>
    <w:p w14:paraId="46484F0E" w14:textId="174A382B" w:rsidR="007A517A" w:rsidRPr="002A2EA6" w:rsidRDefault="007A517A" w:rsidP="007A517A">
      <w:pPr>
        <w:pStyle w:val="AATitle"/>
        <w:keepNext w:val="0"/>
        <w:keepLines w:val="0"/>
        <w:rPr>
          <w:lang w:val="fr-FR"/>
        </w:rPr>
      </w:pPr>
      <w:r w:rsidRPr="002A2EA6">
        <w:rPr>
          <w:lang w:val="fr-FR"/>
        </w:rPr>
        <w:t>Conférence des Parties à la Convention de</w:t>
      </w:r>
      <w:r w:rsidR="00232F4F" w:rsidRPr="002A2EA6">
        <w:rPr>
          <w:lang w:val="fr-FR"/>
        </w:rPr>
        <w:t> </w:t>
      </w:r>
      <w:r w:rsidRPr="002A2EA6">
        <w:rPr>
          <w:lang w:val="fr-FR"/>
        </w:rPr>
        <w:t>Minamata sur le mercure</w:t>
      </w:r>
    </w:p>
    <w:p w14:paraId="5F0D9690" w14:textId="28F80D87" w:rsidR="007A517A" w:rsidRPr="002A2EA6" w:rsidRDefault="007A517A" w:rsidP="007A517A">
      <w:pPr>
        <w:pStyle w:val="AATitle"/>
        <w:keepNext w:val="0"/>
        <w:keepLines w:val="0"/>
        <w:rPr>
          <w:lang w:val="fr-FR"/>
        </w:rPr>
      </w:pPr>
      <w:r w:rsidRPr="002A2EA6">
        <w:rPr>
          <w:lang w:val="fr-FR"/>
        </w:rPr>
        <w:t>Troisième</w:t>
      </w:r>
      <w:r w:rsidR="00232F4F" w:rsidRPr="002A2EA6">
        <w:rPr>
          <w:lang w:val="fr-FR"/>
        </w:rPr>
        <w:t> </w:t>
      </w:r>
      <w:r w:rsidRPr="002A2EA6">
        <w:rPr>
          <w:lang w:val="fr-FR"/>
        </w:rPr>
        <w:t>réunion</w:t>
      </w:r>
    </w:p>
    <w:p w14:paraId="27560148" w14:textId="5F4D62C4" w:rsidR="007A517A" w:rsidRPr="002A2EA6" w:rsidRDefault="007A517A" w:rsidP="007A517A">
      <w:pPr>
        <w:pStyle w:val="AATitle"/>
        <w:rPr>
          <w:b w:val="0"/>
          <w:lang w:val="fr-FR"/>
        </w:rPr>
      </w:pPr>
      <w:r w:rsidRPr="002A2EA6">
        <w:rPr>
          <w:b w:val="0"/>
          <w:lang w:val="fr-FR"/>
        </w:rPr>
        <w:t>Genève, 25</w:t>
      </w:r>
      <w:r w:rsidR="00E473D7" w:rsidRPr="002A2EA6">
        <w:rPr>
          <w:b w:val="0"/>
          <w:lang w:val="fr-FR"/>
        </w:rPr>
        <w:t>–</w:t>
      </w:r>
      <w:r w:rsidRPr="002A2EA6">
        <w:rPr>
          <w:b w:val="0"/>
          <w:lang w:val="fr-FR"/>
        </w:rPr>
        <w:t>29</w:t>
      </w:r>
      <w:r w:rsidR="0093585D" w:rsidRPr="002A2EA6">
        <w:rPr>
          <w:b w:val="0"/>
          <w:lang w:val="fr-FR"/>
        </w:rPr>
        <w:t> </w:t>
      </w:r>
      <w:r w:rsidRPr="002A2EA6">
        <w:rPr>
          <w:b w:val="0"/>
          <w:lang w:val="fr-FR"/>
        </w:rPr>
        <w:t>novembre 2019</w:t>
      </w:r>
    </w:p>
    <w:p w14:paraId="297C015F" w14:textId="0C8F7F32" w:rsidR="007A517A" w:rsidRPr="002A2EA6" w:rsidRDefault="00FA55CC" w:rsidP="00FE4C00">
      <w:pPr>
        <w:pStyle w:val="BBTitle"/>
        <w:rPr>
          <w:lang w:val="fr-FR"/>
        </w:rPr>
      </w:pPr>
      <w:r w:rsidRPr="00FA55CC">
        <w:rPr>
          <w:lang w:val="fr-FR"/>
        </w:rPr>
        <w:t>Décision adoptée par la troisième Conférence des Parties à la Convention de Minamata sur le mercure</w:t>
      </w:r>
    </w:p>
    <w:p w14:paraId="3B63CADC" w14:textId="1D9D3ED5" w:rsidR="002A2EA6" w:rsidRPr="002A2EA6" w:rsidRDefault="00FE4C00" w:rsidP="00C54317">
      <w:pPr>
        <w:pStyle w:val="CH1"/>
        <w:rPr>
          <w:rStyle w:val="DeltaViewInsertion"/>
          <w:color w:val="auto"/>
          <w:sz w:val="18"/>
          <w:szCs w:val="18"/>
          <w:lang w:val="fr-FR"/>
        </w:rPr>
      </w:pPr>
      <w:r w:rsidRPr="002A2EA6">
        <w:rPr>
          <w:lang w:val="fr-FR"/>
        </w:rPr>
        <w:tab/>
      </w:r>
      <w:r w:rsidRPr="002A2EA6">
        <w:rPr>
          <w:lang w:val="fr-FR"/>
        </w:rPr>
        <w:tab/>
      </w:r>
    </w:p>
    <w:p w14:paraId="69D69D2B" w14:textId="77777777" w:rsidR="003F5D8A" w:rsidRPr="002A2EA6" w:rsidRDefault="002A2EA6" w:rsidP="003F5D8A">
      <w:pPr>
        <w:pStyle w:val="CH2"/>
        <w:rPr>
          <w:sz w:val="20"/>
          <w:szCs w:val="20"/>
          <w:lang w:val="fr-FR"/>
        </w:rPr>
      </w:pPr>
      <w:r w:rsidRPr="00091854">
        <w:rPr>
          <w:sz w:val="28"/>
          <w:szCs w:val="28"/>
          <w:lang w:val="fr-FR"/>
        </w:rPr>
        <w:tab/>
      </w:r>
      <w:bookmarkStart w:id="4" w:name="_DV_C676"/>
      <w:bookmarkStart w:id="5" w:name="_Toc39063356"/>
      <w:r w:rsidR="0064574A">
        <w:rPr>
          <w:sz w:val="28"/>
          <w:szCs w:val="28"/>
          <w:lang w:val="fr-FR"/>
        </w:rPr>
        <w:tab/>
      </w:r>
      <w:bookmarkStart w:id="6" w:name="_Toc39063362"/>
      <w:bookmarkEnd w:id="4"/>
      <w:bookmarkEnd w:id="5"/>
      <w:r w:rsidR="003F5D8A" w:rsidRPr="002A2EA6">
        <w:rPr>
          <w:lang w:val="fr-FR"/>
        </w:rPr>
        <w:t>MC-3/10 : Modalités de la première évaluation de l</w:t>
      </w:r>
      <w:r w:rsidR="003F5D8A">
        <w:rPr>
          <w:lang w:val="fr-FR"/>
        </w:rPr>
        <w:t>’</w:t>
      </w:r>
      <w:r w:rsidR="003F5D8A" w:rsidRPr="002A2EA6">
        <w:rPr>
          <w:lang w:val="fr-FR"/>
        </w:rPr>
        <w:t xml:space="preserve">efficacité </w:t>
      </w:r>
      <w:r w:rsidR="003F5D8A" w:rsidRPr="002A2EA6">
        <w:rPr>
          <w:lang w:val="fr-FR"/>
        </w:rPr>
        <w:br/>
        <w:t>de la Convention de Minamata sur le mercure</w:t>
      </w:r>
      <w:bookmarkEnd w:id="6"/>
    </w:p>
    <w:p w14:paraId="69586611" w14:textId="77777777" w:rsidR="003F5D8A" w:rsidRPr="002A2EA6" w:rsidRDefault="003F5D8A" w:rsidP="003F5D8A">
      <w:pPr>
        <w:pStyle w:val="NormalNonumber"/>
        <w:rPr>
          <w:i/>
          <w:iCs/>
          <w:lang w:val="fr-FR"/>
        </w:rPr>
      </w:pPr>
      <w:bookmarkStart w:id="7" w:name="_DV_C1169"/>
      <w:r w:rsidRPr="002A2EA6">
        <w:rPr>
          <w:lang w:val="fr-FR"/>
        </w:rPr>
        <w:tab/>
      </w:r>
      <w:r w:rsidRPr="002A2EA6">
        <w:rPr>
          <w:i/>
          <w:iCs/>
          <w:lang w:val="fr-FR"/>
        </w:rPr>
        <w:t>La Conférence des Parties,</w:t>
      </w:r>
      <w:bookmarkEnd w:id="7"/>
    </w:p>
    <w:p w14:paraId="7F508625" w14:textId="77777777" w:rsidR="003F5D8A" w:rsidRPr="002A2EA6" w:rsidRDefault="003F5D8A" w:rsidP="003F5D8A">
      <w:pPr>
        <w:pStyle w:val="NormalNonumber"/>
        <w:rPr>
          <w:lang w:val="fr-FR"/>
        </w:rPr>
      </w:pPr>
      <w:bookmarkStart w:id="8" w:name="_DV_C1170"/>
      <w:r w:rsidRPr="002A2EA6">
        <w:rPr>
          <w:i/>
          <w:iCs/>
          <w:lang w:val="fr-FR"/>
        </w:rPr>
        <w:tab/>
        <w:t xml:space="preserve">Accueillant avec satisfaction </w:t>
      </w:r>
      <w:r w:rsidRPr="002A2EA6">
        <w:rPr>
          <w:lang w:val="fr-FR"/>
        </w:rPr>
        <w:t>le rapport sur le projet de cadre d</w:t>
      </w:r>
      <w:r>
        <w:rPr>
          <w:lang w:val="fr-FR"/>
        </w:rPr>
        <w:t>’</w:t>
      </w:r>
      <w:r w:rsidRPr="002A2EA6">
        <w:rPr>
          <w:lang w:val="fr-FR"/>
        </w:rPr>
        <w:t>évaluation de l</w:t>
      </w:r>
      <w:r>
        <w:rPr>
          <w:lang w:val="fr-FR"/>
        </w:rPr>
        <w:t>’</w:t>
      </w:r>
      <w:r w:rsidRPr="002A2EA6">
        <w:rPr>
          <w:lang w:val="fr-FR"/>
        </w:rPr>
        <w:t>efficacité et les arrangements en matière de surveillance au titre de la Convention de Minamata</w:t>
      </w:r>
      <w:r w:rsidRPr="002A2EA6">
        <w:rPr>
          <w:rStyle w:val="FootnoteReference"/>
          <w:lang w:val="fr-FR"/>
        </w:rPr>
        <w:footnoteReference w:id="2"/>
      </w:r>
      <w:r w:rsidRPr="002A2EA6">
        <w:rPr>
          <w:lang w:val="fr-FR"/>
        </w:rPr>
        <w:t>, ainsi que les informations complémentaires présentées par le groupe spécial d</w:t>
      </w:r>
      <w:r>
        <w:rPr>
          <w:lang w:val="fr-FR"/>
        </w:rPr>
        <w:t>’</w:t>
      </w:r>
      <w:r w:rsidRPr="002A2EA6">
        <w:rPr>
          <w:lang w:val="fr-FR"/>
        </w:rPr>
        <w:t>experts techniques sur la base des mandats définis dans les décisions MC-1/9 et MC-2/10</w:t>
      </w:r>
      <w:r w:rsidRPr="002A2EA6">
        <w:rPr>
          <w:rStyle w:val="FootnoteReference"/>
          <w:lang w:val="fr-FR"/>
        </w:rPr>
        <w:footnoteReference w:id="3"/>
      </w:r>
      <w:r w:rsidRPr="002A2EA6">
        <w:rPr>
          <w:lang w:val="fr-FR"/>
        </w:rPr>
        <w:t>,</w:t>
      </w:r>
      <w:bookmarkStart w:id="9" w:name="_DV_C1171"/>
      <w:bookmarkStart w:id="10" w:name="_DV_C1173"/>
      <w:bookmarkStart w:id="11" w:name="_DV_C1174"/>
      <w:bookmarkEnd w:id="8"/>
      <w:bookmarkEnd w:id="9"/>
      <w:bookmarkEnd w:id="10"/>
      <w:bookmarkEnd w:id="11"/>
    </w:p>
    <w:p w14:paraId="4F372FD4" w14:textId="77777777" w:rsidR="003F5D8A" w:rsidRPr="002A2EA6" w:rsidRDefault="003F5D8A" w:rsidP="003F5D8A">
      <w:pPr>
        <w:pStyle w:val="NormalNonumber"/>
        <w:rPr>
          <w:i/>
          <w:lang w:val="fr-FR"/>
        </w:rPr>
      </w:pPr>
      <w:bookmarkStart w:id="12" w:name="_DV_C1176"/>
      <w:r w:rsidRPr="002A2EA6">
        <w:rPr>
          <w:i/>
          <w:iCs/>
          <w:lang w:val="fr-FR"/>
        </w:rPr>
        <w:tab/>
        <w:t xml:space="preserve">Consciente </w:t>
      </w:r>
      <w:r w:rsidRPr="002A2EA6">
        <w:rPr>
          <w:lang w:val="fr-FR"/>
        </w:rPr>
        <w:t>des efforts déployés pour faire avancer les travaux d</w:t>
      </w:r>
      <w:r>
        <w:rPr>
          <w:lang w:val="fr-FR"/>
        </w:rPr>
        <w:t>’</w:t>
      </w:r>
      <w:r w:rsidRPr="002A2EA6">
        <w:rPr>
          <w:lang w:val="fr-FR"/>
        </w:rPr>
        <w:t>évaluation de l</w:t>
      </w:r>
      <w:r>
        <w:rPr>
          <w:lang w:val="fr-FR"/>
        </w:rPr>
        <w:t>’</w:t>
      </w:r>
      <w:r w:rsidRPr="002A2EA6">
        <w:rPr>
          <w:lang w:val="fr-FR"/>
        </w:rPr>
        <w:t>efficacité à sa troisième réunion,</w:t>
      </w:r>
      <w:bookmarkStart w:id="13" w:name="_DV_C1177"/>
      <w:bookmarkEnd w:id="12"/>
    </w:p>
    <w:p w14:paraId="1332B18F" w14:textId="77777777" w:rsidR="003F5D8A" w:rsidRPr="002A2EA6" w:rsidRDefault="003F5D8A" w:rsidP="003F5D8A">
      <w:pPr>
        <w:pStyle w:val="NormalNonumber"/>
        <w:rPr>
          <w:lang w:val="fr-FR"/>
        </w:rPr>
      </w:pPr>
      <w:bookmarkStart w:id="14" w:name="_DV_C1178"/>
      <w:bookmarkEnd w:id="13"/>
      <w:r w:rsidRPr="002A2EA6">
        <w:rPr>
          <w:i/>
          <w:iCs/>
          <w:lang w:val="fr-FR"/>
        </w:rPr>
        <w:tab/>
      </w:r>
      <w:r w:rsidRPr="002A2EA6">
        <w:rPr>
          <w:lang w:val="fr-FR"/>
        </w:rPr>
        <w:t>1.</w:t>
      </w:r>
      <w:r w:rsidRPr="002A2EA6">
        <w:rPr>
          <w:lang w:val="fr-FR"/>
        </w:rPr>
        <w:tab/>
      </w:r>
      <w:r w:rsidRPr="002A2EA6">
        <w:rPr>
          <w:i/>
          <w:iCs/>
          <w:lang w:val="fr-FR"/>
        </w:rPr>
        <w:t>Invite</w:t>
      </w:r>
      <w:r w:rsidRPr="002A2EA6">
        <w:rPr>
          <w:lang w:val="fr-FR"/>
        </w:rPr>
        <w:t xml:space="preserve"> les Parties à présenter leurs vues sur les indicateurs énoncés à l</w:t>
      </w:r>
      <w:r>
        <w:rPr>
          <w:lang w:val="fr-FR"/>
        </w:rPr>
        <w:t>’</w:t>
      </w:r>
      <w:r w:rsidRPr="002A2EA6">
        <w:rPr>
          <w:lang w:val="fr-FR"/>
        </w:rPr>
        <w:t>annexe I de la présente décision et prie le secrétariat de compiler ces vues avant sa quatrième réunion ;</w:t>
      </w:r>
      <w:bookmarkStart w:id="15" w:name="_DV_C1179"/>
      <w:bookmarkEnd w:id="14"/>
    </w:p>
    <w:p w14:paraId="1AD270C0" w14:textId="77777777" w:rsidR="003F5D8A" w:rsidRPr="002A2EA6" w:rsidRDefault="003F5D8A" w:rsidP="003F5D8A">
      <w:pPr>
        <w:pStyle w:val="NormalNonumber"/>
        <w:rPr>
          <w:lang w:val="fr-FR"/>
        </w:rPr>
      </w:pPr>
      <w:bookmarkStart w:id="16" w:name="_DV_C1180"/>
      <w:bookmarkEnd w:id="15"/>
      <w:r w:rsidRPr="002A2EA6">
        <w:rPr>
          <w:lang w:val="fr-FR"/>
        </w:rPr>
        <w:tab/>
        <w:t>2.</w:t>
      </w:r>
      <w:r w:rsidRPr="002A2EA6">
        <w:rPr>
          <w:lang w:val="fr-FR"/>
        </w:rPr>
        <w:tab/>
      </w:r>
      <w:r w:rsidRPr="002A2EA6">
        <w:rPr>
          <w:i/>
          <w:iCs/>
          <w:lang w:val="fr-FR"/>
        </w:rPr>
        <w:t>Prie</w:t>
      </w:r>
      <w:r w:rsidRPr="002A2EA6">
        <w:rPr>
          <w:lang w:val="fr-FR"/>
        </w:rPr>
        <w:t xml:space="preserve"> le secrétariat de faire avancer les travaux en s</w:t>
      </w:r>
      <w:r>
        <w:rPr>
          <w:lang w:val="fr-FR"/>
        </w:rPr>
        <w:t>’</w:t>
      </w:r>
      <w:r w:rsidRPr="002A2EA6">
        <w:rPr>
          <w:lang w:val="fr-FR"/>
        </w:rPr>
        <w:t>assurant des services de rédaction pour les documents suivants :</w:t>
      </w:r>
      <w:bookmarkStart w:id="17" w:name="_DV_C1181"/>
      <w:bookmarkEnd w:id="16"/>
    </w:p>
    <w:p w14:paraId="163C3943" w14:textId="77777777" w:rsidR="003F5D8A" w:rsidRPr="002A2EA6" w:rsidRDefault="003F5D8A" w:rsidP="003F5D8A">
      <w:pPr>
        <w:pStyle w:val="NormalNonumber"/>
        <w:rPr>
          <w:lang w:val="fr-FR"/>
        </w:rPr>
      </w:pPr>
      <w:bookmarkStart w:id="18" w:name="_DV_C1182"/>
      <w:bookmarkEnd w:id="17"/>
      <w:r w:rsidRPr="002A2EA6">
        <w:rPr>
          <w:lang w:val="fr-FR"/>
        </w:rPr>
        <w:tab/>
        <w:t>a)</w:t>
      </w:r>
      <w:r w:rsidRPr="002A2EA6">
        <w:rPr>
          <w:lang w:val="fr-FR"/>
        </w:rPr>
        <w:tab/>
        <w:t>Document d</w:t>
      </w:r>
      <w:r>
        <w:rPr>
          <w:lang w:val="fr-FR"/>
        </w:rPr>
        <w:t>’</w:t>
      </w:r>
      <w:r w:rsidRPr="002A2EA6">
        <w:rPr>
          <w:lang w:val="fr-FR"/>
        </w:rPr>
        <w:t>orientation sur l</w:t>
      </w:r>
      <w:r>
        <w:rPr>
          <w:lang w:val="fr-FR"/>
        </w:rPr>
        <w:t>’</w:t>
      </w:r>
      <w:r w:rsidRPr="002A2EA6">
        <w:rPr>
          <w:lang w:val="fr-FR"/>
        </w:rPr>
        <w:t>exercice d</w:t>
      </w:r>
      <w:r>
        <w:rPr>
          <w:lang w:val="fr-FR"/>
        </w:rPr>
        <w:t>’</w:t>
      </w:r>
      <w:r w:rsidRPr="002A2EA6">
        <w:rPr>
          <w:lang w:val="fr-FR"/>
        </w:rPr>
        <w:t>une surveillance de manière à tenir une base de données harmonisées et comparables sur les concentrations de mercure dans l</w:t>
      </w:r>
      <w:r>
        <w:rPr>
          <w:lang w:val="fr-FR"/>
        </w:rPr>
        <w:t>’</w:t>
      </w:r>
      <w:r w:rsidRPr="002A2EA6">
        <w:rPr>
          <w:lang w:val="fr-FR"/>
        </w:rPr>
        <w:t xml:space="preserve">environnement, en tenant compte du projet de structure consigné dans la note sur les informations </w:t>
      </w:r>
      <w:r>
        <w:rPr>
          <w:lang w:val="fr-FR"/>
        </w:rPr>
        <w:t xml:space="preserve">de base </w:t>
      </w:r>
      <w:r w:rsidRPr="002A2EA6">
        <w:rPr>
          <w:lang w:val="fr-FR"/>
        </w:rPr>
        <w:t>relatives à la</w:t>
      </w:r>
      <w:r>
        <w:rPr>
          <w:lang w:val="fr-FR"/>
        </w:rPr>
        <w:t> </w:t>
      </w:r>
      <w:r w:rsidRPr="002A2EA6">
        <w:rPr>
          <w:lang w:val="fr-FR"/>
        </w:rPr>
        <w:t>surveillance du mercure</w:t>
      </w:r>
      <w:r w:rsidRPr="002A2EA6">
        <w:rPr>
          <w:rStyle w:val="FootnoteReference"/>
          <w:lang w:val="fr-FR"/>
        </w:rPr>
        <w:footnoteReference w:id="4"/>
      </w:r>
      <w:bookmarkStart w:id="19" w:name="_DV_C1183"/>
      <w:bookmarkStart w:id="20" w:name="_DV_C1185"/>
      <w:bookmarkEnd w:id="18"/>
      <w:bookmarkEnd w:id="19"/>
      <w:r w:rsidRPr="002A2EA6">
        <w:rPr>
          <w:lang w:val="fr-FR"/>
        </w:rPr>
        <w:t> ;</w:t>
      </w:r>
    </w:p>
    <w:p w14:paraId="1F6D8C12" w14:textId="77777777" w:rsidR="003F5D8A" w:rsidRPr="002A2EA6" w:rsidRDefault="003F5D8A" w:rsidP="003F5D8A">
      <w:pPr>
        <w:pStyle w:val="NormalNonumber"/>
        <w:rPr>
          <w:lang w:val="fr-FR"/>
        </w:rPr>
      </w:pPr>
      <w:bookmarkStart w:id="21" w:name="_DV_C1186"/>
      <w:bookmarkEnd w:id="20"/>
      <w:r w:rsidRPr="002A2EA6">
        <w:rPr>
          <w:lang w:val="fr-FR"/>
        </w:rPr>
        <w:tab/>
        <w:t>b)</w:t>
      </w:r>
      <w:r w:rsidRPr="002A2EA6">
        <w:rPr>
          <w:lang w:val="fr-FR"/>
        </w:rPr>
        <w:tab/>
        <w:t>Rapports établis dans le cadre de l</w:t>
      </w:r>
      <w:r>
        <w:rPr>
          <w:lang w:val="fr-FR"/>
        </w:rPr>
        <w:t>’</w:t>
      </w:r>
      <w:r w:rsidRPr="002A2EA6">
        <w:rPr>
          <w:lang w:val="fr-FR"/>
        </w:rPr>
        <w:t>annexe II de la présente décision, à l</w:t>
      </w:r>
      <w:r>
        <w:rPr>
          <w:lang w:val="fr-FR"/>
        </w:rPr>
        <w:t>’</w:t>
      </w:r>
      <w:r w:rsidRPr="002A2EA6">
        <w:rPr>
          <w:lang w:val="fr-FR"/>
        </w:rPr>
        <w:t>exception du rapport sur les émissions et les rejets, du rapport de surveillance et du rapport de modélisation.</w:t>
      </w:r>
      <w:bookmarkEnd w:id="21"/>
    </w:p>
    <w:p w14:paraId="48A34204" w14:textId="77777777" w:rsidR="003F5D8A" w:rsidRPr="002A2EA6" w:rsidRDefault="003F5D8A" w:rsidP="003F5D8A">
      <w:pPr>
        <w:pStyle w:val="Titletable"/>
        <w:spacing w:before="240" w:after="240"/>
        <w:ind w:left="0"/>
        <w:rPr>
          <w:sz w:val="28"/>
          <w:szCs w:val="28"/>
          <w:lang w:val="fr-FR"/>
        </w:rPr>
      </w:pPr>
      <w:r w:rsidRPr="002A2EA6">
        <w:rPr>
          <w:sz w:val="28"/>
          <w:szCs w:val="28"/>
          <w:lang w:val="fr-FR"/>
        </w:rPr>
        <w:tab/>
        <w:t>Annexe I de la décision MC-3/10</w:t>
      </w:r>
    </w:p>
    <w:p w14:paraId="3A286520" w14:textId="77777777" w:rsidR="003F5D8A" w:rsidRPr="002A2EA6" w:rsidRDefault="003F5D8A" w:rsidP="003F5D8A">
      <w:pPr>
        <w:pStyle w:val="CH2"/>
        <w:spacing w:before="0"/>
        <w:rPr>
          <w:lang w:val="fr-FR"/>
        </w:rPr>
      </w:pPr>
      <w:r w:rsidRPr="002A2EA6">
        <w:rPr>
          <w:lang w:val="fr-FR"/>
        </w:rPr>
        <w:tab/>
      </w:r>
      <w:r w:rsidRPr="002A2EA6">
        <w:rPr>
          <w:lang w:val="fr-FR"/>
        </w:rPr>
        <w:tab/>
      </w:r>
      <w:bookmarkStart w:id="22" w:name="_Toc39063363"/>
      <w:r w:rsidRPr="002A2EA6">
        <w:rPr>
          <w:lang w:val="fr-FR"/>
        </w:rPr>
        <w:t>Indicateurs proposés pour l</w:t>
      </w:r>
      <w:r>
        <w:rPr>
          <w:lang w:val="fr-FR"/>
        </w:rPr>
        <w:t>’</w:t>
      </w:r>
      <w:r w:rsidRPr="002A2EA6">
        <w:rPr>
          <w:lang w:val="fr-FR"/>
        </w:rPr>
        <w:t>évaluation de l</w:t>
      </w:r>
      <w:r>
        <w:rPr>
          <w:lang w:val="fr-FR"/>
        </w:rPr>
        <w:t>’</w:t>
      </w:r>
      <w:r w:rsidRPr="002A2EA6">
        <w:rPr>
          <w:lang w:val="fr-FR"/>
        </w:rPr>
        <w:t>efficacité de Convention Minamata, par article</w:t>
      </w:r>
      <w:bookmarkEnd w:id="22"/>
    </w:p>
    <w:tbl>
      <w:tblPr>
        <w:tblStyle w:val="PlainTable2"/>
        <w:tblW w:w="8307" w:type="dxa"/>
        <w:jc w:val="right"/>
        <w:tblLook w:val="04A0" w:firstRow="1" w:lastRow="0" w:firstColumn="1" w:lastColumn="0" w:noHBand="0" w:noVBand="1"/>
      </w:tblPr>
      <w:tblGrid>
        <w:gridCol w:w="1834"/>
        <w:gridCol w:w="2702"/>
        <w:gridCol w:w="1843"/>
        <w:gridCol w:w="1928"/>
      </w:tblGrid>
      <w:tr w:rsidR="003F5D8A" w:rsidRPr="002A2EA6" w14:paraId="657BBAA2" w14:textId="77777777" w:rsidTr="00494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3ABC5604" w14:textId="77777777" w:rsidR="003F5D8A" w:rsidRPr="00375AFC" w:rsidRDefault="003F5D8A" w:rsidP="00494016">
            <w:pPr>
              <w:spacing w:before="20" w:after="120"/>
              <w:rPr>
                <w:b w:val="0"/>
                <w:i/>
                <w:iCs/>
                <w:sz w:val="18"/>
                <w:szCs w:val="18"/>
              </w:rPr>
            </w:pPr>
            <w:r w:rsidRPr="00375AFC">
              <w:rPr>
                <w:b w:val="0"/>
                <w:i/>
                <w:iCs/>
                <w:sz w:val="18"/>
                <w:szCs w:val="18"/>
              </w:rPr>
              <w:t xml:space="preserve">A : Article premier (Objectif) </w:t>
            </w:r>
          </w:p>
          <w:p w14:paraId="663CA5AD" w14:textId="77777777" w:rsidR="003F5D8A" w:rsidRPr="00774149" w:rsidRDefault="003F5D8A" w:rsidP="00494016">
            <w:pPr>
              <w:spacing w:before="20" w:after="20"/>
              <w:ind w:left="567"/>
              <w:rPr>
                <w:b w:val="0"/>
                <w:bCs w:val="0"/>
                <w:sz w:val="18"/>
                <w:szCs w:val="18"/>
              </w:rPr>
            </w:pPr>
            <w:r w:rsidRPr="00774149">
              <w:rPr>
                <w:b w:val="0"/>
                <w:bCs w:val="0"/>
                <w:sz w:val="18"/>
                <w:szCs w:val="18"/>
              </w:rPr>
              <w:lastRenderedPageBreak/>
              <w:t>(L</w:t>
            </w:r>
            <w:r>
              <w:rPr>
                <w:b w:val="0"/>
                <w:bCs w:val="0"/>
                <w:sz w:val="18"/>
                <w:szCs w:val="18"/>
              </w:rPr>
              <w:t>’</w:t>
            </w:r>
            <w:r w:rsidRPr="00774149">
              <w:rPr>
                <w:b w:val="0"/>
                <w:bCs w:val="0"/>
                <w:sz w:val="18"/>
                <w:szCs w:val="18"/>
              </w:rPr>
              <w:t>indicateur de l</w:t>
            </w:r>
            <w:r>
              <w:rPr>
                <w:b w:val="0"/>
                <w:bCs w:val="0"/>
                <w:sz w:val="18"/>
                <w:szCs w:val="18"/>
              </w:rPr>
              <w:t>’</w:t>
            </w:r>
            <w:r w:rsidRPr="00774149">
              <w:rPr>
                <w:b w:val="0"/>
                <w:bCs w:val="0"/>
                <w:sz w:val="18"/>
                <w:szCs w:val="18"/>
              </w:rPr>
              <w:t>article premier doit être lu parallèlement aux indicateurs de surveillance figurant au tableau 4</w:t>
            </w:r>
            <w:r>
              <w:rPr>
                <w:b w:val="0"/>
                <w:bCs w:val="0"/>
                <w:sz w:val="18"/>
                <w:szCs w:val="18"/>
              </w:rPr>
              <w:t xml:space="preserve"> du document </w:t>
            </w:r>
            <w:r w:rsidRPr="00375475">
              <w:rPr>
                <w:b w:val="0"/>
                <w:bCs w:val="0"/>
                <w:sz w:val="18"/>
                <w:szCs w:val="18"/>
              </w:rPr>
              <w:t>UNEP/MC/COP.3/14</w:t>
            </w:r>
            <w:r w:rsidRPr="0077414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3FACCFF7" w14:textId="77777777" w:rsidR="003F5D8A" w:rsidRPr="00375AFC" w:rsidRDefault="003F5D8A" w:rsidP="00494016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/>
                <w:b w:val="0"/>
                <w:i/>
                <w:iCs/>
                <w:sz w:val="18"/>
                <w:szCs w:val="18"/>
              </w:rPr>
            </w:pPr>
            <w:r w:rsidRPr="00375AFC">
              <w:rPr>
                <w:b w:val="0"/>
                <w:bCs w:val="0"/>
                <w:i/>
                <w:iCs/>
                <w:sz w:val="18"/>
                <w:szCs w:val="18"/>
              </w:rPr>
              <w:lastRenderedPageBreak/>
              <w:t xml:space="preserve">Source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br/>
            </w:r>
            <w:r w:rsidRPr="00375AFC">
              <w:rPr>
                <w:b w:val="0"/>
                <w:bCs w:val="0"/>
                <w:i/>
                <w:iCs/>
                <w:sz w:val="18"/>
                <w:szCs w:val="18"/>
              </w:rPr>
              <w:t>d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’</w:t>
            </w:r>
            <w:r w:rsidRPr="00375AFC">
              <w:rPr>
                <w:b w:val="0"/>
                <w:bCs w:val="0"/>
                <w:i/>
                <w:iCs/>
                <w:sz w:val="18"/>
                <w:szCs w:val="18"/>
              </w:rPr>
              <w:t xml:space="preserve">information </w:t>
            </w:r>
            <w:r w:rsidRPr="00375AFC">
              <w:rPr>
                <w:b w:val="0"/>
                <w:bCs w:val="0"/>
                <w:i/>
                <w:iCs/>
                <w:sz w:val="18"/>
                <w:szCs w:val="18"/>
              </w:rPr>
              <w:lastRenderedPageBreak/>
              <w:t>concernant l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’</w:t>
            </w:r>
            <w:r w:rsidRPr="00375AFC">
              <w:rPr>
                <w:b w:val="0"/>
                <w:bCs w:val="0"/>
                <w:i/>
                <w:iCs/>
                <w:sz w:val="18"/>
                <w:szCs w:val="18"/>
              </w:rPr>
              <w:t>indicateur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63B302B5" w14:textId="77777777" w:rsidR="003F5D8A" w:rsidRPr="00375AFC" w:rsidRDefault="003F5D8A" w:rsidP="00494016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/>
                <w:b w:val="0"/>
                <w:bCs w:val="0"/>
                <w:i/>
                <w:iCs/>
                <w:sz w:val="18"/>
                <w:szCs w:val="18"/>
              </w:rPr>
            </w:pPr>
            <w:r w:rsidRPr="00375AFC">
              <w:rPr>
                <w:b w:val="0"/>
                <w:i/>
                <w:iCs/>
                <w:sz w:val="18"/>
                <w:szCs w:val="18"/>
              </w:rPr>
              <w:lastRenderedPageBreak/>
              <w:t>Valeur de référence pour</w:t>
            </w:r>
            <w:r>
              <w:rPr>
                <w:b w:val="0"/>
                <w:i/>
                <w:iCs/>
                <w:sz w:val="18"/>
                <w:szCs w:val="18"/>
              </w:rPr>
              <w:t> </w:t>
            </w:r>
            <w:r w:rsidRPr="00375AFC">
              <w:rPr>
                <w:b w:val="0"/>
                <w:i/>
                <w:iCs/>
                <w:sz w:val="18"/>
                <w:szCs w:val="18"/>
              </w:rPr>
              <w:t>l</w:t>
            </w:r>
            <w:r>
              <w:rPr>
                <w:b w:val="0"/>
                <w:i/>
                <w:iCs/>
                <w:sz w:val="18"/>
                <w:szCs w:val="18"/>
              </w:rPr>
              <w:t>’</w:t>
            </w:r>
            <w:r w:rsidRPr="00375AFC">
              <w:rPr>
                <w:b w:val="0"/>
                <w:i/>
                <w:iCs/>
                <w:sz w:val="18"/>
                <w:szCs w:val="18"/>
              </w:rPr>
              <w:t>indicateur</w:t>
            </w:r>
          </w:p>
        </w:tc>
      </w:tr>
      <w:tr w:rsidR="003F5D8A" w:rsidRPr="002A2EA6" w14:paraId="67A169ED" w14:textId="77777777" w:rsidTr="0049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top w:val="single" w:sz="12" w:space="0" w:color="auto"/>
              <w:bottom w:val="nil"/>
            </w:tcBorders>
            <w:hideMark/>
          </w:tcPr>
          <w:p w14:paraId="56B3D3BC" w14:textId="77777777" w:rsidR="003F5D8A" w:rsidRPr="00375AFC" w:rsidRDefault="003F5D8A" w:rsidP="00494016">
            <w:pPr>
              <w:spacing w:before="20" w:after="20"/>
              <w:rPr>
                <w:b w:val="0"/>
                <w:bCs w:val="0"/>
                <w:sz w:val="18"/>
                <w:szCs w:val="18"/>
              </w:rPr>
            </w:pPr>
            <w:r w:rsidRPr="00375AFC">
              <w:rPr>
                <w:b w:val="0"/>
                <w:bCs w:val="0"/>
                <w:sz w:val="18"/>
                <w:szCs w:val="18"/>
              </w:rPr>
              <w:t>A1. Indicateur de surveillance transversal</w:t>
            </w:r>
          </w:p>
        </w:tc>
        <w:tc>
          <w:tcPr>
            <w:tcW w:w="2702" w:type="dxa"/>
            <w:tcBorders>
              <w:top w:val="single" w:sz="12" w:space="0" w:color="auto"/>
              <w:bottom w:val="nil"/>
            </w:tcBorders>
            <w:hideMark/>
          </w:tcPr>
          <w:p w14:paraId="4BCEA8F1" w14:textId="77777777" w:rsidR="003F5D8A" w:rsidRPr="002A2EA6" w:rsidRDefault="003F5D8A" w:rsidP="004940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Concentrations de mercure dans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environnement et la population humaine dues aux émissions et aux</w:t>
            </w:r>
            <w:r>
              <w:rPr>
                <w:sz w:val="18"/>
                <w:szCs w:val="18"/>
              </w:rPr>
              <w:t> </w:t>
            </w:r>
            <w:r w:rsidRPr="002A2EA6">
              <w:rPr>
                <w:sz w:val="18"/>
                <w:szCs w:val="18"/>
              </w:rPr>
              <w:t>rejets anthropiques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5233F0A1" w14:textId="77777777" w:rsidR="003F5D8A" w:rsidRPr="002A2EA6" w:rsidRDefault="003F5D8A" w:rsidP="004940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Modélisation attributive</w:t>
            </w:r>
          </w:p>
        </w:tc>
        <w:tc>
          <w:tcPr>
            <w:tcW w:w="1928" w:type="dxa"/>
            <w:tcBorders>
              <w:top w:val="single" w:sz="12" w:space="0" w:color="auto"/>
              <w:bottom w:val="nil"/>
            </w:tcBorders>
            <w:hideMark/>
          </w:tcPr>
          <w:p w14:paraId="2DA32A7B" w14:textId="77777777" w:rsidR="003F5D8A" w:rsidRPr="002A2EA6" w:rsidRDefault="003F5D8A" w:rsidP="004940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Quantité dans la première évaluation (si des modèles sont disponibles)</w:t>
            </w:r>
          </w:p>
        </w:tc>
      </w:tr>
      <w:tr w:rsidR="003F5D8A" w:rsidRPr="002A2EA6" w14:paraId="16F3EAC3" w14:textId="77777777" w:rsidTr="00494016">
        <w:trPr>
          <w:trHeight w:val="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top w:val="nil"/>
              <w:bottom w:val="single" w:sz="12" w:space="0" w:color="auto"/>
            </w:tcBorders>
            <w:hideMark/>
          </w:tcPr>
          <w:p w14:paraId="3669A09C" w14:textId="77777777" w:rsidR="003F5D8A" w:rsidRPr="00375AFC" w:rsidRDefault="003F5D8A" w:rsidP="00494016">
            <w:pPr>
              <w:spacing w:before="120" w:after="20"/>
              <w:rPr>
                <w:sz w:val="18"/>
                <w:szCs w:val="18"/>
              </w:rPr>
            </w:pPr>
            <w:r w:rsidRPr="00375AFC">
              <w:rPr>
                <w:sz w:val="18"/>
                <w:szCs w:val="18"/>
              </w:rPr>
              <w:t>Notes</w:t>
            </w:r>
          </w:p>
        </w:tc>
        <w:tc>
          <w:tcPr>
            <w:tcW w:w="6473" w:type="dxa"/>
            <w:gridSpan w:val="3"/>
            <w:tcBorders>
              <w:top w:val="nil"/>
              <w:bottom w:val="single" w:sz="12" w:space="0" w:color="auto"/>
            </w:tcBorders>
            <w:hideMark/>
          </w:tcPr>
          <w:p w14:paraId="0D434FA6" w14:textId="77777777" w:rsidR="003F5D8A" w:rsidRPr="002A2EA6" w:rsidRDefault="003F5D8A" w:rsidP="00494016">
            <w:pPr>
              <w:pStyle w:val="ListParagraph"/>
              <w:numPr>
                <w:ilvl w:val="0"/>
                <w:numId w:val="20"/>
              </w:numPr>
              <w:tabs>
                <w:tab w:val="left" w:pos="850"/>
              </w:tabs>
              <w:spacing w:before="120" w:after="20"/>
              <w:ind w:left="28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attribution doit être estimée à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aide de modèles qui n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ont pas encore été élaborés ; par conséquent, les informations pour cet indicateur peuvent être disponibles ou non pour le premier cycle du comité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évaluation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efficacité.</w:t>
            </w:r>
          </w:p>
          <w:p w14:paraId="6A535803" w14:textId="77777777" w:rsidR="003F5D8A" w:rsidRPr="002A2EA6" w:rsidRDefault="003F5D8A" w:rsidP="00494016">
            <w:pPr>
              <w:pStyle w:val="ListParagraph"/>
              <w:numPr>
                <w:ilvl w:val="0"/>
                <w:numId w:val="20"/>
              </w:numPr>
              <w:tabs>
                <w:tab w:val="left" w:pos="850"/>
              </w:tabs>
              <w:spacing w:before="120" w:after="20"/>
              <w:ind w:left="28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Les estimations issues de la modélisation doivent être accompagnées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observations pertinentes sur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incertitude de la modélisation.</w:t>
            </w:r>
          </w:p>
          <w:p w14:paraId="1A645A96" w14:textId="77777777" w:rsidR="003F5D8A" w:rsidRPr="002A2EA6" w:rsidRDefault="003F5D8A" w:rsidP="00494016">
            <w:pPr>
              <w:pStyle w:val="ListParagraph"/>
              <w:numPr>
                <w:ilvl w:val="0"/>
                <w:numId w:val="20"/>
              </w:numPr>
              <w:tabs>
                <w:tab w:val="left" w:pos="850"/>
              </w:tabs>
              <w:spacing w:before="120" w:after="20"/>
              <w:ind w:left="28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En cas de non-disponibilité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informations provenant des modèles, les concentrations du mercure et les tendances y relatives (variations dans le temps) pourraient être utilisées à des fins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attribution.</w:t>
            </w:r>
          </w:p>
        </w:tc>
      </w:tr>
    </w:tbl>
    <w:p w14:paraId="2681EC25" w14:textId="77777777" w:rsidR="003F5D8A" w:rsidRDefault="003F5D8A" w:rsidP="003F5D8A">
      <w:pPr>
        <w:spacing w:before="20" w:after="20"/>
        <w:rPr>
          <w:sz w:val="12"/>
          <w:szCs w:val="12"/>
        </w:rPr>
      </w:pPr>
    </w:p>
    <w:p w14:paraId="614D0ED9" w14:textId="77777777" w:rsidR="003F5D8A" w:rsidRDefault="003F5D8A" w:rsidP="003F5D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 w:val="12"/>
          <w:szCs w:val="12"/>
        </w:rPr>
      </w:pPr>
    </w:p>
    <w:tbl>
      <w:tblPr>
        <w:tblStyle w:val="PlainTable2"/>
        <w:tblW w:w="8307" w:type="dxa"/>
        <w:jc w:val="right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1928"/>
      </w:tblGrid>
      <w:tr w:rsidR="003F5D8A" w:rsidRPr="002A2EA6" w14:paraId="6AE6196A" w14:textId="77777777" w:rsidTr="00494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643F78A4" w14:textId="77777777" w:rsidR="003F5D8A" w:rsidRPr="004A7BEE" w:rsidRDefault="003F5D8A" w:rsidP="00494016">
            <w:pPr>
              <w:spacing w:before="20" w:after="20"/>
              <w:rPr>
                <w:b w:val="0"/>
                <w:i/>
                <w:iCs/>
                <w:sz w:val="18"/>
                <w:szCs w:val="18"/>
              </w:rPr>
            </w:pPr>
            <w:r w:rsidRPr="004A7BEE">
              <w:rPr>
                <w:b w:val="0"/>
                <w:i/>
                <w:iCs/>
                <w:sz w:val="18"/>
                <w:szCs w:val="18"/>
              </w:rPr>
              <w:t>B : groupe Approvisionnement</w:t>
            </w:r>
          </w:p>
          <w:p w14:paraId="7204154D" w14:textId="77777777" w:rsidR="003F5D8A" w:rsidRPr="004A7BEE" w:rsidRDefault="003F5D8A" w:rsidP="00494016">
            <w:pPr>
              <w:spacing w:before="20" w:after="20"/>
              <w:ind w:left="567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4A7BEE">
              <w:rPr>
                <w:b w:val="0"/>
                <w:i/>
                <w:iCs/>
              </w:rPr>
              <w:t>A</w:t>
            </w:r>
            <w:r w:rsidRPr="004A7BEE">
              <w:rPr>
                <w:b w:val="0"/>
                <w:i/>
                <w:iCs/>
                <w:sz w:val="18"/>
                <w:szCs w:val="18"/>
              </w:rPr>
              <w:t>rticle 3 (Sources d</w:t>
            </w:r>
            <w:r>
              <w:rPr>
                <w:b w:val="0"/>
                <w:i/>
                <w:iCs/>
                <w:sz w:val="18"/>
                <w:szCs w:val="18"/>
              </w:rPr>
              <w:t>’</w:t>
            </w:r>
            <w:r w:rsidRPr="004A7BEE">
              <w:rPr>
                <w:b w:val="0"/>
                <w:i/>
                <w:iCs/>
                <w:sz w:val="18"/>
                <w:szCs w:val="18"/>
              </w:rPr>
              <w:t>approvisionnement en mercure et commerce) ; article 10 (Stockage provisoire écologiquement rationnel du mercure, à l</w:t>
            </w:r>
            <w:r>
              <w:rPr>
                <w:b w:val="0"/>
                <w:i/>
                <w:iCs/>
                <w:sz w:val="18"/>
                <w:szCs w:val="18"/>
              </w:rPr>
              <w:t>’</w:t>
            </w:r>
            <w:r w:rsidRPr="004A7BEE">
              <w:rPr>
                <w:b w:val="0"/>
                <w:i/>
                <w:iCs/>
                <w:sz w:val="18"/>
                <w:szCs w:val="18"/>
              </w:rPr>
              <w:t xml:space="preserve">exclusion </w:t>
            </w:r>
            <w:bookmarkStart w:id="23" w:name="_GoBack"/>
            <w:bookmarkEnd w:id="23"/>
            <w:r w:rsidRPr="004A7BEE">
              <w:rPr>
                <w:b w:val="0"/>
                <w:i/>
                <w:iCs/>
                <w:sz w:val="18"/>
                <w:szCs w:val="18"/>
              </w:rPr>
              <w:t>des déchets de mercure) ; article 11 (Déchets de mercure)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21B21021" w14:textId="77777777" w:rsidR="003F5D8A" w:rsidRPr="004A7BEE" w:rsidRDefault="003F5D8A" w:rsidP="00494016">
            <w:pPr>
              <w:keepNext/>
              <w:keepLines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4A7BEE">
              <w:rPr>
                <w:b w:val="0"/>
                <w:bCs w:val="0"/>
                <w:i/>
                <w:iCs/>
                <w:sz w:val="18"/>
                <w:szCs w:val="18"/>
              </w:rPr>
              <w:t xml:space="preserve">Source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br/>
            </w:r>
            <w:r w:rsidRPr="004A7BEE">
              <w:rPr>
                <w:b w:val="0"/>
                <w:bCs w:val="0"/>
                <w:i/>
                <w:iCs/>
                <w:sz w:val="18"/>
                <w:szCs w:val="18"/>
              </w:rPr>
              <w:t>d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’</w:t>
            </w:r>
            <w:r w:rsidRPr="004A7BEE">
              <w:rPr>
                <w:b w:val="0"/>
                <w:bCs w:val="0"/>
                <w:i/>
                <w:iCs/>
                <w:sz w:val="18"/>
                <w:szCs w:val="18"/>
              </w:rPr>
              <w:t>information concernant l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’</w:t>
            </w:r>
            <w:r w:rsidRPr="004A7BEE">
              <w:rPr>
                <w:b w:val="0"/>
                <w:bCs w:val="0"/>
                <w:i/>
                <w:iCs/>
                <w:sz w:val="18"/>
                <w:szCs w:val="18"/>
              </w:rPr>
              <w:t>indicateur</w:t>
            </w:r>
          </w:p>
        </w:tc>
        <w:tc>
          <w:tcPr>
            <w:tcW w:w="1928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47217DDB" w14:textId="77777777" w:rsidR="003F5D8A" w:rsidRPr="004A7BEE" w:rsidRDefault="003F5D8A" w:rsidP="00494016">
            <w:pPr>
              <w:keepNext/>
              <w:keepLines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4A7BEE">
              <w:rPr>
                <w:b w:val="0"/>
                <w:i/>
                <w:iCs/>
                <w:sz w:val="18"/>
                <w:szCs w:val="18"/>
              </w:rPr>
              <w:t>Valeur de référence pour l</w:t>
            </w:r>
            <w:r>
              <w:rPr>
                <w:b w:val="0"/>
                <w:i/>
                <w:iCs/>
                <w:sz w:val="18"/>
                <w:szCs w:val="18"/>
              </w:rPr>
              <w:t>’</w:t>
            </w:r>
            <w:r w:rsidRPr="004A7BEE">
              <w:rPr>
                <w:b w:val="0"/>
                <w:i/>
                <w:iCs/>
                <w:sz w:val="18"/>
                <w:szCs w:val="18"/>
              </w:rPr>
              <w:t>indicateur</w:t>
            </w:r>
          </w:p>
        </w:tc>
      </w:tr>
      <w:tr w:rsidR="003F5D8A" w:rsidRPr="002A2EA6" w14:paraId="04BB925F" w14:textId="77777777" w:rsidTr="0049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2" w:space="0" w:color="auto"/>
              <w:bottom w:val="nil"/>
            </w:tcBorders>
            <w:hideMark/>
          </w:tcPr>
          <w:p w14:paraId="1869F610" w14:textId="77777777" w:rsidR="003F5D8A" w:rsidRPr="004A7BEE" w:rsidRDefault="003F5D8A" w:rsidP="00494016">
            <w:pPr>
              <w:spacing w:before="20" w:after="20"/>
              <w:rPr>
                <w:b w:val="0"/>
                <w:sz w:val="18"/>
                <w:szCs w:val="18"/>
              </w:rPr>
            </w:pPr>
            <w:r w:rsidRPr="004A7BEE">
              <w:rPr>
                <w:b w:val="0"/>
                <w:sz w:val="18"/>
                <w:szCs w:val="18"/>
              </w:rPr>
              <w:t>B1. Indicateur de méthode global pour les articles 3, 10 et 11</w:t>
            </w:r>
          </w:p>
        </w:tc>
        <w:tc>
          <w:tcPr>
            <w:tcW w:w="2693" w:type="dxa"/>
            <w:tcBorders>
              <w:top w:val="single" w:sz="12" w:space="0" w:color="auto"/>
              <w:bottom w:val="nil"/>
            </w:tcBorders>
            <w:hideMark/>
          </w:tcPr>
          <w:p w14:paraId="341195B6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Proportion de Parties ayant mis en œuvre des dispositions clefs dans le cadre de ce groupe (englobant tous les indicateurs de méthode ci</w:t>
            </w:r>
            <w:r>
              <w:rPr>
                <w:sz w:val="18"/>
                <w:szCs w:val="18"/>
              </w:rPr>
              <w:noBreakHyphen/>
            </w:r>
            <w:r w:rsidRPr="002A2EA6">
              <w:rPr>
                <w:sz w:val="18"/>
                <w:szCs w:val="18"/>
              </w:rPr>
              <w:t>dessous, c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est</w:t>
            </w:r>
            <w:r w:rsidRPr="002A2EA6">
              <w:rPr>
                <w:sz w:val="18"/>
                <w:szCs w:val="18"/>
              </w:rPr>
              <w:noBreakHyphen/>
              <w:t>à</w:t>
            </w:r>
            <w:r w:rsidRPr="002A2EA6">
              <w:rPr>
                <w:sz w:val="18"/>
                <w:szCs w:val="18"/>
              </w:rPr>
              <w:noBreakHyphen/>
              <w:t>dire B5, B6, B7, B8, B9 et B13)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21A92F0D" w14:textId="77777777" w:rsidR="003F5D8A" w:rsidRPr="002A2EA6" w:rsidRDefault="003F5D8A" w:rsidP="00494016">
            <w:pPr>
              <w:keepNext/>
              <w:keepLines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</w:t>
            </w:r>
            <w:r w:rsidRPr="002A2EA6">
              <w:rPr>
                <w:sz w:val="18"/>
                <w:szCs w:val="18"/>
              </w:rPr>
              <w:t>Rapports</w:t>
            </w:r>
            <w:r w:rsidRPr="002A2EA6">
              <w:rPr>
                <w:iCs/>
                <w:sz w:val="18"/>
                <w:szCs w:val="18"/>
              </w:rPr>
              <w:t xml:space="preserve"> </w:t>
            </w:r>
            <w:r w:rsidRPr="002A2EA6">
              <w:rPr>
                <w:sz w:val="18"/>
                <w:szCs w:val="18"/>
              </w:rPr>
              <w:t xml:space="preserve">établis </w:t>
            </w:r>
            <w:r w:rsidRPr="002A2EA6">
              <w:rPr>
                <w:iCs/>
                <w:sz w:val="18"/>
                <w:szCs w:val="18"/>
              </w:rPr>
              <w:t>au titre de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>article 21</w:t>
            </w:r>
          </w:p>
        </w:tc>
        <w:tc>
          <w:tcPr>
            <w:tcW w:w="1928" w:type="dxa"/>
            <w:tcBorders>
              <w:top w:val="single" w:sz="12" w:space="0" w:color="auto"/>
              <w:bottom w:val="nil"/>
            </w:tcBorders>
            <w:hideMark/>
          </w:tcPr>
          <w:p w14:paraId="727EC795" w14:textId="77777777" w:rsidR="003F5D8A" w:rsidRPr="002A2EA6" w:rsidRDefault="003F5D8A" w:rsidP="00494016">
            <w:pPr>
              <w:keepNext/>
              <w:keepLines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Proportion </w:t>
            </w:r>
            <w:r w:rsidRPr="002A2EA6">
              <w:rPr>
                <w:sz w:val="18"/>
                <w:szCs w:val="18"/>
              </w:rPr>
              <w:t>dans la première évaluation</w:t>
            </w:r>
          </w:p>
        </w:tc>
      </w:tr>
      <w:tr w:rsidR="003F5D8A" w:rsidRPr="002A2EA6" w14:paraId="08FD5AA0" w14:textId="77777777" w:rsidTr="00494016">
        <w:trPr>
          <w:trHeight w:val="62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single" w:sz="2" w:space="0" w:color="auto"/>
            </w:tcBorders>
            <w:hideMark/>
          </w:tcPr>
          <w:p w14:paraId="2AEB0813" w14:textId="77777777" w:rsidR="003F5D8A" w:rsidRPr="004A7BEE" w:rsidRDefault="003F5D8A" w:rsidP="00494016">
            <w:pPr>
              <w:keepNext/>
              <w:keepLines/>
              <w:spacing w:before="20" w:after="20"/>
              <w:rPr>
                <w:b w:val="0"/>
                <w:sz w:val="18"/>
                <w:szCs w:val="18"/>
              </w:rPr>
            </w:pPr>
            <w:r w:rsidRPr="004A7BEE">
              <w:rPr>
                <w:b w:val="0"/>
                <w:sz w:val="18"/>
                <w:szCs w:val="18"/>
              </w:rPr>
              <w:t>B2. Indicateur de résultat transversal supplémentaire pour les articles 3, 10 et 11</w:t>
            </w:r>
          </w:p>
        </w:tc>
        <w:tc>
          <w:tcPr>
            <w:tcW w:w="2693" w:type="dxa"/>
            <w:tcBorders>
              <w:top w:val="nil"/>
              <w:bottom w:val="single" w:sz="2" w:space="0" w:color="auto"/>
            </w:tcBorders>
          </w:tcPr>
          <w:p w14:paraId="15A19846" w14:textId="77777777" w:rsidR="003F5D8A" w:rsidRPr="002A2EA6" w:rsidRDefault="003F5D8A" w:rsidP="00494016">
            <w:pPr>
              <w:keepNext/>
              <w:keepLines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Estimation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approvisionnement mondial en mercure, en tonnes par an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hideMark/>
          </w:tcPr>
          <w:p w14:paraId="735B60F6" w14:textId="77777777" w:rsidR="003F5D8A" w:rsidRPr="002A2EA6" w:rsidRDefault="003F5D8A" w:rsidP="00494016">
            <w:pPr>
              <w:keepNext/>
              <w:keepLines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Informations synthétisées à partir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indicateurs individuels pour les articles 3, 10 et 11</w:t>
            </w:r>
          </w:p>
        </w:tc>
        <w:tc>
          <w:tcPr>
            <w:tcW w:w="1928" w:type="dxa"/>
            <w:tcBorders>
              <w:top w:val="nil"/>
              <w:bottom w:val="single" w:sz="2" w:space="0" w:color="auto"/>
            </w:tcBorders>
            <w:hideMark/>
          </w:tcPr>
          <w:p w14:paraId="13A3ABAA" w14:textId="77777777" w:rsidR="003F5D8A" w:rsidRPr="002A2EA6" w:rsidRDefault="003F5D8A" w:rsidP="00494016">
            <w:pPr>
              <w:keepNext/>
              <w:keepLines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Quantité dans la première évaluation</w:t>
            </w:r>
          </w:p>
        </w:tc>
      </w:tr>
      <w:tr w:rsidR="003F5D8A" w:rsidRPr="002A2EA6" w14:paraId="7B98307A" w14:textId="77777777" w:rsidTr="0049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7A8A52A3" w14:textId="77777777" w:rsidR="003F5D8A" w:rsidRPr="004A7BEE" w:rsidRDefault="003F5D8A" w:rsidP="00494016">
            <w:pPr>
              <w:spacing w:before="120" w:after="120"/>
              <w:rPr>
                <w:bCs w:val="0"/>
                <w:sz w:val="18"/>
                <w:szCs w:val="18"/>
              </w:rPr>
            </w:pPr>
            <w:r w:rsidRPr="004A7BEE">
              <w:rPr>
                <w:bCs w:val="0"/>
                <w:sz w:val="18"/>
                <w:szCs w:val="18"/>
              </w:rPr>
              <w:t>Article 3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14:paraId="27911EFE" w14:textId="77777777" w:rsidR="003F5D8A" w:rsidRPr="002A2EA6" w:rsidRDefault="003F5D8A" w:rsidP="004940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055EBFC8" w14:textId="77777777" w:rsidR="003F5D8A" w:rsidRPr="002A2EA6" w:rsidRDefault="003F5D8A" w:rsidP="00494016">
            <w:pPr>
              <w:spacing w:before="20" w:after="20"/>
              <w:ind w:right="-1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auto"/>
              <w:bottom w:val="single" w:sz="2" w:space="0" w:color="auto"/>
            </w:tcBorders>
          </w:tcPr>
          <w:p w14:paraId="1EF01667" w14:textId="77777777" w:rsidR="003F5D8A" w:rsidRPr="002A2EA6" w:rsidRDefault="003F5D8A" w:rsidP="00494016">
            <w:pPr>
              <w:spacing w:before="20" w:after="20"/>
              <w:ind w:right="-1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F5D8A" w:rsidRPr="002A2EA6" w14:paraId="1C9AA804" w14:textId="77777777" w:rsidTr="00494016">
        <w:trPr>
          <w:trHeight w:val="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auto"/>
              <w:bottom w:val="nil"/>
            </w:tcBorders>
            <w:hideMark/>
          </w:tcPr>
          <w:p w14:paraId="1888A7F7" w14:textId="77777777" w:rsidR="003F5D8A" w:rsidRPr="004A7BEE" w:rsidRDefault="003F5D8A" w:rsidP="00494016">
            <w:pPr>
              <w:spacing w:before="20" w:after="20"/>
              <w:rPr>
                <w:b w:val="0"/>
                <w:sz w:val="18"/>
                <w:szCs w:val="18"/>
              </w:rPr>
            </w:pPr>
            <w:r w:rsidRPr="004A7BEE">
              <w:rPr>
                <w:b w:val="0"/>
                <w:sz w:val="18"/>
                <w:szCs w:val="18"/>
              </w:rPr>
              <w:t>B3. Indicateur de résultat pour l</w:t>
            </w:r>
            <w:r>
              <w:rPr>
                <w:b w:val="0"/>
                <w:sz w:val="18"/>
                <w:szCs w:val="18"/>
              </w:rPr>
              <w:t>’</w:t>
            </w:r>
            <w:r w:rsidRPr="004A7BEE">
              <w:rPr>
                <w:b w:val="0"/>
                <w:sz w:val="18"/>
                <w:szCs w:val="18"/>
              </w:rPr>
              <w:t>article 3</w:t>
            </w:r>
          </w:p>
        </w:tc>
        <w:tc>
          <w:tcPr>
            <w:tcW w:w="2693" w:type="dxa"/>
            <w:tcBorders>
              <w:top w:val="single" w:sz="2" w:space="0" w:color="auto"/>
              <w:bottom w:val="nil"/>
            </w:tcBorders>
          </w:tcPr>
          <w:p w14:paraId="4DA07B15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Quantité totale de mercure extraite des mines de mercure primaire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  <w:hideMark/>
          </w:tcPr>
          <w:p w14:paraId="209EB1FE" w14:textId="77777777" w:rsidR="003F5D8A" w:rsidRPr="002A2EA6" w:rsidRDefault="003F5D8A" w:rsidP="004940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 de 2017 sur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approvisionnement, le commerce et la demande de mercure</w:t>
            </w:r>
          </w:p>
          <w:p w14:paraId="031F1D31" w14:textId="77777777" w:rsidR="003F5D8A" w:rsidRPr="002A2EA6" w:rsidRDefault="003F5D8A" w:rsidP="004940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</w:t>
            </w:r>
            <w:r w:rsidRPr="002A2EA6">
              <w:rPr>
                <w:sz w:val="18"/>
                <w:szCs w:val="18"/>
              </w:rPr>
              <w:t>Rapports</w:t>
            </w:r>
            <w:r w:rsidRPr="002A2EA6">
              <w:rPr>
                <w:iCs/>
                <w:sz w:val="18"/>
                <w:szCs w:val="18"/>
              </w:rPr>
              <w:t xml:space="preserve"> </w:t>
            </w:r>
            <w:r w:rsidRPr="002A2EA6">
              <w:rPr>
                <w:sz w:val="18"/>
                <w:szCs w:val="18"/>
              </w:rPr>
              <w:t xml:space="preserve">établis </w:t>
            </w:r>
            <w:r w:rsidRPr="002A2EA6">
              <w:rPr>
                <w:iCs/>
                <w:sz w:val="18"/>
                <w:szCs w:val="18"/>
              </w:rPr>
              <w:t>au titre de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>article 21</w:t>
            </w:r>
          </w:p>
          <w:p w14:paraId="5BAF91F4" w14:textId="77777777" w:rsidR="003F5D8A" w:rsidRPr="002A2EA6" w:rsidRDefault="003F5D8A" w:rsidP="004940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Rapports du plan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action national en matière d</w:t>
            </w:r>
            <w:r>
              <w:t>’</w:t>
            </w:r>
            <w:r w:rsidRPr="002A2EA6">
              <w:rPr>
                <w:sz w:val="18"/>
                <w:szCs w:val="18"/>
              </w:rPr>
              <w:t>exploitation artisanale et à petite échelle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or</w:t>
            </w:r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  <w:hideMark/>
          </w:tcPr>
          <w:p w14:paraId="797F1D79" w14:textId="77777777" w:rsidR="003F5D8A" w:rsidRPr="002A2EA6" w:rsidRDefault="003F5D8A" w:rsidP="004940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Quantité dans la première évaluation</w:t>
            </w:r>
          </w:p>
        </w:tc>
      </w:tr>
      <w:tr w:rsidR="003F5D8A" w:rsidRPr="002A2EA6" w14:paraId="52F66342" w14:textId="77777777" w:rsidTr="0049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hideMark/>
          </w:tcPr>
          <w:p w14:paraId="742C5B12" w14:textId="77777777" w:rsidR="003F5D8A" w:rsidRPr="004A7BEE" w:rsidRDefault="003F5D8A" w:rsidP="00494016">
            <w:pPr>
              <w:spacing w:before="20" w:after="20"/>
              <w:rPr>
                <w:b w:val="0"/>
                <w:sz w:val="18"/>
                <w:szCs w:val="18"/>
              </w:rPr>
            </w:pPr>
            <w:r w:rsidRPr="004A7BEE">
              <w:rPr>
                <w:b w:val="0"/>
                <w:sz w:val="18"/>
                <w:szCs w:val="18"/>
              </w:rPr>
              <w:t>B4. Indicateur de résultat pour l</w:t>
            </w:r>
            <w:r>
              <w:rPr>
                <w:b w:val="0"/>
                <w:sz w:val="18"/>
                <w:szCs w:val="18"/>
              </w:rPr>
              <w:t>’</w:t>
            </w:r>
            <w:r w:rsidRPr="004A7BEE">
              <w:rPr>
                <w:b w:val="0"/>
                <w:sz w:val="18"/>
                <w:szCs w:val="18"/>
              </w:rPr>
              <w:t>article 3</w:t>
            </w:r>
          </w:p>
        </w:tc>
        <w:tc>
          <w:tcPr>
            <w:tcW w:w="2693" w:type="dxa"/>
            <w:tcBorders>
              <w:top w:val="nil"/>
              <w:bottom w:val="nil"/>
            </w:tcBorders>
            <w:hideMark/>
          </w:tcPr>
          <w:p w14:paraId="64AEB587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Quantité de mercure a</w:t>
            </w:r>
            <w:r w:rsidRPr="002A2EA6">
              <w:t>yant fait l</w:t>
            </w:r>
            <w:r>
              <w:t>’</w:t>
            </w:r>
            <w:r w:rsidRPr="002A2EA6">
              <w:t>objet d</w:t>
            </w:r>
            <w:r>
              <w:t>’</w:t>
            </w:r>
            <w:r w:rsidRPr="002A2EA6">
              <w:t>un commerce</w:t>
            </w:r>
            <w:r w:rsidRPr="002A2EA6">
              <w:rPr>
                <w:sz w:val="18"/>
                <w:szCs w:val="18"/>
              </w:rPr>
              <w:t>, ventilée par utilisation prévue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14:paraId="1D76DCC7" w14:textId="77777777" w:rsidR="003F5D8A" w:rsidRPr="002A2EA6" w:rsidRDefault="003F5D8A" w:rsidP="004940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/>
                <w:iCs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>- Formulaires relatifs à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>article 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hideMark/>
          </w:tcPr>
          <w:p w14:paraId="740084DF" w14:textId="77777777" w:rsidR="003F5D8A" w:rsidRPr="002A2EA6" w:rsidRDefault="003F5D8A" w:rsidP="004940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Quantité dans la première évaluation</w:t>
            </w:r>
          </w:p>
        </w:tc>
      </w:tr>
      <w:tr w:rsidR="003F5D8A" w:rsidRPr="002A2EA6" w14:paraId="13F3733E" w14:textId="77777777" w:rsidTr="00494016">
        <w:trPr>
          <w:trHeight w:val="45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hideMark/>
          </w:tcPr>
          <w:p w14:paraId="514ACBBE" w14:textId="77777777" w:rsidR="003F5D8A" w:rsidRPr="004A7BEE" w:rsidRDefault="003F5D8A" w:rsidP="00494016">
            <w:pPr>
              <w:spacing w:before="20" w:after="20"/>
              <w:rPr>
                <w:b w:val="0"/>
                <w:sz w:val="18"/>
                <w:szCs w:val="18"/>
              </w:rPr>
            </w:pPr>
            <w:r w:rsidRPr="004A7BEE">
              <w:rPr>
                <w:b w:val="0"/>
                <w:sz w:val="18"/>
                <w:szCs w:val="18"/>
              </w:rPr>
              <w:t>B5. Indicateur de méthode pour l</w:t>
            </w:r>
            <w:r>
              <w:rPr>
                <w:b w:val="0"/>
                <w:sz w:val="18"/>
                <w:szCs w:val="18"/>
              </w:rPr>
              <w:t>’</w:t>
            </w:r>
            <w:r w:rsidRPr="004A7BEE">
              <w:rPr>
                <w:b w:val="0"/>
                <w:sz w:val="18"/>
                <w:szCs w:val="18"/>
              </w:rPr>
              <w:t>article 3</w:t>
            </w:r>
          </w:p>
        </w:tc>
        <w:tc>
          <w:tcPr>
            <w:tcW w:w="2693" w:type="dxa"/>
            <w:tcBorders>
              <w:top w:val="nil"/>
              <w:bottom w:val="nil"/>
            </w:tcBorders>
            <w:hideMark/>
          </w:tcPr>
          <w:p w14:paraId="3D772006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qui se sont efforcées de recenser les stocks et les sources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approvisionnement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14:paraId="1E146484" w14:textId="77777777" w:rsidR="003F5D8A" w:rsidRPr="002A2EA6" w:rsidRDefault="003F5D8A" w:rsidP="004940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Rapports </w:t>
            </w:r>
            <w:r w:rsidRPr="002A2EA6">
              <w:rPr>
                <w:sz w:val="18"/>
                <w:szCs w:val="18"/>
              </w:rPr>
              <w:t>établis a</w:t>
            </w:r>
            <w:r w:rsidRPr="002A2EA6">
              <w:rPr>
                <w:iCs/>
                <w:sz w:val="18"/>
                <w:szCs w:val="18"/>
              </w:rPr>
              <w:t>u titre de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>article 21</w:t>
            </w:r>
          </w:p>
        </w:tc>
        <w:tc>
          <w:tcPr>
            <w:tcW w:w="1928" w:type="dxa"/>
            <w:tcBorders>
              <w:top w:val="nil"/>
              <w:bottom w:val="nil"/>
            </w:tcBorders>
            <w:hideMark/>
          </w:tcPr>
          <w:p w14:paraId="0F60E9BB" w14:textId="77777777" w:rsidR="003F5D8A" w:rsidRPr="002A2EA6" w:rsidRDefault="003F5D8A" w:rsidP="004940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2A2EA6" w14:paraId="3FAE8BA4" w14:textId="77777777" w:rsidTr="0049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hideMark/>
          </w:tcPr>
          <w:p w14:paraId="7D98CFDC" w14:textId="77777777" w:rsidR="003F5D8A" w:rsidRPr="004A7BEE" w:rsidRDefault="003F5D8A" w:rsidP="00494016">
            <w:pPr>
              <w:tabs>
                <w:tab w:val="left" w:pos="1163"/>
              </w:tabs>
              <w:spacing w:before="20" w:after="20"/>
              <w:rPr>
                <w:b w:val="0"/>
                <w:sz w:val="18"/>
                <w:szCs w:val="18"/>
              </w:rPr>
            </w:pPr>
            <w:r w:rsidRPr="004A7BEE">
              <w:rPr>
                <w:b w:val="0"/>
                <w:sz w:val="18"/>
                <w:szCs w:val="18"/>
              </w:rPr>
              <w:t>B6. Indicateur de méthode pour l</w:t>
            </w:r>
            <w:r>
              <w:rPr>
                <w:b w:val="0"/>
                <w:sz w:val="18"/>
                <w:szCs w:val="18"/>
              </w:rPr>
              <w:t>’</w:t>
            </w:r>
            <w:r w:rsidRPr="004A7BEE">
              <w:rPr>
                <w:b w:val="0"/>
                <w:sz w:val="18"/>
                <w:szCs w:val="18"/>
              </w:rPr>
              <w:t>article 3</w:t>
            </w:r>
          </w:p>
        </w:tc>
        <w:tc>
          <w:tcPr>
            <w:tcW w:w="2693" w:type="dxa"/>
            <w:tcBorders>
              <w:top w:val="nil"/>
              <w:bottom w:val="nil"/>
            </w:tcBorders>
            <w:hideMark/>
          </w:tcPr>
          <w:p w14:paraId="6A6B2FEB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Pour les Parties ayant déterminé qu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elles ont un excédent de mercure, si elles ont pris les mesures prévues au paragraphe 5 b)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 3, et la quantité de mercure éliminée conformément à ces mesures, si disponible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14:paraId="2D1A3419" w14:textId="77777777" w:rsidR="003F5D8A" w:rsidRPr="002A2EA6" w:rsidRDefault="003F5D8A" w:rsidP="004940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Rapports </w:t>
            </w:r>
            <w:r w:rsidRPr="002A2EA6">
              <w:rPr>
                <w:sz w:val="18"/>
                <w:szCs w:val="18"/>
              </w:rPr>
              <w:t>établis a</w:t>
            </w:r>
            <w:r w:rsidRPr="002A2EA6">
              <w:rPr>
                <w:iCs/>
                <w:sz w:val="18"/>
                <w:szCs w:val="18"/>
              </w:rPr>
              <w:t>u titre de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 xml:space="preserve">article 21 </w:t>
            </w:r>
          </w:p>
          <w:p w14:paraId="614D61DF" w14:textId="77777777" w:rsidR="003F5D8A" w:rsidRPr="002A2EA6" w:rsidRDefault="003F5D8A" w:rsidP="004940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>- Rapports du Conseil mondial du chlore</w:t>
            </w:r>
          </w:p>
        </w:tc>
        <w:tc>
          <w:tcPr>
            <w:tcW w:w="1928" w:type="dxa"/>
            <w:tcBorders>
              <w:top w:val="nil"/>
              <w:bottom w:val="nil"/>
            </w:tcBorders>
            <w:hideMark/>
          </w:tcPr>
          <w:p w14:paraId="70B08A17" w14:textId="77777777" w:rsidR="003F5D8A" w:rsidRPr="002A2EA6" w:rsidRDefault="003F5D8A" w:rsidP="004940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Pourcentage dans la première évaluation</w:t>
            </w:r>
          </w:p>
        </w:tc>
      </w:tr>
      <w:tr w:rsidR="003F5D8A" w:rsidRPr="002A2EA6" w14:paraId="283967D5" w14:textId="77777777" w:rsidTr="00494016">
        <w:trPr>
          <w:trHeight w:val="8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hideMark/>
          </w:tcPr>
          <w:p w14:paraId="262FF303" w14:textId="77777777" w:rsidR="003F5D8A" w:rsidRPr="004A7BEE" w:rsidRDefault="003F5D8A" w:rsidP="00494016">
            <w:pPr>
              <w:tabs>
                <w:tab w:val="left" w:pos="1163"/>
              </w:tabs>
              <w:spacing w:before="20" w:after="20"/>
              <w:rPr>
                <w:b w:val="0"/>
                <w:sz w:val="18"/>
                <w:szCs w:val="18"/>
              </w:rPr>
            </w:pPr>
            <w:r w:rsidRPr="004A7BEE">
              <w:rPr>
                <w:b w:val="0"/>
                <w:sz w:val="18"/>
                <w:szCs w:val="18"/>
              </w:rPr>
              <w:lastRenderedPageBreak/>
              <w:t>B7. Indicateur de méthode pour l</w:t>
            </w:r>
            <w:r>
              <w:rPr>
                <w:b w:val="0"/>
                <w:sz w:val="18"/>
                <w:szCs w:val="18"/>
              </w:rPr>
              <w:t>’</w:t>
            </w:r>
            <w:r w:rsidRPr="004A7BEE">
              <w:rPr>
                <w:b w:val="0"/>
                <w:sz w:val="18"/>
                <w:szCs w:val="18"/>
              </w:rPr>
              <w:t>article 3</w:t>
            </w:r>
          </w:p>
        </w:tc>
        <w:tc>
          <w:tcPr>
            <w:tcW w:w="2693" w:type="dxa"/>
            <w:tcBorders>
              <w:top w:val="nil"/>
              <w:bottom w:val="nil"/>
            </w:tcBorders>
            <w:hideMark/>
          </w:tcPr>
          <w:p w14:paraId="188A8B2A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et proportion des Parties faisant commerce du mercure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14:paraId="16099244" w14:textId="77777777" w:rsidR="003F5D8A" w:rsidRPr="002A2EA6" w:rsidRDefault="003F5D8A" w:rsidP="004940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Rapports </w:t>
            </w:r>
            <w:r w:rsidRPr="002A2EA6">
              <w:rPr>
                <w:sz w:val="18"/>
                <w:szCs w:val="18"/>
              </w:rPr>
              <w:t>établis a</w:t>
            </w:r>
            <w:r w:rsidRPr="002A2EA6">
              <w:rPr>
                <w:iCs/>
                <w:sz w:val="18"/>
                <w:szCs w:val="18"/>
              </w:rPr>
              <w:t>u titre de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>article 21</w:t>
            </w:r>
            <w:r w:rsidRPr="002A2EA6">
              <w:rPr>
                <w:sz w:val="18"/>
                <w:szCs w:val="18"/>
              </w:rPr>
              <w:t xml:space="preserve"> </w:t>
            </w:r>
          </w:p>
          <w:p w14:paraId="083D038A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ind w:right="-1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 xml:space="preserve">- Formulaires relatifs à </w:t>
            </w:r>
            <w:r w:rsidRPr="002A2EA6">
              <w:rPr>
                <w:sz w:val="18"/>
                <w:szCs w:val="18"/>
              </w:rPr>
              <w:br/>
              <w:t>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 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hideMark/>
          </w:tcPr>
          <w:p w14:paraId="27BD6787" w14:textId="77777777" w:rsidR="003F5D8A" w:rsidRPr="002A2EA6" w:rsidRDefault="003F5D8A" w:rsidP="004940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et pourcentage </w:t>
            </w:r>
            <w:r w:rsidRPr="002A2EA6">
              <w:rPr>
                <w:sz w:val="18"/>
                <w:szCs w:val="18"/>
              </w:rPr>
              <w:t>dans</w:t>
            </w:r>
            <w:r>
              <w:rPr>
                <w:sz w:val="18"/>
                <w:szCs w:val="18"/>
              </w:rPr>
              <w:t xml:space="preserve"> </w:t>
            </w:r>
            <w:r w:rsidRPr="002A2EA6">
              <w:rPr>
                <w:sz w:val="18"/>
                <w:szCs w:val="18"/>
              </w:rPr>
              <w:t>la première évaluation</w:t>
            </w:r>
          </w:p>
        </w:tc>
      </w:tr>
      <w:tr w:rsidR="003F5D8A" w:rsidRPr="002A2EA6" w14:paraId="59E64C22" w14:textId="77777777" w:rsidTr="0049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single" w:sz="2" w:space="0" w:color="auto"/>
            </w:tcBorders>
            <w:hideMark/>
          </w:tcPr>
          <w:p w14:paraId="3D511C4A" w14:textId="77777777" w:rsidR="003F5D8A" w:rsidRPr="004A7BEE" w:rsidRDefault="003F5D8A" w:rsidP="00494016">
            <w:pPr>
              <w:tabs>
                <w:tab w:val="left" w:pos="1163"/>
              </w:tabs>
              <w:spacing w:before="20" w:after="20"/>
              <w:rPr>
                <w:b w:val="0"/>
                <w:sz w:val="18"/>
                <w:szCs w:val="18"/>
              </w:rPr>
            </w:pPr>
            <w:r w:rsidRPr="004A7BEE">
              <w:rPr>
                <w:b w:val="0"/>
                <w:sz w:val="18"/>
                <w:szCs w:val="18"/>
              </w:rPr>
              <w:t>B8. Indicateur de méthode pour l</w:t>
            </w:r>
            <w:r>
              <w:rPr>
                <w:b w:val="0"/>
                <w:sz w:val="18"/>
                <w:szCs w:val="18"/>
              </w:rPr>
              <w:t>’</w:t>
            </w:r>
            <w:r w:rsidRPr="004A7BEE">
              <w:rPr>
                <w:b w:val="0"/>
                <w:sz w:val="18"/>
                <w:szCs w:val="18"/>
              </w:rPr>
              <w:t>article 3</w:t>
            </w:r>
          </w:p>
        </w:tc>
        <w:tc>
          <w:tcPr>
            <w:tcW w:w="2693" w:type="dxa"/>
            <w:tcBorders>
              <w:top w:val="nil"/>
              <w:bottom w:val="single" w:sz="2" w:space="0" w:color="auto"/>
            </w:tcBorders>
            <w:hideMark/>
          </w:tcPr>
          <w:p w14:paraId="6BB7086A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Volume de mercure ayant fait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objet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un commerce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hideMark/>
          </w:tcPr>
          <w:p w14:paraId="67CAB9ED" w14:textId="77777777" w:rsidR="003F5D8A" w:rsidRPr="002A2EA6" w:rsidRDefault="003F5D8A" w:rsidP="004940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Rapports </w:t>
            </w:r>
            <w:r w:rsidRPr="002A2EA6">
              <w:rPr>
                <w:sz w:val="18"/>
                <w:szCs w:val="18"/>
              </w:rPr>
              <w:t xml:space="preserve">établis au </w:t>
            </w:r>
            <w:r w:rsidRPr="002A2EA6">
              <w:rPr>
                <w:iCs/>
                <w:sz w:val="18"/>
                <w:szCs w:val="18"/>
              </w:rPr>
              <w:t>titre de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>article 21</w:t>
            </w:r>
            <w:r w:rsidRPr="002A2E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bottom w:val="single" w:sz="2" w:space="0" w:color="auto"/>
            </w:tcBorders>
            <w:hideMark/>
          </w:tcPr>
          <w:p w14:paraId="674B96D5" w14:textId="77777777" w:rsidR="003F5D8A" w:rsidRPr="002A2EA6" w:rsidRDefault="003F5D8A" w:rsidP="004940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Quantité dans la première évaluation</w:t>
            </w:r>
          </w:p>
        </w:tc>
      </w:tr>
      <w:tr w:rsidR="003F5D8A" w:rsidRPr="002A2EA6" w14:paraId="40814996" w14:textId="77777777" w:rsidTr="00494016">
        <w:trPr>
          <w:trHeight w:val="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73039D9F" w14:textId="77777777" w:rsidR="003F5D8A" w:rsidRPr="004A7BEE" w:rsidRDefault="003F5D8A" w:rsidP="00494016">
            <w:pPr>
              <w:tabs>
                <w:tab w:val="left" w:pos="1163"/>
              </w:tabs>
              <w:spacing w:before="120" w:after="120"/>
              <w:rPr>
                <w:bCs w:val="0"/>
                <w:sz w:val="18"/>
                <w:szCs w:val="18"/>
              </w:rPr>
            </w:pPr>
            <w:r w:rsidRPr="004A7BEE">
              <w:rPr>
                <w:bCs w:val="0"/>
                <w:sz w:val="18"/>
                <w:szCs w:val="18"/>
              </w:rPr>
              <w:t>Article 10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14:paraId="6CC2E4D4" w14:textId="77777777" w:rsidR="003F5D8A" w:rsidRPr="002A2EA6" w:rsidRDefault="003F5D8A" w:rsidP="00494016">
            <w:pPr>
              <w:tabs>
                <w:tab w:val="left" w:pos="116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0BD193D4" w14:textId="77777777" w:rsidR="003F5D8A" w:rsidRPr="002A2EA6" w:rsidRDefault="003F5D8A" w:rsidP="00494016">
            <w:pPr>
              <w:tabs>
                <w:tab w:val="left" w:pos="1163"/>
              </w:tabs>
              <w:spacing w:before="120" w:after="120"/>
              <w:ind w:right="-1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auto"/>
              <w:bottom w:val="single" w:sz="2" w:space="0" w:color="auto"/>
            </w:tcBorders>
          </w:tcPr>
          <w:p w14:paraId="0220D468" w14:textId="77777777" w:rsidR="003F5D8A" w:rsidRPr="002A2EA6" w:rsidRDefault="003F5D8A" w:rsidP="0049401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F5D8A" w:rsidRPr="002A2EA6" w14:paraId="679A52F0" w14:textId="77777777" w:rsidTr="0049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auto"/>
              <w:bottom w:val="nil"/>
            </w:tcBorders>
            <w:hideMark/>
          </w:tcPr>
          <w:p w14:paraId="3AF0D4FD" w14:textId="77777777" w:rsidR="003F5D8A" w:rsidRPr="004A7BEE" w:rsidRDefault="003F5D8A" w:rsidP="00494016">
            <w:pPr>
              <w:tabs>
                <w:tab w:val="left" w:pos="1163"/>
              </w:tabs>
              <w:spacing w:before="20" w:after="20"/>
              <w:rPr>
                <w:b w:val="0"/>
                <w:sz w:val="18"/>
                <w:szCs w:val="18"/>
              </w:rPr>
            </w:pPr>
            <w:r w:rsidRPr="004A7BEE">
              <w:rPr>
                <w:b w:val="0"/>
                <w:sz w:val="18"/>
                <w:szCs w:val="18"/>
              </w:rPr>
              <w:t>B9. Indicateur de méthode pour l</w:t>
            </w:r>
            <w:r>
              <w:rPr>
                <w:b w:val="0"/>
                <w:sz w:val="18"/>
                <w:szCs w:val="18"/>
              </w:rPr>
              <w:t>’</w:t>
            </w:r>
            <w:r w:rsidRPr="004A7BEE">
              <w:rPr>
                <w:b w:val="0"/>
                <w:sz w:val="18"/>
                <w:szCs w:val="18"/>
              </w:rPr>
              <w:t>article 10</w:t>
            </w:r>
          </w:p>
        </w:tc>
        <w:tc>
          <w:tcPr>
            <w:tcW w:w="2693" w:type="dxa"/>
            <w:tcBorders>
              <w:top w:val="single" w:sz="2" w:space="0" w:color="auto"/>
              <w:bottom w:val="nil"/>
            </w:tcBorders>
            <w:hideMark/>
          </w:tcPr>
          <w:p w14:paraId="4427C20E" w14:textId="77777777" w:rsidR="003F5D8A" w:rsidRPr="002A2EA6" w:rsidRDefault="003F5D8A" w:rsidP="004940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et proportion des Parties qui ont pris des mesures pour garantir un stockage provisoire rationnel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  <w:hideMark/>
          </w:tcPr>
          <w:p w14:paraId="444C6C40" w14:textId="77777777" w:rsidR="003F5D8A" w:rsidRPr="002A2EA6" w:rsidRDefault="003F5D8A" w:rsidP="004940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Rapports </w:t>
            </w:r>
            <w:r w:rsidRPr="002A2EA6">
              <w:rPr>
                <w:sz w:val="18"/>
                <w:szCs w:val="18"/>
              </w:rPr>
              <w:t xml:space="preserve">établis </w:t>
            </w:r>
            <w:r w:rsidRPr="002A2EA6">
              <w:rPr>
                <w:iCs/>
                <w:sz w:val="18"/>
                <w:szCs w:val="18"/>
              </w:rPr>
              <w:t>au titre de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>article 21</w:t>
            </w:r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  <w:hideMark/>
          </w:tcPr>
          <w:p w14:paraId="42E1B2EF" w14:textId="77777777" w:rsidR="003F5D8A" w:rsidRPr="002A2EA6" w:rsidRDefault="003F5D8A" w:rsidP="004940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et pourcentage</w:t>
            </w:r>
            <w:r w:rsidRPr="002A2EA6">
              <w:rPr>
                <w:sz w:val="18"/>
                <w:szCs w:val="18"/>
              </w:rPr>
              <w:t xml:space="preserve"> dans la première évaluation</w:t>
            </w:r>
          </w:p>
        </w:tc>
      </w:tr>
      <w:tr w:rsidR="003F5D8A" w:rsidRPr="002A2EA6" w14:paraId="51C52B8A" w14:textId="77777777" w:rsidTr="00494016">
        <w:trPr>
          <w:trHeight w:val="45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single" w:sz="2" w:space="0" w:color="auto"/>
            </w:tcBorders>
            <w:hideMark/>
          </w:tcPr>
          <w:p w14:paraId="266CB268" w14:textId="77777777" w:rsidR="003F5D8A" w:rsidRPr="004A7BEE" w:rsidRDefault="003F5D8A" w:rsidP="00494016">
            <w:pPr>
              <w:tabs>
                <w:tab w:val="clear" w:pos="1247"/>
                <w:tab w:val="clear" w:pos="1814"/>
                <w:tab w:val="clear" w:pos="2381"/>
              </w:tabs>
              <w:spacing w:before="20" w:after="20"/>
              <w:ind w:right="-57"/>
              <w:rPr>
                <w:b w:val="0"/>
                <w:spacing w:val="-2"/>
                <w:sz w:val="18"/>
                <w:szCs w:val="18"/>
              </w:rPr>
            </w:pPr>
            <w:r w:rsidRPr="004A7BEE">
              <w:rPr>
                <w:b w:val="0"/>
                <w:sz w:val="18"/>
                <w:szCs w:val="18"/>
              </w:rPr>
              <w:t>B10. Indicateur de résultat pour l</w:t>
            </w:r>
            <w:r>
              <w:rPr>
                <w:b w:val="0"/>
                <w:sz w:val="18"/>
                <w:szCs w:val="18"/>
              </w:rPr>
              <w:t>’</w:t>
            </w:r>
            <w:r w:rsidRPr="004A7BEE">
              <w:rPr>
                <w:b w:val="0"/>
                <w:sz w:val="18"/>
                <w:szCs w:val="18"/>
              </w:rPr>
              <w:t>article 10</w:t>
            </w:r>
          </w:p>
        </w:tc>
        <w:tc>
          <w:tcPr>
            <w:tcW w:w="2693" w:type="dxa"/>
            <w:tcBorders>
              <w:top w:val="nil"/>
              <w:bottom w:val="single" w:sz="2" w:space="0" w:color="auto"/>
            </w:tcBorders>
            <w:hideMark/>
          </w:tcPr>
          <w:p w14:paraId="330504DE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Quantité de mercure stockée de manière écologiquement rationnelle telle qu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identifiée dans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inventaire des stocks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hideMark/>
          </w:tcPr>
          <w:p w14:paraId="62987E41" w14:textId="77777777" w:rsidR="003F5D8A" w:rsidRPr="002A2EA6" w:rsidRDefault="003F5D8A" w:rsidP="004940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Rapports </w:t>
            </w:r>
            <w:r w:rsidRPr="002A2EA6">
              <w:rPr>
                <w:sz w:val="18"/>
                <w:szCs w:val="18"/>
              </w:rPr>
              <w:t xml:space="preserve">établis </w:t>
            </w:r>
            <w:r w:rsidRPr="002A2EA6">
              <w:rPr>
                <w:iCs/>
                <w:sz w:val="18"/>
                <w:szCs w:val="18"/>
              </w:rPr>
              <w:t>au titre de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>article 21</w:t>
            </w:r>
          </w:p>
        </w:tc>
        <w:tc>
          <w:tcPr>
            <w:tcW w:w="1928" w:type="dxa"/>
            <w:tcBorders>
              <w:top w:val="nil"/>
              <w:bottom w:val="single" w:sz="2" w:space="0" w:color="auto"/>
            </w:tcBorders>
            <w:hideMark/>
          </w:tcPr>
          <w:p w14:paraId="0F307A01" w14:textId="77777777" w:rsidR="003F5D8A" w:rsidRPr="002A2EA6" w:rsidRDefault="003F5D8A" w:rsidP="004940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Quantité dans la première évaluation</w:t>
            </w:r>
          </w:p>
        </w:tc>
      </w:tr>
      <w:tr w:rsidR="003F5D8A" w:rsidRPr="002A2EA6" w14:paraId="1EA0636D" w14:textId="77777777" w:rsidTr="0049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1424294C" w14:textId="77777777" w:rsidR="003F5D8A" w:rsidRPr="004A7BEE" w:rsidRDefault="003F5D8A" w:rsidP="00494016">
            <w:pPr>
              <w:keepNext/>
              <w:tabs>
                <w:tab w:val="left" w:pos="1163"/>
              </w:tabs>
              <w:spacing w:before="120" w:after="120"/>
              <w:rPr>
                <w:bCs w:val="0"/>
                <w:sz w:val="18"/>
                <w:szCs w:val="18"/>
              </w:rPr>
            </w:pPr>
            <w:r w:rsidRPr="004A7BEE">
              <w:rPr>
                <w:bCs w:val="0"/>
                <w:sz w:val="18"/>
                <w:szCs w:val="18"/>
              </w:rPr>
              <w:t>Article 11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14:paraId="4A510C1F" w14:textId="77777777" w:rsidR="003F5D8A" w:rsidRPr="002A2EA6" w:rsidRDefault="003F5D8A" w:rsidP="00494016">
            <w:pPr>
              <w:keepNext/>
              <w:tabs>
                <w:tab w:val="left" w:pos="1163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224ACDFE" w14:textId="77777777" w:rsidR="003F5D8A" w:rsidRPr="002A2EA6" w:rsidRDefault="003F5D8A" w:rsidP="00494016">
            <w:pPr>
              <w:keepNext/>
              <w:tabs>
                <w:tab w:val="left" w:pos="1163"/>
              </w:tabs>
              <w:spacing w:before="120" w:after="120"/>
              <w:ind w:right="-1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auto"/>
              <w:bottom w:val="single" w:sz="2" w:space="0" w:color="auto"/>
            </w:tcBorders>
          </w:tcPr>
          <w:p w14:paraId="2ACD3CC0" w14:textId="77777777" w:rsidR="003F5D8A" w:rsidRPr="002A2EA6" w:rsidRDefault="003F5D8A" w:rsidP="00494016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F5D8A" w:rsidRPr="002A2EA6" w14:paraId="2AF9F6FF" w14:textId="77777777" w:rsidTr="00494016">
        <w:trPr>
          <w:trHeight w:val="45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auto"/>
              <w:bottom w:val="nil"/>
            </w:tcBorders>
            <w:hideMark/>
          </w:tcPr>
          <w:p w14:paraId="0A12FFA1" w14:textId="77777777" w:rsidR="003F5D8A" w:rsidRPr="004A7BEE" w:rsidRDefault="003F5D8A" w:rsidP="00494016">
            <w:pPr>
              <w:tabs>
                <w:tab w:val="left" w:pos="1163"/>
              </w:tabs>
              <w:spacing w:before="20" w:after="20"/>
              <w:ind w:right="-57"/>
              <w:rPr>
                <w:b w:val="0"/>
                <w:spacing w:val="-2"/>
                <w:sz w:val="18"/>
                <w:szCs w:val="18"/>
              </w:rPr>
            </w:pPr>
            <w:r w:rsidRPr="004A7BEE">
              <w:rPr>
                <w:b w:val="0"/>
                <w:sz w:val="18"/>
                <w:szCs w:val="18"/>
              </w:rPr>
              <w:t>B11. Indicateur de résultat pour l</w:t>
            </w:r>
            <w:r>
              <w:rPr>
                <w:b w:val="0"/>
                <w:sz w:val="18"/>
                <w:szCs w:val="18"/>
              </w:rPr>
              <w:t>’</w:t>
            </w:r>
            <w:r w:rsidRPr="004A7BEE">
              <w:rPr>
                <w:b w:val="0"/>
                <w:sz w:val="18"/>
                <w:szCs w:val="18"/>
              </w:rPr>
              <w:t>article 11</w:t>
            </w:r>
          </w:p>
        </w:tc>
        <w:tc>
          <w:tcPr>
            <w:tcW w:w="2693" w:type="dxa"/>
            <w:tcBorders>
              <w:top w:val="single" w:sz="2" w:space="0" w:color="auto"/>
              <w:bottom w:val="nil"/>
            </w:tcBorders>
            <w:hideMark/>
          </w:tcPr>
          <w:p w14:paraId="15E56B5A" w14:textId="77777777" w:rsidR="003F5D8A" w:rsidRPr="002A2EA6" w:rsidRDefault="003F5D8A" w:rsidP="004940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Quantité de déchets contenant du mercure ou des composés de mercure ayant fait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objet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une élimination définitive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  <w:hideMark/>
          </w:tcPr>
          <w:p w14:paraId="1D542773" w14:textId="77777777" w:rsidR="003F5D8A" w:rsidRPr="002A2EA6" w:rsidRDefault="003F5D8A" w:rsidP="004940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Rapports </w:t>
            </w:r>
            <w:r w:rsidRPr="002A2EA6">
              <w:rPr>
                <w:sz w:val="18"/>
                <w:szCs w:val="18"/>
              </w:rPr>
              <w:t xml:space="preserve">établis </w:t>
            </w:r>
            <w:r w:rsidRPr="002A2EA6">
              <w:rPr>
                <w:iCs/>
                <w:sz w:val="18"/>
                <w:szCs w:val="18"/>
              </w:rPr>
              <w:t>au titre de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>article 21</w:t>
            </w:r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  <w:hideMark/>
          </w:tcPr>
          <w:p w14:paraId="407A32C1" w14:textId="77777777" w:rsidR="003F5D8A" w:rsidRPr="002A2EA6" w:rsidRDefault="003F5D8A" w:rsidP="004940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Quantité dans la première évaluation</w:t>
            </w:r>
          </w:p>
        </w:tc>
      </w:tr>
      <w:tr w:rsidR="003F5D8A" w:rsidRPr="002A2EA6" w14:paraId="545ADB1A" w14:textId="77777777" w:rsidTr="0049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hideMark/>
          </w:tcPr>
          <w:p w14:paraId="52856928" w14:textId="77777777" w:rsidR="003F5D8A" w:rsidRPr="004A7BEE" w:rsidRDefault="003F5D8A" w:rsidP="00494016">
            <w:pPr>
              <w:tabs>
                <w:tab w:val="left" w:pos="1163"/>
              </w:tabs>
              <w:spacing w:before="20" w:after="20"/>
              <w:ind w:right="-57"/>
              <w:rPr>
                <w:b w:val="0"/>
                <w:spacing w:val="-2"/>
                <w:sz w:val="18"/>
                <w:szCs w:val="18"/>
              </w:rPr>
            </w:pPr>
            <w:r w:rsidRPr="004A7BEE">
              <w:rPr>
                <w:b w:val="0"/>
                <w:sz w:val="18"/>
                <w:szCs w:val="18"/>
              </w:rPr>
              <w:t>B12. Indicateur de résultat pour l</w:t>
            </w:r>
            <w:r>
              <w:rPr>
                <w:b w:val="0"/>
                <w:sz w:val="18"/>
                <w:szCs w:val="18"/>
              </w:rPr>
              <w:t>’</w:t>
            </w:r>
            <w:r w:rsidRPr="004A7BEE">
              <w:rPr>
                <w:b w:val="0"/>
                <w:sz w:val="18"/>
                <w:szCs w:val="18"/>
              </w:rPr>
              <w:t>article 11</w:t>
            </w:r>
          </w:p>
        </w:tc>
        <w:tc>
          <w:tcPr>
            <w:tcW w:w="2693" w:type="dxa"/>
            <w:tcBorders>
              <w:top w:val="nil"/>
              <w:bottom w:val="nil"/>
            </w:tcBorders>
            <w:hideMark/>
          </w:tcPr>
          <w:p w14:paraId="631FF92C" w14:textId="77777777" w:rsidR="003F5D8A" w:rsidRPr="002A2EA6" w:rsidRDefault="003F5D8A" w:rsidP="004940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disposant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installations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élimination définitive des déchets contenant du mercure ou des composés du mercure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14:paraId="5CA6FE6D" w14:textId="77777777" w:rsidR="003F5D8A" w:rsidRPr="002A2EA6" w:rsidRDefault="003F5D8A" w:rsidP="004940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Rapports </w:t>
            </w:r>
            <w:r w:rsidRPr="002A2EA6">
              <w:rPr>
                <w:sz w:val="18"/>
                <w:szCs w:val="18"/>
              </w:rPr>
              <w:t xml:space="preserve">établis </w:t>
            </w:r>
            <w:r w:rsidRPr="002A2EA6">
              <w:rPr>
                <w:iCs/>
                <w:sz w:val="18"/>
                <w:szCs w:val="18"/>
              </w:rPr>
              <w:t>au titre de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>article 21</w:t>
            </w:r>
          </w:p>
        </w:tc>
        <w:tc>
          <w:tcPr>
            <w:tcW w:w="1928" w:type="dxa"/>
            <w:tcBorders>
              <w:top w:val="nil"/>
              <w:bottom w:val="nil"/>
            </w:tcBorders>
            <w:hideMark/>
          </w:tcPr>
          <w:p w14:paraId="0D7B7597" w14:textId="77777777" w:rsidR="003F5D8A" w:rsidRPr="002A2EA6" w:rsidRDefault="003F5D8A" w:rsidP="004940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</w:t>
            </w:r>
            <w:r w:rsidRPr="002A2EA6">
              <w:rPr>
                <w:sz w:val="18"/>
                <w:szCs w:val="18"/>
              </w:rPr>
              <w:t>dans la première évaluation</w:t>
            </w:r>
          </w:p>
        </w:tc>
      </w:tr>
      <w:tr w:rsidR="003F5D8A" w:rsidRPr="002A2EA6" w14:paraId="05A6007F" w14:textId="77777777" w:rsidTr="00494016">
        <w:trPr>
          <w:trHeight w:val="45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hideMark/>
          </w:tcPr>
          <w:p w14:paraId="3C944598" w14:textId="77777777" w:rsidR="003F5D8A" w:rsidRPr="004A7BEE" w:rsidRDefault="003F5D8A" w:rsidP="00494016">
            <w:pPr>
              <w:tabs>
                <w:tab w:val="left" w:pos="1163"/>
              </w:tabs>
              <w:spacing w:before="20" w:after="20"/>
              <w:ind w:right="-57"/>
              <w:rPr>
                <w:b w:val="0"/>
                <w:sz w:val="18"/>
                <w:szCs w:val="18"/>
              </w:rPr>
            </w:pPr>
            <w:r w:rsidRPr="004A7BEE">
              <w:rPr>
                <w:b w:val="0"/>
                <w:sz w:val="18"/>
                <w:szCs w:val="18"/>
              </w:rPr>
              <w:t>B13. Indicateur de méthode pour l</w:t>
            </w:r>
            <w:r>
              <w:rPr>
                <w:b w:val="0"/>
                <w:sz w:val="18"/>
                <w:szCs w:val="18"/>
              </w:rPr>
              <w:t>’</w:t>
            </w:r>
            <w:r w:rsidRPr="004A7BEE">
              <w:rPr>
                <w:b w:val="0"/>
                <w:sz w:val="18"/>
                <w:szCs w:val="18"/>
              </w:rPr>
              <w:t>article 11</w:t>
            </w:r>
          </w:p>
        </w:tc>
        <w:tc>
          <w:tcPr>
            <w:tcW w:w="2693" w:type="dxa"/>
            <w:tcBorders>
              <w:top w:val="nil"/>
              <w:bottom w:val="nil"/>
            </w:tcBorders>
            <w:hideMark/>
          </w:tcPr>
          <w:p w14:paraId="1F3EA732" w14:textId="77777777" w:rsidR="003F5D8A" w:rsidRPr="002A2EA6" w:rsidRDefault="003F5D8A" w:rsidP="004940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ayant mis en place des mesures pour gérer les déchets de mercure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une manière écologiquement rationnelle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14:paraId="41A0EDE0" w14:textId="77777777" w:rsidR="003F5D8A" w:rsidRPr="002A2EA6" w:rsidRDefault="003F5D8A" w:rsidP="004940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Rapports </w:t>
            </w:r>
            <w:r w:rsidRPr="002A2EA6">
              <w:rPr>
                <w:sz w:val="18"/>
                <w:szCs w:val="18"/>
              </w:rPr>
              <w:t xml:space="preserve">établis </w:t>
            </w:r>
            <w:r w:rsidRPr="002A2EA6">
              <w:rPr>
                <w:iCs/>
                <w:sz w:val="18"/>
                <w:szCs w:val="18"/>
              </w:rPr>
              <w:t>au titre de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>article 21</w:t>
            </w:r>
          </w:p>
        </w:tc>
        <w:tc>
          <w:tcPr>
            <w:tcW w:w="1928" w:type="dxa"/>
            <w:tcBorders>
              <w:top w:val="nil"/>
              <w:bottom w:val="nil"/>
            </w:tcBorders>
            <w:hideMark/>
          </w:tcPr>
          <w:p w14:paraId="55D27381" w14:textId="77777777" w:rsidR="003F5D8A" w:rsidRPr="002A2EA6" w:rsidRDefault="003F5D8A" w:rsidP="004940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</w:t>
            </w:r>
            <w:r w:rsidRPr="002A2EA6">
              <w:rPr>
                <w:sz w:val="18"/>
                <w:szCs w:val="18"/>
              </w:rPr>
              <w:t>dans la première évaluation</w:t>
            </w:r>
          </w:p>
        </w:tc>
      </w:tr>
      <w:tr w:rsidR="003F5D8A" w:rsidRPr="002A2EA6" w14:paraId="68A8C550" w14:textId="77777777" w:rsidTr="0049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single" w:sz="12" w:space="0" w:color="auto"/>
            </w:tcBorders>
            <w:hideMark/>
          </w:tcPr>
          <w:p w14:paraId="4C6DB970" w14:textId="77777777" w:rsidR="003F5D8A" w:rsidRPr="004A7BEE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4A7BEE">
              <w:rPr>
                <w:sz w:val="18"/>
                <w:szCs w:val="18"/>
              </w:rPr>
              <w:t>Notes</w:t>
            </w:r>
          </w:p>
        </w:tc>
        <w:tc>
          <w:tcPr>
            <w:tcW w:w="6464" w:type="dxa"/>
            <w:gridSpan w:val="3"/>
            <w:tcBorders>
              <w:top w:val="nil"/>
              <w:bottom w:val="single" w:sz="12" w:space="0" w:color="auto"/>
            </w:tcBorders>
            <w:hideMark/>
          </w:tcPr>
          <w:p w14:paraId="286FEB76" w14:textId="77777777" w:rsidR="003F5D8A" w:rsidRPr="002A2EA6" w:rsidRDefault="003F5D8A" w:rsidP="00494016">
            <w:pPr>
              <w:pStyle w:val="ListParagraph"/>
              <w:numPr>
                <w:ilvl w:val="0"/>
                <w:numId w:val="21"/>
              </w:numPr>
              <w:tabs>
                <w:tab w:val="clear" w:pos="1247"/>
              </w:tabs>
              <w:spacing w:before="20" w:after="20"/>
              <w:ind w:right="-1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 xml:space="preserve">Les données provenant de non-Parties pourraient également être importantes </w:t>
            </w:r>
            <w:r w:rsidRPr="002A2EA6">
              <w:rPr>
                <w:sz w:val="18"/>
                <w:szCs w:val="18"/>
              </w:rPr>
              <w:br/>
              <w:t>dans certains cas.</w:t>
            </w:r>
          </w:p>
        </w:tc>
      </w:tr>
    </w:tbl>
    <w:p w14:paraId="2DA677CA" w14:textId="77777777" w:rsidR="003F5D8A" w:rsidRPr="00774149" w:rsidRDefault="003F5D8A" w:rsidP="003F5D8A">
      <w:pPr>
        <w:spacing w:after="120"/>
      </w:pPr>
    </w:p>
    <w:tbl>
      <w:tblPr>
        <w:tblStyle w:val="TableGrid"/>
        <w:tblW w:w="8307" w:type="dxa"/>
        <w:jc w:val="right"/>
        <w:tblLook w:val="04A0" w:firstRow="1" w:lastRow="0" w:firstColumn="1" w:lastColumn="0" w:noHBand="0" w:noVBand="1"/>
      </w:tblPr>
      <w:tblGrid>
        <w:gridCol w:w="1837"/>
        <w:gridCol w:w="2716"/>
        <w:gridCol w:w="1826"/>
        <w:gridCol w:w="1928"/>
      </w:tblGrid>
      <w:tr w:rsidR="003F5D8A" w:rsidRPr="00FD5921" w14:paraId="0F69321B" w14:textId="77777777" w:rsidTr="00494016">
        <w:trPr>
          <w:trHeight w:val="57"/>
          <w:tblHeader/>
          <w:jc w:val="right"/>
        </w:trPr>
        <w:tc>
          <w:tcPr>
            <w:tcW w:w="455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664E3F2C" w14:textId="77777777" w:rsidR="003F5D8A" w:rsidRPr="00593C5E" w:rsidRDefault="003F5D8A" w:rsidP="00494016">
            <w:pPr>
              <w:pStyle w:val="Normal-pool"/>
              <w:spacing w:before="20" w:after="20"/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</w:pPr>
            <w:r w:rsidRPr="00593C5E"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  <w:t>C : groupe Demande</w:t>
            </w:r>
          </w:p>
          <w:p w14:paraId="62DA5D10" w14:textId="77777777" w:rsidR="003F5D8A" w:rsidRPr="00593C5E" w:rsidRDefault="003F5D8A" w:rsidP="00494016">
            <w:pPr>
              <w:pStyle w:val="Normal-pool"/>
              <w:spacing w:before="20" w:after="20"/>
              <w:ind w:left="567"/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</w:pPr>
            <w:r w:rsidRPr="00593C5E"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  <w:t>Article 4 (Produits contenant du mercure ajouté) ; article 5 (Procédés de fabrication utilisant du mercure ou des composés du mercure) ; article 7 (Extraction minière artisanale et à petite échelle d</w:t>
            </w:r>
            <w:r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  <w:t>’</w:t>
            </w:r>
            <w:r w:rsidRPr="00593C5E"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  <w:t>or)</w:t>
            </w:r>
          </w:p>
        </w:tc>
        <w:tc>
          <w:tcPr>
            <w:tcW w:w="182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6E312619" w14:textId="77777777" w:rsidR="003F5D8A" w:rsidRPr="00593C5E" w:rsidRDefault="003F5D8A" w:rsidP="00494016">
            <w:pPr>
              <w:pStyle w:val="Normal-pool"/>
              <w:spacing w:before="20" w:after="20"/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</w:pPr>
            <w:r w:rsidRPr="00593C5E"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  <w:t xml:space="preserve">Source </w:t>
            </w:r>
            <w:r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  <w:br/>
            </w:r>
            <w:r w:rsidRPr="00593C5E"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  <w:t>d</w:t>
            </w:r>
            <w:r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  <w:t>’</w:t>
            </w:r>
            <w:r w:rsidRPr="00593C5E"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  <w:t>information</w:t>
            </w:r>
            <w:r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593C5E"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  <w:t>concernant l</w:t>
            </w:r>
            <w:r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  <w:t>’</w:t>
            </w:r>
            <w:r w:rsidRPr="00593C5E"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  <w:t>indicateur</w:t>
            </w:r>
          </w:p>
        </w:tc>
        <w:tc>
          <w:tcPr>
            <w:tcW w:w="192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6E8F6D83" w14:textId="77777777" w:rsidR="003F5D8A" w:rsidRPr="00593C5E" w:rsidRDefault="003F5D8A" w:rsidP="00494016">
            <w:pPr>
              <w:pStyle w:val="Normal-pool"/>
              <w:spacing w:before="20" w:after="20"/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</w:pPr>
            <w:r w:rsidRPr="00593C5E"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  <w:t>Valeur de référence pour l</w:t>
            </w:r>
            <w:r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  <w:t>’</w:t>
            </w:r>
            <w:r w:rsidRPr="00593C5E">
              <w:rPr>
                <w:rFonts w:eastAsia="Times New Roman Bold"/>
                <w:bCs/>
                <w:i/>
                <w:iCs/>
                <w:sz w:val="18"/>
                <w:szCs w:val="18"/>
                <w:lang w:val="fr-FR"/>
              </w:rPr>
              <w:t>indicateur</w:t>
            </w:r>
          </w:p>
        </w:tc>
      </w:tr>
      <w:tr w:rsidR="003F5D8A" w:rsidRPr="00FD5921" w14:paraId="223BDD08" w14:textId="77777777" w:rsidTr="00494016">
        <w:trPr>
          <w:trHeight w:val="624"/>
          <w:jc w:val="right"/>
        </w:trPr>
        <w:tc>
          <w:tcPr>
            <w:tcW w:w="18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1B3DE7E" w14:textId="77777777" w:rsidR="003F5D8A" w:rsidRPr="00FD5921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FD5921">
              <w:rPr>
                <w:bCs/>
                <w:sz w:val="18"/>
                <w:szCs w:val="18"/>
              </w:rPr>
              <w:t xml:space="preserve">C1. Indicateur </w:t>
            </w:r>
            <w:r w:rsidRPr="00FD5921">
              <w:rPr>
                <w:sz w:val="18"/>
                <w:szCs w:val="18"/>
              </w:rPr>
              <w:t>de méthode transversal pour les articles 4, 5 et 7</w:t>
            </w:r>
          </w:p>
        </w:tc>
        <w:tc>
          <w:tcPr>
            <w:tcW w:w="27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6B79D0" w14:textId="77777777" w:rsidR="003F5D8A" w:rsidRPr="00FD5921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Proportion de Parties ayant mis en œuvre des dispositions clefs dans le cadre de ce groupe</w:t>
            </w:r>
          </w:p>
        </w:tc>
        <w:tc>
          <w:tcPr>
            <w:tcW w:w="18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22D0BEF" w14:textId="77777777" w:rsidR="003F5D8A" w:rsidRPr="00FD5921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- Informations synthétisées à partir d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indicateurs individuels pour les articles 4, 5 et 7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52FB4E7" w14:textId="77777777" w:rsidR="003F5D8A" w:rsidRPr="00FD5921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Pourcentage dans la première évaluation</w:t>
            </w:r>
          </w:p>
        </w:tc>
      </w:tr>
      <w:tr w:rsidR="003F5D8A" w:rsidRPr="00FD5921" w14:paraId="4F5F04AB" w14:textId="77777777" w:rsidTr="00494016">
        <w:trPr>
          <w:trHeight w:val="454"/>
          <w:jc w:val="right"/>
        </w:trPr>
        <w:tc>
          <w:tcPr>
            <w:tcW w:w="183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hideMark/>
          </w:tcPr>
          <w:p w14:paraId="6D9B50F3" w14:textId="77777777" w:rsidR="003F5D8A" w:rsidRPr="00FD5921" w:rsidRDefault="003F5D8A" w:rsidP="00494016">
            <w:pPr>
              <w:spacing w:before="20" w:after="20"/>
              <w:rPr>
                <w:bCs/>
                <w:sz w:val="18"/>
                <w:szCs w:val="18"/>
              </w:rPr>
            </w:pPr>
            <w:r w:rsidRPr="00FD5921">
              <w:rPr>
                <w:bCs/>
                <w:sz w:val="18"/>
                <w:szCs w:val="18"/>
              </w:rPr>
              <w:t>C2. Indicateur</w:t>
            </w:r>
            <w:r w:rsidRPr="00FD5921">
              <w:rPr>
                <w:sz w:val="18"/>
                <w:szCs w:val="18"/>
              </w:rPr>
              <w:t xml:space="preserve"> de résultat transversal pour les articles 4, 5 et 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hideMark/>
          </w:tcPr>
          <w:p w14:paraId="7A7D5A55" w14:textId="77777777" w:rsidR="003F5D8A" w:rsidRPr="00FD5921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 xml:space="preserve">Utilisation mondiale du mercure dans la fabrication de produits ou de procédés, en tonnes par application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hideMark/>
          </w:tcPr>
          <w:p w14:paraId="35FF69FD" w14:textId="77777777" w:rsidR="003F5D8A" w:rsidRPr="00FD5921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- Informations provenant de sources de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industrie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hideMark/>
          </w:tcPr>
          <w:p w14:paraId="2291D32C" w14:textId="77777777" w:rsidR="003F5D8A" w:rsidRPr="00FD5921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Quantité dans la première évaluation</w:t>
            </w:r>
          </w:p>
        </w:tc>
      </w:tr>
      <w:tr w:rsidR="003F5D8A" w:rsidRPr="00FD5921" w14:paraId="0D969684" w14:textId="77777777" w:rsidTr="00494016">
        <w:trPr>
          <w:trHeight w:val="57"/>
          <w:jc w:val="right"/>
        </w:trPr>
        <w:tc>
          <w:tcPr>
            <w:tcW w:w="18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hideMark/>
          </w:tcPr>
          <w:p w14:paraId="0B42EB1E" w14:textId="77777777" w:rsidR="003F5D8A" w:rsidRPr="00FD5921" w:rsidRDefault="003F5D8A" w:rsidP="00494016">
            <w:pPr>
              <w:spacing w:before="120" w:after="120"/>
              <w:rPr>
                <w:b/>
                <w:sz w:val="18"/>
                <w:szCs w:val="18"/>
              </w:rPr>
            </w:pPr>
            <w:r w:rsidRPr="00FD5921">
              <w:rPr>
                <w:b/>
                <w:sz w:val="18"/>
                <w:szCs w:val="18"/>
              </w:rPr>
              <w:t>Article 4</w:t>
            </w:r>
          </w:p>
        </w:tc>
        <w:tc>
          <w:tcPr>
            <w:tcW w:w="27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21428CF5" w14:textId="77777777" w:rsidR="003F5D8A" w:rsidRPr="00FD5921" w:rsidRDefault="003F5D8A" w:rsidP="00494016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126492E" w14:textId="77777777" w:rsidR="003F5D8A" w:rsidRPr="00FD5921" w:rsidRDefault="003F5D8A" w:rsidP="00494016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04D229B4" w14:textId="77777777" w:rsidR="003F5D8A" w:rsidRPr="00FD5921" w:rsidRDefault="003F5D8A" w:rsidP="00494016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F5D8A" w:rsidRPr="00FD5921" w14:paraId="10883BBB" w14:textId="77777777" w:rsidTr="00494016">
        <w:trPr>
          <w:trHeight w:val="624"/>
          <w:jc w:val="right"/>
        </w:trPr>
        <w:tc>
          <w:tcPr>
            <w:tcW w:w="183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18FB4D" w14:textId="77777777" w:rsidR="003F5D8A" w:rsidRPr="00FD5921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C3. Indicateur de méthode pour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article 4</w:t>
            </w:r>
          </w:p>
        </w:tc>
        <w:tc>
          <w:tcPr>
            <w:tcW w:w="271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A6D9F67" w14:textId="77777777" w:rsidR="003F5D8A" w:rsidRPr="00FD5921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Nombre de Parties ayant pris les mesures nécessaires pour empêcher la fabrication,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exportation ou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 xml:space="preserve">importation de produits contenant du mercure </w:t>
            </w:r>
            <w:r w:rsidRPr="00FD5921">
              <w:rPr>
                <w:sz w:val="18"/>
                <w:szCs w:val="18"/>
              </w:rPr>
              <w:lastRenderedPageBreak/>
              <w:t>ajouté figurant dans la partie I de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Annexe A</w:t>
            </w:r>
          </w:p>
        </w:tc>
        <w:tc>
          <w:tcPr>
            <w:tcW w:w="18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88F182" w14:textId="77777777" w:rsidR="003F5D8A" w:rsidRPr="00FD5921" w:rsidRDefault="003F5D8A" w:rsidP="0049401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FD5921">
              <w:rPr>
                <w:iCs/>
                <w:sz w:val="18"/>
                <w:szCs w:val="18"/>
              </w:rPr>
              <w:lastRenderedPageBreak/>
              <w:t xml:space="preserve">- Rapports </w:t>
            </w:r>
            <w:r w:rsidRPr="00FD5921">
              <w:rPr>
                <w:sz w:val="18"/>
                <w:szCs w:val="18"/>
              </w:rPr>
              <w:t xml:space="preserve">établis </w:t>
            </w:r>
            <w:r w:rsidRPr="00FD5921">
              <w:rPr>
                <w:iCs/>
                <w:sz w:val="18"/>
                <w:szCs w:val="18"/>
              </w:rPr>
              <w:t>au titre de l</w:t>
            </w:r>
            <w:r>
              <w:rPr>
                <w:iCs/>
                <w:sz w:val="18"/>
                <w:szCs w:val="18"/>
              </w:rPr>
              <w:t>’</w:t>
            </w:r>
            <w:r w:rsidRPr="00FD5921">
              <w:rPr>
                <w:iCs/>
                <w:sz w:val="18"/>
                <w:szCs w:val="18"/>
              </w:rPr>
              <w:t>article 21</w:t>
            </w:r>
          </w:p>
        </w:tc>
        <w:tc>
          <w:tcPr>
            <w:tcW w:w="192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2A5DFD1" w14:textId="77777777" w:rsidR="003F5D8A" w:rsidRPr="00FD5921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FD5921" w14:paraId="281A6746" w14:textId="77777777" w:rsidTr="00494016">
        <w:trPr>
          <w:trHeight w:val="283"/>
          <w:jc w:val="right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5683080" w14:textId="77777777" w:rsidR="003F5D8A" w:rsidRPr="00FD5921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C4. Indicateur de méthode pour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article 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91987DA" w14:textId="77777777" w:rsidR="003F5D8A" w:rsidRPr="00FD5921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Nombre de dérogations par catégorie de produits qui sont toujours en vigueur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37D7883" w14:textId="77777777" w:rsidR="003F5D8A" w:rsidRPr="00FD5921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- Registre des dérogations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84E38C" w14:textId="77777777" w:rsidR="003F5D8A" w:rsidRPr="00FD5921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FD5921" w14:paraId="4D9682A8" w14:textId="77777777" w:rsidTr="00494016">
        <w:trPr>
          <w:trHeight w:val="454"/>
          <w:jc w:val="right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7F8B42F" w14:textId="77777777" w:rsidR="003F5D8A" w:rsidRPr="00FD5921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C5. Indicateur de méthode pour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article 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B253B0D" w14:textId="77777777" w:rsidR="003F5D8A" w:rsidRPr="00FD5921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Nombre de Parties ayant pris deux mesures ou plus pour les produits contenant du mercure ajouté figurant dans la partie II de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Annexe A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E57429B" w14:textId="77777777" w:rsidR="003F5D8A" w:rsidRPr="00FD5921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FD5921">
              <w:rPr>
                <w:iCs/>
                <w:sz w:val="18"/>
                <w:szCs w:val="18"/>
              </w:rPr>
              <w:t xml:space="preserve">- Rapports </w:t>
            </w:r>
            <w:r w:rsidRPr="00FD5921">
              <w:rPr>
                <w:sz w:val="18"/>
                <w:szCs w:val="18"/>
              </w:rPr>
              <w:t xml:space="preserve">établis </w:t>
            </w:r>
            <w:r w:rsidRPr="00FD5921">
              <w:rPr>
                <w:iCs/>
                <w:sz w:val="18"/>
                <w:szCs w:val="18"/>
              </w:rPr>
              <w:t>au titre de l</w:t>
            </w:r>
            <w:r>
              <w:rPr>
                <w:iCs/>
                <w:sz w:val="18"/>
                <w:szCs w:val="18"/>
              </w:rPr>
              <w:t>’</w:t>
            </w:r>
            <w:r w:rsidRPr="00FD5921">
              <w:rPr>
                <w:iCs/>
                <w:sz w:val="18"/>
                <w:szCs w:val="18"/>
              </w:rPr>
              <w:t>article 21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4A308D5" w14:textId="77777777" w:rsidR="003F5D8A" w:rsidRPr="00FD5921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FD5921" w14:paraId="2A3AFEFE" w14:textId="77777777" w:rsidTr="00494016">
        <w:trPr>
          <w:trHeight w:val="624"/>
          <w:jc w:val="right"/>
        </w:trPr>
        <w:tc>
          <w:tcPr>
            <w:tcW w:w="183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hideMark/>
          </w:tcPr>
          <w:p w14:paraId="221F587A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C6. Indicateur de résultat supplémentaire pour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article 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hideMark/>
          </w:tcPr>
          <w:p w14:paraId="2791F3F3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Volume, en tonnes de produits contenant du mercure ajouté a) importés et b) exportés, en unités par an, pour chaque catégorie de produits de la partie I de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Annexe 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hideMark/>
          </w:tcPr>
          <w:p w14:paraId="25486A86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- Données commerciales et douanières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hideMark/>
          </w:tcPr>
          <w:p w14:paraId="662B67D3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Quantité dans la première évaluation</w:t>
            </w:r>
          </w:p>
        </w:tc>
      </w:tr>
      <w:tr w:rsidR="003F5D8A" w:rsidRPr="00FD5921" w14:paraId="1D2F0352" w14:textId="77777777" w:rsidTr="00494016">
        <w:trPr>
          <w:trHeight w:val="57"/>
          <w:jc w:val="right"/>
        </w:trPr>
        <w:tc>
          <w:tcPr>
            <w:tcW w:w="18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hideMark/>
          </w:tcPr>
          <w:p w14:paraId="34551AFC" w14:textId="77777777" w:rsidR="003F5D8A" w:rsidRPr="00FD5921" w:rsidRDefault="003F5D8A" w:rsidP="00494016">
            <w:pPr>
              <w:tabs>
                <w:tab w:val="left" w:pos="1163"/>
              </w:tabs>
              <w:spacing w:before="120" w:after="120"/>
              <w:rPr>
                <w:b/>
                <w:sz w:val="18"/>
                <w:szCs w:val="18"/>
              </w:rPr>
            </w:pPr>
            <w:r w:rsidRPr="00FD5921">
              <w:rPr>
                <w:b/>
                <w:sz w:val="18"/>
                <w:szCs w:val="18"/>
              </w:rPr>
              <w:t>Article 5</w:t>
            </w:r>
          </w:p>
        </w:tc>
        <w:tc>
          <w:tcPr>
            <w:tcW w:w="27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3FF8FEAD" w14:textId="77777777" w:rsidR="003F5D8A" w:rsidRPr="00FD5921" w:rsidRDefault="003F5D8A" w:rsidP="00494016">
            <w:pPr>
              <w:tabs>
                <w:tab w:val="left" w:pos="1163"/>
              </w:tabs>
              <w:spacing w:before="120" w:after="12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4E4F177A" w14:textId="77777777" w:rsidR="003F5D8A" w:rsidRPr="00FD5921" w:rsidRDefault="003F5D8A" w:rsidP="00494016">
            <w:pPr>
              <w:tabs>
                <w:tab w:val="left" w:pos="1163"/>
              </w:tabs>
              <w:spacing w:before="120" w:after="12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4B447AFC" w14:textId="77777777" w:rsidR="003F5D8A" w:rsidRPr="00FD5921" w:rsidRDefault="003F5D8A" w:rsidP="00494016">
            <w:pPr>
              <w:tabs>
                <w:tab w:val="left" w:pos="1163"/>
              </w:tabs>
              <w:spacing w:before="120" w:after="120"/>
              <w:rPr>
                <w:rFonts w:eastAsia="Roboto"/>
                <w:sz w:val="18"/>
                <w:szCs w:val="18"/>
              </w:rPr>
            </w:pPr>
          </w:p>
        </w:tc>
      </w:tr>
      <w:tr w:rsidR="003F5D8A" w:rsidRPr="00FD5921" w14:paraId="6C27CCD8" w14:textId="77777777" w:rsidTr="00494016">
        <w:trPr>
          <w:trHeight w:val="454"/>
          <w:jc w:val="right"/>
        </w:trPr>
        <w:tc>
          <w:tcPr>
            <w:tcW w:w="183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F9F183D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C7. Indicateur de méthode pour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article 5</w:t>
            </w:r>
          </w:p>
        </w:tc>
        <w:tc>
          <w:tcPr>
            <w:tcW w:w="271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5719F86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Nombre de Parties bénéficiant de dérogations pour les processus visés à la partie I de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Annexe B qui sont toujours en vigueur</w:t>
            </w:r>
          </w:p>
        </w:tc>
        <w:tc>
          <w:tcPr>
            <w:tcW w:w="18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3019678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- Registre des dérogations</w:t>
            </w:r>
          </w:p>
        </w:tc>
        <w:tc>
          <w:tcPr>
            <w:tcW w:w="192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EF65BAD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FD5921" w14:paraId="4DA7320E" w14:textId="77777777" w:rsidTr="00494016">
        <w:trPr>
          <w:trHeight w:val="624"/>
          <w:jc w:val="right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DEA61DF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C8. Indicateur de méthode pour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article 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3B974F7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Nombre de Parties ayant pris des mesures pour interdire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utilisation du mercure ou de ses composés dans les procédés de fabrication figurant dans la partie I de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Annexe B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CC8F01C" w14:textId="77777777" w:rsidR="003F5D8A" w:rsidRPr="00FD5921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FD5921">
              <w:rPr>
                <w:iCs/>
                <w:sz w:val="18"/>
                <w:szCs w:val="18"/>
              </w:rPr>
              <w:t xml:space="preserve">- Rapports </w:t>
            </w:r>
            <w:r w:rsidRPr="00FD5921">
              <w:rPr>
                <w:sz w:val="18"/>
                <w:szCs w:val="18"/>
              </w:rPr>
              <w:t xml:space="preserve">établis </w:t>
            </w:r>
            <w:r w:rsidRPr="00FD5921">
              <w:rPr>
                <w:iCs/>
                <w:sz w:val="18"/>
                <w:szCs w:val="18"/>
              </w:rPr>
              <w:t>au titre de l</w:t>
            </w:r>
            <w:r>
              <w:rPr>
                <w:iCs/>
                <w:sz w:val="18"/>
                <w:szCs w:val="18"/>
              </w:rPr>
              <w:t>’</w:t>
            </w:r>
            <w:r w:rsidRPr="00FD5921">
              <w:rPr>
                <w:iCs/>
                <w:sz w:val="18"/>
                <w:szCs w:val="18"/>
              </w:rPr>
              <w:t>article 21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3B04DD7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FD5921" w14:paraId="76AC1392" w14:textId="77777777" w:rsidTr="00494016">
        <w:trPr>
          <w:trHeight w:val="624"/>
          <w:jc w:val="right"/>
        </w:trPr>
        <w:tc>
          <w:tcPr>
            <w:tcW w:w="183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hideMark/>
          </w:tcPr>
          <w:p w14:paraId="22383428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C9. Indicateur de méthode pour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article 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hideMark/>
          </w:tcPr>
          <w:p w14:paraId="613599AD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Proportion de Parties ayant des procédures visées au paragraphe 3 de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article 5 qui ont pris toutes les mesures voulues pour les procédures respectives figurant dans la partie II de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Annexe B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hideMark/>
          </w:tcPr>
          <w:p w14:paraId="6055760F" w14:textId="77777777" w:rsidR="003F5D8A" w:rsidRPr="00FD5921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iCs/>
                <w:sz w:val="18"/>
                <w:szCs w:val="18"/>
              </w:rPr>
              <w:t xml:space="preserve">- Rapports </w:t>
            </w:r>
            <w:r w:rsidRPr="00FD5921">
              <w:rPr>
                <w:sz w:val="18"/>
                <w:szCs w:val="18"/>
              </w:rPr>
              <w:t xml:space="preserve">établis </w:t>
            </w:r>
            <w:r w:rsidRPr="00FD5921">
              <w:rPr>
                <w:iCs/>
                <w:sz w:val="18"/>
                <w:szCs w:val="18"/>
              </w:rPr>
              <w:t>au titre de l</w:t>
            </w:r>
            <w:r>
              <w:rPr>
                <w:iCs/>
                <w:sz w:val="18"/>
                <w:szCs w:val="18"/>
              </w:rPr>
              <w:t>’</w:t>
            </w:r>
            <w:r w:rsidRPr="00FD5921">
              <w:rPr>
                <w:iCs/>
                <w:sz w:val="18"/>
                <w:szCs w:val="18"/>
              </w:rPr>
              <w:t>article 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hideMark/>
          </w:tcPr>
          <w:p w14:paraId="499F1316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Pourcentage dans la première évaluation</w:t>
            </w:r>
          </w:p>
        </w:tc>
      </w:tr>
      <w:tr w:rsidR="003F5D8A" w:rsidRPr="00FD5921" w14:paraId="55C9C7C6" w14:textId="77777777" w:rsidTr="00494016">
        <w:trPr>
          <w:trHeight w:val="57"/>
          <w:jc w:val="right"/>
        </w:trPr>
        <w:tc>
          <w:tcPr>
            <w:tcW w:w="18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hideMark/>
          </w:tcPr>
          <w:p w14:paraId="4277CD69" w14:textId="77777777" w:rsidR="003F5D8A" w:rsidRPr="00FD5921" w:rsidRDefault="003F5D8A" w:rsidP="00494016">
            <w:pPr>
              <w:tabs>
                <w:tab w:val="left" w:pos="1163"/>
              </w:tabs>
              <w:spacing w:before="120" w:after="120"/>
              <w:rPr>
                <w:b/>
                <w:sz w:val="18"/>
                <w:szCs w:val="18"/>
              </w:rPr>
            </w:pPr>
            <w:r w:rsidRPr="00FD5921">
              <w:rPr>
                <w:b/>
                <w:sz w:val="18"/>
                <w:szCs w:val="18"/>
              </w:rPr>
              <w:t>Article 7</w:t>
            </w:r>
          </w:p>
        </w:tc>
        <w:tc>
          <w:tcPr>
            <w:tcW w:w="27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09101B47" w14:textId="77777777" w:rsidR="003F5D8A" w:rsidRPr="00FD5921" w:rsidRDefault="003F5D8A" w:rsidP="00494016">
            <w:pPr>
              <w:tabs>
                <w:tab w:val="left" w:pos="1163"/>
              </w:tabs>
              <w:spacing w:before="120" w:after="12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49F31602" w14:textId="77777777" w:rsidR="003F5D8A" w:rsidRPr="00FD5921" w:rsidRDefault="003F5D8A" w:rsidP="00494016">
            <w:pPr>
              <w:tabs>
                <w:tab w:val="left" w:pos="1163"/>
              </w:tabs>
              <w:spacing w:before="120" w:after="12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0DA032CE" w14:textId="77777777" w:rsidR="003F5D8A" w:rsidRPr="00FD5921" w:rsidRDefault="003F5D8A" w:rsidP="00494016">
            <w:pPr>
              <w:tabs>
                <w:tab w:val="left" w:pos="1163"/>
              </w:tabs>
              <w:spacing w:before="120" w:after="120"/>
              <w:rPr>
                <w:rFonts w:eastAsia="Roboto"/>
                <w:sz w:val="18"/>
                <w:szCs w:val="18"/>
              </w:rPr>
            </w:pPr>
          </w:p>
        </w:tc>
      </w:tr>
      <w:tr w:rsidR="003F5D8A" w:rsidRPr="00FD5921" w14:paraId="78FA8913" w14:textId="77777777" w:rsidTr="00494016">
        <w:trPr>
          <w:trHeight w:val="850"/>
          <w:jc w:val="right"/>
        </w:trPr>
        <w:tc>
          <w:tcPr>
            <w:tcW w:w="183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901E6F3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C10. Indicateur de résultat pour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article 7</w:t>
            </w:r>
          </w:p>
        </w:tc>
        <w:tc>
          <w:tcPr>
            <w:tcW w:w="271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05C0F6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Quantité totale de mercure utilisée dans les exploitations minières artisanales et à petite échelle d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 xml:space="preserve">or dans le monde, en tonnes par an </w:t>
            </w:r>
          </w:p>
        </w:tc>
        <w:tc>
          <w:tcPr>
            <w:tcW w:w="18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C85830" w14:textId="77777777" w:rsidR="003F5D8A" w:rsidRPr="00FD5921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- Rapports établis au titre de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article 21</w:t>
            </w:r>
          </w:p>
          <w:p w14:paraId="7CEBF377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- Plans d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action nationaux e</w:t>
            </w:r>
            <w:r w:rsidRPr="00774149">
              <w:rPr>
                <w:sz w:val="18"/>
                <w:szCs w:val="18"/>
              </w:rPr>
              <w:t>n matière d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exploitation artisanale et à petite échelle d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or et examen de ceux-ci</w:t>
            </w:r>
          </w:p>
          <w:p w14:paraId="02E807C2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- Notifications</w:t>
            </w:r>
          </w:p>
        </w:tc>
        <w:tc>
          <w:tcPr>
            <w:tcW w:w="192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A7E43C4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Quantité dans la première évaluation</w:t>
            </w:r>
          </w:p>
        </w:tc>
      </w:tr>
      <w:tr w:rsidR="003F5D8A" w:rsidRPr="00FD5921" w14:paraId="37571AEA" w14:textId="77777777" w:rsidTr="00494016">
        <w:trPr>
          <w:trHeight w:val="454"/>
          <w:jc w:val="right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E698AB3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C11. Indicateur de méthode pour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article 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1FAC4F9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Proportion de Parties déclarant un nombre n</w:t>
            </w:r>
            <w:r w:rsidRPr="00FD5921">
              <w:t xml:space="preserve">on négligeable </w:t>
            </w:r>
            <w:r w:rsidRPr="00FD5921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exploitations minières artisanales et à petite échelle d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or ayant soumis un plan d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action national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637D64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- Notifications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FCE45C3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Pourcentage dans la première évaluation</w:t>
            </w:r>
          </w:p>
        </w:tc>
      </w:tr>
      <w:tr w:rsidR="003F5D8A" w:rsidRPr="00FD5921" w14:paraId="6EC33109" w14:textId="77777777" w:rsidTr="00494016">
        <w:trPr>
          <w:trHeight w:val="454"/>
          <w:jc w:val="right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3B04B04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C12. Indicateur de méthode pour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article 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D3AA149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Proportion de Parties ayant soumis un plan d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action national et qui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ont examiné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D4A3647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- Examens au titre de l</w:t>
            </w:r>
            <w:r>
              <w:rPr>
                <w:sz w:val="18"/>
                <w:szCs w:val="18"/>
              </w:rPr>
              <w:t>’</w:t>
            </w:r>
            <w:r w:rsidRPr="00FD5921">
              <w:rPr>
                <w:sz w:val="18"/>
                <w:szCs w:val="18"/>
              </w:rPr>
              <w:t>article 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3110394" w14:textId="77777777" w:rsidR="003F5D8A" w:rsidRPr="00FD5921" w:rsidRDefault="003F5D8A" w:rsidP="00494016">
            <w:pPr>
              <w:tabs>
                <w:tab w:val="left" w:pos="1163"/>
              </w:tabs>
              <w:spacing w:before="20" w:after="20"/>
              <w:rPr>
                <w:sz w:val="18"/>
                <w:szCs w:val="18"/>
              </w:rPr>
            </w:pPr>
            <w:r w:rsidRPr="00FD5921">
              <w:rPr>
                <w:sz w:val="18"/>
                <w:szCs w:val="18"/>
              </w:rPr>
              <w:t>Pourcentage dans la première évaluation</w:t>
            </w:r>
          </w:p>
        </w:tc>
      </w:tr>
      <w:tr w:rsidR="003F5D8A" w:rsidRPr="00FD5921" w14:paraId="07454846" w14:textId="77777777" w:rsidTr="00494016">
        <w:trPr>
          <w:trHeight w:val="227"/>
          <w:jc w:val="right"/>
        </w:trPr>
        <w:tc>
          <w:tcPr>
            <w:tcW w:w="18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513D123E" w14:textId="77777777" w:rsidR="003F5D8A" w:rsidRPr="00FD5921" w:rsidRDefault="003F5D8A" w:rsidP="00494016">
            <w:pPr>
              <w:spacing w:before="120" w:after="20"/>
              <w:rPr>
                <w:sz w:val="18"/>
                <w:szCs w:val="18"/>
              </w:rPr>
            </w:pPr>
            <w:r w:rsidRPr="00FD5921">
              <w:rPr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64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2EF1A4A0" w14:textId="77777777" w:rsidR="003F5D8A" w:rsidRPr="007D560A" w:rsidRDefault="003F5D8A" w:rsidP="00494016">
            <w:pPr>
              <w:pStyle w:val="ListParagraph"/>
              <w:numPr>
                <w:ilvl w:val="0"/>
                <w:numId w:val="21"/>
              </w:numPr>
              <w:tabs>
                <w:tab w:val="clear" w:pos="1247"/>
              </w:tabs>
              <w:spacing w:before="120" w:after="20"/>
              <w:rPr>
                <w:sz w:val="18"/>
                <w:szCs w:val="18"/>
              </w:rPr>
            </w:pPr>
            <w:r w:rsidRPr="007D560A">
              <w:rPr>
                <w:sz w:val="18"/>
                <w:szCs w:val="18"/>
              </w:rPr>
              <w:t>Il est possible qu</w:t>
            </w:r>
            <w:r>
              <w:rPr>
                <w:sz w:val="18"/>
                <w:szCs w:val="18"/>
              </w:rPr>
              <w:t>’</w:t>
            </w:r>
            <w:r w:rsidRPr="007D560A">
              <w:rPr>
                <w:sz w:val="18"/>
                <w:szCs w:val="18"/>
              </w:rPr>
              <w:t>il soit difficile d</w:t>
            </w:r>
            <w:r>
              <w:rPr>
                <w:sz w:val="18"/>
                <w:szCs w:val="18"/>
              </w:rPr>
              <w:t>’</w:t>
            </w:r>
            <w:r w:rsidRPr="007D560A">
              <w:rPr>
                <w:sz w:val="18"/>
                <w:szCs w:val="18"/>
              </w:rPr>
              <w:t>obtenir certaines données sur les produits.</w:t>
            </w:r>
          </w:p>
        </w:tc>
      </w:tr>
    </w:tbl>
    <w:p w14:paraId="07F2571C" w14:textId="77777777" w:rsidR="003F5D8A" w:rsidRPr="00FD5921" w:rsidRDefault="003F5D8A" w:rsidP="003F5D8A">
      <w:pPr>
        <w:spacing w:after="120"/>
        <w:rPr>
          <w:sz w:val="12"/>
          <w:szCs w:val="12"/>
        </w:rPr>
      </w:pPr>
    </w:p>
    <w:tbl>
      <w:tblPr>
        <w:tblStyle w:val="TableGrid"/>
        <w:tblW w:w="8278" w:type="dxa"/>
        <w:jc w:val="right"/>
        <w:tblLook w:val="04A0" w:firstRow="1" w:lastRow="0" w:firstColumn="1" w:lastColumn="0" w:noHBand="0" w:noVBand="1"/>
      </w:tblPr>
      <w:tblGrid>
        <w:gridCol w:w="1772"/>
        <w:gridCol w:w="2783"/>
        <w:gridCol w:w="1697"/>
        <w:gridCol w:w="2026"/>
      </w:tblGrid>
      <w:tr w:rsidR="003F5D8A" w:rsidRPr="002A2EA6" w14:paraId="2C62C7EC" w14:textId="77777777" w:rsidTr="00494016">
        <w:trPr>
          <w:trHeight w:val="57"/>
          <w:tblHeader/>
          <w:jc w:val="right"/>
        </w:trPr>
        <w:tc>
          <w:tcPr>
            <w:tcW w:w="455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704910E" w14:textId="77777777" w:rsidR="003F5D8A" w:rsidRPr="007D560A" w:rsidRDefault="003F5D8A" w:rsidP="00494016">
            <w:pPr>
              <w:pStyle w:val="Normal-pool"/>
              <w:spacing w:before="20" w:after="20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7D560A">
              <w:rPr>
                <w:bCs/>
                <w:i/>
                <w:iCs/>
                <w:sz w:val="18"/>
                <w:szCs w:val="18"/>
                <w:lang w:val="fr-FR"/>
              </w:rPr>
              <w:lastRenderedPageBreak/>
              <w:t>D : groupe Pressions</w:t>
            </w:r>
          </w:p>
          <w:p w14:paraId="053DB5A8" w14:textId="77777777" w:rsidR="003F5D8A" w:rsidRPr="007D560A" w:rsidRDefault="003F5D8A" w:rsidP="00494016">
            <w:pPr>
              <w:pStyle w:val="Normal-pool"/>
              <w:spacing w:before="20" w:after="20"/>
              <w:ind w:left="567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7D560A">
              <w:rPr>
                <w:bCs/>
                <w:i/>
                <w:iCs/>
                <w:sz w:val="18"/>
                <w:szCs w:val="18"/>
                <w:lang w:val="fr-FR"/>
              </w:rPr>
              <w:t>Article 8 (Émissions) ; article 9 (Rejets) ; article 12 (Sites contaminés)</w:t>
            </w:r>
          </w:p>
        </w:tc>
        <w:tc>
          <w:tcPr>
            <w:tcW w:w="169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B6EB357" w14:textId="77777777" w:rsidR="003F5D8A" w:rsidRPr="007D560A" w:rsidRDefault="003F5D8A" w:rsidP="00494016">
            <w:pPr>
              <w:pStyle w:val="Normal-pool"/>
              <w:spacing w:before="20" w:after="20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7D560A">
              <w:rPr>
                <w:bCs/>
                <w:i/>
                <w:iCs/>
                <w:sz w:val="18"/>
                <w:szCs w:val="18"/>
                <w:lang w:val="fr-FR"/>
              </w:rPr>
              <w:t>Source d</w:t>
            </w:r>
            <w:r>
              <w:rPr>
                <w:bCs/>
                <w:i/>
                <w:iCs/>
                <w:sz w:val="18"/>
                <w:szCs w:val="18"/>
                <w:lang w:val="fr-FR"/>
              </w:rPr>
              <w:t>’</w:t>
            </w:r>
            <w:r w:rsidRPr="007D560A">
              <w:rPr>
                <w:bCs/>
                <w:i/>
                <w:iCs/>
                <w:sz w:val="18"/>
                <w:szCs w:val="18"/>
                <w:lang w:val="fr-FR"/>
              </w:rPr>
              <w:t>information concernant l</w:t>
            </w:r>
            <w:r>
              <w:rPr>
                <w:bCs/>
                <w:i/>
                <w:iCs/>
                <w:sz w:val="18"/>
                <w:szCs w:val="18"/>
                <w:lang w:val="fr-FR"/>
              </w:rPr>
              <w:t>’</w:t>
            </w:r>
            <w:r w:rsidRPr="007D560A">
              <w:rPr>
                <w:bCs/>
                <w:i/>
                <w:iCs/>
                <w:sz w:val="18"/>
                <w:szCs w:val="18"/>
                <w:lang w:val="fr-FR"/>
              </w:rPr>
              <w:t>indicateur</w:t>
            </w:r>
          </w:p>
        </w:tc>
        <w:tc>
          <w:tcPr>
            <w:tcW w:w="202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0E2EB1E" w14:textId="77777777" w:rsidR="003F5D8A" w:rsidRPr="007D560A" w:rsidRDefault="003F5D8A" w:rsidP="00494016">
            <w:pPr>
              <w:pStyle w:val="Normal-pool"/>
              <w:spacing w:before="20" w:after="20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7D560A">
              <w:rPr>
                <w:bCs/>
                <w:i/>
                <w:iCs/>
                <w:sz w:val="18"/>
                <w:szCs w:val="18"/>
                <w:lang w:val="fr-FR"/>
              </w:rPr>
              <w:t>Valeur de référence pour l</w:t>
            </w:r>
            <w:r>
              <w:rPr>
                <w:bCs/>
                <w:i/>
                <w:iCs/>
                <w:sz w:val="18"/>
                <w:szCs w:val="18"/>
                <w:lang w:val="fr-FR"/>
              </w:rPr>
              <w:t>’</w:t>
            </w:r>
            <w:r w:rsidRPr="007D560A">
              <w:rPr>
                <w:bCs/>
                <w:i/>
                <w:iCs/>
                <w:sz w:val="18"/>
                <w:szCs w:val="18"/>
                <w:lang w:val="fr-FR"/>
              </w:rPr>
              <w:t>indicateur</w:t>
            </w:r>
          </w:p>
        </w:tc>
      </w:tr>
      <w:tr w:rsidR="003F5D8A" w:rsidRPr="002A2EA6" w14:paraId="696D4EC4" w14:textId="77777777" w:rsidTr="00494016">
        <w:trPr>
          <w:trHeight w:val="454"/>
          <w:jc w:val="right"/>
        </w:trPr>
        <w:tc>
          <w:tcPr>
            <w:tcW w:w="17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C8365" w14:textId="77777777" w:rsidR="003F5D8A" w:rsidRPr="002A2EA6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2A2EA6">
              <w:rPr>
                <w:bCs/>
                <w:sz w:val="18"/>
                <w:szCs w:val="18"/>
              </w:rPr>
              <w:t xml:space="preserve">D1. </w:t>
            </w:r>
            <w:r w:rsidRPr="002A2EA6">
              <w:rPr>
                <w:sz w:val="18"/>
                <w:szCs w:val="18"/>
              </w:rPr>
              <w:t>Indicateur de méthode global pour les articles 8, 9 et 12</w:t>
            </w:r>
          </w:p>
        </w:tc>
        <w:tc>
          <w:tcPr>
            <w:tcW w:w="27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69B1A6" w14:textId="77777777" w:rsidR="003F5D8A" w:rsidRPr="002A2EA6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Proportion de Parties ayant mis en œuvre des dispositions clefs dans le cadre de ce groupe</w:t>
            </w:r>
          </w:p>
        </w:tc>
        <w:tc>
          <w:tcPr>
            <w:tcW w:w="16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D12616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21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F12B4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Pourcentage dans la première évaluation</w:t>
            </w:r>
          </w:p>
        </w:tc>
      </w:tr>
      <w:tr w:rsidR="003F5D8A" w:rsidRPr="002A2EA6" w14:paraId="2AEF6FAF" w14:textId="77777777" w:rsidTr="00494016">
        <w:trPr>
          <w:trHeight w:val="1077"/>
          <w:jc w:val="right"/>
        </w:trPr>
        <w:tc>
          <w:tcPr>
            <w:tcW w:w="17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2173AB11" w14:textId="77777777" w:rsidR="003F5D8A" w:rsidRPr="002A2EA6" w:rsidRDefault="003F5D8A" w:rsidP="00494016">
            <w:pPr>
              <w:spacing w:before="20" w:after="20"/>
              <w:rPr>
                <w:bCs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D2. Indicateur de résultat transversal pour les articles 8, 9 et 12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6D767A4C" w14:textId="77777777" w:rsidR="003F5D8A" w:rsidRPr="002A2EA6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Quantité totale de mercure émise et rejetée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753EAE9E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Évaluation mondiale du mercure 2018</w:t>
            </w:r>
          </w:p>
          <w:p w14:paraId="00BDCABB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Inventaires</w:t>
            </w:r>
          </w:p>
          <w:p w14:paraId="0C1707A2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Premières évaluations de la Convention de Minamata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6A8C7EF5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Quantité dans la première évaluation</w:t>
            </w:r>
          </w:p>
        </w:tc>
      </w:tr>
      <w:tr w:rsidR="003F5D8A" w:rsidRPr="002A2EA6" w14:paraId="0E34C329" w14:textId="77777777" w:rsidTr="00494016">
        <w:trPr>
          <w:trHeight w:val="227"/>
          <w:jc w:val="right"/>
        </w:trPr>
        <w:tc>
          <w:tcPr>
            <w:tcW w:w="827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3E9C534F" w14:textId="77777777" w:rsidR="003F5D8A" w:rsidRPr="002A2EA6" w:rsidRDefault="003F5D8A" w:rsidP="00494016">
            <w:pPr>
              <w:tabs>
                <w:tab w:val="left" w:pos="1872"/>
              </w:tabs>
              <w:spacing w:before="120" w:after="120"/>
              <w:rPr>
                <w:sz w:val="18"/>
                <w:szCs w:val="18"/>
              </w:rPr>
            </w:pPr>
            <w:r w:rsidRPr="002A2EA6">
              <w:rPr>
                <w:b/>
                <w:sz w:val="18"/>
                <w:szCs w:val="18"/>
              </w:rPr>
              <w:t xml:space="preserve">Article 8 </w:t>
            </w:r>
            <w:r w:rsidRPr="002A2EA6">
              <w:rPr>
                <w:bCs/>
                <w:sz w:val="18"/>
                <w:szCs w:val="18"/>
              </w:rPr>
              <w:t>(</w:t>
            </w:r>
            <w:r w:rsidRPr="002A2EA6">
              <w:rPr>
                <w:sz w:val="18"/>
                <w:szCs w:val="18"/>
              </w:rPr>
              <w:t>les indicateurs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8 doivent être rapprochés des indicateurs de surveillance correspondants du tableau 4)</w:t>
            </w:r>
          </w:p>
        </w:tc>
      </w:tr>
      <w:tr w:rsidR="003F5D8A" w:rsidRPr="002A2EA6" w14:paraId="2AC221B7" w14:textId="77777777" w:rsidTr="00494016">
        <w:trPr>
          <w:trHeight w:val="454"/>
          <w:jc w:val="right"/>
        </w:trPr>
        <w:tc>
          <w:tcPr>
            <w:tcW w:w="17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FBDFC" w14:textId="77777777" w:rsidR="003F5D8A" w:rsidRPr="002A2EA6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D3. Indicateur de résultat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8</w:t>
            </w:r>
          </w:p>
        </w:tc>
        <w:tc>
          <w:tcPr>
            <w:tcW w:w="278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827F7" w14:textId="77777777" w:rsidR="003F5D8A" w:rsidRPr="002A2EA6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Quantité totale de mercure émise pour chaque catégorie de sources ponctuelles à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 xml:space="preserve">Annexe D </w:t>
            </w:r>
          </w:p>
        </w:tc>
        <w:tc>
          <w:tcPr>
            <w:tcW w:w="169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20A26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21</w:t>
            </w:r>
          </w:p>
          <w:p w14:paraId="178BF7FF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Inventaires</w:t>
            </w:r>
          </w:p>
        </w:tc>
        <w:tc>
          <w:tcPr>
            <w:tcW w:w="20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5C136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Quantité </w:t>
            </w:r>
            <w:r w:rsidRPr="002A2EA6">
              <w:rPr>
                <w:sz w:val="18"/>
                <w:szCs w:val="18"/>
              </w:rPr>
              <w:t>dans la première évaluation</w:t>
            </w:r>
          </w:p>
        </w:tc>
      </w:tr>
      <w:tr w:rsidR="003F5D8A" w:rsidRPr="002A2EA6" w14:paraId="09602202" w14:textId="77777777" w:rsidTr="00494016">
        <w:trPr>
          <w:trHeight w:val="454"/>
          <w:jc w:val="right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42EF0" w14:textId="77777777" w:rsidR="003F5D8A" w:rsidRPr="002A2EA6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D4.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8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995A2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qui nécessitent des MTD/MPE ou des valeurs limites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émission compatibles avec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application des MTD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E7025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Rapports </w:t>
            </w:r>
            <w:r w:rsidRPr="002A2EA6">
              <w:rPr>
                <w:sz w:val="18"/>
                <w:szCs w:val="18"/>
              </w:rPr>
              <w:t xml:space="preserve">établis </w:t>
            </w:r>
            <w:r w:rsidRPr="002A2EA6">
              <w:rPr>
                <w:iCs/>
                <w:sz w:val="18"/>
                <w:szCs w:val="18"/>
              </w:rPr>
              <w:t>au titre de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>article 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124DE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2A2EA6" w14:paraId="0692FF50" w14:textId="77777777" w:rsidTr="00494016">
        <w:trPr>
          <w:trHeight w:val="454"/>
          <w:jc w:val="right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55389" w14:textId="77777777" w:rsidR="003F5D8A" w:rsidRPr="002A2EA6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D5.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8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27A13" w14:textId="77777777" w:rsidR="003F5D8A" w:rsidRPr="002A2EA6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ayant mis en place des mesures de contrôle pour les sources existantes (pour chacune des mesures énoncées au paragraphe 5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8)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1F36F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Rapports </w:t>
            </w:r>
            <w:r w:rsidRPr="002A2EA6">
              <w:rPr>
                <w:sz w:val="18"/>
                <w:szCs w:val="18"/>
              </w:rPr>
              <w:t xml:space="preserve">établis </w:t>
            </w:r>
            <w:r w:rsidRPr="002A2EA6">
              <w:rPr>
                <w:iCs/>
                <w:sz w:val="18"/>
                <w:szCs w:val="18"/>
              </w:rPr>
              <w:t>au titre de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>article 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4BC93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2A2EA6" w14:paraId="2A1C29C2" w14:textId="77777777" w:rsidTr="00494016">
        <w:trPr>
          <w:trHeight w:val="454"/>
          <w:jc w:val="right"/>
        </w:trPr>
        <w:tc>
          <w:tcPr>
            <w:tcW w:w="17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50596479" w14:textId="77777777" w:rsidR="003F5D8A" w:rsidRPr="002A2EA6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D6.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10704995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 xml:space="preserve">Nombre de Parties ayant créé et tenu à jour un inventaire des émissions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3EC38184" w14:textId="77777777" w:rsidR="003F5D8A" w:rsidRPr="002A2EA6" w:rsidRDefault="003F5D8A" w:rsidP="00494016">
            <w:pPr>
              <w:spacing w:before="20" w:after="20"/>
              <w:rPr>
                <w:iCs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Rapports </w:t>
            </w:r>
            <w:r w:rsidRPr="002A2EA6">
              <w:rPr>
                <w:sz w:val="18"/>
                <w:szCs w:val="18"/>
              </w:rPr>
              <w:t xml:space="preserve">établis </w:t>
            </w:r>
            <w:r w:rsidRPr="002A2EA6">
              <w:rPr>
                <w:iCs/>
                <w:sz w:val="18"/>
                <w:szCs w:val="18"/>
              </w:rPr>
              <w:t>au titre de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>article 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6D4C7B1E" w14:textId="77777777" w:rsidR="003F5D8A" w:rsidRPr="002A2EA6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2A2EA6" w14:paraId="1F72D381" w14:textId="77777777" w:rsidTr="00494016">
        <w:trPr>
          <w:trHeight w:val="227"/>
          <w:jc w:val="right"/>
        </w:trPr>
        <w:tc>
          <w:tcPr>
            <w:tcW w:w="827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157AB4B2" w14:textId="77777777" w:rsidR="003F5D8A" w:rsidRPr="002A2EA6" w:rsidRDefault="003F5D8A" w:rsidP="00494016">
            <w:pPr>
              <w:tabs>
                <w:tab w:val="left" w:pos="1872"/>
              </w:tabs>
              <w:spacing w:before="120" w:after="120"/>
              <w:rPr>
                <w:sz w:val="18"/>
                <w:szCs w:val="18"/>
              </w:rPr>
            </w:pPr>
            <w:r w:rsidRPr="002A2EA6">
              <w:rPr>
                <w:b/>
                <w:sz w:val="18"/>
                <w:szCs w:val="18"/>
              </w:rPr>
              <w:t xml:space="preserve">Article 9 </w:t>
            </w:r>
            <w:r w:rsidRPr="002A2EA6">
              <w:rPr>
                <w:bCs/>
                <w:sz w:val="18"/>
                <w:szCs w:val="18"/>
              </w:rPr>
              <w:t>(</w:t>
            </w:r>
            <w:r w:rsidRPr="002A2EA6">
              <w:rPr>
                <w:sz w:val="18"/>
                <w:szCs w:val="18"/>
              </w:rPr>
              <w:t>les indicateurs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9 doivent être rapprochés des indicateurs de surveillance correspondants du tableau 4)</w:t>
            </w:r>
          </w:p>
        </w:tc>
      </w:tr>
      <w:tr w:rsidR="003F5D8A" w:rsidRPr="002A2EA6" w14:paraId="23B74F6D" w14:textId="77777777" w:rsidTr="00494016">
        <w:trPr>
          <w:trHeight w:val="454"/>
          <w:jc w:val="right"/>
        </w:trPr>
        <w:tc>
          <w:tcPr>
            <w:tcW w:w="17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8B03E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D7. Indicateur de résultat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9</w:t>
            </w:r>
          </w:p>
        </w:tc>
        <w:tc>
          <w:tcPr>
            <w:tcW w:w="278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DECBA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Quantité totale de rejets de mercure dans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 xml:space="preserve">inventaire provenant de sources pertinentes </w:t>
            </w:r>
          </w:p>
        </w:tc>
        <w:tc>
          <w:tcPr>
            <w:tcW w:w="169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F69DF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21</w:t>
            </w:r>
          </w:p>
          <w:p w14:paraId="3F3D62BC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Inventaires</w:t>
            </w:r>
          </w:p>
        </w:tc>
        <w:tc>
          <w:tcPr>
            <w:tcW w:w="20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18E28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Quantité </w:t>
            </w:r>
            <w:r w:rsidRPr="002A2EA6">
              <w:rPr>
                <w:sz w:val="18"/>
                <w:szCs w:val="18"/>
              </w:rPr>
              <w:t>dans la première évaluation</w:t>
            </w:r>
          </w:p>
        </w:tc>
      </w:tr>
      <w:tr w:rsidR="003F5D8A" w:rsidRPr="002A2EA6" w14:paraId="79D2F6BE" w14:textId="77777777" w:rsidTr="00494016">
        <w:trPr>
          <w:trHeight w:val="255"/>
          <w:jc w:val="right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ED998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D8.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9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E839F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ayant recensé des sources pertinentes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C37B6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Rapports </w:t>
            </w:r>
            <w:r w:rsidRPr="002A2EA6">
              <w:rPr>
                <w:sz w:val="18"/>
                <w:szCs w:val="18"/>
              </w:rPr>
              <w:t xml:space="preserve">établis </w:t>
            </w:r>
            <w:r w:rsidRPr="002A2EA6">
              <w:rPr>
                <w:iCs/>
                <w:sz w:val="18"/>
                <w:szCs w:val="18"/>
              </w:rPr>
              <w:t>au titre de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>article 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22FDC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2A2EA6" w14:paraId="6B9A4B7B" w14:textId="77777777" w:rsidTr="00494016">
        <w:trPr>
          <w:trHeight w:val="454"/>
          <w:jc w:val="right"/>
        </w:trPr>
        <w:tc>
          <w:tcPr>
            <w:tcW w:w="17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2D50BF7A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D9.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0DCE66E4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ayant créé et tenu à jour un inventaire des rejets des sources pertinentes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424DFBD0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Rapports </w:t>
            </w:r>
            <w:r w:rsidRPr="002A2EA6">
              <w:rPr>
                <w:sz w:val="18"/>
                <w:szCs w:val="18"/>
              </w:rPr>
              <w:t xml:space="preserve">établis </w:t>
            </w:r>
            <w:r w:rsidRPr="002A2EA6">
              <w:rPr>
                <w:iCs/>
                <w:sz w:val="18"/>
                <w:szCs w:val="18"/>
              </w:rPr>
              <w:t>au titre de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>article 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44C2433D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2A2EA6" w14:paraId="303F84E8" w14:textId="77777777" w:rsidTr="00494016">
        <w:trPr>
          <w:trHeight w:val="227"/>
          <w:jc w:val="right"/>
        </w:trPr>
        <w:tc>
          <w:tcPr>
            <w:tcW w:w="17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194EA319" w14:textId="77777777" w:rsidR="003F5D8A" w:rsidRPr="002A2EA6" w:rsidRDefault="003F5D8A" w:rsidP="00494016">
            <w:pPr>
              <w:tabs>
                <w:tab w:val="left" w:pos="1163"/>
              </w:tabs>
              <w:spacing w:before="120" w:after="120"/>
              <w:rPr>
                <w:b/>
                <w:sz w:val="18"/>
                <w:szCs w:val="18"/>
              </w:rPr>
            </w:pPr>
            <w:r w:rsidRPr="002A2EA6">
              <w:rPr>
                <w:b/>
                <w:sz w:val="18"/>
                <w:szCs w:val="18"/>
              </w:rPr>
              <w:t>Article 12</w:t>
            </w:r>
          </w:p>
        </w:tc>
        <w:tc>
          <w:tcPr>
            <w:tcW w:w="27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D3C1D5" w14:textId="77777777" w:rsidR="003F5D8A" w:rsidRPr="002A2EA6" w:rsidRDefault="003F5D8A" w:rsidP="00494016">
            <w:pPr>
              <w:spacing w:before="120" w:after="12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BFFAB8" w14:textId="77777777" w:rsidR="003F5D8A" w:rsidRPr="002A2EA6" w:rsidRDefault="003F5D8A" w:rsidP="00494016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0245E0" w14:textId="77777777" w:rsidR="003F5D8A" w:rsidRPr="002A2EA6" w:rsidRDefault="003F5D8A" w:rsidP="00494016">
            <w:pPr>
              <w:spacing w:before="120" w:after="120"/>
              <w:rPr>
                <w:i/>
                <w:iCs/>
                <w:sz w:val="18"/>
                <w:szCs w:val="18"/>
              </w:rPr>
            </w:pPr>
          </w:p>
        </w:tc>
      </w:tr>
      <w:tr w:rsidR="003F5D8A" w:rsidRPr="002A2EA6" w14:paraId="5A12A912" w14:textId="77777777" w:rsidTr="00494016">
        <w:trPr>
          <w:trHeight w:val="454"/>
          <w:jc w:val="right"/>
        </w:trPr>
        <w:tc>
          <w:tcPr>
            <w:tcW w:w="17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A8CA7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D10.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12</w:t>
            </w:r>
          </w:p>
        </w:tc>
        <w:tc>
          <w:tcPr>
            <w:tcW w:w="278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2AA60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ayant élaboré des stratégies pour identifier et évaluer les sites contaminés par du mercure ou des composés du mercure</w:t>
            </w:r>
          </w:p>
        </w:tc>
        <w:tc>
          <w:tcPr>
            <w:tcW w:w="169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EF832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Rapports </w:t>
            </w:r>
            <w:r w:rsidRPr="002A2EA6">
              <w:rPr>
                <w:sz w:val="18"/>
                <w:szCs w:val="18"/>
              </w:rPr>
              <w:t xml:space="preserve">établis </w:t>
            </w:r>
            <w:r w:rsidRPr="002A2EA6">
              <w:rPr>
                <w:iCs/>
                <w:sz w:val="18"/>
                <w:szCs w:val="18"/>
              </w:rPr>
              <w:t>au titre de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>article 21</w:t>
            </w:r>
          </w:p>
        </w:tc>
        <w:tc>
          <w:tcPr>
            <w:tcW w:w="20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46F67" w14:textId="77777777" w:rsidR="003F5D8A" w:rsidRPr="002A2EA6" w:rsidRDefault="003F5D8A" w:rsidP="00494016">
            <w:pPr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2A2EA6" w14:paraId="3E81C71C" w14:textId="77777777" w:rsidTr="00494016">
        <w:trPr>
          <w:trHeight w:val="255"/>
          <w:jc w:val="right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CEB89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D11.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12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4B1FF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pacing w:val="-2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ayant dressé un inventaire des sites contaminés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D6B90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Rapports </w:t>
            </w:r>
            <w:r w:rsidRPr="002A2EA6">
              <w:rPr>
                <w:sz w:val="18"/>
                <w:szCs w:val="18"/>
              </w:rPr>
              <w:t xml:space="preserve">établis </w:t>
            </w:r>
            <w:r w:rsidRPr="002A2EA6">
              <w:rPr>
                <w:iCs/>
                <w:sz w:val="18"/>
                <w:szCs w:val="18"/>
              </w:rPr>
              <w:t>au titre de l</w:t>
            </w:r>
            <w:r>
              <w:rPr>
                <w:iCs/>
                <w:sz w:val="18"/>
                <w:szCs w:val="18"/>
              </w:rPr>
              <w:t>’</w:t>
            </w:r>
            <w:r w:rsidRPr="002A2EA6">
              <w:rPr>
                <w:iCs/>
                <w:sz w:val="18"/>
                <w:szCs w:val="18"/>
              </w:rPr>
              <w:t>article 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44AAD" w14:textId="77777777" w:rsidR="003F5D8A" w:rsidRPr="002A2EA6" w:rsidRDefault="003F5D8A" w:rsidP="00494016">
            <w:pPr>
              <w:tabs>
                <w:tab w:val="left" w:pos="1163"/>
              </w:tabs>
              <w:spacing w:before="20" w:after="2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2A2EA6" w14:paraId="4CDCA340" w14:textId="77777777" w:rsidTr="00494016">
        <w:trPr>
          <w:trHeight w:val="227"/>
          <w:jc w:val="right"/>
        </w:trPr>
        <w:tc>
          <w:tcPr>
            <w:tcW w:w="17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3C0452E" w14:textId="77777777" w:rsidR="003F5D8A" w:rsidRPr="002A2EA6" w:rsidRDefault="003F5D8A" w:rsidP="00494016">
            <w:pPr>
              <w:spacing w:before="20" w:after="20"/>
              <w:rPr>
                <w:sz w:val="18"/>
                <w:szCs w:val="18"/>
              </w:rPr>
            </w:pPr>
            <w:r w:rsidRPr="002A2EA6">
              <w:rPr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22ABE8A" w14:textId="77777777" w:rsidR="003F5D8A" w:rsidRPr="002A2EA6" w:rsidRDefault="003F5D8A" w:rsidP="00494016">
            <w:pPr>
              <w:pStyle w:val="ListParagraph"/>
              <w:numPr>
                <w:ilvl w:val="0"/>
                <w:numId w:val="22"/>
              </w:numPr>
              <w:tabs>
                <w:tab w:val="left" w:pos="1872"/>
              </w:tabs>
              <w:spacing w:before="20" w:after="2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Il peut exister certaines lacunes dans les données, car les Parties ne sont pas obligées de communiquer les informations recueillies dans le cadre de leur inventaire.</w:t>
            </w:r>
          </w:p>
        </w:tc>
      </w:tr>
    </w:tbl>
    <w:p w14:paraId="476FB666" w14:textId="77777777" w:rsidR="003F5D8A" w:rsidRPr="002321A6" w:rsidRDefault="003F5D8A" w:rsidP="003F5D8A">
      <w:pPr>
        <w:spacing w:after="120"/>
      </w:pPr>
    </w:p>
    <w:tbl>
      <w:tblPr>
        <w:tblStyle w:val="TableGrid"/>
        <w:tblW w:w="8278" w:type="dxa"/>
        <w:jc w:val="righ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23"/>
        <w:gridCol w:w="2855"/>
        <w:gridCol w:w="1559"/>
        <w:gridCol w:w="2041"/>
      </w:tblGrid>
      <w:tr w:rsidR="003F5D8A" w:rsidRPr="002A2EA6" w14:paraId="1A1C414D" w14:textId="77777777" w:rsidTr="00494016">
        <w:trPr>
          <w:trHeight w:val="57"/>
          <w:tblHeader/>
          <w:jc w:val="right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3B55354" w14:textId="77777777" w:rsidR="003F5D8A" w:rsidRPr="002D2836" w:rsidRDefault="003F5D8A" w:rsidP="00494016">
            <w:pPr>
              <w:pStyle w:val="Normal-pool"/>
              <w:spacing w:before="40" w:after="40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2D2836">
              <w:rPr>
                <w:bCs/>
                <w:i/>
                <w:iCs/>
                <w:sz w:val="18"/>
                <w:szCs w:val="18"/>
                <w:lang w:val="fr-FR"/>
              </w:rPr>
              <w:lastRenderedPageBreak/>
              <w:t xml:space="preserve">E : groupe Appui </w:t>
            </w:r>
          </w:p>
          <w:p w14:paraId="7E4A830C" w14:textId="77777777" w:rsidR="003F5D8A" w:rsidRPr="002D2836" w:rsidRDefault="003F5D8A" w:rsidP="00494016">
            <w:pPr>
              <w:pStyle w:val="Normal-pool"/>
              <w:spacing w:before="40" w:after="40"/>
              <w:ind w:left="567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2D2836">
              <w:rPr>
                <w:bCs/>
                <w:i/>
                <w:iCs/>
                <w:sz w:val="18"/>
                <w:szCs w:val="18"/>
                <w:lang w:val="fr-FR"/>
              </w:rPr>
              <w:t>Article 13 (Ressources financières et mécanisme de financement) ; article 14 (Renforcement des capacités, assistance technique et transfert de technologies)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B9252C8" w14:textId="77777777" w:rsidR="003F5D8A" w:rsidRPr="002D2836" w:rsidRDefault="003F5D8A" w:rsidP="00494016">
            <w:pPr>
              <w:pStyle w:val="Normal-pool"/>
              <w:spacing w:before="40" w:after="40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2D2836">
              <w:rPr>
                <w:bCs/>
                <w:i/>
                <w:iCs/>
                <w:sz w:val="18"/>
                <w:szCs w:val="18"/>
                <w:lang w:val="fr-FR"/>
              </w:rPr>
              <w:t>Source d</w:t>
            </w:r>
            <w:r>
              <w:rPr>
                <w:bCs/>
                <w:i/>
                <w:iCs/>
                <w:sz w:val="18"/>
                <w:szCs w:val="18"/>
                <w:lang w:val="fr-FR"/>
              </w:rPr>
              <w:t>’</w:t>
            </w:r>
            <w:r w:rsidRPr="002D2836">
              <w:rPr>
                <w:bCs/>
                <w:i/>
                <w:iCs/>
                <w:sz w:val="18"/>
                <w:szCs w:val="18"/>
                <w:lang w:val="fr-FR"/>
              </w:rPr>
              <w:t>information concernant l</w:t>
            </w:r>
            <w:r>
              <w:rPr>
                <w:bCs/>
                <w:i/>
                <w:iCs/>
                <w:sz w:val="18"/>
                <w:szCs w:val="18"/>
                <w:lang w:val="fr-FR"/>
              </w:rPr>
              <w:t>’</w:t>
            </w:r>
            <w:r w:rsidRPr="002D2836">
              <w:rPr>
                <w:bCs/>
                <w:i/>
                <w:iCs/>
                <w:sz w:val="18"/>
                <w:szCs w:val="18"/>
                <w:lang w:val="fr-FR"/>
              </w:rPr>
              <w:t>indicateur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77E7A08" w14:textId="77777777" w:rsidR="003F5D8A" w:rsidRPr="002D2836" w:rsidRDefault="003F5D8A" w:rsidP="00494016">
            <w:pPr>
              <w:pStyle w:val="Normal-pool"/>
              <w:spacing w:before="40" w:after="40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2D2836">
              <w:rPr>
                <w:bCs/>
                <w:i/>
                <w:iCs/>
                <w:sz w:val="18"/>
                <w:szCs w:val="18"/>
                <w:lang w:val="fr-FR"/>
              </w:rPr>
              <w:t>Valeur de référence pour l</w:t>
            </w:r>
            <w:r>
              <w:rPr>
                <w:bCs/>
                <w:i/>
                <w:iCs/>
                <w:sz w:val="18"/>
                <w:szCs w:val="18"/>
                <w:lang w:val="fr-FR"/>
              </w:rPr>
              <w:t>’</w:t>
            </w:r>
            <w:r w:rsidRPr="002D2836">
              <w:rPr>
                <w:bCs/>
                <w:i/>
                <w:iCs/>
                <w:sz w:val="18"/>
                <w:szCs w:val="18"/>
                <w:lang w:val="fr-FR"/>
              </w:rPr>
              <w:t>indicateur</w:t>
            </w:r>
          </w:p>
        </w:tc>
      </w:tr>
      <w:tr w:rsidR="003F5D8A" w:rsidRPr="002A2EA6" w14:paraId="1F0939C0" w14:textId="77777777" w:rsidTr="00494016">
        <w:trPr>
          <w:trHeight w:val="227"/>
          <w:jc w:val="right"/>
        </w:trPr>
        <w:tc>
          <w:tcPr>
            <w:tcW w:w="18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01E9E2" w14:textId="77777777" w:rsidR="003F5D8A" w:rsidRPr="002A2EA6" w:rsidRDefault="003F5D8A" w:rsidP="00494016">
            <w:pPr>
              <w:spacing w:before="40" w:after="40"/>
              <w:rPr>
                <w:b/>
                <w:sz w:val="18"/>
                <w:szCs w:val="18"/>
              </w:rPr>
            </w:pPr>
            <w:r w:rsidRPr="002A2EA6">
              <w:rPr>
                <w:b/>
                <w:bCs/>
                <w:sz w:val="18"/>
                <w:szCs w:val="18"/>
              </w:rPr>
              <w:t>Article 13</w:t>
            </w:r>
          </w:p>
        </w:tc>
        <w:tc>
          <w:tcPr>
            <w:tcW w:w="28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7664CE" w14:textId="77777777" w:rsidR="003F5D8A" w:rsidRPr="002A2EA6" w:rsidRDefault="003F5D8A" w:rsidP="0049401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062DA4" w14:textId="77777777" w:rsidR="003F5D8A" w:rsidRPr="002A2EA6" w:rsidRDefault="003F5D8A" w:rsidP="0049401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11E19E" w14:textId="77777777" w:rsidR="003F5D8A" w:rsidRPr="002A2EA6" w:rsidRDefault="003F5D8A" w:rsidP="0049401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F5D8A" w:rsidRPr="002A2EA6" w14:paraId="3DED7034" w14:textId="77777777" w:rsidTr="00494016">
        <w:trPr>
          <w:trHeight w:val="1276"/>
          <w:jc w:val="right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F93BF0" w14:textId="77777777" w:rsidR="003F5D8A" w:rsidRPr="002A2EA6" w:rsidRDefault="003F5D8A" w:rsidP="00494016">
            <w:pPr>
              <w:spacing w:before="40" w:after="4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E1.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7D4113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 xml:space="preserve">Nombre de Parties ayant : </w:t>
            </w:r>
          </w:p>
          <w:p w14:paraId="7B365C67" w14:textId="77777777" w:rsidR="003F5D8A" w:rsidRPr="002A2EA6" w:rsidRDefault="003F5D8A" w:rsidP="00494016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814"/>
                <w:tab w:val="left" w:pos="1163"/>
                <w:tab w:val="left" w:pos="1815"/>
              </w:tabs>
              <w:spacing w:before="40" w:after="40"/>
              <w:ind w:left="417" w:hanging="304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Contribué au mécanisme de financement visé au paragraphe 5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13</w:t>
            </w:r>
          </w:p>
          <w:p w14:paraId="6F83C7D6" w14:textId="77777777" w:rsidR="003F5D8A" w:rsidRPr="002A2EA6" w:rsidRDefault="003F5D8A" w:rsidP="00494016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814"/>
                <w:tab w:val="left" w:pos="1163"/>
                <w:tab w:val="left" w:pos="1815"/>
              </w:tabs>
              <w:spacing w:before="40" w:after="40"/>
              <w:ind w:left="417" w:hanging="304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Reçu des ressources du Fonds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environnement mondial</w:t>
            </w:r>
          </w:p>
          <w:p w14:paraId="2D9656A7" w14:textId="77777777" w:rsidR="003F5D8A" w:rsidRPr="002A2EA6" w:rsidRDefault="003F5D8A" w:rsidP="00494016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814"/>
                <w:tab w:val="left" w:pos="1163"/>
                <w:tab w:val="left" w:pos="1815"/>
              </w:tabs>
              <w:spacing w:before="40" w:after="40"/>
              <w:ind w:left="417" w:hanging="304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Reçu des ressources du SIP</w:t>
            </w:r>
          </w:p>
          <w:p w14:paraId="7B870C85" w14:textId="77777777" w:rsidR="003F5D8A" w:rsidRPr="002A2EA6" w:rsidRDefault="003F5D8A" w:rsidP="00494016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ind w:left="417" w:hanging="304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Mobilisé des ressources nationales pour la mise en œuvre de la Convention</w:t>
            </w:r>
          </w:p>
          <w:p w14:paraId="06F851F1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proofErr w:type="gramStart"/>
            <w:r w:rsidRPr="002A2EA6">
              <w:rPr>
                <w:sz w:val="18"/>
                <w:szCs w:val="18"/>
              </w:rPr>
              <w:t>au</w:t>
            </w:r>
            <w:proofErr w:type="gramEnd"/>
            <w:r w:rsidRPr="002A2EA6">
              <w:rPr>
                <w:sz w:val="18"/>
                <w:szCs w:val="18"/>
              </w:rPr>
              <w:t xml:space="preserve"> cours de la période considérée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6C3555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iCs/>
                <w:sz w:val="18"/>
                <w:szCs w:val="18"/>
              </w:rPr>
              <w:t xml:space="preserve">- </w:t>
            </w:r>
            <w:r w:rsidRPr="002A2EA6">
              <w:rPr>
                <w:sz w:val="18"/>
                <w:szCs w:val="18"/>
              </w:rPr>
              <w:t>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46F337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2A2EA6" w14:paraId="1C1611FA" w14:textId="77777777" w:rsidTr="00494016">
        <w:trPr>
          <w:trHeight w:val="1077"/>
          <w:jc w:val="right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F65208" w14:textId="77777777" w:rsidR="003F5D8A" w:rsidRPr="002A2EA6" w:rsidRDefault="003F5D8A" w:rsidP="00494016">
            <w:pPr>
              <w:spacing w:before="40" w:after="4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E2.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B5E042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 xml:space="preserve">Montant des ressources fournies par : </w:t>
            </w:r>
          </w:p>
          <w:p w14:paraId="68693EA2" w14:textId="77777777" w:rsidR="003F5D8A" w:rsidRPr="002A2EA6" w:rsidRDefault="003F5D8A" w:rsidP="00494016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left" w:pos="1163"/>
                <w:tab w:val="left" w:pos="1248"/>
              </w:tabs>
              <w:spacing w:before="40" w:after="40"/>
              <w:ind w:left="417" w:hanging="304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Fonds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environnement mondial</w:t>
            </w:r>
          </w:p>
          <w:p w14:paraId="2894B408" w14:textId="77777777" w:rsidR="003F5D8A" w:rsidRPr="002A2EA6" w:rsidRDefault="003F5D8A" w:rsidP="00494016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left" w:pos="1163"/>
                <w:tab w:val="left" w:pos="1248"/>
              </w:tabs>
              <w:spacing w:before="40" w:after="40"/>
              <w:ind w:left="417" w:hanging="304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SIP</w:t>
            </w:r>
          </w:p>
          <w:p w14:paraId="6BCB4EF3" w14:textId="77777777" w:rsidR="003F5D8A" w:rsidRPr="002A2EA6" w:rsidRDefault="003F5D8A" w:rsidP="00494016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left" w:pos="1163"/>
                <w:tab w:val="left" w:pos="1248"/>
              </w:tabs>
              <w:spacing w:before="40" w:after="40"/>
              <w:ind w:left="417" w:hanging="304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Appui bilatéral au cours de la période considérée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A0BB62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iCs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21</w:t>
            </w:r>
          </w:p>
          <w:p w14:paraId="3E41893A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Autres sources publiques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3A3BD3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Montant </w:t>
            </w:r>
            <w:r w:rsidRPr="002A2EA6">
              <w:rPr>
                <w:sz w:val="18"/>
                <w:szCs w:val="18"/>
              </w:rPr>
              <w:t>dans la première évaluation</w:t>
            </w:r>
          </w:p>
        </w:tc>
      </w:tr>
      <w:tr w:rsidR="003F5D8A" w:rsidRPr="002A2EA6" w14:paraId="310A8B37" w14:textId="77777777" w:rsidTr="00494016">
        <w:trPr>
          <w:trHeight w:val="454"/>
          <w:jc w:val="right"/>
        </w:trPr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BC7545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E3. Indicateur de méthode supplémentaire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 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EB9C8C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recommandations issues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examen financier reprises dans les documents directifs du Fonds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environnement mondial/SIP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E1A7CF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Information issue de documents directifs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EFA145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Zéro</w:t>
            </w:r>
          </w:p>
        </w:tc>
      </w:tr>
      <w:tr w:rsidR="003F5D8A" w:rsidRPr="002A2EA6" w14:paraId="233F26E3" w14:textId="77777777" w:rsidTr="00494016">
        <w:trPr>
          <w:trHeight w:val="227"/>
          <w:jc w:val="right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8B8AD4" w14:textId="77777777" w:rsidR="003F5D8A" w:rsidRPr="002A2EA6" w:rsidRDefault="003F5D8A" w:rsidP="004940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120" w:after="120"/>
              <w:rPr>
                <w:b/>
                <w:sz w:val="18"/>
                <w:szCs w:val="18"/>
              </w:rPr>
            </w:pPr>
            <w:r w:rsidRPr="002A2EA6">
              <w:rPr>
                <w:b/>
                <w:bCs/>
                <w:sz w:val="18"/>
                <w:szCs w:val="18"/>
              </w:rPr>
              <w:t>Article 14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59DCA8" w14:textId="77777777" w:rsidR="003F5D8A" w:rsidRPr="002A2EA6" w:rsidRDefault="003F5D8A" w:rsidP="004940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120" w:after="12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72D366" w14:textId="77777777" w:rsidR="003F5D8A" w:rsidRPr="002A2EA6" w:rsidRDefault="003F5D8A" w:rsidP="004940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120" w:after="12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24DD00" w14:textId="77777777" w:rsidR="003F5D8A" w:rsidRPr="002A2EA6" w:rsidRDefault="003F5D8A" w:rsidP="004940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120" w:after="120"/>
              <w:rPr>
                <w:rFonts w:eastAsia="Roboto"/>
                <w:sz w:val="18"/>
                <w:szCs w:val="18"/>
              </w:rPr>
            </w:pPr>
          </w:p>
        </w:tc>
      </w:tr>
      <w:tr w:rsidR="003F5D8A" w:rsidRPr="002A2EA6" w14:paraId="6517705A" w14:textId="77777777" w:rsidTr="00494016">
        <w:trPr>
          <w:trHeight w:val="1276"/>
          <w:jc w:val="right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C39CCB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E4.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 14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62F8C8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ayant :</w:t>
            </w:r>
          </w:p>
          <w:p w14:paraId="56EECCBF" w14:textId="77777777" w:rsidR="003F5D8A" w:rsidRPr="002A2EA6" w:rsidRDefault="003F5D8A" w:rsidP="00494016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ind w:left="417" w:hanging="304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Coopéré à la fourniture à une autre Partie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un appui en matière de renforcement des capacités et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une assistance technique</w:t>
            </w:r>
          </w:p>
          <w:p w14:paraId="2231AF27" w14:textId="77777777" w:rsidR="003F5D8A" w:rsidRPr="002A2EA6" w:rsidRDefault="003F5D8A" w:rsidP="00494016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ind w:left="417" w:hanging="304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Sollicité une assistance technique</w:t>
            </w:r>
          </w:p>
          <w:p w14:paraId="671936FE" w14:textId="77777777" w:rsidR="003F5D8A" w:rsidRPr="002A2EA6" w:rsidRDefault="003F5D8A" w:rsidP="00494016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ind w:left="417" w:hanging="304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Bénéficié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un appui en matière de renforcement des capacités ou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une assistance technique</w:t>
            </w:r>
          </w:p>
          <w:p w14:paraId="4D5FA795" w14:textId="77777777" w:rsidR="003F5D8A" w:rsidRPr="002A2EA6" w:rsidRDefault="003F5D8A" w:rsidP="00494016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ind w:left="417" w:hanging="304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 xml:space="preserve">Encouragé ou facilité le transfert de technologies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ACDBE3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iCs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21</w:t>
            </w:r>
          </w:p>
          <w:p w14:paraId="277C8EB9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Autres sources publiques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7C2153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2A2EA6" w14:paraId="02C229F5" w14:textId="77777777" w:rsidTr="00494016">
        <w:trPr>
          <w:trHeight w:val="454"/>
          <w:jc w:val="right"/>
        </w:trPr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F3E08A2" w14:textId="77777777" w:rsidR="003F5D8A" w:rsidRPr="002A2EA6" w:rsidRDefault="003F5D8A" w:rsidP="0049401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2A2EA6">
              <w:rPr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9DE03D3" w14:textId="77777777" w:rsidR="003F5D8A" w:rsidRPr="002A2EA6" w:rsidRDefault="003F5D8A" w:rsidP="0049401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2"/>
              </w:tabs>
              <w:spacing w:before="40"/>
              <w:ind w:left="357" w:hanging="357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Le cycle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examen du mécanisme de financement peut ne pas correspondre au cycle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évaluation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 xml:space="preserve">efficacité. </w:t>
            </w:r>
          </w:p>
          <w:p w14:paraId="75456860" w14:textId="77777777" w:rsidR="003F5D8A" w:rsidRPr="002A2EA6" w:rsidRDefault="003F5D8A" w:rsidP="0049401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2"/>
              </w:tabs>
              <w:spacing w:after="40"/>
              <w:ind w:left="357" w:hanging="357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Attendu que le modèle de rapport n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exige pas que soit indiquée la valeur en dollars des ressources fournies, la consultation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autres sources publiques peut s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imposer.</w:t>
            </w:r>
          </w:p>
        </w:tc>
      </w:tr>
    </w:tbl>
    <w:p w14:paraId="6DD051E0" w14:textId="77777777" w:rsidR="003F5D8A" w:rsidRPr="002321A6" w:rsidRDefault="003F5D8A" w:rsidP="003F5D8A">
      <w:pPr>
        <w:spacing w:after="120"/>
      </w:pPr>
    </w:p>
    <w:tbl>
      <w:tblPr>
        <w:tblStyle w:val="TableGrid"/>
        <w:tblW w:w="830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28"/>
        <w:gridCol w:w="2867"/>
        <w:gridCol w:w="1564"/>
        <w:gridCol w:w="2048"/>
      </w:tblGrid>
      <w:tr w:rsidR="003F5D8A" w:rsidRPr="002A2EA6" w14:paraId="4D14E11E" w14:textId="77777777" w:rsidTr="00494016">
        <w:trPr>
          <w:trHeight w:val="57"/>
          <w:tblHeader/>
          <w:jc w:val="right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BE1EF38" w14:textId="77777777" w:rsidR="003F5D8A" w:rsidRPr="00314C2D" w:rsidRDefault="003F5D8A" w:rsidP="00494016">
            <w:pPr>
              <w:spacing w:before="40" w:after="40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314C2D">
              <w:rPr>
                <w:bCs/>
                <w:i/>
                <w:iCs/>
                <w:sz w:val="18"/>
                <w:szCs w:val="18"/>
              </w:rPr>
              <w:t>F : article 15 (Comité de mise en œuvre et du respect des obligations)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5A31707" w14:textId="77777777" w:rsidR="003F5D8A" w:rsidRPr="00314C2D" w:rsidRDefault="003F5D8A" w:rsidP="00494016">
            <w:pPr>
              <w:spacing w:before="40" w:after="40"/>
              <w:rPr>
                <w:rFonts w:asciiTheme="majorBidi" w:eastAsia="Roboto" w:hAnsiTheme="majorBidi" w:cstheme="majorBidi"/>
                <w:i/>
                <w:iCs/>
                <w:sz w:val="18"/>
                <w:szCs w:val="18"/>
              </w:rPr>
            </w:pPr>
            <w:r w:rsidRPr="00314C2D">
              <w:rPr>
                <w:bCs/>
                <w:i/>
                <w:iCs/>
                <w:sz w:val="18"/>
                <w:szCs w:val="18"/>
              </w:rPr>
              <w:t xml:space="preserve">Source </w:t>
            </w:r>
            <w:r>
              <w:rPr>
                <w:bCs/>
                <w:i/>
                <w:iCs/>
                <w:sz w:val="18"/>
                <w:szCs w:val="18"/>
              </w:rPr>
              <w:br/>
            </w:r>
            <w:r w:rsidRPr="00314C2D">
              <w:rPr>
                <w:bCs/>
                <w:i/>
                <w:iCs/>
                <w:sz w:val="18"/>
                <w:szCs w:val="18"/>
              </w:rPr>
              <w:t>d</w:t>
            </w:r>
            <w:r>
              <w:rPr>
                <w:bCs/>
                <w:i/>
                <w:iCs/>
                <w:sz w:val="18"/>
                <w:szCs w:val="18"/>
              </w:rPr>
              <w:t>’</w:t>
            </w:r>
            <w:r w:rsidRPr="00314C2D">
              <w:rPr>
                <w:bCs/>
                <w:i/>
                <w:iCs/>
                <w:sz w:val="18"/>
                <w:szCs w:val="18"/>
              </w:rPr>
              <w:t>information concernant l</w:t>
            </w:r>
            <w:r>
              <w:rPr>
                <w:bCs/>
                <w:i/>
                <w:iCs/>
                <w:sz w:val="18"/>
                <w:szCs w:val="18"/>
              </w:rPr>
              <w:t>’</w:t>
            </w:r>
            <w:r w:rsidRPr="00314C2D">
              <w:rPr>
                <w:bCs/>
                <w:i/>
                <w:iCs/>
                <w:sz w:val="18"/>
                <w:szCs w:val="18"/>
              </w:rPr>
              <w:t>indicateur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CB73FBB" w14:textId="77777777" w:rsidR="003F5D8A" w:rsidRPr="00314C2D" w:rsidRDefault="003F5D8A" w:rsidP="00494016">
            <w:pPr>
              <w:spacing w:before="40" w:after="40"/>
              <w:rPr>
                <w:rFonts w:asciiTheme="majorBidi" w:eastAsia="Roboto" w:hAnsiTheme="majorBidi" w:cstheme="majorBidi"/>
                <w:i/>
                <w:iCs/>
                <w:sz w:val="18"/>
                <w:szCs w:val="18"/>
              </w:rPr>
            </w:pPr>
            <w:r w:rsidRPr="00314C2D">
              <w:rPr>
                <w:i/>
                <w:iCs/>
                <w:sz w:val="18"/>
                <w:szCs w:val="18"/>
              </w:rPr>
              <w:t>Valeur de référence pour l</w:t>
            </w:r>
            <w:r>
              <w:rPr>
                <w:i/>
                <w:iCs/>
                <w:sz w:val="18"/>
                <w:szCs w:val="18"/>
              </w:rPr>
              <w:t>’</w:t>
            </w:r>
            <w:r w:rsidRPr="00314C2D">
              <w:rPr>
                <w:i/>
                <w:iCs/>
                <w:sz w:val="18"/>
                <w:szCs w:val="18"/>
              </w:rPr>
              <w:t>indicateur</w:t>
            </w:r>
          </w:p>
        </w:tc>
      </w:tr>
      <w:tr w:rsidR="003F5D8A" w:rsidRPr="002A2EA6" w14:paraId="2AF9876B" w14:textId="77777777" w:rsidTr="00494016">
        <w:trPr>
          <w:trHeight w:val="624"/>
          <w:jc w:val="right"/>
        </w:trPr>
        <w:tc>
          <w:tcPr>
            <w:tcW w:w="18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0D233A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F1. Indicateur de méthode</w:t>
            </w:r>
          </w:p>
        </w:tc>
        <w:tc>
          <w:tcPr>
            <w:tcW w:w="28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40D2E0D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Proportion de questions que le Comité de mise en œuvre et du respect des obligations a été en mesure de régler, y compris des indications sur les questions systémiques, le cas échéant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AC9B97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 du Comité de mise en œuvre et du respect des obligations (art. 21)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0D9B4CA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Pourcentage </w:t>
            </w:r>
            <w:r w:rsidRPr="002A2EA6">
              <w:rPr>
                <w:sz w:val="18"/>
                <w:szCs w:val="18"/>
              </w:rPr>
              <w:t>dans la première</w:t>
            </w:r>
            <w:r>
              <w:rPr>
                <w:sz w:val="18"/>
                <w:szCs w:val="18"/>
              </w:rPr>
              <w:t xml:space="preserve"> </w:t>
            </w:r>
            <w:r w:rsidRPr="002A2EA6">
              <w:rPr>
                <w:sz w:val="18"/>
                <w:szCs w:val="18"/>
              </w:rPr>
              <w:t>évaluation</w:t>
            </w:r>
          </w:p>
        </w:tc>
      </w:tr>
      <w:tr w:rsidR="003F5D8A" w:rsidRPr="002A2EA6" w14:paraId="283DDF12" w14:textId="77777777" w:rsidTr="00494016">
        <w:trPr>
          <w:trHeight w:val="227"/>
          <w:jc w:val="right"/>
        </w:trPr>
        <w:tc>
          <w:tcPr>
            <w:tcW w:w="18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1CCEC23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2EA6">
              <w:rPr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645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D8BD381" w14:textId="77777777" w:rsidR="003F5D8A" w:rsidRPr="002A2EA6" w:rsidRDefault="003F5D8A" w:rsidP="0049401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2"/>
              </w:tabs>
              <w:spacing w:before="40" w:after="40"/>
              <w:rPr>
                <w:rFonts w:asciiTheme="majorBidi" w:hAnsiTheme="majorBidi" w:cstheme="majorBidi"/>
                <w:spacing w:val="-2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La Conférence des Parties examinera le mandat du Comité de mise en œuvre et du respect des obligations à sa troisième réunion.</w:t>
            </w:r>
          </w:p>
        </w:tc>
      </w:tr>
    </w:tbl>
    <w:p w14:paraId="68A37BE5" w14:textId="77777777" w:rsidR="003F5D8A" w:rsidRPr="002321A6" w:rsidRDefault="003F5D8A" w:rsidP="003F5D8A">
      <w:pPr>
        <w:spacing w:after="120"/>
        <w:rPr>
          <w:rFonts w:asciiTheme="majorBidi" w:hAnsiTheme="majorBidi" w:cstheme="majorBidi"/>
        </w:rPr>
      </w:pPr>
    </w:p>
    <w:tbl>
      <w:tblPr>
        <w:tblStyle w:val="TableGrid"/>
        <w:tblW w:w="830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27"/>
        <w:gridCol w:w="2851"/>
        <w:gridCol w:w="1559"/>
        <w:gridCol w:w="2070"/>
      </w:tblGrid>
      <w:tr w:rsidR="003F5D8A" w:rsidRPr="002A2EA6" w14:paraId="6724FA21" w14:textId="77777777" w:rsidTr="00494016">
        <w:trPr>
          <w:trHeight w:val="57"/>
          <w:tblHeader/>
          <w:jc w:val="right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2D4EF88" w14:textId="77777777" w:rsidR="003F5D8A" w:rsidRPr="008178BD" w:rsidRDefault="003F5D8A" w:rsidP="00494016">
            <w:pPr>
              <w:spacing w:before="40" w:after="40"/>
              <w:rPr>
                <w:rFonts w:asciiTheme="majorBidi" w:eastAsia="Roboto" w:hAnsiTheme="majorBidi" w:cstheme="majorBidi"/>
                <w:i/>
                <w:iCs/>
                <w:sz w:val="18"/>
                <w:szCs w:val="18"/>
              </w:rPr>
            </w:pPr>
            <w:r w:rsidRPr="008178BD">
              <w:rPr>
                <w:i/>
                <w:iCs/>
                <w:sz w:val="18"/>
                <w:szCs w:val="18"/>
              </w:rPr>
              <w:t xml:space="preserve">G : article 16 (Aspects sanitaires) </w:t>
            </w:r>
          </w:p>
          <w:p w14:paraId="1DF63177" w14:textId="77777777" w:rsidR="003F5D8A" w:rsidRPr="002A2EA6" w:rsidRDefault="003F5D8A" w:rsidP="00494016">
            <w:pPr>
              <w:spacing w:before="40" w:after="40"/>
              <w:ind w:left="567"/>
              <w:rPr>
                <w:rFonts w:asciiTheme="majorBidi" w:eastAsia="Roboto" w:hAnsiTheme="majorBidi" w:cstheme="majorBidi"/>
                <w:b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(L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indicateur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 16 doit être rapproché des indicateurs de surveillance correspondants du tableau</w:t>
            </w:r>
            <w:r>
              <w:rPr>
                <w:sz w:val="18"/>
                <w:szCs w:val="18"/>
              </w:rPr>
              <w:t> </w:t>
            </w:r>
            <w:r w:rsidRPr="002A2EA6">
              <w:rPr>
                <w:sz w:val="18"/>
                <w:szCs w:val="18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8D45BC7" w14:textId="77777777" w:rsidR="003F5D8A" w:rsidRPr="008178BD" w:rsidRDefault="003F5D8A" w:rsidP="00494016">
            <w:pPr>
              <w:spacing w:before="40" w:after="40"/>
              <w:rPr>
                <w:rFonts w:asciiTheme="majorBidi" w:eastAsia="Roboto" w:hAnsiTheme="majorBidi" w:cstheme="majorBidi"/>
                <w:i/>
                <w:iCs/>
                <w:sz w:val="18"/>
                <w:szCs w:val="18"/>
              </w:rPr>
            </w:pPr>
            <w:r w:rsidRPr="008178BD">
              <w:rPr>
                <w:i/>
                <w:iCs/>
                <w:sz w:val="18"/>
                <w:szCs w:val="18"/>
              </w:rPr>
              <w:t xml:space="preserve">Source </w:t>
            </w:r>
            <w:r>
              <w:rPr>
                <w:i/>
                <w:iCs/>
                <w:sz w:val="18"/>
                <w:szCs w:val="18"/>
              </w:rPr>
              <w:br/>
            </w:r>
            <w:r w:rsidRPr="008178BD">
              <w:rPr>
                <w:i/>
                <w:iCs/>
                <w:sz w:val="18"/>
                <w:szCs w:val="18"/>
              </w:rPr>
              <w:t>d</w:t>
            </w:r>
            <w:r>
              <w:rPr>
                <w:i/>
                <w:iCs/>
                <w:sz w:val="18"/>
                <w:szCs w:val="18"/>
              </w:rPr>
              <w:t>’</w:t>
            </w:r>
            <w:r w:rsidRPr="008178BD">
              <w:rPr>
                <w:i/>
                <w:iCs/>
                <w:sz w:val="18"/>
                <w:szCs w:val="18"/>
              </w:rPr>
              <w:t>information concernant l</w:t>
            </w:r>
            <w:r>
              <w:rPr>
                <w:i/>
                <w:iCs/>
                <w:sz w:val="18"/>
                <w:szCs w:val="18"/>
              </w:rPr>
              <w:t>’</w:t>
            </w:r>
            <w:r w:rsidRPr="008178BD">
              <w:rPr>
                <w:i/>
                <w:iCs/>
                <w:sz w:val="18"/>
                <w:szCs w:val="18"/>
              </w:rPr>
              <w:t>indicateur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5D1A7F3" w14:textId="77777777" w:rsidR="003F5D8A" w:rsidRPr="008178BD" w:rsidRDefault="003F5D8A" w:rsidP="00494016">
            <w:pPr>
              <w:spacing w:before="40" w:after="40"/>
              <w:rPr>
                <w:rFonts w:asciiTheme="majorBidi" w:eastAsia="Roboto" w:hAnsiTheme="majorBidi" w:cstheme="majorBidi"/>
                <w:i/>
                <w:iCs/>
                <w:sz w:val="18"/>
                <w:szCs w:val="18"/>
              </w:rPr>
            </w:pPr>
            <w:r w:rsidRPr="008178BD">
              <w:rPr>
                <w:i/>
                <w:iCs/>
                <w:sz w:val="18"/>
                <w:szCs w:val="18"/>
              </w:rPr>
              <w:t>Valeur de référence pour l</w:t>
            </w:r>
            <w:r>
              <w:rPr>
                <w:i/>
                <w:iCs/>
                <w:sz w:val="18"/>
                <w:szCs w:val="18"/>
              </w:rPr>
              <w:t>’</w:t>
            </w:r>
            <w:r w:rsidRPr="008178BD">
              <w:rPr>
                <w:i/>
                <w:iCs/>
                <w:sz w:val="18"/>
                <w:szCs w:val="18"/>
              </w:rPr>
              <w:t>indicateur</w:t>
            </w:r>
          </w:p>
        </w:tc>
      </w:tr>
      <w:tr w:rsidR="003F5D8A" w:rsidRPr="002A2EA6" w14:paraId="3143C707" w14:textId="77777777" w:rsidTr="00494016">
        <w:trPr>
          <w:trHeight w:val="454"/>
          <w:jc w:val="right"/>
        </w:trPr>
        <w:tc>
          <w:tcPr>
            <w:tcW w:w="18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09CB090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G1. Indicateur de surveillance</w:t>
            </w:r>
          </w:p>
        </w:tc>
        <w:tc>
          <w:tcPr>
            <w:tcW w:w="285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2E3F5B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Niveaux de mercure dans certaines populations humaines (comme défini dans les arrangements de surveillance)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74164FF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Données et activités de surveillance existantes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2CC436F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Chiffre </w:t>
            </w:r>
            <w:r w:rsidRPr="002A2EA6">
              <w:rPr>
                <w:sz w:val="18"/>
                <w:szCs w:val="18"/>
              </w:rPr>
              <w:t>dans la première évaluation</w:t>
            </w:r>
          </w:p>
        </w:tc>
      </w:tr>
      <w:tr w:rsidR="003F5D8A" w:rsidRPr="002A2EA6" w14:paraId="280EF40C" w14:textId="77777777" w:rsidTr="00494016">
        <w:trPr>
          <w:trHeight w:val="624"/>
          <w:jc w:val="right"/>
        </w:trPr>
        <w:tc>
          <w:tcPr>
            <w:tcW w:w="1827" w:type="dxa"/>
            <w:shd w:val="clear" w:color="auto" w:fill="FFFFFF" w:themeFill="background1"/>
          </w:tcPr>
          <w:p w14:paraId="103718E2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G2. Indicateur de méthode</w:t>
            </w:r>
          </w:p>
        </w:tc>
        <w:tc>
          <w:tcPr>
            <w:tcW w:w="2851" w:type="dxa"/>
            <w:shd w:val="clear" w:color="auto" w:fill="FFFFFF" w:themeFill="background1"/>
          </w:tcPr>
          <w:p w14:paraId="2CC25891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ayant pris des mesures – avis concernant le poisson, par exemple – pour informer le public sur la question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exposition au mercure, conformément au paragraphe 1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 16</w:t>
            </w:r>
          </w:p>
        </w:tc>
        <w:tc>
          <w:tcPr>
            <w:tcW w:w="1559" w:type="dxa"/>
            <w:shd w:val="clear" w:color="auto" w:fill="FFFFFF" w:themeFill="background1"/>
          </w:tcPr>
          <w:p w14:paraId="36CC6A93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21</w:t>
            </w:r>
          </w:p>
        </w:tc>
        <w:tc>
          <w:tcPr>
            <w:tcW w:w="2070" w:type="dxa"/>
            <w:shd w:val="clear" w:color="auto" w:fill="FFFFFF" w:themeFill="background1"/>
          </w:tcPr>
          <w:p w14:paraId="5B215035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2A2EA6" w14:paraId="34BFE106" w14:textId="77777777" w:rsidTr="00494016">
        <w:trPr>
          <w:trHeight w:val="454"/>
          <w:jc w:val="right"/>
        </w:trPr>
        <w:tc>
          <w:tcPr>
            <w:tcW w:w="1827" w:type="dxa"/>
            <w:shd w:val="clear" w:color="auto" w:fill="FFFFFF" w:themeFill="background1"/>
          </w:tcPr>
          <w:p w14:paraId="60B52E53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G3. Indicateur de méthode</w:t>
            </w:r>
          </w:p>
        </w:tc>
        <w:tc>
          <w:tcPr>
            <w:tcW w:w="2851" w:type="dxa"/>
            <w:shd w:val="clear" w:color="auto" w:fill="FFFFFF" w:themeFill="background1"/>
          </w:tcPr>
          <w:p w14:paraId="21BF0850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ayant pris des mesures pour protéger la santé humaine, conformément à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 16</w:t>
            </w:r>
          </w:p>
        </w:tc>
        <w:tc>
          <w:tcPr>
            <w:tcW w:w="1559" w:type="dxa"/>
            <w:shd w:val="clear" w:color="auto" w:fill="FFFFFF" w:themeFill="background1"/>
          </w:tcPr>
          <w:p w14:paraId="38AE9697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21</w:t>
            </w:r>
          </w:p>
          <w:p w14:paraId="1CD3FB2B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Communications au secrétariat</w:t>
            </w:r>
          </w:p>
        </w:tc>
        <w:tc>
          <w:tcPr>
            <w:tcW w:w="2070" w:type="dxa"/>
            <w:shd w:val="clear" w:color="auto" w:fill="FFFFFF" w:themeFill="background1"/>
          </w:tcPr>
          <w:p w14:paraId="0B577212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2A2EA6" w14:paraId="486689B5" w14:textId="77777777" w:rsidTr="00494016">
        <w:trPr>
          <w:trHeight w:val="227"/>
          <w:jc w:val="right"/>
        </w:trPr>
        <w:tc>
          <w:tcPr>
            <w:tcW w:w="182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0287DC5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2EA6">
              <w:rPr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14:paraId="6C6DB931" w14:textId="77777777" w:rsidR="003F5D8A" w:rsidRPr="002A2EA6" w:rsidRDefault="003F5D8A" w:rsidP="0049401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2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 xml:space="preserve">Les concentrations de mercure chez les biotes doivent également être prises en compte. </w:t>
            </w:r>
          </w:p>
        </w:tc>
      </w:tr>
    </w:tbl>
    <w:p w14:paraId="20BDB6CD" w14:textId="77777777" w:rsidR="003F5D8A" w:rsidRPr="002321A6" w:rsidRDefault="003F5D8A" w:rsidP="003F5D8A">
      <w:pPr>
        <w:spacing w:after="120"/>
        <w:rPr>
          <w:rFonts w:asciiTheme="majorBidi" w:hAnsiTheme="majorBidi" w:cstheme="majorBidi"/>
        </w:rPr>
      </w:pPr>
    </w:p>
    <w:tbl>
      <w:tblPr>
        <w:tblStyle w:val="TableGrid"/>
        <w:tblW w:w="830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27"/>
        <w:gridCol w:w="2851"/>
        <w:gridCol w:w="1559"/>
        <w:gridCol w:w="2070"/>
      </w:tblGrid>
      <w:tr w:rsidR="003F5D8A" w:rsidRPr="002A2EA6" w14:paraId="3EC1D974" w14:textId="77777777" w:rsidTr="00494016">
        <w:trPr>
          <w:trHeight w:val="57"/>
          <w:tblHeader/>
          <w:jc w:val="right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91AAC58" w14:textId="77777777" w:rsidR="003F5D8A" w:rsidRPr="00467467" w:rsidRDefault="003F5D8A" w:rsidP="00494016">
            <w:pPr>
              <w:pStyle w:val="Normal-pool"/>
              <w:spacing w:before="40" w:after="40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467467">
              <w:rPr>
                <w:bCs/>
                <w:i/>
                <w:iCs/>
                <w:sz w:val="18"/>
                <w:szCs w:val="18"/>
                <w:lang w:val="fr-FR"/>
              </w:rPr>
              <w:t xml:space="preserve">H : groupe Information et recherche </w:t>
            </w:r>
          </w:p>
          <w:p w14:paraId="7F526596" w14:textId="77777777" w:rsidR="003F5D8A" w:rsidRPr="00467467" w:rsidRDefault="003F5D8A" w:rsidP="00494016">
            <w:pPr>
              <w:pStyle w:val="Normal-pool"/>
              <w:spacing w:before="40" w:after="40"/>
              <w:ind w:left="567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467467">
              <w:rPr>
                <w:bCs/>
                <w:i/>
                <w:iCs/>
                <w:sz w:val="18"/>
                <w:szCs w:val="18"/>
                <w:lang w:val="fr-FR"/>
              </w:rPr>
              <w:t>Article 17 (Échange d</w:t>
            </w:r>
            <w:r>
              <w:rPr>
                <w:bCs/>
                <w:i/>
                <w:iCs/>
                <w:sz w:val="18"/>
                <w:szCs w:val="18"/>
                <w:lang w:val="fr-FR"/>
              </w:rPr>
              <w:t>’</w:t>
            </w:r>
            <w:r w:rsidRPr="00467467">
              <w:rPr>
                <w:bCs/>
                <w:i/>
                <w:iCs/>
                <w:sz w:val="18"/>
                <w:szCs w:val="18"/>
                <w:lang w:val="fr-FR"/>
              </w:rPr>
              <w:t>informations) ; article 18 (Information, sensibilisation et éducation du public) ; article 19 (Recherche-développement et surveillance)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7101F7C" w14:textId="77777777" w:rsidR="003F5D8A" w:rsidRPr="00467467" w:rsidRDefault="003F5D8A" w:rsidP="00494016">
            <w:pPr>
              <w:pStyle w:val="Normal-pool"/>
              <w:spacing w:before="40" w:after="40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467467">
              <w:rPr>
                <w:bCs/>
                <w:i/>
                <w:iCs/>
                <w:sz w:val="18"/>
                <w:szCs w:val="18"/>
                <w:lang w:val="fr-FR"/>
              </w:rPr>
              <w:t xml:space="preserve">Source </w:t>
            </w:r>
            <w:r>
              <w:rPr>
                <w:bCs/>
                <w:i/>
                <w:iCs/>
                <w:sz w:val="18"/>
                <w:szCs w:val="18"/>
                <w:lang w:val="fr-FR"/>
              </w:rPr>
              <w:br/>
            </w:r>
            <w:r w:rsidRPr="00467467">
              <w:rPr>
                <w:bCs/>
                <w:i/>
                <w:iCs/>
                <w:sz w:val="18"/>
                <w:szCs w:val="18"/>
                <w:lang w:val="fr-FR"/>
              </w:rPr>
              <w:t>d</w:t>
            </w:r>
            <w:r>
              <w:rPr>
                <w:bCs/>
                <w:i/>
                <w:iCs/>
                <w:sz w:val="18"/>
                <w:szCs w:val="18"/>
                <w:lang w:val="fr-FR"/>
              </w:rPr>
              <w:t>’</w:t>
            </w:r>
            <w:r w:rsidRPr="00467467">
              <w:rPr>
                <w:bCs/>
                <w:i/>
                <w:iCs/>
                <w:sz w:val="18"/>
                <w:szCs w:val="18"/>
                <w:lang w:val="fr-FR"/>
              </w:rPr>
              <w:t>information concernant l</w:t>
            </w:r>
            <w:r>
              <w:rPr>
                <w:bCs/>
                <w:i/>
                <w:iCs/>
                <w:sz w:val="18"/>
                <w:szCs w:val="18"/>
                <w:lang w:val="fr-FR"/>
              </w:rPr>
              <w:t>’</w:t>
            </w:r>
            <w:r w:rsidRPr="00467467">
              <w:rPr>
                <w:bCs/>
                <w:i/>
                <w:iCs/>
                <w:sz w:val="18"/>
                <w:szCs w:val="18"/>
                <w:lang w:val="fr-FR"/>
              </w:rPr>
              <w:t>indicateur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094926A" w14:textId="77777777" w:rsidR="003F5D8A" w:rsidRPr="00467467" w:rsidRDefault="003F5D8A" w:rsidP="00494016">
            <w:pPr>
              <w:pStyle w:val="Normal-pool"/>
              <w:spacing w:before="40" w:after="40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467467">
              <w:rPr>
                <w:bCs/>
                <w:i/>
                <w:iCs/>
                <w:sz w:val="18"/>
                <w:szCs w:val="18"/>
                <w:lang w:val="fr-FR"/>
              </w:rPr>
              <w:t>Valeur de référence pour l</w:t>
            </w:r>
            <w:r>
              <w:rPr>
                <w:bCs/>
                <w:i/>
                <w:iCs/>
                <w:sz w:val="18"/>
                <w:szCs w:val="18"/>
                <w:lang w:val="fr-FR"/>
              </w:rPr>
              <w:t>’</w:t>
            </w:r>
            <w:r w:rsidRPr="00467467">
              <w:rPr>
                <w:bCs/>
                <w:i/>
                <w:iCs/>
                <w:sz w:val="18"/>
                <w:szCs w:val="18"/>
                <w:lang w:val="fr-FR"/>
              </w:rPr>
              <w:t>indicateur</w:t>
            </w:r>
          </w:p>
        </w:tc>
      </w:tr>
      <w:tr w:rsidR="003F5D8A" w:rsidRPr="002A2EA6" w14:paraId="4BC4968B" w14:textId="77777777" w:rsidTr="00494016">
        <w:trPr>
          <w:trHeight w:val="57"/>
          <w:jc w:val="right"/>
        </w:trPr>
        <w:tc>
          <w:tcPr>
            <w:tcW w:w="1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C01507" w14:textId="77777777" w:rsidR="003F5D8A" w:rsidRPr="002A2EA6" w:rsidRDefault="003F5D8A" w:rsidP="00494016">
            <w:pPr>
              <w:spacing w:before="120" w:after="120"/>
              <w:rPr>
                <w:b/>
                <w:sz w:val="18"/>
                <w:szCs w:val="18"/>
              </w:rPr>
            </w:pPr>
            <w:r w:rsidRPr="002A2EA6">
              <w:rPr>
                <w:b/>
                <w:bCs/>
                <w:sz w:val="18"/>
                <w:szCs w:val="18"/>
              </w:rPr>
              <w:t>Article 17</w:t>
            </w:r>
          </w:p>
        </w:tc>
        <w:tc>
          <w:tcPr>
            <w:tcW w:w="2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CF377DF" w14:textId="77777777" w:rsidR="003F5D8A" w:rsidRPr="002A2EA6" w:rsidRDefault="003F5D8A" w:rsidP="00494016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4A870B" w14:textId="77777777" w:rsidR="003F5D8A" w:rsidRPr="002A2EA6" w:rsidRDefault="003F5D8A" w:rsidP="00494016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D2B9374" w14:textId="77777777" w:rsidR="003F5D8A" w:rsidRPr="002A2EA6" w:rsidRDefault="003F5D8A" w:rsidP="00494016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F5D8A" w:rsidRPr="002A2EA6" w14:paraId="796788A5" w14:textId="77777777" w:rsidTr="00494016">
        <w:trPr>
          <w:trHeight w:val="57"/>
          <w:jc w:val="right"/>
        </w:trPr>
        <w:tc>
          <w:tcPr>
            <w:tcW w:w="1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D01E53" w14:textId="77777777" w:rsidR="003F5D8A" w:rsidRPr="002A2EA6" w:rsidRDefault="003F5D8A" w:rsidP="00494016">
            <w:pPr>
              <w:spacing w:before="40" w:after="4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H1.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17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282918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ayant désigné un correspondant national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BD80D7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21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4B383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2A2EA6" w14:paraId="57307E47" w14:textId="77777777" w:rsidTr="00494016">
        <w:trPr>
          <w:trHeight w:val="57"/>
          <w:jc w:val="right"/>
        </w:trPr>
        <w:tc>
          <w:tcPr>
            <w:tcW w:w="1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F21CE7" w14:textId="77777777" w:rsidR="003F5D8A" w:rsidRPr="002A2EA6" w:rsidRDefault="003F5D8A" w:rsidP="00494016">
            <w:pPr>
              <w:spacing w:before="40" w:after="4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H2.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17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4B803E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ayant facilité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échange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 xml:space="preserve">informations relatives au mercure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839873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21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7C4A05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2A2EA6" w14:paraId="4A38F543" w14:textId="77777777" w:rsidTr="00494016">
        <w:trPr>
          <w:trHeight w:val="57"/>
          <w:jc w:val="right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69492C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120" w:after="120"/>
              <w:rPr>
                <w:b/>
                <w:sz w:val="18"/>
                <w:szCs w:val="18"/>
              </w:rPr>
            </w:pPr>
            <w:r w:rsidRPr="002A2EA6">
              <w:rPr>
                <w:b/>
                <w:bCs/>
                <w:sz w:val="18"/>
                <w:szCs w:val="18"/>
              </w:rPr>
              <w:t>Article 18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2925F4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120" w:after="12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A1DCFB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120" w:after="12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A74CC5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120" w:after="120"/>
              <w:rPr>
                <w:rFonts w:eastAsia="Roboto"/>
                <w:sz w:val="18"/>
                <w:szCs w:val="18"/>
              </w:rPr>
            </w:pPr>
          </w:p>
        </w:tc>
      </w:tr>
      <w:tr w:rsidR="003F5D8A" w:rsidRPr="002A2EA6" w14:paraId="04B165B4" w14:textId="77777777" w:rsidTr="00494016">
        <w:trPr>
          <w:trHeight w:val="57"/>
          <w:jc w:val="right"/>
        </w:trPr>
        <w:tc>
          <w:tcPr>
            <w:tcW w:w="1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25E110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H3.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18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37CE7E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ayant pris des mesures pour mettre en œuvre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 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F9B401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21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7B6A7F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2A2EA6" w14:paraId="6A1D1E72" w14:textId="77777777" w:rsidTr="00494016">
        <w:trPr>
          <w:trHeight w:val="57"/>
          <w:jc w:val="right"/>
        </w:trPr>
        <w:tc>
          <w:tcPr>
            <w:tcW w:w="1827" w:type="dxa"/>
            <w:shd w:val="clear" w:color="auto" w:fill="FFFFFF" w:themeFill="background1"/>
          </w:tcPr>
          <w:p w14:paraId="24975C85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H4.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18</w:t>
            </w:r>
          </w:p>
        </w:tc>
        <w:tc>
          <w:tcPr>
            <w:tcW w:w="2851" w:type="dxa"/>
            <w:shd w:val="clear" w:color="auto" w:fill="FFFFFF" w:themeFill="background1"/>
          </w:tcPr>
          <w:p w14:paraId="5DC521A6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moyen de mesures au titre du paragraphe 1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 18 mises en œuvre par les Parties</w:t>
            </w:r>
          </w:p>
        </w:tc>
        <w:tc>
          <w:tcPr>
            <w:tcW w:w="1559" w:type="dxa"/>
            <w:shd w:val="clear" w:color="auto" w:fill="FFFFFF" w:themeFill="background1"/>
          </w:tcPr>
          <w:p w14:paraId="6EA8B425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Découlant des 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21</w:t>
            </w:r>
          </w:p>
        </w:tc>
        <w:tc>
          <w:tcPr>
            <w:tcW w:w="2070" w:type="dxa"/>
            <w:shd w:val="clear" w:color="auto" w:fill="FFFFFF" w:themeFill="background1"/>
          </w:tcPr>
          <w:p w14:paraId="5913DD49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 évaluation</w:t>
            </w:r>
          </w:p>
        </w:tc>
      </w:tr>
      <w:tr w:rsidR="003F5D8A" w:rsidRPr="002A2EA6" w14:paraId="426B8938" w14:textId="77777777" w:rsidTr="00494016">
        <w:trPr>
          <w:trHeight w:val="57"/>
          <w:jc w:val="right"/>
        </w:trPr>
        <w:tc>
          <w:tcPr>
            <w:tcW w:w="1827" w:type="dxa"/>
            <w:shd w:val="clear" w:color="auto" w:fill="FFFFFF" w:themeFill="background1"/>
          </w:tcPr>
          <w:p w14:paraId="7A25EEF3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H5.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18</w:t>
            </w:r>
          </w:p>
        </w:tc>
        <w:tc>
          <w:tcPr>
            <w:tcW w:w="2851" w:type="dxa"/>
            <w:shd w:val="clear" w:color="auto" w:fill="FFFFFF" w:themeFill="background1"/>
          </w:tcPr>
          <w:p w14:paraId="1C4CE3EE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disposant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informations publiques sur les concentrations de mercure dans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air ainsi que chez les êtres humains et les biotes sur leur territoire</w:t>
            </w:r>
          </w:p>
        </w:tc>
        <w:tc>
          <w:tcPr>
            <w:tcW w:w="1559" w:type="dxa"/>
            <w:shd w:val="clear" w:color="auto" w:fill="FFFFFF" w:themeFill="background1"/>
          </w:tcPr>
          <w:p w14:paraId="4CD0DA7B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21</w:t>
            </w:r>
          </w:p>
        </w:tc>
        <w:tc>
          <w:tcPr>
            <w:tcW w:w="2070" w:type="dxa"/>
            <w:shd w:val="clear" w:color="auto" w:fill="FFFFFF" w:themeFill="background1"/>
          </w:tcPr>
          <w:p w14:paraId="035A834B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 évaluation</w:t>
            </w:r>
          </w:p>
        </w:tc>
      </w:tr>
      <w:tr w:rsidR="003F5D8A" w:rsidRPr="002A2EA6" w14:paraId="334FB17B" w14:textId="77777777" w:rsidTr="00494016">
        <w:trPr>
          <w:trHeight w:val="57"/>
          <w:jc w:val="right"/>
        </w:trPr>
        <w:tc>
          <w:tcPr>
            <w:tcW w:w="1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7C134B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H6.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18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FCF7F1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communiquant les risques relatifs au mercure issus de la consommation de nourriture et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eau sur leur territoire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C0AE44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21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EA5F1D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 évaluation</w:t>
            </w:r>
          </w:p>
        </w:tc>
      </w:tr>
      <w:tr w:rsidR="003F5D8A" w:rsidRPr="002A2EA6" w14:paraId="59D3C7D2" w14:textId="77777777" w:rsidTr="00494016">
        <w:trPr>
          <w:trHeight w:val="57"/>
          <w:jc w:val="right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587C46" w14:textId="77777777" w:rsidR="003F5D8A" w:rsidRPr="002A2EA6" w:rsidRDefault="003F5D8A" w:rsidP="004940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120" w:after="120"/>
              <w:rPr>
                <w:b/>
                <w:bCs/>
                <w:sz w:val="18"/>
                <w:szCs w:val="18"/>
              </w:rPr>
            </w:pPr>
            <w:r w:rsidRPr="002A2EA6">
              <w:rPr>
                <w:b/>
                <w:bCs/>
                <w:sz w:val="18"/>
                <w:szCs w:val="18"/>
              </w:rPr>
              <w:t>Article 19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A452EF" w14:textId="77777777" w:rsidR="003F5D8A" w:rsidRPr="002A2EA6" w:rsidRDefault="003F5D8A" w:rsidP="004940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120" w:after="12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0E7BEE" w14:textId="77777777" w:rsidR="003F5D8A" w:rsidRPr="002A2EA6" w:rsidRDefault="003F5D8A" w:rsidP="004940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120" w:after="12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B542E3" w14:textId="77777777" w:rsidR="003F5D8A" w:rsidRPr="002A2EA6" w:rsidRDefault="003F5D8A" w:rsidP="004940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120" w:after="120"/>
              <w:rPr>
                <w:rFonts w:eastAsia="Roboto"/>
                <w:sz w:val="18"/>
                <w:szCs w:val="18"/>
              </w:rPr>
            </w:pPr>
          </w:p>
        </w:tc>
      </w:tr>
      <w:tr w:rsidR="003F5D8A" w:rsidRPr="002A2EA6" w14:paraId="3476FDCD" w14:textId="77777777" w:rsidTr="00494016">
        <w:trPr>
          <w:trHeight w:val="57"/>
          <w:jc w:val="right"/>
        </w:trPr>
        <w:tc>
          <w:tcPr>
            <w:tcW w:w="1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A59676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H7.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19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89F82B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 xml:space="preserve">Nombre de Parties ayant mené des activités de recherche-développement et de surveillance, </w:t>
            </w:r>
            <w:r w:rsidRPr="002A2EA6">
              <w:rPr>
                <w:sz w:val="18"/>
                <w:szCs w:val="18"/>
              </w:rPr>
              <w:lastRenderedPageBreak/>
              <w:t>conformément au paragraphe 1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 xml:space="preserve">article 19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027884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lastRenderedPageBreak/>
              <w:t>- 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21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D63334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 évaluation</w:t>
            </w:r>
          </w:p>
        </w:tc>
      </w:tr>
      <w:tr w:rsidR="003F5D8A" w:rsidRPr="002A2EA6" w14:paraId="4E2771A8" w14:textId="77777777" w:rsidTr="00494016">
        <w:trPr>
          <w:trHeight w:val="57"/>
          <w:jc w:val="right"/>
        </w:trPr>
        <w:tc>
          <w:tcPr>
            <w:tcW w:w="1827" w:type="dxa"/>
            <w:shd w:val="clear" w:color="auto" w:fill="FFFFFF" w:themeFill="background1"/>
          </w:tcPr>
          <w:p w14:paraId="53F365E2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H8.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19</w:t>
            </w:r>
          </w:p>
        </w:tc>
        <w:tc>
          <w:tcPr>
            <w:tcW w:w="2851" w:type="dxa"/>
            <w:shd w:val="clear" w:color="auto" w:fill="FFFFFF" w:themeFill="background1"/>
          </w:tcPr>
          <w:p w14:paraId="3B986E39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fournissant données et connaissances pour des évaluations intégrées</w:t>
            </w:r>
          </w:p>
        </w:tc>
        <w:tc>
          <w:tcPr>
            <w:tcW w:w="1559" w:type="dxa"/>
            <w:shd w:val="clear" w:color="auto" w:fill="FFFFFF" w:themeFill="background1"/>
          </w:tcPr>
          <w:p w14:paraId="61C95E11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iCs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Réseaux de surveillance, bases de données, données et ouvrages scientifiques existants</w:t>
            </w:r>
          </w:p>
        </w:tc>
        <w:tc>
          <w:tcPr>
            <w:tcW w:w="2070" w:type="dxa"/>
            <w:shd w:val="clear" w:color="auto" w:fill="FFFFFF" w:themeFill="background1"/>
          </w:tcPr>
          <w:p w14:paraId="052A9875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 évaluation</w:t>
            </w:r>
          </w:p>
        </w:tc>
      </w:tr>
      <w:tr w:rsidR="003F5D8A" w:rsidRPr="002A2EA6" w14:paraId="7C468E46" w14:textId="77777777" w:rsidTr="00494016">
        <w:trPr>
          <w:trHeight w:val="57"/>
          <w:jc w:val="right"/>
        </w:trPr>
        <w:tc>
          <w:tcPr>
            <w:tcW w:w="1827" w:type="dxa"/>
            <w:shd w:val="clear" w:color="auto" w:fill="FFFFFF" w:themeFill="background1"/>
          </w:tcPr>
          <w:p w14:paraId="5A4019DD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spacing w:before="40" w:after="4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H9. Indicateur de méthode pour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19</w:t>
            </w:r>
          </w:p>
        </w:tc>
        <w:tc>
          <w:tcPr>
            <w:tcW w:w="2851" w:type="dxa"/>
            <w:shd w:val="clear" w:color="auto" w:fill="FFFFFF" w:themeFill="background1"/>
          </w:tcPr>
          <w:p w14:paraId="682D1956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régions contribuant à un ensemble de données régionales</w:t>
            </w:r>
          </w:p>
        </w:tc>
        <w:tc>
          <w:tcPr>
            <w:tcW w:w="1559" w:type="dxa"/>
            <w:shd w:val="clear" w:color="auto" w:fill="FFFFFF" w:themeFill="background1"/>
          </w:tcPr>
          <w:p w14:paraId="2531E138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iCs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Réseaux de surveillance, bases de données, données et ouvrages scientifiques existants</w:t>
            </w:r>
          </w:p>
        </w:tc>
        <w:tc>
          <w:tcPr>
            <w:tcW w:w="2070" w:type="dxa"/>
            <w:shd w:val="clear" w:color="auto" w:fill="FFFFFF" w:themeFill="background1"/>
          </w:tcPr>
          <w:p w14:paraId="0599E72E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dans la première évaluation</w:t>
            </w:r>
          </w:p>
        </w:tc>
      </w:tr>
      <w:tr w:rsidR="003F5D8A" w:rsidRPr="002A2EA6" w14:paraId="22BF694A" w14:textId="77777777" w:rsidTr="00494016">
        <w:trPr>
          <w:trHeight w:val="57"/>
          <w:jc w:val="right"/>
        </w:trPr>
        <w:tc>
          <w:tcPr>
            <w:tcW w:w="182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9CD06F8" w14:textId="77777777" w:rsidR="003F5D8A" w:rsidRPr="002A2EA6" w:rsidRDefault="003F5D8A" w:rsidP="0049401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2A2EA6">
              <w:rPr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14:paraId="09913588" w14:textId="77777777" w:rsidR="003F5D8A" w:rsidRPr="002A2EA6" w:rsidRDefault="003F5D8A" w:rsidP="0049401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</w:tabs>
              <w:spacing w:before="40" w:after="40"/>
              <w:rPr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Communications au secrétariat qui complètent les 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 xml:space="preserve">article 21 </w:t>
            </w:r>
          </w:p>
        </w:tc>
      </w:tr>
      <w:tr w:rsidR="003F5D8A" w:rsidRPr="002A2EA6" w14:paraId="367D9D88" w14:textId="77777777" w:rsidTr="00494016">
        <w:trPr>
          <w:trHeight w:val="57"/>
          <w:jc w:val="right"/>
        </w:trPr>
        <w:tc>
          <w:tcPr>
            <w:tcW w:w="18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370F48" w14:textId="77777777" w:rsidR="003F5D8A" w:rsidRPr="002A2EA6" w:rsidRDefault="003F5D8A" w:rsidP="00494016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0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6F51F700" w14:textId="77777777" w:rsidR="003F5D8A" w:rsidRPr="002A2EA6" w:rsidRDefault="003F5D8A" w:rsidP="0049401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</w:tabs>
              <w:spacing w:before="40" w:after="40"/>
              <w:ind w:left="360"/>
              <w:rPr>
                <w:sz w:val="18"/>
                <w:szCs w:val="18"/>
              </w:rPr>
            </w:pPr>
          </w:p>
        </w:tc>
      </w:tr>
    </w:tbl>
    <w:p w14:paraId="0C113EDB" w14:textId="77777777" w:rsidR="003F5D8A" w:rsidRPr="002321A6" w:rsidRDefault="003F5D8A" w:rsidP="003F5D8A">
      <w:pPr>
        <w:spacing w:after="120"/>
      </w:pPr>
    </w:p>
    <w:tbl>
      <w:tblPr>
        <w:tblStyle w:val="TableGrid"/>
        <w:tblW w:w="827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13"/>
        <w:gridCol w:w="2865"/>
        <w:gridCol w:w="1559"/>
        <w:gridCol w:w="2041"/>
      </w:tblGrid>
      <w:tr w:rsidR="003F5D8A" w:rsidRPr="002A2EA6" w14:paraId="1F05CC91" w14:textId="77777777" w:rsidTr="00494016">
        <w:trPr>
          <w:trHeight w:val="57"/>
          <w:tblHeader/>
          <w:jc w:val="right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CA4FFE0" w14:textId="77777777" w:rsidR="003F5D8A" w:rsidRPr="00AF6DE0" w:rsidRDefault="003F5D8A" w:rsidP="00494016">
            <w:pPr>
              <w:spacing w:before="40" w:after="40"/>
              <w:rPr>
                <w:rFonts w:asciiTheme="majorBidi" w:eastAsia="Roboto" w:hAnsiTheme="majorBidi" w:cstheme="majorBidi"/>
                <w:i/>
                <w:iCs/>
                <w:sz w:val="18"/>
                <w:szCs w:val="18"/>
              </w:rPr>
            </w:pPr>
            <w:r w:rsidRPr="00AF6DE0">
              <w:rPr>
                <w:i/>
                <w:iCs/>
                <w:sz w:val="18"/>
                <w:szCs w:val="18"/>
              </w:rPr>
              <w:t>I : article 20 (Plans de mise en œuvre)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0F8DD36" w14:textId="77777777" w:rsidR="003F5D8A" w:rsidRPr="00AF6DE0" w:rsidRDefault="003F5D8A" w:rsidP="00494016">
            <w:pPr>
              <w:pStyle w:val="Normal-pool"/>
              <w:spacing w:before="40" w:after="40"/>
              <w:rPr>
                <w:i/>
                <w:iCs/>
                <w:sz w:val="18"/>
                <w:szCs w:val="18"/>
                <w:lang w:val="fr-FR"/>
              </w:rPr>
            </w:pPr>
            <w:r w:rsidRPr="00AF6DE0">
              <w:rPr>
                <w:i/>
                <w:iCs/>
                <w:sz w:val="18"/>
                <w:szCs w:val="18"/>
                <w:lang w:val="fr-FR"/>
              </w:rPr>
              <w:t xml:space="preserve">Source </w:t>
            </w:r>
            <w:r>
              <w:rPr>
                <w:i/>
                <w:iCs/>
                <w:sz w:val="18"/>
                <w:szCs w:val="18"/>
                <w:lang w:val="fr-FR"/>
              </w:rPr>
              <w:br/>
            </w:r>
            <w:r w:rsidRPr="00AF6DE0">
              <w:rPr>
                <w:i/>
                <w:iCs/>
                <w:sz w:val="18"/>
                <w:szCs w:val="18"/>
                <w:lang w:val="fr-FR"/>
              </w:rPr>
              <w:t>d</w:t>
            </w:r>
            <w:r>
              <w:rPr>
                <w:i/>
                <w:iCs/>
                <w:sz w:val="18"/>
                <w:szCs w:val="18"/>
                <w:lang w:val="fr-FR"/>
              </w:rPr>
              <w:t>’</w:t>
            </w:r>
            <w:r w:rsidRPr="00AF6DE0">
              <w:rPr>
                <w:i/>
                <w:iCs/>
                <w:sz w:val="18"/>
                <w:szCs w:val="18"/>
                <w:lang w:val="fr-FR"/>
              </w:rPr>
              <w:t>information concernant l</w:t>
            </w:r>
            <w:r>
              <w:rPr>
                <w:i/>
                <w:iCs/>
                <w:sz w:val="18"/>
                <w:szCs w:val="18"/>
                <w:lang w:val="fr-FR"/>
              </w:rPr>
              <w:t>’</w:t>
            </w:r>
            <w:r w:rsidRPr="00AF6DE0">
              <w:rPr>
                <w:i/>
                <w:iCs/>
                <w:sz w:val="18"/>
                <w:szCs w:val="18"/>
                <w:lang w:val="fr-FR"/>
              </w:rPr>
              <w:t>indicateur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64B3A3B" w14:textId="77777777" w:rsidR="003F5D8A" w:rsidRPr="00AF6DE0" w:rsidRDefault="003F5D8A" w:rsidP="00494016">
            <w:pPr>
              <w:pStyle w:val="Normal-pool"/>
              <w:spacing w:before="40" w:after="40"/>
              <w:rPr>
                <w:i/>
                <w:iCs/>
                <w:sz w:val="18"/>
                <w:szCs w:val="18"/>
                <w:lang w:val="fr-FR"/>
              </w:rPr>
            </w:pPr>
            <w:r w:rsidRPr="00AF6DE0">
              <w:rPr>
                <w:i/>
                <w:iCs/>
                <w:sz w:val="18"/>
                <w:szCs w:val="18"/>
                <w:lang w:val="fr-FR"/>
              </w:rPr>
              <w:t>Valeur de référence pour l</w:t>
            </w:r>
            <w:r>
              <w:rPr>
                <w:i/>
                <w:iCs/>
                <w:sz w:val="18"/>
                <w:szCs w:val="18"/>
                <w:lang w:val="fr-FR"/>
              </w:rPr>
              <w:t>’</w:t>
            </w:r>
            <w:r w:rsidRPr="00AF6DE0">
              <w:rPr>
                <w:i/>
                <w:iCs/>
                <w:sz w:val="18"/>
                <w:szCs w:val="18"/>
                <w:lang w:val="fr-FR"/>
              </w:rPr>
              <w:t>indicateur</w:t>
            </w:r>
          </w:p>
        </w:tc>
      </w:tr>
      <w:tr w:rsidR="003F5D8A" w:rsidRPr="002A2EA6" w14:paraId="62358D35" w14:textId="77777777" w:rsidTr="00494016">
        <w:trPr>
          <w:trHeight w:val="57"/>
          <w:jc w:val="right"/>
        </w:trPr>
        <w:tc>
          <w:tcPr>
            <w:tcW w:w="181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C859611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I1. Indicateur de méthode</w:t>
            </w:r>
          </w:p>
        </w:tc>
        <w:tc>
          <w:tcPr>
            <w:tcW w:w="286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BDAD746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Nombre de Parties soumettant des plans de mise en œuvre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581951C" w14:textId="77777777" w:rsidR="003F5D8A" w:rsidRPr="002A2EA6" w:rsidRDefault="003F5D8A" w:rsidP="004940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-107"/>
              <w:rPr>
                <w:iCs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 du secrétariat à la Conférence des Parties sur la soumission de plans de mise en œuvre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742369B" w14:textId="77777777" w:rsidR="003F5D8A" w:rsidRPr="002A2EA6" w:rsidRDefault="003F5D8A" w:rsidP="004940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Zéro</w:t>
            </w:r>
          </w:p>
        </w:tc>
      </w:tr>
      <w:tr w:rsidR="003F5D8A" w:rsidRPr="002A2EA6" w14:paraId="77C2F260" w14:textId="77777777" w:rsidTr="00494016">
        <w:trPr>
          <w:trHeight w:val="454"/>
          <w:jc w:val="right"/>
        </w:trPr>
        <w:tc>
          <w:tcPr>
            <w:tcW w:w="181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B770D3C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2EA6">
              <w:rPr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64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14:paraId="61438E9C" w14:textId="77777777" w:rsidR="003F5D8A" w:rsidRPr="002A2EA6" w:rsidRDefault="003F5D8A" w:rsidP="00494016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Les Parties ne sont pas tenues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élaborer un plan de mise en œuvre. Certaines Parties ont néanmoins jugé utile d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établir un plan de cette nature et de le soumettre au secrétariat.</w:t>
            </w:r>
          </w:p>
        </w:tc>
      </w:tr>
    </w:tbl>
    <w:p w14:paraId="0CD948CF" w14:textId="77777777" w:rsidR="003F5D8A" w:rsidRDefault="003F5D8A" w:rsidP="003F5D8A">
      <w:pPr>
        <w:spacing w:after="120"/>
      </w:pPr>
    </w:p>
    <w:tbl>
      <w:tblPr>
        <w:tblStyle w:val="TableGrid"/>
        <w:tblW w:w="829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20"/>
        <w:gridCol w:w="2858"/>
        <w:gridCol w:w="1559"/>
        <w:gridCol w:w="2058"/>
      </w:tblGrid>
      <w:tr w:rsidR="003F5D8A" w:rsidRPr="002A2EA6" w14:paraId="2507F467" w14:textId="77777777" w:rsidTr="00494016">
        <w:trPr>
          <w:trHeight w:val="454"/>
          <w:tblHeader/>
          <w:jc w:val="right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6CAF176" w14:textId="77777777" w:rsidR="003F5D8A" w:rsidRPr="0054644F" w:rsidRDefault="003F5D8A" w:rsidP="00494016">
            <w:pPr>
              <w:keepNext/>
              <w:keepLines/>
              <w:spacing w:before="40" w:after="40"/>
              <w:rPr>
                <w:rFonts w:asciiTheme="majorBidi" w:eastAsia="Roboto" w:hAnsiTheme="majorBidi" w:cstheme="majorBidi"/>
                <w:i/>
                <w:iCs/>
                <w:sz w:val="18"/>
                <w:szCs w:val="18"/>
              </w:rPr>
            </w:pPr>
            <w:r w:rsidRPr="0054644F">
              <w:rPr>
                <w:i/>
                <w:iCs/>
                <w:sz w:val="18"/>
                <w:szCs w:val="18"/>
              </w:rPr>
              <w:t>J : article 21 (Établissement de rapports)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29E018D" w14:textId="77777777" w:rsidR="003F5D8A" w:rsidRPr="0054644F" w:rsidRDefault="003F5D8A" w:rsidP="00494016">
            <w:pPr>
              <w:pStyle w:val="Normal-pool"/>
              <w:keepNext/>
              <w:keepLines/>
              <w:spacing w:before="40" w:after="40"/>
              <w:rPr>
                <w:i/>
                <w:iCs/>
                <w:sz w:val="18"/>
                <w:szCs w:val="18"/>
                <w:lang w:val="fr-FR"/>
              </w:rPr>
            </w:pPr>
            <w:r w:rsidRPr="0054644F">
              <w:rPr>
                <w:i/>
                <w:iCs/>
                <w:sz w:val="18"/>
                <w:szCs w:val="18"/>
                <w:lang w:val="fr-FR"/>
              </w:rPr>
              <w:t xml:space="preserve">Source </w:t>
            </w:r>
            <w:r>
              <w:rPr>
                <w:i/>
                <w:iCs/>
                <w:sz w:val="18"/>
                <w:szCs w:val="18"/>
                <w:lang w:val="fr-FR"/>
              </w:rPr>
              <w:br/>
            </w:r>
            <w:r w:rsidRPr="0054644F">
              <w:rPr>
                <w:i/>
                <w:iCs/>
                <w:sz w:val="18"/>
                <w:szCs w:val="18"/>
                <w:lang w:val="fr-FR"/>
              </w:rPr>
              <w:t>d</w:t>
            </w:r>
            <w:r>
              <w:rPr>
                <w:i/>
                <w:iCs/>
                <w:sz w:val="18"/>
                <w:szCs w:val="18"/>
                <w:lang w:val="fr-FR"/>
              </w:rPr>
              <w:t>’</w:t>
            </w:r>
            <w:r w:rsidRPr="0054644F">
              <w:rPr>
                <w:i/>
                <w:iCs/>
                <w:sz w:val="18"/>
                <w:szCs w:val="18"/>
                <w:lang w:val="fr-FR"/>
              </w:rPr>
              <w:t>information concernant l</w:t>
            </w:r>
            <w:r>
              <w:rPr>
                <w:i/>
                <w:iCs/>
                <w:sz w:val="18"/>
                <w:szCs w:val="18"/>
                <w:lang w:val="fr-FR"/>
              </w:rPr>
              <w:t>’</w:t>
            </w:r>
            <w:r w:rsidRPr="0054644F">
              <w:rPr>
                <w:i/>
                <w:iCs/>
                <w:sz w:val="18"/>
                <w:szCs w:val="18"/>
                <w:lang w:val="fr-FR"/>
              </w:rPr>
              <w:t>indicateur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2AE5536" w14:textId="77777777" w:rsidR="003F5D8A" w:rsidRPr="0054644F" w:rsidRDefault="003F5D8A" w:rsidP="00494016">
            <w:pPr>
              <w:pStyle w:val="Normal-pool"/>
              <w:keepNext/>
              <w:keepLines/>
              <w:spacing w:before="40" w:after="40"/>
              <w:rPr>
                <w:i/>
                <w:iCs/>
                <w:sz w:val="18"/>
                <w:szCs w:val="18"/>
                <w:lang w:val="fr-FR"/>
              </w:rPr>
            </w:pPr>
            <w:r w:rsidRPr="0054644F">
              <w:rPr>
                <w:i/>
                <w:iCs/>
                <w:sz w:val="18"/>
                <w:szCs w:val="18"/>
                <w:lang w:val="fr-FR"/>
              </w:rPr>
              <w:t>Valeur de référence pour l</w:t>
            </w:r>
            <w:r>
              <w:rPr>
                <w:i/>
                <w:iCs/>
                <w:sz w:val="18"/>
                <w:szCs w:val="18"/>
                <w:lang w:val="fr-FR"/>
              </w:rPr>
              <w:t>’</w:t>
            </w:r>
            <w:r w:rsidRPr="0054644F">
              <w:rPr>
                <w:i/>
                <w:iCs/>
                <w:sz w:val="18"/>
                <w:szCs w:val="18"/>
                <w:lang w:val="fr-FR"/>
              </w:rPr>
              <w:t>indicateur</w:t>
            </w:r>
          </w:p>
        </w:tc>
      </w:tr>
      <w:tr w:rsidR="003F5D8A" w:rsidRPr="002A2EA6" w14:paraId="41A21BF0" w14:textId="77777777" w:rsidTr="00494016">
        <w:trPr>
          <w:trHeight w:val="57"/>
          <w:jc w:val="right"/>
        </w:trPr>
        <w:tc>
          <w:tcPr>
            <w:tcW w:w="182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D37C997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J1. Indicateur de méthode</w:t>
            </w:r>
          </w:p>
        </w:tc>
        <w:tc>
          <w:tcPr>
            <w:tcW w:w="285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03D8C36" w14:textId="77777777" w:rsidR="003F5D8A" w:rsidRPr="002A2EA6" w:rsidRDefault="003F5D8A" w:rsidP="0049401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Proportion de Parties établissant les rapports dans les délais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438ABBC" w14:textId="77777777" w:rsidR="003F5D8A" w:rsidRPr="002A2EA6" w:rsidRDefault="003F5D8A" w:rsidP="0049401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Theme="majorBidi" w:eastAsia="Roboto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21</w:t>
            </w:r>
          </w:p>
        </w:tc>
        <w:tc>
          <w:tcPr>
            <w:tcW w:w="205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D214D5F" w14:textId="77777777" w:rsidR="003F5D8A" w:rsidRPr="002A2EA6" w:rsidRDefault="003F5D8A" w:rsidP="0049401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Pourcentage de première soumission effectuée dans les délais</w:t>
            </w:r>
          </w:p>
        </w:tc>
      </w:tr>
      <w:tr w:rsidR="003F5D8A" w:rsidRPr="002A2EA6" w14:paraId="7364A3E7" w14:textId="77777777" w:rsidTr="00494016">
        <w:trPr>
          <w:trHeight w:val="454"/>
          <w:jc w:val="right"/>
        </w:trPr>
        <w:tc>
          <w:tcPr>
            <w:tcW w:w="1820" w:type="dxa"/>
            <w:shd w:val="clear" w:color="auto" w:fill="FFFFFF" w:themeFill="background1"/>
          </w:tcPr>
          <w:p w14:paraId="0316ABA5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J2. Indicateur de méthode</w:t>
            </w:r>
          </w:p>
        </w:tc>
        <w:tc>
          <w:tcPr>
            <w:tcW w:w="2858" w:type="dxa"/>
            <w:shd w:val="clear" w:color="auto" w:fill="FFFFFF" w:themeFill="background1"/>
          </w:tcPr>
          <w:p w14:paraId="17C38A2C" w14:textId="77777777" w:rsidR="003F5D8A" w:rsidRPr="002A2EA6" w:rsidRDefault="003F5D8A" w:rsidP="0049401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Theme="majorBidi" w:eastAsia="Roboto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Proportion de rapports reçus dans les délais</w:t>
            </w:r>
          </w:p>
        </w:tc>
        <w:tc>
          <w:tcPr>
            <w:tcW w:w="1559" w:type="dxa"/>
            <w:shd w:val="clear" w:color="auto" w:fill="FFFFFF" w:themeFill="background1"/>
          </w:tcPr>
          <w:p w14:paraId="43987A6D" w14:textId="77777777" w:rsidR="003F5D8A" w:rsidRPr="002A2EA6" w:rsidRDefault="003F5D8A" w:rsidP="0049401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21</w:t>
            </w:r>
          </w:p>
        </w:tc>
        <w:tc>
          <w:tcPr>
            <w:tcW w:w="2058" w:type="dxa"/>
            <w:shd w:val="clear" w:color="auto" w:fill="FFFFFF" w:themeFill="background1"/>
          </w:tcPr>
          <w:p w14:paraId="4B9D7A2B" w14:textId="77777777" w:rsidR="003F5D8A" w:rsidRPr="002A2EA6" w:rsidRDefault="003F5D8A" w:rsidP="0049401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Pourcentage non disponible dans les premiers rapports</w:t>
            </w:r>
          </w:p>
        </w:tc>
      </w:tr>
      <w:tr w:rsidR="003F5D8A" w:rsidRPr="002A2EA6" w14:paraId="51F94717" w14:textId="77777777" w:rsidTr="00494016">
        <w:trPr>
          <w:trHeight w:val="454"/>
          <w:jc w:val="right"/>
        </w:trPr>
        <w:tc>
          <w:tcPr>
            <w:tcW w:w="1820" w:type="dxa"/>
            <w:shd w:val="clear" w:color="auto" w:fill="FFFFFF" w:themeFill="background1"/>
          </w:tcPr>
          <w:p w14:paraId="76F0BE6A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J3. Indicateur de méthode</w:t>
            </w:r>
          </w:p>
        </w:tc>
        <w:tc>
          <w:tcPr>
            <w:tcW w:w="2858" w:type="dxa"/>
            <w:shd w:val="clear" w:color="auto" w:fill="FFFFFF" w:themeFill="background1"/>
          </w:tcPr>
          <w:p w14:paraId="0CC5DF1F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Proportion de Parties indiquant que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information n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est pas disponible pour des questions spécifiques</w:t>
            </w:r>
          </w:p>
        </w:tc>
        <w:tc>
          <w:tcPr>
            <w:tcW w:w="1559" w:type="dxa"/>
            <w:shd w:val="clear" w:color="auto" w:fill="FFFFFF" w:themeFill="background1"/>
          </w:tcPr>
          <w:p w14:paraId="1E0D706C" w14:textId="77777777" w:rsidR="003F5D8A" w:rsidRPr="002A2EA6" w:rsidRDefault="003F5D8A" w:rsidP="00494016">
            <w:pPr>
              <w:spacing w:before="40" w:after="40"/>
              <w:rPr>
                <w:rFonts w:asciiTheme="majorBidi" w:eastAsia="Roboto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- Rapports établis au titre de l</w:t>
            </w:r>
            <w:r>
              <w:rPr>
                <w:sz w:val="18"/>
                <w:szCs w:val="18"/>
              </w:rPr>
              <w:t>’</w:t>
            </w:r>
            <w:r w:rsidRPr="002A2EA6">
              <w:rPr>
                <w:sz w:val="18"/>
                <w:szCs w:val="18"/>
              </w:rPr>
              <w:t>article 21</w:t>
            </w:r>
          </w:p>
        </w:tc>
        <w:tc>
          <w:tcPr>
            <w:tcW w:w="2058" w:type="dxa"/>
            <w:shd w:val="clear" w:color="auto" w:fill="FFFFFF" w:themeFill="background1"/>
          </w:tcPr>
          <w:p w14:paraId="049E8FA4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Pourcentage non disponible dans les premiers rapports</w:t>
            </w:r>
          </w:p>
        </w:tc>
      </w:tr>
      <w:tr w:rsidR="003F5D8A" w:rsidRPr="002A2EA6" w14:paraId="64CED127" w14:textId="77777777" w:rsidTr="00494016">
        <w:trPr>
          <w:trHeight w:val="227"/>
          <w:jc w:val="right"/>
        </w:trPr>
        <w:tc>
          <w:tcPr>
            <w:tcW w:w="182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3292641" w14:textId="77777777" w:rsidR="003F5D8A" w:rsidRPr="002A2EA6" w:rsidRDefault="003F5D8A" w:rsidP="00494016">
            <w:pPr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2EA6">
              <w:rPr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647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14:paraId="3CAD70D8" w14:textId="77777777" w:rsidR="003F5D8A" w:rsidRPr="002A2EA6" w:rsidRDefault="003F5D8A" w:rsidP="00494016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A2EA6">
              <w:rPr>
                <w:sz w:val="18"/>
                <w:szCs w:val="18"/>
              </w:rPr>
              <w:t>Les Parties doivent faire rapport tous les deux ans.</w:t>
            </w:r>
          </w:p>
        </w:tc>
      </w:tr>
    </w:tbl>
    <w:p w14:paraId="6D3AB855" w14:textId="77777777" w:rsidR="003F5D8A" w:rsidRPr="002A2EA6" w:rsidRDefault="003F5D8A" w:rsidP="003F5D8A">
      <w:pPr>
        <w:spacing w:before="40"/>
        <w:ind w:left="1247"/>
      </w:pPr>
      <w:r w:rsidRPr="002A2EA6">
        <w:rPr>
          <w:i/>
          <w:iCs/>
          <w:sz w:val="17"/>
          <w:szCs w:val="17"/>
        </w:rPr>
        <w:t xml:space="preserve">Abréviations : </w:t>
      </w:r>
      <w:r w:rsidRPr="002A2EA6">
        <w:rPr>
          <w:sz w:val="17"/>
          <w:szCs w:val="17"/>
        </w:rPr>
        <w:t>MTD/MPE, meilleures techniques disponibles et meilleures pratiques environnementales ; SIP, Programme international spécifique visant à soutenir le renforcement des capacités et l</w:t>
      </w:r>
      <w:r>
        <w:rPr>
          <w:sz w:val="17"/>
          <w:szCs w:val="17"/>
        </w:rPr>
        <w:t>’</w:t>
      </w:r>
      <w:r w:rsidRPr="002A2EA6">
        <w:rPr>
          <w:sz w:val="17"/>
          <w:szCs w:val="17"/>
        </w:rPr>
        <w:t>assistance technique.</w:t>
      </w:r>
    </w:p>
    <w:p w14:paraId="00BE75B1" w14:textId="77777777" w:rsidR="003F5D8A" w:rsidRPr="002A2EA6" w:rsidRDefault="003F5D8A" w:rsidP="003F5D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2A2EA6">
        <w:br w:type="page"/>
      </w:r>
    </w:p>
    <w:p w14:paraId="25B5AE7D" w14:textId="77777777" w:rsidR="003F5D8A" w:rsidRPr="002A2EA6" w:rsidRDefault="003F5D8A" w:rsidP="003F5D8A">
      <w:pPr>
        <w:pStyle w:val="ZZAnxheader"/>
        <w:rPr>
          <w:lang w:val="fr-FR"/>
        </w:rPr>
      </w:pPr>
      <w:r w:rsidRPr="002A2EA6">
        <w:rPr>
          <w:lang w:val="fr-FR"/>
        </w:rPr>
        <w:lastRenderedPageBreak/>
        <w:tab/>
        <w:t xml:space="preserve">Annexe II de la décision MC-3/10 </w:t>
      </w:r>
    </w:p>
    <w:p w14:paraId="45F3CB2D" w14:textId="77777777" w:rsidR="003F5D8A" w:rsidRPr="002A2EA6" w:rsidRDefault="003F5D8A" w:rsidP="003F5D8A">
      <w:pPr>
        <w:pStyle w:val="ZZAnxtitle"/>
        <w:rPr>
          <w:lang w:val="fr-FR"/>
        </w:rPr>
      </w:pPr>
      <w:r w:rsidRPr="002A2EA6">
        <w:rPr>
          <w:lang w:val="fr-FR"/>
        </w:rPr>
        <w:t>Cadre d</w:t>
      </w:r>
      <w:r>
        <w:rPr>
          <w:lang w:val="fr-FR"/>
        </w:rPr>
        <w:t>’</w:t>
      </w:r>
      <w:r w:rsidRPr="002A2EA6">
        <w:rPr>
          <w:lang w:val="fr-FR"/>
        </w:rPr>
        <w:t>évaluation de l</w:t>
      </w:r>
      <w:r>
        <w:rPr>
          <w:lang w:val="fr-FR"/>
        </w:rPr>
        <w:t>’</w:t>
      </w:r>
      <w:r w:rsidRPr="002A2EA6">
        <w:rPr>
          <w:lang w:val="fr-FR"/>
        </w:rPr>
        <w:t>efficacité de la Convention de Minamata</w:t>
      </w:r>
    </w:p>
    <w:p w14:paraId="34C6538E" w14:textId="77777777" w:rsidR="003F5D8A" w:rsidRPr="002A2EA6" w:rsidRDefault="003F5D8A" w:rsidP="003F5D8A">
      <w:pPr>
        <w:pStyle w:val="CH4"/>
        <w:spacing w:after="240"/>
        <w:rPr>
          <w:lang w:val="fr-FR"/>
        </w:rPr>
      </w:pPr>
      <w:r w:rsidRPr="002A2EA6">
        <w:rPr>
          <w:lang w:val="fr-FR"/>
        </w:rPr>
        <w:tab/>
      </w:r>
      <w:r w:rsidRPr="002A2EA6">
        <w:rPr>
          <w:lang w:val="fr-FR"/>
        </w:rPr>
        <w:tab/>
      </w:r>
      <w:r w:rsidRPr="002A2EA6">
        <w:rPr>
          <w:b w:val="0"/>
          <w:bCs/>
          <w:lang w:val="fr-FR"/>
        </w:rPr>
        <w:t xml:space="preserve">Figure 1 </w:t>
      </w:r>
      <w:r w:rsidRPr="002A2EA6">
        <w:rPr>
          <w:b w:val="0"/>
          <w:bCs/>
          <w:lang w:val="fr-FR"/>
        </w:rPr>
        <w:br/>
      </w:r>
      <w:bookmarkStart w:id="24" w:name="_DV_C1548"/>
      <w:r w:rsidRPr="002A2EA6">
        <w:rPr>
          <w:lang w:val="fr-FR"/>
        </w:rPr>
        <w:t>Flux des informations et analyses</w:t>
      </w:r>
      <w:bookmarkEnd w:id="24"/>
    </w:p>
    <w:p w14:paraId="3780346C" w14:textId="77777777" w:rsidR="003F5D8A" w:rsidRPr="002A2EA6" w:rsidRDefault="003F5D8A" w:rsidP="003F5D8A">
      <w:pPr>
        <w:pStyle w:val="NormalNonumber"/>
        <w:tabs>
          <w:tab w:val="clear" w:pos="1247"/>
        </w:tabs>
        <w:spacing w:after="0"/>
        <w:ind w:left="1276"/>
        <w:rPr>
          <w:noProof/>
          <w:lang w:val="fr-FR"/>
        </w:rPr>
      </w:pPr>
      <w:r w:rsidRPr="002A2EA6">
        <w:rPr>
          <w:noProof/>
          <w:lang w:val="fr-FR"/>
        </w:rPr>
        <w:drawing>
          <wp:inline distT="0" distB="0" distL="0" distR="0" wp14:anchorId="61AFA2FD" wp14:editId="2A0CAB3D">
            <wp:extent cx="4397072" cy="3251499"/>
            <wp:effectExtent l="0" t="0" r="3810" b="635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5473D4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793" cy="328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D1CD" w14:textId="77777777" w:rsidR="003F5D8A" w:rsidRPr="002321A6" w:rsidRDefault="003F5D8A" w:rsidP="003F5D8A">
      <w:pPr>
        <w:pStyle w:val="NormalNonumber"/>
        <w:tabs>
          <w:tab w:val="clear" w:pos="1247"/>
          <w:tab w:val="clear" w:pos="1814"/>
          <w:tab w:val="left" w:pos="1470"/>
        </w:tabs>
        <w:ind w:left="425"/>
        <w:rPr>
          <w:sz w:val="18"/>
          <w:szCs w:val="18"/>
          <w:lang w:val="fr-FR"/>
        </w:rPr>
      </w:pPr>
      <w:r w:rsidRPr="002A2EA6">
        <w:rPr>
          <w:rFonts w:ascii="Arial" w:hAnsi="Arial" w:cs="Arial"/>
          <w:sz w:val="18"/>
          <w:szCs w:val="18"/>
          <w:lang w:val="fr-FR"/>
        </w:rPr>
        <w:tab/>
      </w:r>
      <w:r w:rsidRPr="002321A6">
        <w:rPr>
          <w:sz w:val="18"/>
          <w:szCs w:val="18"/>
          <w:lang w:val="fr-FR"/>
        </w:rPr>
        <w:t xml:space="preserve">Sigle : </w:t>
      </w:r>
      <w:proofErr w:type="spellStart"/>
      <w:r w:rsidRPr="002321A6">
        <w:rPr>
          <w:sz w:val="18"/>
          <w:szCs w:val="18"/>
          <w:lang w:val="fr-FR"/>
        </w:rPr>
        <w:t>CdP</w:t>
      </w:r>
      <w:proofErr w:type="spellEnd"/>
      <w:r w:rsidRPr="002321A6">
        <w:rPr>
          <w:sz w:val="18"/>
          <w:szCs w:val="18"/>
          <w:lang w:val="fr-FR"/>
        </w:rPr>
        <w:t>, Conférence des Parties. </w:t>
      </w:r>
    </w:p>
    <w:p w14:paraId="45E872A6" w14:textId="77777777" w:rsidR="003F5D8A" w:rsidRPr="002A2EA6" w:rsidRDefault="003F5D8A" w:rsidP="003F5D8A">
      <w:pPr>
        <w:pStyle w:val="NormalNonumber"/>
        <w:tabs>
          <w:tab w:val="clear" w:pos="1247"/>
        </w:tabs>
        <w:spacing w:before="360"/>
        <w:rPr>
          <w:b/>
          <w:lang w:val="fr-FR"/>
        </w:rPr>
      </w:pPr>
      <w:r w:rsidRPr="002A2EA6">
        <w:rPr>
          <w:lang w:val="fr-FR"/>
        </w:rPr>
        <w:t xml:space="preserve">Figure 2 </w:t>
      </w:r>
      <w:r w:rsidRPr="002A2EA6">
        <w:rPr>
          <w:lang w:val="fr-FR"/>
        </w:rPr>
        <w:br/>
      </w:r>
      <w:r w:rsidRPr="002A2EA6">
        <w:rPr>
          <w:b/>
          <w:bCs/>
          <w:lang w:val="fr-FR"/>
        </w:rPr>
        <w:t>Organisation des activités institutionnelles</w:t>
      </w:r>
    </w:p>
    <w:p w14:paraId="01832798" w14:textId="77777777" w:rsidR="003F5D8A" w:rsidRPr="002A2EA6" w:rsidRDefault="003F5D8A" w:rsidP="003F5D8A">
      <w:r w:rsidRPr="002A2EA6">
        <w:rPr>
          <w:noProof/>
        </w:rPr>
        <w:drawing>
          <wp:inline distT="0" distB="0" distL="0" distR="0" wp14:anchorId="43120925" wp14:editId="25F59CF2">
            <wp:extent cx="6177517" cy="3420533"/>
            <wp:effectExtent l="0" t="0" r="0" b="8890"/>
            <wp:docPr id="67" name="Picture 6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96CBC7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016" cy="342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2AB2B" w14:textId="77777777" w:rsidR="003F5D8A" w:rsidRPr="007759FC" w:rsidRDefault="003F5D8A" w:rsidP="003F5D8A">
      <w:pPr>
        <w:spacing w:before="40"/>
        <w:rPr>
          <w:rStyle w:val="fr"/>
          <w:sz w:val="17"/>
          <w:szCs w:val="17"/>
        </w:rPr>
      </w:pPr>
      <w:r w:rsidRPr="007759FC">
        <w:rPr>
          <w:sz w:val="17"/>
          <w:szCs w:val="17"/>
        </w:rPr>
        <w:t xml:space="preserve">Abréviations : </w:t>
      </w:r>
      <w:r w:rsidRPr="007759FC">
        <w:rPr>
          <w:noProof/>
          <w:sz w:val="17"/>
          <w:szCs w:val="17"/>
        </w:rPr>
        <w:t>CdP,</w:t>
      </w:r>
      <w:r w:rsidRPr="007759FC">
        <w:rPr>
          <w:sz w:val="17"/>
          <w:szCs w:val="17"/>
        </w:rPr>
        <w:t xml:space="preserve"> Conférence des Parties ; ICC, Comité de mise en œuvre et du respect des obligations ; MIA, </w:t>
      </w:r>
      <w:r w:rsidRPr="007759FC">
        <w:rPr>
          <w:rStyle w:val="fr"/>
          <w:sz w:val="17"/>
          <w:szCs w:val="17"/>
        </w:rPr>
        <w:t xml:space="preserve">évaluations initiales prévues par la Convention de Minamata ; </w:t>
      </w:r>
      <w:r w:rsidRPr="007759FC">
        <w:rPr>
          <w:sz w:val="17"/>
          <w:szCs w:val="17"/>
        </w:rPr>
        <w:t>NAP, plans d</w:t>
      </w:r>
      <w:r>
        <w:rPr>
          <w:sz w:val="17"/>
          <w:szCs w:val="17"/>
        </w:rPr>
        <w:t>’</w:t>
      </w:r>
      <w:r w:rsidRPr="007759FC">
        <w:rPr>
          <w:sz w:val="17"/>
          <w:szCs w:val="17"/>
        </w:rPr>
        <w:t>action nationaux ; NIP, plans nationaux de mise en œuvre ;</w:t>
      </w:r>
      <w:r w:rsidRPr="007759FC">
        <w:rPr>
          <w:rStyle w:val="fr"/>
          <w:sz w:val="17"/>
          <w:szCs w:val="17"/>
        </w:rPr>
        <w:t xml:space="preserve"> PIS, Programme international spécifique.</w:t>
      </w:r>
    </w:p>
    <w:p w14:paraId="2D0FBFD5" w14:textId="77C2424F" w:rsidR="00BE1F6B" w:rsidRPr="00B570FF" w:rsidRDefault="00BE1F6B" w:rsidP="00B570F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sz w:val="28"/>
          <w:szCs w:val="22"/>
        </w:rPr>
      </w:pPr>
    </w:p>
    <w:sectPr w:rsidR="00BE1F6B" w:rsidRPr="00B570FF" w:rsidSect="00623DB1">
      <w:headerReference w:type="even" r:id="rId16"/>
      <w:head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08DE8" w14:textId="77777777" w:rsidR="008C0448" w:rsidRDefault="008C0448">
      <w:r>
        <w:separator/>
      </w:r>
    </w:p>
  </w:endnote>
  <w:endnote w:type="continuationSeparator" w:id="0">
    <w:p w14:paraId="56A7D214" w14:textId="77777777" w:rsidR="008C0448" w:rsidRDefault="008C0448">
      <w:r>
        <w:continuationSeparator/>
      </w:r>
    </w:p>
  </w:endnote>
  <w:endnote w:type="continuationNotice" w:id="1">
    <w:p w14:paraId="696342A2" w14:textId="77777777" w:rsidR="008C0448" w:rsidRDefault="008C0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9A860217" w:usb1="0000344F" w:usb2="9A9E0000" w:usb3="9F3C344F" w:csb0="00000687" w:csb1="0CDF332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25BE" w14:textId="7A71D820" w:rsidR="00CA4DAC" w:rsidRDefault="00CA4DAC" w:rsidP="5EAF7DCE">
    <w:pPr>
      <w:pStyle w:val="Normal-pool"/>
    </w:pPr>
    <w:r w:rsidRPr="4AD2ABB5">
      <w:t>K2000715</w:t>
    </w:r>
    <w:r>
      <w:tab/>
    </w:r>
    <w:r w:rsidR="000546B1">
      <w:t>19</w:t>
    </w:r>
    <w:r>
      <w:t>05</w:t>
    </w:r>
    <w:r w:rsidRPr="4AD2ABB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06E64" w14:textId="77777777" w:rsidR="008C0448" w:rsidRDefault="008C0448" w:rsidP="00D92DE0">
      <w:pPr>
        <w:ind w:left="624"/>
      </w:pPr>
      <w:r>
        <w:separator/>
      </w:r>
    </w:p>
  </w:footnote>
  <w:footnote w:type="continuationSeparator" w:id="0">
    <w:p w14:paraId="41595A54" w14:textId="77777777" w:rsidR="008C0448" w:rsidRDefault="008C0448">
      <w:r>
        <w:continuationSeparator/>
      </w:r>
    </w:p>
  </w:footnote>
  <w:footnote w:type="continuationNotice" w:id="1">
    <w:p w14:paraId="23D46E4A" w14:textId="77777777" w:rsidR="008C0448" w:rsidRDefault="008C0448"/>
  </w:footnote>
  <w:footnote w:id="2">
    <w:p w14:paraId="5A92B4D9" w14:textId="77777777" w:rsidR="003F5D8A" w:rsidRPr="00E337A8" w:rsidRDefault="003F5D8A" w:rsidP="003F5D8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E337A8">
        <w:rPr>
          <w:lang w:val="en-GB"/>
        </w:rPr>
        <w:t xml:space="preserve"> </w:t>
      </w:r>
      <w:r w:rsidRPr="00E337A8">
        <w:rPr>
          <w:szCs w:val="18"/>
          <w:lang w:val="en-GB"/>
        </w:rPr>
        <w:t>UNEP/MC/COP.3/14.</w:t>
      </w:r>
    </w:p>
  </w:footnote>
  <w:footnote w:id="3">
    <w:p w14:paraId="4930C6DE" w14:textId="77777777" w:rsidR="003F5D8A" w:rsidRPr="00E337A8" w:rsidRDefault="003F5D8A" w:rsidP="003F5D8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E337A8">
        <w:rPr>
          <w:lang w:val="en-GB"/>
        </w:rPr>
        <w:t xml:space="preserve"> </w:t>
      </w:r>
      <w:r w:rsidRPr="00E337A8">
        <w:rPr>
          <w:szCs w:val="18"/>
          <w:lang w:val="en-GB"/>
        </w:rPr>
        <w:t>UNEP/MC/COP.3.INF/15.</w:t>
      </w:r>
    </w:p>
  </w:footnote>
  <w:footnote w:id="4">
    <w:p w14:paraId="6F4A0AE9" w14:textId="77777777" w:rsidR="003F5D8A" w:rsidRPr="007A1C1C" w:rsidRDefault="003F5D8A" w:rsidP="003F5D8A">
      <w:pPr>
        <w:pStyle w:val="FootnoteText"/>
        <w:rPr>
          <w:lang w:val="en-GB"/>
        </w:rPr>
      </w:pPr>
      <w:r w:rsidRPr="00CC0B73">
        <w:rPr>
          <w:rStyle w:val="FootnoteReference"/>
        </w:rPr>
        <w:footnoteRef/>
      </w:r>
      <w:r w:rsidRPr="00542EB2">
        <w:rPr>
          <w:lang w:val="en-GB"/>
        </w:rPr>
        <w:t xml:space="preserve"> </w:t>
      </w:r>
      <w:r w:rsidRPr="007A1C1C">
        <w:rPr>
          <w:rStyle w:val="DeltaViewInsertion"/>
          <w:i/>
          <w:iCs/>
          <w:color w:val="auto"/>
          <w:szCs w:val="18"/>
          <w:u w:val="none"/>
          <w:lang w:val="en-GB"/>
        </w:rPr>
        <w:t>Ibid</w:t>
      </w:r>
      <w:r w:rsidRPr="007A1C1C">
        <w:rPr>
          <w:rStyle w:val="DeltaViewInsertion"/>
          <w:color w:val="auto"/>
          <w:szCs w:val="18"/>
          <w:u w:val="none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75ECF93A" w:rsidR="00CA4DAC" w:rsidRPr="00CA5CA9" w:rsidRDefault="00CA4DAC" w:rsidP="00201673">
    <w:pPr>
      <w:pStyle w:val="Header-pool"/>
    </w:pPr>
    <w:r>
      <w:t>UNEP/MC/COP.3/</w:t>
    </w:r>
    <w:r w:rsidR="005671C2">
      <w:t>Dec.</w:t>
    </w:r>
    <w:r w:rsidR="003F5D8A"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74221073" w:rsidR="00CA4DAC" w:rsidRPr="00CA5CA9" w:rsidRDefault="00CA4DAC" w:rsidP="00201673">
    <w:pPr>
      <w:pStyle w:val="Header-pool"/>
      <w:jc w:val="right"/>
    </w:pPr>
    <w:r>
      <w:t>UNEP/MC/COP.3/</w:t>
    </w:r>
    <w:r w:rsidR="00C54317">
      <w:t>Dec.</w:t>
    </w:r>
    <w:r w:rsidR="003F5D8A"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70C0CA95" w:rsidR="00CA4DAC" w:rsidRDefault="00CA4DAC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22242F4E"/>
    <w:lvl w:ilvl="0" w:tplc="4112C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006"/>
    <w:multiLevelType w:val="hybridMultilevel"/>
    <w:tmpl w:val="6E228B32"/>
    <w:lvl w:ilvl="0" w:tplc="252674B2">
      <w:start w:val="1"/>
      <w:numFmt w:val="decimal"/>
      <w:pStyle w:val="mainpara"/>
      <w:lvlText w:val="%1.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A409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207640"/>
    <w:multiLevelType w:val="hybridMultilevel"/>
    <w:tmpl w:val="36A499FC"/>
    <w:lvl w:ilvl="0" w:tplc="E61676AA">
      <w:start w:val="1"/>
      <w:numFmt w:val="decimal"/>
      <w:lvlText w:val="%1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1" w:tplc="0F800980">
      <w:start w:val="1"/>
      <w:numFmt w:val="lowerLetter"/>
      <w:lvlText w:val="(%2)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164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2" w:tplc="00000002">
      <w:start w:val="1"/>
      <w:numFmt w:val="lowerRoman"/>
      <w:lvlText w:val="%3)"/>
      <w:lvlJc w:val="left"/>
      <w:pPr>
        <w:tabs>
          <w:tab w:val="num" w:pos="624"/>
          <w:tab w:val="num" w:pos="1247"/>
          <w:tab w:val="num" w:pos="1814"/>
          <w:tab w:val="num" w:pos="2948"/>
          <w:tab w:val="num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3" w:tplc="00000003">
      <w:start w:val="1"/>
      <w:numFmt w:val="decimal"/>
      <w:lvlText w:val="%4."/>
      <w:lvlJc w:val="left"/>
      <w:pPr>
        <w:tabs>
          <w:tab w:val="num" w:pos="624"/>
          <w:tab w:val="num" w:pos="1247"/>
          <w:tab w:val="num" w:pos="1814"/>
          <w:tab w:val="num" w:pos="2381"/>
          <w:tab w:val="num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4" w:tplc="00000004">
      <w:start w:val="1"/>
      <w:numFmt w:val="lowerLetter"/>
      <w:lvlText w:val="(%5)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5" w:tplc="00000005">
      <w:start w:val="1"/>
      <w:numFmt w:val="lowerRoman"/>
      <w:lvlText w:val="%6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6" w:tplc="00000006">
      <w:start w:val="1"/>
      <w:numFmt w:val="decimal"/>
      <w:lvlText w:val="%7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7" w:tplc="00000007">
      <w:start w:val="1"/>
      <w:numFmt w:val="lowerLetter"/>
      <w:lvlText w:val="%8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8" w:tplc="00000008">
      <w:start w:val="1"/>
      <w:numFmt w:val="lowerRoman"/>
      <w:lvlText w:val="%9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</w:abstractNum>
  <w:abstractNum w:abstractNumId="5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6" w15:restartNumberingAfterBreak="0">
    <w:nsid w:val="17AF3DD0"/>
    <w:multiLevelType w:val="hybridMultilevel"/>
    <w:tmpl w:val="F70086F0"/>
    <w:lvl w:ilvl="0" w:tplc="16B0CFC2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4" w:hanging="360"/>
      </w:pPr>
    </w:lvl>
    <w:lvl w:ilvl="2" w:tplc="0809001B" w:tentative="1">
      <w:start w:val="1"/>
      <w:numFmt w:val="lowerRoman"/>
      <w:lvlText w:val="%3."/>
      <w:lvlJc w:val="right"/>
      <w:pPr>
        <w:ind w:left="3074" w:hanging="180"/>
      </w:pPr>
    </w:lvl>
    <w:lvl w:ilvl="3" w:tplc="0809000F" w:tentative="1">
      <w:start w:val="1"/>
      <w:numFmt w:val="decimal"/>
      <w:lvlText w:val="%4."/>
      <w:lvlJc w:val="left"/>
      <w:pPr>
        <w:ind w:left="3794" w:hanging="360"/>
      </w:pPr>
    </w:lvl>
    <w:lvl w:ilvl="4" w:tplc="08090019" w:tentative="1">
      <w:start w:val="1"/>
      <w:numFmt w:val="lowerLetter"/>
      <w:lvlText w:val="%5."/>
      <w:lvlJc w:val="left"/>
      <w:pPr>
        <w:ind w:left="4514" w:hanging="360"/>
      </w:pPr>
    </w:lvl>
    <w:lvl w:ilvl="5" w:tplc="0809001B" w:tentative="1">
      <w:start w:val="1"/>
      <w:numFmt w:val="lowerRoman"/>
      <w:lvlText w:val="%6."/>
      <w:lvlJc w:val="right"/>
      <w:pPr>
        <w:ind w:left="5234" w:hanging="180"/>
      </w:pPr>
    </w:lvl>
    <w:lvl w:ilvl="6" w:tplc="0809000F" w:tentative="1">
      <w:start w:val="1"/>
      <w:numFmt w:val="decimal"/>
      <w:lvlText w:val="%7."/>
      <w:lvlJc w:val="left"/>
      <w:pPr>
        <w:ind w:left="5954" w:hanging="360"/>
      </w:pPr>
    </w:lvl>
    <w:lvl w:ilvl="7" w:tplc="08090019" w:tentative="1">
      <w:start w:val="1"/>
      <w:numFmt w:val="lowerLetter"/>
      <w:lvlText w:val="%8."/>
      <w:lvlJc w:val="left"/>
      <w:pPr>
        <w:ind w:left="6674" w:hanging="360"/>
      </w:pPr>
    </w:lvl>
    <w:lvl w:ilvl="8" w:tplc="08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 w15:restartNumberingAfterBreak="0">
    <w:nsid w:val="18FF1FD8"/>
    <w:multiLevelType w:val="multilevel"/>
    <w:tmpl w:val="F4ACF36E"/>
    <w:numStyleLink w:val="Normallist"/>
  </w:abstractNum>
  <w:abstractNum w:abstractNumId="8" w15:restartNumberingAfterBreak="0">
    <w:nsid w:val="1B571867"/>
    <w:multiLevelType w:val="singleLevel"/>
    <w:tmpl w:val="1E8650E4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1B23A3"/>
    <w:multiLevelType w:val="multilevel"/>
    <w:tmpl w:val="0390040C"/>
    <w:lvl w:ilvl="0">
      <w:start w:val="1"/>
      <w:numFmt w:val="lowerLetter"/>
      <w:lvlText w:val="%1)"/>
      <w:lvlJc w:val="left"/>
      <w:pPr>
        <w:tabs>
          <w:tab w:val="num" w:pos="568"/>
        </w:tabs>
        <w:ind w:left="1248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8"/>
        </w:tabs>
        <w:ind w:left="408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  <w:rPr>
        <w:rFonts w:hint="default"/>
      </w:rPr>
    </w:lvl>
  </w:abstractNum>
  <w:abstractNum w:abstractNumId="10" w15:restartNumberingAfterBreak="0">
    <w:nsid w:val="1F886ADE"/>
    <w:multiLevelType w:val="multilevel"/>
    <w:tmpl w:val="0BC02ABE"/>
    <w:lvl w:ilvl="0">
      <w:start w:val="1"/>
      <w:numFmt w:val="lowerLetter"/>
      <w:pStyle w:val="Subparagraph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1" w15:restartNumberingAfterBreak="0">
    <w:nsid w:val="22BA736E"/>
    <w:multiLevelType w:val="hybridMultilevel"/>
    <w:tmpl w:val="A516A762"/>
    <w:lvl w:ilvl="0" w:tplc="74A69EB2">
      <w:start w:val="1"/>
      <w:numFmt w:val="lowerLetter"/>
      <w:lvlText w:val="(%1)"/>
      <w:lvlJc w:val="left"/>
      <w:pPr>
        <w:tabs>
          <w:tab w:val="num" w:pos="848"/>
          <w:tab w:val="num" w:pos="1247"/>
          <w:tab w:val="num" w:pos="1814"/>
          <w:tab w:val="num" w:pos="2381"/>
          <w:tab w:val="num" w:pos="2948"/>
          <w:tab w:val="num" w:pos="3515"/>
        </w:tabs>
        <w:ind w:left="187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1" w:tplc="8B92C6B6">
      <w:start w:val="1"/>
      <w:numFmt w:val="lowerLetter"/>
      <w:lvlText w:val="%2."/>
      <w:lvlJc w:val="left"/>
      <w:pPr>
        <w:ind w:left="1664" w:hanging="360"/>
      </w:pPr>
    </w:lvl>
    <w:lvl w:ilvl="2" w:tplc="A6606362">
      <w:start w:val="1"/>
      <w:numFmt w:val="lowerRoman"/>
      <w:lvlText w:val="%3."/>
      <w:lvlJc w:val="right"/>
      <w:pPr>
        <w:ind w:left="2384" w:hanging="180"/>
      </w:pPr>
    </w:lvl>
    <w:lvl w:ilvl="3" w:tplc="0E982F68">
      <w:start w:val="1"/>
      <w:numFmt w:val="decimal"/>
      <w:lvlText w:val="%4."/>
      <w:lvlJc w:val="left"/>
      <w:pPr>
        <w:ind w:left="3104" w:hanging="360"/>
      </w:pPr>
    </w:lvl>
    <w:lvl w:ilvl="4" w:tplc="0728C980">
      <w:start w:val="1"/>
      <w:numFmt w:val="lowerLetter"/>
      <w:lvlText w:val="%5."/>
      <w:lvlJc w:val="left"/>
      <w:pPr>
        <w:ind w:left="3824" w:hanging="360"/>
      </w:pPr>
    </w:lvl>
    <w:lvl w:ilvl="5" w:tplc="D3D8A82C">
      <w:start w:val="1"/>
      <w:numFmt w:val="lowerRoman"/>
      <w:lvlText w:val="%6."/>
      <w:lvlJc w:val="right"/>
      <w:pPr>
        <w:ind w:left="4544" w:hanging="180"/>
      </w:pPr>
    </w:lvl>
    <w:lvl w:ilvl="6" w:tplc="518E1C82">
      <w:start w:val="1"/>
      <w:numFmt w:val="decimal"/>
      <w:lvlText w:val="%7."/>
      <w:lvlJc w:val="left"/>
      <w:pPr>
        <w:ind w:left="5264" w:hanging="360"/>
      </w:pPr>
    </w:lvl>
    <w:lvl w:ilvl="7" w:tplc="1F767AAA">
      <w:start w:val="1"/>
      <w:numFmt w:val="lowerLetter"/>
      <w:lvlText w:val="%8."/>
      <w:lvlJc w:val="left"/>
      <w:pPr>
        <w:ind w:left="5984" w:hanging="360"/>
      </w:pPr>
    </w:lvl>
    <w:lvl w:ilvl="8" w:tplc="4AE810DE">
      <w:start w:val="1"/>
      <w:numFmt w:val="lowerRoman"/>
      <w:lvlText w:val="%9."/>
      <w:lvlJc w:val="right"/>
      <w:pPr>
        <w:ind w:left="6704" w:hanging="180"/>
      </w:pPr>
    </w:lvl>
  </w:abstractNum>
  <w:abstractNum w:abstractNumId="12" w15:restartNumberingAfterBreak="0">
    <w:nsid w:val="24FF7BCD"/>
    <w:multiLevelType w:val="hybridMultilevel"/>
    <w:tmpl w:val="7D6E8804"/>
    <w:lvl w:ilvl="0" w:tplc="DAC442D2">
      <w:start w:val="1"/>
      <w:numFmt w:val="decimal"/>
      <w:lvlText w:val="%1."/>
      <w:lvlJc w:val="left"/>
      <w:pPr>
        <w:ind w:left="720" w:hanging="360"/>
      </w:pPr>
    </w:lvl>
    <w:lvl w:ilvl="1" w:tplc="00000001" w:tentative="1">
      <w:start w:val="1"/>
      <w:numFmt w:val="lowerLetter"/>
      <w:lvlText w:val="%2."/>
      <w:lvlJc w:val="left"/>
      <w:pPr>
        <w:ind w:left="1440" w:hanging="360"/>
      </w:pPr>
    </w:lvl>
    <w:lvl w:ilvl="2" w:tplc="00000002" w:tentative="1">
      <w:start w:val="1"/>
      <w:numFmt w:val="lowerRoman"/>
      <w:lvlText w:val="%3."/>
      <w:lvlJc w:val="right"/>
      <w:pPr>
        <w:ind w:left="2160" w:hanging="180"/>
      </w:pPr>
    </w:lvl>
    <w:lvl w:ilvl="3" w:tplc="00000003" w:tentative="1">
      <w:start w:val="1"/>
      <w:numFmt w:val="decimal"/>
      <w:lvlText w:val="%4."/>
      <w:lvlJc w:val="left"/>
      <w:pPr>
        <w:ind w:left="2880" w:hanging="360"/>
      </w:pPr>
    </w:lvl>
    <w:lvl w:ilvl="4" w:tplc="00000004" w:tentative="1">
      <w:start w:val="1"/>
      <w:numFmt w:val="lowerLetter"/>
      <w:lvlText w:val="%5."/>
      <w:lvlJc w:val="left"/>
      <w:pPr>
        <w:ind w:left="3600" w:hanging="360"/>
      </w:pPr>
    </w:lvl>
    <w:lvl w:ilvl="5" w:tplc="00000005" w:tentative="1">
      <w:start w:val="1"/>
      <w:numFmt w:val="lowerRoman"/>
      <w:lvlText w:val="%6."/>
      <w:lvlJc w:val="right"/>
      <w:pPr>
        <w:ind w:left="4320" w:hanging="180"/>
      </w:pPr>
    </w:lvl>
    <w:lvl w:ilvl="6" w:tplc="00000006" w:tentative="1">
      <w:start w:val="1"/>
      <w:numFmt w:val="decimal"/>
      <w:lvlText w:val="%7."/>
      <w:lvlJc w:val="left"/>
      <w:pPr>
        <w:ind w:left="5040" w:hanging="360"/>
      </w:pPr>
    </w:lvl>
    <w:lvl w:ilvl="7" w:tplc="00000007" w:tentative="1">
      <w:start w:val="1"/>
      <w:numFmt w:val="lowerLetter"/>
      <w:lvlText w:val="%8."/>
      <w:lvlJc w:val="left"/>
      <w:pPr>
        <w:ind w:left="5760" w:hanging="360"/>
      </w:pPr>
    </w:lvl>
    <w:lvl w:ilvl="8" w:tplc="00000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B5CBA"/>
    <w:multiLevelType w:val="hybridMultilevel"/>
    <w:tmpl w:val="1464ADA6"/>
    <w:lvl w:ilvl="0" w:tplc="0409000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71603"/>
    <w:multiLevelType w:val="singleLevel"/>
    <w:tmpl w:val="C9CACEF8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291CC6"/>
    <w:multiLevelType w:val="hybridMultilevel"/>
    <w:tmpl w:val="CF3606D2"/>
    <w:lvl w:ilvl="0" w:tplc="0D389D6E">
      <w:start w:val="1"/>
      <w:numFmt w:val="decimal"/>
      <w:lvlText w:val="%1."/>
      <w:lvlJc w:val="left"/>
      <w:pPr>
        <w:ind w:left="2591" w:hanging="360"/>
      </w:pPr>
      <w:rPr>
        <w:rFonts w:hint="default"/>
        <w:i w:val="0"/>
      </w:rPr>
    </w:lvl>
    <w:lvl w:ilvl="1" w:tplc="29DE9E9E">
      <w:start w:val="1"/>
      <w:numFmt w:val="lowerLetter"/>
      <w:lvlText w:val="%2."/>
      <w:lvlJc w:val="left"/>
      <w:pPr>
        <w:ind w:left="1440" w:hanging="360"/>
      </w:pPr>
    </w:lvl>
    <w:lvl w:ilvl="2" w:tplc="B570F76E">
      <w:start w:val="1"/>
      <w:numFmt w:val="lowerRoman"/>
      <w:lvlText w:val="%3."/>
      <w:lvlJc w:val="right"/>
      <w:pPr>
        <w:ind w:left="2160" w:hanging="180"/>
      </w:pPr>
    </w:lvl>
    <w:lvl w:ilvl="3" w:tplc="F410AC40">
      <w:start w:val="1"/>
      <w:numFmt w:val="decimal"/>
      <w:lvlText w:val="%4."/>
      <w:lvlJc w:val="left"/>
      <w:pPr>
        <w:ind w:left="2880" w:hanging="360"/>
      </w:pPr>
    </w:lvl>
    <w:lvl w:ilvl="4" w:tplc="BAA629DA">
      <w:start w:val="1"/>
      <w:numFmt w:val="lowerLetter"/>
      <w:lvlText w:val="%5."/>
      <w:lvlJc w:val="left"/>
      <w:pPr>
        <w:ind w:left="3600" w:hanging="360"/>
      </w:pPr>
    </w:lvl>
    <w:lvl w:ilvl="5" w:tplc="04F69F62">
      <w:start w:val="1"/>
      <w:numFmt w:val="lowerRoman"/>
      <w:lvlText w:val="%6."/>
      <w:lvlJc w:val="right"/>
      <w:pPr>
        <w:ind w:left="4320" w:hanging="180"/>
      </w:pPr>
    </w:lvl>
    <w:lvl w:ilvl="6" w:tplc="FE580F02">
      <w:start w:val="1"/>
      <w:numFmt w:val="decimal"/>
      <w:lvlText w:val="%7."/>
      <w:lvlJc w:val="left"/>
      <w:pPr>
        <w:ind w:left="5040" w:hanging="360"/>
      </w:pPr>
    </w:lvl>
    <w:lvl w:ilvl="7" w:tplc="FEC0C104">
      <w:start w:val="1"/>
      <w:numFmt w:val="lowerLetter"/>
      <w:lvlText w:val="%8."/>
      <w:lvlJc w:val="left"/>
      <w:pPr>
        <w:ind w:left="5760" w:hanging="360"/>
      </w:pPr>
    </w:lvl>
    <w:lvl w:ilvl="8" w:tplc="592664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F2A72"/>
    <w:multiLevelType w:val="hybridMultilevel"/>
    <w:tmpl w:val="3EDE1BA2"/>
    <w:lvl w:ilvl="0" w:tplc="3BA80E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CC33E1"/>
    <w:multiLevelType w:val="hybridMultilevel"/>
    <w:tmpl w:val="1BB2BD6E"/>
    <w:lvl w:ilvl="0" w:tplc="04090005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8" w15:restartNumberingAfterBreak="0">
    <w:nsid w:val="3C251FC0"/>
    <w:multiLevelType w:val="hybridMultilevel"/>
    <w:tmpl w:val="F5AC5400"/>
    <w:lvl w:ilvl="0" w:tplc="0809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095353"/>
    <w:multiLevelType w:val="hybridMultilevel"/>
    <w:tmpl w:val="C722DC6A"/>
    <w:lvl w:ilvl="0" w:tplc="172423E8">
      <w:start w:val="1"/>
      <w:numFmt w:val="decimal"/>
      <w:lvlText w:val="%1."/>
      <w:lvlJc w:val="left"/>
      <w:pPr>
        <w:ind w:left="1815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 w15:restartNumberingAfterBreak="0">
    <w:nsid w:val="41CF66DC"/>
    <w:multiLevelType w:val="hybridMultilevel"/>
    <w:tmpl w:val="E9748CDA"/>
    <w:lvl w:ilvl="0" w:tplc="D76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D25BFB"/>
    <w:multiLevelType w:val="hybridMultilevel"/>
    <w:tmpl w:val="B1A0D37A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lowerLetter"/>
      <w:lvlText w:val="%2)"/>
      <w:lvlJc w:val="left"/>
      <w:pPr>
        <w:ind w:left="1440" w:hanging="360"/>
      </w:pPr>
    </w:lvl>
    <w:lvl w:ilvl="2" w:tplc="08090005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decimal"/>
      <w:lvlText w:val="%4."/>
      <w:lvlJc w:val="left"/>
      <w:pPr>
        <w:ind w:left="2880" w:hanging="360"/>
      </w:pPr>
    </w:lvl>
    <w:lvl w:ilvl="4" w:tplc="08090003">
      <w:start w:val="1"/>
      <w:numFmt w:val="lowerLetter"/>
      <w:lvlText w:val="%5."/>
      <w:lvlJc w:val="left"/>
      <w:pPr>
        <w:ind w:left="3600" w:hanging="360"/>
      </w:pPr>
    </w:lvl>
    <w:lvl w:ilvl="5" w:tplc="08090005">
      <w:start w:val="1"/>
      <w:numFmt w:val="lowerRoman"/>
      <w:lvlText w:val="%6."/>
      <w:lvlJc w:val="right"/>
      <w:pPr>
        <w:ind w:left="4320" w:hanging="180"/>
      </w:pPr>
    </w:lvl>
    <w:lvl w:ilvl="6" w:tplc="08090001">
      <w:start w:val="1"/>
      <w:numFmt w:val="decimal"/>
      <w:lvlText w:val="%7."/>
      <w:lvlJc w:val="left"/>
      <w:pPr>
        <w:ind w:left="5040" w:hanging="360"/>
      </w:pPr>
    </w:lvl>
    <w:lvl w:ilvl="7" w:tplc="08090003">
      <w:start w:val="1"/>
      <w:numFmt w:val="lowerLetter"/>
      <w:lvlText w:val="%8."/>
      <w:lvlJc w:val="left"/>
      <w:pPr>
        <w:ind w:left="5760" w:hanging="360"/>
      </w:pPr>
    </w:lvl>
    <w:lvl w:ilvl="8" w:tplc="08090005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62FDF"/>
    <w:multiLevelType w:val="hybridMultilevel"/>
    <w:tmpl w:val="1B922A92"/>
    <w:lvl w:ilvl="0" w:tplc="993890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0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13E0B"/>
    <w:multiLevelType w:val="hybridMultilevel"/>
    <w:tmpl w:val="04D4A5DE"/>
    <w:lvl w:ilvl="0" w:tplc="04090005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08090003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ind w:left="4031" w:hanging="180"/>
      </w:pPr>
    </w:lvl>
    <w:lvl w:ilvl="3" w:tplc="08090001" w:tentative="1">
      <w:start w:val="1"/>
      <w:numFmt w:val="decimal"/>
      <w:lvlText w:val="%4."/>
      <w:lvlJc w:val="left"/>
      <w:pPr>
        <w:ind w:left="4751" w:hanging="360"/>
      </w:pPr>
    </w:lvl>
    <w:lvl w:ilvl="4" w:tplc="08090003" w:tentative="1">
      <w:start w:val="1"/>
      <w:numFmt w:val="lowerLetter"/>
      <w:lvlText w:val="%5."/>
      <w:lvlJc w:val="left"/>
      <w:pPr>
        <w:ind w:left="5471" w:hanging="360"/>
      </w:pPr>
    </w:lvl>
    <w:lvl w:ilvl="5" w:tplc="08090005" w:tentative="1">
      <w:start w:val="1"/>
      <w:numFmt w:val="lowerRoman"/>
      <w:lvlText w:val="%6."/>
      <w:lvlJc w:val="right"/>
      <w:pPr>
        <w:ind w:left="6191" w:hanging="180"/>
      </w:pPr>
    </w:lvl>
    <w:lvl w:ilvl="6" w:tplc="08090001" w:tentative="1">
      <w:start w:val="1"/>
      <w:numFmt w:val="decimal"/>
      <w:lvlText w:val="%7."/>
      <w:lvlJc w:val="left"/>
      <w:pPr>
        <w:ind w:left="6911" w:hanging="360"/>
      </w:pPr>
    </w:lvl>
    <w:lvl w:ilvl="7" w:tplc="08090003" w:tentative="1">
      <w:start w:val="1"/>
      <w:numFmt w:val="lowerLetter"/>
      <w:lvlText w:val="%8."/>
      <w:lvlJc w:val="left"/>
      <w:pPr>
        <w:ind w:left="7631" w:hanging="360"/>
      </w:pPr>
    </w:lvl>
    <w:lvl w:ilvl="8" w:tplc="08090005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52A66A9D"/>
    <w:multiLevelType w:val="multilevel"/>
    <w:tmpl w:val="F4ACF36E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6" w15:restartNumberingAfterBreak="0">
    <w:nsid w:val="58062A34"/>
    <w:multiLevelType w:val="hybridMultilevel"/>
    <w:tmpl w:val="107EEDB8"/>
    <w:lvl w:ilvl="0" w:tplc="364EAF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2B908FB0">
      <w:start w:val="1"/>
      <w:numFmt w:val="lowerLetter"/>
      <w:lvlText w:val="%2."/>
      <w:lvlJc w:val="left"/>
      <w:pPr>
        <w:ind w:left="3311" w:hanging="360"/>
      </w:pPr>
    </w:lvl>
    <w:lvl w:ilvl="2" w:tplc="CB94A66C">
      <w:start w:val="1"/>
      <w:numFmt w:val="lowerRoman"/>
      <w:lvlText w:val="%3."/>
      <w:lvlJc w:val="right"/>
      <w:pPr>
        <w:ind w:left="4031" w:hanging="180"/>
      </w:pPr>
    </w:lvl>
    <w:lvl w:ilvl="3" w:tplc="116A6900">
      <w:start w:val="1"/>
      <w:numFmt w:val="decimal"/>
      <w:lvlText w:val="%4."/>
      <w:lvlJc w:val="left"/>
      <w:pPr>
        <w:ind w:left="4751" w:hanging="360"/>
      </w:pPr>
    </w:lvl>
    <w:lvl w:ilvl="4" w:tplc="A8484AD6">
      <w:start w:val="1"/>
      <w:numFmt w:val="lowerLetter"/>
      <w:lvlText w:val="%5."/>
      <w:lvlJc w:val="left"/>
      <w:pPr>
        <w:ind w:left="5471" w:hanging="360"/>
      </w:pPr>
    </w:lvl>
    <w:lvl w:ilvl="5" w:tplc="472E0DC4">
      <w:start w:val="1"/>
      <w:numFmt w:val="lowerRoman"/>
      <w:lvlText w:val="%6."/>
      <w:lvlJc w:val="right"/>
      <w:pPr>
        <w:ind w:left="6191" w:hanging="180"/>
      </w:pPr>
    </w:lvl>
    <w:lvl w:ilvl="6" w:tplc="860CF31C">
      <w:start w:val="1"/>
      <w:numFmt w:val="decimal"/>
      <w:lvlText w:val="%7."/>
      <w:lvlJc w:val="left"/>
      <w:pPr>
        <w:ind w:left="6911" w:hanging="360"/>
      </w:pPr>
    </w:lvl>
    <w:lvl w:ilvl="7" w:tplc="FCE6A518">
      <w:start w:val="1"/>
      <w:numFmt w:val="lowerLetter"/>
      <w:lvlText w:val="%8."/>
      <w:lvlJc w:val="left"/>
      <w:pPr>
        <w:ind w:left="7631" w:hanging="360"/>
      </w:pPr>
    </w:lvl>
    <w:lvl w:ilvl="8" w:tplc="260297EC">
      <w:start w:val="1"/>
      <w:numFmt w:val="lowerRoman"/>
      <w:lvlText w:val="%9."/>
      <w:lvlJc w:val="right"/>
      <w:pPr>
        <w:ind w:left="8351" w:hanging="180"/>
      </w:pPr>
    </w:lvl>
  </w:abstractNum>
  <w:abstractNum w:abstractNumId="27" w15:restartNumberingAfterBreak="0">
    <w:nsid w:val="5F297111"/>
    <w:multiLevelType w:val="hybridMultilevel"/>
    <w:tmpl w:val="E572ED9E"/>
    <w:lvl w:ilvl="0" w:tplc="51B88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000001" w:tentative="1">
      <w:start w:val="1"/>
      <w:numFmt w:val="lowerLetter"/>
      <w:lvlText w:val="%2."/>
      <w:lvlJc w:val="left"/>
      <w:pPr>
        <w:ind w:left="1440" w:hanging="360"/>
      </w:pPr>
    </w:lvl>
    <w:lvl w:ilvl="2" w:tplc="00000002" w:tentative="1">
      <w:start w:val="1"/>
      <w:numFmt w:val="lowerRoman"/>
      <w:lvlText w:val="%3."/>
      <w:lvlJc w:val="right"/>
      <w:pPr>
        <w:ind w:left="2160" w:hanging="180"/>
      </w:pPr>
    </w:lvl>
    <w:lvl w:ilvl="3" w:tplc="00000003" w:tentative="1">
      <w:start w:val="1"/>
      <w:numFmt w:val="decimal"/>
      <w:lvlText w:val="%4."/>
      <w:lvlJc w:val="left"/>
      <w:pPr>
        <w:ind w:left="2880" w:hanging="360"/>
      </w:pPr>
    </w:lvl>
    <w:lvl w:ilvl="4" w:tplc="00000004" w:tentative="1">
      <w:start w:val="1"/>
      <w:numFmt w:val="lowerLetter"/>
      <w:lvlText w:val="%5."/>
      <w:lvlJc w:val="left"/>
      <w:pPr>
        <w:ind w:left="3600" w:hanging="360"/>
      </w:pPr>
    </w:lvl>
    <w:lvl w:ilvl="5" w:tplc="00000005" w:tentative="1">
      <w:start w:val="1"/>
      <w:numFmt w:val="lowerRoman"/>
      <w:lvlText w:val="%6."/>
      <w:lvlJc w:val="right"/>
      <w:pPr>
        <w:ind w:left="4320" w:hanging="180"/>
      </w:pPr>
    </w:lvl>
    <w:lvl w:ilvl="6" w:tplc="00000006" w:tentative="1">
      <w:start w:val="1"/>
      <w:numFmt w:val="decimal"/>
      <w:lvlText w:val="%7."/>
      <w:lvlJc w:val="left"/>
      <w:pPr>
        <w:ind w:left="5040" w:hanging="360"/>
      </w:pPr>
    </w:lvl>
    <w:lvl w:ilvl="7" w:tplc="00000007" w:tentative="1">
      <w:start w:val="1"/>
      <w:numFmt w:val="lowerLetter"/>
      <w:lvlText w:val="%8."/>
      <w:lvlJc w:val="left"/>
      <w:pPr>
        <w:ind w:left="5760" w:hanging="360"/>
      </w:pPr>
    </w:lvl>
    <w:lvl w:ilvl="8" w:tplc="00000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9" w15:restartNumberingAfterBreak="0">
    <w:nsid w:val="6F097094"/>
    <w:multiLevelType w:val="hybridMultilevel"/>
    <w:tmpl w:val="3FC6F656"/>
    <w:styleLink w:val="Importovanstyl10"/>
    <w:lvl w:ilvl="0" w:tplc="B492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FB42071"/>
    <w:multiLevelType w:val="hybridMultilevel"/>
    <w:tmpl w:val="8A346910"/>
    <w:lvl w:ilvl="0" w:tplc="FF40D860">
      <w:start w:val="1"/>
      <w:numFmt w:val="decimal"/>
      <w:lvlText w:val="%1."/>
      <w:lvlJc w:val="left"/>
      <w:pPr>
        <w:ind w:left="720" w:hanging="360"/>
      </w:pPr>
    </w:lvl>
    <w:lvl w:ilvl="1" w:tplc="5A746D5E">
      <w:start w:val="1"/>
      <w:numFmt w:val="lowerLetter"/>
      <w:lvlText w:val="%2."/>
      <w:lvlJc w:val="left"/>
      <w:pPr>
        <w:ind w:left="1440" w:hanging="360"/>
      </w:pPr>
    </w:lvl>
    <w:lvl w:ilvl="2" w:tplc="2576837E">
      <w:start w:val="1"/>
      <w:numFmt w:val="lowerRoman"/>
      <w:lvlText w:val="%3."/>
      <w:lvlJc w:val="right"/>
      <w:pPr>
        <w:ind w:left="2160" w:hanging="180"/>
      </w:pPr>
    </w:lvl>
    <w:lvl w:ilvl="3" w:tplc="E90AB53A">
      <w:start w:val="1"/>
      <w:numFmt w:val="decimal"/>
      <w:lvlText w:val="%4."/>
      <w:lvlJc w:val="left"/>
      <w:pPr>
        <w:ind w:left="2880" w:hanging="360"/>
      </w:pPr>
    </w:lvl>
    <w:lvl w:ilvl="4" w:tplc="14E0556E">
      <w:start w:val="1"/>
      <w:numFmt w:val="lowerLetter"/>
      <w:lvlText w:val="%5."/>
      <w:lvlJc w:val="left"/>
      <w:pPr>
        <w:ind w:left="3600" w:hanging="360"/>
      </w:pPr>
    </w:lvl>
    <w:lvl w:ilvl="5" w:tplc="DBF62E92">
      <w:start w:val="1"/>
      <w:numFmt w:val="lowerRoman"/>
      <w:lvlText w:val="%6."/>
      <w:lvlJc w:val="right"/>
      <w:pPr>
        <w:ind w:left="4320" w:hanging="180"/>
      </w:pPr>
    </w:lvl>
    <w:lvl w:ilvl="6" w:tplc="EF92588E">
      <w:start w:val="1"/>
      <w:numFmt w:val="decimal"/>
      <w:lvlText w:val="%7."/>
      <w:lvlJc w:val="left"/>
      <w:pPr>
        <w:ind w:left="5040" w:hanging="360"/>
      </w:pPr>
    </w:lvl>
    <w:lvl w:ilvl="7" w:tplc="A8E62FFC">
      <w:start w:val="1"/>
      <w:numFmt w:val="lowerLetter"/>
      <w:lvlText w:val="%8."/>
      <w:lvlJc w:val="left"/>
      <w:pPr>
        <w:ind w:left="5760" w:hanging="360"/>
      </w:pPr>
    </w:lvl>
    <w:lvl w:ilvl="8" w:tplc="3012702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4FF4"/>
    <w:multiLevelType w:val="hybridMultilevel"/>
    <w:tmpl w:val="27FC333A"/>
    <w:lvl w:ilvl="0" w:tplc="DED069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FECE0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0493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EE26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58FF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6E5F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FAFD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6A75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6435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C16CB1"/>
    <w:multiLevelType w:val="multilevel"/>
    <w:tmpl w:val="067ABE8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Letter"/>
      <w:pStyle w:val="Subparagraphs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3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10582"/>
    <w:multiLevelType w:val="hybridMultilevel"/>
    <w:tmpl w:val="F61A0720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decimal"/>
      <w:lvlText w:val="%4."/>
      <w:lvlJc w:val="left"/>
      <w:pPr>
        <w:ind w:left="2880" w:hanging="360"/>
      </w:pPr>
    </w:lvl>
    <w:lvl w:ilvl="4" w:tplc="08090003">
      <w:start w:val="1"/>
      <w:numFmt w:val="lowerLetter"/>
      <w:lvlText w:val="%5."/>
      <w:lvlJc w:val="left"/>
      <w:pPr>
        <w:ind w:left="3600" w:hanging="360"/>
      </w:pPr>
    </w:lvl>
    <w:lvl w:ilvl="5" w:tplc="08090005">
      <w:start w:val="1"/>
      <w:numFmt w:val="lowerRoman"/>
      <w:lvlText w:val="%6."/>
      <w:lvlJc w:val="right"/>
      <w:pPr>
        <w:ind w:left="4320" w:hanging="180"/>
      </w:pPr>
    </w:lvl>
    <w:lvl w:ilvl="6" w:tplc="08090001">
      <w:start w:val="1"/>
      <w:numFmt w:val="decimal"/>
      <w:lvlText w:val="%7."/>
      <w:lvlJc w:val="left"/>
      <w:pPr>
        <w:ind w:left="5040" w:hanging="360"/>
      </w:pPr>
    </w:lvl>
    <w:lvl w:ilvl="7" w:tplc="08090003">
      <w:start w:val="1"/>
      <w:numFmt w:val="lowerLetter"/>
      <w:lvlText w:val="%8."/>
      <w:lvlJc w:val="left"/>
      <w:pPr>
        <w:ind w:left="5760" w:hanging="360"/>
      </w:pPr>
    </w:lvl>
    <w:lvl w:ilvl="8" w:tplc="080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7"/>
  </w:num>
  <w:num w:numId="5">
    <w:abstractNumId w:val="1"/>
  </w:num>
  <w:num w:numId="6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Subparagraphs"/>
        <w:lvlText w:val="%3)"/>
        <w:lvlJc w:val="left"/>
        <w:pPr>
          <w:tabs>
            <w:tab w:val="num" w:pos="596"/>
          </w:tabs>
          <w:ind w:left="2410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">
    <w:abstractNumId w:val="29"/>
  </w:num>
  <w:num w:numId="8">
    <w:abstractNumId w:val="10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color w:val="auto"/>
        </w:rPr>
      </w:lvl>
    </w:lvlOverride>
  </w:num>
  <w:num w:numId="10">
    <w:abstractNumId w:val="24"/>
    <w:lvlOverride w:ilvl="0">
      <w:lvl w:ilvl="0" w:tplc="04090005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11">
    <w:abstractNumId w:val="5"/>
    <w:lvlOverride w:ilvl="1">
      <w:lvl w:ilvl="1" w:tplc="ECA88BCE">
        <w:start w:val="1"/>
        <w:numFmt w:val="lowerLetter"/>
        <w:lvlText w:val="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12">
    <w:abstractNumId w:val="15"/>
  </w:num>
  <w:num w:numId="13">
    <w:abstractNumId w:val="2"/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sz w:val="20"/>
          <w:szCs w:val="20"/>
        </w:rPr>
      </w:lvl>
    </w:lvlOverride>
  </w:num>
  <w:num w:numId="15">
    <w:abstractNumId w:val="13"/>
    <w:lvlOverride w:ilvl="0">
      <w:lvl w:ilvl="0" w:tplc="0409000F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16">
    <w:abstractNumId w:val="31"/>
    <w:lvlOverride w:ilvl="0">
      <w:lvl w:ilvl="0" w:tplc="DED069C4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7">
    <w:abstractNumId w:val="16"/>
    <w:lvlOverride w:ilvl="0">
      <w:lvl w:ilvl="0" w:tplc="3BA80EB6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8">
    <w:abstractNumId w:val="23"/>
    <w:lvlOverride w:ilvl="0">
      <w:lvl w:ilvl="0" w:tplc="993890D8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31"/>
  </w:num>
  <w:num w:numId="23">
    <w:abstractNumId w:val="12"/>
    <w:lvlOverride w:ilvl="0">
      <w:lvl w:ilvl="0" w:tplc="DAC442D2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4">
    <w:abstractNumId w:val="27"/>
    <w:lvlOverride w:ilvl="0">
      <w:lvl w:ilvl="0" w:tplc="51B886CC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25">
    <w:abstractNumId w:val="34"/>
    <w:lvlOverride w:ilvl="0">
      <w:lvl w:ilvl="0" w:tplc="04090005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  <w:color w:val="auto"/>
          <w:u w:val="none"/>
        </w:rPr>
      </w:lvl>
    </w:lvlOverride>
    <w:lvlOverride w:ilvl="1">
      <w:lvl w:ilvl="1" w:tplc="08090003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08090005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08090001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08090003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08090005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08090001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08090003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08090005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26">
    <w:abstractNumId w:val="4"/>
    <w:lvlOverride w:ilvl="0">
      <w:lvl w:ilvl="0" w:tplc="E61676AA">
        <w:start w:val="1"/>
        <w:numFmt w:val="lowerLetter"/>
        <w:lvlText w:val="%1)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927" w:hanging="360"/>
        </w:pPr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1">
      <w:lvl w:ilvl="1" w:tplc="0F800980">
        <w:start w:val="1"/>
        <w:numFmt w:val="lowerLetter"/>
        <w:lvlText w:val="%1.%2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1647" w:hanging="360"/>
        </w:pPr>
        <w:rPr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2">
      <w:lvl w:ilvl="2" w:tplc="00000002">
        <w:start w:val="1"/>
        <w:numFmt w:val="lowerRoman"/>
        <w:lvlText w:val="%3)"/>
        <w:lvlJc w:val="left"/>
        <w:pPr>
          <w:tabs>
            <w:tab w:val="num" w:pos="624"/>
            <w:tab w:val="num" w:pos="1247"/>
            <w:tab w:val="num" w:pos="1814"/>
            <w:tab w:val="num" w:pos="2948"/>
            <w:tab w:val="num" w:pos="3515"/>
          </w:tabs>
          <w:ind w:left="2381" w:hanging="194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3515"/>
          </w:tabs>
          <w:ind w:left="2948" w:hanging="221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4">
      <w:lvl w:ilvl="4" w:tplc="00000004">
        <w:start w:val="1"/>
        <w:numFmt w:val="lowerLetter"/>
        <w:lvlText w:val="(%5)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380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4527" w:hanging="29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524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596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6687" w:hanging="29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</w:num>
  <w:num w:numId="27">
    <w:abstractNumId w:val="0"/>
    <w:lvlOverride w:ilvl="0">
      <w:lvl w:ilvl="0" w:tplc="4112C68E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28">
    <w:abstractNumId w:val="0"/>
    <w:lvlOverride w:ilvl="0">
      <w:lvl w:ilvl="0" w:tplc="4112C68E">
        <w:start w:val="1"/>
        <w:numFmt w:val="decimal"/>
        <w:lvlText w:val="%1."/>
        <w:lvlJc w:val="left"/>
        <w:pPr>
          <w:ind w:left="2591" w:hanging="360"/>
        </w:pPr>
        <w:rPr>
          <w:i w:val="0"/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3311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4031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4751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5471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6191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6911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7631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8351" w:hanging="180"/>
        </w:pPr>
        <w:rPr>
          <w:color w:val="0000FF"/>
          <w:u w:val="double"/>
        </w:rPr>
      </w:lvl>
    </w:lvlOverride>
  </w:num>
  <w:num w:numId="29">
    <w:abstractNumId w:val="30"/>
    <w:lvlOverride w:ilvl="0">
      <w:lvl w:ilvl="0" w:tplc="FF40D860">
        <w:start w:val="1"/>
        <w:numFmt w:val="decimal"/>
        <w:lvlText w:val="%1."/>
        <w:lvlJc w:val="left"/>
        <w:pPr>
          <w:ind w:left="720" w:hanging="360"/>
        </w:pPr>
        <w:rPr>
          <w:color w:val="auto"/>
          <w:u w:val="none"/>
        </w:rPr>
      </w:lvl>
    </w:lvlOverride>
    <w:lvlOverride w:ilvl="1">
      <w:lvl w:ilvl="1" w:tplc="5A746D5E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2576837E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E90AB53A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14E0556E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DBF62E92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EF92588E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A8E62FFC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30127024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30">
    <w:abstractNumId w:val="26"/>
    <w:lvlOverride w:ilvl="0">
      <w:lvl w:ilvl="0" w:tplc="364EAF86">
        <w:start w:val="1"/>
        <w:numFmt w:val="decimal"/>
        <w:lvlText w:val="%1."/>
        <w:lvlJc w:val="left"/>
        <w:pPr>
          <w:ind w:left="2591" w:hanging="360"/>
        </w:pPr>
        <w:rPr>
          <w:i w:val="0"/>
          <w:color w:val="auto"/>
          <w:u w:val="none"/>
        </w:rPr>
      </w:lvl>
    </w:lvlOverride>
    <w:lvlOverride w:ilvl="1">
      <w:lvl w:ilvl="1" w:tplc="2B908FB0">
        <w:start w:val="1"/>
        <w:numFmt w:val="lowerLetter"/>
        <w:lvlText w:val="%2."/>
        <w:lvlJc w:val="left"/>
        <w:pPr>
          <w:ind w:left="3311" w:hanging="360"/>
        </w:pPr>
        <w:rPr>
          <w:color w:val="0000FF"/>
          <w:u w:val="double"/>
        </w:rPr>
      </w:lvl>
    </w:lvlOverride>
    <w:lvlOverride w:ilvl="2">
      <w:lvl w:ilvl="2" w:tplc="CB94A66C">
        <w:start w:val="1"/>
        <w:numFmt w:val="lowerRoman"/>
        <w:lvlText w:val="%3."/>
        <w:lvlJc w:val="right"/>
        <w:pPr>
          <w:ind w:left="4031" w:hanging="180"/>
        </w:pPr>
        <w:rPr>
          <w:color w:val="0000FF"/>
          <w:u w:val="double"/>
        </w:rPr>
      </w:lvl>
    </w:lvlOverride>
    <w:lvlOverride w:ilvl="3">
      <w:lvl w:ilvl="3" w:tplc="116A6900">
        <w:start w:val="1"/>
        <w:numFmt w:val="decimal"/>
        <w:lvlText w:val="%4."/>
        <w:lvlJc w:val="left"/>
        <w:pPr>
          <w:ind w:left="4751" w:hanging="360"/>
        </w:pPr>
        <w:rPr>
          <w:color w:val="0000FF"/>
          <w:u w:val="double"/>
        </w:rPr>
      </w:lvl>
    </w:lvlOverride>
    <w:lvlOverride w:ilvl="4">
      <w:lvl w:ilvl="4" w:tplc="A8484AD6">
        <w:start w:val="1"/>
        <w:numFmt w:val="lowerLetter"/>
        <w:lvlText w:val="%5."/>
        <w:lvlJc w:val="left"/>
        <w:pPr>
          <w:ind w:left="5471" w:hanging="360"/>
        </w:pPr>
        <w:rPr>
          <w:color w:val="0000FF"/>
          <w:u w:val="double"/>
        </w:rPr>
      </w:lvl>
    </w:lvlOverride>
    <w:lvlOverride w:ilvl="5">
      <w:lvl w:ilvl="5" w:tplc="472E0DC4">
        <w:start w:val="1"/>
        <w:numFmt w:val="lowerRoman"/>
        <w:lvlText w:val="%6."/>
        <w:lvlJc w:val="right"/>
        <w:pPr>
          <w:ind w:left="6191" w:hanging="180"/>
        </w:pPr>
        <w:rPr>
          <w:color w:val="0000FF"/>
          <w:u w:val="double"/>
        </w:rPr>
      </w:lvl>
    </w:lvlOverride>
    <w:lvlOverride w:ilvl="6">
      <w:lvl w:ilvl="6" w:tplc="860CF31C">
        <w:start w:val="1"/>
        <w:numFmt w:val="decimal"/>
        <w:lvlText w:val="%7."/>
        <w:lvlJc w:val="left"/>
        <w:pPr>
          <w:ind w:left="6911" w:hanging="360"/>
        </w:pPr>
        <w:rPr>
          <w:color w:val="0000FF"/>
          <w:u w:val="double"/>
        </w:rPr>
      </w:lvl>
    </w:lvlOverride>
    <w:lvlOverride w:ilvl="7">
      <w:lvl w:ilvl="7" w:tplc="FCE6A518">
        <w:start w:val="1"/>
        <w:numFmt w:val="lowerLetter"/>
        <w:lvlText w:val="%8."/>
        <w:lvlJc w:val="left"/>
        <w:pPr>
          <w:ind w:left="7631" w:hanging="360"/>
        </w:pPr>
        <w:rPr>
          <w:color w:val="0000FF"/>
          <w:u w:val="double"/>
        </w:rPr>
      </w:lvl>
    </w:lvlOverride>
    <w:lvlOverride w:ilvl="8">
      <w:lvl w:ilvl="8" w:tplc="260297EC">
        <w:start w:val="1"/>
        <w:numFmt w:val="lowerRoman"/>
        <w:lvlText w:val="%9."/>
        <w:lvlJc w:val="right"/>
        <w:pPr>
          <w:ind w:left="8351" w:hanging="180"/>
        </w:pPr>
        <w:rPr>
          <w:color w:val="0000FF"/>
          <w:u w:val="double"/>
        </w:rPr>
      </w:lvl>
    </w:lvlOverride>
  </w:num>
  <w:num w:numId="31">
    <w:abstractNumId w:val="11"/>
    <w:lvlOverride w:ilvl="0">
      <w:lvl w:ilvl="0" w:tplc="74A69EB2">
        <w:start w:val="1"/>
        <w:numFmt w:val="lowerLetter"/>
        <w:lvlText w:val="%1)"/>
        <w:lvlJc w:val="left"/>
        <w:pPr>
          <w:tabs>
            <w:tab w:val="num" w:pos="848"/>
            <w:tab w:val="num" w:pos="1247"/>
            <w:tab w:val="num" w:pos="1814"/>
            <w:tab w:val="num" w:pos="2381"/>
            <w:tab w:val="num" w:pos="2948"/>
            <w:tab w:val="num" w:pos="3515"/>
          </w:tabs>
          <w:ind w:left="1871" w:hanging="360"/>
        </w:pPr>
        <w:rPr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1">
      <w:lvl w:ilvl="1" w:tplc="8B92C6B6">
        <w:start w:val="1"/>
        <w:numFmt w:val="lowerLetter"/>
        <w:lvlText w:val="%2."/>
        <w:lvlJc w:val="left"/>
        <w:pPr>
          <w:ind w:left="1664" w:hanging="360"/>
        </w:pPr>
        <w:rPr>
          <w:color w:val="0000FF"/>
          <w:u w:val="double"/>
        </w:rPr>
      </w:lvl>
    </w:lvlOverride>
    <w:lvlOverride w:ilvl="2">
      <w:lvl w:ilvl="2" w:tplc="A6606362">
        <w:start w:val="1"/>
        <w:numFmt w:val="lowerRoman"/>
        <w:lvlText w:val="%3."/>
        <w:lvlJc w:val="right"/>
        <w:pPr>
          <w:ind w:left="2384" w:hanging="180"/>
        </w:pPr>
        <w:rPr>
          <w:color w:val="0000FF"/>
          <w:u w:val="double"/>
        </w:rPr>
      </w:lvl>
    </w:lvlOverride>
    <w:lvlOverride w:ilvl="3">
      <w:lvl w:ilvl="3" w:tplc="0E982F68">
        <w:start w:val="1"/>
        <w:numFmt w:val="decimal"/>
        <w:lvlText w:val="%4."/>
        <w:lvlJc w:val="left"/>
        <w:pPr>
          <w:ind w:left="3104" w:hanging="360"/>
        </w:pPr>
        <w:rPr>
          <w:color w:val="0000FF"/>
          <w:u w:val="double"/>
        </w:rPr>
      </w:lvl>
    </w:lvlOverride>
    <w:lvlOverride w:ilvl="4">
      <w:lvl w:ilvl="4" w:tplc="0728C980">
        <w:start w:val="1"/>
        <w:numFmt w:val="lowerLetter"/>
        <w:lvlText w:val="%5."/>
        <w:lvlJc w:val="left"/>
        <w:pPr>
          <w:ind w:left="3824" w:hanging="360"/>
        </w:pPr>
        <w:rPr>
          <w:color w:val="0000FF"/>
          <w:u w:val="double"/>
        </w:rPr>
      </w:lvl>
    </w:lvlOverride>
    <w:lvlOverride w:ilvl="5">
      <w:lvl w:ilvl="5" w:tplc="D3D8A82C">
        <w:start w:val="1"/>
        <w:numFmt w:val="lowerRoman"/>
        <w:lvlText w:val="%6."/>
        <w:lvlJc w:val="right"/>
        <w:pPr>
          <w:ind w:left="4544" w:hanging="180"/>
        </w:pPr>
        <w:rPr>
          <w:color w:val="0000FF"/>
          <w:u w:val="double"/>
        </w:rPr>
      </w:lvl>
    </w:lvlOverride>
    <w:lvlOverride w:ilvl="6">
      <w:lvl w:ilvl="6" w:tplc="518E1C82">
        <w:start w:val="1"/>
        <w:numFmt w:val="decimal"/>
        <w:lvlText w:val="%7."/>
        <w:lvlJc w:val="left"/>
        <w:pPr>
          <w:ind w:left="5264" w:hanging="360"/>
        </w:pPr>
        <w:rPr>
          <w:color w:val="0000FF"/>
          <w:u w:val="double"/>
        </w:rPr>
      </w:lvl>
    </w:lvlOverride>
    <w:lvlOverride w:ilvl="7">
      <w:lvl w:ilvl="7" w:tplc="1F767AAA">
        <w:start w:val="1"/>
        <w:numFmt w:val="lowerLetter"/>
        <w:lvlText w:val="%8."/>
        <w:lvlJc w:val="left"/>
        <w:pPr>
          <w:ind w:left="5984" w:hanging="360"/>
        </w:pPr>
        <w:rPr>
          <w:color w:val="0000FF"/>
          <w:u w:val="double"/>
        </w:rPr>
      </w:lvl>
    </w:lvlOverride>
    <w:lvlOverride w:ilvl="8">
      <w:lvl w:ilvl="8" w:tplc="4AE810DE">
        <w:start w:val="1"/>
        <w:numFmt w:val="lowerRoman"/>
        <w:lvlText w:val="%9."/>
        <w:lvlJc w:val="right"/>
        <w:pPr>
          <w:ind w:left="6704" w:hanging="180"/>
        </w:pPr>
        <w:rPr>
          <w:color w:val="0000FF"/>
          <w:u w:val="double"/>
        </w:rPr>
      </w:lvl>
    </w:lvlOverride>
  </w:num>
  <w:num w:numId="32">
    <w:abstractNumId w:val="22"/>
    <w:lvlOverride w:ilvl="0">
      <w:lvl w:ilvl="0" w:tplc="04090005">
        <w:start w:val="1"/>
        <w:numFmt w:val="decimal"/>
        <w:lvlText w:val="%1."/>
        <w:lvlJc w:val="left"/>
        <w:pPr>
          <w:ind w:left="720" w:hanging="360"/>
        </w:pPr>
        <w:rPr>
          <w:color w:val="auto"/>
          <w:u w:val="none"/>
        </w:rPr>
      </w:lvl>
    </w:lvlOverride>
    <w:lvlOverride w:ilvl="1">
      <w:lvl w:ilvl="1" w:tplc="08090003">
        <w:start w:val="1"/>
        <w:numFmt w:val="lowerLetter"/>
        <w:lvlText w:val="%2)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08090005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08090001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08090003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08090005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08090001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08090003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08090005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33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9"/>
  </w:num>
  <w:num w:numId="40">
    <w:abstractNumId w:val="3"/>
  </w:num>
  <w:num w:numId="41">
    <w:abstractNumId w:val="19"/>
  </w:num>
  <w:num w:numId="42">
    <w:abstractNumId w:val="6"/>
  </w:num>
  <w:num w:numId="43">
    <w:abstractNumId w:val="28"/>
    <w:lvlOverride w:ilvl="2">
      <w:lvl w:ilvl="2" w:tplc="C80ADB92">
        <w:start w:val="1"/>
        <w:numFmt w:val="decimal"/>
        <w:lvlText w:val="%1.%2.%3."/>
        <w:lvlJc w:val="left"/>
        <w:pPr>
          <w:ind w:left="4031" w:hanging="180"/>
        </w:pPr>
        <w:rPr>
          <w:sz w:val="20"/>
          <w:szCs w:val="20"/>
        </w:rPr>
      </w:lvl>
    </w:lvlOverride>
  </w:num>
  <w:num w:numId="44">
    <w:abstractNumId w:val="33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E4A"/>
    <w:rsid w:val="00001B23"/>
    <w:rsid w:val="000024A3"/>
    <w:rsid w:val="000036AF"/>
    <w:rsid w:val="00005117"/>
    <w:rsid w:val="00006FE4"/>
    <w:rsid w:val="000077AD"/>
    <w:rsid w:val="0001114A"/>
    <w:rsid w:val="00011A16"/>
    <w:rsid w:val="000144B0"/>
    <w:rsid w:val="000149E6"/>
    <w:rsid w:val="00020E2F"/>
    <w:rsid w:val="00021DD2"/>
    <w:rsid w:val="00023DA9"/>
    <w:rsid w:val="000247B0"/>
    <w:rsid w:val="00025259"/>
    <w:rsid w:val="00025785"/>
    <w:rsid w:val="00025D33"/>
    <w:rsid w:val="00025ECB"/>
    <w:rsid w:val="00025FCE"/>
    <w:rsid w:val="00026997"/>
    <w:rsid w:val="00026A08"/>
    <w:rsid w:val="00032E4E"/>
    <w:rsid w:val="00032FB0"/>
    <w:rsid w:val="00033E0B"/>
    <w:rsid w:val="00034800"/>
    <w:rsid w:val="00035DB8"/>
    <w:rsid w:val="00035EDE"/>
    <w:rsid w:val="0003679F"/>
    <w:rsid w:val="000367E6"/>
    <w:rsid w:val="00040403"/>
    <w:rsid w:val="00042853"/>
    <w:rsid w:val="00043F5D"/>
    <w:rsid w:val="00047A9A"/>
    <w:rsid w:val="0005064E"/>
    <w:rsid w:val="000509B4"/>
    <w:rsid w:val="00050EB7"/>
    <w:rsid w:val="00052037"/>
    <w:rsid w:val="00052484"/>
    <w:rsid w:val="00054221"/>
    <w:rsid w:val="000546B1"/>
    <w:rsid w:val="0006035B"/>
    <w:rsid w:val="0006096F"/>
    <w:rsid w:val="00061DE1"/>
    <w:rsid w:val="00063C0B"/>
    <w:rsid w:val="00064092"/>
    <w:rsid w:val="000649C5"/>
    <w:rsid w:val="00066114"/>
    <w:rsid w:val="00066EDD"/>
    <w:rsid w:val="000707F8"/>
    <w:rsid w:val="00071785"/>
    <w:rsid w:val="00071797"/>
    <w:rsid w:val="00071886"/>
    <w:rsid w:val="00071A64"/>
    <w:rsid w:val="00073EAE"/>
    <w:rsid w:val="000742BC"/>
    <w:rsid w:val="0007545E"/>
    <w:rsid w:val="00076CC6"/>
    <w:rsid w:val="0007707B"/>
    <w:rsid w:val="0007783F"/>
    <w:rsid w:val="00077F8F"/>
    <w:rsid w:val="00080057"/>
    <w:rsid w:val="00080F57"/>
    <w:rsid w:val="00081EA1"/>
    <w:rsid w:val="00082A0C"/>
    <w:rsid w:val="00083504"/>
    <w:rsid w:val="00084193"/>
    <w:rsid w:val="00084E4D"/>
    <w:rsid w:val="000852DA"/>
    <w:rsid w:val="0008532E"/>
    <w:rsid w:val="000853D4"/>
    <w:rsid w:val="00086E40"/>
    <w:rsid w:val="00087CF2"/>
    <w:rsid w:val="0009138A"/>
    <w:rsid w:val="00091854"/>
    <w:rsid w:val="00092A3F"/>
    <w:rsid w:val="000947D1"/>
    <w:rsid w:val="0009640C"/>
    <w:rsid w:val="000966BD"/>
    <w:rsid w:val="000A024D"/>
    <w:rsid w:val="000A22F3"/>
    <w:rsid w:val="000A4FD7"/>
    <w:rsid w:val="000B0230"/>
    <w:rsid w:val="000B20BA"/>
    <w:rsid w:val="000B22A2"/>
    <w:rsid w:val="000B26FB"/>
    <w:rsid w:val="000B3034"/>
    <w:rsid w:val="000B3D22"/>
    <w:rsid w:val="000B4F38"/>
    <w:rsid w:val="000B59A4"/>
    <w:rsid w:val="000B6EF4"/>
    <w:rsid w:val="000B73F9"/>
    <w:rsid w:val="000C0657"/>
    <w:rsid w:val="000C2A52"/>
    <w:rsid w:val="000C2A88"/>
    <w:rsid w:val="000C2C62"/>
    <w:rsid w:val="000C3035"/>
    <w:rsid w:val="000C3B3D"/>
    <w:rsid w:val="000C4B0B"/>
    <w:rsid w:val="000C5D45"/>
    <w:rsid w:val="000C5FB3"/>
    <w:rsid w:val="000C7055"/>
    <w:rsid w:val="000C7703"/>
    <w:rsid w:val="000D1C2B"/>
    <w:rsid w:val="000D33C0"/>
    <w:rsid w:val="000D469C"/>
    <w:rsid w:val="000D4CF6"/>
    <w:rsid w:val="000D4E8A"/>
    <w:rsid w:val="000D5E43"/>
    <w:rsid w:val="000D6941"/>
    <w:rsid w:val="000E1495"/>
    <w:rsid w:val="000E31A3"/>
    <w:rsid w:val="000E6B80"/>
    <w:rsid w:val="000E6E5D"/>
    <w:rsid w:val="000E7368"/>
    <w:rsid w:val="000F2E9F"/>
    <w:rsid w:val="000F4829"/>
    <w:rsid w:val="000F52F1"/>
    <w:rsid w:val="000F5657"/>
    <w:rsid w:val="000F6215"/>
    <w:rsid w:val="000F7521"/>
    <w:rsid w:val="00102459"/>
    <w:rsid w:val="00105827"/>
    <w:rsid w:val="00116627"/>
    <w:rsid w:val="00116A38"/>
    <w:rsid w:val="00116ACC"/>
    <w:rsid w:val="0011704C"/>
    <w:rsid w:val="001177F2"/>
    <w:rsid w:val="001202E3"/>
    <w:rsid w:val="00123699"/>
    <w:rsid w:val="001241FB"/>
    <w:rsid w:val="00125E68"/>
    <w:rsid w:val="00126CB5"/>
    <w:rsid w:val="0013059D"/>
    <w:rsid w:val="001317DC"/>
    <w:rsid w:val="0013505A"/>
    <w:rsid w:val="0013561F"/>
    <w:rsid w:val="00136187"/>
    <w:rsid w:val="001375FF"/>
    <w:rsid w:val="00137A08"/>
    <w:rsid w:val="00141A55"/>
    <w:rsid w:val="00141A70"/>
    <w:rsid w:val="0014293F"/>
    <w:rsid w:val="001438F7"/>
    <w:rsid w:val="0014397D"/>
    <w:rsid w:val="00143E51"/>
    <w:rsid w:val="0014410A"/>
    <w:rsid w:val="001446A3"/>
    <w:rsid w:val="00145A7E"/>
    <w:rsid w:val="00146AA4"/>
    <w:rsid w:val="0014726A"/>
    <w:rsid w:val="0014759F"/>
    <w:rsid w:val="00147842"/>
    <w:rsid w:val="001506CE"/>
    <w:rsid w:val="0015091F"/>
    <w:rsid w:val="00151470"/>
    <w:rsid w:val="00152B6B"/>
    <w:rsid w:val="00155395"/>
    <w:rsid w:val="00155A2F"/>
    <w:rsid w:val="00156B6B"/>
    <w:rsid w:val="00157D8C"/>
    <w:rsid w:val="00160D74"/>
    <w:rsid w:val="00161635"/>
    <w:rsid w:val="00162D20"/>
    <w:rsid w:val="00163B1C"/>
    <w:rsid w:val="00163D01"/>
    <w:rsid w:val="001646EA"/>
    <w:rsid w:val="00164E5A"/>
    <w:rsid w:val="00166E10"/>
    <w:rsid w:val="00167D02"/>
    <w:rsid w:val="001712F4"/>
    <w:rsid w:val="001720DB"/>
    <w:rsid w:val="00172600"/>
    <w:rsid w:val="0017534E"/>
    <w:rsid w:val="001759D8"/>
    <w:rsid w:val="00177D7F"/>
    <w:rsid w:val="00180C3F"/>
    <w:rsid w:val="00181EC8"/>
    <w:rsid w:val="00182952"/>
    <w:rsid w:val="00183773"/>
    <w:rsid w:val="00184349"/>
    <w:rsid w:val="0018644A"/>
    <w:rsid w:val="00186B0A"/>
    <w:rsid w:val="00187F0C"/>
    <w:rsid w:val="001908E4"/>
    <w:rsid w:val="00191D4B"/>
    <w:rsid w:val="00195442"/>
    <w:rsid w:val="00195F33"/>
    <w:rsid w:val="00196CFE"/>
    <w:rsid w:val="00197FC0"/>
    <w:rsid w:val="001A0333"/>
    <w:rsid w:val="001A04E4"/>
    <w:rsid w:val="001A263B"/>
    <w:rsid w:val="001A30FB"/>
    <w:rsid w:val="001A3D90"/>
    <w:rsid w:val="001A5FAC"/>
    <w:rsid w:val="001A77DE"/>
    <w:rsid w:val="001B125A"/>
    <w:rsid w:val="001B1617"/>
    <w:rsid w:val="001B2EAD"/>
    <w:rsid w:val="001B3027"/>
    <w:rsid w:val="001B504B"/>
    <w:rsid w:val="001B51BA"/>
    <w:rsid w:val="001B5AEA"/>
    <w:rsid w:val="001B6F98"/>
    <w:rsid w:val="001B6FBF"/>
    <w:rsid w:val="001B78C3"/>
    <w:rsid w:val="001C0231"/>
    <w:rsid w:val="001C11FD"/>
    <w:rsid w:val="001C191A"/>
    <w:rsid w:val="001C1C77"/>
    <w:rsid w:val="001C3CE2"/>
    <w:rsid w:val="001C4AE5"/>
    <w:rsid w:val="001C5564"/>
    <w:rsid w:val="001D10B5"/>
    <w:rsid w:val="001D1955"/>
    <w:rsid w:val="001D3874"/>
    <w:rsid w:val="001D425B"/>
    <w:rsid w:val="001D7E75"/>
    <w:rsid w:val="001E0D73"/>
    <w:rsid w:val="001E1BDD"/>
    <w:rsid w:val="001E298D"/>
    <w:rsid w:val="001E4133"/>
    <w:rsid w:val="001E45BD"/>
    <w:rsid w:val="001E4A91"/>
    <w:rsid w:val="001E56D2"/>
    <w:rsid w:val="001E613E"/>
    <w:rsid w:val="001E7366"/>
    <w:rsid w:val="001E7D56"/>
    <w:rsid w:val="001F20A9"/>
    <w:rsid w:val="001F75DE"/>
    <w:rsid w:val="001F760E"/>
    <w:rsid w:val="00200D58"/>
    <w:rsid w:val="002011C1"/>
    <w:rsid w:val="002013BE"/>
    <w:rsid w:val="00201673"/>
    <w:rsid w:val="00201EDC"/>
    <w:rsid w:val="00203C7D"/>
    <w:rsid w:val="002045D4"/>
    <w:rsid w:val="002063A4"/>
    <w:rsid w:val="00207368"/>
    <w:rsid w:val="00207728"/>
    <w:rsid w:val="0021145B"/>
    <w:rsid w:val="00211DC7"/>
    <w:rsid w:val="00211FE3"/>
    <w:rsid w:val="002125F6"/>
    <w:rsid w:val="002138C8"/>
    <w:rsid w:val="00214D00"/>
    <w:rsid w:val="0021604D"/>
    <w:rsid w:val="00220C23"/>
    <w:rsid w:val="00221BE1"/>
    <w:rsid w:val="00222A82"/>
    <w:rsid w:val="00223A63"/>
    <w:rsid w:val="00223C42"/>
    <w:rsid w:val="002243C5"/>
    <w:rsid w:val="002247F6"/>
    <w:rsid w:val="00225E21"/>
    <w:rsid w:val="00230331"/>
    <w:rsid w:val="00230DD8"/>
    <w:rsid w:val="0023135E"/>
    <w:rsid w:val="002321A6"/>
    <w:rsid w:val="00232F4F"/>
    <w:rsid w:val="00234E78"/>
    <w:rsid w:val="00236CDF"/>
    <w:rsid w:val="00241EF0"/>
    <w:rsid w:val="00243D36"/>
    <w:rsid w:val="00243F77"/>
    <w:rsid w:val="002448C1"/>
    <w:rsid w:val="00245301"/>
    <w:rsid w:val="0024614B"/>
    <w:rsid w:val="00246151"/>
    <w:rsid w:val="00247707"/>
    <w:rsid w:val="00247D22"/>
    <w:rsid w:val="00251E43"/>
    <w:rsid w:val="002534DA"/>
    <w:rsid w:val="002539EF"/>
    <w:rsid w:val="00253EC0"/>
    <w:rsid w:val="0025439F"/>
    <w:rsid w:val="002546C2"/>
    <w:rsid w:val="00254DEE"/>
    <w:rsid w:val="00255D9A"/>
    <w:rsid w:val="00255FA3"/>
    <w:rsid w:val="00256AB5"/>
    <w:rsid w:val="002576B5"/>
    <w:rsid w:val="0026018E"/>
    <w:rsid w:val="002603C7"/>
    <w:rsid w:val="0026059A"/>
    <w:rsid w:val="00262BC2"/>
    <w:rsid w:val="00264599"/>
    <w:rsid w:val="00265E62"/>
    <w:rsid w:val="00267CB2"/>
    <w:rsid w:val="00267DEE"/>
    <w:rsid w:val="0027029C"/>
    <w:rsid w:val="00270AC0"/>
    <w:rsid w:val="002742E9"/>
    <w:rsid w:val="002747A7"/>
    <w:rsid w:val="002756C7"/>
    <w:rsid w:val="00275C51"/>
    <w:rsid w:val="002771A8"/>
    <w:rsid w:val="00280967"/>
    <w:rsid w:val="00282D0F"/>
    <w:rsid w:val="00284647"/>
    <w:rsid w:val="00286740"/>
    <w:rsid w:val="00286BD3"/>
    <w:rsid w:val="0028707B"/>
    <w:rsid w:val="0029078F"/>
    <w:rsid w:val="00291EAE"/>
    <w:rsid w:val="002929D8"/>
    <w:rsid w:val="00293AA4"/>
    <w:rsid w:val="00294446"/>
    <w:rsid w:val="00294E52"/>
    <w:rsid w:val="00295878"/>
    <w:rsid w:val="002964AF"/>
    <w:rsid w:val="002A237D"/>
    <w:rsid w:val="002A2EA6"/>
    <w:rsid w:val="002A3D7C"/>
    <w:rsid w:val="002A3F34"/>
    <w:rsid w:val="002A4C53"/>
    <w:rsid w:val="002A601C"/>
    <w:rsid w:val="002B0672"/>
    <w:rsid w:val="002B1420"/>
    <w:rsid w:val="002B247F"/>
    <w:rsid w:val="002B28B9"/>
    <w:rsid w:val="002B3E98"/>
    <w:rsid w:val="002B50D4"/>
    <w:rsid w:val="002B58BF"/>
    <w:rsid w:val="002B774C"/>
    <w:rsid w:val="002B787F"/>
    <w:rsid w:val="002C0D58"/>
    <w:rsid w:val="002C145D"/>
    <w:rsid w:val="002C1B41"/>
    <w:rsid w:val="002C2C3E"/>
    <w:rsid w:val="002C396B"/>
    <w:rsid w:val="002C39DB"/>
    <w:rsid w:val="002C3E5C"/>
    <w:rsid w:val="002C45FD"/>
    <w:rsid w:val="002C533E"/>
    <w:rsid w:val="002C6A92"/>
    <w:rsid w:val="002C7618"/>
    <w:rsid w:val="002D027F"/>
    <w:rsid w:val="002D2836"/>
    <w:rsid w:val="002D3506"/>
    <w:rsid w:val="002D3596"/>
    <w:rsid w:val="002D3E15"/>
    <w:rsid w:val="002D7A85"/>
    <w:rsid w:val="002D7B60"/>
    <w:rsid w:val="002E2467"/>
    <w:rsid w:val="002E24AF"/>
    <w:rsid w:val="002E4C0F"/>
    <w:rsid w:val="002E5422"/>
    <w:rsid w:val="002E5929"/>
    <w:rsid w:val="002E70BA"/>
    <w:rsid w:val="002E79F8"/>
    <w:rsid w:val="002F1A8D"/>
    <w:rsid w:val="002F1FF8"/>
    <w:rsid w:val="002F30D9"/>
    <w:rsid w:val="002F428F"/>
    <w:rsid w:val="002F4761"/>
    <w:rsid w:val="002F5C79"/>
    <w:rsid w:val="002F68EE"/>
    <w:rsid w:val="00300027"/>
    <w:rsid w:val="00300310"/>
    <w:rsid w:val="003019E2"/>
    <w:rsid w:val="00302CEF"/>
    <w:rsid w:val="00310BEB"/>
    <w:rsid w:val="00310DDA"/>
    <w:rsid w:val="00311E96"/>
    <w:rsid w:val="00312611"/>
    <w:rsid w:val="00313B2C"/>
    <w:rsid w:val="00314010"/>
    <w:rsid w:val="0031413F"/>
    <w:rsid w:val="00314854"/>
    <w:rsid w:val="003148BB"/>
    <w:rsid w:val="00314C2D"/>
    <w:rsid w:val="00317323"/>
    <w:rsid w:val="00317976"/>
    <w:rsid w:val="00320871"/>
    <w:rsid w:val="00320A02"/>
    <w:rsid w:val="00320A65"/>
    <w:rsid w:val="00320B4B"/>
    <w:rsid w:val="00320F2F"/>
    <w:rsid w:val="0032123E"/>
    <w:rsid w:val="0032457E"/>
    <w:rsid w:val="00325D38"/>
    <w:rsid w:val="0032788F"/>
    <w:rsid w:val="00332613"/>
    <w:rsid w:val="003342FE"/>
    <w:rsid w:val="00336B5E"/>
    <w:rsid w:val="00337738"/>
    <w:rsid w:val="00337D29"/>
    <w:rsid w:val="00340426"/>
    <w:rsid w:val="00342F09"/>
    <w:rsid w:val="00343572"/>
    <w:rsid w:val="003456B7"/>
    <w:rsid w:val="0035277E"/>
    <w:rsid w:val="003534F8"/>
    <w:rsid w:val="00355BFA"/>
    <w:rsid w:val="00355EA9"/>
    <w:rsid w:val="0035646B"/>
    <w:rsid w:val="00356BF0"/>
    <w:rsid w:val="003578DE"/>
    <w:rsid w:val="00361688"/>
    <w:rsid w:val="003656C2"/>
    <w:rsid w:val="003676FF"/>
    <w:rsid w:val="003677B0"/>
    <w:rsid w:val="003679EC"/>
    <w:rsid w:val="0037442F"/>
    <w:rsid w:val="00375475"/>
    <w:rsid w:val="00375AFC"/>
    <w:rsid w:val="003767F0"/>
    <w:rsid w:val="003772F2"/>
    <w:rsid w:val="0038097D"/>
    <w:rsid w:val="003848EA"/>
    <w:rsid w:val="0038497C"/>
    <w:rsid w:val="00384B35"/>
    <w:rsid w:val="003869F7"/>
    <w:rsid w:val="003877D5"/>
    <w:rsid w:val="00387FAC"/>
    <w:rsid w:val="003910B9"/>
    <w:rsid w:val="0039167C"/>
    <w:rsid w:val="00391A10"/>
    <w:rsid w:val="00391A9C"/>
    <w:rsid w:val="003929B8"/>
    <w:rsid w:val="00392FD9"/>
    <w:rsid w:val="003932EB"/>
    <w:rsid w:val="00393432"/>
    <w:rsid w:val="00393B59"/>
    <w:rsid w:val="00394556"/>
    <w:rsid w:val="00395469"/>
    <w:rsid w:val="00396257"/>
    <w:rsid w:val="00397EB8"/>
    <w:rsid w:val="003A027D"/>
    <w:rsid w:val="003A29D2"/>
    <w:rsid w:val="003A44D0"/>
    <w:rsid w:val="003A4FD0"/>
    <w:rsid w:val="003A6402"/>
    <w:rsid w:val="003A69D1"/>
    <w:rsid w:val="003A6D8E"/>
    <w:rsid w:val="003A7705"/>
    <w:rsid w:val="003A77F1"/>
    <w:rsid w:val="003A7F91"/>
    <w:rsid w:val="003B0069"/>
    <w:rsid w:val="003B1545"/>
    <w:rsid w:val="003B2821"/>
    <w:rsid w:val="003B3227"/>
    <w:rsid w:val="003B52D7"/>
    <w:rsid w:val="003B713E"/>
    <w:rsid w:val="003C3219"/>
    <w:rsid w:val="003C409D"/>
    <w:rsid w:val="003C5583"/>
    <w:rsid w:val="003C5BA6"/>
    <w:rsid w:val="003C74CF"/>
    <w:rsid w:val="003D0299"/>
    <w:rsid w:val="003D1D27"/>
    <w:rsid w:val="003D3029"/>
    <w:rsid w:val="003D3752"/>
    <w:rsid w:val="003D4A59"/>
    <w:rsid w:val="003D6C28"/>
    <w:rsid w:val="003D7F52"/>
    <w:rsid w:val="003E26FC"/>
    <w:rsid w:val="003E35DA"/>
    <w:rsid w:val="003E455D"/>
    <w:rsid w:val="003E54D3"/>
    <w:rsid w:val="003E57B8"/>
    <w:rsid w:val="003E5CB9"/>
    <w:rsid w:val="003E7030"/>
    <w:rsid w:val="003E710F"/>
    <w:rsid w:val="003F0326"/>
    <w:rsid w:val="003F0A3F"/>
    <w:rsid w:val="003F0E85"/>
    <w:rsid w:val="003F1999"/>
    <w:rsid w:val="003F33A8"/>
    <w:rsid w:val="003F4436"/>
    <w:rsid w:val="003F4A35"/>
    <w:rsid w:val="003F50BC"/>
    <w:rsid w:val="003F5D8A"/>
    <w:rsid w:val="003F5ED8"/>
    <w:rsid w:val="003F5FAB"/>
    <w:rsid w:val="003F7C22"/>
    <w:rsid w:val="0040166A"/>
    <w:rsid w:val="00402F02"/>
    <w:rsid w:val="0040350A"/>
    <w:rsid w:val="00410C55"/>
    <w:rsid w:val="00415697"/>
    <w:rsid w:val="00415DF5"/>
    <w:rsid w:val="00416854"/>
    <w:rsid w:val="00416CB1"/>
    <w:rsid w:val="00417725"/>
    <w:rsid w:val="004203FD"/>
    <w:rsid w:val="0042082C"/>
    <w:rsid w:val="00421DC1"/>
    <w:rsid w:val="0042266F"/>
    <w:rsid w:val="00423459"/>
    <w:rsid w:val="00425AA5"/>
    <w:rsid w:val="00431F5C"/>
    <w:rsid w:val="00433497"/>
    <w:rsid w:val="004347FB"/>
    <w:rsid w:val="00437935"/>
    <w:rsid w:val="00437F26"/>
    <w:rsid w:val="00444097"/>
    <w:rsid w:val="00444CE6"/>
    <w:rsid w:val="00445487"/>
    <w:rsid w:val="00447447"/>
    <w:rsid w:val="00447E0D"/>
    <w:rsid w:val="00450836"/>
    <w:rsid w:val="00450870"/>
    <w:rsid w:val="00451F8C"/>
    <w:rsid w:val="004532FC"/>
    <w:rsid w:val="00453978"/>
    <w:rsid w:val="00453EA8"/>
    <w:rsid w:val="00454769"/>
    <w:rsid w:val="00454F12"/>
    <w:rsid w:val="0045624C"/>
    <w:rsid w:val="00460894"/>
    <w:rsid w:val="0046106B"/>
    <w:rsid w:val="004621E9"/>
    <w:rsid w:val="00465AA0"/>
    <w:rsid w:val="00466991"/>
    <w:rsid w:val="00467467"/>
    <w:rsid w:val="0047064C"/>
    <w:rsid w:val="0047110D"/>
    <w:rsid w:val="004758BB"/>
    <w:rsid w:val="004763DA"/>
    <w:rsid w:val="00477161"/>
    <w:rsid w:val="00480C0B"/>
    <w:rsid w:val="00481388"/>
    <w:rsid w:val="004822B7"/>
    <w:rsid w:val="00482403"/>
    <w:rsid w:val="00483729"/>
    <w:rsid w:val="004846CE"/>
    <w:rsid w:val="00484A00"/>
    <w:rsid w:val="00485104"/>
    <w:rsid w:val="00485DCC"/>
    <w:rsid w:val="0049094E"/>
    <w:rsid w:val="00490AFF"/>
    <w:rsid w:val="004933FB"/>
    <w:rsid w:val="0049469E"/>
    <w:rsid w:val="00494D5F"/>
    <w:rsid w:val="00496B2B"/>
    <w:rsid w:val="004972D2"/>
    <w:rsid w:val="004A122A"/>
    <w:rsid w:val="004A199B"/>
    <w:rsid w:val="004A1B85"/>
    <w:rsid w:val="004A2217"/>
    <w:rsid w:val="004A24F9"/>
    <w:rsid w:val="004A2888"/>
    <w:rsid w:val="004A2C47"/>
    <w:rsid w:val="004A3151"/>
    <w:rsid w:val="004A33F9"/>
    <w:rsid w:val="004A3C92"/>
    <w:rsid w:val="004A42E1"/>
    <w:rsid w:val="004A7BEE"/>
    <w:rsid w:val="004A7F49"/>
    <w:rsid w:val="004B0268"/>
    <w:rsid w:val="004B162C"/>
    <w:rsid w:val="004B29DD"/>
    <w:rsid w:val="004B2ABE"/>
    <w:rsid w:val="004B30CB"/>
    <w:rsid w:val="004B3236"/>
    <w:rsid w:val="004B4A7C"/>
    <w:rsid w:val="004B53FC"/>
    <w:rsid w:val="004B7661"/>
    <w:rsid w:val="004C0948"/>
    <w:rsid w:val="004C3CDD"/>
    <w:rsid w:val="004C3DBE"/>
    <w:rsid w:val="004C49FD"/>
    <w:rsid w:val="004C5C96"/>
    <w:rsid w:val="004C7AFB"/>
    <w:rsid w:val="004D06A4"/>
    <w:rsid w:val="004D2151"/>
    <w:rsid w:val="004D21C1"/>
    <w:rsid w:val="004D2F94"/>
    <w:rsid w:val="004D4BC2"/>
    <w:rsid w:val="004E0192"/>
    <w:rsid w:val="004E01A0"/>
    <w:rsid w:val="004E3E23"/>
    <w:rsid w:val="004E620A"/>
    <w:rsid w:val="004F1A81"/>
    <w:rsid w:val="004F2457"/>
    <w:rsid w:val="00501641"/>
    <w:rsid w:val="00502247"/>
    <w:rsid w:val="00502555"/>
    <w:rsid w:val="005027FF"/>
    <w:rsid w:val="00503A48"/>
    <w:rsid w:val="0050501F"/>
    <w:rsid w:val="005050D2"/>
    <w:rsid w:val="00505868"/>
    <w:rsid w:val="00505CFF"/>
    <w:rsid w:val="00507AAA"/>
    <w:rsid w:val="005127B2"/>
    <w:rsid w:val="005155CD"/>
    <w:rsid w:val="00515846"/>
    <w:rsid w:val="005218D9"/>
    <w:rsid w:val="005269B1"/>
    <w:rsid w:val="00530857"/>
    <w:rsid w:val="00530FAE"/>
    <w:rsid w:val="00531118"/>
    <w:rsid w:val="005320A2"/>
    <w:rsid w:val="0053361B"/>
    <w:rsid w:val="00536186"/>
    <w:rsid w:val="005367E3"/>
    <w:rsid w:val="00536B56"/>
    <w:rsid w:val="00536E36"/>
    <w:rsid w:val="00540CA6"/>
    <w:rsid w:val="00540FBA"/>
    <w:rsid w:val="00541199"/>
    <w:rsid w:val="00541489"/>
    <w:rsid w:val="00541FAB"/>
    <w:rsid w:val="00544227"/>
    <w:rsid w:val="00544CBB"/>
    <w:rsid w:val="0054644F"/>
    <w:rsid w:val="00546BB5"/>
    <w:rsid w:val="00546F9D"/>
    <w:rsid w:val="0054707B"/>
    <w:rsid w:val="005471F9"/>
    <w:rsid w:val="00551ACB"/>
    <w:rsid w:val="00551B65"/>
    <w:rsid w:val="00554429"/>
    <w:rsid w:val="00555765"/>
    <w:rsid w:val="00556704"/>
    <w:rsid w:val="0056264B"/>
    <w:rsid w:val="00563B3D"/>
    <w:rsid w:val="00563B63"/>
    <w:rsid w:val="005652C0"/>
    <w:rsid w:val="005656D7"/>
    <w:rsid w:val="00566247"/>
    <w:rsid w:val="00566927"/>
    <w:rsid w:val="00566DE7"/>
    <w:rsid w:val="005671C2"/>
    <w:rsid w:val="0057216B"/>
    <w:rsid w:val="0057315F"/>
    <w:rsid w:val="00576104"/>
    <w:rsid w:val="0057733C"/>
    <w:rsid w:val="0057784E"/>
    <w:rsid w:val="00580D79"/>
    <w:rsid w:val="00581B07"/>
    <w:rsid w:val="00582B57"/>
    <w:rsid w:val="00585329"/>
    <w:rsid w:val="00586418"/>
    <w:rsid w:val="0058686F"/>
    <w:rsid w:val="00590132"/>
    <w:rsid w:val="00591E65"/>
    <w:rsid w:val="00592B21"/>
    <w:rsid w:val="00593A9B"/>
    <w:rsid w:val="00593C5E"/>
    <w:rsid w:val="00595DF7"/>
    <w:rsid w:val="005960E4"/>
    <w:rsid w:val="00596C5D"/>
    <w:rsid w:val="00597489"/>
    <w:rsid w:val="005A12EA"/>
    <w:rsid w:val="005A196F"/>
    <w:rsid w:val="005A2915"/>
    <w:rsid w:val="005A39AF"/>
    <w:rsid w:val="005A41D0"/>
    <w:rsid w:val="005A4FD2"/>
    <w:rsid w:val="005A64A5"/>
    <w:rsid w:val="005A7F64"/>
    <w:rsid w:val="005B0856"/>
    <w:rsid w:val="005B100C"/>
    <w:rsid w:val="005B2F5F"/>
    <w:rsid w:val="005B44BF"/>
    <w:rsid w:val="005B4B15"/>
    <w:rsid w:val="005B4C0F"/>
    <w:rsid w:val="005B5028"/>
    <w:rsid w:val="005B6473"/>
    <w:rsid w:val="005C1065"/>
    <w:rsid w:val="005C3057"/>
    <w:rsid w:val="005C394C"/>
    <w:rsid w:val="005C482E"/>
    <w:rsid w:val="005C67C8"/>
    <w:rsid w:val="005C6E02"/>
    <w:rsid w:val="005D0249"/>
    <w:rsid w:val="005D0FF2"/>
    <w:rsid w:val="005D18FA"/>
    <w:rsid w:val="005D3404"/>
    <w:rsid w:val="005D35E9"/>
    <w:rsid w:val="005D3AE7"/>
    <w:rsid w:val="005D3DA9"/>
    <w:rsid w:val="005D4FD4"/>
    <w:rsid w:val="005D5081"/>
    <w:rsid w:val="005D6E8C"/>
    <w:rsid w:val="005D7CBA"/>
    <w:rsid w:val="005E0A55"/>
    <w:rsid w:val="005E2FF9"/>
    <w:rsid w:val="005E3004"/>
    <w:rsid w:val="005E4EEA"/>
    <w:rsid w:val="005E5877"/>
    <w:rsid w:val="005E6391"/>
    <w:rsid w:val="005F06C2"/>
    <w:rsid w:val="005F100C"/>
    <w:rsid w:val="005F107C"/>
    <w:rsid w:val="005F41A7"/>
    <w:rsid w:val="005F4DED"/>
    <w:rsid w:val="005F4EC2"/>
    <w:rsid w:val="005F68DA"/>
    <w:rsid w:val="005F6C3F"/>
    <w:rsid w:val="005F7419"/>
    <w:rsid w:val="0060077F"/>
    <w:rsid w:val="00601933"/>
    <w:rsid w:val="00601BC9"/>
    <w:rsid w:val="00603A7E"/>
    <w:rsid w:val="00604D56"/>
    <w:rsid w:val="0060773B"/>
    <w:rsid w:val="00607A5B"/>
    <w:rsid w:val="00610326"/>
    <w:rsid w:val="0061076F"/>
    <w:rsid w:val="00610C38"/>
    <w:rsid w:val="00610FB0"/>
    <w:rsid w:val="00612775"/>
    <w:rsid w:val="006134A1"/>
    <w:rsid w:val="006135C9"/>
    <w:rsid w:val="00613D6E"/>
    <w:rsid w:val="00613DF2"/>
    <w:rsid w:val="00613FD6"/>
    <w:rsid w:val="006157B5"/>
    <w:rsid w:val="006158B5"/>
    <w:rsid w:val="0061642D"/>
    <w:rsid w:val="00617224"/>
    <w:rsid w:val="00617237"/>
    <w:rsid w:val="00623DB1"/>
    <w:rsid w:val="006248C6"/>
    <w:rsid w:val="0062639C"/>
    <w:rsid w:val="00626FC6"/>
    <w:rsid w:val="0062712B"/>
    <w:rsid w:val="0062743E"/>
    <w:rsid w:val="006303B4"/>
    <w:rsid w:val="00630ADC"/>
    <w:rsid w:val="00630CB3"/>
    <w:rsid w:val="00632B3E"/>
    <w:rsid w:val="00633198"/>
    <w:rsid w:val="00633D3D"/>
    <w:rsid w:val="00641703"/>
    <w:rsid w:val="006431A6"/>
    <w:rsid w:val="00643E3A"/>
    <w:rsid w:val="00644DB2"/>
    <w:rsid w:val="0064574A"/>
    <w:rsid w:val="006459F6"/>
    <w:rsid w:val="0064625C"/>
    <w:rsid w:val="006476E6"/>
    <w:rsid w:val="006501AD"/>
    <w:rsid w:val="00651510"/>
    <w:rsid w:val="00651BFA"/>
    <w:rsid w:val="00652AD7"/>
    <w:rsid w:val="00652ED5"/>
    <w:rsid w:val="00654475"/>
    <w:rsid w:val="00654FC3"/>
    <w:rsid w:val="00656DF0"/>
    <w:rsid w:val="00664055"/>
    <w:rsid w:val="0066430A"/>
    <w:rsid w:val="0066530F"/>
    <w:rsid w:val="00665A4B"/>
    <w:rsid w:val="006662EC"/>
    <w:rsid w:val="00671492"/>
    <w:rsid w:val="00672169"/>
    <w:rsid w:val="00672EF3"/>
    <w:rsid w:val="00673471"/>
    <w:rsid w:val="00673EE9"/>
    <w:rsid w:val="006747D1"/>
    <w:rsid w:val="0067584A"/>
    <w:rsid w:val="006769CD"/>
    <w:rsid w:val="00677DF3"/>
    <w:rsid w:val="00680BBB"/>
    <w:rsid w:val="00680C6B"/>
    <w:rsid w:val="00681F00"/>
    <w:rsid w:val="00686057"/>
    <w:rsid w:val="0068793A"/>
    <w:rsid w:val="00687B5D"/>
    <w:rsid w:val="00687D34"/>
    <w:rsid w:val="006900DA"/>
    <w:rsid w:val="00690455"/>
    <w:rsid w:val="00690C87"/>
    <w:rsid w:val="00692E2A"/>
    <w:rsid w:val="0069496A"/>
    <w:rsid w:val="00695A76"/>
    <w:rsid w:val="006A0F16"/>
    <w:rsid w:val="006A1CF2"/>
    <w:rsid w:val="006A5297"/>
    <w:rsid w:val="006A540E"/>
    <w:rsid w:val="006A743A"/>
    <w:rsid w:val="006A76F2"/>
    <w:rsid w:val="006A7F6D"/>
    <w:rsid w:val="006B2DC8"/>
    <w:rsid w:val="006B4C09"/>
    <w:rsid w:val="006B6112"/>
    <w:rsid w:val="006B7D29"/>
    <w:rsid w:val="006C27B1"/>
    <w:rsid w:val="006C2889"/>
    <w:rsid w:val="006C41DD"/>
    <w:rsid w:val="006C5345"/>
    <w:rsid w:val="006D19D4"/>
    <w:rsid w:val="006D2E17"/>
    <w:rsid w:val="006D4635"/>
    <w:rsid w:val="006D5100"/>
    <w:rsid w:val="006D5644"/>
    <w:rsid w:val="006D572B"/>
    <w:rsid w:val="006D5CA6"/>
    <w:rsid w:val="006D7EFB"/>
    <w:rsid w:val="006E1A62"/>
    <w:rsid w:val="006E45D8"/>
    <w:rsid w:val="006E5E64"/>
    <w:rsid w:val="006E60F2"/>
    <w:rsid w:val="006E6672"/>
    <w:rsid w:val="006E6722"/>
    <w:rsid w:val="006E6C55"/>
    <w:rsid w:val="006E71E6"/>
    <w:rsid w:val="006F24B5"/>
    <w:rsid w:val="006F2F2B"/>
    <w:rsid w:val="006F4284"/>
    <w:rsid w:val="006F5514"/>
    <w:rsid w:val="006F5EEC"/>
    <w:rsid w:val="006F7AFF"/>
    <w:rsid w:val="0070208A"/>
    <w:rsid w:val="007027B9"/>
    <w:rsid w:val="00702E4F"/>
    <w:rsid w:val="00703D45"/>
    <w:rsid w:val="00704BEB"/>
    <w:rsid w:val="007066B5"/>
    <w:rsid w:val="007079E7"/>
    <w:rsid w:val="00710075"/>
    <w:rsid w:val="00713E45"/>
    <w:rsid w:val="007145DA"/>
    <w:rsid w:val="00714911"/>
    <w:rsid w:val="00715E88"/>
    <w:rsid w:val="007168EB"/>
    <w:rsid w:val="00717DC5"/>
    <w:rsid w:val="007201A7"/>
    <w:rsid w:val="00720ABC"/>
    <w:rsid w:val="007260C5"/>
    <w:rsid w:val="007320CA"/>
    <w:rsid w:val="00732623"/>
    <w:rsid w:val="00734CAA"/>
    <w:rsid w:val="00734EA0"/>
    <w:rsid w:val="00736DB6"/>
    <w:rsid w:val="00740EE2"/>
    <w:rsid w:val="007419FE"/>
    <w:rsid w:val="00742131"/>
    <w:rsid w:val="00742680"/>
    <w:rsid w:val="007447CE"/>
    <w:rsid w:val="0074688A"/>
    <w:rsid w:val="0075356A"/>
    <w:rsid w:val="00754D43"/>
    <w:rsid w:val="0075533C"/>
    <w:rsid w:val="00757581"/>
    <w:rsid w:val="00757800"/>
    <w:rsid w:val="007602F5"/>
    <w:rsid w:val="00760D36"/>
    <w:rsid w:val="007611A0"/>
    <w:rsid w:val="00762108"/>
    <w:rsid w:val="00763A13"/>
    <w:rsid w:val="007648E3"/>
    <w:rsid w:val="00772574"/>
    <w:rsid w:val="0077285A"/>
    <w:rsid w:val="00772BD1"/>
    <w:rsid w:val="00773E54"/>
    <w:rsid w:val="00774149"/>
    <w:rsid w:val="0077472E"/>
    <w:rsid w:val="007759FC"/>
    <w:rsid w:val="0078740A"/>
    <w:rsid w:val="00787688"/>
    <w:rsid w:val="00790453"/>
    <w:rsid w:val="00791327"/>
    <w:rsid w:val="007934B4"/>
    <w:rsid w:val="007935E6"/>
    <w:rsid w:val="007963EE"/>
    <w:rsid w:val="007963F1"/>
    <w:rsid w:val="00796D2B"/>
    <w:rsid w:val="00796D3F"/>
    <w:rsid w:val="00796DCC"/>
    <w:rsid w:val="007970F4"/>
    <w:rsid w:val="007A05C3"/>
    <w:rsid w:val="007A1683"/>
    <w:rsid w:val="007A1C1C"/>
    <w:rsid w:val="007A2069"/>
    <w:rsid w:val="007A237C"/>
    <w:rsid w:val="007A3AE8"/>
    <w:rsid w:val="007A424C"/>
    <w:rsid w:val="007A5071"/>
    <w:rsid w:val="007A517A"/>
    <w:rsid w:val="007A5C12"/>
    <w:rsid w:val="007A6967"/>
    <w:rsid w:val="007A6E29"/>
    <w:rsid w:val="007A7ADA"/>
    <w:rsid w:val="007A7CB0"/>
    <w:rsid w:val="007B07A8"/>
    <w:rsid w:val="007B15C0"/>
    <w:rsid w:val="007B22B5"/>
    <w:rsid w:val="007B2453"/>
    <w:rsid w:val="007B4B6E"/>
    <w:rsid w:val="007B4FCA"/>
    <w:rsid w:val="007B643C"/>
    <w:rsid w:val="007B68A3"/>
    <w:rsid w:val="007C0DA9"/>
    <w:rsid w:val="007C1610"/>
    <w:rsid w:val="007C2541"/>
    <w:rsid w:val="007C29C6"/>
    <w:rsid w:val="007C6CA1"/>
    <w:rsid w:val="007D10FF"/>
    <w:rsid w:val="007D1D33"/>
    <w:rsid w:val="007D2289"/>
    <w:rsid w:val="007D560A"/>
    <w:rsid w:val="007D66A8"/>
    <w:rsid w:val="007D7619"/>
    <w:rsid w:val="007D7657"/>
    <w:rsid w:val="007E003F"/>
    <w:rsid w:val="007E11AE"/>
    <w:rsid w:val="007E22FF"/>
    <w:rsid w:val="007F0CF8"/>
    <w:rsid w:val="007F0E43"/>
    <w:rsid w:val="007F1205"/>
    <w:rsid w:val="007F2548"/>
    <w:rsid w:val="007F36D6"/>
    <w:rsid w:val="007F62CB"/>
    <w:rsid w:val="00800869"/>
    <w:rsid w:val="008012C0"/>
    <w:rsid w:val="00802D05"/>
    <w:rsid w:val="00803BDB"/>
    <w:rsid w:val="0080659C"/>
    <w:rsid w:val="00806C57"/>
    <w:rsid w:val="00806FA2"/>
    <w:rsid w:val="008119B7"/>
    <w:rsid w:val="0081262B"/>
    <w:rsid w:val="00813973"/>
    <w:rsid w:val="008142EC"/>
    <w:rsid w:val="0081558F"/>
    <w:rsid w:val="008164F2"/>
    <w:rsid w:val="008178BD"/>
    <w:rsid w:val="008179A8"/>
    <w:rsid w:val="00820431"/>
    <w:rsid w:val="00820839"/>
    <w:rsid w:val="00820900"/>
    <w:rsid w:val="0082095A"/>
    <w:rsid w:val="00821395"/>
    <w:rsid w:val="0082238A"/>
    <w:rsid w:val="00825412"/>
    <w:rsid w:val="0083044C"/>
    <w:rsid w:val="00830ACA"/>
    <w:rsid w:val="00830E26"/>
    <w:rsid w:val="00830FDA"/>
    <w:rsid w:val="008313F8"/>
    <w:rsid w:val="0083435F"/>
    <w:rsid w:val="0083745A"/>
    <w:rsid w:val="00837647"/>
    <w:rsid w:val="00840013"/>
    <w:rsid w:val="00843576"/>
    <w:rsid w:val="00843B64"/>
    <w:rsid w:val="00845911"/>
    <w:rsid w:val="008478FC"/>
    <w:rsid w:val="00847E9C"/>
    <w:rsid w:val="0085114B"/>
    <w:rsid w:val="00851C51"/>
    <w:rsid w:val="0085343C"/>
    <w:rsid w:val="0085488D"/>
    <w:rsid w:val="00855B20"/>
    <w:rsid w:val="00860A8A"/>
    <w:rsid w:val="0086734C"/>
    <w:rsid w:val="00867BFF"/>
    <w:rsid w:val="00871232"/>
    <w:rsid w:val="00871542"/>
    <w:rsid w:val="0087241A"/>
    <w:rsid w:val="00872562"/>
    <w:rsid w:val="00872BF6"/>
    <w:rsid w:val="00873992"/>
    <w:rsid w:val="008760FC"/>
    <w:rsid w:val="00876DF4"/>
    <w:rsid w:val="008835F1"/>
    <w:rsid w:val="00884799"/>
    <w:rsid w:val="0088480A"/>
    <w:rsid w:val="0088757A"/>
    <w:rsid w:val="0089019B"/>
    <w:rsid w:val="00892A6E"/>
    <w:rsid w:val="0089431B"/>
    <w:rsid w:val="00895668"/>
    <w:rsid w:val="008957DD"/>
    <w:rsid w:val="00895A51"/>
    <w:rsid w:val="00895CDC"/>
    <w:rsid w:val="00897D98"/>
    <w:rsid w:val="008A08D1"/>
    <w:rsid w:val="008A2F0F"/>
    <w:rsid w:val="008A2FF6"/>
    <w:rsid w:val="008A4505"/>
    <w:rsid w:val="008A5658"/>
    <w:rsid w:val="008A6DF2"/>
    <w:rsid w:val="008A7807"/>
    <w:rsid w:val="008A7A8B"/>
    <w:rsid w:val="008B09E2"/>
    <w:rsid w:val="008B0DCA"/>
    <w:rsid w:val="008B2088"/>
    <w:rsid w:val="008B22F9"/>
    <w:rsid w:val="008B4C82"/>
    <w:rsid w:val="008B4CC9"/>
    <w:rsid w:val="008B687E"/>
    <w:rsid w:val="008B6B8D"/>
    <w:rsid w:val="008B7D87"/>
    <w:rsid w:val="008C0448"/>
    <w:rsid w:val="008C0B15"/>
    <w:rsid w:val="008C17B9"/>
    <w:rsid w:val="008C18AD"/>
    <w:rsid w:val="008C4BC1"/>
    <w:rsid w:val="008C5BC8"/>
    <w:rsid w:val="008C6D2C"/>
    <w:rsid w:val="008D10A4"/>
    <w:rsid w:val="008D5D32"/>
    <w:rsid w:val="008D75E4"/>
    <w:rsid w:val="008D78D3"/>
    <w:rsid w:val="008D7C99"/>
    <w:rsid w:val="008DB11C"/>
    <w:rsid w:val="008E0FCB"/>
    <w:rsid w:val="008E5361"/>
    <w:rsid w:val="008E66E5"/>
    <w:rsid w:val="008E7017"/>
    <w:rsid w:val="008F02CB"/>
    <w:rsid w:val="008F04B9"/>
    <w:rsid w:val="008F0FEE"/>
    <w:rsid w:val="008F3618"/>
    <w:rsid w:val="008F4047"/>
    <w:rsid w:val="008F57FC"/>
    <w:rsid w:val="008F6A20"/>
    <w:rsid w:val="008F6DFE"/>
    <w:rsid w:val="008F7C2F"/>
    <w:rsid w:val="008F7FDA"/>
    <w:rsid w:val="00900122"/>
    <w:rsid w:val="0090074E"/>
    <w:rsid w:val="0090384E"/>
    <w:rsid w:val="00903F0B"/>
    <w:rsid w:val="0090529F"/>
    <w:rsid w:val="00905BD9"/>
    <w:rsid w:val="00906037"/>
    <w:rsid w:val="00906AD9"/>
    <w:rsid w:val="00906C3F"/>
    <w:rsid w:val="009079E4"/>
    <w:rsid w:val="00910D5A"/>
    <w:rsid w:val="00912F9D"/>
    <w:rsid w:val="0091498F"/>
    <w:rsid w:val="0091726B"/>
    <w:rsid w:val="009174D5"/>
    <w:rsid w:val="0092082A"/>
    <w:rsid w:val="00921098"/>
    <w:rsid w:val="0092178C"/>
    <w:rsid w:val="00924FBF"/>
    <w:rsid w:val="009302E9"/>
    <w:rsid w:val="0093079A"/>
    <w:rsid w:val="00930B88"/>
    <w:rsid w:val="00931E0D"/>
    <w:rsid w:val="00933C76"/>
    <w:rsid w:val="009345E7"/>
    <w:rsid w:val="009348A1"/>
    <w:rsid w:val="00934F8C"/>
    <w:rsid w:val="00935000"/>
    <w:rsid w:val="00935376"/>
    <w:rsid w:val="009354F9"/>
    <w:rsid w:val="0093585D"/>
    <w:rsid w:val="009359B9"/>
    <w:rsid w:val="00936850"/>
    <w:rsid w:val="00940DCC"/>
    <w:rsid w:val="0094179A"/>
    <w:rsid w:val="00941B09"/>
    <w:rsid w:val="0094459E"/>
    <w:rsid w:val="00944DBC"/>
    <w:rsid w:val="0095048C"/>
    <w:rsid w:val="00950977"/>
    <w:rsid w:val="009519B4"/>
    <w:rsid w:val="00951A7B"/>
    <w:rsid w:val="00955512"/>
    <w:rsid w:val="00956435"/>
    <w:rsid w:val="009564A6"/>
    <w:rsid w:val="009573BC"/>
    <w:rsid w:val="00957EF8"/>
    <w:rsid w:val="00963D82"/>
    <w:rsid w:val="00965CBB"/>
    <w:rsid w:val="009660A9"/>
    <w:rsid w:val="00966A53"/>
    <w:rsid w:val="00966C00"/>
    <w:rsid w:val="00966FB3"/>
    <w:rsid w:val="00967278"/>
    <w:rsid w:val="00967621"/>
    <w:rsid w:val="00967E6A"/>
    <w:rsid w:val="00970C64"/>
    <w:rsid w:val="00970E37"/>
    <w:rsid w:val="009719AE"/>
    <w:rsid w:val="00972A14"/>
    <w:rsid w:val="00972BD8"/>
    <w:rsid w:val="00973495"/>
    <w:rsid w:val="0097371D"/>
    <w:rsid w:val="00973B45"/>
    <w:rsid w:val="00974EA8"/>
    <w:rsid w:val="00976323"/>
    <w:rsid w:val="009774B0"/>
    <w:rsid w:val="009816A8"/>
    <w:rsid w:val="00982443"/>
    <w:rsid w:val="009824F9"/>
    <w:rsid w:val="00983763"/>
    <w:rsid w:val="0098459C"/>
    <w:rsid w:val="00984700"/>
    <w:rsid w:val="00985816"/>
    <w:rsid w:val="0098788E"/>
    <w:rsid w:val="009907B9"/>
    <w:rsid w:val="00990918"/>
    <w:rsid w:val="0099124D"/>
    <w:rsid w:val="00992F39"/>
    <w:rsid w:val="00993949"/>
    <w:rsid w:val="00996058"/>
    <w:rsid w:val="009968A0"/>
    <w:rsid w:val="009A36EE"/>
    <w:rsid w:val="009A3A83"/>
    <w:rsid w:val="009A53C0"/>
    <w:rsid w:val="009A683E"/>
    <w:rsid w:val="009B002C"/>
    <w:rsid w:val="009B4A0F"/>
    <w:rsid w:val="009B4B0E"/>
    <w:rsid w:val="009B5C95"/>
    <w:rsid w:val="009B6834"/>
    <w:rsid w:val="009B7298"/>
    <w:rsid w:val="009C11D2"/>
    <w:rsid w:val="009C14A7"/>
    <w:rsid w:val="009C2897"/>
    <w:rsid w:val="009C30A5"/>
    <w:rsid w:val="009C6473"/>
    <w:rsid w:val="009C6C70"/>
    <w:rsid w:val="009C7B0A"/>
    <w:rsid w:val="009D0B63"/>
    <w:rsid w:val="009D2798"/>
    <w:rsid w:val="009D28CB"/>
    <w:rsid w:val="009D30CC"/>
    <w:rsid w:val="009D5CB8"/>
    <w:rsid w:val="009D6056"/>
    <w:rsid w:val="009D75C4"/>
    <w:rsid w:val="009E12F4"/>
    <w:rsid w:val="009E1E02"/>
    <w:rsid w:val="009E307E"/>
    <w:rsid w:val="009E3A33"/>
    <w:rsid w:val="009E425C"/>
    <w:rsid w:val="009E4A5E"/>
    <w:rsid w:val="009E5608"/>
    <w:rsid w:val="009F0298"/>
    <w:rsid w:val="009F0977"/>
    <w:rsid w:val="009F167C"/>
    <w:rsid w:val="009F2704"/>
    <w:rsid w:val="009F33A1"/>
    <w:rsid w:val="009F4431"/>
    <w:rsid w:val="00A002CD"/>
    <w:rsid w:val="00A005E6"/>
    <w:rsid w:val="00A01918"/>
    <w:rsid w:val="00A0292A"/>
    <w:rsid w:val="00A03B8A"/>
    <w:rsid w:val="00A056A2"/>
    <w:rsid w:val="00A07870"/>
    <w:rsid w:val="00A07C54"/>
    <w:rsid w:val="00A07F19"/>
    <w:rsid w:val="00A1348D"/>
    <w:rsid w:val="00A13C99"/>
    <w:rsid w:val="00A13FFF"/>
    <w:rsid w:val="00A14916"/>
    <w:rsid w:val="00A1544E"/>
    <w:rsid w:val="00A17A48"/>
    <w:rsid w:val="00A232EE"/>
    <w:rsid w:val="00A24124"/>
    <w:rsid w:val="00A26819"/>
    <w:rsid w:val="00A27B79"/>
    <w:rsid w:val="00A30457"/>
    <w:rsid w:val="00A31224"/>
    <w:rsid w:val="00A324EA"/>
    <w:rsid w:val="00A3344D"/>
    <w:rsid w:val="00A3430C"/>
    <w:rsid w:val="00A34F8F"/>
    <w:rsid w:val="00A351FE"/>
    <w:rsid w:val="00A3658C"/>
    <w:rsid w:val="00A36FC5"/>
    <w:rsid w:val="00A37A74"/>
    <w:rsid w:val="00A403AB"/>
    <w:rsid w:val="00A4175F"/>
    <w:rsid w:val="00A42152"/>
    <w:rsid w:val="00A42AEA"/>
    <w:rsid w:val="00A42F67"/>
    <w:rsid w:val="00A43C04"/>
    <w:rsid w:val="00A43DF2"/>
    <w:rsid w:val="00A44411"/>
    <w:rsid w:val="00A44AEC"/>
    <w:rsid w:val="00A453F1"/>
    <w:rsid w:val="00A45EA6"/>
    <w:rsid w:val="00A469FA"/>
    <w:rsid w:val="00A47916"/>
    <w:rsid w:val="00A51737"/>
    <w:rsid w:val="00A52261"/>
    <w:rsid w:val="00A53662"/>
    <w:rsid w:val="00A54D8B"/>
    <w:rsid w:val="00A54F06"/>
    <w:rsid w:val="00A55B01"/>
    <w:rsid w:val="00A56B5B"/>
    <w:rsid w:val="00A579E6"/>
    <w:rsid w:val="00A603FF"/>
    <w:rsid w:val="00A619B6"/>
    <w:rsid w:val="00A6358D"/>
    <w:rsid w:val="00A63BE3"/>
    <w:rsid w:val="00A648CA"/>
    <w:rsid w:val="00A657DD"/>
    <w:rsid w:val="00A65EFB"/>
    <w:rsid w:val="00A666A6"/>
    <w:rsid w:val="00A675FD"/>
    <w:rsid w:val="00A70E4C"/>
    <w:rsid w:val="00A71152"/>
    <w:rsid w:val="00A72437"/>
    <w:rsid w:val="00A72934"/>
    <w:rsid w:val="00A73385"/>
    <w:rsid w:val="00A8048B"/>
    <w:rsid w:val="00A80611"/>
    <w:rsid w:val="00A81AE1"/>
    <w:rsid w:val="00A828D9"/>
    <w:rsid w:val="00A84E43"/>
    <w:rsid w:val="00A85CD8"/>
    <w:rsid w:val="00A90268"/>
    <w:rsid w:val="00A90914"/>
    <w:rsid w:val="00A92675"/>
    <w:rsid w:val="00A930FA"/>
    <w:rsid w:val="00A955F1"/>
    <w:rsid w:val="00A971D0"/>
    <w:rsid w:val="00AA4111"/>
    <w:rsid w:val="00AA560B"/>
    <w:rsid w:val="00AA5BF4"/>
    <w:rsid w:val="00AA7BBE"/>
    <w:rsid w:val="00AB43CB"/>
    <w:rsid w:val="00AB5340"/>
    <w:rsid w:val="00AB6FA6"/>
    <w:rsid w:val="00AB7FF3"/>
    <w:rsid w:val="00AC0062"/>
    <w:rsid w:val="00AC0A89"/>
    <w:rsid w:val="00AC10AF"/>
    <w:rsid w:val="00AC3024"/>
    <w:rsid w:val="00AC7151"/>
    <w:rsid w:val="00AC7C96"/>
    <w:rsid w:val="00AD0854"/>
    <w:rsid w:val="00AD1174"/>
    <w:rsid w:val="00AD1CFA"/>
    <w:rsid w:val="00AD3E9A"/>
    <w:rsid w:val="00AD6762"/>
    <w:rsid w:val="00AD7B9B"/>
    <w:rsid w:val="00AE0812"/>
    <w:rsid w:val="00AE14D2"/>
    <w:rsid w:val="00AE1E81"/>
    <w:rsid w:val="00AE237D"/>
    <w:rsid w:val="00AE502A"/>
    <w:rsid w:val="00AE6481"/>
    <w:rsid w:val="00AE7564"/>
    <w:rsid w:val="00AF0010"/>
    <w:rsid w:val="00AF1ED8"/>
    <w:rsid w:val="00AF2B3B"/>
    <w:rsid w:val="00AF2C1F"/>
    <w:rsid w:val="00AF3AA1"/>
    <w:rsid w:val="00AF699B"/>
    <w:rsid w:val="00AF6DE0"/>
    <w:rsid w:val="00AF7C07"/>
    <w:rsid w:val="00B003F1"/>
    <w:rsid w:val="00B00BA4"/>
    <w:rsid w:val="00B00C87"/>
    <w:rsid w:val="00B02E9E"/>
    <w:rsid w:val="00B03BB4"/>
    <w:rsid w:val="00B06C64"/>
    <w:rsid w:val="00B07D9A"/>
    <w:rsid w:val="00B10242"/>
    <w:rsid w:val="00B11CAC"/>
    <w:rsid w:val="00B149F1"/>
    <w:rsid w:val="00B15A29"/>
    <w:rsid w:val="00B15C91"/>
    <w:rsid w:val="00B20286"/>
    <w:rsid w:val="00B20A7F"/>
    <w:rsid w:val="00B22C93"/>
    <w:rsid w:val="00B23F0C"/>
    <w:rsid w:val="00B24080"/>
    <w:rsid w:val="00B25082"/>
    <w:rsid w:val="00B25D7C"/>
    <w:rsid w:val="00B26B97"/>
    <w:rsid w:val="00B27589"/>
    <w:rsid w:val="00B27A86"/>
    <w:rsid w:val="00B32918"/>
    <w:rsid w:val="00B35314"/>
    <w:rsid w:val="00B368FD"/>
    <w:rsid w:val="00B36BA8"/>
    <w:rsid w:val="00B37511"/>
    <w:rsid w:val="00B405B7"/>
    <w:rsid w:val="00B41C97"/>
    <w:rsid w:val="00B42066"/>
    <w:rsid w:val="00B45AC8"/>
    <w:rsid w:val="00B508C7"/>
    <w:rsid w:val="00B52222"/>
    <w:rsid w:val="00B52EB9"/>
    <w:rsid w:val="00B530FD"/>
    <w:rsid w:val="00B531DA"/>
    <w:rsid w:val="00B54895"/>
    <w:rsid w:val="00B54ACD"/>
    <w:rsid w:val="00B54FE7"/>
    <w:rsid w:val="00B570FF"/>
    <w:rsid w:val="00B61417"/>
    <w:rsid w:val="00B615B6"/>
    <w:rsid w:val="00B61D8C"/>
    <w:rsid w:val="00B62449"/>
    <w:rsid w:val="00B647C6"/>
    <w:rsid w:val="00B64FA2"/>
    <w:rsid w:val="00B655F9"/>
    <w:rsid w:val="00B65A8A"/>
    <w:rsid w:val="00B66901"/>
    <w:rsid w:val="00B66F60"/>
    <w:rsid w:val="00B705A1"/>
    <w:rsid w:val="00B70A79"/>
    <w:rsid w:val="00B71E6D"/>
    <w:rsid w:val="00B72070"/>
    <w:rsid w:val="00B73F59"/>
    <w:rsid w:val="00B7400A"/>
    <w:rsid w:val="00B75F9A"/>
    <w:rsid w:val="00B77204"/>
    <w:rsid w:val="00B779E1"/>
    <w:rsid w:val="00B81E3A"/>
    <w:rsid w:val="00B82264"/>
    <w:rsid w:val="00B82895"/>
    <w:rsid w:val="00B82F92"/>
    <w:rsid w:val="00B84B51"/>
    <w:rsid w:val="00B85CFB"/>
    <w:rsid w:val="00B86094"/>
    <w:rsid w:val="00B8638F"/>
    <w:rsid w:val="00B8686E"/>
    <w:rsid w:val="00B86966"/>
    <w:rsid w:val="00B86FA6"/>
    <w:rsid w:val="00B8782D"/>
    <w:rsid w:val="00B914E9"/>
    <w:rsid w:val="00B91BF0"/>
    <w:rsid w:val="00B91EE1"/>
    <w:rsid w:val="00B94602"/>
    <w:rsid w:val="00B95A3E"/>
    <w:rsid w:val="00B9739E"/>
    <w:rsid w:val="00B97AB5"/>
    <w:rsid w:val="00BA0090"/>
    <w:rsid w:val="00BA037C"/>
    <w:rsid w:val="00BA1A67"/>
    <w:rsid w:val="00BA500D"/>
    <w:rsid w:val="00BA6A80"/>
    <w:rsid w:val="00BA7E39"/>
    <w:rsid w:val="00BB2031"/>
    <w:rsid w:val="00BB3D8A"/>
    <w:rsid w:val="00BB4ABB"/>
    <w:rsid w:val="00BB6858"/>
    <w:rsid w:val="00BC0D2B"/>
    <w:rsid w:val="00BC11C9"/>
    <w:rsid w:val="00BC189A"/>
    <w:rsid w:val="00BC235A"/>
    <w:rsid w:val="00BC286B"/>
    <w:rsid w:val="00BC29D3"/>
    <w:rsid w:val="00BC62BA"/>
    <w:rsid w:val="00BC79CE"/>
    <w:rsid w:val="00BD0B2C"/>
    <w:rsid w:val="00BD1684"/>
    <w:rsid w:val="00BD16A6"/>
    <w:rsid w:val="00BD2467"/>
    <w:rsid w:val="00BD46A3"/>
    <w:rsid w:val="00BD569B"/>
    <w:rsid w:val="00BE13DE"/>
    <w:rsid w:val="00BE1F6B"/>
    <w:rsid w:val="00BE3FA7"/>
    <w:rsid w:val="00BE4E6B"/>
    <w:rsid w:val="00BE5B5F"/>
    <w:rsid w:val="00BE7993"/>
    <w:rsid w:val="00BE79CF"/>
    <w:rsid w:val="00BE7A12"/>
    <w:rsid w:val="00BF0C05"/>
    <w:rsid w:val="00BF2148"/>
    <w:rsid w:val="00BF3EDE"/>
    <w:rsid w:val="00BF6871"/>
    <w:rsid w:val="00BF7A6D"/>
    <w:rsid w:val="00C00756"/>
    <w:rsid w:val="00C02F59"/>
    <w:rsid w:val="00C04A27"/>
    <w:rsid w:val="00C06944"/>
    <w:rsid w:val="00C06B39"/>
    <w:rsid w:val="00C10397"/>
    <w:rsid w:val="00C11549"/>
    <w:rsid w:val="00C13137"/>
    <w:rsid w:val="00C146BB"/>
    <w:rsid w:val="00C14D89"/>
    <w:rsid w:val="00C166F9"/>
    <w:rsid w:val="00C203F3"/>
    <w:rsid w:val="00C22CCB"/>
    <w:rsid w:val="00C23571"/>
    <w:rsid w:val="00C24219"/>
    <w:rsid w:val="00C26F55"/>
    <w:rsid w:val="00C30AF6"/>
    <w:rsid w:val="00C30C63"/>
    <w:rsid w:val="00C30FF3"/>
    <w:rsid w:val="00C31E01"/>
    <w:rsid w:val="00C32F54"/>
    <w:rsid w:val="00C33359"/>
    <w:rsid w:val="00C33BA2"/>
    <w:rsid w:val="00C33BF3"/>
    <w:rsid w:val="00C35C09"/>
    <w:rsid w:val="00C36661"/>
    <w:rsid w:val="00C36B8B"/>
    <w:rsid w:val="00C378A3"/>
    <w:rsid w:val="00C4027E"/>
    <w:rsid w:val="00C40728"/>
    <w:rsid w:val="00C415C1"/>
    <w:rsid w:val="00C41B8D"/>
    <w:rsid w:val="00C421BD"/>
    <w:rsid w:val="00C47B7A"/>
    <w:rsid w:val="00C47DBF"/>
    <w:rsid w:val="00C47F3A"/>
    <w:rsid w:val="00C50321"/>
    <w:rsid w:val="00C51BDD"/>
    <w:rsid w:val="00C5393A"/>
    <w:rsid w:val="00C54317"/>
    <w:rsid w:val="00C5500F"/>
    <w:rsid w:val="00C552FF"/>
    <w:rsid w:val="00C558DA"/>
    <w:rsid w:val="00C55AF3"/>
    <w:rsid w:val="00C57858"/>
    <w:rsid w:val="00C63E58"/>
    <w:rsid w:val="00C648D9"/>
    <w:rsid w:val="00C664A0"/>
    <w:rsid w:val="00C664ED"/>
    <w:rsid w:val="00C67A35"/>
    <w:rsid w:val="00C67DFF"/>
    <w:rsid w:val="00C70A88"/>
    <w:rsid w:val="00C72665"/>
    <w:rsid w:val="00C7478E"/>
    <w:rsid w:val="00C7497A"/>
    <w:rsid w:val="00C771A9"/>
    <w:rsid w:val="00C80055"/>
    <w:rsid w:val="00C82686"/>
    <w:rsid w:val="00C82EA7"/>
    <w:rsid w:val="00C83364"/>
    <w:rsid w:val="00C84759"/>
    <w:rsid w:val="00C8525D"/>
    <w:rsid w:val="00C853D4"/>
    <w:rsid w:val="00C90235"/>
    <w:rsid w:val="00C92C58"/>
    <w:rsid w:val="00C93096"/>
    <w:rsid w:val="00C94880"/>
    <w:rsid w:val="00C95D14"/>
    <w:rsid w:val="00C96454"/>
    <w:rsid w:val="00C9664C"/>
    <w:rsid w:val="00C97B88"/>
    <w:rsid w:val="00C97D68"/>
    <w:rsid w:val="00CA1253"/>
    <w:rsid w:val="00CA22FA"/>
    <w:rsid w:val="00CA2404"/>
    <w:rsid w:val="00CA4C3A"/>
    <w:rsid w:val="00CA4DAC"/>
    <w:rsid w:val="00CA5CA9"/>
    <w:rsid w:val="00CA6C7F"/>
    <w:rsid w:val="00CA77B4"/>
    <w:rsid w:val="00CA788B"/>
    <w:rsid w:val="00CB00AC"/>
    <w:rsid w:val="00CB22B6"/>
    <w:rsid w:val="00CB5B4E"/>
    <w:rsid w:val="00CB5F53"/>
    <w:rsid w:val="00CB60CA"/>
    <w:rsid w:val="00CB79AB"/>
    <w:rsid w:val="00CC0B73"/>
    <w:rsid w:val="00CC0FC7"/>
    <w:rsid w:val="00CC10A6"/>
    <w:rsid w:val="00CC2FBB"/>
    <w:rsid w:val="00CC47AB"/>
    <w:rsid w:val="00CC51D8"/>
    <w:rsid w:val="00CC7124"/>
    <w:rsid w:val="00CD19FA"/>
    <w:rsid w:val="00CD1C05"/>
    <w:rsid w:val="00CD207D"/>
    <w:rsid w:val="00CD37A9"/>
    <w:rsid w:val="00CD5EB8"/>
    <w:rsid w:val="00CD6B90"/>
    <w:rsid w:val="00CD7044"/>
    <w:rsid w:val="00CD73B0"/>
    <w:rsid w:val="00CE08B9"/>
    <w:rsid w:val="00CE0F22"/>
    <w:rsid w:val="00CE240B"/>
    <w:rsid w:val="00CE2829"/>
    <w:rsid w:val="00CE28AC"/>
    <w:rsid w:val="00CE2A1C"/>
    <w:rsid w:val="00CE3515"/>
    <w:rsid w:val="00CE524C"/>
    <w:rsid w:val="00CE52B4"/>
    <w:rsid w:val="00CE5AE2"/>
    <w:rsid w:val="00CE5FB3"/>
    <w:rsid w:val="00CE6254"/>
    <w:rsid w:val="00CE662B"/>
    <w:rsid w:val="00CE696C"/>
    <w:rsid w:val="00CF06D8"/>
    <w:rsid w:val="00CF0FDB"/>
    <w:rsid w:val="00CF141F"/>
    <w:rsid w:val="00CF143A"/>
    <w:rsid w:val="00CF1731"/>
    <w:rsid w:val="00CF1FDE"/>
    <w:rsid w:val="00CF4777"/>
    <w:rsid w:val="00CF4B0C"/>
    <w:rsid w:val="00CF65C8"/>
    <w:rsid w:val="00CF6679"/>
    <w:rsid w:val="00D013F5"/>
    <w:rsid w:val="00D02B92"/>
    <w:rsid w:val="00D05E3F"/>
    <w:rsid w:val="00D067BB"/>
    <w:rsid w:val="00D12EB8"/>
    <w:rsid w:val="00D12F35"/>
    <w:rsid w:val="00D1352A"/>
    <w:rsid w:val="00D13F2B"/>
    <w:rsid w:val="00D1638E"/>
    <w:rsid w:val="00D16706"/>
    <w:rsid w:val="00D169AF"/>
    <w:rsid w:val="00D16F76"/>
    <w:rsid w:val="00D16FD7"/>
    <w:rsid w:val="00D23804"/>
    <w:rsid w:val="00D25175"/>
    <w:rsid w:val="00D25249"/>
    <w:rsid w:val="00D26854"/>
    <w:rsid w:val="00D26DB4"/>
    <w:rsid w:val="00D26F63"/>
    <w:rsid w:val="00D27B9A"/>
    <w:rsid w:val="00D314F8"/>
    <w:rsid w:val="00D31ABF"/>
    <w:rsid w:val="00D31C85"/>
    <w:rsid w:val="00D35A22"/>
    <w:rsid w:val="00D37639"/>
    <w:rsid w:val="00D4211C"/>
    <w:rsid w:val="00D44172"/>
    <w:rsid w:val="00D4603E"/>
    <w:rsid w:val="00D47BE3"/>
    <w:rsid w:val="00D50A98"/>
    <w:rsid w:val="00D50C4B"/>
    <w:rsid w:val="00D522C7"/>
    <w:rsid w:val="00D52988"/>
    <w:rsid w:val="00D540E6"/>
    <w:rsid w:val="00D549B8"/>
    <w:rsid w:val="00D60BBD"/>
    <w:rsid w:val="00D60C87"/>
    <w:rsid w:val="00D63B8C"/>
    <w:rsid w:val="00D63FE5"/>
    <w:rsid w:val="00D652CB"/>
    <w:rsid w:val="00D65A76"/>
    <w:rsid w:val="00D67733"/>
    <w:rsid w:val="00D728AC"/>
    <w:rsid w:val="00D72A30"/>
    <w:rsid w:val="00D735C6"/>
    <w:rsid w:val="00D739CC"/>
    <w:rsid w:val="00D73FFE"/>
    <w:rsid w:val="00D741F6"/>
    <w:rsid w:val="00D74712"/>
    <w:rsid w:val="00D755C3"/>
    <w:rsid w:val="00D77CAF"/>
    <w:rsid w:val="00D806F9"/>
    <w:rsid w:val="00D8093D"/>
    <w:rsid w:val="00D8108C"/>
    <w:rsid w:val="00D810CB"/>
    <w:rsid w:val="00D81D7E"/>
    <w:rsid w:val="00D82469"/>
    <w:rsid w:val="00D83A76"/>
    <w:rsid w:val="00D842AE"/>
    <w:rsid w:val="00D8601E"/>
    <w:rsid w:val="00D86366"/>
    <w:rsid w:val="00D86FD7"/>
    <w:rsid w:val="00D90038"/>
    <w:rsid w:val="00D90F0B"/>
    <w:rsid w:val="00D9211C"/>
    <w:rsid w:val="00D92DE0"/>
    <w:rsid w:val="00D92FEF"/>
    <w:rsid w:val="00D931F9"/>
    <w:rsid w:val="00D93571"/>
    <w:rsid w:val="00D93A0F"/>
    <w:rsid w:val="00D95A8D"/>
    <w:rsid w:val="00DA127F"/>
    <w:rsid w:val="00DA1BCA"/>
    <w:rsid w:val="00DA3663"/>
    <w:rsid w:val="00DA5F7A"/>
    <w:rsid w:val="00DA6141"/>
    <w:rsid w:val="00DA7E14"/>
    <w:rsid w:val="00DA7F4A"/>
    <w:rsid w:val="00DB1574"/>
    <w:rsid w:val="00DB1DBD"/>
    <w:rsid w:val="00DB42A8"/>
    <w:rsid w:val="00DB4505"/>
    <w:rsid w:val="00DB5F6B"/>
    <w:rsid w:val="00DB7B74"/>
    <w:rsid w:val="00DC042D"/>
    <w:rsid w:val="00DC11B9"/>
    <w:rsid w:val="00DC2924"/>
    <w:rsid w:val="00DC3538"/>
    <w:rsid w:val="00DC46FF"/>
    <w:rsid w:val="00DC511F"/>
    <w:rsid w:val="00DC5254"/>
    <w:rsid w:val="00DC569D"/>
    <w:rsid w:val="00DC7E4B"/>
    <w:rsid w:val="00DC7F5A"/>
    <w:rsid w:val="00DD1A4F"/>
    <w:rsid w:val="00DD1EA1"/>
    <w:rsid w:val="00DD3107"/>
    <w:rsid w:val="00DD3AC1"/>
    <w:rsid w:val="00DD3E55"/>
    <w:rsid w:val="00DD5208"/>
    <w:rsid w:val="00DD6563"/>
    <w:rsid w:val="00DD728F"/>
    <w:rsid w:val="00DD7C2C"/>
    <w:rsid w:val="00DE3830"/>
    <w:rsid w:val="00DE40D9"/>
    <w:rsid w:val="00DE5BDA"/>
    <w:rsid w:val="00DE5E14"/>
    <w:rsid w:val="00DE6A2C"/>
    <w:rsid w:val="00DE774C"/>
    <w:rsid w:val="00DE7837"/>
    <w:rsid w:val="00DF433C"/>
    <w:rsid w:val="00DF476C"/>
    <w:rsid w:val="00DF519F"/>
    <w:rsid w:val="00DF51C0"/>
    <w:rsid w:val="00DF71DB"/>
    <w:rsid w:val="00E0035A"/>
    <w:rsid w:val="00E00EDB"/>
    <w:rsid w:val="00E01625"/>
    <w:rsid w:val="00E031AE"/>
    <w:rsid w:val="00E03DCC"/>
    <w:rsid w:val="00E06797"/>
    <w:rsid w:val="00E06C2A"/>
    <w:rsid w:val="00E07049"/>
    <w:rsid w:val="00E07CCF"/>
    <w:rsid w:val="00E112B8"/>
    <w:rsid w:val="00E1131B"/>
    <w:rsid w:val="00E1265B"/>
    <w:rsid w:val="00E12694"/>
    <w:rsid w:val="00E12E09"/>
    <w:rsid w:val="00E13B48"/>
    <w:rsid w:val="00E13D73"/>
    <w:rsid w:val="00E1404F"/>
    <w:rsid w:val="00E14C68"/>
    <w:rsid w:val="00E14DC6"/>
    <w:rsid w:val="00E16773"/>
    <w:rsid w:val="00E17408"/>
    <w:rsid w:val="00E21C83"/>
    <w:rsid w:val="00E2241C"/>
    <w:rsid w:val="00E2294E"/>
    <w:rsid w:val="00E2455A"/>
    <w:rsid w:val="00E24ADA"/>
    <w:rsid w:val="00E25606"/>
    <w:rsid w:val="00E26279"/>
    <w:rsid w:val="00E31088"/>
    <w:rsid w:val="00E3196B"/>
    <w:rsid w:val="00E32B11"/>
    <w:rsid w:val="00E32F59"/>
    <w:rsid w:val="00E3394B"/>
    <w:rsid w:val="00E33C12"/>
    <w:rsid w:val="00E3411A"/>
    <w:rsid w:val="00E34283"/>
    <w:rsid w:val="00E41908"/>
    <w:rsid w:val="00E4311F"/>
    <w:rsid w:val="00E43AE9"/>
    <w:rsid w:val="00E43C0E"/>
    <w:rsid w:val="00E4400F"/>
    <w:rsid w:val="00E45A49"/>
    <w:rsid w:val="00E45DB9"/>
    <w:rsid w:val="00E46060"/>
    <w:rsid w:val="00E46B6D"/>
    <w:rsid w:val="00E46D9A"/>
    <w:rsid w:val="00E46DAA"/>
    <w:rsid w:val="00E473D7"/>
    <w:rsid w:val="00E50757"/>
    <w:rsid w:val="00E53C3C"/>
    <w:rsid w:val="00E544E5"/>
    <w:rsid w:val="00E55C41"/>
    <w:rsid w:val="00E56513"/>
    <w:rsid w:val="00E565FF"/>
    <w:rsid w:val="00E60CDE"/>
    <w:rsid w:val="00E63EDF"/>
    <w:rsid w:val="00E64845"/>
    <w:rsid w:val="00E65388"/>
    <w:rsid w:val="00E65FC3"/>
    <w:rsid w:val="00E66366"/>
    <w:rsid w:val="00E66D35"/>
    <w:rsid w:val="00E704F0"/>
    <w:rsid w:val="00E720B5"/>
    <w:rsid w:val="00E73DEC"/>
    <w:rsid w:val="00E7741D"/>
    <w:rsid w:val="00E77D5A"/>
    <w:rsid w:val="00E808CD"/>
    <w:rsid w:val="00E8200D"/>
    <w:rsid w:val="00E82C64"/>
    <w:rsid w:val="00E8348F"/>
    <w:rsid w:val="00E83F02"/>
    <w:rsid w:val="00E84755"/>
    <w:rsid w:val="00E84C80"/>
    <w:rsid w:val="00E8530B"/>
    <w:rsid w:val="00E85B7D"/>
    <w:rsid w:val="00E8EE8C"/>
    <w:rsid w:val="00E9121B"/>
    <w:rsid w:val="00E91280"/>
    <w:rsid w:val="00E9185B"/>
    <w:rsid w:val="00E9302E"/>
    <w:rsid w:val="00E9332A"/>
    <w:rsid w:val="00E9527F"/>
    <w:rsid w:val="00E9603F"/>
    <w:rsid w:val="00E976AB"/>
    <w:rsid w:val="00EA0AE2"/>
    <w:rsid w:val="00EA2471"/>
    <w:rsid w:val="00EA39E5"/>
    <w:rsid w:val="00EA4853"/>
    <w:rsid w:val="00EA57A3"/>
    <w:rsid w:val="00EA5CE4"/>
    <w:rsid w:val="00EA7B35"/>
    <w:rsid w:val="00EA7F3C"/>
    <w:rsid w:val="00EB1D79"/>
    <w:rsid w:val="00EB4577"/>
    <w:rsid w:val="00EB6EA4"/>
    <w:rsid w:val="00EB6F29"/>
    <w:rsid w:val="00EC1068"/>
    <w:rsid w:val="00EC173A"/>
    <w:rsid w:val="00EC19B4"/>
    <w:rsid w:val="00EC2813"/>
    <w:rsid w:val="00EC2D99"/>
    <w:rsid w:val="00EC4930"/>
    <w:rsid w:val="00EC5A46"/>
    <w:rsid w:val="00EC63E2"/>
    <w:rsid w:val="00EC6FA4"/>
    <w:rsid w:val="00ED0225"/>
    <w:rsid w:val="00ED2831"/>
    <w:rsid w:val="00ED366A"/>
    <w:rsid w:val="00ED379B"/>
    <w:rsid w:val="00ED38AC"/>
    <w:rsid w:val="00ED3E82"/>
    <w:rsid w:val="00ED6BB7"/>
    <w:rsid w:val="00EE16BE"/>
    <w:rsid w:val="00EE1A7C"/>
    <w:rsid w:val="00EE4DDF"/>
    <w:rsid w:val="00EE63E4"/>
    <w:rsid w:val="00EE7961"/>
    <w:rsid w:val="00EF22B3"/>
    <w:rsid w:val="00EF2A16"/>
    <w:rsid w:val="00EF3347"/>
    <w:rsid w:val="00EF7E3B"/>
    <w:rsid w:val="00F03B69"/>
    <w:rsid w:val="00F042EC"/>
    <w:rsid w:val="00F05D87"/>
    <w:rsid w:val="00F07A50"/>
    <w:rsid w:val="00F10A55"/>
    <w:rsid w:val="00F113DA"/>
    <w:rsid w:val="00F11F2F"/>
    <w:rsid w:val="00F120E7"/>
    <w:rsid w:val="00F133F6"/>
    <w:rsid w:val="00F13E88"/>
    <w:rsid w:val="00F147D0"/>
    <w:rsid w:val="00F16A0E"/>
    <w:rsid w:val="00F20074"/>
    <w:rsid w:val="00F2143B"/>
    <w:rsid w:val="00F23581"/>
    <w:rsid w:val="00F25B0D"/>
    <w:rsid w:val="00F266FC"/>
    <w:rsid w:val="00F26B89"/>
    <w:rsid w:val="00F273CE"/>
    <w:rsid w:val="00F3012B"/>
    <w:rsid w:val="00F3037A"/>
    <w:rsid w:val="00F308DD"/>
    <w:rsid w:val="00F3151F"/>
    <w:rsid w:val="00F341A2"/>
    <w:rsid w:val="00F3465A"/>
    <w:rsid w:val="00F351D6"/>
    <w:rsid w:val="00F357EA"/>
    <w:rsid w:val="00F37DC8"/>
    <w:rsid w:val="00F409A3"/>
    <w:rsid w:val="00F412DC"/>
    <w:rsid w:val="00F41C2D"/>
    <w:rsid w:val="00F42A8B"/>
    <w:rsid w:val="00F430FC"/>
    <w:rsid w:val="00F439B3"/>
    <w:rsid w:val="00F44E6B"/>
    <w:rsid w:val="00F47BC3"/>
    <w:rsid w:val="00F47F03"/>
    <w:rsid w:val="00F52968"/>
    <w:rsid w:val="00F532EB"/>
    <w:rsid w:val="00F53E55"/>
    <w:rsid w:val="00F54509"/>
    <w:rsid w:val="00F56773"/>
    <w:rsid w:val="00F60F6B"/>
    <w:rsid w:val="00F62854"/>
    <w:rsid w:val="00F62B2D"/>
    <w:rsid w:val="00F64F88"/>
    <w:rsid w:val="00F650C3"/>
    <w:rsid w:val="00F65D85"/>
    <w:rsid w:val="00F6700B"/>
    <w:rsid w:val="00F7137B"/>
    <w:rsid w:val="00F71D2C"/>
    <w:rsid w:val="00F71D91"/>
    <w:rsid w:val="00F73F97"/>
    <w:rsid w:val="00F741F3"/>
    <w:rsid w:val="00F75DBF"/>
    <w:rsid w:val="00F75F61"/>
    <w:rsid w:val="00F773F7"/>
    <w:rsid w:val="00F77DD2"/>
    <w:rsid w:val="00F8091E"/>
    <w:rsid w:val="00F81D9D"/>
    <w:rsid w:val="00F83802"/>
    <w:rsid w:val="00F84E40"/>
    <w:rsid w:val="00F8615C"/>
    <w:rsid w:val="00F87D30"/>
    <w:rsid w:val="00F90DA1"/>
    <w:rsid w:val="00F92ACE"/>
    <w:rsid w:val="00F9515A"/>
    <w:rsid w:val="00F9623B"/>
    <w:rsid w:val="00F969E5"/>
    <w:rsid w:val="00F97C49"/>
    <w:rsid w:val="00F97D99"/>
    <w:rsid w:val="00FA1197"/>
    <w:rsid w:val="00FA12E7"/>
    <w:rsid w:val="00FA4972"/>
    <w:rsid w:val="00FA55CC"/>
    <w:rsid w:val="00FA6BB0"/>
    <w:rsid w:val="00FA6C76"/>
    <w:rsid w:val="00FA7402"/>
    <w:rsid w:val="00FB0775"/>
    <w:rsid w:val="00FB0F80"/>
    <w:rsid w:val="00FB1027"/>
    <w:rsid w:val="00FB22D0"/>
    <w:rsid w:val="00FB2DBD"/>
    <w:rsid w:val="00FB57BF"/>
    <w:rsid w:val="00FC5760"/>
    <w:rsid w:val="00FC6709"/>
    <w:rsid w:val="00FC7FF9"/>
    <w:rsid w:val="00FD0975"/>
    <w:rsid w:val="00FD0F19"/>
    <w:rsid w:val="00FD27BC"/>
    <w:rsid w:val="00FD2831"/>
    <w:rsid w:val="00FD3336"/>
    <w:rsid w:val="00FD485C"/>
    <w:rsid w:val="00FD48DF"/>
    <w:rsid w:val="00FD4B06"/>
    <w:rsid w:val="00FD5860"/>
    <w:rsid w:val="00FD5921"/>
    <w:rsid w:val="00FD67F5"/>
    <w:rsid w:val="00FD7E1E"/>
    <w:rsid w:val="00FE04AC"/>
    <w:rsid w:val="00FE352D"/>
    <w:rsid w:val="00FE3F9E"/>
    <w:rsid w:val="00FE40EB"/>
    <w:rsid w:val="00FE4171"/>
    <w:rsid w:val="00FE4612"/>
    <w:rsid w:val="00FE4C00"/>
    <w:rsid w:val="00FE4D02"/>
    <w:rsid w:val="00FE5805"/>
    <w:rsid w:val="00FE7D62"/>
    <w:rsid w:val="00FF0CAF"/>
    <w:rsid w:val="00FF1472"/>
    <w:rsid w:val="00FF1480"/>
    <w:rsid w:val="00FF3819"/>
    <w:rsid w:val="00FF3C36"/>
    <w:rsid w:val="00FF480D"/>
    <w:rsid w:val="00FF4FEA"/>
    <w:rsid w:val="01469D3D"/>
    <w:rsid w:val="0174B126"/>
    <w:rsid w:val="01836106"/>
    <w:rsid w:val="019F20E3"/>
    <w:rsid w:val="01D33E1F"/>
    <w:rsid w:val="01E788AC"/>
    <w:rsid w:val="026777D4"/>
    <w:rsid w:val="027992BE"/>
    <w:rsid w:val="0295048E"/>
    <w:rsid w:val="03AF69AE"/>
    <w:rsid w:val="03B66E70"/>
    <w:rsid w:val="03B880FC"/>
    <w:rsid w:val="046D1E66"/>
    <w:rsid w:val="046E0C9A"/>
    <w:rsid w:val="04AD747D"/>
    <w:rsid w:val="04C71523"/>
    <w:rsid w:val="04DDC512"/>
    <w:rsid w:val="04FD7D97"/>
    <w:rsid w:val="0502CA33"/>
    <w:rsid w:val="053A88AE"/>
    <w:rsid w:val="058228B6"/>
    <w:rsid w:val="05A55CCF"/>
    <w:rsid w:val="05E13160"/>
    <w:rsid w:val="065B361F"/>
    <w:rsid w:val="06EA28AF"/>
    <w:rsid w:val="06F500B6"/>
    <w:rsid w:val="071188C7"/>
    <w:rsid w:val="073D56B8"/>
    <w:rsid w:val="079BF9D2"/>
    <w:rsid w:val="080BD8F3"/>
    <w:rsid w:val="08A8C876"/>
    <w:rsid w:val="08C6FA3E"/>
    <w:rsid w:val="08D265E7"/>
    <w:rsid w:val="08D39E00"/>
    <w:rsid w:val="08F11125"/>
    <w:rsid w:val="08FED652"/>
    <w:rsid w:val="093A0EBB"/>
    <w:rsid w:val="097D875E"/>
    <w:rsid w:val="09855EB7"/>
    <w:rsid w:val="099F9E53"/>
    <w:rsid w:val="09D46F6B"/>
    <w:rsid w:val="0A184B18"/>
    <w:rsid w:val="0A4ED20A"/>
    <w:rsid w:val="0A64E641"/>
    <w:rsid w:val="0AA94006"/>
    <w:rsid w:val="0ADEFCAF"/>
    <w:rsid w:val="0B1704FD"/>
    <w:rsid w:val="0B47BD1F"/>
    <w:rsid w:val="0BD0DA74"/>
    <w:rsid w:val="0C49A871"/>
    <w:rsid w:val="0CC7B430"/>
    <w:rsid w:val="0CEF6034"/>
    <w:rsid w:val="0D3507EE"/>
    <w:rsid w:val="0D3A9483"/>
    <w:rsid w:val="0DA26CD7"/>
    <w:rsid w:val="0DC56765"/>
    <w:rsid w:val="0DC6F054"/>
    <w:rsid w:val="0DDAD719"/>
    <w:rsid w:val="0E2554DD"/>
    <w:rsid w:val="0E3012F8"/>
    <w:rsid w:val="0E819358"/>
    <w:rsid w:val="0EE0A5EA"/>
    <w:rsid w:val="0EE3E317"/>
    <w:rsid w:val="0F362A98"/>
    <w:rsid w:val="0F652F7D"/>
    <w:rsid w:val="0F6F88B6"/>
    <w:rsid w:val="0F76955D"/>
    <w:rsid w:val="0F9A0394"/>
    <w:rsid w:val="0FD5F02C"/>
    <w:rsid w:val="1006A360"/>
    <w:rsid w:val="10330BC8"/>
    <w:rsid w:val="10945F24"/>
    <w:rsid w:val="109D3E1A"/>
    <w:rsid w:val="111EBEE6"/>
    <w:rsid w:val="11407760"/>
    <w:rsid w:val="116A1E90"/>
    <w:rsid w:val="118C6685"/>
    <w:rsid w:val="11980D99"/>
    <w:rsid w:val="11A64E64"/>
    <w:rsid w:val="11DE7413"/>
    <w:rsid w:val="11ECB0BD"/>
    <w:rsid w:val="122843C8"/>
    <w:rsid w:val="122A7E21"/>
    <w:rsid w:val="126DE5BC"/>
    <w:rsid w:val="1278AD65"/>
    <w:rsid w:val="12B0B249"/>
    <w:rsid w:val="12B36505"/>
    <w:rsid w:val="13154CB9"/>
    <w:rsid w:val="131C7699"/>
    <w:rsid w:val="1355510E"/>
    <w:rsid w:val="1377FB19"/>
    <w:rsid w:val="13A29F4D"/>
    <w:rsid w:val="13DA2F44"/>
    <w:rsid w:val="13E4EB90"/>
    <w:rsid w:val="13EF0D20"/>
    <w:rsid w:val="145FB37D"/>
    <w:rsid w:val="146D1629"/>
    <w:rsid w:val="1476C1F4"/>
    <w:rsid w:val="14D198CC"/>
    <w:rsid w:val="14D8325E"/>
    <w:rsid w:val="15313F25"/>
    <w:rsid w:val="15494405"/>
    <w:rsid w:val="15916732"/>
    <w:rsid w:val="15E329CB"/>
    <w:rsid w:val="170D8484"/>
    <w:rsid w:val="17413487"/>
    <w:rsid w:val="1746B4E7"/>
    <w:rsid w:val="17A56ACC"/>
    <w:rsid w:val="184D2638"/>
    <w:rsid w:val="18528E5D"/>
    <w:rsid w:val="189C6A09"/>
    <w:rsid w:val="18CA2761"/>
    <w:rsid w:val="18FBBD13"/>
    <w:rsid w:val="19040A6A"/>
    <w:rsid w:val="191E883D"/>
    <w:rsid w:val="199CABA3"/>
    <w:rsid w:val="19A57BB6"/>
    <w:rsid w:val="19B90747"/>
    <w:rsid w:val="19D6FAD2"/>
    <w:rsid w:val="1A42F526"/>
    <w:rsid w:val="1A6FD304"/>
    <w:rsid w:val="1A99D18C"/>
    <w:rsid w:val="1B2A0870"/>
    <w:rsid w:val="1B3A267C"/>
    <w:rsid w:val="1B6BF462"/>
    <w:rsid w:val="1B7FD24E"/>
    <w:rsid w:val="1B8F19B8"/>
    <w:rsid w:val="1BF07F38"/>
    <w:rsid w:val="1C33C95F"/>
    <w:rsid w:val="1C7B1E1C"/>
    <w:rsid w:val="1C7E07A5"/>
    <w:rsid w:val="1CE8B52B"/>
    <w:rsid w:val="1D2C97D6"/>
    <w:rsid w:val="1DA45A17"/>
    <w:rsid w:val="1DBAC3C4"/>
    <w:rsid w:val="1DBEA32D"/>
    <w:rsid w:val="1DEE5428"/>
    <w:rsid w:val="1E125903"/>
    <w:rsid w:val="1E187322"/>
    <w:rsid w:val="1E803797"/>
    <w:rsid w:val="1ED7CFBE"/>
    <w:rsid w:val="1FAAEA99"/>
    <w:rsid w:val="209B6358"/>
    <w:rsid w:val="20EA8EA5"/>
    <w:rsid w:val="2122FBB6"/>
    <w:rsid w:val="21391B72"/>
    <w:rsid w:val="214A4FEB"/>
    <w:rsid w:val="21A0393B"/>
    <w:rsid w:val="21CC1F50"/>
    <w:rsid w:val="22DEB5BE"/>
    <w:rsid w:val="22DF8BD8"/>
    <w:rsid w:val="22F80EFE"/>
    <w:rsid w:val="2381F1A2"/>
    <w:rsid w:val="238F7653"/>
    <w:rsid w:val="23AD20B2"/>
    <w:rsid w:val="23BC29D2"/>
    <w:rsid w:val="23BD80F3"/>
    <w:rsid w:val="23D7106C"/>
    <w:rsid w:val="23F7970E"/>
    <w:rsid w:val="2434F2B9"/>
    <w:rsid w:val="2476C2BD"/>
    <w:rsid w:val="247D8004"/>
    <w:rsid w:val="24AC3C8E"/>
    <w:rsid w:val="24E2BCD6"/>
    <w:rsid w:val="24E2FC19"/>
    <w:rsid w:val="2593A2D1"/>
    <w:rsid w:val="260401B9"/>
    <w:rsid w:val="26365A30"/>
    <w:rsid w:val="26658A7C"/>
    <w:rsid w:val="266CB9EE"/>
    <w:rsid w:val="267E1E25"/>
    <w:rsid w:val="269D8C1B"/>
    <w:rsid w:val="26AB8C34"/>
    <w:rsid w:val="26AF804D"/>
    <w:rsid w:val="26D986A9"/>
    <w:rsid w:val="26EC71A4"/>
    <w:rsid w:val="26F6B413"/>
    <w:rsid w:val="278429C4"/>
    <w:rsid w:val="27B3304F"/>
    <w:rsid w:val="27C1F81F"/>
    <w:rsid w:val="27C962D4"/>
    <w:rsid w:val="282D30D8"/>
    <w:rsid w:val="2831E281"/>
    <w:rsid w:val="28D3821E"/>
    <w:rsid w:val="28E8A6D1"/>
    <w:rsid w:val="292839F1"/>
    <w:rsid w:val="294C2C28"/>
    <w:rsid w:val="296585F8"/>
    <w:rsid w:val="29A0A851"/>
    <w:rsid w:val="29A6A6C0"/>
    <w:rsid w:val="29AB5346"/>
    <w:rsid w:val="29D401CD"/>
    <w:rsid w:val="2A8C085E"/>
    <w:rsid w:val="2A8E57B0"/>
    <w:rsid w:val="2B06F3C8"/>
    <w:rsid w:val="2B19B5EB"/>
    <w:rsid w:val="2B6C4338"/>
    <w:rsid w:val="2B6CAE52"/>
    <w:rsid w:val="2B8A34E7"/>
    <w:rsid w:val="2BBA4031"/>
    <w:rsid w:val="2BD21CFB"/>
    <w:rsid w:val="2BF85019"/>
    <w:rsid w:val="2C09B9CB"/>
    <w:rsid w:val="2C0A4528"/>
    <w:rsid w:val="2C348B32"/>
    <w:rsid w:val="2C387EE3"/>
    <w:rsid w:val="2C5A56F8"/>
    <w:rsid w:val="2C911860"/>
    <w:rsid w:val="2C9E0C70"/>
    <w:rsid w:val="2CB37EF8"/>
    <w:rsid w:val="2D26155F"/>
    <w:rsid w:val="2D3A078F"/>
    <w:rsid w:val="2D75C93E"/>
    <w:rsid w:val="2D91C3D0"/>
    <w:rsid w:val="2D9751FB"/>
    <w:rsid w:val="2DAD9C7C"/>
    <w:rsid w:val="2DCBC607"/>
    <w:rsid w:val="2DD5E6D6"/>
    <w:rsid w:val="2DEE0728"/>
    <w:rsid w:val="2E68633C"/>
    <w:rsid w:val="2E87C182"/>
    <w:rsid w:val="2ED9B5B0"/>
    <w:rsid w:val="2EF272D8"/>
    <w:rsid w:val="2F1E7DA8"/>
    <w:rsid w:val="2FA1C400"/>
    <w:rsid w:val="2FCB71D8"/>
    <w:rsid w:val="2FFF9B43"/>
    <w:rsid w:val="300674E9"/>
    <w:rsid w:val="3059AE25"/>
    <w:rsid w:val="30A3EF1A"/>
    <w:rsid w:val="30DAD3D0"/>
    <w:rsid w:val="30F59648"/>
    <w:rsid w:val="312554E6"/>
    <w:rsid w:val="31352ED4"/>
    <w:rsid w:val="3141B940"/>
    <w:rsid w:val="3169DB12"/>
    <w:rsid w:val="31BAAF8C"/>
    <w:rsid w:val="31DD6E60"/>
    <w:rsid w:val="31F20E14"/>
    <w:rsid w:val="32138901"/>
    <w:rsid w:val="32140708"/>
    <w:rsid w:val="323EE0A8"/>
    <w:rsid w:val="32C2D9DD"/>
    <w:rsid w:val="32D8B0E7"/>
    <w:rsid w:val="32F85BFE"/>
    <w:rsid w:val="3360D9D9"/>
    <w:rsid w:val="3366D4FA"/>
    <w:rsid w:val="34063B44"/>
    <w:rsid w:val="341B15BD"/>
    <w:rsid w:val="350FF222"/>
    <w:rsid w:val="354E1C95"/>
    <w:rsid w:val="35623B3C"/>
    <w:rsid w:val="35674C93"/>
    <w:rsid w:val="35CBD4C6"/>
    <w:rsid w:val="35F6F9DB"/>
    <w:rsid w:val="36350B79"/>
    <w:rsid w:val="36439376"/>
    <w:rsid w:val="3677874E"/>
    <w:rsid w:val="368267C6"/>
    <w:rsid w:val="36923964"/>
    <w:rsid w:val="36BAB7A0"/>
    <w:rsid w:val="36E81A4E"/>
    <w:rsid w:val="3761B994"/>
    <w:rsid w:val="37D67B80"/>
    <w:rsid w:val="37F21076"/>
    <w:rsid w:val="38151B80"/>
    <w:rsid w:val="38CF9CD0"/>
    <w:rsid w:val="393019C1"/>
    <w:rsid w:val="3937DE42"/>
    <w:rsid w:val="39663291"/>
    <w:rsid w:val="39A4DEFE"/>
    <w:rsid w:val="3A5440A2"/>
    <w:rsid w:val="3A6E257B"/>
    <w:rsid w:val="3A9E95C3"/>
    <w:rsid w:val="3AC37B7E"/>
    <w:rsid w:val="3AE941D2"/>
    <w:rsid w:val="3B1119D4"/>
    <w:rsid w:val="3B19E15A"/>
    <w:rsid w:val="3B23858A"/>
    <w:rsid w:val="3B9DC984"/>
    <w:rsid w:val="3BAE4B14"/>
    <w:rsid w:val="3BDF8819"/>
    <w:rsid w:val="3C30A93E"/>
    <w:rsid w:val="3C55E5EC"/>
    <w:rsid w:val="3C59FFDA"/>
    <w:rsid w:val="3C7CE00F"/>
    <w:rsid w:val="3CE33861"/>
    <w:rsid w:val="3E0C6F87"/>
    <w:rsid w:val="3E3AC902"/>
    <w:rsid w:val="3E696F57"/>
    <w:rsid w:val="3E7EFF34"/>
    <w:rsid w:val="3E918F62"/>
    <w:rsid w:val="3E919105"/>
    <w:rsid w:val="3E9707F0"/>
    <w:rsid w:val="3E9BD0AB"/>
    <w:rsid w:val="3ED7FD23"/>
    <w:rsid w:val="3EFC92EC"/>
    <w:rsid w:val="3F1C1F2D"/>
    <w:rsid w:val="3F63C5A3"/>
    <w:rsid w:val="3F769DFC"/>
    <w:rsid w:val="3FD7C070"/>
    <w:rsid w:val="3FF68067"/>
    <w:rsid w:val="401126A3"/>
    <w:rsid w:val="401FFDE5"/>
    <w:rsid w:val="40341E54"/>
    <w:rsid w:val="40576CBC"/>
    <w:rsid w:val="40AE7E7F"/>
    <w:rsid w:val="40EC377B"/>
    <w:rsid w:val="4165CD16"/>
    <w:rsid w:val="4186EDC8"/>
    <w:rsid w:val="41D78CDC"/>
    <w:rsid w:val="41DDB547"/>
    <w:rsid w:val="426F616E"/>
    <w:rsid w:val="428EE653"/>
    <w:rsid w:val="4292C384"/>
    <w:rsid w:val="42CDEA5F"/>
    <w:rsid w:val="42F68742"/>
    <w:rsid w:val="433CF2BF"/>
    <w:rsid w:val="4348C696"/>
    <w:rsid w:val="4395AA52"/>
    <w:rsid w:val="43C0A58B"/>
    <w:rsid w:val="43CEEAC9"/>
    <w:rsid w:val="43D929FB"/>
    <w:rsid w:val="444D4FE2"/>
    <w:rsid w:val="4479642D"/>
    <w:rsid w:val="44FDE3DB"/>
    <w:rsid w:val="451FEA7A"/>
    <w:rsid w:val="452A626E"/>
    <w:rsid w:val="45A5240B"/>
    <w:rsid w:val="45BC4679"/>
    <w:rsid w:val="45DA8522"/>
    <w:rsid w:val="45E2B4E2"/>
    <w:rsid w:val="46072237"/>
    <w:rsid w:val="46110015"/>
    <w:rsid w:val="4617D9F6"/>
    <w:rsid w:val="4644EADF"/>
    <w:rsid w:val="4667D75B"/>
    <w:rsid w:val="46DD630D"/>
    <w:rsid w:val="47735CB4"/>
    <w:rsid w:val="47A496B9"/>
    <w:rsid w:val="47B17DF9"/>
    <w:rsid w:val="47F6F9B1"/>
    <w:rsid w:val="47FB5791"/>
    <w:rsid w:val="481E26CA"/>
    <w:rsid w:val="483829B2"/>
    <w:rsid w:val="48841D26"/>
    <w:rsid w:val="48EC0B30"/>
    <w:rsid w:val="499B304F"/>
    <w:rsid w:val="49C47B39"/>
    <w:rsid w:val="49F5CE7D"/>
    <w:rsid w:val="4A10BA2F"/>
    <w:rsid w:val="4A4570E7"/>
    <w:rsid w:val="4A5BD664"/>
    <w:rsid w:val="4A70550F"/>
    <w:rsid w:val="4AA34A88"/>
    <w:rsid w:val="4AA7395E"/>
    <w:rsid w:val="4AB494A4"/>
    <w:rsid w:val="4AB9D08E"/>
    <w:rsid w:val="4AD2ABB5"/>
    <w:rsid w:val="4BAB838B"/>
    <w:rsid w:val="4BDC6A1B"/>
    <w:rsid w:val="4C49F21E"/>
    <w:rsid w:val="4C65ACB9"/>
    <w:rsid w:val="4D124365"/>
    <w:rsid w:val="4D35D9AF"/>
    <w:rsid w:val="4D4C5257"/>
    <w:rsid w:val="4D670FC7"/>
    <w:rsid w:val="4DE1BBD8"/>
    <w:rsid w:val="4E32A3B1"/>
    <w:rsid w:val="4EB28190"/>
    <w:rsid w:val="4F8C95DD"/>
    <w:rsid w:val="4F933FB0"/>
    <w:rsid w:val="4F9F5D63"/>
    <w:rsid w:val="4FCD3035"/>
    <w:rsid w:val="4FF72126"/>
    <w:rsid w:val="500A04E4"/>
    <w:rsid w:val="50100425"/>
    <w:rsid w:val="50702FBA"/>
    <w:rsid w:val="50BD6F8D"/>
    <w:rsid w:val="512781F8"/>
    <w:rsid w:val="518FD5AB"/>
    <w:rsid w:val="5227E31C"/>
    <w:rsid w:val="522C0382"/>
    <w:rsid w:val="528EDB62"/>
    <w:rsid w:val="532F86C7"/>
    <w:rsid w:val="533D4BB5"/>
    <w:rsid w:val="53756364"/>
    <w:rsid w:val="5397560E"/>
    <w:rsid w:val="53AE08CA"/>
    <w:rsid w:val="53E107BA"/>
    <w:rsid w:val="53E9EE74"/>
    <w:rsid w:val="5421EB8D"/>
    <w:rsid w:val="5425AAB9"/>
    <w:rsid w:val="546D6634"/>
    <w:rsid w:val="54A868C4"/>
    <w:rsid w:val="554ABB0F"/>
    <w:rsid w:val="554C7F21"/>
    <w:rsid w:val="554FD72F"/>
    <w:rsid w:val="559150EF"/>
    <w:rsid w:val="55C139DA"/>
    <w:rsid w:val="55CA36F3"/>
    <w:rsid w:val="56453EAD"/>
    <w:rsid w:val="5684A70B"/>
    <w:rsid w:val="56976044"/>
    <w:rsid w:val="56F5F2F1"/>
    <w:rsid w:val="5712EC1A"/>
    <w:rsid w:val="573C9099"/>
    <w:rsid w:val="576F65FD"/>
    <w:rsid w:val="57B663B5"/>
    <w:rsid w:val="57C8B642"/>
    <w:rsid w:val="588E2E48"/>
    <w:rsid w:val="58B23A73"/>
    <w:rsid w:val="58DF8EF4"/>
    <w:rsid w:val="58ECB94C"/>
    <w:rsid w:val="5923E19F"/>
    <w:rsid w:val="59CC642D"/>
    <w:rsid w:val="59CF35D1"/>
    <w:rsid w:val="59FBA1B0"/>
    <w:rsid w:val="5A1E8E13"/>
    <w:rsid w:val="5A5C65C0"/>
    <w:rsid w:val="5AAAEB39"/>
    <w:rsid w:val="5ACAE0E6"/>
    <w:rsid w:val="5AF9DF7B"/>
    <w:rsid w:val="5B028259"/>
    <w:rsid w:val="5B1AD926"/>
    <w:rsid w:val="5B1FC152"/>
    <w:rsid w:val="5B3A5BA9"/>
    <w:rsid w:val="5B5852A5"/>
    <w:rsid w:val="5BA4AF31"/>
    <w:rsid w:val="5BDB6D4A"/>
    <w:rsid w:val="5C10E9C3"/>
    <w:rsid w:val="5CCF257A"/>
    <w:rsid w:val="5CD48C4E"/>
    <w:rsid w:val="5CF33A8E"/>
    <w:rsid w:val="5D176989"/>
    <w:rsid w:val="5D33ACBB"/>
    <w:rsid w:val="5D370C79"/>
    <w:rsid w:val="5D899786"/>
    <w:rsid w:val="5DB8DBA8"/>
    <w:rsid w:val="5DE754B9"/>
    <w:rsid w:val="5DEA4ED8"/>
    <w:rsid w:val="5EAF7DCE"/>
    <w:rsid w:val="5ED00F78"/>
    <w:rsid w:val="5F0988D9"/>
    <w:rsid w:val="6025112C"/>
    <w:rsid w:val="603CB7D4"/>
    <w:rsid w:val="60559074"/>
    <w:rsid w:val="6065FDAE"/>
    <w:rsid w:val="611C6805"/>
    <w:rsid w:val="613EF248"/>
    <w:rsid w:val="61546D9B"/>
    <w:rsid w:val="616299FA"/>
    <w:rsid w:val="6172106D"/>
    <w:rsid w:val="61944B29"/>
    <w:rsid w:val="61B89703"/>
    <w:rsid w:val="61D15436"/>
    <w:rsid w:val="61DA434D"/>
    <w:rsid w:val="61F0FECF"/>
    <w:rsid w:val="62232F8D"/>
    <w:rsid w:val="624B97D5"/>
    <w:rsid w:val="631BDA25"/>
    <w:rsid w:val="6362F2C7"/>
    <w:rsid w:val="64109123"/>
    <w:rsid w:val="6411CF3E"/>
    <w:rsid w:val="641E02F7"/>
    <w:rsid w:val="643A79F0"/>
    <w:rsid w:val="645FB38A"/>
    <w:rsid w:val="646AFF1B"/>
    <w:rsid w:val="646DD294"/>
    <w:rsid w:val="6483B8B2"/>
    <w:rsid w:val="64E4877C"/>
    <w:rsid w:val="65085C77"/>
    <w:rsid w:val="650E0205"/>
    <w:rsid w:val="65976706"/>
    <w:rsid w:val="65A26EA2"/>
    <w:rsid w:val="65CBD1A4"/>
    <w:rsid w:val="660ABFC3"/>
    <w:rsid w:val="67101C10"/>
    <w:rsid w:val="67AEA479"/>
    <w:rsid w:val="67BD0039"/>
    <w:rsid w:val="67F7899C"/>
    <w:rsid w:val="691D8DE5"/>
    <w:rsid w:val="694068A1"/>
    <w:rsid w:val="6975350C"/>
    <w:rsid w:val="699343EB"/>
    <w:rsid w:val="6A34298F"/>
    <w:rsid w:val="6A479BE8"/>
    <w:rsid w:val="6A844C4B"/>
    <w:rsid w:val="6A9B88EC"/>
    <w:rsid w:val="6B4137CE"/>
    <w:rsid w:val="6B655A25"/>
    <w:rsid w:val="6B7B24D3"/>
    <w:rsid w:val="6C03CCE7"/>
    <w:rsid w:val="6C1BAF70"/>
    <w:rsid w:val="6C61F38E"/>
    <w:rsid w:val="6C644EAD"/>
    <w:rsid w:val="6C945437"/>
    <w:rsid w:val="6CA7C884"/>
    <w:rsid w:val="6CCC1168"/>
    <w:rsid w:val="6D003645"/>
    <w:rsid w:val="6D186E72"/>
    <w:rsid w:val="6D2F0B4A"/>
    <w:rsid w:val="6D40EFF8"/>
    <w:rsid w:val="6D45301B"/>
    <w:rsid w:val="6D77AFAB"/>
    <w:rsid w:val="6D7BE2E1"/>
    <w:rsid w:val="6D94C3FC"/>
    <w:rsid w:val="6D9C0CB3"/>
    <w:rsid w:val="6DFE901A"/>
    <w:rsid w:val="6E08BF05"/>
    <w:rsid w:val="6E211E6A"/>
    <w:rsid w:val="6E29E728"/>
    <w:rsid w:val="6E2E6291"/>
    <w:rsid w:val="6EF1414F"/>
    <w:rsid w:val="6F25D635"/>
    <w:rsid w:val="6F8611FD"/>
    <w:rsid w:val="6F991D54"/>
    <w:rsid w:val="6FAC4FB9"/>
    <w:rsid w:val="6FCF2DB8"/>
    <w:rsid w:val="6FF8FA99"/>
    <w:rsid w:val="70033D64"/>
    <w:rsid w:val="70432B82"/>
    <w:rsid w:val="70D10A1C"/>
    <w:rsid w:val="7114A15B"/>
    <w:rsid w:val="71E08E6B"/>
    <w:rsid w:val="7270D3EE"/>
    <w:rsid w:val="7283EB67"/>
    <w:rsid w:val="728CB071"/>
    <w:rsid w:val="72C969BB"/>
    <w:rsid w:val="73709246"/>
    <w:rsid w:val="7449F410"/>
    <w:rsid w:val="744AAC91"/>
    <w:rsid w:val="746AB022"/>
    <w:rsid w:val="7488754D"/>
    <w:rsid w:val="74BE9BF7"/>
    <w:rsid w:val="751EF916"/>
    <w:rsid w:val="757B53E2"/>
    <w:rsid w:val="75A69700"/>
    <w:rsid w:val="75D585E8"/>
    <w:rsid w:val="76015BAB"/>
    <w:rsid w:val="760ED57E"/>
    <w:rsid w:val="765A6E30"/>
    <w:rsid w:val="76AD6D29"/>
    <w:rsid w:val="7705F7DC"/>
    <w:rsid w:val="771A75B2"/>
    <w:rsid w:val="77497C6F"/>
    <w:rsid w:val="776A95F5"/>
    <w:rsid w:val="77A6543A"/>
    <w:rsid w:val="77B66CD1"/>
    <w:rsid w:val="77BDEFBE"/>
    <w:rsid w:val="78030615"/>
    <w:rsid w:val="782082EE"/>
    <w:rsid w:val="78304C88"/>
    <w:rsid w:val="784EBC8C"/>
    <w:rsid w:val="78545C6B"/>
    <w:rsid w:val="787AEE0C"/>
    <w:rsid w:val="789D5F5F"/>
    <w:rsid w:val="789EF380"/>
    <w:rsid w:val="78B0DF20"/>
    <w:rsid w:val="78E661CC"/>
    <w:rsid w:val="78F0B712"/>
    <w:rsid w:val="79168044"/>
    <w:rsid w:val="792AD097"/>
    <w:rsid w:val="79494A63"/>
    <w:rsid w:val="794F4C18"/>
    <w:rsid w:val="79577E5C"/>
    <w:rsid w:val="796D1F01"/>
    <w:rsid w:val="79963CAD"/>
    <w:rsid w:val="79E1918F"/>
    <w:rsid w:val="7A777E03"/>
    <w:rsid w:val="7A7F35F0"/>
    <w:rsid w:val="7AAB46D0"/>
    <w:rsid w:val="7AB40458"/>
    <w:rsid w:val="7ABEBB9B"/>
    <w:rsid w:val="7B2DE3F9"/>
    <w:rsid w:val="7BCAD2A4"/>
    <w:rsid w:val="7C31E4D5"/>
    <w:rsid w:val="7C6308D1"/>
    <w:rsid w:val="7CB2801E"/>
    <w:rsid w:val="7D1A253B"/>
    <w:rsid w:val="7D1DC826"/>
    <w:rsid w:val="7D26E058"/>
    <w:rsid w:val="7D305FE0"/>
    <w:rsid w:val="7D5CBBDE"/>
    <w:rsid w:val="7D62F615"/>
    <w:rsid w:val="7D815164"/>
    <w:rsid w:val="7D877324"/>
    <w:rsid w:val="7DAA41C4"/>
    <w:rsid w:val="7DDCB8E8"/>
    <w:rsid w:val="7E88FCBD"/>
    <w:rsid w:val="7E8A51CF"/>
    <w:rsid w:val="7E9CB21A"/>
    <w:rsid w:val="7EB58601"/>
    <w:rsid w:val="7EE972C7"/>
    <w:rsid w:val="7EEE757F"/>
    <w:rsid w:val="7F65B7E3"/>
    <w:rsid w:val="7F743E8E"/>
    <w:rsid w:val="7F921C97"/>
    <w:rsid w:val="7FA7BEBF"/>
    <w:rsid w:val="7FE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8096752A-48F4-4CA5-AC57-FE6C35E1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3677B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677B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77B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3677B0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77B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3677B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3677B0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3677B0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77B0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3677B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677B0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677B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Normal"/>
    <w:rsid w:val="003677B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"/>
    <w:link w:val="CH2Char"/>
    <w:rsid w:val="003677B0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"/>
    <w:link w:val="CH3Char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677B0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677B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3677B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Superscript 6 Point + 11 pt"/>
    <w:qFormat/>
    <w:rsid w:val="003677B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3677B0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3677B0"/>
    <w:rPr>
      <w:sz w:val="18"/>
      <w:lang w:val="fr-CA" w:eastAsia="en-US"/>
    </w:rPr>
  </w:style>
  <w:style w:type="table" w:styleId="TableGrid">
    <w:name w:val="Table Grid"/>
    <w:basedOn w:val="TableNormal"/>
    <w:uiPriority w:val="39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677B0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3677B0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3677B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3677B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3677B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3677B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677B0"/>
    <w:pPr>
      <w:numPr>
        <w:numId w:val="3"/>
      </w:numPr>
    </w:pPr>
  </w:style>
  <w:style w:type="paragraph" w:customStyle="1" w:styleId="NormalNonumber">
    <w:name w:val="Normal_No_number"/>
    <w:basedOn w:val="Normalpool"/>
    <w:link w:val="NormalNonumberChar"/>
    <w:rsid w:val="003677B0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3677B0"/>
    <w:pPr>
      <w:spacing w:after="120"/>
    </w:pPr>
  </w:style>
  <w:style w:type="paragraph" w:customStyle="1" w:styleId="Titletable">
    <w:name w:val="Title_table"/>
    <w:basedOn w:val="Normalpool"/>
    <w:rsid w:val="003677B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3677B0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3677B0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3677B0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3677B0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3677B0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3677B0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E4C00"/>
    <w:rPr>
      <w:b/>
      <w:sz w:val="24"/>
      <w:szCs w:val="24"/>
      <w:lang w:val="fr-CA" w:eastAsia="en-US"/>
    </w:rPr>
  </w:style>
  <w:style w:type="character" w:customStyle="1" w:styleId="NormalnumberChar">
    <w:name w:val="Normal_number Char"/>
    <w:link w:val="Normalnumber"/>
    <w:locked/>
    <w:rsid w:val="00FE4C00"/>
    <w:rPr>
      <w:lang w:val="fr-CA" w:eastAsia="en-US"/>
    </w:rPr>
  </w:style>
  <w:style w:type="character" w:customStyle="1" w:styleId="Normal-poolChar">
    <w:name w:val="Normal-pool Char"/>
    <w:link w:val="Normal-pool"/>
    <w:rsid w:val="00FE4C00"/>
    <w:rPr>
      <w:lang w:val="fr-CA" w:eastAsia="en-US"/>
    </w:rPr>
  </w:style>
  <w:style w:type="character" w:customStyle="1" w:styleId="DeltaViewInsertion">
    <w:name w:val="DeltaView Insertion"/>
    <w:uiPriority w:val="99"/>
    <w:rsid w:val="001177F2"/>
    <w:rPr>
      <w:color w:val="0000FF"/>
      <w:u w:val="double"/>
    </w:rPr>
  </w:style>
  <w:style w:type="character" w:customStyle="1" w:styleId="DeltaViewDeletion">
    <w:name w:val="DeltaView Deletion"/>
    <w:uiPriority w:val="99"/>
    <w:rsid w:val="001177F2"/>
    <w:rPr>
      <w:strike/>
      <w:color w:val="FF0000"/>
    </w:rPr>
  </w:style>
  <w:style w:type="character" w:customStyle="1" w:styleId="FooterChar">
    <w:name w:val="Footer Char"/>
    <w:link w:val="Footer"/>
    <w:rsid w:val="003677B0"/>
    <w:rPr>
      <w:sz w:val="18"/>
      <w:lang w:val="fr-FR" w:eastAsia="en-US"/>
    </w:rPr>
  </w:style>
  <w:style w:type="character" w:customStyle="1" w:styleId="HeaderChar">
    <w:name w:val="Header Char"/>
    <w:link w:val="Header"/>
    <w:semiHidden/>
    <w:rsid w:val="003677B0"/>
    <w:rPr>
      <w:b/>
      <w:sz w:val="18"/>
      <w:lang w:val="fr-FR" w:eastAsia="en-US"/>
    </w:rPr>
  </w:style>
  <w:style w:type="character" w:customStyle="1" w:styleId="Heading1Char">
    <w:name w:val="Heading 1 Char"/>
    <w:link w:val="Heading1"/>
    <w:rsid w:val="003677B0"/>
    <w:rPr>
      <w:b/>
      <w:sz w:val="28"/>
      <w:lang w:val="fr-FR" w:eastAsia="en-US"/>
    </w:rPr>
  </w:style>
  <w:style w:type="character" w:customStyle="1" w:styleId="Heading2Char">
    <w:name w:val="Heading 2 Char"/>
    <w:link w:val="Heading2"/>
    <w:rsid w:val="003677B0"/>
    <w:rPr>
      <w:b/>
      <w:sz w:val="24"/>
      <w:szCs w:val="24"/>
      <w:lang w:val="fr-FR" w:eastAsia="en-US"/>
    </w:rPr>
  </w:style>
  <w:style w:type="character" w:customStyle="1" w:styleId="Heading3Char">
    <w:name w:val="Heading 3 Char"/>
    <w:link w:val="Heading3"/>
    <w:rsid w:val="003677B0"/>
    <w:rPr>
      <w:b/>
      <w:lang w:val="fr-FR" w:eastAsia="en-US"/>
    </w:rPr>
  </w:style>
  <w:style w:type="character" w:customStyle="1" w:styleId="Heading4Char">
    <w:name w:val="Heading 4 Char"/>
    <w:link w:val="Heading4"/>
    <w:rsid w:val="003677B0"/>
    <w:rPr>
      <w:b/>
      <w:lang w:val="fr-FR" w:eastAsia="en-US"/>
    </w:rPr>
  </w:style>
  <w:style w:type="character" w:customStyle="1" w:styleId="Heading5Char">
    <w:name w:val="Heading 5 Char"/>
    <w:link w:val="Heading5"/>
    <w:rsid w:val="003677B0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link w:val="Heading6"/>
    <w:rsid w:val="003677B0"/>
    <w:rPr>
      <w:b/>
      <w:bCs/>
      <w:sz w:val="24"/>
      <w:lang w:val="fr-FR" w:eastAsia="en-US"/>
    </w:rPr>
  </w:style>
  <w:style w:type="character" w:customStyle="1" w:styleId="Heading7Char">
    <w:name w:val="Heading 7 Char"/>
    <w:link w:val="Heading7"/>
    <w:rsid w:val="003677B0"/>
    <w:rPr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3677B0"/>
    <w:rPr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3677B0"/>
    <w:rPr>
      <w:snapToGrid w:val="0"/>
      <w:u w:val="single"/>
      <w:lang w:val="en-US" w:eastAsia="en-US"/>
    </w:rPr>
  </w:style>
  <w:style w:type="character" w:customStyle="1" w:styleId="CH3Char">
    <w:name w:val="CH3 Char"/>
    <w:link w:val="CH3"/>
    <w:locked/>
    <w:rsid w:val="0025439F"/>
    <w:rPr>
      <w:b/>
      <w:lang w:val="fr-CA" w:eastAsia="en-US"/>
    </w:rPr>
  </w:style>
  <w:style w:type="character" w:customStyle="1" w:styleId="BBTitleChar">
    <w:name w:val="BB_Title Char"/>
    <w:link w:val="BBTitle"/>
    <w:rsid w:val="00966FB3"/>
    <w:rPr>
      <w:b/>
      <w:sz w:val="28"/>
      <w:szCs w:val="28"/>
      <w:lang w:val="fr-CA" w:eastAsia="en-US"/>
    </w:rPr>
  </w:style>
  <w:style w:type="character" w:customStyle="1" w:styleId="ZZAnxtitleChar">
    <w:name w:val="ZZ_Anx_title Char"/>
    <w:link w:val="ZZAnxtitle"/>
    <w:rsid w:val="00966FB3"/>
    <w:rPr>
      <w:b/>
      <w:bCs/>
      <w:sz w:val="28"/>
      <w:szCs w:val="26"/>
      <w:lang w:val="fr-CA" w:eastAsia="en-US"/>
    </w:rPr>
  </w:style>
  <w:style w:type="character" w:customStyle="1" w:styleId="ZZAnxheaderChar">
    <w:name w:val="ZZ_Anx_header Char"/>
    <w:link w:val="ZZAnxheader"/>
    <w:rsid w:val="00720ABC"/>
    <w:rPr>
      <w:b/>
      <w:bCs/>
      <w:sz w:val="28"/>
      <w:szCs w:val="22"/>
      <w:lang w:val="fr-CA" w:eastAsia="en-US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locked/>
    <w:rsid w:val="00720ABC"/>
    <w:rPr>
      <w:lang w:val="fr-FR" w:eastAsia="en-US"/>
    </w:rPr>
  </w:style>
  <w:style w:type="character" w:customStyle="1" w:styleId="FootnoteTextChar1">
    <w:name w:val="Footnote Text Char1"/>
    <w:aliases w:val="10 Char1,92 Char1,Boston Char1,Boston 10 Char1,DNV-FT Char1,FOOTNOTES Char1,Font: Char1,Font: Geneva 9 Char1,Footnote Text Char Char Char,Footnote Text Rail EIS Char1,Footnote ak Char,Footnotes Char,Footnotes Char Char Char,f Char1"/>
    <w:basedOn w:val="DefaultParagraphFont"/>
    <w:uiPriority w:val="99"/>
    <w:semiHidden/>
    <w:rsid w:val="00720ABC"/>
    <w:rPr>
      <w:rFonts w:ascii="Times New Roman" w:hAnsi="Times New Roman" w:cs="Times New Roman"/>
      <w:sz w:val="20"/>
      <w:szCs w:val="20"/>
    </w:rPr>
  </w:style>
  <w:style w:type="character" w:customStyle="1" w:styleId="NormalNonumberChar">
    <w:name w:val="Normal_No_number Char"/>
    <w:link w:val="NormalNonumber"/>
    <w:locked/>
    <w:rsid w:val="001E298D"/>
    <w:rPr>
      <w:lang w:val="fr-CA" w:eastAsia="en-US"/>
    </w:rPr>
  </w:style>
  <w:style w:type="paragraph" w:customStyle="1" w:styleId="Corps">
    <w:name w:val="Corps"/>
    <w:rsid w:val="001E29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1E29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Brdtext">
    <w:name w:val="Brödtext"/>
    <w:rsid w:val="009A36E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Inget">
    <w:name w:val="Inget"/>
    <w:rsid w:val="009A36EE"/>
  </w:style>
  <w:style w:type="paragraph" w:customStyle="1" w:styleId="mainpara">
    <w:name w:val="mainpara"/>
    <w:basedOn w:val="Normal"/>
    <w:rsid w:val="009A36EE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/>
    </w:pPr>
    <w:rPr>
      <w:snapToGrid w:val="0"/>
    </w:rPr>
  </w:style>
  <w:style w:type="paragraph" w:customStyle="1" w:styleId="Default">
    <w:name w:val="Default"/>
    <w:rsid w:val="009A3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A36EE"/>
    <w:rPr>
      <w:b/>
      <w:bCs/>
    </w:rPr>
  </w:style>
  <w:style w:type="paragraph" w:customStyle="1" w:styleId="Subparagraphs">
    <w:name w:val="Subparagraphs"/>
    <w:basedOn w:val="Normal"/>
    <w:qFormat/>
    <w:rsid w:val="009A36EE"/>
    <w:pPr>
      <w:numPr>
        <w:ilvl w:val="2"/>
        <w:numId w:val="6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76" w:firstLine="709"/>
    </w:pPr>
    <w:rPr>
      <w:rFonts w:asciiTheme="majorBidi" w:hAnsiTheme="majorBidi" w:cstheme="majorBidi"/>
      <w:color w:val="242424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A36E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9A36EE"/>
  </w:style>
  <w:style w:type="character" w:customStyle="1" w:styleId="EndnoteTextChar">
    <w:name w:val="Endnote Text Char"/>
    <w:basedOn w:val="DefaultParagraphFont"/>
    <w:link w:val="EndnoteText"/>
    <w:semiHidden/>
    <w:rsid w:val="009A36EE"/>
    <w:rPr>
      <w:lang w:val="fr-FR" w:eastAsia="en-US"/>
    </w:rPr>
  </w:style>
  <w:style w:type="character" w:styleId="EndnoteReference">
    <w:name w:val="endnote reference"/>
    <w:basedOn w:val="DefaultParagraphFont"/>
    <w:semiHidden/>
    <w:unhideWhenUsed/>
    <w:rsid w:val="009A36EE"/>
    <w:rPr>
      <w:vertAlign w:val="superscript"/>
    </w:rPr>
  </w:style>
  <w:style w:type="character" w:customStyle="1" w:styleId="dn">
    <w:name w:val="Žádný"/>
    <w:rsid w:val="009A36EE"/>
  </w:style>
  <w:style w:type="paragraph" w:customStyle="1" w:styleId="TextA">
    <w:name w:val="Text A"/>
    <w:rsid w:val="009A36E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paragraph" w:styleId="Caption">
    <w:name w:val="caption"/>
    <w:basedOn w:val="Normal"/>
    <w:next w:val="Normal"/>
    <w:unhideWhenUsed/>
    <w:qFormat/>
    <w:rsid w:val="009A36EE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Importovanstyl10">
    <w:name w:val="Importovaný styl 10"/>
    <w:rsid w:val="009A36EE"/>
    <w:pPr>
      <w:numPr>
        <w:numId w:val="7"/>
      </w:numPr>
    </w:pPr>
  </w:style>
  <w:style w:type="paragraph" w:customStyle="1" w:styleId="Vchoz">
    <w:name w:val="Výchozí"/>
    <w:rsid w:val="009A36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Subparagraph">
    <w:name w:val="Subparagraph"/>
    <w:basedOn w:val="Normal"/>
    <w:rsid w:val="009A36EE"/>
    <w:pPr>
      <w:numPr>
        <w:numId w:val="8"/>
      </w:numPr>
    </w:pPr>
  </w:style>
  <w:style w:type="character" w:customStyle="1" w:styleId="eref">
    <w:name w:val="eref"/>
    <w:basedOn w:val="DefaultParagraphFont"/>
    <w:rsid w:val="009A36EE"/>
  </w:style>
  <w:style w:type="character" w:customStyle="1" w:styleId="terminologypart">
    <w:name w:val="terminologypart"/>
    <w:basedOn w:val="DefaultParagraphFont"/>
    <w:rsid w:val="009A36EE"/>
  </w:style>
  <w:style w:type="paragraph" w:customStyle="1" w:styleId="Text">
    <w:name w:val="Text"/>
    <w:rsid w:val="008F361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  <w:style w:type="character" w:customStyle="1" w:styleId="fr">
    <w:name w:val="fr"/>
    <w:basedOn w:val="DefaultParagraphFont"/>
    <w:rsid w:val="008C5BC8"/>
  </w:style>
  <w:style w:type="character" w:styleId="UnresolvedMention">
    <w:name w:val="Unresolved Mention"/>
    <w:basedOn w:val="DefaultParagraphFont"/>
    <w:uiPriority w:val="99"/>
    <w:unhideWhenUsed/>
    <w:rsid w:val="00A3045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30457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A2EA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2A2EA6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A2EA6"/>
    <w:rPr>
      <w:rFonts w:ascii="Cambria" w:eastAsia="SimSun" w:hAnsi="Cambria"/>
      <w:sz w:val="24"/>
      <w:szCs w:val="24"/>
      <w:lang w:val="fr-FR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A2EA6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yle1">
    <w:name w:val="Style1"/>
    <w:basedOn w:val="Normal"/>
    <w:qFormat/>
    <w:rsid w:val="002A2EA6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  <w:ind w:left="851" w:right="1418"/>
      <w:outlineLvl w:val="0"/>
    </w:pPr>
    <w:rPr>
      <w:b/>
      <w:bCs/>
      <w:kern w:val="36"/>
      <w:sz w:val="48"/>
      <w:szCs w:val="48"/>
      <w:lang w:val="en-GB" w:eastAsia="en-GB"/>
    </w:rPr>
  </w:style>
  <w:style w:type="table" w:styleId="PlainTable2">
    <w:name w:val="Plain Table 2"/>
    <w:basedOn w:val="TableNormal"/>
    <w:uiPriority w:val="42"/>
    <w:rsid w:val="00AF69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4.tmp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C396-1E21-4B6F-9917-C27FDB38E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58EFC-E8BE-4A2A-9D2F-9E0B0E75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6919F-5E08-4774-A8DA-EAF0AA25B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67F1B9-034C-4900-B2D5-7F8CE0D1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22113</CharactersWithSpaces>
  <SharedDoc>false</SharedDoc>
  <HLinks>
    <vt:vector size="90" baseType="variant">
      <vt:variant>
        <vt:i4>2031671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_Toc39063374</vt:lpwstr>
      </vt:variant>
      <vt:variant>
        <vt:i4>1966134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_Toc39063365</vt:lpwstr>
      </vt:variant>
      <vt:variant>
        <vt:i4>2031670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_Toc39063364</vt:lpwstr>
      </vt:variant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_Toc39063362</vt:lpwstr>
      </vt:variant>
      <vt:variant>
        <vt:i4>1835061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_Toc39063357</vt:lpwstr>
      </vt:variant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_Toc39063356</vt:lpwstr>
      </vt:variant>
      <vt:variant>
        <vt:i4>1966133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_Toc39063355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_Toc39063354</vt:lpwstr>
      </vt:variant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_Toc39063353</vt:lpwstr>
      </vt:variant>
      <vt:variant>
        <vt:i4>1638453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_Toc39063352</vt:lpwstr>
      </vt:variant>
      <vt:variant>
        <vt:i4>1703989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_Toc39063351</vt:lpwstr>
      </vt:variant>
      <vt:variant>
        <vt:i4>1769525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_Toc39063350</vt:lpwstr>
      </vt:variant>
      <vt:variant>
        <vt:i4>1179700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_Toc39063349</vt:lpwstr>
      </vt:variant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http://www.mercuryconvention.org/Accueil/tabid/5576/language/fr-CH/Default.aspx</vt:lpwstr>
      </vt:variant>
      <vt:variant>
        <vt:lpwstr/>
      </vt:variant>
      <vt:variant>
        <vt:i4>5505083</vt:i4>
      </vt:variant>
      <vt:variant>
        <vt:i4>0</vt:i4>
      </vt:variant>
      <vt:variant>
        <vt:i4>0</vt:i4>
      </vt:variant>
      <vt:variant>
        <vt:i4>5</vt:i4>
      </vt:variant>
      <vt:variant>
        <vt:lpwstr>mailto:mea-minamatasecretariat@un.org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cp:lastModifiedBy>Alexandru SOFRONI</cp:lastModifiedBy>
  <cp:revision>2</cp:revision>
  <cp:lastPrinted>2020-11-06T13:54:00Z</cp:lastPrinted>
  <dcterms:created xsi:type="dcterms:W3CDTF">2020-11-06T13:56:00Z</dcterms:created>
  <dcterms:modified xsi:type="dcterms:W3CDTF">2020-11-06T13:56:00Z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  <property fmtid="{D5CDD505-2E9C-101B-9397-08002B2CF9AE}" pid="3" name="Order">
    <vt:r8>100</vt:r8>
  </property>
</Properties>
</file>