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99003C" w:rsidRPr="00A7082A" w14:paraId="0EB4B852" w14:textId="77777777" w:rsidTr="00417FE2">
        <w:trPr>
          <w:cantSplit/>
          <w:trHeight w:val="57"/>
          <w:jc w:val="right"/>
        </w:trPr>
        <w:tc>
          <w:tcPr>
            <w:tcW w:w="1517" w:type="dxa"/>
          </w:tcPr>
          <w:p w14:paraId="72B540E8" w14:textId="77777777" w:rsidR="0099003C" w:rsidRPr="00A7082A" w:rsidRDefault="0099003C" w:rsidP="00320066">
            <w:pPr>
              <w:pStyle w:val="Normal-pool"/>
              <w:rPr>
                <w:rFonts w:ascii="Arial" w:hAnsi="Arial"/>
                <w:b/>
                <w:sz w:val="27"/>
              </w:rPr>
            </w:pPr>
            <w:r w:rsidRPr="00A7082A">
              <w:rPr>
                <w:rFonts w:ascii="Arial" w:hAnsi="Arial"/>
                <w:b/>
                <w:sz w:val="27"/>
              </w:rPr>
              <w:t xml:space="preserve">UNITED </w:t>
            </w:r>
            <w:r w:rsidRPr="00A7082A">
              <w:rPr>
                <w:rFonts w:ascii="Arial" w:hAnsi="Arial"/>
                <w:b/>
                <w:sz w:val="27"/>
              </w:rPr>
              <w:br/>
              <w:t>NATIONS</w:t>
            </w:r>
          </w:p>
        </w:tc>
        <w:tc>
          <w:tcPr>
            <w:tcW w:w="4640" w:type="dxa"/>
          </w:tcPr>
          <w:p w14:paraId="2E87FABF" w14:textId="77777777" w:rsidR="0099003C" w:rsidRPr="00A7082A" w:rsidRDefault="0099003C" w:rsidP="00320066">
            <w:pPr>
              <w:pStyle w:val="Normal-pool"/>
              <w:rPr>
                <w:rFonts w:ascii="Univers" w:hAnsi="Univers"/>
              </w:rPr>
            </w:pPr>
          </w:p>
        </w:tc>
        <w:tc>
          <w:tcPr>
            <w:tcW w:w="3333" w:type="dxa"/>
          </w:tcPr>
          <w:p w14:paraId="31AB2B9B" w14:textId="77777777" w:rsidR="0099003C" w:rsidRPr="00A7082A" w:rsidRDefault="0099003C" w:rsidP="00320066">
            <w:pPr>
              <w:pStyle w:val="Normal-pool"/>
              <w:jc w:val="right"/>
              <w:rPr>
                <w:rFonts w:ascii="Arial" w:hAnsi="Arial"/>
                <w:b/>
                <w:sz w:val="64"/>
              </w:rPr>
            </w:pPr>
            <w:r w:rsidRPr="00A7082A">
              <w:rPr>
                <w:rFonts w:ascii="Arial" w:hAnsi="Arial"/>
                <w:b/>
                <w:sz w:val="64"/>
              </w:rPr>
              <w:t>MC</w:t>
            </w:r>
          </w:p>
        </w:tc>
      </w:tr>
      <w:tr w:rsidR="0099003C" w:rsidRPr="00A7082A" w14:paraId="2708E72F" w14:textId="77777777" w:rsidTr="00417FE2">
        <w:trPr>
          <w:cantSplit/>
          <w:trHeight w:val="57"/>
          <w:jc w:val="right"/>
        </w:trPr>
        <w:tc>
          <w:tcPr>
            <w:tcW w:w="1517" w:type="dxa"/>
            <w:tcBorders>
              <w:bottom w:val="single" w:sz="4" w:space="0" w:color="auto"/>
            </w:tcBorders>
          </w:tcPr>
          <w:p w14:paraId="460FE18E" w14:textId="77777777" w:rsidR="0099003C" w:rsidRPr="00A7082A" w:rsidRDefault="0099003C" w:rsidP="00320066">
            <w:pPr>
              <w:pStyle w:val="Normal-pool"/>
              <w:rPr>
                <w:sz w:val="18"/>
              </w:rPr>
            </w:pPr>
          </w:p>
        </w:tc>
        <w:tc>
          <w:tcPr>
            <w:tcW w:w="4640" w:type="dxa"/>
            <w:tcBorders>
              <w:bottom w:val="single" w:sz="4" w:space="0" w:color="auto"/>
            </w:tcBorders>
          </w:tcPr>
          <w:p w14:paraId="6A4CCE2A" w14:textId="77777777" w:rsidR="0099003C" w:rsidRPr="00A7082A" w:rsidRDefault="0099003C" w:rsidP="00320066">
            <w:pPr>
              <w:pStyle w:val="Normal-pool"/>
              <w:rPr>
                <w:rFonts w:ascii="Univers" w:hAnsi="Univers"/>
                <w:sz w:val="18"/>
              </w:rPr>
            </w:pPr>
          </w:p>
        </w:tc>
        <w:tc>
          <w:tcPr>
            <w:tcW w:w="3333" w:type="dxa"/>
            <w:tcBorders>
              <w:bottom w:val="single" w:sz="4" w:space="0" w:color="auto"/>
            </w:tcBorders>
          </w:tcPr>
          <w:p w14:paraId="1F8E0956" w14:textId="04271410" w:rsidR="0099003C" w:rsidRPr="00A7082A" w:rsidRDefault="0099003C" w:rsidP="00320066">
            <w:pPr>
              <w:pStyle w:val="Normal-pool"/>
              <w:rPr>
                <w:sz w:val="18"/>
              </w:rPr>
            </w:pPr>
            <w:r w:rsidRPr="00A7082A">
              <w:rPr>
                <w:b/>
                <w:sz w:val="28"/>
              </w:rPr>
              <w:t>UNEP</w:t>
            </w:r>
            <w:r w:rsidRPr="00A7082A">
              <w:t>/MC/COP.</w:t>
            </w:r>
            <w:r w:rsidR="00076758" w:rsidRPr="00A7082A">
              <w:t>3</w:t>
            </w:r>
            <w:r w:rsidRPr="00A7082A">
              <w:t>/</w:t>
            </w:r>
            <w:r w:rsidR="00C870D0">
              <w:t>Dec.1</w:t>
            </w:r>
            <w:r w:rsidR="00B3200D">
              <w:t>0</w:t>
            </w:r>
            <w:bookmarkStart w:id="0" w:name="_GoBack"/>
            <w:bookmarkEnd w:id="0"/>
          </w:p>
        </w:tc>
      </w:tr>
      <w:tr w:rsidR="0099003C" w:rsidRPr="00A7082A" w14:paraId="561B5AE7" w14:textId="77777777" w:rsidTr="00417FE2">
        <w:trPr>
          <w:cantSplit/>
          <w:trHeight w:val="57"/>
          <w:jc w:val="right"/>
        </w:trPr>
        <w:tc>
          <w:tcPr>
            <w:tcW w:w="1517" w:type="dxa"/>
            <w:tcBorders>
              <w:top w:val="single" w:sz="4" w:space="0" w:color="auto"/>
              <w:bottom w:val="single" w:sz="24" w:space="0" w:color="auto"/>
            </w:tcBorders>
          </w:tcPr>
          <w:p w14:paraId="1B99BFBB" w14:textId="77777777" w:rsidR="0099003C" w:rsidRPr="00A7082A" w:rsidRDefault="0099003C" w:rsidP="00320066">
            <w:pPr>
              <w:pStyle w:val="Normal-pool"/>
            </w:pPr>
            <w:r w:rsidRPr="00A7082A">
              <w:rPr>
                <w:noProof/>
                <w:lang w:eastAsia="en-GB"/>
              </w:rPr>
              <w:drawing>
                <wp:inline distT="0" distB="0" distL="0" distR="0" wp14:anchorId="0EF83FA0" wp14:editId="64AD8C7A">
                  <wp:extent cx="828040" cy="7689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A7082A">
              <w:rPr>
                <w:noProof/>
                <w:lang w:eastAsia="en-GB"/>
              </w:rPr>
              <w:drawing>
                <wp:inline distT="0" distB="0" distL="0" distR="0" wp14:anchorId="70F31CBA" wp14:editId="39A207CD">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0" w:type="dxa"/>
            <w:tcBorders>
              <w:top w:val="single" w:sz="4" w:space="0" w:color="auto"/>
              <w:bottom w:val="single" w:sz="24" w:space="0" w:color="auto"/>
            </w:tcBorders>
          </w:tcPr>
          <w:p w14:paraId="745D319C" w14:textId="77777777" w:rsidR="0099003C" w:rsidRPr="00A7082A" w:rsidRDefault="0099003C">
            <w:pPr>
              <w:pStyle w:val="Normal-pool"/>
              <w:spacing w:before="1200"/>
              <w:rPr>
                <w:rFonts w:ascii="Arial" w:hAnsi="Arial"/>
                <w:sz w:val="32"/>
              </w:rPr>
            </w:pPr>
            <w:r w:rsidRPr="00A7082A">
              <w:rPr>
                <w:rFonts w:ascii="Arial" w:hAnsi="Arial"/>
                <w:b/>
                <w:sz w:val="32"/>
              </w:rPr>
              <w:t xml:space="preserve">United Nations </w:t>
            </w:r>
            <w:r w:rsidRPr="00A7082A">
              <w:rPr>
                <w:rFonts w:ascii="Arial" w:hAnsi="Arial"/>
                <w:b/>
                <w:sz w:val="32"/>
              </w:rPr>
              <w:br/>
              <w:t xml:space="preserve">Environment </w:t>
            </w:r>
            <w:r w:rsidRPr="00A7082A">
              <w:rPr>
                <w:rFonts w:ascii="Arial" w:hAnsi="Arial"/>
                <w:b/>
                <w:sz w:val="32"/>
              </w:rPr>
              <w:br/>
              <w:t>Programme</w:t>
            </w:r>
          </w:p>
        </w:tc>
        <w:tc>
          <w:tcPr>
            <w:tcW w:w="3333" w:type="dxa"/>
            <w:tcBorders>
              <w:top w:val="single" w:sz="4" w:space="0" w:color="auto"/>
              <w:bottom w:val="single" w:sz="24" w:space="0" w:color="auto"/>
            </w:tcBorders>
          </w:tcPr>
          <w:p w14:paraId="36453538" w14:textId="03E4B9EA" w:rsidR="0099003C" w:rsidRPr="00A7082A" w:rsidRDefault="0099003C" w:rsidP="00320066">
            <w:pPr>
              <w:pStyle w:val="Normal-pool"/>
              <w:spacing w:before="120"/>
            </w:pPr>
            <w:r w:rsidRPr="00A7082A">
              <w:t xml:space="preserve">Distr.: </w:t>
            </w:r>
            <w:r w:rsidR="00F56012" w:rsidRPr="00A7082A">
              <w:t xml:space="preserve">General </w:t>
            </w:r>
            <w:r w:rsidRPr="00A7082A">
              <w:br/>
            </w:r>
            <w:r w:rsidR="009C52E8" w:rsidRPr="00A7082A">
              <w:t>7 January 2020</w:t>
            </w:r>
          </w:p>
          <w:p w14:paraId="18176F73" w14:textId="77777777" w:rsidR="0099003C" w:rsidRPr="00A7082A" w:rsidRDefault="0099003C" w:rsidP="00320066">
            <w:pPr>
              <w:pStyle w:val="Normal-pool"/>
              <w:spacing w:before="120"/>
            </w:pPr>
            <w:r w:rsidRPr="00A7082A">
              <w:t>Original: English</w:t>
            </w:r>
          </w:p>
        </w:tc>
      </w:tr>
    </w:tbl>
    <w:p w14:paraId="727B3EBC" w14:textId="77777777" w:rsidR="0099003C" w:rsidRPr="00A7082A" w:rsidRDefault="0099003C" w:rsidP="00587D09">
      <w:pPr>
        <w:pStyle w:val="AATitle"/>
      </w:pPr>
      <w:r w:rsidRPr="00A7082A">
        <w:t xml:space="preserve">Conference of the Parties to the </w:t>
      </w:r>
      <w:r w:rsidRPr="00A7082A">
        <w:br/>
        <w:t>Minamata Convention on Mercury</w:t>
      </w:r>
    </w:p>
    <w:p w14:paraId="7D22A4EF" w14:textId="202863B3" w:rsidR="0099003C" w:rsidRPr="00A7082A" w:rsidRDefault="00076758" w:rsidP="00587D09">
      <w:pPr>
        <w:pStyle w:val="AATitle"/>
      </w:pPr>
      <w:r w:rsidRPr="00A7082A">
        <w:t xml:space="preserve">Third </w:t>
      </w:r>
      <w:r w:rsidR="0099003C" w:rsidRPr="00A7082A">
        <w:t>meeting</w:t>
      </w:r>
    </w:p>
    <w:p w14:paraId="351E61BB" w14:textId="6C1FDB1B" w:rsidR="0099003C" w:rsidRPr="00A7082A" w:rsidRDefault="0099003C" w:rsidP="0099003C">
      <w:pPr>
        <w:pStyle w:val="AATitle"/>
        <w:rPr>
          <w:b w:val="0"/>
        </w:rPr>
      </w:pPr>
      <w:r w:rsidRPr="00A7082A">
        <w:rPr>
          <w:b w:val="0"/>
        </w:rPr>
        <w:t xml:space="preserve">Geneva, </w:t>
      </w:r>
      <w:r w:rsidR="00076758" w:rsidRPr="00A7082A">
        <w:rPr>
          <w:b w:val="0"/>
        </w:rPr>
        <w:t>25</w:t>
      </w:r>
      <w:r w:rsidRPr="00A7082A">
        <w:rPr>
          <w:b w:val="0"/>
        </w:rPr>
        <w:t>–2</w:t>
      </w:r>
      <w:r w:rsidR="00076758" w:rsidRPr="00A7082A">
        <w:rPr>
          <w:b w:val="0"/>
        </w:rPr>
        <w:t>9</w:t>
      </w:r>
      <w:r w:rsidRPr="00A7082A">
        <w:rPr>
          <w:b w:val="0"/>
        </w:rPr>
        <w:t xml:space="preserve"> November 201</w:t>
      </w:r>
      <w:r w:rsidR="00076758" w:rsidRPr="00A7082A">
        <w:rPr>
          <w:b w:val="0"/>
        </w:rPr>
        <w:t>9</w:t>
      </w:r>
    </w:p>
    <w:p w14:paraId="699814FA" w14:textId="45A1862D" w:rsidR="0099003C" w:rsidRPr="00A7082A" w:rsidRDefault="001D1473" w:rsidP="0099003C">
      <w:pPr>
        <w:pStyle w:val="BBTitle"/>
      </w:pPr>
      <w:r>
        <w:t>Decision adopted by</w:t>
      </w:r>
      <w:r w:rsidR="00661B39">
        <w:t xml:space="preserve"> the third</w:t>
      </w:r>
      <w:r w:rsidR="0099003C" w:rsidRPr="00A7082A">
        <w:t xml:space="preserve"> Conference of the Parties to the Minamata Convention on Mercury</w:t>
      </w:r>
    </w:p>
    <w:p w14:paraId="55AA1BF3" w14:textId="1D10246C" w:rsidR="00CB2628" w:rsidRPr="00A7082A" w:rsidRDefault="0099003C" w:rsidP="006713D2">
      <w:pPr>
        <w:pStyle w:val="CH1"/>
      </w:pPr>
      <w:r w:rsidRPr="00A7082A">
        <w:tab/>
      </w:r>
    </w:p>
    <w:p w14:paraId="74EEC1F8" w14:textId="77777777" w:rsidR="00B3200D" w:rsidRPr="00A7082A" w:rsidRDefault="00CB2628" w:rsidP="00B3200D">
      <w:pPr>
        <w:pStyle w:val="CH1"/>
      </w:pPr>
      <w:r w:rsidRPr="00A7082A">
        <w:rPr>
          <w:bCs/>
        </w:rPr>
        <w:tab/>
      </w:r>
      <w:r w:rsidRPr="00A7082A">
        <w:rPr>
          <w:bCs/>
        </w:rPr>
        <w:tab/>
      </w:r>
      <w:r w:rsidR="00B3200D" w:rsidRPr="00A7082A">
        <w:t>MC-3/10: Arrangements for the first effectiveness evaluation of the Minamata Convention on Mercury</w:t>
      </w:r>
    </w:p>
    <w:p w14:paraId="06942FFF" w14:textId="77777777" w:rsidR="00B3200D" w:rsidRPr="00A7082A" w:rsidRDefault="00B3200D" w:rsidP="00B3200D">
      <w:pPr>
        <w:tabs>
          <w:tab w:val="clear" w:pos="1247"/>
          <w:tab w:val="clear" w:pos="1814"/>
          <w:tab w:val="clear" w:pos="2381"/>
          <w:tab w:val="clear" w:pos="2948"/>
          <w:tab w:val="clear" w:pos="3515"/>
        </w:tabs>
        <w:spacing w:before="120" w:after="120"/>
        <w:ind w:left="1247" w:firstLine="624"/>
        <w:rPr>
          <w:i/>
        </w:rPr>
      </w:pPr>
      <w:r w:rsidRPr="00A7082A">
        <w:rPr>
          <w:i/>
        </w:rPr>
        <w:tab/>
        <w:t>The Conference of the Parties,</w:t>
      </w:r>
      <w:r w:rsidRPr="00A7082A">
        <w:t xml:space="preserve"> </w:t>
      </w:r>
    </w:p>
    <w:p w14:paraId="7E020880" w14:textId="77777777" w:rsidR="00B3200D" w:rsidRPr="00A7082A" w:rsidRDefault="00B3200D" w:rsidP="00B3200D">
      <w:pPr>
        <w:tabs>
          <w:tab w:val="clear" w:pos="1247"/>
          <w:tab w:val="clear" w:pos="1814"/>
          <w:tab w:val="clear" w:pos="2381"/>
          <w:tab w:val="clear" w:pos="2948"/>
          <w:tab w:val="clear" w:pos="3515"/>
        </w:tabs>
        <w:spacing w:before="120" w:after="120"/>
        <w:ind w:left="1247" w:firstLine="624"/>
        <w:rPr>
          <w:rFonts w:eastAsia="Calibri Light"/>
        </w:rPr>
      </w:pPr>
      <w:r w:rsidRPr="00A7082A">
        <w:rPr>
          <w:i/>
          <w:iCs/>
        </w:rPr>
        <w:t xml:space="preserve">Welcoming </w:t>
      </w:r>
      <w:r w:rsidRPr="00A7082A">
        <w:t>the report on the proposed framework for the effectiveness evaluation and monitoring arrangements under the Minamata Convention,</w:t>
      </w:r>
      <w:r w:rsidRPr="00A7082A">
        <w:rPr>
          <w:rFonts w:eastAsia="Calibri Light"/>
          <w:vertAlign w:val="superscript"/>
        </w:rPr>
        <w:footnoteReference w:id="2"/>
      </w:r>
      <w:r w:rsidRPr="00A7082A">
        <w:t xml:space="preserve"> and the complementing information developed by the ad hoc technical expert group on the basis of the mandates set out in decisions MC1/9 and MC-2/10,</w:t>
      </w:r>
      <w:r w:rsidRPr="00A7082A">
        <w:rPr>
          <w:rFonts w:eastAsia="Calibri Light"/>
          <w:vertAlign w:val="superscript"/>
        </w:rPr>
        <w:footnoteReference w:id="3"/>
      </w:r>
      <w:r w:rsidRPr="00A7082A">
        <w:t xml:space="preserve"> </w:t>
      </w:r>
    </w:p>
    <w:p w14:paraId="2F0CFF8D" w14:textId="77777777" w:rsidR="00B3200D" w:rsidRPr="00A7082A" w:rsidRDefault="00B3200D" w:rsidP="00B3200D">
      <w:pPr>
        <w:tabs>
          <w:tab w:val="clear" w:pos="1247"/>
          <w:tab w:val="clear" w:pos="1814"/>
          <w:tab w:val="clear" w:pos="2381"/>
          <w:tab w:val="clear" w:pos="2948"/>
          <w:tab w:val="clear" w:pos="3515"/>
        </w:tabs>
        <w:spacing w:before="120" w:after="120"/>
        <w:ind w:left="1247" w:firstLine="624"/>
        <w:rPr>
          <w:i/>
        </w:rPr>
      </w:pPr>
      <w:r w:rsidRPr="00A7082A">
        <w:rPr>
          <w:bCs/>
          <w:i/>
        </w:rPr>
        <w:t xml:space="preserve">Recognizing </w:t>
      </w:r>
      <w:r w:rsidRPr="00A7082A">
        <w:rPr>
          <w:iCs/>
        </w:rPr>
        <w:t>the efforts to advance the work on the effectiveness evaluation at the third meeting of the Conference of the Parties,</w:t>
      </w:r>
    </w:p>
    <w:p w14:paraId="20B4912D" w14:textId="77777777" w:rsidR="00B3200D" w:rsidRPr="00A7082A" w:rsidRDefault="00B3200D" w:rsidP="00B3200D">
      <w:pPr>
        <w:numPr>
          <w:ilvl w:val="0"/>
          <w:numId w:val="36"/>
        </w:numPr>
        <w:tabs>
          <w:tab w:val="clear" w:pos="1247"/>
          <w:tab w:val="clear" w:pos="1814"/>
          <w:tab w:val="clear" w:pos="2381"/>
          <w:tab w:val="clear" w:pos="2948"/>
          <w:tab w:val="clear" w:pos="3515"/>
          <w:tab w:val="left" w:pos="624"/>
        </w:tabs>
        <w:spacing w:after="120"/>
        <w:ind w:left="1247" w:firstLine="624"/>
      </w:pPr>
      <w:r w:rsidRPr="00A7082A">
        <w:rPr>
          <w:i/>
          <w:iCs/>
        </w:rPr>
        <w:t>Invites</w:t>
      </w:r>
      <w:r w:rsidRPr="00A7082A">
        <w:t xml:space="preserve"> parties to submit views on the indicators set out in annex I to the present decision and requests the secretariat to compile those views in advance of the fourth meeting of the Conference of the Parties;</w:t>
      </w:r>
    </w:p>
    <w:p w14:paraId="4A3233BA" w14:textId="77777777" w:rsidR="00B3200D" w:rsidRPr="00A7082A" w:rsidRDefault="00B3200D" w:rsidP="00B3200D">
      <w:pPr>
        <w:numPr>
          <w:ilvl w:val="0"/>
          <w:numId w:val="36"/>
        </w:numPr>
        <w:tabs>
          <w:tab w:val="clear" w:pos="1247"/>
          <w:tab w:val="clear" w:pos="1814"/>
          <w:tab w:val="clear" w:pos="2381"/>
          <w:tab w:val="clear" w:pos="2948"/>
          <w:tab w:val="clear" w:pos="3515"/>
          <w:tab w:val="left" w:pos="624"/>
        </w:tabs>
        <w:spacing w:after="120"/>
        <w:ind w:left="1247" w:firstLine="624"/>
      </w:pPr>
      <w:r w:rsidRPr="00A7082A">
        <w:rPr>
          <w:i/>
        </w:rPr>
        <w:t>Requests</w:t>
      </w:r>
      <w:r w:rsidRPr="00A7082A">
        <w:t xml:space="preserve"> the </w:t>
      </w:r>
      <w:r w:rsidRPr="00A7082A">
        <w:rPr>
          <w:bCs/>
          <w:iCs/>
        </w:rPr>
        <w:t>secretariat</w:t>
      </w:r>
      <w:r w:rsidRPr="00A7082A">
        <w:t xml:space="preserve"> to advance the work by securing services for drafting:</w:t>
      </w:r>
    </w:p>
    <w:p w14:paraId="02F7523F" w14:textId="77777777" w:rsidR="00B3200D" w:rsidRPr="00A7082A" w:rsidRDefault="00B3200D" w:rsidP="00B3200D">
      <w:pPr>
        <w:pStyle w:val="Normal-pool"/>
        <w:numPr>
          <w:ilvl w:val="0"/>
          <w:numId w:val="99"/>
        </w:numPr>
        <w:spacing w:after="120"/>
        <w:ind w:left="1247" w:firstLine="624"/>
      </w:pPr>
      <w:r w:rsidRPr="00A7082A">
        <w:t>Guidance on monitoring to maintain harmonized, comparable information on mercury levels in the environment, taking into consideration the draft structure set out in the note on background information on mercury monitoring;</w:t>
      </w:r>
      <w:r w:rsidRPr="00A7082A">
        <w:rPr>
          <w:rStyle w:val="FootnoteReference"/>
        </w:rPr>
        <w:footnoteReference w:id="4"/>
      </w:r>
      <w:r w:rsidRPr="00A7082A">
        <w:t xml:space="preserve"> </w:t>
      </w:r>
    </w:p>
    <w:p w14:paraId="651AEF09" w14:textId="77777777" w:rsidR="00B3200D" w:rsidRPr="00A7082A" w:rsidRDefault="00B3200D" w:rsidP="00B3200D">
      <w:pPr>
        <w:pStyle w:val="Normal-pool"/>
        <w:numPr>
          <w:ilvl w:val="0"/>
          <w:numId w:val="99"/>
        </w:numPr>
        <w:spacing w:after="120"/>
        <w:ind w:left="1247" w:firstLine="624"/>
      </w:pPr>
      <w:r w:rsidRPr="00A7082A">
        <w:t xml:space="preserve">Reports set out in the framework in annex II to the present decision </w:t>
      </w:r>
      <w:proofErr w:type="gramStart"/>
      <w:r w:rsidRPr="00A7082A">
        <w:t>with the exception of</w:t>
      </w:r>
      <w:proofErr w:type="gramEnd"/>
      <w:r w:rsidRPr="00A7082A">
        <w:t xml:space="preserve"> the emissions and releases report, the monitoring report, and the modelling report.</w:t>
      </w:r>
    </w:p>
    <w:p w14:paraId="5551164B" w14:textId="77777777" w:rsidR="00B3200D" w:rsidRPr="00A7082A" w:rsidRDefault="00B3200D" w:rsidP="00B3200D">
      <w:pPr>
        <w:pStyle w:val="CH1"/>
        <w:rPr>
          <w:rFonts w:eastAsia="SimSun"/>
          <w:i/>
        </w:rPr>
      </w:pPr>
      <w:r w:rsidRPr="00A7082A">
        <w:rPr>
          <w:rFonts w:eastAsia="SimSun"/>
        </w:rPr>
        <w:lastRenderedPageBreak/>
        <w:tab/>
      </w:r>
      <w:r w:rsidRPr="00A7082A">
        <w:rPr>
          <w:rFonts w:eastAsia="SimSun"/>
        </w:rPr>
        <w:tab/>
        <w:t>Annex I to decision MC-3/10</w:t>
      </w:r>
      <w:r w:rsidRPr="00A7082A">
        <w:rPr>
          <w:rFonts w:eastAsia="SimSun"/>
          <w:i/>
        </w:rPr>
        <w:t xml:space="preserve"> </w:t>
      </w:r>
    </w:p>
    <w:p w14:paraId="22D12CEA" w14:textId="77777777" w:rsidR="00B3200D" w:rsidRPr="00A7082A" w:rsidRDefault="00B3200D" w:rsidP="00B3200D">
      <w:pPr>
        <w:pStyle w:val="CH2"/>
      </w:pPr>
      <w:r w:rsidRPr="00A7082A">
        <w:rPr>
          <w:sz w:val="28"/>
          <w:szCs w:val="28"/>
        </w:rPr>
        <w:tab/>
      </w:r>
      <w:r w:rsidRPr="00A7082A">
        <w:rPr>
          <w:sz w:val="28"/>
          <w:szCs w:val="28"/>
        </w:rPr>
        <w:tab/>
      </w:r>
      <w:r w:rsidRPr="00A7082A">
        <w:t>Proposed indicators for evaluating the effectiveness of the Minamata Convention, by article</w:t>
      </w:r>
    </w:p>
    <w:tbl>
      <w:tblPr>
        <w:tblW w:w="8307" w:type="dxa"/>
        <w:jc w:val="right"/>
        <w:shd w:val="clear" w:color="auto" w:fill="CDD4E9"/>
        <w:tblLayout w:type="fixed"/>
        <w:tblLook w:val="04A0" w:firstRow="1" w:lastRow="0" w:firstColumn="1" w:lastColumn="0" w:noHBand="0" w:noVBand="1"/>
      </w:tblPr>
      <w:tblGrid>
        <w:gridCol w:w="1832"/>
        <w:gridCol w:w="3194"/>
        <w:gridCol w:w="1495"/>
        <w:gridCol w:w="1786"/>
      </w:tblGrid>
      <w:tr w:rsidR="00B3200D" w:rsidRPr="00A7082A" w14:paraId="7E63BE9E" w14:textId="77777777" w:rsidTr="003F3253">
        <w:trPr>
          <w:trHeight w:val="57"/>
          <w:jc w:val="right"/>
        </w:trPr>
        <w:tc>
          <w:tcPr>
            <w:tcW w:w="5026" w:type="dxa"/>
            <w:gridSpan w:val="2"/>
            <w:tcBorders>
              <w:top w:val="single" w:sz="4" w:space="0" w:color="auto"/>
              <w:bottom w:val="single" w:sz="12" w:space="0" w:color="auto"/>
            </w:tcBorders>
            <w:shd w:val="clear" w:color="auto" w:fill="auto"/>
            <w:tcMar>
              <w:top w:w="80" w:type="dxa"/>
              <w:left w:w="80" w:type="dxa"/>
              <w:bottom w:w="80" w:type="dxa"/>
              <w:right w:w="80" w:type="dxa"/>
            </w:tcMar>
          </w:tcPr>
          <w:p w14:paraId="4DB4D58A" w14:textId="77777777" w:rsidR="00B3200D" w:rsidRPr="00A7082A" w:rsidRDefault="00B3200D" w:rsidP="003F3253">
            <w:pPr>
              <w:rPr>
                <w:bCs/>
                <w:i/>
                <w:sz w:val="18"/>
                <w:szCs w:val="18"/>
              </w:rPr>
            </w:pPr>
            <w:r w:rsidRPr="00A7082A">
              <w:rPr>
                <w:bCs/>
                <w:i/>
                <w:sz w:val="18"/>
                <w:szCs w:val="18"/>
              </w:rPr>
              <w:t>A: Article 1 (objective)</w:t>
            </w:r>
          </w:p>
          <w:p w14:paraId="2D70E261" w14:textId="77777777" w:rsidR="00B3200D" w:rsidRPr="00A7082A" w:rsidRDefault="00B3200D" w:rsidP="003F3253">
            <w:pPr>
              <w:ind w:left="486"/>
            </w:pPr>
            <w:r w:rsidRPr="00A7082A">
              <w:rPr>
                <w:sz w:val="18"/>
                <w:szCs w:val="18"/>
              </w:rPr>
              <w:t>(The indicator for article 1 is to be read with the relevant monitoring indicator set out in</w:t>
            </w:r>
            <w:r w:rsidRPr="00A7082A">
              <w:t xml:space="preserve"> </w:t>
            </w:r>
            <w:r w:rsidRPr="00A7082A">
              <w:rPr>
                <w:sz w:val="18"/>
                <w:szCs w:val="18"/>
              </w:rPr>
              <w:t xml:space="preserve">table 4 in document </w:t>
            </w:r>
            <w:r w:rsidRPr="00A7082A">
              <w:t>UNEP/MC/COP.3/14)</w:t>
            </w:r>
          </w:p>
        </w:tc>
        <w:tc>
          <w:tcPr>
            <w:tcW w:w="1495" w:type="dxa"/>
            <w:tcBorders>
              <w:top w:val="single" w:sz="4" w:space="0" w:color="auto"/>
              <w:bottom w:val="single" w:sz="12" w:space="0" w:color="auto"/>
            </w:tcBorders>
            <w:shd w:val="clear" w:color="auto" w:fill="auto"/>
            <w:tcMar>
              <w:top w:w="80" w:type="dxa"/>
              <w:left w:w="80" w:type="dxa"/>
              <w:bottom w:w="80" w:type="dxa"/>
              <w:right w:w="80" w:type="dxa"/>
            </w:tcMar>
          </w:tcPr>
          <w:p w14:paraId="5EA97582" w14:textId="77777777" w:rsidR="00B3200D" w:rsidRPr="00A7082A" w:rsidRDefault="00B3200D" w:rsidP="003F3253">
            <w:pPr>
              <w:rPr>
                <w:i/>
              </w:rPr>
            </w:pPr>
            <w:r w:rsidRPr="00A7082A">
              <w:rPr>
                <w:bCs/>
                <w:i/>
                <w:sz w:val="18"/>
                <w:szCs w:val="18"/>
              </w:rPr>
              <w:t>Source of information on the indicator</w:t>
            </w:r>
          </w:p>
        </w:tc>
        <w:tc>
          <w:tcPr>
            <w:tcW w:w="1786" w:type="dxa"/>
            <w:tcBorders>
              <w:top w:val="single" w:sz="4" w:space="0" w:color="auto"/>
              <w:bottom w:val="single" w:sz="12" w:space="0" w:color="auto"/>
            </w:tcBorders>
            <w:shd w:val="clear" w:color="auto" w:fill="auto"/>
            <w:tcMar>
              <w:top w:w="80" w:type="dxa"/>
              <w:left w:w="80" w:type="dxa"/>
              <w:bottom w:w="80" w:type="dxa"/>
              <w:right w:w="80" w:type="dxa"/>
            </w:tcMar>
          </w:tcPr>
          <w:p w14:paraId="260DE700" w14:textId="77777777" w:rsidR="00B3200D" w:rsidRPr="00A7082A" w:rsidRDefault="00B3200D" w:rsidP="003F3253">
            <w:pPr>
              <w:rPr>
                <w:i/>
              </w:rPr>
            </w:pPr>
            <w:r w:rsidRPr="00A7082A">
              <w:rPr>
                <w:bCs/>
                <w:i/>
                <w:sz w:val="18"/>
                <w:szCs w:val="18"/>
              </w:rPr>
              <w:t>Baseline for the indicator</w:t>
            </w:r>
          </w:p>
        </w:tc>
      </w:tr>
      <w:tr w:rsidR="00B3200D" w:rsidRPr="00A7082A" w14:paraId="0F8DB318" w14:textId="77777777" w:rsidTr="003F3253">
        <w:trPr>
          <w:trHeight w:val="57"/>
          <w:jc w:val="right"/>
        </w:trPr>
        <w:tc>
          <w:tcPr>
            <w:tcW w:w="1832" w:type="dxa"/>
            <w:tcBorders>
              <w:top w:val="single" w:sz="12" w:space="0" w:color="auto"/>
            </w:tcBorders>
            <w:shd w:val="clear" w:color="auto" w:fill="auto"/>
            <w:tcMar>
              <w:top w:w="80" w:type="dxa"/>
              <w:left w:w="80" w:type="dxa"/>
              <w:bottom w:w="80" w:type="dxa"/>
              <w:right w:w="80" w:type="dxa"/>
            </w:tcMar>
          </w:tcPr>
          <w:p w14:paraId="5394A883" w14:textId="77777777" w:rsidR="00B3200D" w:rsidRPr="00A7082A" w:rsidRDefault="00B3200D" w:rsidP="003F3253">
            <w:r w:rsidRPr="00A7082A">
              <w:rPr>
                <w:sz w:val="18"/>
                <w:szCs w:val="18"/>
              </w:rPr>
              <w:t>A1. Cross-cutting monitoring indicator</w:t>
            </w:r>
          </w:p>
        </w:tc>
        <w:tc>
          <w:tcPr>
            <w:tcW w:w="3194" w:type="dxa"/>
            <w:tcBorders>
              <w:top w:val="single" w:sz="12" w:space="0" w:color="auto"/>
            </w:tcBorders>
            <w:shd w:val="clear" w:color="auto" w:fill="auto"/>
            <w:tcMar>
              <w:top w:w="80" w:type="dxa"/>
              <w:left w:w="80" w:type="dxa"/>
              <w:bottom w:w="80" w:type="dxa"/>
              <w:right w:w="80" w:type="dxa"/>
            </w:tcMar>
          </w:tcPr>
          <w:p w14:paraId="09117FD6" w14:textId="77777777" w:rsidR="00B3200D" w:rsidRPr="00A7082A" w:rsidRDefault="00B3200D" w:rsidP="003F3253">
            <w:r w:rsidRPr="00A7082A">
              <w:rPr>
                <w:sz w:val="18"/>
                <w:szCs w:val="18"/>
              </w:rPr>
              <w:t>Levels of mercury in the environment and in humans due to anthropogenic emissions and releases</w:t>
            </w:r>
          </w:p>
        </w:tc>
        <w:tc>
          <w:tcPr>
            <w:tcW w:w="1495" w:type="dxa"/>
            <w:tcBorders>
              <w:top w:val="single" w:sz="12" w:space="0" w:color="auto"/>
            </w:tcBorders>
            <w:shd w:val="clear" w:color="auto" w:fill="auto"/>
            <w:tcMar>
              <w:top w:w="80" w:type="dxa"/>
              <w:left w:w="80" w:type="dxa"/>
              <w:bottom w:w="80" w:type="dxa"/>
              <w:right w:w="80" w:type="dxa"/>
            </w:tcMar>
          </w:tcPr>
          <w:p w14:paraId="7F61EAD6" w14:textId="77777777" w:rsidR="00B3200D" w:rsidRPr="00A7082A" w:rsidRDefault="00B3200D" w:rsidP="003F3253">
            <w:r w:rsidRPr="00A7082A">
              <w:rPr>
                <w:sz w:val="18"/>
                <w:szCs w:val="18"/>
              </w:rPr>
              <w:t>Attributive modelling</w:t>
            </w:r>
          </w:p>
        </w:tc>
        <w:tc>
          <w:tcPr>
            <w:tcW w:w="1786" w:type="dxa"/>
            <w:tcBorders>
              <w:top w:val="single" w:sz="12" w:space="0" w:color="auto"/>
            </w:tcBorders>
            <w:shd w:val="clear" w:color="auto" w:fill="auto"/>
            <w:tcMar>
              <w:top w:w="80" w:type="dxa"/>
              <w:left w:w="80" w:type="dxa"/>
              <w:bottom w:w="80" w:type="dxa"/>
              <w:right w:w="80" w:type="dxa"/>
            </w:tcMar>
          </w:tcPr>
          <w:p w14:paraId="6A7B197D" w14:textId="77777777" w:rsidR="00B3200D" w:rsidRPr="00A7082A" w:rsidRDefault="00B3200D" w:rsidP="003F3253">
            <w:r w:rsidRPr="00A7082A">
              <w:rPr>
                <w:sz w:val="18"/>
                <w:szCs w:val="18"/>
              </w:rPr>
              <w:t>Amount in the first evaluation (if models are available)</w:t>
            </w:r>
          </w:p>
        </w:tc>
      </w:tr>
      <w:tr w:rsidR="00B3200D" w:rsidRPr="00A7082A" w14:paraId="232C6937" w14:textId="77777777" w:rsidTr="003F3253">
        <w:trPr>
          <w:trHeight w:val="57"/>
          <w:jc w:val="right"/>
        </w:trPr>
        <w:tc>
          <w:tcPr>
            <w:tcW w:w="1832" w:type="dxa"/>
            <w:tcBorders>
              <w:bottom w:val="single" w:sz="12" w:space="0" w:color="auto"/>
            </w:tcBorders>
            <w:shd w:val="clear" w:color="auto" w:fill="auto"/>
            <w:tcMar>
              <w:top w:w="80" w:type="dxa"/>
              <w:left w:w="80" w:type="dxa"/>
              <w:bottom w:w="80" w:type="dxa"/>
              <w:right w:w="80" w:type="dxa"/>
            </w:tcMar>
          </w:tcPr>
          <w:p w14:paraId="4A1C5BA9" w14:textId="77777777" w:rsidR="00B3200D" w:rsidRPr="00A7082A" w:rsidRDefault="00B3200D" w:rsidP="003F3253">
            <w:r w:rsidRPr="00A7082A">
              <w:rPr>
                <w:b/>
                <w:bCs/>
                <w:sz w:val="18"/>
                <w:szCs w:val="18"/>
              </w:rPr>
              <w:t>Notes</w:t>
            </w:r>
          </w:p>
        </w:tc>
        <w:tc>
          <w:tcPr>
            <w:tcW w:w="6475" w:type="dxa"/>
            <w:gridSpan w:val="3"/>
            <w:tcBorders>
              <w:bottom w:val="single" w:sz="12" w:space="0" w:color="auto"/>
            </w:tcBorders>
            <w:shd w:val="clear" w:color="auto" w:fill="auto"/>
            <w:tcMar>
              <w:top w:w="80" w:type="dxa"/>
              <w:left w:w="80" w:type="dxa"/>
              <w:bottom w:w="80" w:type="dxa"/>
              <w:right w:w="80" w:type="dxa"/>
            </w:tcMar>
          </w:tcPr>
          <w:p w14:paraId="3CF54839" w14:textId="77777777" w:rsidR="00B3200D" w:rsidRPr="00A7082A" w:rsidRDefault="00B3200D" w:rsidP="003F3253">
            <w:pPr>
              <w:numPr>
                <w:ilvl w:val="0"/>
                <w:numId w:val="50"/>
              </w:numPr>
              <w:rPr>
                <w:sz w:val="18"/>
                <w:szCs w:val="18"/>
              </w:rPr>
            </w:pPr>
            <w:r w:rsidRPr="00A7082A">
              <w:rPr>
                <w:sz w:val="18"/>
                <w:szCs w:val="18"/>
              </w:rPr>
              <w:t>Attribution is to be estimated using models yet to be developed; thus, information for this indicator may or may not be available for the first effectiveness evaluation cycle.</w:t>
            </w:r>
          </w:p>
          <w:p w14:paraId="28E086C7" w14:textId="77777777" w:rsidR="00B3200D" w:rsidRPr="00A7082A" w:rsidRDefault="00B3200D" w:rsidP="003F3253">
            <w:pPr>
              <w:numPr>
                <w:ilvl w:val="0"/>
                <w:numId w:val="50"/>
              </w:numPr>
              <w:rPr>
                <w:sz w:val="18"/>
                <w:szCs w:val="18"/>
              </w:rPr>
            </w:pPr>
            <w:r w:rsidRPr="00A7082A">
              <w:rPr>
                <w:sz w:val="18"/>
                <w:szCs w:val="18"/>
              </w:rPr>
              <w:t>Estimates from modelling are to be accompanied by relevant notes on modelling uncertainties.</w:t>
            </w:r>
          </w:p>
          <w:p w14:paraId="489F527D" w14:textId="77777777" w:rsidR="00B3200D" w:rsidRPr="00A7082A" w:rsidRDefault="00B3200D" w:rsidP="003F3253">
            <w:pPr>
              <w:numPr>
                <w:ilvl w:val="0"/>
                <w:numId w:val="50"/>
              </w:numPr>
              <w:rPr>
                <w:sz w:val="18"/>
                <w:szCs w:val="18"/>
              </w:rPr>
            </w:pPr>
            <w:r w:rsidRPr="00A7082A">
              <w:rPr>
                <w:sz w:val="18"/>
                <w:szCs w:val="18"/>
              </w:rPr>
              <w:t>In case of non-availability of information from models, levels of mercury and trends in mercury levels (changes over time) could be used for attribution purposes.</w:t>
            </w:r>
          </w:p>
        </w:tc>
      </w:tr>
    </w:tbl>
    <w:p w14:paraId="79CD3AB8" w14:textId="77777777" w:rsidR="00B3200D" w:rsidRPr="00A7082A" w:rsidRDefault="00B3200D" w:rsidP="00B3200D">
      <w:pPr>
        <w:keepNext/>
        <w:keepLines/>
        <w:widowControl w:val="0"/>
        <w:tabs>
          <w:tab w:val="left" w:pos="4082"/>
        </w:tabs>
        <w:suppressAutoHyphens/>
        <w:spacing w:before="120" w:after="120"/>
        <w:jc w:val="right"/>
        <w:rPr>
          <w:bCs/>
        </w:rPr>
      </w:pPr>
    </w:p>
    <w:tbl>
      <w:tblPr>
        <w:tblW w:w="8307"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06"/>
        <w:gridCol w:w="3226"/>
        <w:gridCol w:w="1664"/>
        <w:gridCol w:w="1611"/>
      </w:tblGrid>
      <w:tr w:rsidR="00B3200D" w:rsidRPr="00A7082A" w14:paraId="1D2CCA72" w14:textId="77777777" w:rsidTr="003F3253">
        <w:trPr>
          <w:trHeight w:val="812"/>
          <w:tblHeader/>
          <w:jc w:val="right"/>
        </w:trPr>
        <w:tc>
          <w:tcPr>
            <w:tcW w:w="5032" w:type="dxa"/>
            <w:gridSpan w:val="2"/>
            <w:tcBorders>
              <w:top w:val="single" w:sz="4" w:space="0" w:color="000000" w:themeColor="text1"/>
              <w:left w:val="nil"/>
              <w:bottom w:val="single" w:sz="12" w:space="0" w:color="000000" w:themeColor="text1"/>
              <w:right w:val="nil"/>
            </w:tcBorders>
            <w:shd w:val="clear" w:color="auto" w:fill="auto"/>
            <w:tcMar>
              <w:top w:w="80" w:type="dxa"/>
              <w:left w:w="80" w:type="dxa"/>
              <w:bottom w:w="80" w:type="dxa"/>
              <w:right w:w="80" w:type="dxa"/>
            </w:tcMar>
          </w:tcPr>
          <w:p w14:paraId="51529995" w14:textId="77777777" w:rsidR="00B3200D" w:rsidRPr="00A7082A" w:rsidRDefault="00B3200D" w:rsidP="003F3253">
            <w:pPr>
              <w:keepNext/>
              <w:keepLines/>
              <w:spacing w:after="60"/>
              <w:rPr>
                <w:bCs/>
                <w:i/>
                <w:sz w:val="18"/>
                <w:szCs w:val="18"/>
              </w:rPr>
            </w:pPr>
            <w:r w:rsidRPr="00A7082A">
              <w:rPr>
                <w:bCs/>
                <w:i/>
                <w:sz w:val="18"/>
                <w:szCs w:val="18"/>
              </w:rPr>
              <w:t xml:space="preserve">B: Supply cluster </w:t>
            </w:r>
          </w:p>
          <w:p w14:paraId="68DAC2F7" w14:textId="77777777" w:rsidR="00B3200D" w:rsidRPr="00A7082A" w:rsidRDefault="00B3200D" w:rsidP="003F3253">
            <w:pPr>
              <w:keepNext/>
              <w:keepLines/>
              <w:ind w:left="486"/>
              <w:rPr>
                <w:i/>
                <w:sz w:val="18"/>
                <w:szCs w:val="18"/>
              </w:rPr>
            </w:pPr>
            <w:r w:rsidRPr="00A7082A">
              <w:rPr>
                <w:bCs/>
                <w:i/>
                <w:sz w:val="18"/>
                <w:szCs w:val="18"/>
              </w:rPr>
              <w:t xml:space="preserve">Article 3 (mercury supply sources and trade); article 10 (environmentally sound interim storage of mercury, other than waste mercury); article 11 (mercury wastes) </w:t>
            </w:r>
          </w:p>
        </w:tc>
        <w:tc>
          <w:tcPr>
            <w:tcW w:w="1664" w:type="dxa"/>
            <w:tcBorders>
              <w:top w:val="single" w:sz="4" w:space="0" w:color="000000" w:themeColor="text1"/>
              <w:left w:val="nil"/>
              <w:bottom w:val="single" w:sz="12" w:space="0" w:color="000000" w:themeColor="text1"/>
              <w:right w:val="nil"/>
            </w:tcBorders>
            <w:shd w:val="clear" w:color="auto" w:fill="auto"/>
            <w:tcMar>
              <w:top w:w="80" w:type="dxa"/>
              <w:left w:w="80" w:type="dxa"/>
              <w:bottom w:w="80" w:type="dxa"/>
              <w:right w:w="80" w:type="dxa"/>
            </w:tcMar>
          </w:tcPr>
          <w:p w14:paraId="2B7675C4" w14:textId="77777777" w:rsidR="00B3200D" w:rsidRPr="00A7082A" w:rsidRDefault="00B3200D" w:rsidP="003F3253">
            <w:pPr>
              <w:rPr>
                <w:i/>
                <w:sz w:val="18"/>
                <w:szCs w:val="18"/>
              </w:rPr>
            </w:pPr>
            <w:r w:rsidRPr="00A7082A">
              <w:rPr>
                <w:bCs/>
                <w:i/>
                <w:sz w:val="18"/>
                <w:szCs w:val="18"/>
              </w:rPr>
              <w:t>Source of information on the indicator</w:t>
            </w:r>
          </w:p>
        </w:tc>
        <w:tc>
          <w:tcPr>
            <w:tcW w:w="1611" w:type="dxa"/>
            <w:tcBorders>
              <w:top w:val="single" w:sz="4" w:space="0" w:color="000000" w:themeColor="text1"/>
              <w:left w:val="nil"/>
              <w:bottom w:val="single" w:sz="12" w:space="0" w:color="000000" w:themeColor="text1"/>
              <w:right w:val="nil"/>
            </w:tcBorders>
            <w:shd w:val="clear" w:color="auto" w:fill="auto"/>
            <w:tcMar>
              <w:top w:w="80" w:type="dxa"/>
              <w:left w:w="80" w:type="dxa"/>
              <w:bottom w:w="80" w:type="dxa"/>
              <w:right w:w="80" w:type="dxa"/>
            </w:tcMar>
          </w:tcPr>
          <w:p w14:paraId="7A90B997" w14:textId="77777777" w:rsidR="00B3200D" w:rsidRPr="00A7082A" w:rsidRDefault="00B3200D" w:rsidP="003F3253">
            <w:pPr>
              <w:rPr>
                <w:i/>
                <w:sz w:val="18"/>
                <w:szCs w:val="18"/>
              </w:rPr>
            </w:pPr>
            <w:r w:rsidRPr="00A7082A">
              <w:rPr>
                <w:bCs/>
                <w:i/>
                <w:sz w:val="18"/>
                <w:szCs w:val="18"/>
              </w:rPr>
              <w:t>Baseline for the indicator</w:t>
            </w:r>
          </w:p>
        </w:tc>
      </w:tr>
      <w:tr w:rsidR="00B3200D" w:rsidRPr="00A7082A" w14:paraId="4458A265" w14:textId="77777777" w:rsidTr="003F3253">
        <w:trPr>
          <w:trHeight w:val="1005"/>
          <w:jc w:val="right"/>
        </w:trPr>
        <w:tc>
          <w:tcPr>
            <w:tcW w:w="1806" w:type="dxa"/>
            <w:tcBorders>
              <w:top w:val="single" w:sz="12" w:space="0" w:color="000000" w:themeColor="text1"/>
              <w:left w:val="nil"/>
              <w:bottom w:val="nil"/>
              <w:right w:val="nil"/>
            </w:tcBorders>
            <w:shd w:val="clear" w:color="auto" w:fill="auto"/>
            <w:tcMar>
              <w:top w:w="80" w:type="dxa"/>
              <w:left w:w="80" w:type="dxa"/>
              <w:bottom w:w="80" w:type="dxa"/>
              <w:right w:w="80" w:type="dxa"/>
            </w:tcMar>
          </w:tcPr>
          <w:p w14:paraId="5A5F432A" w14:textId="77777777" w:rsidR="00B3200D" w:rsidRPr="00A7082A" w:rsidRDefault="00B3200D" w:rsidP="003F3253">
            <w:pPr>
              <w:rPr>
                <w:sz w:val="18"/>
                <w:szCs w:val="18"/>
              </w:rPr>
            </w:pPr>
            <w:r w:rsidRPr="00A7082A">
              <w:rPr>
                <w:sz w:val="18"/>
                <w:szCs w:val="18"/>
              </w:rPr>
              <w:t>B1. Overall process indicator for articles 3, 10 and 11</w:t>
            </w:r>
          </w:p>
        </w:tc>
        <w:tc>
          <w:tcPr>
            <w:tcW w:w="3226" w:type="dxa"/>
            <w:tcBorders>
              <w:top w:val="single" w:sz="12" w:space="0" w:color="000000" w:themeColor="text1"/>
              <w:left w:val="nil"/>
              <w:bottom w:val="nil"/>
              <w:right w:val="nil"/>
            </w:tcBorders>
            <w:shd w:val="clear" w:color="auto" w:fill="auto"/>
            <w:tcMar>
              <w:top w:w="80" w:type="dxa"/>
              <w:left w:w="80" w:type="dxa"/>
              <w:bottom w:w="80" w:type="dxa"/>
              <w:right w:w="80" w:type="dxa"/>
            </w:tcMar>
          </w:tcPr>
          <w:p w14:paraId="13A0949A" w14:textId="77777777" w:rsidR="00B3200D" w:rsidRPr="00A7082A" w:rsidRDefault="00B3200D" w:rsidP="003F3253">
            <w:pPr>
              <w:keepNext/>
              <w:keepLines/>
              <w:tabs>
                <w:tab w:val="left" w:pos="1163"/>
              </w:tabs>
              <w:rPr>
                <w:sz w:val="18"/>
                <w:szCs w:val="18"/>
              </w:rPr>
            </w:pPr>
            <w:r w:rsidRPr="00A7082A">
              <w:rPr>
                <w:sz w:val="18"/>
                <w:szCs w:val="18"/>
              </w:rPr>
              <w:t>Proportion of parties that have implemented key provisions under this cluster (encompassing all process indicators below, i.e., B5, B6, B7, B8, B9 and B13)</w:t>
            </w:r>
          </w:p>
        </w:tc>
        <w:tc>
          <w:tcPr>
            <w:tcW w:w="1664" w:type="dxa"/>
            <w:tcBorders>
              <w:top w:val="single" w:sz="12" w:space="0" w:color="000000" w:themeColor="text1"/>
              <w:left w:val="nil"/>
              <w:bottom w:val="nil"/>
              <w:right w:val="nil"/>
            </w:tcBorders>
            <w:shd w:val="clear" w:color="auto" w:fill="auto"/>
            <w:tcMar>
              <w:top w:w="80" w:type="dxa"/>
              <w:left w:w="80" w:type="dxa"/>
              <w:bottom w:w="80" w:type="dxa"/>
              <w:right w:w="80" w:type="dxa"/>
            </w:tcMar>
          </w:tcPr>
          <w:p w14:paraId="12719278" w14:textId="77777777" w:rsidR="00B3200D" w:rsidRPr="00A7082A" w:rsidRDefault="00B3200D" w:rsidP="003F3253">
            <w:pPr>
              <w:tabs>
                <w:tab w:val="left" w:pos="1163"/>
              </w:tabs>
              <w:rPr>
                <w:sz w:val="18"/>
                <w:szCs w:val="18"/>
              </w:rPr>
            </w:pPr>
            <w:r w:rsidRPr="00A7082A">
              <w:rPr>
                <w:sz w:val="18"/>
                <w:szCs w:val="18"/>
              </w:rPr>
              <w:t>- Article 21 reporting</w:t>
            </w:r>
          </w:p>
        </w:tc>
        <w:tc>
          <w:tcPr>
            <w:tcW w:w="1611" w:type="dxa"/>
            <w:tcBorders>
              <w:top w:val="single" w:sz="12" w:space="0" w:color="000000" w:themeColor="text1"/>
              <w:left w:val="nil"/>
              <w:bottom w:val="nil"/>
              <w:right w:val="nil"/>
            </w:tcBorders>
            <w:shd w:val="clear" w:color="auto" w:fill="auto"/>
            <w:tcMar>
              <w:top w:w="80" w:type="dxa"/>
              <w:left w:w="80" w:type="dxa"/>
              <w:bottom w:w="80" w:type="dxa"/>
              <w:right w:w="80" w:type="dxa"/>
            </w:tcMar>
          </w:tcPr>
          <w:p w14:paraId="2A0CB3C0" w14:textId="77777777" w:rsidR="00B3200D" w:rsidRPr="00A7082A" w:rsidRDefault="00B3200D" w:rsidP="003F3253">
            <w:pPr>
              <w:rPr>
                <w:sz w:val="18"/>
                <w:szCs w:val="18"/>
              </w:rPr>
            </w:pPr>
            <w:r w:rsidRPr="00A7082A">
              <w:rPr>
                <w:sz w:val="18"/>
                <w:szCs w:val="18"/>
              </w:rPr>
              <w:t>Amount in the first evaluation</w:t>
            </w:r>
          </w:p>
        </w:tc>
      </w:tr>
      <w:tr w:rsidR="00B3200D" w:rsidRPr="00A7082A" w14:paraId="79087009" w14:textId="77777777" w:rsidTr="003F3253">
        <w:trPr>
          <w:trHeight w:val="57"/>
          <w:jc w:val="right"/>
        </w:trPr>
        <w:tc>
          <w:tcPr>
            <w:tcW w:w="1806"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175AC7C6" w14:textId="77777777" w:rsidR="00B3200D" w:rsidRPr="00A7082A" w:rsidRDefault="00B3200D" w:rsidP="003F3253">
            <w:pPr>
              <w:keepNext/>
              <w:keepLines/>
              <w:rPr>
                <w:sz w:val="18"/>
                <w:szCs w:val="18"/>
              </w:rPr>
            </w:pPr>
            <w:r w:rsidRPr="00A7082A">
              <w:rPr>
                <w:sz w:val="18"/>
                <w:szCs w:val="18"/>
              </w:rPr>
              <w:t>B2. Additional cross-cutting outcome indicator for articles 3, 10 and 11</w:t>
            </w:r>
          </w:p>
        </w:tc>
        <w:tc>
          <w:tcPr>
            <w:tcW w:w="3226"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10AEAA8F" w14:textId="77777777" w:rsidR="00B3200D" w:rsidRPr="00A7082A" w:rsidRDefault="00B3200D" w:rsidP="003F3253">
            <w:pPr>
              <w:keepNext/>
              <w:keepLines/>
              <w:rPr>
                <w:sz w:val="18"/>
                <w:szCs w:val="18"/>
              </w:rPr>
            </w:pPr>
            <w:r w:rsidRPr="00A7082A">
              <w:rPr>
                <w:sz w:val="18"/>
                <w:szCs w:val="18"/>
              </w:rPr>
              <w:t>Estimated global supply of mercury, in tonnes per year</w:t>
            </w:r>
          </w:p>
        </w:tc>
        <w:tc>
          <w:tcPr>
            <w:tcW w:w="1664"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17D1E932" w14:textId="77777777" w:rsidR="00B3200D" w:rsidRPr="00A7082A" w:rsidRDefault="00B3200D" w:rsidP="003F3253">
            <w:pPr>
              <w:keepNext/>
              <w:keepLines/>
              <w:rPr>
                <w:sz w:val="18"/>
                <w:szCs w:val="18"/>
              </w:rPr>
            </w:pPr>
            <w:r w:rsidRPr="00A7082A">
              <w:rPr>
                <w:sz w:val="18"/>
                <w:szCs w:val="18"/>
              </w:rPr>
              <w:t>- Synthesized information from individual indicators for articles 3, 10 and 11</w:t>
            </w:r>
          </w:p>
        </w:tc>
        <w:tc>
          <w:tcPr>
            <w:tcW w:w="1611"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6AEBF44F" w14:textId="77777777" w:rsidR="00B3200D" w:rsidRPr="00A7082A" w:rsidRDefault="00B3200D" w:rsidP="003F3253">
            <w:pPr>
              <w:keepNext/>
              <w:keepLines/>
              <w:rPr>
                <w:sz w:val="18"/>
                <w:szCs w:val="18"/>
              </w:rPr>
            </w:pPr>
            <w:r w:rsidRPr="00A7082A">
              <w:rPr>
                <w:sz w:val="18"/>
                <w:szCs w:val="18"/>
              </w:rPr>
              <w:t>Amount in the first evaluation</w:t>
            </w:r>
          </w:p>
        </w:tc>
      </w:tr>
      <w:tr w:rsidR="00B3200D" w:rsidRPr="00A7082A" w14:paraId="631B7A71" w14:textId="77777777" w:rsidTr="003F3253">
        <w:trPr>
          <w:trHeight w:val="259"/>
          <w:jc w:val="right"/>
        </w:trPr>
        <w:tc>
          <w:tcPr>
            <w:tcW w:w="1806"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53BEF47E" w14:textId="77777777" w:rsidR="00B3200D" w:rsidRPr="00A7082A" w:rsidRDefault="00B3200D" w:rsidP="003F3253">
            <w:pPr>
              <w:rPr>
                <w:sz w:val="18"/>
                <w:szCs w:val="18"/>
              </w:rPr>
            </w:pPr>
            <w:r w:rsidRPr="00A7082A">
              <w:rPr>
                <w:b/>
                <w:bCs/>
                <w:sz w:val="18"/>
                <w:szCs w:val="18"/>
              </w:rPr>
              <w:t>Article 3</w:t>
            </w:r>
          </w:p>
        </w:tc>
        <w:tc>
          <w:tcPr>
            <w:tcW w:w="3226"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5FB65CEA" w14:textId="77777777" w:rsidR="00B3200D" w:rsidRPr="00A7082A" w:rsidRDefault="00B3200D" w:rsidP="003F3253">
            <w:pPr>
              <w:keepNext/>
              <w:keepLines/>
              <w:rPr>
                <w:sz w:val="18"/>
                <w:szCs w:val="18"/>
              </w:rPr>
            </w:pPr>
          </w:p>
        </w:tc>
        <w:tc>
          <w:tcPr>
            <w:tcW w:w="1664"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7217605C" w14:textId="77777777" w:rsidR="00B3200D" w:rsidRPr="00A7082A" w:rsidRDefault="00B3200D" w:rsidP="003F3253">
            <w:pPr>
              <w:rPr>
                <w:sz w:val="18"/>
                <w:szCs w:val="18"/>
              </w:rPr>
            </w:pPr>
          </w:p>
        </w:tc>
        <w:tc>
          <w:tcPr>
            <w:tcW w:w="1611"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05D8A415" w14:textId="77777777" w:rsidR="00B3200D" w:rsidRPr="00A7082A" w:rsidRDefault="00B3200D" w:rsidP="003F3253">
            <w:pPr>
              <w:rPr>
                <w:sz w:val="18"/>
                <w:szCs w:val="18"/>
              </w:rPr>
            </w:pPr>
          </w:p>
        </w:tc>
      </w:tr>
      <w:tr w:rsidR="00B3200D" w:rsidRPr="00A7082A" w14:paraId="2278C037" w14:textId="77777777" w:rsidTr="003F3253">
        <w:trPr>
          <w:trHeight w:val="57"/>
          <w:jc w:val="right"/>
        </w:trPr>
        <w:tc>
          <w:tcPr>
            <w:tcW w:w="1806"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30351F76" w14:textId="77777777" w:rsidR="00B3200D" w:rsidRPr="00A7082A" w:rsidRDefault="00B3200D" w:rsidP="003F3253">
            <w:pPr>
              <w:rPr>
                <w:sz w:val="18"/>
                <w:szCs w:val="18"/>
              </w:rPr>
            </w:pPr>
            <w:r w:rsidRPr="00A7082A">
              <w:rPr>
                <w:sz w:val="18"/>
                <w:szCs w:val="18"/>
              </w:rPr>
              <w:t>B3. Outcome indicator for article 3</w:t>
            </w:r>
          </w:p>
        </w:tc>
        <w:tc>
          <w:tcPr>
            <w:tcW w:w="3226"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0104C69E" w14:textId="77777777" w:rsidR="00B3200D" w:rsidRPr="00A7082A" w:rsidRDefault="00B3200D" w:rsidP="003F3253">
            <w:pPr>
              <w:tabs>
                <w:tab w:val="left" w:pos="1163"/>
              </w:tabs>
              <w:rPr>
                <w:sz w:val="18"/>
                <w:szCs w:val="18"/>
              </w:rPr>
            </w:pPr>
            <w:r w:rsidRPr="00A7082A">
              <w:rPr>
                <w:sz w:val="18"/>
                <w:szCs w:val="18"/>
              </w:rPr>
              <w:t>Total amount of mercury mined from primary mercury mines</w:t>
            </w:r>
          </w:p>
        </w:tc>
        <w:tc>
          <w:tcPr>
            <w:tcW w:w="1664"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2F443939" w14:textId="77777777" w:rsidR="00B3200D" w:rsidRPr="00A7082A" w:rsidRDefault="00B3200D" w:rsidP="003F3253">
            <w:pPr>
              <w:rPr>
                <w:sz w:val="18"/>
                <w:szCs w:val="18"/>
              </w:rPr>
            </w:pPr>
            <w:r w:rsidRPr="00A7082A">
              <w:rPr>
                <w:sz w:val="18"/>
                <w:szCs w:val="18"/>
              </w:rPr>
              <w:t>- 2017 report on global mercury supply, trade and demand</w:t>
            </w:r>
          </w:p>
          <w:p w14:paraId="6753FE6C" w14:textId="77777777" w:rsidR="00B3200D" w:rsidRPr="00A7082A" w:rsidRDefault="00B3200D" w:rsidP="003F3253">
            <w:pPr>
              <w:tabs>
                <w:tab w:val="left" w:pos="1163"/>
              </w:tabs>
              <w:rPr>
                <w:sz w:val="18"/>
                <w:szCs w:val="18"/>
              </w:rPr>
            </w:pPr>
            <w:r w:rsidRPr="00A7082A">
              <w:rPr>
                <w:sz w:val="18"/>
                <w:szCs w:val="18"/>
              </w:rPr>
              <w:t>- Article 21 reporting</w:t>
            </w:r>
          </w:p>
          <w:p w14:paraId="1C545BDA" w14:textId="77777777" w:rsidR="00B3200D" w:rsidRPr="00A7082A" w:rsidRDefault="00B3200D" w:rsidP="003F3253">
            <w:pPr>
              <w:rPr>
                <w:sz w:val="18"/>
                <w:szCs w:val="18"/>
              </w:rPr>
            </w:pPr>
            <w:r w:rsidRPr="00A7082A">
              <w:rPr>
                <w:sz w:val="18"/>
                <w:szCs w:val="18"/>
              </w:rPr>
              <w:t>- ASGM national action plan reports</w:t>
            </w:r>
          </w:p>
        </w:tc>
        <w:tc>
          <w:tcPr>
            <w:tcW w:w="1611"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6B54777C" w14:textId="77777777" w:rsidR="00B3200D" w:rsidRPr="00A7082A" w:rsidRDefault="00B3200D" w:rsidP="003F3253">
            <w:pPr>
              <w:rPr>
                <w:sz w:val="18"/>
                <w:szCs w:val="18"/>
              </w:rPr>
            </w:pPr>
            <w:r w:rsidRPr="00A7082A">
              <w:rPr>
                <w:sz w:val="18"/>
                <w:szCs w:val="18"/>
              </w:rPr>
              <w:t>Amount in the first evaluation</w:t>
            </w:r>
          </w:p>
        </w:tc>
      </w:tr>
      <w:tr w:rsidR="00B3200D" w:rsidRPr="00A7082A" w14:paraId="4CC8A9A5" w14:textId="77777777" w:rsidTr="003F3253">
        <w:trPr>
          <w:trHeight w:val="57"/>
          <w:jc w:val="right"/>
        </w:trPr>
        <w:tc>
          <w:tcPr>
            <w:tcW w:w="1806" w:type="dxa"/>
            <w:tcBorders>
              <w:top w:val="nil"/>
              <w:left w:val="nil"/>
              <w:bottom w:val="nil"/>
              <w:right w:val="nil"/>
            </w:tcBorders>
            <w:shd w:val="clear" w:color="auto" w:fill="auto"/>
            <w:tcMar>
              <w:top w:w="80" w:type="dxa"/>
              <w:left w:w="80" w:type="dxa"/>
              <w:bottom w:w="80" w:type="dxa"/>
              <w:right w:w="80" w:type="dxa"/>
            </w:tcMar>
          </w:tcPr>
          <w:p w14:paraId="0D72D4AD" w14:textId="77777777" w:rsidR="00B3200D" w:rsidRPr="00A7082A" w:rsidRDefault="00B3200D" w:rsidP="003F3253">
            <w:pPr>
              <w:rPr>
                <w:sz w:val="18"/>
                <w:szCs w:val="18"/>
              </w:rPr>
            </w:pPr>
            <w:r w:rsidRPr="00A7082A">
              <w:rPr>
                <w:sz w:val="18"/>
                <w:szCs w:val="18"/>
              </w:rPr>
              <w:t>B4. Outcome indicator for article 3</w:t>
            </w:r>
          </w:p>
        </w:tc>
        <w:tc>
          <w:tcPr>
            <w:tcW w:w="3226" w:type="dxa"/>
            <w:tcBorders>
              <w:top w:val="nil"/>
              <w:left w:val="nil"/>
              <w:bottom w:val="nil"/>
              <w:right w:val="nil"/>
            </w:tcBorders>
            <w:shd w:val="clear" w:color="auto" w:fill="auto"/>
            <w:tcMar>
              <w:top w:w="80" w:type="dxa"/>
              <w:left w:w="80" w:type="dxa"/>
              <w:bottom w:w="80" w:type="dxa"/>
              <w:right w:w="80" w:type="dxa"/>
            </w:tcMar>
          </w:tcPr>
          <w:p w14:paraId="0955AA65" w14:textId="77777777" w:rsidR="00B3200D" w:rsidRPr="00A7082A" w:rsidRDefault="00B3200D" w:rsidP="003F3253">
            <w:pPr>
              <w:tabs>
                <w:tab w:val="left" w:pos="1163"/>
              </w:tabs>
              <w:rPr>
                <w:sz w:val="18"/>
                <w:szCs w:val="18"/>
              </w:rPr>
            </w:pPr>
            <w:r w:rsidRPr="00A7082A">
              <w:rPr>
                <w:sz w:val="18"/>
                <w:szCs w:val="18"/>
              </w:rPr>
              <w:t>Amount of mercury traded, broken down by specific purpose</w:t>
            </w:r>
          </w:p>
        </w:tc>
        <w:tc>
          <w:tcPr>
            <w:tcW w:w="1664" w:type="dxa"/>
            <w:tcBorders>
              <w:top w:val="nil"/>
              <w:left w:val="nil"/>
              <w:bottom w:val="nil"/>
              <w:right w:val="nil"/>
            </w:tcBorders>
            <w:shd w:val="clear" w:color="auto" w:fill="auto"/>
            <w:tcMar>
              <w:top w:w="80" w:type="dxa"/>
              <w:left w:w="80" w:type="dxa"/>
              <w:bottom w:w="80" w:type="dxa"/>
              <w:right w:w="80" w:type="dxa"/>
            </w:tcMar>
          </w:tcPr>
          <w:p w14:paraId="3676AB5A" w14:textId="77777777" w:rsidR="00B3200D" w:rsidRPr="00A7082A" w:rsidRDefault="00B3200D" w:rsidP="003F3253">
            <w:pPr>
              <w:rPr>
                <w:sz w:val="18"/>
                <w:szCs w:val="18"/>
              </w:rPr>
            </w:pPr>
            <w:r w:rsidRPr="00A7082A">
              <w:rPr>
                <w:sz w:val="18"/>
                <w:szCs w:val="18"/>
              </w:rPr>
              <w:t>- Article 3 forms</w:t>
            </w:r>
          </w:p>
        </w:tc>
        <w:tc>
          <w:tcPr>
            <w:tcW w:w="1611" w:type="dxa"/>
            <w:tcBorders>
              <w:top w:val="nil"/>
              <w:left w:val="nil"/>
              <w:bottom w:val="nil"/>
              <w:right w:val="nil"/>
            </w:tcBorders>
            <w:shd w:val="clear" w:color="auto" w:fill="auto"/>
            <w:tcMar>
              <w:top w:w="80" w:type="dxa"/>
              <w:left w:w="80" w:type="dxa"/>
              <w:bottom w:w="80" w:type="dxa"/>
              <w:right w:w="80" w:type="dxa"/>
            </w:tcMar>
          </w:tcPr>
          <w:p w14:paraId="01985A31" w14:textId="77777777" w:rsidR="00B3200D" w:rsidRPr="00A7082A" w:rsidRDefault="00B3200D" w:rsidP="003F3253">
            <w:pPr>
              <w:rPr>
                <w:sz w:val="18"/>
                <w:szCs w:val="18"/>
              </w:rPr>
            </w:pPr>
            <w:r w:rsidRPr="00A7082A">
              <w:rPr>
                <w:sz w:val="18"/>
                <w:szCs w:val="18"/>
              </w:rPr>
              <w:t>Amount in the first evaluation</w:t>
            </w:r>
          </w:p>
        </w:tc>
      </w:tr>
      <w:tr w:rsidR="00B3200D" w:rsidRPr="00A7082A" w14:paraId="6B68C945" w14:textId="77777777" w:rsidTr="003F3253">
        <w:trPr>
          <w:trHeight w:val="57"/>
          <w:jc w:val="right"/>
        </w:trPr>
        <w:tc>
          <w:tcPr>
            <w:tcW w:w="1806" w:type="dxa"/>
            <w:tcBorders>
              <w:top w:val="nil"/>
              <w:left w:val="nil"/>
              <w:bottom w:val="nil"/>
              <w:right w:val="nil"/>
            </w:tcBorders>
            <w:shd w:val="clear" w:color="auto" w:fill="auto"/>
            <w:tcMar>
              <w:top w:w="80" w:type="dxa"/>
              <w:left w:w="80" w:type="dxa"/>
              <w:bottom w:w="80" w:type="dxa"/>
              <w:right w:w="80" w:type="dxa"/>
            </w:tcMar>
          </w:tcPr>
          <w:p w14:paraId="49210059" w14:textId="77777777" w:rsidR="00B3200D" w:rsidRPr="00A7082A" w:rsidRDefault="00B3200D" w:rsidP="003F3253">
            <w:pPr>
              <w:rPr>
                <w:sz w:val="18"/>
                <w:szCs w:val="18"/>
              </w:rPr>
            </w:pPr>
            <w:r w:rsidRPr="00A7082A">
              <w:rPr>
                <w:sz w:val="18"/>
                <w:szCs w:val="18"/>
              </w:rPr>
              <w:t>B5. Process indicator for article 3</w:t>
            </w:r>
          </w:p>
        </w:tc>
        <w:tc>
          <w:tcPr>
            <w:tcW w:w="3226" w:type="dxa"/>
            <w:tcBorders>
              <w:top w:val="nil"/>
              <w:left w:val="nil"/>
              <w:bottom w:val="nil"/>
              <w:right w:val="nil"/>
            </w:tcBorders>
            <w:shd w:val="clear" w:color="auto" w:fill="auto"/>
            <w:tcMar>
              <w:top w:w="80" w:type="dxa"/>
              <w:left w:w="80" w:type="dxa"/>
              <w:bottom w:w="80" w:type="dxa"/>
              <w:right w:w="80" w:type="dxa"/>
            </w:tcMar>
          </w:tcPr>
          <w:p w14:paraId="121740BC" w14:textId="77777777" w:rsidR="00B3200D" w:rsidRPr="00A7082A" w:rsidRDefault="00B3200D" w:rsidP="003F3253">
            <w:pPr>
              <w:tabs>
                <w:tab w:val="left" w:pos="1163"/>
              </w:tabs>
              <w:rPr>
                <w:sz w:val="18"/>
                <w:szCs w:val="18"/>
              </w:rPr>
            </w:pPr>
            <w:r w:rsidRPr="00A7082A">
              <w:rPr>
                <w:sz w:val="18"/>
                <w:szCs w:val="18"/>
              </w:rPr>
              <w:t>Number of parties that have endeavoured to identify stocks and sources of supply</w:t>
            </w:r>
          </w:p>
        </w:tc>
        <w:tc>
          <w:tcPr>
            <w:tcW w:w="1664" w:type="dxa"/>
            <w:tcBorders>
              <w:top w:val="nil"/>
              <w:left w:val="nil"/>
              <w:bottom w:val="nil"/>
              <w:right w:val="nil"/>
            </w:tcBorders>
            <w:shd w:val="clear" w:color="auto" w:fill="auto"/>
            <w:tcMar>
              <w:top w:w="80" w:type="dxa"/>
              <w:left w:w="80" w:type="dxa"/>
              <w:bottom w:w="80" w:type="dxa"/>
              <w:right w:w="80" w:type="dxa"/>
            </w:tcMar>
          </w:tcPr>
          <w:p w14:paraId="211B1D14" w14:textId="77777777" w:rsidR="00B3200D" w:rsidRPr="00A7082A" w:rsidRDefault="00B3200D" w:rsidP="003F3253">
            <w:pPr>
              <w:tabs>
                <w:tab w:val="left" w:pos="1163"/>
              </w:tabs>
              <w:rPr>
                <w:sz w:val="18"/>
                <w:szCs w:val="18"/>
              </w:rPr>
            </w:pPr>
            <w:r w:rsidRPr="00A7082A">
              <w:rPr>
                <w:sz w:val="18"/>
                <w:szCs w:val="18"/>
              </w:rPr>
              <w:t>- Article 21 reporting</w:t>
            </w:r>
          </w:p>
        </w:tc>
        <w:tc>
          <w:tcPr>
            <w:tcW w:w="1611" w:type="dxa"/>
            <w:tcBorders>
              <w:top w:val="nil"/>
              <w:left w:val="nil"/>
              <w:bottom w:val="nil"/>
              <w:right w:val="nil"/>
            </w:tcBorders>
            <w:shd w:val="clear" w:color="auto" w:fill="auto"/>
            <w:tcMar>
              <w:top w:w="80" w:type="dxa"/>
              <w:left w:w="80" w:type="dxa"/>
              <w:bottom w:w="80" w:type="dxa"/>
              <w:right w:w="80" w:type="dxa"/>
            </w:tcMar>
          </w:tcPr>
          <w:p w14:paraId="28374542" w14:textId="77777777" w:rsidR="00B3200D" w:rsidRPr="00A7082A" w:rsidRDefault="00B3200D" w:rsidP="003F3253">
            <w:pPr>
              <w:rPr>
                <w:sz w:val="18"/>
                <w:szCs w:val="18"/>
              </w:rPr>
            </w:pPr>
            <w:r w:rsidRPr="00A7082A">
              <w:rPr>
                <w:sz w:val="18"/>
                <w:szCs w:val="18"/>
              </w:rPr>
              <w:t>Number in the first evaluation</w:t>
            </w:r>
          </w:p>
        </w:tc>
      </w:tr>
      <w:tr w:rsidR="00B3200D" w:rsidRPr="00A7082A" w14:paraId="3BAE7F3A" w14:textId="77777777" w:rsidTr="003F3253">
        <w:trPr>
          <w:trHeight w:val="57"/>
          <w:jc w:val="right"/>
        </w:trPr>
        <w:tc>
          <w:tcPr>
            <w:tcW w:w="1806" w:type="dxa"/>
            <w:tcBorders>
              <w:top w:val="nil"/>
              <w:left w:val="nil"/>
              <w:bottom w:val="nil"/>
              <w:right w:val="nil"/>
            </w:tcBorders>
            <w:shd w:val="clear" w:color="auto" w:fill="auto"/>
            <w:tcMar>
              <w:top w:w="80" w:type="dxa"/>
              <w:left w:w="80" w:type="dxa"/>
              <w:bottom w:w="80" w:type="dxa"/>
              <w:right w:w="80" w:type="dxa"/>
            </w:tcMar>
          </w:tcPr>
          <w:p w14:paraId="2DFE432B" w14:textId="77777777" w:rsidR="00B3200D" w:rsidRPr="00A7082A" w:rsidRDefault="00B3200D" w:rsidP="003F3253">
            <w:pPr>
              <w:tabs>
                <w:tab w:val="left" w:pos="1163"/>
              </w:tabs>
              <w:rPr>
                <w:sz w:val="18"/>
                <w:szCs w:val="18"/>
              </w:rPr>
            </w:pPr>
            <w:r w:rsidRPr="00A7082A">
              <w:rPr>
                <w:sz w:val="18"/>
                <w:szCs w:val="18"/>
              </w:rPr>
              <w:t>B6. Process indicator for article 3</w:t>
            </w:r>
          </w:p>
        </w:tc>
        <w:tc>
          <w:tcPr>
            <w:tcW w:w="3226" w:type="dxa"/>
            <w:tcBorders>
              <w:top w:val="nil"/>
              <w:left w:val="nil"/>
              <w:bottom w:val="nil"/>
              <w:right w:val="nil"/>
            </w:tcBorders>
            <w:shd w:val="clear" w:color="auto" w:fill="auto"/>
            <w:tcMar>
              <w:top w:w="80" w:type="dxa"/>
              <w:left w:w="80" w:type="dxa"/>
              <w:bottom w:w="80" w:type="dxa"/>
              <w:right w:w="80" w:type="dxa"/>
            </w:tcMar>
          </w:tcPr>
          <w:p w14:paraId="0E63A011" w14:textId="77777777" w:rsidR="00B3200D" w:rsidRPr="00A7082A" w:rsidRDefault="00B3200D" w:rsidP="003F3253">
            <w:pPr>
              <w:tabs>
                <w:tab w:val="left" w:pos="1163"/>
              </w:tabs>
              <w:rPr>
                <w:sz w:val="18"/>
                <w:szCs w:val="18"/>
              </w:rPr>
            </w:pPr>
            <w:r w:rsidRPr="00A7082A">
              <w:rPr>
                <w:sz w:val="18"/>
                <w:szCs w:val="18"/>
              </w:rPr>
              <w:t xml:space="preserve"> For those parties that have determined they have excess Hg, whether they have taken measures called for in article 3 para. 5 (b), and amount of Hg disposed of in accordance with those measure, if available </w:t>
            </w:r>
          </w:p>
        </w:tc>
        <w:tc>
          <w:tcPr>
            <w:tcW w:w="1664" w:type="dxa"/>
            <w:tcBorders>
              <w:top w:val="nil"/>
              <w:left w:val="nil"/>
              <w:bottom w:val="nil"/>
              <w:right w:val="nil"/>
            </w:tcBorders>
            <w:shd w:val="clear" w:color="auto" w:fill="auto"/>
            <w:tcMar>
              <w:top w:w="80" w:type="dxa"/>
              <w:left w:w="80" w:type="dxa"/>
              <w:bottom w:w="80" w:type="dxa"/>
              <w:right w:w="80" w:type="dxa"/>
            </w:tcMar>
          </w:tcPr>
          <w:p w14:paraId="1F005EAE" w14:textId="77777777" w:rsidR="00B3200D" w:rsidRPr="00A7082A" w:rsidRDefault="00B3200D" w:rsidP="003F3253">
            <w:pPr>
              <w:rPr>
                <w:sz w:val="18"/>
                <w:szCs w:val="18"/>
              </w:rPr>
            </w:pPr>
            <w:r w:rsidRPr="00A7082A">
              <w:rPr>
                <w:sz w:val="18"/>
                <w:szCs w:val="18"/>
              </w:rPr>
              <w:t xml:space="preserve">- Article 21 reporting </w:t>
            </w:r>
          </w:p>
          <w:p w14:paraId="6C3CFD05" w14:textId="77777777" w:rsidR="00B3200D" w:rsidRPr="00A7082A" w:rsidRDefault="00B3200D" w:rsidP="003F3253">
            <w:pPr>
              <w:rPr>
                <w:sz w:val="18"/>
                <w:szCs w:val="18"/>
              </w:rPr>
            </w:pPr>
            <w:r w:rsidRPr="00A7082A">
              <w:rPr>
                <w:sz w:val="18"/>
                <w:szCs w:val="18"/>
              </w:rPr>
              <w:t>- World Chlorine Council reports</w:t>
            </w:r>
          </w:p>
        </w:tc>
        <w:tc>
          <w:tcPr>
            <w:tcW w:w="1611" w:type="dxa"/>
            <w:tcBorders>
              <w:top w:val="nil"/>
              <w:left w:val="nil"/>
              <w:bottom w:val="nil"/>
              <w:right w:val="nil"/>
            </w:tcBorders>
            <w:shd w:val="clear" w:color="auto" w:fill="auto"/>
            <w:tcMar>
              <w:top w:w="80" w:type="dxa"/>
              <w:left w:w="80" w:type="dxa"/>
              <w:bottom w:w="80" w:type="dxa"/>
              <w:right w:w="80" w:type="dxa"/>
            </w:tcMar>
          </w:tcPr>
          <w:p w14:paraId="7AC3916A" w14:textId="77777777" w:rsidR="00B3200D" w:rsidRPr="00A7082A" w:rsidRDefault="00B3200D" w:rsidP="003F3253">
            <w:pPr>
              <w:rPr>
                <w:sz w:val="18"/>
                <w:szCs w:val="18"/>
              </w:rPr>
            </w:pPr>
            <w:r w:rsidRPr="00A7082A">
              <w:rPr>
                <w:sz w:val="18"/>
                <w:szCs w:val="18"/>
              </w:rPr>
              <w:t>Percentage in the first evaluation</w:t>
            </w:r>
          </w:p>
        </w:tc>
      </w:tr>
      <w:tr w:rsidR="00B3200D" w:rsidRPr="00A7082A" w14:paraId="08C211F3" w14:textId="77777777" w:rsidTr="003F3253">
        <w:trPr>
          <w:trHeight w:val="57"/>
          <w:jc w:val="right"/>
        </w:trPr>
        <w:tc>
          <w:tcPr>
            <w:tcW w:w="1806" w:type="dxa"/>
            <w:tcBorders>
              <w:top w:val="nil"/>
              <w:left w:val="nil"/>
              <w:bottom w:val="nil"/>
              <w:right w:val="nil"/>
            </w:tcBorders>
            <w:shd w:val="clear" w:color="auto" w:fill="auto"/>
            <w:tcMar>
              <w:top w:w="80" w:type="dxa"/>
              <w:left w:w="80" w:type="dxa"/>
              <w:bottom w:w="80" w:type="dxa"/>
              <w:right w:w="80" w:type="dxa"/>
            </w:tcMar>
          </w:tcPr>
          <w:p w14:paraId="3053A751" w14:textId="77777777" w:rsidR="00B3200D" w:rsidRPr="00A7082A" w:rsidRDefault="00B3200D" w:rsidP="003F3253">
            <w:pPr>
              <w:tabs>
                <w:tab w:val="left" w:pos="1163"/>
              </w:tabs>
              <w:rPr>
                <w:sz w:val="18"/>
                <w:szCs w:val="18"/>
              </w:rPr>
            </w:pPr>
            <w:r w:rsidRPr="00A7082A">
              <w:rPr>
                <w:sz w:val="18"/>
                <w:szCs w:val="18"/>
              </w:rPr>
              <w:t>B7. Process indicator for article 3</w:t>
            </w:r>
          </w:p>
        </w:tc>
        <w:tc>
          <w:tcPr>
            <w:tcW w:w="3226" w:type="dxa"/>
            <w:tcBorders>
              <w:top w:val="nil"/>
              <w:left w:val="nil"/>
              <w:bottom w:val="nil"/>
              <w:right w:val="nil"/>
            </w:tcBorders>
            <w:shd w:val="clear" w:color="auto" w:fill="auto"/>
            <w:tcMar>
              <w:top w:w="80" w:type="dxa"/>
              <w:left w:w="80" w:type="dxa"/>
              <w:bottom w:w="80" w:type="dxa"/>
              <w:right w:w="80" w:type="dxa"/>
            </w:tcMar>
          </w:tcPr>
          <w:p w14:paraId="1446A0B3" w14:textId="77777777" w:rsidR="00B3200D" w:rsidRPr="00A7082A" w:rsidRDefault="00B3200D" w:rsidP="003F3253">
            <w:pPr>
              <w:tabs>
                <w:tab w:val="left" w:pos="1163"/>
              </w:tabs>
              <w:rPr>
                <w:sz w:val="18"/>
                <w:szCs w:val="18"/>
              </w:rPr>
            </w:pPr>
            <w:r w:rsidRPr="00A7082A">
              <w:rPr>
                <w:sz w:val="18"/>
                <w:szCs w:val="18"/>
              </w:rPr>
              <w:t>Number and proportion of parties trading in mercury</w:t>
            </w:r>
          </w:p>
        </w:tc>
        <w:tc>
          <w:tcPr>
            <w:tcW w:w="1664" w:type="dxa"/>
            <w:tcBorders>
              <w:top w:val="nil"/>
              <w:left w:val="nil"/>
              <w:bottom w:val="nil"/>
              <w:right w:val="nil"/>
            </w:tcBorders>
            <w:shd w:val="clear" w:color="auto" w:fill="auto"/>
            <w:tcMar>
              <w:top w:w="80" w:type="dxa"/>
              <w:left w:w="80" w:type="dxa"/>
              <w:bottom w:w="80" w:type="dxa"/>
              <w:right w:w="80" w:type="dxa"/>
            </w:tcMar>
          </w:tcPr>
          <w:p w14:paraId="748FB76F" w14:textId="77777777" w:rsidR="00B3200D" w:rsidRPr="00A7082A" w:rsidRDefault="00B3200D" w:rsidP="003F3253">
            <w:pPr>
              <w:tabs>
                <w:tab w:val="left" w:pos="1163"/>
              </w:tabs>
              <w:rPr>
                <w:sz w:val="18"/>
                <w:szCs w:val="18"/>
              </w:rPr>
            </w:pPr>
            <w:r w:rsidRPr="00A7082A">
              <w:rPr>
                <w:sz w:val="18"/>
                <w:szCs w:val="18"/>
              </w:rPr>
              <w:t xml:space="preserve">- Article 21 reporting </w:t>
            </w:r>
          </w:p>
          <w:p w14:paraId="487D174F" w14:textId="77777777" w:rsidR="00B3200D" w:rsidRPr="00A7082A" w:rsidRDefault="00B3200D" w:rsidP="003F3253">
            <w:pPr>
              <w:tabs>
                <w:tab w:val="left" w:pos="1163"/>
              </w:tabs>
              <w:rPr>
                <w:sz w:val="18"/>
                <w:szCs w:val="18"/>
              </w:rPr>
            </w:pPr>
            <w:r w:rsidRPr="00A7082A">
              <w:rPr>
                <w:sz w:val="18"/>
                <w:szCs w:val="18"/>
              </w:rPr>
              <w:t>- Article 3 forms</w:t>
            </w:r>
          </w:p>
        </w:tc>
        <w:tc>
          <w:tcPr>
            <w:tcW w:w="1611" w:type="dxa"/>
            <w:tcBorders>
              <w:top w:val="nil"/>
              <w:left w:val="nil"/>
              <w:bottom w:val="nil"/>
              <w:right w:val="nil"/>
            </w:tcBorders>
            <w:shd w:val="clear" w:color="auto" w:fill="auto"/>
            <w:tcMar>
              <w:top w:w="80" w:type="dxa"/>
              <w:left w:w="80" w:type="dxa"/>
              <w:bottom w:w="80" w:type="dxa"/>
              <w:right w:w="80" w:type="dxa"/>
            </w:tcMar>
          </w:tcPr>
          <w:p w14:paraId="01F40074" w14:textId="77777777" w:rsidR="00B3200D" w:rsidRPr="00A7082A" w:rsidRDefault="00B3200D" w:rsidP="003F3253">
            <w:pPr>
              <w:rPr>
                <w:sz w:val="18"/>
                <w:szCs w:val="18"/>
              </w:rPr>
            </w:pPr>
            <w:r w:rsidRPr="00A7082A">
              <w:rPr>
                <w:sz w:val="18"/>
                <w:szCs w:val="18"/>
              </w:rPr>
              <w:t>Number and percentage in the first evaluation</w:t>
            </w:r>
          </w:p>
        </w:tc>
      </w:tr>
      <w:tr w:rsidR="00B3200D" w:rsidRPr="00A7082A" w14:paraId="269EA34A" w14:textId="77777777" w:rsidTr="003F3253">
        <w:trPr>
          <w:trHeight w:val="57"/>
          <w:jc w:val="right"/>
        </w:trPr>
        <w:tc>
          <w:tcPr>
            <w:tcW w:w="1806"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1837466A" w14:textId="77777777" w:rsidR="00B3200D" w:rsidRPr="00A7082A" w:rsidRDefault="00B3200D" w:rsidP="003F3253">
            <w:pPr>
              <w:tabs>
                <w:tab w:val="left" w:pos="1163"/>
              </w:tabs>
              <w:rPr>
                <w:sz w:val="18"/>
                <w:szCs w:val="18"/>
              </w:rPr>
            </w:pPr>
            <w:r w:rsidRPr="00A7082A">
              <w:rPr>
                <w:sz w:val="18"/>
                <w:szCs w:val="18"/>
              </w:rPr>
              <w:lastRenderedPageBreak/>
              <w:t>B8. Process indicator for article 3</w:t>
            </w:r>
          </w:p>
        </w:tc>
        <w:tc>
          <w:tcPr>
            <w:tcW w:w="3226"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1B94FE48" w14:textId="77777777" w:rsidR="00B3200D" w:rsidRPr="00A7082A" w:rsidRDefault="00B3200D" w:rsidP="003F3253">
            <w:pPr>
              <w:tabs>
                <w:tab w:val="left" w:pos="1163"/>
              </w:tabs>
              <w:rPr>
                <w:sz w:val="18"/>
                <w:szCs w:val="18"/>
              </w:rPr>
            </w:pPr>
            <w:r w:rsidRPr="00A7082A">
              <w:rPr>
                <w:sz w:val="18"/>
                <w:szCs w:val="18"/>
              </w:rPr>
              <w:t>Volume of mercury being traded</w:t>
            </w:r>
          </w:p>
        </w:tc>
        <w:tc>
          <w:tcPr>
            <w:tcW w:w="1664"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3DEBDA13" w14:textId="77777777" w:rsidR="00B3200D" w:rsidRPr="00A7082A" w:rsidRDefault="00B3200D" w:rsidP="003F3253">
            <w:pPr>
              <w:tabs>
                <w:tab w:val="left" w:pos="1163"/>
              </w:tabs>
              <w:rPr>
                <w:sz w:val="18"/>
                <w:szCs w:val="18"/>
              </w:rPr>
            </w:pPr>
            <w:r w:rsidRPr="00A7082A">
              <w:rPr>
                <w:sz w:val="18"/>
                <w:szCs w:val="18"/>
              </w:rPr>
              <w:t xml:space="preserve">- Article 21 reporting </w:t>
            </w:r>
          </w:p>
        </w:tc>
        <w:tc>
          <w:tcPr>
            <w:tcW w:w="1611"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1C19D8CB" w14:textId="77777777" w:rsidR="00B3200D" w:rsidRPr="00A7082A" w:rsidRDefault="00B3200D" w:rsidP="003F3253">
            <w:pPr>
              <w:rPr>
                <w:sz w:val="18"/>
                <w:szCs w:val="18"/>
              </w:rPr>
            </w:pPr>
            <w:r w:rsidRPr="00A7082A">
              <w:rPr>
                <w:sz w:val="18"/>
                <w:szCs w:val="18"/>
              </w:rPr>
              <w:t>Amount in the first evaluation</w:t>
            </w:r>
          </w:p>
        </w:tc>
      </w:tr>
      <w:tr w:rsidR="00B3200D" w:rsidRPr="00A7082A" w14:paraId="5F49E4B6" w14:textId="77777777" w:rsidTr="003F3253">
        <w:trPr>
          <w:trHeight w:val="139"/>
          <w:jc w:val="right"/>
        </w:trPr>
        <w:tc>
          <w:tcPr>
            <w:tcW w:w="1806"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2EEB028F" w14:textId="77777777" w:rsidR="00B3200D" w:rsidRPr="00A7082A" w:rsidRDefault="00B3200D" w:rsidP="003F3253">
            <w:pPr>
              <w:tabs>
                <w:tab w:val="left" w:pos="1163"/>
              </w:tabs>
              <w:rPr>
                <w:sz w:val="18"/>
                <w:szCs w:val="18"/>
              </w:rPr>
            </w:pPr>
            <w:r w:rsidRPr="00A7082A">
              <w:rPr>
                <w:b/>
                <w:bCs/>
                <w:sz w:val="18"/>
                <w:szCs w:val="18"/>
              </w:rPr>
              <w:t>Article 10</w:t>
            </w:r>
          </w:p>
        </w:tc>
        <w:tc>
          <w:tcPr>
            <w:tcW w:w="3226"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08CDF607" w14:textId="77777777" w:rsidR="00B3200D" w:rsidRPr="00A7082A" w:rsidRDefault="00B3200D" w:rsidP="003F3253">
            <w:pPr>
              <w:rPr>
                <w:sz w:val="18"/>
                <w:szCs w:val="18"/>
              </w:rPr>
            </w:pPr>
          </w:p>
        </w:tc>
        <w:tc>
          <w:tcPr>
            <w:tcW w:w="1664"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6064285B" w14:textId="77777777" w:rsidR="00B3200D" w:rsidRPr="00A7082A" w:rsidRDefault="00B3200D" w:rsidP="003F3253">
            <w:pPr>
              <w:rPr>
                <w:sz w:val="18"/>
                <w:szCs w:val="18"/>
              </w:rPr>
            </w:pPr>
          </w:p>
        </w:tc>
        <w:tc>
          <w:tcPr>
            <w:tcW w:w="1611"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7D6D25A3" w14:textId="77777777" w:rsidR="00B3200D" w:rsidRPr="00A7082A" w:rsidRDefault="00B3200D" w:rsidP="003F3253">
            <w:pPr>
              <w:rPr>
                <w:sz w:val="18"/>
                <w:szCs w:val="18"/>
              </w:rPr>
            </w:pPr>
          </w:p>
        </w:tc>
      </w:tr>
      <w:tr w:rsidR="00B3200D" w:rsidRPr="00A7082A" w14:paraId="73FE3D92" w14:textId="77777777" w:rsidTr="003F3253">
        <w:trPr>
          <w:trHeight w:val="57"/>
          <w:jc w:val="right"/>
        </w:trPr>
        <w:tc>
          <w:tcPr>
            <w:tcW w:w="1806"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30D7F5C1" w14:textId="77777777" w:rsidR="00B3200D" w:rsidRPr="00A7082A" w:rsidRDefault="00B3200D" w:rsidP="003F3253">
            <w:pPr>
              <w:tabs>
                <w:tab w:val="left" w:pos="1163"/>
              </w:tabs>
              <w:rPr>
                <w:sz w:val="18"/>
                <w:szCs w:val="18"/>
              </w:rPr>
            </w:pPr>
            <w:r w:rsidRPr="00A7082A">
              <w:rPr>
                <w:sz w:val="18"/>
                <w:szCs w:val="18"/>
              </w:rPr>
              <w:t>B9. Process indicator for article 10</w:t>
            </w:r>
          </w:p>
        </w:tc>
        <w:tc>
          <w:tcPr>
            <w:tcW w:w="3226"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67FBCC92" w14:textId="77777777" w:rsidR="00B3200D" w:rsidRPr="00A7082A" w:rsidRDefault="00B3200D" w:rsidP="003F3253">
            <w:pPr>
              <w:rPr>
                <w:sz w:val="18"/>
                <w:szCs w:val="18"/>
              </w:rPr>
            </w:pPr>
            <w:r w:rsidRPr="00A7082A">
              <w:rPr>
                <w:sz w:val="18"/>
                <w:szCs w:val="18"/>
              </w:rPr>
              <w:t>Number and proportion of parties that have taken measures to ensure sound interim storage</w:t>
            </w:r>
          </w:p>
        </w:tc>
        <w:tc>
          <w:tcPr>
            <w:tcW w:w="1664"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41E3E69D" w14:textId="77777777" w:rsidR="00B3200D" w:rsidRPr="00A7082A" w:rsidRDefault="00B3200D" w:rsidP="003F3253">
            <w:pPr>
              <w:rPr>
                <w:sz w:val="18"/>
                <w:szCs w:val="18"/>
              </w:rPr>
            </w:pPr>
            <w:r w:rsidRPr="00A7082A">
              <w:rPr>
                <w:sz w:val="18"/>
                <w:szCs w:val="18"/>
              </w:rPr>
              <w:t>- Article 21 reporting</w:t>
            </w:r>
          </w:p>
        </w:tc>
        <w:tc>
          <w:tcPr>
            <w:tcW w:w="1611"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5F12EC40" w14:textId="77777777" w:rsidR="00B3200D" w:rsidRPr="00A7082A" w:rsidRDefault="00B3200D" w:rsidP="003F3253">
            <w:pPr>
              <w:rPr>
                <w:sz w:val="18"/>
                <w:szCs w:val="18"/>
              </w:rPr>
            </w:pPr>
            <w:r w:rsidRPr="00A7082A">
              <w:rPr>
                <w:sz w:val="18"/>
                <w:szCs w:val="18"/>
              </w:rPr>
              <w:t>Number and percentage in the first evaluation</w:t>
            </w:r>
          </w:p>
        </w:tc>
      </w:tr>
      <w:tr w:rsidR="00B3200D" w:rsidRPr="00A7082A" w14:paraId="122E00E2" w14:textId="77777777" w:rsidTr="003F3253">
        <w:trPr>
          <w:trHeight w:val="57"/>
          <w:jc w:val="right"/>
        </w:trPr>
        <w:tc>
          <w:tcPr>
            <w:tcW w:w="1806"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7B8D0093" w14:textId="77777777" w:rsidR="00B3200D" w:rsidRPr="00A7082A" w:rsidRDefault="00B3200D" w:rsidP="003F3253">
            <w:pPr>
              <w:rPr>
                <w:sz w:val="18"/>
                <w:szCs w:val="18"/>
              </w:rPr>
            </w:pPr>
            <w:r w:rsidRPr="00A7082A">
              <w:rPr>
                <w:spacing w:val="-2"/>
                <w:sz w:val="18"/>
                <w:szCs w:val="18"/>
              </w:rPr>
              <w:t>B10. Outcome indicator for article 10</w:t>
            </w:r>
          </w:p>
        </w:tc>
        <w:tc>
          <w:tcPr>
            <w:tcW w:w="3226"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6B5BEF07" w14:textId="77777777" w:rsidR="00B3200D" w:rsidRPr="00A7082A" w:rsidRDefault="00B3200D" w:rsidP="003F3253">
            <w:pPr>
              <w:tabs>
                <w:tab w:val="left" w:pos="1163"/>
              </w:tabs>
              <w:rPr>
                <w:sz w:val="18"/>
                <w:szCs w:val="18"/>
              </w:rPr>
            </w:pPr>
            <w:r w:rsidRPr="00A7082A">
              <w:rPr>
                <w:sz w:val="18"/>
                <w:szCs w:val="18"/>
              </w:rPr>
              <w:t>Amount of mercury stored in an environmentally sound way (as identified in the inventory of stocks)</w:t>
            </w:r>
          </w:p>
        </w:tc>
        <w:tc>
          <w:tcPr>
            <w:tcW w:w="1664"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40EDC179" w14:textId="77777777" w:rsidR="00B3200D" w:rsidRPr="00A7082A" w:rsidRDefault="00B3200D" w:rsidP="003F3253">
            <w:pPr>
              <w:tabs>
                <w:tab w:val="left" w:pos="1163"/>
              </w:tabs>
              <w:rPr>
                <w:sz w:val="18"/>
                <w:szCs w:val="18"/>
              </w:rPr>
            </w:pPr>
            <w:r w:rsidRPr="00A7082A">
              <w:rPr>
                <w:sz w:val="18"/>
                <w:szCs w:val="18"/>
              </w:rPr>
              <w:t>- Article 21 reporting</w:t>
            </w:r>
          </w:p>
        </w:tc>
        <w:tc>
          <w:tcPr>
            <w:tcW w:w="1611"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7C242861" w14:textId="77777777" w:rsidR="00B3200D" w:rsidRPr="00A7082A" w:rsidRDefault="00B3200D" w:rsidP="003F3253">
            <w:pPr>
              <w:rPr>
                <w:sz w:val="18"/>
                <w:szCs w:val="18"/>
              </w:rPr>
            </w:pPr>
            <w:r w:rsidRPr="00A7082A">
              <w:rPr>
                <w:sz w:val="18"/>
                <w:szCs w:val="18"/>
              </w:rPr>
              <w:t>Amount in the first evaluation</w:t>
            </w:r>
          </w:p>
        </w:tc>
      </w:tr>
      <w:tr w:rsidR="00B3200D" w:rsidRPr="00A7082A" w14:paraId="1F990309" w14:textId="77777777" w:rsidTr="003F3253">
        <w:trPr>
          <w:trHeight w:val="57"/>
          <w:jc w:val="right"/>
        </w:trPr>
        <w:tc>
          <w:tcPr>
            <w:tcW w:w="1806"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09E4AA75" w14:textId="77777777" w:rsidR="00B3200D" w:rsidRPr="00A7082A" w:rsidRDefault="00B3200D" w:rsidP="003F3253">
            <w:pPr>
              <w:tabs>
                <w:tab w:val="left" w:pos="1163"/>
              </w:tabs>
              <w:rPr>
                <w:sz w:val="18"/>
                <w:szCs w:val="18"/>
              </w:rPr>
            </w:pPr>
            <w:r w:rsidRPr="00A7082A">
              <w:rPr>
                <w:b/>
                <w:bCs/>
                <w:sz w:val="18"/>
                <w:szCs w:val="18"/>
              </w:rPr>
              <w:t>Article 11</w:t>
            </w:r>
          </w:p>
        </w:tc>
        <w:tc>
          <w:tcPr>
            <w:tcW w:w="3226"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246C0181" w14:textId="77777777" w:rsidR="00B3200D" w:rsidRPr="00A7082A" w:rsidRDefault="00B3200D" w:rsidP="003F3253">
            <w:pPr>
              <w:rPr>
                <w:sz w:val="18"/>
                <w:szCs w:val="18"/>
              </w:rPr>
            </w:pPr>
          </w:p>
        </w:tc>
        <w:tc>
          <w:tcPr>
            <w:tcW w:w="1664"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5E8271C7" w14:textId="77777777" w:rsidR="00B3200D" w:rsidRPr="00A7082A" w:rsidRDefault="00B3200D" w:rsidP="003F3253">
            <w:pPr>
              <w:rPr>
                <w:sz w:val="18"/>
                <w:szCs w:val="18"/>
              </w:rPr>
            </w:pPr>
          </w:p>
        </w:tc>
        <w:tc>
          <w:tcPr>
            <w:tcW w:w="1611"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4D53B6CF" w14:textId="77777777" w:rsidR="00B3200D" w:rsidRPr="00A7082A" w:rsidRDefault="00B3200D" w:rsidP="003F3253">
            <w:pPr>
              <w:rPr>
                <w:sz w:val="18"/>
                <w:szCs w:val="18"/>
              </w:rPr>
            </w:pPr>
          </w:p>
        </w:tc>
      </w:tr>
      <w:tr w:rsidR="00B3200D" w:rsidRPr="00A7082A" w14:paraId="1E9277C8" w14:textId="77777777" w:rsidTr="003F3253">
        <w:trPr>
          <w:trHeight w:val="57"/>
          <w:jc w:val="right"/>
        </w:trPr>
        <w:tc>
          <w:tcPr>
            <w:tcW w:w="1806"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4C162FF5" w14:textId="77777777" w:rsidR="00B3200D" w:rsidRPr="00A7082A" w:rsidRDefault="00B3200D" w:rsidP="003F3253">
            <w:pPr>
              <w:tabs>
                <w:tab w:val="left" w:pos="1163"/>
              </w:tabs>
              <w:rPr>
                <w:sz w:val="18"/>
                <w:szCs w:val="18"/>
              </w:rPr>
            </w:pPr>
            <w:r w:rsidRPr="00A7082A">
              <w:rPr>
                <w:spacing w:val="-2"/>
                <w:sz w:val="18"/>
                <w:szCs w:val="18"/>
              </w:rPr>
              <w:t>B11. Outcome indicator for article 11</w:t>
            </w:r>
          </w:p>
        </w:tc>
        <w:tc>
          <w:tcPr>
            <w:tcW w:w="3226"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0A3AB2FB" w14:textId="77777777" w:rsidR="00B3200D" w:rsidRPr="00A7082A" w:rsidRDefault="00B3200D" w:rsidP="003F3253">
            <w:pPr>
              <w:rPr>
                <w:sz w:val="18"/>
                <w:szCs w:val="18"/>
              </w:rPr>
            </w:pPr>
            <w:r w:rsidRPr="00A7082A">
              <w:rPr>
                <w:sz w:val="18"/>
                <w:szCs w:val="18"/>
              </w:rPr>
              <w:t>Amount of waste containing mercury or mercury compounds subject to final disposal</w:t>
            </w:r>
          </w:p>
        </w:tc>
        <w:tc>
          <w:tcPr>
            <w:tcW w:w="1664"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08F10D05" w14:textId="77777777" w:rsidR="00B3200D" w:rsidRPr="00A7082A" w:rsidRDefault="00B3200D" w:rsidP="003F3253">
            <w:pPr>
              <w:rPr>
                <w:sz w:val="18"/>
                <w:szCs w:val="18"/>
              </w:rPr>
            </w:pPr>
            <w:r w:rsidRPr="00A7082A">
              <w:rPr>
                <w:sz w:val="18"/>
                <w:szCs w:val="18"/>
              </w:rPr>
              <w:t>- Article 21 reporting</w:t>
            </w:r>
          </w:p>
        </w:tc>
        <w:tc>
          <w:tcPr>
            <w:tcW w:w="1611"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228D3762" w14:textId="77777777" w:rsidR="00B3200D" w:rsidRPr="00A7082A" w:rsidRDefault="00B3200D" w:rsidP="003F3253">
            <w:pPr>
              <w:rPr>
                <w:sz w:val="18"/>
                <w:szCs w:val="18"/>
              </w:rPr>
            </w:pPr>
            <w:r w:rsidRPr="00A7082A">
              <w:rPr>
                <w:sz w:val="18"/>
                <w:szCs w:val="18"/>
              </w:rPr>
              <w:t>Amount in the first evaluation</w:t>
            </w:r>
          </w:p>
        </w:tc>
      </w:tr>
      <w:tr w:rsidR="00B3200D" w:rsidRPr="00A7082A" w14:paraId="2E8F626E" w14:textId="77777777" w:rsidTr="003F3253">
        <w:trPr>
          <w:trHeight w:val="57"/>
          <w:jc w:val="right"/>
        </w:trPr>
        <w:tc>
          <w:tcPr>
            <w:tcW w:w="1806" w:type="dxa"/>
            <w:tcBorders>
              <w:top w:val="nil"/>
              <w:left w:val="nil"/>
              <w:bottom w:val="nil"/>
              <w:right w:val="nil"/>
            </w:tcBorders>
            <w:shd w:val="clear" w:color="auto" w:fill="auto"/>
            <w:tcMar>
              <w:top w:w="80" w:type="dxa"/>
              <w:left w:w="80" w:type="dxa"/>
              <w:bottom w:w="80" w:type="dxa"/>
              <w:right w:w="80" w:type="dxa"/>
            </w:tcMar>
          </w:tcPr>
          <w:p w14:paraId="7409EA93" w14:textId="77777777" w:rsidR="00B3200D" w:rsidRPr="00A7082A" w:rsidRDefault="00B3200D" w:rsidP="003F3253">
            <w:pPr>
              <w:tabs>
                <w:tab w:val="left" w:pos="1163"/>
              </w:tabs>
              <w:rPr>
                <w:sz w:val="18"/>
                <w:szCs w:val="18"/>
              </w:rPr>
            </w:pPr>
            <w:r w:rsidRPr="00A7082A">
              <w:rPr>
                <w:spacing w:val="-2"/>
                <w:sz w:val="18"/>
                <w:szCs w:val="18"/>
              </w:rPr>
              <w:t>B12. Outcome indicator for article 11</w:t>
            </w:r>
          </w:p>
        </w:tc>
        <w:tc>
          <w:tcPr>
            <w:tcW w:w="3226" w:type="dxa"/>
            <w:tcBorders>
              <w:top w:val="nil"/>
              <w:left w:val="nil"/>
              <w:bottom w:val="nil"/>
              <w:right w:val="nil"/>
            </w:tcBorders>
            <w:shd w:val="clear" w:color="auto" w:fill="auto"/>
            <w:tcMar>
              <w:top w:w="80" w:type="dxa"/>
              <w:left w:w="80" w:type="dxa"/>
              <w:bottom w:w="80" w:type="dxa"/>
              <w:right w:w="80" w:type="dxa"/>
            </w:tcMar>
          </w:tcPr>
          <w:p w14:paraId="3B790F13" w14:textId="77777777" w:rsidR="00B3200D" w:rsidRPr="00A7082A" w:rsidRDefault="00B3200D" w:rsidP="003F3253">
            <w:pPr>
              <w:rPr>
                <w:sz w:val="18"/>
                <w:szCs w:val="18"/>
              </w:rPr>
            </w:pPr>
            <w:r w:rsidRPr="00A7082A">
              <w:rPr>
                <w:sz w:val="18"/>
                <w:szCs w:val="18"/>
              </w:rPr>
              <w:t>Number of parties with facilities for final disposal of waste containing mercury or mercury compounds</w:t>
            </w:r>
          </w:p>
        </w:tc>
        <w:tc>
          <w:tcPr>
            <w:tcW w:w="1664" w:type="dxa"/>
            <w:tcBorders>
              <w:top w:val="nil"/>
              <w:left w:val="nil"/>
              <w:bottom w:val="nil"/>
              <w:right w:val="nil"/>
            </w:tcBorders>
            <w:shd w:val="clear" w:color="auto" w:fill="auto"/>
            <w:tcMar>
              <w:top w:w="80" w:type="dxa"/>
              <w:left w:w="80" w:type="dxa"/>
              <w:bottom w:w="80" w:type="dxa"/>
              <w:right w:w="80" w:type="dxa"/>
            </w:tcMar>
          </w:tcPr>
          <w:p w14:paraId="2E44278B" w14:textId="77777777" w:rsidR="00B3200D" w:rsidRPr="00A7082A" w:rsidRDefault="00B3200D" w:rsidP="003F3253">
            <w:pPr>
              <w:rPr>
                <w:sz w:val="18"/>
                <w:szCs w:val="18"/>
              </w:rPr>
            </w:pPr>
            <w:r w:rsidRPr="00A7082A">
              <w:rPr>
                <w:sz w:val="18"/>
                <w:szCs w:val="18"/>
              </w:rPr>
              <w:t>- Article 21 reporting</w:t>
            </w:r>
          </w:p>
        </w:tc>
        <w:tc>
          <w:tcPr>
            <w:tcW w:w="1611" w:type="dxa"/>
            <w:tcBorders>
              <w:top w:val="nil"/>
              <w:left w:val="nil"/>
              <w:bottom w:val="nil"/>
              <w:right w:val="nil"/>
            </w:tcBorders>
            <w:shd w:val="clear" w:color="auto" w:fill="auto"/>
            <w:tcMar>
              <w:top w:w="80" w:type="dxa"/>
              <w:left w:w="80" w:type="dxa"/>
              <w:bottom w:w="80" w:type="dxa"/>
              <w:right w:w="80" w:type="dxa"/>
            </w:tcMar>
          </w:tcPr>
          <w:p w14:paraId="07ADB898" w14:textId="77777777" w:rsidR="00B3200D" w:rsidRPr="00A7082A" w:rsidRDefault="00B3200D" w:rsidP="003F3253">
            <w:pPr>
              <w:rPr>
                <w:sz w:val="18"/>
                <w:szCs w:val="18"/>
              </w:rPr>
            </w:pPr>
            <w:r w:rsidRPr="00A7082A">
              <w:rPr>
                <w:sz w:val="18"/>
                <w:szCs w:val="18"/>
              </w:rPr>
              <w:t>Number in the first evaluation</w:t>
            </w:r>
          </w:p>
        </w:tc>
      </w:tr>
      <w:tr w:rsidR="00B3200D" w:rsidRPr="00A7082A" w14:paraId="03A51E3A" w14:textId="77777777" w:rsidTr="003F3253">
        <w:trPr>
          <w:trHeight w:val="588"/>
          <w:jc w:val="right"/>
        </w:trPr>
        <w:tc>
          <w:tcPr>
            <w:tcW w:w="1806" w:type="dxa"/>
            <w:tcBorders>
              <w:top w:val="nil"/>
              <w:left w:val="nil"/>
              <w:bottom w:val="nil"/>
              <w:right w:val="nil"/>
            </w:tcBorders>
            <w:shd w:val="clear" w:color="auto" w:fill="auto"/>
            <w:tcMar>
              <w:top w:w="80" w:type="dxa"/>
              <w:left w:w="80" w:type="dxa"/>
              <w:bottom w:w="80" w:type="dxa"/>
              <w:right w:w="80" w:type="dxa"/>
            </w:tcMar>
          </w:tcPr>
          <w:p w14:paraId="4DBFED2D" w14:textId="77777777" w:rsidR="00B3200D" w:rsidRPr="00A7082A" w:rsidRDefault="00B3200D" w:rsidP="003F3253">
            <w:pPr>
              <w:tabs>
                <w:tab w:val="left" w:pos="1163"/>
              </w:tabs>
              <w:rPr>
                <w:sz w:val="18"/>
                <w:szCs w:val="18"/>
              </w:rPr>
            </w:pPr>
            <w:r w:rsidRPr="00A7082A">
              <w:rPr>
                <w:sz w:val="18"/>
                <w:szCs w:val="18"/>
              </w:rPr>
              <w:t>B13. Process indicator for article 11</w:t>
            </w:r>
          </w:p>
        </w:tc>
        <w:tc>
          <w:tcPr>
            <w:tcW w:w="3226" w:type="dxa"/>
            <w:tcBorders>
              <w:top w:val="nil"/>
              <w:left w:val="nil"/>
              <w:bottom w:val="nil"/>
              <w:right w:val="nil"/>
            </w:tcBorders>
            <w:shd w:val="clear" w:color="auto" w:fill="auto"/>
            <w:tcMar>
              <w:top w:w="80" w:type="dxa"/>
              <w:left w:w="80" w:type="dxa"/>
              <w:bottom w:w="80" w:type="dxa"/>
              <w:right w:w="80" w:type="dxa"/>
            </w:tcMar>
          </w:tcPr>
          <w:p w14:paraId="56FAC1AB" w14:textId="77777777" w:rsidR="00B3200D" w:rsidRPr="00A7082A" w:rsidRDefault="00B3200D" w:rsidP="003F3253">
            <w:pPr>
              <w:rPr>
                <w:sz w:val="18"/>
                <w:szCs w:val="18"/>
              </w:rPr>
            </w:pPr>
            <w:r w:rsidRPr="00A7082A">
              <w:rPr>
                <w:sz w:val="18"/>
                <w:szCs w:val="18"/>
              </w:rPr>
              <w:t>Number of parties that have measures in place to manage mercury waste in an environmentally sound manner</w:t>
            </w:r>
          </w:p>
        </w:tc>
        <w:tc>
          <w:tcPr>
            <w:tcW w:w="1664" w:type="dxa"/>
            <w:tcBorders>
              <w:top w:val="nil"/>
              <w:left w:val="nil"/>
              <w:bottom w:val="nil"/>
              <w:right w:val="nil"/>
            </w:tcBorders>
            <w:shd w:val="clear" w:color="auto" w:fill="auto"/>
            <w:tcMar>
              <w:top w:w="80" w:type="dxa"/>
              <w:left w:w="80" w:type="dxa"/>
              <w:bottom w:w="80" w:type="dxa"/>
              <w:right w:w="80" w:type="dxa"/>
            </w:tcMar>
          </w:tcPr>
          <w:p w14:paraId="6CE4B3A8" w14:textId="77777777" w:rsidR="00B3200D" w:rsidRPr="00A7082A" w:rsidRDefault="00B3200D" w:rsidP="003F3253">
            <w:pPr>
              <w:rPr>
                <w:sz w:val="18"/>
                <w:szCs w:val="18"/>
              </w:rPr>
            </w:pPr>
            <w:r w:rsidRPr="00A7082A">
              <w:rPr>
                <w:sz w:val="18"/>
                <w:szCs w:val="18"/>
              </w:rPr>
              <w:t>- Article 21 reporting</w:t>
            </w:r>
          </w:p>
        </w:tc>
        <w:tc>
          <w:tcPr>
            <w:tcW w:w="1611" w:type="dxa"/>
            <w:tcBorders>
              <w:top w:val="nil"/>
              <w:left w:val="nil"/>
              <w:bottom w:val="nil"/>
              <w:right w:val="nil"/>
            </w:tcBorders>
            <w:shd w:val="clear" w:color="auto" w:fill="auto"/>
            <w:tcMar>
              <w:top w:w="80" w:type="dxa"/>
              <w:left w:w="80" w:type="dxa"/>
              <w:bottom w:w="80" w:type="dxa"/>
              <w:right w:w="80" w:type="dxa"/>
            </w:tcMar>
          </w:tcPr>
          <w:p w14:paraId="1CCD1B82" w14:textId="77777777" w:rsidR="00B3200D" w:rsidRPr="00A7082A" w:rsidRDefault="00B3200D" w:rsidP="003F3253">
            <w:pPr>
              <w:rPr>
                <w:sz w:val="18"/>
                <w:szCs w:val="18"/>
              </w:rPr>
            </w:pPr>
            <w:r w:rsidRPr="00A7082A">
              <w:rPr>
                <w:sz w:val="18"/>
                <w:szCs w:val="18"/>
              </w:rPr>
              <w:t>Number in the first evaluation</w:t>
            </w:r>
          </w:p>
        </w:tc>
      </w:tr>
      <w:tr w:rsidR="00B3200D" w:rsidRPr="00A7082A" w14:paraId="7156C830" w14:textId="77777777" w:rsidTr="003F3253">
        <w:trPr>
          <w:trHeight w:val="57"/>
          <w:jc w:val="right"/>
        </w:trPr>
        <w:tc>
          <w:tcPr>
            <w:tcW w:w="1806" w:type="dxa"/>
            <w:tcBorders>
              <w:top w:val="nil"/>
              <w:left w:val="nil"/>
              <w:bottom w:val="single" w:sz="12" w:space="0" w:color="000000" w:themeColor="text1"/>
              <w:right w:val="nil"/>
            </w:tcBorders>
            <w:shd w:val="clear" w:color="auto" w:fill="auto"/>
            <w:tcMar>
              <w:top w:w="80" w:type="dxa"/>
              <w:left w:w="80" w:type="dxa"/>
              <w:bottom w:w="80" w:type="dxa"/>
              <w:right w:w="80" w:type="dxa"/>
            </w:tcMar>
          </w:tcPr>
          <w:p w14:paraId="70853BEF" w14:textId="77777777" w:rsidR="00B3200D" w:rsidRPr="00A7082A" w:rsidRDefault="00B3200D" w:rsidP="003F3253">
            <w:pPr>
              <w:rPr>
                <w:sz w:val="18"/>
                <w:szCs w:val="18"/>
              </w:rPr>
            </w:pPr>
            <w:r w:rsidRPr="00A7082A">
              <w:rPr>
                <w:b/>
                <w:bCs/>
                <w:sz w:val="18"/>
                <w:szCs w:val="18"/>
              </w:rPr>
              <w:t>Notes</w:t>
            </w:r>
          </w:p>
        </w:tc>
        <w:tc>
          <w:tcPr>
            <w:tcW w:w="6501" w:type="dxa"/>
            <w:gridSpan w:val="3"/>
            <w:tcBorders>
              <w:top w:val="nil"/>
              <w:left w:val="nil"/>
              <w:bottom w:val="single" w:sz="12" w:space="0" w:color="000000" w:themeColor="text1"/>
              <w:right w:val="nil"/>
            </w:tcBorders>
            <w:shd w:val="clear" w:color="auto" w:fill="auto"/>
            <w:tcMar>
              <w:top w:w="80" w:type="dxa"/>
              <w:left w:w="80" w:type="dxa"/>
              <w:bottom w:w="80" w:type="dxa"/>
              <w:right w:w="80" w:type="dxa"/>
            </w:tcMar>
          </w:tcPr>
          <w:p w14:paraId="425927C0" w14:textId="77777777" w:rsidR="00B3200D" w:rsidRPr="00A7082A" w:rsidRDefault="00B3200D" w:rsidP="003F3253">
            <w:pPr>
              <w:numPr>
                <w:ilvl w:val="0"/>
                <w:numId w:val="51"/>
              </w:numPr>
              <w:rPr>
                <w:sz w:val="18"/>
                <w:szCs w:val="18"/>
              </w:rPr>
            </w:pPr>
            <w:r w:rsidRPr="00A7082A">
              <w:rPr>
                <w:sz w:val="18"/>
                <w:szCs w:val="18"/>
              </w:rPr>
              <w:t>Data from non-parties could also be important in some instances.</w:t>
            </w:r>
          </w:p>
        </w:tc>
      </w:tr>
    </w:tbl>
    <w:p w14:paraId="294AD8AB" w14:textId="77777777" w:rsidR="00B3200D" w:rsidRPr="00A7082A" w:rsidRDefault="00B3200D" w:rsidP="00B3200D">
      <w:pPr>
        <w:pStyle w:val="Normal-pool"/>
      </w:pPr>
    </w:p>
    <w:tbl>
      <w:tblPr>
        <w:tblW w:w="8307" w:type="dxa"/>
        <w:jc w:val="right"/>
        <w:tblLayout w:type="fixed"/>
        <w:tblLook w:val="04A0" w:firstRow="1" w:lastRow="0" w:firstColumn="1" w:lastColumn="0" w:noHBand="0" w:noVBand="1"/>
      </w:tblPr>
      <w:tblGrid>
        <w:gridCol w:w="1884"/>
        <w:gridCol w:w="3122"/>
        <w:gridCol w:w="1715"/>
        <w:gridCol w:w="1586"/>
      </w:tblGrid>
      <w:tr w:rsidR="00B3200D" w:rsidRPr="00A7082A" w14:paraId="0104386E" w14:textId="77777777" w:rsidTr="003F3253">
        <w:trPr>
          <w:trHeight w:val="57"/>
          <w:jc w:val="right"/>
        </w:trPr>
        <w:tc>
          <w:tcPr>
            <w:tcW w:w="5645" w:type="dxa"/>
            <w:gridSpan w:val="2"/>
            <w:tcBorders>
              <w:top w:val="single" w:sz="4" w:space="0" w:color="000000" w:themeColor="text1"/>
              <w:bottom w:val="single" w:sz="12" w:space="0" w:color="000000" w:themeColor="text1"/>
            </w:tcBorders>
            <w:shd w:val="clear" w:color="auto" w:fill="auto"/>
            <w:tcMar>
              <w:top w:w="80" w:type="dxa"/>
              <w:left w:w="80" w:type="dxa"/>
              <w:bottom w:w="80" w:type="dxa"/>
              <w:right w:w="80" w:type="dxa"/>
            </w:tcMar>
          </w:tcPr>
          <w:p w14:paraId="3766DC15" w14:textId="77777777" w:rsidR="00B3200D" w:rsidRPr="00A7082A" w:rsidRDefault="00B3200D" w:rsidP="003F3253">
            <w:pPr>
              <w:spacing w:after="120"/>
              <w:rPr>
                <w:bCs/>
                <w:i/>
                <w:sz w:val="18"/>
                <w:szCs w:val="18"/>
              </w:rPr>
            </w:pPr>
            <w:r w:rsidRPr="00A7082A">
              <w:rPr>
                <w:bCs/>
                <w:i/>
                <w:sz w:val="18"/>
                <w:szCs w:val="18"/>
              </w:rPr>
              <w:t xml:space="preserve">C: Demand cluster </w:t>
            </w:r>
          </w:p>
          <w:p w14:paraId="0015E1CE" w14:textId="77777777" w:rsidR="00B3200D" w:rsidRPr="00A7082A" w:rsidRDefault="00B3200D" w:rsidP="003F3253">
            <w:pPr>
              <w:rPr>
                <w:i/>
                <w:sz w:val="18"/>
                <w:szCs w:val="18"/>
              </w:rPr>
            </w:pPr>
            <w:r w:rsidRPr="00A7082A">
              <w:rPr>
                <w:bCs/>
                <w:i/>
                <w:sz w:val="18"/>
                <w:szCs w:val="18"/>
              </w:rPr>
              <w:t>Article 4 (mercury-added products); article 5 (manufacturing processes in which mercury or mercury compounds are used); article 7 (artisanal and small</w:t>
            </w:r>
            <w:r w:rsidRPr="00A7082A">
              <w:rPr>
                <w:bCs/>
                <w:i/>
                <w:sz w:val="18"/>
                <w:szCs w:val="18"/>
              </w:rPr>
              <w:noBreakHyphen/>
              <w:t xml:space="preserve">scale gold mining) </w:t>
            </w:r>
          </w:p>
        </w:tc>
        <w:tc>
          <w:tcPr>
            <w:tcW w:w="1926" w:type="dxa"/>
            <w:tcBorders>
              <w:top w:val="single" w:sz="4" w:space="0" w:color="000000" w:themeColor="text1"/>
              <w:bottom w:val="single" w:sz="12" w:space="0" w:color="000000" w:themeColor="text1"/>
            </w:tcBorders>
            <w:shd w:val="clear" w:color="auto" w:fill="auto"/>
            <w:tcMar>
              <w:top w:w="80" w:type="dxa"/>
              <w:left w:w="80" w:type="dxa"/>
              <w:bottom w:w="80" w:type="dxa"/>
              <w:right w:w="80" w:type="dxa"/>
            </w:tcMar>
          </w:tcPr>
          <w:p w14:paraId="62845CF2" w14:textId="77777777" w:rsidR="00B3200D" w:rsidRPr="00A7082A" w:rsidRDefault="00B3200D" w:rsidP="003F3253">
            <w:pPr>
              <w:rPr>
                <w:i/>
                <w:sz w:val="18"/>
                <w:szCs w:val="18"/>
              </w:rPr>
            </w:pPr>
            <w:r w:rsidRPr="00A7082A">
              <w:rPr>
                <w:i/>
                <w:sz w:val="18"/>
                <w:szCs w:val="18"/>
              </w:rPr>
              <w:t>Source of information on the indicator</w:t>
            </w:r>
          </w:p>
        </w:tc>
        <w:tc>
          <w:tcPr>
            <w:tcW w:w="1779" w:type="dxa"/>
            <w:tcBorders>
              <w:top w:val="single" w:sz="4" w:space="0" w:color="000000" w:themeColor="text1"/>
              <w:bottom w:val="single" w:sz="12" w:space="0" w:color="000000" w:themeColor="text1"/>
            </w:tcBorders>
            <w:shd w:val="clear" w:color="auto" w:fill="auto"/>
            <w:tcMar>
              <w:top w:w="80" w:type="dxa"/>
              <w:left w:w="80" w:type="dxa"/>
              <w:bottom w:w="80" w:type="dxa"/>
              <w:right w:w="80" w:type="dxa"/>
            </w:tcMar>
          </w:tcPr>
          <w:p w14:paraId="0AEEAA34" w14:textId="77777777" w:rsidR="00B3200D" w:rsidRPr="00A7082A" w:rsidRDefault="00B3200D" w:rsidP="003F3253">
            <w:pPr>
              <w:rPr>
                <w:i/>
                <w:sz w:val="18"/>
                <w:szCs w:val="18"/>
              </w:rPr>
            </w:pPr>
            <w:r w:rsidRPr="00A7082A">
              <w:rPr>
                <w:i/>
                <w:sz w:val="18"/>
                <w:szCs w:val="18"/>
              </w:rPr>
              <w:t>Baseline for the indicator</w:t>
            </w:r>
          </w:p>
        </w:tc>
      </w:tr>
      <w:tr w:rsidR="00B3200D" w:rsidRPr="00A7082A" w14:paraId="3056CE19" w14:textId="77777777" w:rsidTr="003F3253">
        <w:trPr>
          <w:trHeight w:val="57"/>
          <w:jc w:val="right"/>
        </w:trPr>
        <w:tc>
          <w:tcPr>
            <w:tcW w:w="2119" w:type="dxa"/>
            <w:tcBorders>
              <w:top w:val="single" w:sz="12" w:space="0" w:color="000000" w:themeColor="text1"/>
            </w:tcBorders>
            <w:shd w:val="clear" w:color="auto" w:fill="auto"/>
            <w:tcMar>
              <w:top w:w="80" w:type="dxa"/>
              <w:left w:w="80" w:type="dxa"/>
              <w:bottom w:w="80" w:type="dxa"/>
              <w:right w:w="80" w:type="dxa"/>
            </w:tcMar>
          </w:tcPr>
          <w:p w14:paraId="19F57588" w14:textId="77777777" w:rsidR="00B3200D" w:rsidRPr="00A7082A" w:rsidRDefault="00B3200D" w:rsidP="003F3253">
            <w:pPr>
              <w:rPr>
                <w:sz w:val="18"/>
                <w:szCs w:val="18"/>
              </w:rPr>
            </w:pPr>
            <w:r w:rsidRPr="00A7082A">
              <w:rPr>
                <w:sz w:val="18"/>
                <w:szCs w:val="18"/>
              </w:rPr>
              <w:t>C1. Cross-cutting process indicator for articles 4, 5 and 7</w:t>
            </w:r>
          </w:p>
        </w:tc>
        <w:tc>
          <w:tcPr>
            <w:tcW w:w="3526" w:type="dxa"/>
            <w:tcBorders>
              <w:top w:val="single" w:sz="12" w:space="0" w:color="000000" w:themeColor="text1"/>
            </w:tcBorders>
            <w:shd w:val="clear" w:color="auto" w:fill="auto"/>
            <w:tcMar>
              <w:top w:w="80" w:type="dxa"/>
              <w:left w:w="80" w:type="dxa"/>
              <w:bottom w:w="80" w:type="dxa"/>
              <w:right w:w="80" w:type="dxa"/>
            </w:tcMar>
          </w:tcPr>
          <w:p w14:paraId="78AAA444" w14:textId="77777777" w:rsidR="00B3200D" w:rsidRPr="00A7082A" w:rsidRDefault="00B3200D" w:rsidP="003F3253">
            <w:pPr>
              <w:rPr>
                <w:sz w:val="18"/>
                <w:szCs w:val="18"/>
              </w:rPr>
            </w:pPr>
            <w:r w:rsidRPr="00A7082A">
              <w:rPr>
                <w:sz w:val="18"/>
                <w:szCs w:val="18"/>
              </w:rPr>
              <w:t>Proportion of parties that have implemented key provisions under this cluster</w:t>
            </w:r>
          </w:p>
        </w:tc>
        <w:tc>
          <w:tcPr>
            <w:tcW w:w="1926" w:type="dxa"/>
            <w:tcBorders>
              <w:top w:val="single" w:sz="12" w:space="0" w:color="000000" w:themeColor="text1"/>
            </w:tcBorders>
            <w:shd w:val="clear" w:color="auto" w:fill="auto"/>
            <w:tcMar>
              <w:top w:w="80" w:type="dxa"/>
              <w:left w:w="80" w:type="dxa"/>
              <w:bottom w:w="80" w:type="dxa"/>
              <w:right w:w="80" w:type="dxa"/>
            </w:tcMar>
          </w:tcPr>
          <w:p w14:paraId="456CC372" w14:textId="77777777" w:rsidR="00B3200D" w:rsidRPr="00A7082A" w:rsidRDefault="00B3200D" w:rsidP="003F3253">
            <w:pPr>
              <w:rPr>
                <w:sz w:val="18"/>
                <w:szCs w:val="18"/>
              </w:rPr>
            </w:pPr>
            <w:r w:rsidRPr="00A7082A">
              <w:rPr>
                <w:sz w:val="18"/>
                <w:szCs w:val="18"/>
              </w:rPr>
              <w:t>- Synthesized information from individual indicators for articles 4, 5 and 7</w:t>
            </w:r>
          </w:p>
        </w:tc>
        <w:tc>
          <w:tcPr>
            <w:tcW w:w="1779" w:type="dxa"/>
            <w:tcBorders>
              <w:top w:val="single" w:sz="12" w:space="0" w:color="000000" w:themeColor="text1"/>
            </w:tcBorders>
            <w:shd w:val="clear" w:color="auto" w:fill="auto"/>
            <w:tcMar>
              <w:top w:w="80" w:type="dxa"/>
              <w:left w:w="80" w:type="dxa"/>
              <w:bottom w:w="80" w:type="dxa"/>
              <w:right w:w="80" w:type="dxa"/>
            </w:tcMar>
          </w:tcPr>
          <w:p w14:paraId="7892BC82" w14:textId="77777777" w:rsidR="00B3200D" w:rsidRPr="00A7082A" w:rsidRDefault="00B3200D" w:rsidP="003F3253">
            <w:pPr>
              <w:rPr>
                <w:sz w:val="18"/>
                <w:szCs w:val="18"/>
              </w:rPr>
            </w:pPr>
            <w:r w:rsidRPr="00A7082A">
              <w:rPr>
                <w:sz w:val="18"/>
                <w:szCs w:val="18"/>
              </w:rPr>
              <w:t>Percentage in the first evaluation</w:t>
            </w:r>
          </w:p>
        </w:tc>
      </w:tr>
      <w:tr w:rsidR="00B3200D" w:rsidRPr="00A7082A" w14:paraId="7E78A083" w14:textId="77777777" w:rsidTr="003F3253">
        <w:trPr>
          <w:trHeight w:val="57"/>
          <w:jc w:val="right"/>
        </w:trPr>
        <w:tc>
          <w:tcPr>
            <w:tcW w:w="2119" w:type="dxa"/>
            <w:tcBorders>
              <w:bottom w:val="single" w:sz="4" w:space="0" w:color="000000" w:themeColor="text1"/>
            </w:tcBorders>
            <w:shd w:val="clear" w:color="auto" w:fill="auto"/>
            <w:tcMar>
              <w:top w:w="80" w:type="dxa"/>
              <w:left w:w="80" w:type="dxa"/>
              <w:bottom w:w="80" w:type="dxa"/>
              <w:right w:w="80" w:type="dxa"/>
            </w:tcMar>
          </w:tcPr>
          <w:p w14:paraId="0D2D6D20" w14:textId="77777777" w:rsidR="00B3200D" w:rsidRPr="00A7082A" w:rsidRDefault="00B3200D" w:rsidP="003F3253">
            <w:pPr>
              <w:rPr>
                <w:sz w:val="18"/>
                <w:szCs w:val="18"/>
              </w:rPr>
            </w:pPr>
            <w:r w:rsidRPr="00A7082A">
              <w:rPr>
                <w:sz w:val="18"/>
                <w:szCs w:val="18"/>
              </w:rPr>
              <w:t>C2. Cross-cutting outcome indicator for articles 4, 5 and 7</w:t>
            </w:r>
          </w:p>
        </w:tc>
        <w:tc>
          <w:tcPr>
            <w:tcW w:w="3526" w:type="dxa"/>
            <w:tcBorders>
              <w:bottom w:val="single" w:sz="4" w:space="0" w:color="000000" w:themeColor="text1"/>
            </w:tcBorders>
            <w:shd w:val="clear" w:color="auto" w:fill="auto"/>
            <w:tcMar>
              <w:top w:w="80" w:type="dxa"/>
              <w:left w:w="80" w:type="dxa"/>
              <w:bottom w:w="80" w:type="dxa"/>
              <w:right w:w="80" w:type="dxa"/>
            </w:tcMar>
          </w:tcPr>
          <w:p w14:paraId="22C02883" w14:textId="77777777" w:rsidR="00B3200D" w:rsidRPr="00A7082A" w:rsidRDefault="00B3200D" w:rsidP="003F3253">
            <w:pPr>
              <w:rPr>
                <w:sz w:val="18"/>
                <w:szCs w:val="18"/>
              </w:rPr>
            </w:pPr>
            <w:r w:rsidRPr="00A7082A">
              <w:rPr>
                <w:sz w:val="18"/>
                <w:szCs w:val="18"/>
              </w:rPr>
              <w:t xml:space="preserve">Global use of mercury in the manufacturing of products or processes, in tonnes per application </w:t>
            </w:r>
          </w:p>
        </w:tc>
        <w:tc>
          <w:tcPr>
            <w:tcW w:w="1926" w:type="dxa"/>
            <w:tcBorders>
              <w:bottom w:val="single" w:sz="4" w:space="0" w:color="000000" w:themeColor="text1"/>
            </w:tcBorders>
            <w:shd w:val="clear" w:color="auto" w:fill="auto"/>
            <w:tcMar>
              <w:top w:w="80" w:type="dxa"/>
              <w:left w:w="80" w:type="dxa"/>
              <w:bottom w:w="80" w:type="dxa"/>
              <w:right w:w="80" w:type="dxa"/>
            </w:tcMar>
          </w:tcPr>
          <w:p w14:paraId="40DEF2CC" w14:textId="77777777" w:rsidR="00B3200D" w:rsidRPr="00A7082A" w:rsidRDefault="00B3200D" w:rsidP="003F3253">
            <w:pPr>
              <w:rPr>
                <w:sz w:val="18"/>
                <w:szCs w:val="18"/>
              </w:rPr>
            </w:pPr>
            <w:r w:rsidRPr="00A7082A">
              <w:rPr>
                <w:sz w:val="18"/>
                <w:szCs w:val="18"/>
              </w:rPr>
              <w:t>- Information from industry sources</w:t>
            </w:r>
          </w:p>
        </w:tc>
        <w:tc>
          <w:tcPr>
            <w:tcW w:w="1779" w:type="dxa"/>
            <w:tcBorders>
              <w:bottom w:val="single" w:sz="4" w:space="0" w:color="000000" w:themeColor="text1"/>
            </w:tcBorders>
            <w:shd w:val="clear" w:color="auto" w:fill="auto"/>
            <w:tcMar>
              <w:top w:w="80" w:type="dxa"/>
              <w:left w:w="80" w:type="dxa"/>
              <w:bottom w:w="80" w:type="dxa"/>
              <w:right w:w="80" w:type="dxa"/>
            </w:tcMar>
          </w:tcPr>
          <w:p w14:paraId="44154158" w14:textId="77777777" w:rsidR="00B3200D" w:rsidRPr="00A7082A" w:rsidRDefault="00B3200D" w:rsidP="003F3253">
            <w:pPr>
              <w:rPr>
                <w:sz w:val="18"/>
                <w:szCs w:val="18"/>
              </w:rPr>
            </w:pPr>
            <w:r w:rsidRPr="00A7082A">
              <w:rPr>
                <w:sz w:val="18"/>
                <w:szCs w:val="18"/>
              </w:rPr>
              <w:t>Amount in the first evaluation</w:t>
            </w:r>
          </w:p>
        </w:tc>
      </w:tr>
      <w:tr w:rsidR="00B3200D" w:rsidRPr="00A7082A" w14:paraId="30917CCC" w14:textId="77777777" w:rsidTr="003F3253">
        <w:trPr>
          <w:trHeight w:val="57"/>
          <w:jc w:val="right"/>
        </w:trPr>
        <w:tc>
          <w:tcPr>
            <w:tcW w:w="2119"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74B2AFBB" w14:textId="77777777" w:rsidR="00B3200D" w:rsidRPr="00A7082A" w:rsidRDefault="00B3200D" w:rsidP="003F3253">
            <w:pPr>
              <w:rPr>
                <w:sz w:val="18"/>
                <w:szCs w:val="18"/>
              </w:rPr>
            </w:pPr>
            <w:r w:rsidRPr="00A7082A">
              <w:rPr>
                <w:b/>
                <w:bCs/>
                <w:sz w:val="18"/>
                <w:szCs w:val="18"/>
              </w:rPr>
              <w:t>Article 4</w:t>
            </w:r>
          </w:p>
        </w:tc>
        <w:tc>
          <w:tcPr>
            <w:tcW w:w="3526"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060C99BD" w14:textId="77777777" w:rsidR="00B3200D" w:rsidRPr="00A7082A" w:rsidRDefault="00B3200D" w:rsidP="003F3253">
            <w:pPr>
              <w:rPr>
                <w:sz w:val="18"/>
                <w:szCs w:val="18"/>
              </w:rPr>
            </w:pPr>
          </w:p>
        </w:tc>
        <w:tc>
          <w:tcPr>
            <w:tcW w:w="1926"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2C72A46E" w14:textId="77777777" w:rsidR="00B3200D" w:rsidRPr="00A7082A" w:rsidRDefault="00B3200D" w:rsidP="003F3253">
            <w:pPr>
              <w:rPr>
                <w:sz w:val="18"/>
                <w:szCs w:val="18"/>
              </w:rPr>
            </w:pPr>
          </w:p>
        </w:tc>
        <w:tc>
          <w:tcPr>
            <w:tcW w:w="1779"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451ACF5A" w14:textId="77777777" w:rsidR="00B3200D" w:rsidRPr="00A7082A" w:rsidRDefault="00B3200D" w:rsidP="003F3253">
            <w:pPr>
              <w:rPr>
                <w:sz w:val="18"/>
                <w:szCs w:val="18"/>
              </w:rPr>
            </w:pPr>
          </w:p>
        </w:tc>
      </w:tr>
      <w:tr w:rsidR="00B3200D" w:rsidRPr="00A7082A" w14:paraId="6554367B" w14:textId="77777777" w:rsidTr="003F3253">
        <w:trPr>
          <w:trHeight w:val="57"/>
          <w:jc w:val="right"/>
        </w:trPr>
        <w:tc>
          <w:tcPr>
            <w:tcW w:w="2119" w:type="dxa"/>
            <w:tcBorders>
              <w:top w:val="single" w:sz="4" w:space="0" w:color="000000" w:themeColor="text1"/>
            </w:tcBorders>
            <w:shd w:val="clear" w:color="auto" w:fill="auto"/>
            <w:tcMar>
              <w:top w:w="80" w:type="dxa"/>
              <w:left w:w="80" w:type="dxa"/>
              <w:bottom w:w="80" w:type="dxa"/>
              <w:right w:w="80" w:type="dxa"/>
            </w:tcMar>
          </w:tcPr>
          <w:p w14:paraId="586D746D" w14:textId="77777777" w:rsidR="00B3200D" w:rsidRPr="00A7082A" w:rsidRDefault="00B3200D" w:rsidP="003F3253">
            <w:pPr>
              <w:rPr>
                <w:sz w:val="18"/>
                <w:szCs w:val="18"/>
              </w:rPr>
            </w:pPr>
            <w:r w:rsidRPr="00A7082A">
              <w:rPr>
                <w:sz w:val="18"/>
                <w:szCs w:val="18"/>
              </w:rPr>
              <w:t>C3. Process indicator for article 4</w:t>
            </w:r>
          </w:p>
        </w:tc>
        <w:tc>
          <w:tcPr>
            <w:tcW w:w="3526" w:type="dxa"/>
            <w:tcBorders>
              <w:top w:val="single" w:sz="4" w:space="0" w:color="000000" w:themeColor="text1"/>
            </w:tcBorders>
            <w:shd w:val="clear" w:color="auto" w:fill="auto"/>
            <w:tcMar>
              <w:top w:w="80" w:type="dxa"/>
              <w:left w:w="80" w:type="dxa"/>
              <w:bottom w:w="80" w:type="dxa"/>
              <w:right w:w="80" w:type="dxa"/>
            </w:tcMar>
          </w:tcPr>
          <w:p w14:paraId="7A185D06" w14:textId="77777777" w:rsidR="00B3200D" w:rsidRPr="00A7082A" w:rsidRDefault="00B3200D" w:rsidP="003F3253">
            <w:pPr>
              <w:rPr>
                <w:sz w:val="18"/>
                <w:szCs w:val="18"/>
              </w:rPr>
            </w:pPr>
            <w:r w:rsidRPr="00A7082A">
              <w:rPr>
                <w:sz w:val="18"/>
                <w:szCs w:val="18"/>
              </w:rPr>
              <w:t>Number of parties having appropriate measures to prevent the manufacture, export or import of mercury-added products listed in part I of annex A</w:t>
            </w:r>
          </w:p>
        </w:tc>
        <w:tc>
          <w:tcPr>
            <w:tcW w:w="1926" w:type="dxa"/>
            <w:tcBorders>
              <w:top w:val="single" w:sz="4" w:space="0" w:color="000000" w:themeColor="text1"/>
            </w:tcBorders>
            <w:shd w:val="clear" w:color="auto" w:fill="auto"/>
            <w:tcMar>
              <w:top w:w="80" w:type="dxa"/>
              <w:left w:w="80" w:type="dxa"/>
              <w:bottom w:w="80" w:type="dxa"/>
              <w:right w:w="80" w:type="dxa"/>
            </w:tcMar>
          </w:tcPr>
          <w:p w14:paraId="13B5B0CF" w14:textId="77777777" w:rsidR="00B3200D" w:rsidRPr="00A7082A" w:rsidRDefault="00B3200D" w:rsidP="003F3253">
            <w:pPr>
              <w:rPr>
                <w:sz w:val="18"/>
                <w:szCs w:val="18"/>
              </w:rPr>
            </w:pPr>
            <w:r w:rsidRPr="00A7082A">
              <w:rPr>
                <w:sz w:val="18"/>
                <w:szCs w:val="18"/>
              </w:rPr>
              <w:t>- Article 21 reporting</w:t>
            </w:r>
          </w:p>
        </w:tc>
        <w:tc>
          <w:tcPr>
            <w:tcW w:w="1779" w:type="dxa"/>
            <w:tcBorders>
              <w:top w:val="single" w:sz="4" w:space="0" w:color="000000" w:themeColor="text1"/>
            </w:tcBorders>
            <w:shd w:val="clear" w:color="auto" w:fill="auto"/>
            <w:tcMar>
              <w:top w:w="80" w:type="dxa"/>
              <w:left w:w="80" w:type="dxa"/>
              <w:bottom w:w="80" w:type="dxa"/>
              <w:right w:w="80" w:type="dxa"/>
            </w:tcMar>
          </w:tcPr>
          <w:p w14:paraId="3C4CB1F7" w14:textId="77777777" w:rsidR="00B3200D" w:rsidRPr="00A7082A" w:rsidRDefault="00B3200D" w:rsidP="003F3253">
            <w:pPr>
              <w:rPr>
                <w:sz w:val="18"/>
                <w:szCs w:val="18"/>
              </w:rPr>
            </w:pPr>
            <w:r w:rsidRPr="00A7082A">
              <w:rPr>
                <w:sz w:val="18"/>
                <w:szCs w:val="18"/>
              </w:rPr>
              <w:t>Number in the first evaluation</w:t>
            </w:r>
          </w:p>
        </w:tc>
      </w:tr>
      <w:tr w:rsidR="00B3200D" w:rsidRPr="00A7082A" w14:paraId="744A244A" w14:textId="77777777" w:rsidTr="003F3253">
        <w:trPr>
          <w:trHeight w:val="57"/>
          <w:jc w:val="right"/>
        </w:trPr>
        <w:tc>
          <w:tcPr>
            <w:tcW w:w="2119" w:type="dxa"/>
            <w:shd w:val="clear" w:color="auto" w:fill="auto"/>
            <w:tcMar>
              <w:top w:w="80" w:type="dxa"/>
              <w:left w:w="80" w:type="dxa"/>
              <w:bottom w:w="80" w:type="dxa"/>
              <w:right w:w="80" w:type="dxa"/>
            </w:tcMar>
          </w:tcPr>
          <w:p w14:paraId="6ABB0025" w14:textId="77777777" w:rsidR="00B3200D" w:rsidRPr="00A7082A" w:rsidRDefault="00B3200D" w:rsidP="003F3253">
            <w:pPr>
              <w:rPr>
                <w:sz w:val="18"/>
                <w:szCs w:val="18"/>
              </w:rPr>
            </w:pPr>
            <w:r w:rsidRPr="00A7082A">
              <w:rPr>
                <w:sz w:val="18"/>
                <w:szCs w:val="18"/>
              </w:rPr>
              <w:t>C4. Process indicator for article 4</w:t>
            </w:r>
          </w:p>
        </w:tc>
        <w:tc>
          <w:tcPr>
            <w:tcW w:w="3526" w:type="dxa"/>
            <w:shd w:val="clear" w:color="auto" w:fill="auto"/>
            <w:tcMar>
              <w:top w:w="80" w:type="dxa"/>
              <w:left w:w="80" w:type="dxa"/>
              <w:bottom w:w="80" w:type="dxa"/>
              <w:right w:w="80" w:type="dxa"/>
            </w:tcMar>
          </w:tcPr>
          <w:p w14:paraId="23018820" w14:textId="77777777" w:rsidR="00B3200D" w:rsidRPr="00A7082A" w:rsidRDefault="00B3200D" w:rsidP="003F3253">
            <w:pPr>
              <w:rPr>
                <w:sz w:val="18"/>
                <w:szCs w:val="18"/>
              </w:rPr>
            </w:pPr>
            <w:r w:rsidRPr="00A7082A">
              <w:rPr>
                <w:sz w:val="18"/>
                <w:szCs w:val="18"/>
              </w:rPr>
              <w:t>Number of exemptions per product category that are still valid</w:t>
            </w:r>
          </w:p>
        </w:tc>
        <w:tc>
          <w:tcPr>
            <w:tcW w:w="1926" w:type="dxa"/>
            <w:shd w:val="clear" w:color="auto" w:fill="auto"/>
            <w:tcMar>
              <w:top w:w="80" w:type="dxa"/>
              <w:left w:w="80" w:type="dxa"/>
              <w:bottom w:w="80" w:type="dxa"/>
              <w:right w:w="80" w:type="dxa"/>
            </w:tcMar>
          </w:tcPr>
          <w:p w14:paraId="0CCFF0B2" w14:textId="77777777" w:rsidR="00B3200D" w:rsidRPr="00A7082A" w:rsidRDefault="00B3200D" w:rsidP="003F3253">
            <w:pPr>
              <w:rPr>
                <w:sz w:val="18"/>
                <w:szCs w:val="18"/>
              </w:rPr>
            </w:pPr>
            <w:r w:rsidRPr="00A7082A">
              <w:rPr>
                <w:sz w:val="18"/>
                <w:szCs w:val="18"/>
              </w:rPr>
              <w:t>- Registry of exemptions</w:t>
            </w:r>
          </w:p>
        </w:tc>
        <w:tc>
          <w:tcPr>
            <w:tcW w:w="1779" w:type="dxa"/>
            <w:shd w:val="clear" w:color="auto" w:fill="auto"/>
            <w:tcMar>
              <w:top w:w="80" w:type="dxa"/>
              <w:left w:w="80" w:type="dxa"/>
              <w:bottom w:w="80" w:type="dxa"/>
              <w:right w:w="80" w:type="dxa"/>
            </w:tcMar>
          </w:tcPr>
          <w:p w14:paraId="20519191" w14:textId="77777777" w:rsidR="00B3200D" w:rsidRPr="00A7082A" w:rsidRDefault="00B3200D" w:rsidP="003F3253">
            <w:pPr>
              <w:rPr>
                <w:sz w:val="18"/>
                <w:szCs w:val="18"/>
              </w:rPr>
            </w:pPr>
            <w:r w:rsidRPr="00A7082A">
              <w:rPr>
                <w:sz w:val="18"/>
                <w:szCs w:val="18"/>
              </w:rPr>
              <w:t>Number in the first evaluation</w:t>
            </w:r>
          </w:p>
        </w:tc>
      </w:tr>
      <w:tr w:rsidR="00B3200D" w:rsidRPr="00A7082A" w14:paraId="4E2B5E70" w14:textId="77777777" w:rsidTr="003F3253">
        <w:trPr>
          <w:trHeight w:val="57"/>
          <w:jc w:val="right"/>
        </w:trPr>
        <w:tc>
          <w:tcPr>
            <w:tcW w:w="2119" w:type="dxa"/>
            <w:shd w:val="clear" w:color="auto" w:fill="auto"/>
            <w:tcMar>
              <w:top w:w="80" w:type="dxa"/>
              <w:left w:w="80" w:type="dxa"/>
              <w:bottom w:w="80" w:type="dxa"/>
              <w:right w:w="80" w:type="dxa"/>
            </w:tcMar>
          </w:tcPr>
          <w:p w14:paraId="5B5F2910" w14:textId="77777777" w:rsidR="00B3200D" w:rsidRPr="00A7082A" w:rsidRDefault="00B3200D" w:rsidP="003F3253">
            <w:pPr>
              <w:rPr>
                <w:sz w:val="18"/>
                <w:szCs w:val="18"/>
              </w:rPr>
            </w:pPr>
            <w:r w:rsidRPr="00A7082A">
              <w:rPr>
                <w:sz w:val="18"/>
                <w:szCs w:val="18"/>
              </w:rPr>
              <w:t>C5. Process indicator for article 4</w:t>
            </w:r>
          </w:p>
        </w:tc>
        <w:tc>
          <w:tcPr>
            <w:tcW w:w="3526" w:type="dxa"/>
            <w:shd w:val="clear" w:color="auto" w:fill="auto"/>
            <w:tcMar>
              <w:top w:w="80" w:type="dxa"/>
              <w:left w:w="80" w:type="dxa"/>
              <w:bottom w:w="80" w:type="dxa"/>
              <w:right w:w="80" w:type="dxa"/>
            </w:tcMar>
          </w:tcPr>
          <w:p w14:paraId="6CB72027" w14:textId="77777777" w:rsidR="00B3200D" w:rsidRPr="00A7082A" w:rsidRDefault="00B3200D" w:rsidP="003F3253">
            <w:pPr>
              <w:rPr>
                <w:sz w:val="18"/>
                <w:szCs w:val="18"/>
              </w:rPr>
            </w:pPr>
            <w:r w:rsidRPr="00A7082A">
              <w:rPr>
                <w:sz w:val="18"/>
                <w:szCs w:val="18"/>
              </w:rPr>
              <w:t>Number of parties that have taken two or more measures for the mercury-added products listed in part II of annex A</w:t>
            </w:r>
          </w:p>
        </w:tc>
        <w:tc>
          <w:tcPr>
            <w:tcW w:w="1926" w:type="dxa"/>
            <w:shd w:val="clear" w:color="auto" w:fill="auto"/>
            <w:tcMar>
              <w:top w:w="80" w:type="dxa"/>
              <w:left w:w="80" w:type="dxa"/>
              <w:bottom w:w="80" w:type="dxa"/>
              <w:right w:w="80" w:type="dxa"/>
            </w:tcMar>
          </w:tcPr>
          <w:p w14:paraId="48597419" w14:textId="77777777" w:rsidR="00B3200D" w:rsidRPr="00A7082A" w:rsidRDefault="00B3200D" w:rsidP="003F3253">
            <w:pPr>
              <w:rPr>
                <w:sz w:val="18"/>
                <w:szCs w:val="18"/>
              </w:rPr>
            </w:pPr>
            <w:r w:rsidRPr="00A7082A">
              <w:rPr>
                <w:sz w:val="18"/>
                <w:szCs w:val="18"/>
              </w:rPr>
              <w:t>- Article 21 reporting</w:t>
            </w:r>
          </w:p>
        </w:tc>
        <w:tc>
          <w:tcPr>
            <w:tcW w:w="1779" w:type="dxa"/>
            <w:shd w:val="clear" w:color="auto" w:fill="auto"/>
            <w:tcMar>
              <w:top w:w="80" w:type="dxa"/>
              <w:left w:w="80" w:type="dxa"/>
              <w:bottom w:w="80" w:type="dxa"/>
              <w:right w:w="80" w:type="dxa"/>
            </w:tcMar>
          </w:tcPr>
          <w:p w14:paraId="2AC7CDB5" w14:textId="77777777" w:rsidR="00B3200D" w:rsidRPr="00A7082A" w:rsidRDefault="00B3200D" w:rsidP="003F3253">
            <w:pPr>
              <w:rPr>
                <w:sz w:val="18"/>
                <w:szCs w:val="18"/>
              </w:rPr>
            </w:pPr>
            <w:r w:rsidRPr="00A7082A">
              <w:rPr>
                <w:sz w:val="18"/>
                <w:szCs w:val="18"/>
              </w:rPr>
              <w:t>Number in the first evaluation</w:t>
            </w:r>
          </w:p>
        </w:tc>
      </w:tr>
      <w:tr w:rsidR="00B3200D" w:rsidRPr="00A7082A" w14:paraId="0B985DE5" w14:textId="77777777" w:rsidTr="003F3253">
        <w:trPr>
          <w:trHeight w:val="57"/>
          <w:jc w:val="right"/>
        </w:trPr>
        <w:tc>
          <w:tcPr>
            <w:tcW w:w="2119" w:type="dxa"/>
            <w:tcBorders>
              <w:bottom w:val="single" w:sz="4" w:space="0" w:color="000000" w:themeColor="text1"/>
            </w:tcBorders>
            <w:shd w:val="clear" w:color="auto" w:fill="auto"/>
            <w:tcMar>
              <w:top w:w="80" w:type="dxa"/>
              <w:left w:w="80" w:type="dxa"/>
              <w:bottom w:w="80" w:type="dxa"/>
              <w:right w:w="80" w:type="dxa"/>
            </w:tcMar>
          </w:tcPr>
          <w:p w14:paraId="70D2C5AD" w14:textId="77777777" w:rsidR="00B3200D" w:rsidRPr="00A7082A" w:rsidRDefault="00B3200D" w:rsidP="003F3253">
            <w:pPr>
              <w:tabs>
                <w:tab w:val="left" w:pos="1163"/>
              </w:tabs>
              <w:rPr>
                <w:sz w:val="18"/>
                <w:szCs w:val="18"/>
              </w:rPr>
            </w:pPr>
            <w:r w:rsidRPr="00A7082A">
              <w:rPr>
                <w:sz w:val="18"/>
                <w:szCs w:val="18"/>
              </w:rPr>
              <w:t>C6. Additional outcome indicator for article 4</w:t>
            </w:r>
          </w:p>
        </w:tc>
        <w:tc>
          <w:tcPr>
            <w:tcW w:w="3526" w:type="dxa"/>
            <w:tcBorders>
              <w:bottom w:val="single" w:sz="4" w:space="0" w:color="000000" w:themeColor="text1"/>
            </w:tcBorders>
            <w:shd w:val="clear" w:color="auto" w:fill="auto"/>
            <w:tcMar>
              <w:top w:w="80" w:type="dxa"/>
              <w:left w:w="80" w:type="dxa"/>
              <w:bottom w:w="80" w:type="dxa"/>
              <w:right w:w="80" w:type="dxa"/>
            </w:tcMar>
          </w:tcPr>
          <w:p w14:paraId="60F679A1" w14:textId="77777777" w:rsidR="00B3200D" w:rsidRPr="00A7082A" w:rsidRDefault="00B3200D" w:rsidP="003F3253">
            <w:pPr>
              <w:tabs>
                <w:tab w:val="left" w:pos="1163"/>
              </w:tabs>
              <w:rPr>
                <w:sz w:val="18"/>
                <w:szCs w:val="18"/>
              </w:rPr>
            </w:pPr>
            <w:r w:rsidRPr="00A7082A">
              <w:rPr>
                <w:sz w:val="18"/>
                <w:szCs w:val="18"/>
              </w:rPr>
              <w:t>Volume, in tonnes of mercury-added products (a) imported and (b) exported, in units per year, for each product category in part I of annex A.</w:t>
            </w:r>
          </w:p>
        </w:tc>
        <w:tc>
          <w:tcPr>
            <w:tcW w:w="1926" w:type="dxa"/>
            <w:tcBorders>
              <w:bottom w:val="single" w:sz="4" w:space="0" w:color="000000" w:themeColor="text1"/>
            </w:tcBorders>
            <w:shd w:val="clear" w:color="auto" w:fill="auto"/>
            <w:tcMar>
              <w:top w:w="80" w:type="dxa"/>
              <w:left w:w="80" w:type="dxa"/>
              <w:bottom w:w="80" w:type="dxa"/>
              <w:right w:w="80" w:type="dxa"/>
            </w:tcMar>
          </w:tcPr>
          <w:p w14:paraId="6AA4F206" w14:textId="77777777" w:rsidR="00B3200D" w:rsidRPr="00A7082A" w:rsidRDefault="00B3200D" w:rsidP="003F3253">
            <w:pPr>
              <w:tabs>
                <w:tab w:val="left" w:pos="1163"/>
              </w:tabs>
              <w:rPr>
                <w:sz w:val="18"/>
                <w:szCs w:val="18"/>
              </w:rPr>
            </w:pPr>
            <w:r w:rsidRPr="00A7082A">
              <w:rPr>
                <w:sz w:val="18"/>
                <w:szCs w:val="18"/>
              </w:rPr>
              <w:t>- Trade and customs data</w:t>
            </w:r>
          </w:p>
        </w:tc>
        <w:tc>
          <w:tcPr>
            <w:tcW w:w="1779" w:type="dxa"/>
            <w:tcBorders>
              <w:bottom w:val="single" w:sz="4" w:space="0" w:color="000000" w:themeColor="text1"/>
            </w:tcBorders>
            <w:shd w:val="clear" w:color="auto" w:fill="auto"/>
            <w:tcMar>
              <w:top w:w="80" w:type="dxa"/>
              <w:left w:w="80" w:type="dxa"/>
              <w:bottom w:w="80" w:type="dxa"/>
              <w:right w:w="80" w:type="dxa"/>
            </w:tcMar>
          </w:tcPr>
          <w:p w14:paraId="54E5B688" w14:textId="77777777" w:rsidR="00B3200D" w:rsidRPr="00A7082A" w:rsidRDefault="00B3200D" w:rsidP="003F3253">
            <w:pPr>
              <w:tabs>
                <w:tab w:val="left" w:pos="1163"/>
              </w:tabs>
              <w:rPr>
                <w:sz w:val="18"/>
                <w:szCs w:val="18"/>
              </w:rPr>
            </w:pPr>
            <w:r w:rsidRPr="00A7082A">
              <w:rPr>
                <w:sz w:val="18"/>
                <w:szCs w:val="18"/>
              </w:rPr>
              <w:t>Amount in the first evaluation</w:t>
            </w:r>
          </w:p>
        </w:tc>
      </w:tr>
      <w:tr w:rsidR="00B3200D" w:rsidRPr="00A7082A" w14:paraId="19D0564B" w14:textId="77777777" w:rsidTr="003F3253">
        <w:trPr>
          <w:trHeight w:val="57"/>
          <w:jc w:val="right"/>
        </w:trPr>
        <w:tc>
          <w:tcPr>
            <w:tcW w:w="2119"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6F56CF8A" w14:textId="77777777" w:rsidR="00B3200D" w:rsidRPr="00A7082A" w:rsidRDefault="00B3200D" w:rsidP="003F3253">
            <w:pPr>
              <w:tabs>
                <w:tab w:val="left" w:pos="1163"/>
              </w:tabs>
              <w:rPr>
                <w:sz w:val="18"/>
                <w:szCs w:val="18"/>
              </w:rPr>
            </w:pPr>
            <w:r w:rsidRPr="00A7082A">
              <w:rPr>
                <w:b/>
                <w:bCs/>
                <w:sz w:val="18"/>
                <w:szCs w:val="18"/>
              </w:rPr>
              <w:t>Article 5</w:t>
            </w:r>
          </w:p>
        </w:tc>
        <w:tc>
          <w:tcPr>
            <w:tcW w:w="3526"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7064C78F" w14:textId="77777777" w:rsidR="00B3200D" w:rsidRPr="00A7082A" w:rsidRDefault="00B3200D" w:rsidP="003F3253">
            <w:pPr>
              <w:rPr>
                <w:sz w:val="18"/>
                <w:szCs w:val="18"/>
              </w:rPr>
            </w:pPr>
          </w:p>
        </w:tc>
        <w:tc>
          <w:tcPr>
            <w:tcW w:w="1926"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65489E7A" w14:textId="77777777" w:rsidR="00B3200D" w:rsidRPr="00A7082A" w:rsidRDefault="00B3200D" w:rsidP="003F3253">
            <w:pPr>
              <w:rPr>
                <w:sz w:val="18"/>
                <w:szCs w:val="18"/>
              </w:rPr>
            </w:pPr>
          </w:p>
        </w:tc>
        <w:tc>
          <w:tcPr>
            <w:tcW w:w="1779"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2DF48CF5" w14:textId="77777777" w:rsidR="00B3200D" w:rsidRPr="00A7082A" w:rsidRDefault="00B3200D" w:rsidP="003F3253">
            <w:pPr>
              <w:rPr>
                <w:sz w:val="18"/>
                <w:szCs w:val="18"/>
              </w:rPr>
            </w:pPr>
          </w:p>
        </w:tc>
      </w:tr>
      <w:tr w:rsidR="00B3200D" w:rsidRPr="00A7082A" w14:paraId="05D2AE23" w14:textId="77777777" w:rsidTr="003F3253">
        <w:trPr>
          <w:trHeight w:val="57"/>
          <w:jc w:val="right"/>
        </w:trPr>
        <w:tc>
          <w:tcPr>
            <w:tcW w:w="2119" w:type="dxa"/>
            <w:tcBorders>
              <w:top w:val="single" w:sz="4" w:space="0" w:color="000000" w:themeColor="text1"/>
            </w:tcBorders>
            <w:shd w:val="clear" w:color="auto" w:fill="auto"/>
            <w:tcMar>
              <w:top w:w="80" w:type="dxa"/>
              <w:left w:w="80" w:type="dxa"/>
              <w:bottom w:w="80" w:type="dxa"/>
              <w:right w:w="80" w:type="dxa"/>
            </w:tcMar>
          </w:tcPr>
          <w:p w14:paraId="688B3311" w14:textId="77777777" w:rsidR="00B3200D" w:rsidRPr="00A7082A" w:rsidRDefault="00B3200D" w:rsidP="003F3253">
            <w:pPr>
              <w:tabs>
                <w:tab w:val="left" w:pos="1163"/>
              </w:tabs>
              <w:rPr>
                <w:sz w:val="18"/>
                <w:szCs w:val="18"/>
              </w:rPr>
            </w:pPr>
            <w:r w:rsidRPr="00A7082A">
              <w:rPr>
                <w:sz w:val="18"/>
                <w:szCs w:val="18"/>
              </w:rPr>
              <w:lastRenderedPageBreak/>
              <w:t>C7. Process indicator for article 5</w:t>
            </w:r>
          </w:p>
        </w:tc>
        <w:tc>
          <w:tcPr>
            <w:tcW w:w="3526" w:type="dxa"/>
            <w:tcBorders>
              <w:top w:val="single" w:sz="4" w:space="0" w:color="000000" w:themeColor="text1"/>
            </w:tcBorders>
            <w:shd w:val="clear" w:color="auto" w:fill="auto"/>
            <w:tcMar>
              <w:top w:w="80" w:type="dxa"/>
              <w:left w:w="80" w:type="dxa"/>
              <w:bottom w:w="80" w:type="dxa"/>
              <w:right w:w="80" w:type="dxa"/>
            </w:tcMar>
          </w:tcPr>
          <w:p w14:paraId="3F32F961" w14:textId="77777777" w:rsidR="00B3200D" w:rsidRPr="00A7082A" w:rsidRDefault="00B3200D" w:rsidP="003F3253">
            <w:pPr>
              <w:tabs>
                <w:tab w:val="left" w:pos="1163"/>
              </w:tabs>
              <w:rPr>
                <w:sz w:val="18"/>
                <w:szCs w:val="18"/>
              </w:rPr>
            </w:pPr>
            <w:r w:rsidRPr="00A7082A">
              <w:rPr>
                <w:sz w:val="18"/>
                <w:szCs w:val="18"/>
              </w:rPr>
              <w:t>Number of parties with exemptions for annex B, part I, processes that are still valid</w:t>
            </w:r>
          </w:p>
        </w:tc>
        <w:tc>
          <w:tcPr>
            <w:tcW w:w="1926" w:type="dxa"/>
            <w:tcBorders>
              <w:top w:val="single" w:sz="4" w:space="0" w:color="000000" w:themeColor="text1"/>
            </w:tcBorders>
            <w:shd w:val="clear" w:color="auto" w:fill="auto"/>
            <w:tcMar>
              <w:top w:w="80" w:type="dxa"/>
              <w:left w:w="80" w:type="dxa"/>
              <w:bottom w:w="80" w:type="dxa"/>
              <w:right w:w="80" w:type="dxa"/>
            </w:tcMar>
          </w:tcPr>
          <w:p w14:paraId="2195CECA" w14:textId="77777777" w:rsidR="00B3200D" w:rsidRPr="00A7082A" w:rsidRDefault="00B3200D" w:rsidP="003F3253">
            <w:pPr>
              <w:tabs>
                <w:tab w:val="left" w:pos="1163"/>
              </w:tabs>
              <w:rPr>
                <w:sz w:val="18"/>
                <w:szCs w:val="18"/>
              </w:rPr>
            </w:pPr>
            <w:r w:rsidRPr="00A7082A">
              <w:rPr>
                <w:sz w:val="18"/>
                <w:szCs w:val="18"/>
              </w:rPr>
              <w:t>- Registry of exemptions</w:t>
            </w:r>
          </w:p>
        </w:tc>
        <w:tc>
          <w:tcPr>
            <w:tcW w:w="1779" w:type="dxa"/>
            <w:tcBorders>
              <w:top w:val="single" w:sz="4" w:space="0" w:color="000000" w:themeColor="text1"/>
            </w:tcBorders>
            <w:shd w:val="clear" w:color="auto" w:fill="auto"/>
            <w:tcMar>
              <w:top w:w="80" w:type="dxa"/>
              <w:left w:w="80" w:type="dxa"/>
              <w:bottom w:w="80" w:type="dxa"/>
              <w:right w:w="80" w:type="dxa"/>
            </w:tcMar>
          </w:tcPr>
          <w:p w14:paraId="0B2AD8FA" w14:textId="77777777" w:rsidR="00B3200D" w:rsidRPr="00A7082A" w:rsidRDefault="00B3200D" w:rsidP="003F3253">
            <w:pPr>
              <w:tabs>
                <w:tab w:val="left" w:pos="1163"/>
              </w:tabs>
              <w:rPr>
                <w:sz w:val="18"/>
                <w:szCs w:val="18"/>
              </w:rPr>
            </w:pPr>
            <w:r w:rsidRPr="00A7082A">
              <w:rPr>
                <w:sz w:val="18"/>
                <w:szCs w:val="18"/>
              </w:rPr>
              <w:t>Number in the first evaluation</w:t>
            </w:r>
          </w:p>
        </w:tc>
      </w:tr>
      <w:tr w:rsidR="00B3200D" w:rsidRPr="00A7082A" w14:paraId="2997BA79" w14:textId="77777777" w:rsidTr="003F3253">
        <w:trPr>
          <w:trHeight w:val="57"/>
          <w:jc w:val="right"/>
        </w:trPr>
        <w:tc>
          <w:tcPr>
            <w:tcW w:w="2119" w:type="dxa"/>
            <w:shd w:val="clear" w:color="auto" w:fill="auto"/>
            <w:tcMar>
              <w:top w:w="80" w:type="dxa"/>
              <w:left w:w="80" w:type="dxa"/>
              <w:bottom w:w="80" w:type="dxa"/>
              <w:right w:w="80" w:type="dxa"/>
            </w:tcMar>
          </w:tcPr>
          <w:p w14:paraId="7E6F3AD8" w14:textId="77777777" w:rsidR="00B3200D" w:rsidRPr="00A7082A" w:rsidRDefault="00B3200D" w:rsidP="003F3253">
            <w:pPr>
              <w:tabs>
                <w:tab w:val="left" w:pos="1163"/>
              </w:tabs>
              <w:rPr>
                <w:sz w:val="18"/>
                <w:szCs w:val="18"/>
              </w:rPr>
            </w:pPr>
            <w:r w:rsidRPr="00A7082A">
              <w:rPr>
                <w:sz w:val="18"/>
                <w:szCs w:val="18"/>
              </w:rPr>
              <w:t>C8. Process indicator for article 5</w:t>
            </w:r>
          </w:p>
        </w:tc>
        <w:tc>
          <w:tcPr>
            <w:tcW w:w="3526" w:type="dxa"/>
            <w:shd w:val="clear" w:color="auto" w:fill="auto"/>
            <w:tcMar>
              <w:top w:w="80" w:type="dxa"/>
              <w:left w:w="80" w:type="dxa"/>
              <w:bottom w:w="80" w:type="dxa"/>
              <w:right w:w="80" w:type="dxa"/>
            </w:tcMar>
          </w:tcPr>
          <w:p w14:paraId="0C317146" w14:textId="77777777" w:rsidR="00B3200D" w:rsidRPr="00A7082A" w:rsidRDefault="00B3200D" w:rsidP="003F3253">
            <w:pPr>
              <w:tabs>
                <w:tab w:val="left" w:pos="1163"/>
              </w:tabs>
              <w:rPr>
                <w:sz w:val="18"/>
                <w:szCs w:val="18"/>
              </w:rPr>
            </w:pPr>
            <w:r w:rsidRPr="00A7082A">
              <w:rPr>
                <w:sz w:val="18"/>
                <w:szCs w:val="18"/>
              </w:rPr>
              <w:t>Number of parties having measures in place to not allow the use of mercury or mercury compounds in manufacturing processes listed in part I of annex B</w:t>
            </w:r>
          </w:p>
        </w:tc>
        <w:tc>
          <w:tcPr>
            <w:tcW w:w="1926" w:type="dxa"/>
            <w:shd w:val="clear" w:color="auto" w:fill="auto"/>
            <w:tcMar>
              <w:top w:w="80" w:type="dxa"/>
              <w:left w:w="80" w:type="dxa"/>
              <w:bottom w:w="80" w:type="dxa"/>
              <w:right w:w="80" w:type="dxa"/>
            </w:tcMar>
          </w:tcPr>
          <w:p w14:paraId="5FD34732" w14:textId="77777777" w:rsidR="00B3200D" w:rsidRPr="00A7082A" w:rsidRDefault="00B3200D" w:rsidP="003F3253">
            <w:pPr>
              <w:tabs>
                <w:tab w:val="left" w:pos="1163"/>
              </w:tabs>
              <w:rPr>
                <w:sz w:val="18"/>
                <w:szCs w:val="18"/>
              </w:rPr>
            </w:pPr>
            <w:r w:rsidRPr="00A7082A">
              <w:rPr>
                <w:sz w:val="18"/>
                <w:szCs w:val="18"/>
              </w:rPr>
              <w:t>- Article 21 reporting</w:t>
            </w:r>
          </w:p>
        </w:tc>
        <w:tc>
          <w:tcPr>
            <w:tcW w:w="1779" w:type="dxa"/>
            <w:shd w:val="clear" w:color="auto" w:fill="auto"/>
            <w:tcMar>
              <w:top w:w="80" w:type="dxa"/>
              <w:left w:w="80" w:type="dxa"/>
              <w:bottom w:w="80" w:type="dxa"/>
              <w:right w:w="80" w:type="dxa"/>
            </w:tcMar>
          </w:tcPr>
          <w:p w14:paraId="475F2EEB" w14:textId="77777777" w:rsidR="00B3200D" w:rsidRPr="00A7082A" w:rsidRDefault="00B3200D" w:rsidP="003F3253">
            <w:pPr>
              <w:tabs>
                <w:tab w:val="left" w:pos="1163"/>
              </w:tabs>
              <w:rPr>
                <w:sz w:val="18"/>
                <w:szCs w:val="18"/>
              </w:rPr>
            </w:pPr>
            <w:r w:rsidRPr="00A7082A">
              <w:rPr>
                <w:sz w:val="18"/>
                <w:szCs w:val="18"/>
              </w:rPr>
              <w:t>Number in the first evaluation</w:t>
            </w:r>
          </w:p>
        </w:tc>
      </w:tr>
      <w:tr w:rsidR="00B3200D" w:rsidRPr="00A7082A" w14:paraId="5DF6A75D" w14:textId="77777777" w:rsidTr="003F3253">
        <w:trPr>
          <w:trHeight w:val="57"/>
          <w:jc w:val="right"/>
        </w:trPr>
        <w:tc>
          <w:tcPr>
            <w:tcW w:w="2119" w:type="dxa"/>
            <w:tcBorders>
              <w:bottom w:val="single" w:sz="4" w:space="0" w:color="000000" w:themeColor="text1"/>
            </w:tcBorders>
            <w:shd w:val="clear" w:color="auto" w:fill="auto"/>
            <w:tcMar>
              <w:top w:w="80" w:type="dxa"/>
              <w:left w:w="80" w:type="dxa"/>
              <w:bottom w:w="80" w:type="dxa"/>
              <w:right w:w="80" w:type="dxa"/>
            </w:tcMar>
          </w:tcPr>
          <w:p w14:paraId="3CD98A46" w14:textId="77777777" w:rsidR="00B3200D" w:rsidRPr="00A7082A" w:rsidRDefault="00B3200D" w:rsidP="003F3253">
            <w:pPr>
              <w:tabs>
                <w:tab w:val="left" w:pos="1163"/>
              </w:tabs>
              <w:rPr>
                <w:sz w:val="18"/>
                <w:szCs w:val="18"/>
              </w:rPr>
            </w:pPr>
            <w:r w:rsidRPr="00A7082A">
              <w:rPr>
                <w:sz w:val="18"/>
                <w:szCs w:val="18"/>
              </w:rPr>
              <w:t>C9. Process indicator for article 5</w:t>
            </w:r>
          </w:p>
        </w:tc>
        <w:tc>
          <w:tcPr>
            <w:tcW w:w="3526" w:type="dxa"/>
            <w:tcBorders>
              <w:bottom w:val="single" w:sz="4" w:space="0" w:color="000000" w:themeColor="text1"/>
            </w:tcBorders>
            <w:shd w:val="clear" w:color="auto" w:fill="auto"/>
            <w:tcMar>
              <w:top w:w="80" w:type="dxa"/>
              <w:left w:w="80" w:type="dxa"/>
              <w:bottom w:w="80" w:type="dxa"/>
              <w:right w:w="80" w:type="dxa"/>
            </w:tcMar>
          </w:tcPr>
          <w:p w14:paraId="009A82DD" w14:textId="77777777" w:rsidR="00B3200D" w:rsidRPr="00A7082A" w:rsidRDefault="00B3200D" w:rsidP="003F3253">
            <w:pPr>
              <w:tabs>
                <w:tab w:val="left" w:pos="1163"/>
              </w:tabs>
              <w:rPr>
                <w:sz w:val="18"/>
                <w:szCs w:val="18"/>
              </w:rPr>
            </w:pPr>
            <w:r w:rsidRPr="00A7082A">
              <w:rPr>
                <w:sz w:val="18"/>
                <w:szCs w:val="18"/>
              </w:rPr>
              <w:t>Proportion of parties that have processes subject to article 5, para. 3, that have taken all measures for the respective processes listed in annex B, part II</w:t>
            </w:r>
          </w:p>
        </w:tc>
        <w:tc>
          <w:tcPr>
            <w:tcW w:w="1926" w:type="dxa"/>
            <w:tcBorders>
              <w:bottom w:val="single" w:sz="4" w:space="0" w:color="000000" w:themeColor="text1"/>
            </w:tcBorders>
            <w:shd w:val="clear" w:color="auto" w:fill="auto"/>
            <w:tcMar>
              <w:top w:w="80" w:type="dxa"/>
              <w:left w:w="80" w:type="dxa"/>
              <w:bottom w:w="80" w:type="dxa"/>
              <w:right w:w="80" w:type="dxa"/>
            </w:tcMar>
          </w:tcPr>
          <w:p w14:paraId="429B0D2F" w14:textId="77777777" w:rsidR="00B3200D" w:rsidRPr="00A7082A" w:rsidRDefault="00B3200D" w:rsidP="003F3253">
            <w:pPr>
              <w:tabs>
                <w:tab w:val="left" w:pos="1163"/>
              </w:tabs>
              <w:rPr>
                <w:sz w:val="18"/>
                <w:szCs w:val="18"/>
              </w:rPr>
            </w:pPr>
            <w:r w:rsidRPr="00A7082A">
              <w:rPr>
                <w:sz w:val="18"/>
                <w:szCs w:val="18"/>
              </w:rPr>
              <w:t>- Article 21 reporting</w:t>
            </w:r>
          </w:p>
        </w:tc>
        <w:tc>
          <w:tcPr>
            <w:tcW w:w="1779" w:type="dxa"/>
            <w:tcBorders>
              <w:bottom w:val="single" w:sz="4" w:space="0" w:color="000000" w:themeColor="text1"/>
            </w:tcBorders>
            <w:shd w:val="clear" w:color="auto" w:fill="auto"/>
            <w:tcMar>
              <w:top w:w="80" w:type="dxa"/>
              <w:left w:w="80" w:type="dxa"/>
              <w:bottom w:w="80" w:type="dxa"/>
              <w:right w:w="80" w:type="dxa"/>
            </w:tcMar>
          </w:tcPr>
          <w:p w14:paraId="5155A70E" w14:textId="77777777" w:rsidR="00B3200D" w:rsidRPr="00A7082A" w:rsidRDefault="00B3200D" w:rsidP="003F3253">
            <w:pPr>
              <w:tabs>
                <w:tab w:val="left" w:pos="1163"/>
              </w:tabs>
              <w:rPr>
                <w:sz w:val="18"/>
                <w:szCs w:val="18"/>
              </w:rPr>
            </w:pPr>
            <w:r w:rsidRPr="00A7082A">
              <w:rPr>
                <w:sz w:val="18"/>
                <w:szCs w:val="18"/>
              </w:rPr>
              <w:t>Percentage in the first evaluation</w:t>
            </w:r>
          </w:p>
        </w:tc>
      </w:tr>
      <w:tr w:rsidR="00B3200D" w:rsidRPr="00A7082A" w14:paraId="1D1123A1" w14:textId="77777777" w:rsidTr="003F3253">
        <w:trPr>
          <w:trHeight w:val="57"/>
          <w:jc w:val="right"/>
        </w:trPr>
        <w:tc>
          <w:tcPr>
            <w:tcW w:w="2119"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5A7F8E79" w14:textId="77777777" w:rsidR="00B3200D" w:rsidRPr="00A7082A" w:rsidRDefault="00B3200D" w:rsidP="003F3253">
            <w:pPr>
              <w:tabs>
                <w:tab w:val="left" w:pos="1163"/>
              </w:tabs>
              <w:rPr>
                <w:sz w:val="18"/>
                <w:szCs w:val="18"/>
              </w:rPr>
            </w:pPr>
            <w:r w:rsidRPr="00A7082A">
              <w:rPr>
                <w:b/>
                <w:bCs/>
                <w:sz w:val="18"/>
                <w:szCs w:val="18"/>
              </w:rPr>
              <w:t>Article 7</w:t>
            </w:r>
          </w:p>
        </w:tc>
        <w:tc>
          <w:tcPr>
            <w:tcW w:w="3526"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6A89A32D" w14:textId="77777777" w:rsidR="00B3200D" w:rsidRPr="00A7082A" w:rsidRDefault="00B3200D" w:rsidP="003F3253">
            <w:pPr>
              <w:rPr>
                <w:sz w:val="18"/>
                <w:szCs w:val="18"/>
              </w:rPr>
            </w:pPr>
          </w:p>
        </w:tc>
        <w:tc>
          <w:tcPr>
            <w:tcW w:w="1926"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3D45F2C7" w14:textId="77777777" w:rsidR="00B3200D" w:rsidRPr="00A7082A" w:rsidRDefault="00B3200D" w:rsidP="003F3253">
            <w:pPr>
              <w:rPr>
                <w:sz w:val="18"/>
                <w:szCs w:val="18"/>
              </w:rPr>
            </w:pPr>
          </w:p>
        </w:tc>
        <w:tc>
          <w:tcPr>
            <w:tcW w:w="1779"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3F7F98AE" w14:textId="77777777" w:rsidR="00B3200D" w:rsidRPr="00A7082A" w:rsidRDefault="00B3200D" w:rsidP="003F3253">
            <w:pPr>
              <w:rPr>
                <w:sz w:val="18"/>
                <w:szCs w:val="18"/>
              </w:rPr>
            </w:pPr>
          </w:p>
        </w:tc>
      </w:tr>
      <w:tr w:rsidR="00B3200D" w:rsidRPr="00A7082A" w14:paraId="101D6516" w14:textId="77777777" w:rsidTr="003F3253">
        <w:trPr>
          <w:trHeight w:val="57"/>
          <w:jc w:val="right"/>
        </w:trPr>
        <w:tc>
          <w:tcPr>
            <w:tcW w:w="2119" w:type="dxa"/>
            <w:tcBorders>
              <w:top w:val="single" w:sz="4" w:space="0" w:color="000000" w:themeColor="text1"/>
            </w:tcBorders>
            <w:shd w:val="clear" w:color="auto" w:fill="auto"/>
            <w:tcMar>
              <w:top w:w="80" w:type="dxa"/>
              <w:left w:w="80" w:type="dxa"/>
              <w:bottom w:w="80" w:type="dxa"/>
              <w:right w:w="80" w:type="dxa"/>
            </w:tcMar>
          </w:tcPr>
          <w:p w14:paraId="359097DA" w14:textId="77777777" w:rsidR="00B3200D" w:rsidRPr="00A7082A" w:rsidRDefault="00B3200D" w:rsidP="003F3253">
            <w:pPr>
              <w:tabs>
                <w:tab w:val="left" w:pos="1163"/>
              </w:tabs>
              <w:rPr>
                <w:sz w:val="18"/>
                <w:szCs w:val="18"/>
              </w:rPr>
            </w:pPr>
            <w:r w:rsidRPr="00A7082A">
              <w:rPr>
                <w:sz w:val="18"/>
                <w:szCs w:val="18"/>
              </w:rPr>
              <w:t>C10. Outcome indicator for article 7</w:t>
            </w:r>
          </w:p>
        </w:tc>
        <w:tc>
          <w:tcPr>
            <w:tcW w:w="3526" w:type="dxa"/>
            <w:tcBorders>
              <w:top w:val="single" w:sz="4" w:space="0" w:color="000000" w:themeColor="text1"/>
            </w:tcBorders>
            <w:shd w:val="clear" w:color="auto" w:fill="auto"/>
            <w:tcMar>
              <w:top w:w="80" w:type="dxa"/>
              <w:left w:w="80" w:type="dxa"/>
              <w:bottom w:w="80" w:type="dxa"/>
              <w:right w:w="80" w:type="dxa"/>
            </w:tcMar>
          </w:tcPr>
          <w:p w14:paraId="071E6129" w14:textId="77777777" w:rsidR="00B3200D" w:rsidRPr="00A7082A" w:rsidRDefault="00B3200D" w:rsidP="003F3253">
            <w:pPr>
              <w:tabs>
                <w:tab w:val="left" w:pos="1163"/>
              </w:tabs>
              <w:rPr>
                <w:sz w:val="18"/>
                <w:szCs w:val="18"/>
              </w:rPr>
            </w:pPr>
            <w:r w:rsidRPr="00A7082A">
              <w:rPr>
                <w:sz w:val="18"/>
                <w:szCs w:val="18"/>
              </w:rPr>
              <w:t xml:space="preserve">Total amount of mercury used in ASGM globally, in tonnes per year </w:t>
            </w:r>
          </w:p>
        </w:tc>
        <w:tc>
          <w:tcPr>
            <w:tcW w:w="1926" w:type="dxa"/>
            <w:tcBorders>
              <w:top w:val="single" w:sz="4" w:space="0" w:color="000000" w:themeColor="text1"/>
            </w:tcBorders>
            <w:shd w:val="clear" w:color="auto" w:fill="auto"/>
            <w:tcMar>
              <w:top w:w="80" w:type="dxa"/>
              <w:left w:w="80" w:type="dxa"/>
              <w:bottom w:w="80" w:type="dxa"/>
              <w:right w:w="80" w:type="dxa"/>
            </w:tcMar>
          </w:tcPr>
          <w:p w14:paraId="33822901" w14:textId="77777777" w:rsidR="00B3200D" w:rsidRPr="00A7082A" w:rsidRDefault="00B3200D" w:rsidP="003F3253">
            <w:pPr>
              <w:tabs>
                <w:tab w:val="left" w:pos="1163"/>
              </w:tabs>
              <w:rPr>
                <w:sz w:val="18"/>
                <w:szCs w:val="18"/>
              </w:rPr>
            </w:pPr>
            <w:r w:rsidRPr="00A7082A">
              <w:rPr>
                <w:sz w:val="18"/>
                <w:szCs w:val="18"/>
              </w:rPr>
              <w:t>- Article 21 reporting</w:t>
            </w:r>
          </w:p>
          <w:p w14:paraId="236BCD4D" w14:textId="77777777" w:rsidR="00B3200D" w:rsidRPr="00A7082A" w:rsidRDefault="00B3200D" w:rsidP="003F3253">
            <w:pPr>
              <w:tabs>
                <w:tab w:val="left" w:pos="1163"/>
              </w:tabs>
              <w:rPr>
                <w:sz w:val="18"/>
                <w:szCs w:val="18"/>
              </w:rPr>
            </w:pPr>
            <w:r w:rsidRPr="00A7082A">
              <w:rPr>
                <w:sz w:val="18"/>
                <w:szCs w:val="18"/>
              </w:rPr>
              <w:t>- ASGM national action plans and reviews thereof</w:t>
            </w:r>
          </w:p>
          <w:p w14:paraId="79AFD6D0" w14:textId="77777777" w:rsidR="00B3200D" w:rsidRPr="00A7082A" w:rsidRDefault="00B3200D" w:rsidP="003F3253">
            <w:pPr>
              <w:tabs>
                <w:tab w:val="left" w:pos="1163"/>
              </w:tabs>
              <w:rPr>
                <w:sz w:val="18"/>
                <w:szCs w:val="18"/>
              </w:rPr>
            </w:pPr>
            <w:r w:rsidRPr="00A7082A">
              <w:rPr>
                <w:sz w:val="18"/>
                <w:szCs w:val="18"/>
              </w:rPr>
              <w:t>- Notifications</w:t>
            </w:r>
          </w:p>
        </w:tc>
        <w:tc>
          <w:tcPr>
            <w:tcW w:w="1779" w:type="dxa"/>
            <w:tcBorders>
              <w:top w:val="single" w:sz="4" w:space="0" w:color="000000" w:themeColor="text1"/>
            </w:tcBorders>
            <w:shd w:val="clear" w:color="auto" w:fill="auto"/>
            <w:tcMar>
              <w:top w:w="80" w:type="dxa"/>
              <w:left w:w="80" w:type="dxa"/>
              <w:bottom w:w="80" w:type="dxa"/>
              <w:right w:w="80" w:type="dxa"/>
            </w:tcMar>
          </w:tcPr>
          <w:p w14:paraId="69D0F394" w14:textId="77777777" w:rsidR="00B3200D" w:rsidRPr="00A7082A" w:rsidRDefault="00B3200D" w:rsidP="003F3253">
            <w:pPr>
              <w:tabs>
                <w:tab w:val="left" w:pos="1163"/>
              </w:tabs>
              <w:rPr>
                <w:sz w:val="18"/>
                <w:szCs w:val="18"/>
              </w:rPr>
            </w:pPr>
            <w:r w:rsidRPr="00A7082A">
              <w:rPr>
                <w:sz w:val="18"/>
                <w:szCs w:val="18"/>
              </w:rPr>
              <w:t>Amount in the first evaluation</w:t>
            </w:r>
          </w:p>
        </w:tc>
      </w:tr>
      <w:tr w:rsidR="00B3200D" w:rsidRPr="00A7082A" w14:paraId="6E67F681" w14:textId="77777777" w:rsidTr="003F3253">
        <w:trPr>
          <w:trHeight w:val="57"/>
          <w:jc w:val="right"/>
        </w:trPr>
        <w:tc>
          <w:tcPr>
            <w:tcW w:w="2119" w:type="dxa"/>
            <w:shd w:val="clear" w:color="auto" w:fill="auto"/>
            <w:tcMar>
              <w:top w:w="80" w:type="dxa"/>
              <w:left w:w="80" w:type="dxa"/>
              <w:bottom w:w="80" w:type="dxa"/>
              <w:right w:w="80" w:type="dxa"/>
            </w:tcMar>
          </w:tcPr>
          <w:p w14:paraId="52BBBB2F" w14:textId="77777777" w:rsidR="00B3200D" w:rsidRPr="00A7082A" w:rsidRDefault="00B3200D" w:rsidP="003F3253">
            <w:pPr>
              <w:tabs>
                <w:tab w:val="left" w:pos="1163"/>
              </w:tabs>
              <w:rPr>
                <w:sz w:val="18"/>
                <w:szCs w:val="18"/>
              </w:rPr>
            </w:pPr>
            <w:r w:rsidRPr="00A7082A">
              <w:rPr>
                <w:sz w:val="18"/>
                <w:szCs w:val="18"/>
              </w:rPr>
              <w:t>C11. Process indicator for article 7</w:t>
            </w:r>
          </w:p>
        </w:tc>
        <w:tc>
          <w:tcPr>
            <w:tcW w:w="3526" w:type="dxa"/>
            <w:shd w:val="clear" w:color="auto" w:fill="auto"/>
            <w:tcMar>
              <w:top w:w="80" w:type="dxa"/>
              <w:left w:w="80" w:type="dxa"/>
              <w:bottom w:w="80" w:type="dxa"/>
              <w:right w:w="80" w:type="dxa"/>
            </w:tcMar>
          </w:tcPr>
          <w:p w14:paraId="0708CAC7" w14:textId="77777777" w:rsidR="00B3200D" w:rsidRPr="00A7082A" w:rsidRDefault="00B3200D" w:rsidP="003F3253">
            <w:pPr>
              <w:tabs>
                <w:tab w:val="left" w:pos="1163"/>
              </w:tabs>
              <w:rPr>
                <w:sz w:val="18"/>
                <w:szCs w:val="18"/>
              </w:rPr>
            </w:pPr>
            <w:r w:rsidRPr="00A7082A">
              <w:rPr>
                <w:sz w:val="18"/>
                <w:szCs w:val="18"/>
              </w:rPr>
              <w:t>Proportion of parties declaring more than insignificant ASGM that have submitted a national action plan</w:t>
            </w:r>
          </w:p>
        </w:tc>
        <w:tc>
          <w:tcPr>
            <w:tcW w:w="1926" w:type="dxa"/>
            <w:shd w:val="clear" w:color="auto" w:fill="auto"/>
            <w:tcMar>
              <w:top w:w="80" w:type="dxa"/>
              <w:left w:w="80" w:type="dxa"/>
              <w:bottom w:w="80" w:type="dxa"/>
              <w:right w:w="80" w:type="dxa"/>
            </w:tcMar>
          </w:tcPr>
          <w:p w14:paraId="7757D974" w14:textId="77777777" w:rsidR="00B3200D" w:rsidRPr="00A7082A" w:rsidRDefault="00B3200D" w:rsidP="003F3253">
            <w:pPr>
              <w:tabs>
                <w:tab w:val="left" w:pos="1163"/>
              </w:tabs>
              <w:rPr>
                <w:sz w:val="18"/>
                <w:szCs w:val="18"/>
              </w:rPr>
            </w:pPr>
            <w:r w:rsidRPr="00A7082A">
              <w:rPr>
                <w:sz w:val="18"/>
                <w:szCs w:val="18"/>
              </w:rPr>
              <w:t>- Notifications</w:t>
            </w:r>
          </w:p>
        </w:tc>
        <w:tc>
          <w:tcPr>
            <w:tcW w:w="1779" w:type="dxa"/>
            <w:shd w:val="clear" w:color="auto" w:fill="auto"/>
            <w:tcMar>
              <w:top w:w="80" w:type="dxa"/>
              <w:left w:w="80" w:type="dxa"/>
              <w:bottom w:w="80" w:type="dxa"/>
              <w:right w:w="80" w:type="dxa"/>
            </w:tcMar>
          </w:tcPr>
          <w:p w14:paraId="003E3AF2" w14:textId="77777777" w:rsidR="00B3200D" w:rsidRPr="00A7082A" w:rsidRDefault="00B3200D" w:rsidP="003F3253">
            <w:pPr>
              <w:tabs>
                <w:tab w:val="left" w:pos="1163"/>
              </w:tabs>
              <w:rPr>
                <w:sz w:val="18"/>
                <w:szCs w:val="18"/>
              </w:rPr>
            </w:pPr>
            <w:r w:rsidRPr="00A7082A">
              <w:rPr>
                <w:sz w:val="18"/>
                <w:szCs w:val="18"/>
              </w:rPr>
              <w:t>Percentage in the first evaluation</w:t>
            </w:r>
          </w:p>
        </w:tc>
      </w:tr>
      <w:tr w:rsidR="00B3200D" w:rsidRPr="00A7082A" w14:paraId="751C612A" w14:textId="77777777" w:rsidTr="003F3253">
        <w:trPr>
          <w:trHeight w:val="57"/>
          <w:jc w:val="right"/>
        </w:trPr>
        <w:tc>
          <w:tcPr>
            <w:tcW w:w="2119" w:type="dxa"/>
            <w:shd w:val="clear" w:color="auto" w:fill="auto"/>
            <w:tcMar>
              <w:top w:w="80" w:type="dxa"/>
              <w:left w:w="80" w:type="dxa"/>
              <w:bottom w:w="80" w:type="dxa"/>
              <w:right w:w="80" w:type="dxa"/>
            </w:tcMar>
          </w:tcPr>
          <w:p w14:paraId="2568B398" w14:textId="77777777" w:rsidR="00B3200D" w:rsidRPr="00A7082A" w:rsidRDefault="00B3200D" w:rsidP="003F3253">
            <w:pPr>
              <w:tabs>
                <w:tab w:val="left" w:pos="1163"/>
              </w:tabs>
              <w:rPr>
                <w:sz w:val="18"/>
                <w:szCs w:val="18"/>
              </w:rPr>
            </w:pPr>
            <w:r w:rsidRPr="00A7082A">
              <w:rPr>
                <w:sz w:val="18"/>
                <w:szCs w:val="18"/>
              </w:rPr>
              <w:t>C12. Process indicator for article 7</w:t>
            </w:r>
          </w:p>
        </w:tc>
        <w:tc>
          <w:tcPr>
            <w:tcW w:w="3526" w:type="dxa"/>
            <w:shd w:val="clear" w:color="auto" w:fill="auto"/>
            <w:tcMar>
              <w:top w:w="80" w:type="dxa"/>
              <w:left w:w="80" w:type="dxa"/>
              <w:bottom w:w="80" w:type="dxa"/>
              <w:right w:w="80" w:type="dxa"/>
            </w:tcMar>
          </w:tcPr>
          <w:p w14:paraId="3CBE9254" w14:textId="77777777" w:rsidR="00B3200D" w:rsidRPr="00A7082A" w:rsidRDefault="00B3200D" w:rsidP="003F3253">
            <w:pPr>
              <w:tabs>
                <w:tab w:val="left" w:pos="1163"/>
              </w:tabs>
              <w:rPr>
                <w:sz w:val="18"/>
                <w:szCs w:val="18"/>
              </w:rPr>
            </w:pPr>
            <w:r w:rsidRPr="00A7082A">
              <w:rPr>
                <w:sz w:val="18"/>
                <w:szCs w:val="18"/>
              </w:rPr>
              <w:t>Proportion of parties that have submitted a national action plan and have reviewed it</w:t>
            </w:r>
          </w:p>
        </w:tc>
        <w:tc>
          <w:tcPr>
            <w:tcW w:w="1926" w:type="dxa"/>
            <w:shd w:val="clear" w:color="auto" w:fill="auto"/>
            <w:tcMar>
              <w:top w:w="80" w:type="dxa"/>
              <w:left w:w="80" w:type="dxa"/>
              <w:bottom w:w="80" w:type="dxa"/>
              <w:right w:w="80" w:type="dxa"/>
            </w:tcMar>
          </w:tcPr>
          <w:p w14:paraId="76007E9F" w14:textId="77777777" w:rsidR="00B3200D" w:rsidRPr="00A7082A" w:rsidRDefault="00B3200D" w:rsidP="003F3253">
            <w:pPr>
              <w:tabs>
                <w:tab w:val="left" w:pos="1163"/>
              </w:tabs>
              <w:rPr>
                <w:sz w:val="18"/>
                <w:szCs w:val="18"/>
              </w:rPr>
            </w:pPr>
            <w:r w:rsidRPr="00A7082A">
              <w:rPr>
                <w:sz w:val="18"/>
                <w:szCs w:val="18"/>
              </w:rPr>
              <w:t>- Article 7 reviews</w:t>
            </w:r>
          </w:p>
        </w:tc>
        <w:tc>
          <w:tcPr>
            <w:tcW w:w="1779" w:type="dxa"/>
            <w:shd w:val="clear" w:color="auto" w:fill="auto"/>
            <w:tcMar>
              <w:top w:w="80" w:type="dxa"/>
              <w:left w:w="80" w:type="dxa"/>
              <w:bottom w:w="80" w:type="dxa"/>
              <w:right w:w="80" w:type="dxa"/>
            </w:tcMar>
          </w:tcPr>
          <w:p w14:paraId="0C069F5D" w14:textId="77777777" w:rsidR="00B3200D" w:rsidRPr="00A7082A" w:rsidRDefault="00B3200D" w:rsidP="003F3253">
            <w:pPr>
              <w:tabs>
                <w:tab w:val="left" w:pos="1163"/>
              </w:tabs>
              <w:rPr>
                <w:sz w:val="18"/>
                <w:szCs w:val="18"/>
              </w:rPr>
            </w:pPr>
            <w:r w:rsidRPr="00A7082A">
              <w:rPr>
                <w:sz w:val="18"/>
                <w:szCs w:val="18"/>
              </w:rPr>
              <w:t>Percentage in the first evaluation</w:t>
            </w:r>
          </w:p>
        </w:tc>
      </w:tr>
      <w:tr w:rsidR="00B3200D" w:rsidRPr="00A7082A" w14:paraId="5C9904DC" w14:textId="77777777" w:rsidTr="003F3253">
        <w:trPr>
          <w:trHeight w:val="57"/>
          <w:jc w:val="right"/>
        </w:trPr>
        <w:tc>
          <w:tcPr>
            <w:tcW w:w="2119" w:type="dxa"/>
            <w:tcBorders>
              <w:bottom w:val="single" w:sz="12" w:space="0" w:color="auto"/>
            </w:tcBorders>
            <w:shd w:val="clear" w:color="auto" w:fill="auto"/>
            <w:tcMar>
              <w:top w:w="80" w:type="dxa"/>
              <w:left w:w="80" w:type="dxa"/>
              <w:bottom w:w="80" w:type="dxa"/>
              <w:right w:w="80" w:type="dxa"/>
            </w:tcMar>
          </w:tcPr>
          <w:p w14:paraId="5CC872CE" w14:textId="77777777" w:rsidR="00B3200D" w:rsidRPr="00A7082A" w:rsidRDefault="00B3200D" w:rsidP="003F3253">
            <w:pPr>
              <w:rPr>
                <w:sz w:val="18"/>
                <w:szCs w:val="18"/>
              </w:rPr>
            </w:pPr>
            <w:r w:rsidRPr="00A7082A">
              <w:rPr>
                <w:b/>
                <w:bCs/>
                <w:sz w:val="18"/>
                <w:szCs w:val="18"/>
              </w:rPr>
              <w:t>Notes</w:t>
            </w:r>
          </w:p>
        </w:tc>
        <w:tc>
          <w:tcPr>
            <w:tcW w:w="7231" w:type="dxa"/>
            <w:gridSpan w:val="3"/>
            <w:tcBorders>
              <w:bottom w:val="single" w:sz="12" w:space="0" w:color="auto"/>
            </w:tcBorders>
            <w:shd w:val="clear" w:color="auto" w:fill="auto"/>
            <w:tcMar>
              <w:top w:w="80" w:type="dxa"/>
              <w:left w:w="80" w:type="dxa"/>
              <w:bottom w:w="80" w:type="dxa"/>
              <w:right w:w="80" w:type="dxa"/>
            </w:tcMar>
          </w:tcPr>
          <w:p w14:paraId="10E92E11" w14:textId="77777777" w:rsidR="00B3200D" w:rsidRPr="00A7082A" w:rsidRDefault="00B3200D" w:rsidP="003F3253">
            <w:pPr>
              <w:numPr>
                <w:ilvl w:val="0"/>
                <w:numId w:val="52"/>
              </w:numPr>
              <w:rPr>
                <w:sz w:val="18"/>
                <w:szCs w:val="18"/>
              </w:rPr>
            </w:pPr>
            <w:r w:rsidRPr="00A7082A">
              <w:rPr>
                <w:sz w:val="18"/>
                <w:szCs w:val="18"/>
              </w:rPr>
              <w:t>Some data on products may not be easily obtainable.</w:t>
            </w:r>
          </w:p>
        </w:tc>
      </w:tr>
    </w:tbl>
    <w:p w14:paraId="755C5F15" w14:textId="77777777" w:rsidR="00B3200D" w:rsidRPr="00A7082A" w:rsidRDefault="00B3200D" w:rsidP="00B3200D">
      <w:pPr>
        <w:widowControl w:val="0"/>
        <w:jc w:val="right"/>
        <w:rPr>
          <w:sz w:val="12"/>
          <w:szCs w:val="12"/>
        </w:rPr>
      </w:pPr>
    </w:p>
    <w:p w14:paraId="73B8AFCC" w14:textId="77777777" w:rsidR="00B3200D" w:rsidRPr="00A7082A" w:rsidRDefault="00B3200D" w:rsidP="00B3200D"/>
    <w:tbl>
      <w:tblPr>
        <w:tblW w:w="8307" w:type="dxa"/>
        <w:jc w:val="right"/>
        <w:tblLayout w:type="fixed"/>
        <w:tblLook w:val="04A0" w:firstRow="1" w:lastRow="0" w:firstColumn="1" w:lastColumn="0" w:noHBand="0" w:noVBand="1"/>
      </w:tblPr>
      <w:tblGrid>
        <w:gridCol w:w="1890"/>
        <w:gridCol w:w="3106"/>
        <w:gridCol w:w="1718"/>
        <w:gridCol w:w="1593"/>
      </w:tblGrid>
      <w:tr w:rsidR="00B3200D" w:rsidRPr="00A7082A" w14:paraId="41854CB3" w14:textId="77777777" w:rsidTr="003F3253">
        <w:trPr>
          <w:trHeight w:val="57"/>
          <w:jc w:val="right"/>
        </w:trPr>
        <w:tc>
          <w:tcPr>
            <w:tcW w:w="5640" w:type="dxa"/>
            <w:gridSpan w:val="2"/>
            <w:tcBorders>
              <w:top w:val="single" w:sz="4" w:space="0" w:color="000000" w:themeColor="text1"/>
              <w:bottom w:val="single" w:sz="12" w:space="0" w:color="000000" w:themeColor="text1"/>
            </w:tcBorders>
            <w:shd w:val="clear" w:color="auto" w:fill="auto"/>
            <w:tcMar>
              <w:top w:w="80" w:type="dxa"/>
              <w:left w:w="80" w:type="dxa"/>
              <w:bottom w:w="80" w:type="dxa"/>
              <w:right w:w="80" w:type="dxa"/>
            </w:tcMar>
          </w:tcPr>
          <w:p w14:paraId="0F3D1907" w14:textId="77777777" w:rsidR="00B3200D" w:rsidRPr="00A7082A" w:rsidRDefault="00B3200D" w:rsidP="003F3253">
            <w:pPr>
              <w:spacing w:after="120"/>
              <w:rPr>
                <w:bCs/>
                <w:i/>
                <w:sz w:val="18"/>
                <w:szCs w:val="18"/>
              </w:rPr>
            </w:pPr>
            <w:r w:rsidRPr="00A7082A">
              <w:rPr>
                <w:bCs/>
                <w:i/>
                <w:sz w:val="18"/>
                <w:szCs w:val="18"/>
              </w:rPr>
              <w:t xml:space="preserve">D: Pressure cluster </w:t>
            </w:r>
          </w:p>
          <w:p w14:paraId="35F5D505" w14:textId="77777777" w:rsidR="00B3200D" w:rsidRPr="00A7082A" w:rsidRDefault="00B3200D" w:rsidP="003F3253">
            <w:pPr>
              <w:rPr>
                <w:i/>
                <w:sz w:val="18"/>
                <w:szCs w:val="18"/>
              </w:rPr>
            </w:pPr>
            <w:r w:rsidRPr="00A7082A">
              <w:rPr>
                <w:bCs/>
                <w:i/>
                <w:sz w:val="18"/>
                <w:szCs w:val="18"/>
              </w:rPr>
              <w:t xml:space="preserve">Article 8 (emissions); article 9 (releases); article 12 (contaminated sites) </w:t>
            </w:r>
          </w:p>
        </w:tc>
        <w:tc>
          <w:tcPr>
            <w:tcW w:w="1931" w:type="dxa"/>
            <w:tcBorders>
              <w:top w:val="single" w:sz="4" w:space="0" w:color="000000" w:themeColor="text1"/>
              <w:bottom w:val="single" w:sz="12" w:space="0" w:color="000000" w:themeColor="text1"/>
            </w:tcBorders>
            <w:shd w:val="clear" w:color="auto" w:fill="auto"/>
            <w:tcMar>
              <w:top w:w="80" w:type="dxa"/>
              <w:left w:w="80" w:type="dxa"/>
              <w:bottom w:w="80" w:type="dxa"/>
              <w:right w:w="80" w:type="dxa"/>
            </w:tcMar>
          </w:tcPr>
          <w:p w14:paraId="32F9F27D" w14:textId="77777777" w:rsidR="00B3200D" w:rsidRPr="00A7082A" w:rsidRDefault="00B3200D" w:rsidP="003F3253">
            <w:pPr>
              <w:rPr>
                <w:i/>
                <w:sz w:val="18"/>
                <w:szCs w:val="18"/>
              </w:rPr>
            </w:pPr>
            <w:r w:rsidRPr="00A7082A">
              <w:rPr>
                <w:i/>
                <w:sz w:val="18"/>
                <w:szCs w:val="18"/>
              </w:rPr>
              <w:t>Source of information on the indicator</w:t>
            </w:r>
          </w:p>
        </w:tc>
        <w:tc>
          <w:tcPr>
            <w:tcW w:w="1788" w:type="dxa"/>
            <w:tcBorders>
              <w:top w:val="single" w:sz="4" w:space="0" w:color="000000" w:themeColor="text1"/>
              <w:bottom w:val="single" w:sz="12" w:space="0" w:color="000000" w:themeColor="text1"/>
            </w:tcBorders>
            <w:shd w:val="clear" w:color="auto" w:fill="auto"/>
            <w:tcMar>
              <w:top w:w="80" w:type="dxa"/>
              <w:left w:w="80" w:type="dxa"/>
              <w:bottom w:w="80" w:type="dxa"/>
              <w:right w:w="80" w:type="dxa"/>
            </w:tcMar>
          </w:tcPr>
          <w:p w14:paraId="39D87ECD" w14:textId="77777777" w:rsidR="00B3200D" w:rsidRPr="00A7082A" w:rsidRDefault="00B3200D" w:rsidP="003F3253">
            <w:pPr>
              <w:rPr>
                <w:i/>
                <w:sz w:val="18"/>
                <w:szCs w:val="18"/>
              </w:rPr>
            </w:pPr>
            <w:r w:rsidRPr="00A7082A">
              <w:rPr>
                <w:i/>
                <w:sz w:val="18"/>
                <w:szCs w:val="18"/>
              </w:rPr>
              <w:t>Baseline for the indicator</w:t>
            </w:r>
          </w:p>
        </w:tc>
      </w:tr>
      <w:tr w:rsidR="00B3200D" w:rsidRPr="00A7082A" w14:paraId="731EF491" w14:textId="77777777" w:rsidTr="003F3253">
        <w:trPr>
          <w:trHeight w:val="57"/>
          <w:jc w:val="right"/>
        </w:trPr>
        <w:tc>
          <w:tcPr>
            <w:tcW w:w="2128" w:type="dxa"/>
            <w:tcBorders>
              <w:top w:val="single" w:sz="12" w:space="0" w:color="000000" w:themeColor="text1"/>
            </w:tcBorders>
            <w:shd w:val="clear" w:color="auto" w:fill="auto"/>
            <w:tcMar>
              <w:top w:w="80" w:type="dxa"/>
              <w:left w:w="80" w:type="dxa"/>
              <w:bottom w:w="80" w:type="dxa"/>
              <w:right w:w="80" w:type="dxa"/>
            </w:tcMar>
          </w:tcPr>
          <w:p w14:paraId="31DC3AC8" w14:textId="77777777" w:rsidR="00B3200D" w:rsidRPr="00A7082A" w:rsidRDefault="00B3200D" w:rsidP="003F3253">
            <w:pPr>
              <w:rPr>
                <w:sz w:val="18"/>
                <w:szCs w:val="18"/>
              </w:rPr>
            </w:pPr>
            <w:r w:rsidRPr="00A7082A">
              <w:rPr>
                <w:sz w:val="18"/>
                <w:szCs w:val="18"/>
              </w:rPr>
              <w:t>D1. Overall process indicator for articles 8, 9 and 12</w:t>
            </w:r>
          </w:p>
        </w:tc>
        <w:tc>
          <w:tcPr>
            <w:tcW w:w="3511" w:type="dxa"/>
            <w:tcBorders>
              <w:top w:val="single" w:sz="12" w:space="0" w:color="000000" w:themeColor="text1"/>
            </w:tcBorders>
            <w:shd w:val="clear" w:color="auto" w:fill="auto"/>
            <w:tcMar>
              <w:top w:w="80" w:type="dxa"/>
              <w:left w:w="80" w:type="dxa"/>
              <w:bottom w:w="80" w:type="dxa"/>
              <w:right w:w="80" w:type="dxa"/>
            </w:tcMar>
          </w:tcPr>
          <w:p w14:paraId="68C7D6A2" w14:textId="77777777" w:rsidR="00B3200D" w:rsidRPr="00A7082A" w:rsidRDefault="00B3200D" w:rsidP="003F3253">
            <w:pPr>
              <w:rPr>
                <w:sz w:val="18"/>
                <w:szCs w:val="18"/>
              </w:rPr>
            </w:pPr>
            <w:r w:rsidRPr="00A7082A">
              <w:rPr>
                <w:sz w:val="18"/>
                <w:szCs w:val="18"/>
              </w:rPr>
              <w:t>Share of parties that have implemented key provisions under this cluster</w:t>
            </w:r>
          </w:p>
        </w:tc>
        <w:tc>
          <w:tcPr>
            <w:tcW w:w="1931" w:type="dxa"/>
            <w:tcBorders>
              <w:top w:val="single" w:sz="12" w:space="0" w:color="000000" w:themeColor="text1"/>
            </w:tcBorders>
            <w:shd w:val="clear" w:color="auto" w:fill="auto"/>
            <w:tcMar>
              <w:top w:w="80" w:type="dxa"/>
              <w:left w:w="80" w:type="dxa"/>
              <w:bottom w:w="80" w:type="dxa"/>
              <w:right w:w="80" w:type="dxa"/>
            </w:tcMar>
          </w:tcPr>
          <w:p w14:paraId="5581E5BC" w14:textId="77777777" w:rsidR="00B3200D" w:rsidRPr="00A7082A" w:rsidRDefault="00B3200D" w:rsidP="003F3253">
            <w:pPr>
              <w:tabs>
                <w:tab w:val="left" w:pos="1163"/>
              </w:tabs>
              <w:rPr>
                <w:sz w:val="18"/>
                <w:szCs w:val="18"/>
              </w:rPr>
            </w:pPr>
            <w:r w:rsidRPr="00A7082A">
              <w:rPr>
                <w:sz w:val="18"/>
                <w:szCs w:val="18"/>
              </w:rPr>
              <w:t>- Article 21 reporting</w:t>
            </w:r>
          </w:p>
        </w:tc>
        <w:tc>
          <w:tcPr>
            <w:tcW w:w="1788" w:type="dxa"/>
            <w:tcBorders>
              <w:top w:val="single" w:sz="12" w:space="0" w:color="000000" w:themeColor="text1"/>
            </w:tcBorders>
            <w:shd w:val="clear" w:color="auto" w:fill="auto"/>
            <w:tcMar>
              <w:top w:w="80" w:type="dxa"/>
              <w:left w:w="80" w:type="dxa"/>
              <w:bottom w:w="80" w:type="dxa"/>
              <w:right w:w="80" w:type="dxa"/>
            </w:tcMar>
          </w:tcPr>
          <w:p w14:paraId="735731D0" w14:textId="77777777" w:rsidR="00B3200D" w:rsidRPr="00A7082A" w:rsidRDefault="00B3200D" w:rsidP="003F3253">
            <w:pPr>
              <w:rPr>
                <w:sz w:val="18"/>
                <w:szCs w:val="18"/>
              </w:rPr>
            </w:pPr>
            <w:r w:rsidRPr="00A7082A">
              <w:rPr>
                <w:sz w:val="18"/>
                <w:szCs w:val="18"/>
              </w:rPr>
              <w:t>Percentage in the first evaluation</w:t>
            </w:r>
          </w:p>
        </w:tc>
      </w:tr>
      <w:tr w:rsidR="00B3200D" w:rsidRPr="00A7082A" w14:paraId="784C40D9" w14:textId="77777777" w:rsidTr="003F3253">
        <w:trPr>
          <w:trHeight w:val="57"/>
          <w:jc w:val="right"/>
        </w:trPr>
        <w:tc>
          <w:tcPr>
            <w:tcW w:w="2128" w:type="dxa"/>
            <w:tcBorders>
              <w:bottom w:val="single" w:sz="4" w:space="0" w:color="000000" w:themeColor="text1"/>
            </w:tcBorders>
            <w:shd w:val="clear" w:color="auto" w:fill="auto"/>
            <w:tcMar>
              <w:top w:w="80" w:type="dxa"/>
              <w:left w:w="80" w:type="dxa"/>
              <w:bottom w:w="80" w:type="dxa"/>
              <w:right w:w="80" w:type="dxa"/>
            </w:tcMar>
          </w:tcPr>
          <w:p w14:paraId="05995032" w14:textId="77777777" w:rsidR="00B3200D" w:rsidRPr="00A7082A" w:rsidRDefault="00B3200D" w:rsidP="003F3253">
            <w:pPr>
              <w:rPr>
                <w:sz w:val="18"/>
                <w:szCs w:val="18"/>
              </w:rPr>
            </w:pPr>
            <w:r w:rsidRPr="00A7082A">
              <w:rPr>
                <w:sz w:val="18"/>
                <w:szCs w:val="18"/>
              </w:rPr>
              <w:t>D2. Crosscutting outcome indicator for articles 8, 9 and 12</w:t>
            </w:r>
          </w:p>
        </w:tc>
        <w:tc>
          <w:tcPr>
            <w:tcW w:w="3511" w:type="dxa"/>
            <w:tcBorders>
              <w:bottom w:val="single" w:sz="4" w:space="0" w:color="000000" w:themeColor="text1"/>
            </w:tcBorders>
            <w:shd w:val="clear" w:color="auto" w:fill="auto"/>
            <w:tcMar>
              <w:top w:w="80" w:type="dxa"/>
              <w:left w:w="80" w:type="dxa"/>
              <w:bottom w:w="80" w:type="dxa"/>
              <w:right w:w="80" w:type="dxa"/>
            </w:tcMar>
          </w:tcPr>
          <w:p w14:paraId="65A648D5" w14:textId="77777777" w:rsidR="00B3200D" w:rsidRPr="00A7082A" w:rsidRDefault="00B3200D" w:rsidP="003F3253">
            <w:pPr>
              <w:rPr>
                <w:sz w:val="18"/>
                <w:szCs w:val="18"/>
              </w:rPr>
            </w:pPr>
            <w:r w:rsidRPr="00A7082A">
              <w:rPr>
                <w:sz w:val="18"/>
                <w:szCs w:val="18"/>
              </w:rPr>
              <w:t xml:space="preserve">Total amount of mercury emitted and released </w:t>
            </w:r>
          </w:p>
        </w:tc>
        <w:tc>
          <w:tcPr>
            <w:tcW w:w="1931" w:type="dxa"/>
            <w:tcBorders>
              <w:bottom w:val="single" w:sz="4" w:space="0" w:color="000000" w:themeColor="text1"/>
            </w:tcBorders>
            <w:shd w:val="clear" w:color="auto" w:fill="auto"/>
            <w:tcMar>
              <w:top w:w="80" w:type="dxa"/>
              <w:left w:w="80" w:type="dxa"/>
              <w:bottom w:w="80" w:type="dxa"/>
              <w:right w:w="80" w:type="dxa"/>
            </w:tcMar>
          </w:tcPr>
          <w:p w14:paraId="3744F5D6" w14:textId="77777777" w:rsidR="00B3200D" w:rsidRPr="00A7082A" w:rsidRDefault="00B3200D" w:rsidP="003F3253">
            <w:pPr>
              <w:rPr>
                <w:sz w:val="18"/>
                <w:szCs w:val="18"/>
              </w:rPr>
            </w:pPr>
            <w:r w:rsidRPr="00A7082A">
              <w:rPr>
                <w:sz w:val="18"/>
                <w:szCs w:val="18"/>
              </w:rPr>
              <w:t>- Global Mercury Assessment 2018</w:t>
            </w:r>
          </w:p>
          <w:p w14:paraId="6B97E024" w14:textId="77777777" w:rsidR="00B3200D" w:rsidRPr="00A7082A" w:rsidRDefault="00B3200D" w:rsidP="003F3253">
            <w:pPr>
              <w:rPr>
                <w:sz w:val="18"/>
                <w:szCs w:val="18"/>
              </w:rPr>
            </w:pPr>
            <w:r w:rsidRPr="00A7082A">
              <w:rPr>
                <w:sz w:val="18"/>
                <w:szCs w:val="18"/>
              </w:rPr>
              <w:t>- Inventories</w:t>
            </w:r>
          </w:p>
          <w:p w14:paraId="3C7EB745" w14:textId="77777777" w:rsidR="00B3200D" w:rsidRPr="00A7082A" w:rsidRDefault="00B3200D" w:rsidP="003F3253">
            <w:pPr>
              <w:rPr>
                <w:sz w:val="18"/>
                <w:szCs w:val="18"/>
              </w:rPr>
            </w:pPr>
            <w:r w:rsidRPr="00A7082A">
              <w:rPr>
                <w:sz w:val="18"/>
                <w:szCs w:val="18"/>
              </w:rPr>
              <w:t>- Minamata Convention initial assessments</w:t>
            </w:r>
          </w:p>
        </w:tc>
        <w:tc>
          <w:tcPr>
            <w:tcW w:w="1788" w:type="dxa"/>
            <w:tcBorders>
              <w:bottom w:val="single" w:sz="4" w:space="0" w:color="000000" w:themeColor="text1"/>
            </w:tcBorders>
            <w:shd w:val="clear" w:color="auto" w:fill="auto"/>
            <w:tcMar>
              <w:top w:w="80" w:type="dxa"/>
              <w:left w:w="80" w:type="dxa"/>
              <w:bottom w:w="80" w:type="dxa"/>
              <w:right w:w="80" w:type="dxa"/>
            </w:tcMar>
          </w:tcPr>
          <w:p w14:paraId="6449A503" w14:textId="77777777" w:rsidR="00B3200D" w:rsidRPr="00A7082A" w:rsidRDefault="00B3200D" w:rsidP="003F3253">
            <w:pPr>
              <w:rPr>
                <w:sz w:val="18"/>
                <w:szCs w:val="18"/>
              </w:rPr>
            </w:pPr>
            <w:r w:rsidRPr="00A7082A">
              <w:rPr>
                <w:sz w:val="18"/>
                <w:szCs w:val="18"/>
              </w:rPr>
              <w:t>Amount in the first evaluation</w:t>
            </w:r>
          </w:p>
        </w:tc>
      </w:tr>
      <w:tr w:rsidR="00B3200D" w:rsidRPr="00A7082A" w14:paraId="3AB6048D" w14:textId="77777777" w:rsidTr="003F3253">
        <w:trPr>
          <w:trHeight w:val="57"/>
          <w:jc w:val="right"/>
        </w:trPr>
        <w:tc>
          <w:tcPr>
            <w:tcW w:w="9360" w:type="dxa"/>
            <w:gridSpan w:val="4"/>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2060C017" w14:textId="77777777" w:rsidR="00B3200D" w:rsidRPr="00A7082A" w:rsidRDefault="00B3200D" w:rsidP="003F3253">
            <w:pPr>
              <w:tabs>
                <w:tab w:val="clear" w:pos="1247"/>
                <w:tab w:val="left" w:pos="1248"/>
                <w:tab w:val="left" w:pos="1872"/>
              </w:tabs>
              <w:rPr>
                <w:sz w:val="18"/>
                <w:szCs w:val="18"/>
              </w:rPr>
            </w:pPr>
            <w:r w:rsidRPr="00A7082A">
              <w:rPr>
                <w:b/>
                <w:bCs/>
                <w:sz w:val="18"/>
                <w:szCs w:val="18"/>
              </w:rPr>
              <w:t xml:space="preserve">Article 8 </w:t>
            </w:r>
            <w:r w:rsidRPr="00A7082A">
              <w:rPr>
                <w:sz w:val="18"/>
                <w:szCs w:val="18"/>
              </w:rPr>
              <w:t>(The indicators for article 8 are to be read with the relevant monitoring indicators in table 4.)</w:t>
            </w:r>
          </w:p>
        </w:tc>
      </w:tr>
      <w:tr w:rsidR="00B3200D" w:rsidRPr="00A7082A" w14:paraId="66CB039D" w14:textId="77777777" w:rsidTr="003F3253">
        <w:trPr>
          <w:trHeight w:val="57"/>
          <w:jc w:val="right"/>
        </w:trPr>
        <w:tc>
          <w:tcPr>
            <w:tcW w:w="2128" w:type="dxa"/>
            <w:tcBorders>
              <w:top w:val="single" w:sz="4" w:space="0" w:color="000000" w:themeColor="text1"/>
            </w:tcBorders>
            <w:shd w:val="clear" w:color="auto" w:fill="auto"/>
            <w:tcMar>
              <w:top w:w="80" w:type="dxa"/>
              <w:left w:w="80" w:type="dxa"/>
              <w:bottom w:w="80" w:type="dxa"/>
              <w:right w:w="80" w:type="dxa"/>
            </w:tcMar>
          </w:tcPr>
          <w:p w14:paraId="73D97906" w14:textId="77777777" w:rsidR="00B3200D" w:rsidRPr="00A7082A" w:rsidRDefault="00B3200D" w:rsidP="003F3253">
            <w:pPr>
              <w:rPr>
                <w:sz w:val="18"/>
                <w:szCs w:val="18"/>
              </w:rPr>
            </w:pPr>
            <w:r w:rsidRPr="00A7082A">
              <w:rPr>
                <w:sz w:val="18"/>
                <w:szCs w:val="18"/>
              </w:rPr>
              <w:t>D3. Outcome indicator for article 8</w:t>
            </w:r>
          </w:p>
        </w:tc>
        <w:tc>
          <w:tcPr>
            <w:tcW w:w="3511" w:type="dxa"/>
            <w:tcBorders>
              <w:top w:val="single" w:sz="4" w:space="0" w:color="000000" w:themeColor="text1"/>
            </w:tcBorders>
            <w:shd w:val="clear" w:color="auto" w:fill="auto"/>
            <w:tcMar>
              <w:top w:w="80" w:type="dxa"/>
              <w:left w:w="80" w:type="dxa"/>
              <w:bottom w:w="80" w:type="dxa"/>
              <w:right w:w="80" w:type="dxa"/>
            </w:tcMar>
          </w:tcPr>
          <w:p w14:paraId="7904D948" w14:textId="77777777" w:rsidR="00B3200D" w:rsidRPr="00A7082A" w:rsidRDefault="00B3200D" w:rsidP="003F3253">
            <w:pPr>
              <w:rPr>
                <w:sz w:val="18"/>
                <w:szCs w:val="18"/>
              </w:rPr>
            </w:pPr>
            <w:r w:rsidRPr="00A7082A">
              <w:rPr>
                <w:sz w:val="18"/>
                <w:szCs w:val="18"/>
              </w:rPr>
              <w:t xml:space="preserve">Total amount of mercury emitted for each point source category in annex D </w:t>
            </w:r>
          </w:p>
        </w:tc>
        <w:tc>
          <w:tcPr>
            <w:tcW w:w="1931" w:type="dxa"/>
            <w:tcBorders>
              <w:top w:val="single" w:sz="4" w:space="0" w:color="000000" w:themeColor="text1"/>
            </w:tcBorders>
            <w:shd w:val="clear" w:color="auto" w:fill="auto"/>
            <w:tcMar>
              <w:top w:w="80" w:type="dxa"/>
              <w:left w:w="80" w:type="dxa"/>
              <w:bottom w:w="80" w:type="dxa"/>
              <w:right w:w="80" w:type="dxa"/>
            </w:tcMar>
          </w:tcPr>
          <w:p w14:paraId="4A1093F8" w14:textId="77777777" w:rsidR="00B3200D" w:rsidRPr="00A7082A" w:rsidRDefault="00B3200D" w:rsidP="003F3253">
            <w:pPr>
              <w:tabs>
                <w:tab w:val="left" w:pos="1163"/>
              </w:tabs>
              <w:rPr>
                <w:sz w:val="18"/>
                <w:szCs w:val="18"/>
              </w:rPr>
            </w:pPr>
            <w:r w:rsidRPr="00A7082A">
              <w:rPr>
                <w:sz w:val="18"/>
                <w:szCs w:val="18"/>
              </w:rPr>
              <w:t>- Article 21 reporting</w:t>
            </w:r>
          </w:p>
          <w:p w14:paraId="790971D3" w14:textId="77777777" w:rsidR="00B3200D" w:rsidRPr="00A7082A" w:rsidRDefault="00B3200D" w:rsidP="003F3253">
            <w:pPr>
              <w:tabs>
                <w:tab w:val="left" w:pos="1163"/>
              </w:tabs>
              <w:rPr>
                <w:sz w:val="18"/>
                <w:szCs w:val="18"/>
              </w:rPr>
            </w:pPr>
            <w:r w:rsidRPr="00A7082A">
              <w:rPr>
                <w:sz w:val="18"/>
                <w:szCs w:val="18"/>
              </w:rPr>
              <w:t>- Inventories</w:t>
            </w:r>
          </w:p>
        </w:tc>
        <w:tc>
          <w:tcPr>
            <w:tcW w:w="1788" w:type="dxa"/>
            <w:tcBorders>
              <w:top w:val="single" w:sz="4" w:space="0" w:color="000000" w:themeColor="text1"/>
            </w:tcBorders>
            <w:shd w:val="clear" w:color="auto" w:fill="auto"/>
            <w:tcMar>
              <w:top w:w="80" w:type="dxa"/>
              <w:left w:w="80" w:type="dxa"/>
              <w:bottom w:w="80" w:type="dxa"/>
              <w:right w:w="80" w:type="dxa"/>
            </w:tcMar>
          </w:tcPr>
          <w:p w14:paraId="7A609898" w14:textId="77777777" w:rsidR="00B3200D" w:rsidRPr="00A7082A" w:rsidRDefault="00B3200D" w:rsidP="003F3253">
            <w:pPr>
              <w:rPr>
                <w:sz w:val="18"/>
                <w:szCs w:val="18"/>
              </w:rPr>
            </w:pPr>
            <w:r w:rsidRPr="00A7082A">
              <w:rPr>
                <w:sz w:val="18"/>
                <w:szCs w:val="18"/>
              </w:rPr>
              <w:t>Number in the first evaluation</w:t>
            </w:r>
          </w:p>
        </w:tc>
      </w:tr>
      <w:tr w:rsidR="00B3200D" w:rsidRPr="00A7082A" w14:paraId="7F45361D" w14:textId="77777777" w:rsidTr="003F3253">
        <w:trPr>
          <w:trHeight w:val="57"/>
          <w:jc w:val="right"/>
        </w:trPr>
        <w:tc>
          <w:tcPr>
            <w:tcW w:w="2128" w:type="dxa"/>
            <w:shd w:val="clear" w:color="auto" w:fill="auto"/>
            <w:tcMar>
              <w:top w:w="80" w:type="dxa"/>
              <w:left w:w="80" w:type="dxa"/>
              <w:bottom w:w="80" w:type="dxa"/>
              <w:right w:w="80" w:type="dxa"/>
            </w:tcMar>
          </w:tcPr>
          <w:p w14:paraId="15569CBE" w14:textId="77777777" w:rsidR="00B3200D" w:rsidRPr="00A7082A" w:rsidRDefault="00B3200D" w:rsidP="003F3253">
            <w:pPr>
              <w:rPr>
                <w:sz w:val="18"/>
                <w:szCs w:val="18"/>
              </w:rPr>
            </w:pPr>
            <w:r w:rsidRPr="00A7082A">
              <w:rPr>
                <w:sz w:val="18"/>
                <w:szCs w:val="18"/>
              </w:rPr>
              <w:t>D4. Process indicator for article 8</w:t>
            </w:r>
          </w:p>
        </w:tc>
        <w:tc>
          <w:tcPr>
            <w:tcW w:w="3511" w:type="dxa"/>
            <w:shd w:val="clear" w:color="auto" w:fill="auto"/>
            <w:tcMar>
              <w:top w:w="80" w:type="dxa"/>
              <w:left w:w="80" w:type="dxa"/>
              <w:bottom w:w="80" w:type="dxa"/>
              <w:right w:w="80" w:type="dxa"/>
            </w:tcMar>
          </w:tcPr>
          <w:p w14:paraId="36C7DE6B" w14:textId="77777777" w:rsidR="00B3200D" w:rsidRPr="00A7082A" w:rsidRDefault="00B3200D" w:rsidP="003F3253">
            <w:pPr>
              <w:tabs>
                <w:tab w:val="left" w:pos="1163"/>
              </w:tabs>
              <w:rPr>
                <w:sz w:val="18"/>
                <w:szCs w:val="18"/>
              </w:rPr>
            </w:pPr>
            <w:r w:rsidRPr="00A7082A">
              <w:rPr>
                <w:sz w:val="18"/>
                <w:szCs w:val="18"/>
              </w:rPr>
              <w:t>Number of parties that require BAT/BEP or emission limit values consistent with the application of BAT</w:t>
            </w:r>
          </w:p>
        </w:tc>
        <w:tc>
          <w:tcPr>
            <w:tcW w:w="1931" w:type="dxa"/>
            <w:shd w:val="clear" w:color="auto" w:fill="auto"/>
            <w:tcMar>
              <w:top w:w="80" w:type="dxa"/>
              <w:left w:w="80" w:type="dxa"/>
              <w:bottom w:w="80" w:type="dxa"/>
              <w:right w:w="80" w:type="dxa"/>
            </w:tcMar>
          </w:tcPr>
          <w:p w14:paraId="2CAC8DF5" w14:textId="77777777" w:rsidR="00B3200D" w:rsidRPr="00A7082A" w:rsidRDefault="00B3200D" w:rsidP="003F3253">
            <w:pPr>
              <w:tabs>
                <w:tab w:val="left" w:pos="1163"/>
              </w:tabs>
              <w:rPr>
                <w:sz w:val="18"/>
                <w:szCs w:val="18"/>
              </w:rPr>
            </w:pPr>
            <w:r w:rsidRPr="00A7082A">
              <w:rPr>
                <w:sz w:val="18"/>
                <w:szCs w:val="18"/>
              </w:rPr>
              <w:t>- Article 21 reporting</w:t>
            </w:r>
          </w:p>
        </w:tc>
        <w:tc>
          <w:tcPr>
            <w:tcW w:w="1788" w:type="dxa"/>
            <w:shd w:val="clear" w:color="auto" w:fill="auto"/>
            <w:tcMar>
              <w:top w:w="80" w:type="dxa"/>
              <w:left w:w="80" w:type="dxa"/>
              <w:bottom w:w="80" w:type="dxa"/>
              <w:right w:w="80" w:type="dxa"/>
            </w:tcMar>
          </w:tcPr>
          <w:p w14:paraId="72CEB6BC" w14:textId="77777777" w:rsidR="00B3200D" w:rsidRPr="00A7082A" w:rsidRDefault="00B3200D" w:rsidP="003F3253">
            <w:pPr>
              <w:tabs>
                <w:tab w:val="left" w:pos="1163"/>
              </w:tabs>
              <w:rPr>
                <w:sz w:val="18"/>
                <w:szCs w:val="18"/>
              </w:rPr>
            </w:pPr>
            <w:r w:rsidRPr="00A7082A">
              <w:rPr>
                <w:sz w:val="18"/>
                <w:szCs w:val="18"/>
              </w:rPr>
              <w:t>Number in the first evaluation</w:t>
            </w:r>
          </w:p>
        </w:tc>
      </w:tr>
      <w:tr w:rsidR="00B3200D" w:rsidRPr="00A7082A" w14:paraId="537DFE86" w14:textId="77777777" w:rsidTr="003F3253">
        <w:trPr>
          <w:trHeight w:val="57"/>
          <w:jc w:val="right"/>
        </w:trPr>
        <w:tc>
          <w:tcPr>
            <w:tcW w:w="2128" w:type="dxa"/>
            <w:shd w:val="clear" w:color="auto" w:fill="auto"/>
            <w:tcMar>
              <w:top w:w="80" w:type="dxa"/>
              <w:left w:w="80" w:type="dxa"/>
              <w:bottom w:w="80" w:type="dxa"/>
              <w:right w:w="80" w:type="dxa"/>
            </w:tcMar>
          </w:tcPr>
          <w:p w14:paraId="1D3A056D" w14:textId="77777777" w:rsidR="00B3200D" w:rsidRPr="00A7082A" w:rsidRDefault="00B3200D" w:rsidP="003F3253">
            <w:pPr>
              <w:rPr>
                <w:sz w:val="18"/>
                <w:szCs w:val="18"/>
              </w:rPr>
            </w:pPr>
            <w:r w:rsidRPr="00A7082A">
              <w:rPr>
                <w:sz w:val="18"/>
                <w:szCs w:val="18"/>
              </w:rPr>
              <w:t>D5. Process indicator for article 8</w:t>
            </w:r>
          </w:p>
        </w:tc>
        <w:tc>
          <w:tcPr>
            <w:tcW w:w="3511" w:type="dxa"/>
            <w:shd w:val="clear" w:color="auto" w:fill="auto"/>
            <w:tcMar>
              <w:top w:w="80" w:type="dxa"/>
              <w:left w:w="80" w:type="dxa"/>
              <w:bottom w:w="80" w:type="dxa"/>
              <w:right w:w="80" w:type="dxa"/>
            </w:tcMar>
          </w:tcPr>
          <w:p w14:paraId="55EEE90F" w14:textId="77777777" w:rsidR="00B3200D" w:rsidRPr="00A7082A" w:rsidRDefault="00B3200D" w:rsidP="003F3253">
            <w:pPr>
              <w:rPr>
                <w:sz w:val="18"/>
                <w:szCs w:val="18"/>
              </w:rPr>
            </w:pPr>
            <w:r w:rsidRPr="00A7082A">
              <w:rPr>
                <w:sz w:val="18"/>
                <w:szCs w:val="18"/>
              </w:rPr>
              <w:t>Number of parties that have put in place control measures for existing sources (per each of the measures set out in article 8, para. 5)</w:t>
            </w:r>
          </w:p>
        </w:tc>
        <w:tc>
          <w:tcPr>
            <w:tcW w:w="1931" w:type="dxa"/>
            <w:shd w:val="clear" w:color="auto" w:fill="auto"/>
            <w:tcMar>
              <w:top w:w="80" w:type="dxa"/>
              <w:left w:w="80" w:type="dxa"/>
              <w:bottom w:w="80" w:type="dxa"/>
              <w:right w:w="80" w:type="dxa"/>
            </w:tcMar>
          </w:tcPr>
          <w:p w14:paraId="496FC2B5" w14:textId="77777777" w:rsidR="00B3200D" w:rsidRPr="00A7082A" w:rsidRDefault="00B3200D" w:rsidP="003F3253">
            <w:pPr>
              <w:rPr>
                <w:sz w:val="18"/>
                <w:szCs w:val="18"/>
              </w:rPr>
            </w:pPr>
            <w:r w:rsidRPr="00A7082A">
              <w:rPr>
                <w:sz w:val="18"/>
                <w:szCs w:val="18"/>
              </w:rPr>
              <w:t>- Article 21 reporting</w:t>
            </w:r>
          </w:p>
        </w:tc>
        <w:tc>
          <w:tcPr>
            <w:tcW w:w="1788" w:type="dxa"/>
            <w:shd w:val="clear" w:color="auto" w:fill="auto"/>
            <w:tcMar>
              <w:top w:w="80" w:type="dxa"/>
              <w:left w:w="80" w:type="dxa"/>
              <w:bottom w:w="80" w:type="dxa"/>
              <w:right w:w="80" w:type="dxa"/>
            </w:tcMar>
          </w:tcPr>
          <w:p w14:paraId="5F8D86EC" w14:textId="77777777" w:rsidR="00B3200D" w:rsidRPr="00A7082A" w:rsidRDefault="00B3200D" w:rsidP="003F3253">
            <w:pPr>
              <w:rPr>
                <w:sz w:val="18"/>
                <w:szCs w:val="18"/>
              </w:rPr>
            </w:pPr>
            <w:r w:rsidRPr="00A7082A">
              <w:rPr>
                <w:sz w:val="18"/>
                <w:szCs w:val="18"/>
              </w:rPr>
              <w:t>Number in the first evaluation</w:t>
            </w:r>
          </w:p>
        </w:tc>
      </w:tr>
      <w:tr w:rsidR="00B3200D" w:rsidRPr="00A7082A" w14:paraId="277359D0" w14:textId="77777777" w:rsidTr="003F3253">
        <w:trPr>
          <w:trHeight w:val="57"/>
          <w:jc w:val="right"/>
        </w:trPr>
        <w:tc>
          <w:tcPr>
            <w:tcW w:w="2128" w:type="dxa"/>
            <w:tcBorders>
              <w:bottom w:val="single" w:sz="4" w:space="0" w:color="000000" w:themeColor="text1"/>
            </w:tcBorders>
            <w:shd w:val="clear" w:color="auto" w:fill="auto"/>
            <w:tcMar>
              <w:top w:w="80" w:type="dxa"/>
              <w:left w:w="80" w:type="dxa"/>
              <w:bottom w:w="80" w:type="dxa"/>
              <w:right w:w="80" w:type="dxa"/>
            </w:tcMar>
          </w:tcPr>
          <w:p w14:paraId="239A3F03" w14:textId="77777777" w:rsidR="00B3200D" w:rsidRPr="00A7082A" w:rsidRDefault="00B3200D" w:rsidP="003F3253">
            <w:pPr>
              <w:rPr>
                <w:sz w:val="18"/>
                <w:szCs w:val="18"/>
              </w:rPr>
            </w:pPr>
            <w:r w:rsidRPr="00A7082A">
              <w:rPr>
                <w:sz w:val="18"/>
                <w:szCs w:val="18"/>
              </w:rPr>
              <w:t>D6. Process indicator for article 8</w:t>
            </w:r>
          </w:p>
        </w:tc>
        <w:tc>
          <w:tcPr>
            <w:tcW w:w="3511" w:type="dxa"/>
            <w:tcBorders>
              <w:bottom w:val="single" w:sz="4" w:space="0" w:color="000000" w:themeColor="text1"/>
            </w:tcBorders>
            <w:shd w:val="clear" w:color="auto" w:fill="auto"/>
            <w:tcMar>
              <w:top w:w="80" w:type="dxa"/>
              <w:left w:w="80" w:type="dxa"/>
              <w:bottom w:w="80" w:type="dxa"/>
              <w:right w:w="80" w:type="dxa"/>
            </w:tcMar>
          </w:tcPr>
          <w:p w14:paraId="6F7011E1" w14:textId="77777777" w:rsidR="00B3200D" w:rsidRPr="00A7082A" w:rsidRDefault="00B3200D" w:rsidP="003F3253">
            <w:pPr>
              <w:rPr>
                <w:sz w:val="18"/>
                <w:szCs w:val="18"/>
              </w:rPr>
            </w:pPr>
            <w:r w:rsidRPr="00A7082A">
              <w:rPr>
                <w:sz w:val="18"/>
                <w:szCs w:val="18"/>
              </w:rPr>
              <w:t xml:space="preserve">Number of parties that have established and maintained an inventory of emissions </w:t>
            </w:r>
          </w:p>
        </w:tc>
        <w:tc>
          <w:tcPr>
            <w:tcW w:w="1931" w:type="dxa"/>
            <w:tcBorders>
              <w:bottom w:val="single" w:sz="4" w:space="0" w:color="000000" w:themeColor="text1"/>
            </w:tcBorders>
            <w:shd w:val="clear" w:color="auto" w:fill="auto"/>
            <w:tcMar>
              <w:top w:w="80" w:type="dxa"/>
              <w:left w:w="80" w:type="dxa"/>
              <w:bottom w:w="80" w:type="dxa"/>
              <w:right w:w="80" w:type="dxa"/>
            </w:tcMar>
          </w:tcPr>
          <w:p w14:paraId="396AE2FE" w14:textId="77777777" w:rsidR="00B3200D" w:rsidRPr="00A7082A" w:rsidRDefault="00B3200D" w:rsidP="003F3253">
            <w:pPr>
              <w:rPr>
                <w:sz w:val="18"/>
                <w:szCs w:val="18"/>
              </w:rPr>
            </w:pPr>
            <w:r w:rsidRPr="00A7082A">
              <w:rPr>
                <w:sz w:val="18"/>
                <w:szCs w:val="18"/>
              </w:rPr>
              <w:t>- Article 21 reporting</w:t>
            </w:r>
          </w:p>
        </w:tc>
        <w:tc>
          <w:tcPr>
            <w:tcW w:w="1788" w:type="dxa"/>
            <w:tcBorders>
              <w:bottom w:val="single" w:sz="4" w:space="0" w:color="000000" w:themeColor="text1"/>
            </w:tcBorders>
            <w:shd w:val="clear" w:color="auto" w:fill="auto"/>
            <w:tcMar>
              <w:top w:w="80" w:type="dxa"/>
              <w:left w:w="80" w:type="dxa"/>
              <w:bottom w:w="80" w:type="dxa"/>
              <w:right w:w="80" w:type="dxa"/>
            </w:tcMar>
          </w:tcPr>
          <w:p w14:paraId="549306A9" w14:textId="77777777" w:rsidR="00B3200D" w:rsidRPr="00A7082A" w:rsidRDefault="00B3200D" w:rsidP="003F3253">
            <w:pPr>
              <w:rPr>
                <w:sz w:val="18"/>
                <w:szCs w:val="18"/>
              </w:rPr>
            </w:pPr>
            <w:r w:rsidRPr="00A7082A">
              <w:rPr>
                <w:sz w:val="18"/>
                <w:szCs w:val="18"/>
              </w:rPr>
              <w:t>Number in the first evaluation</w:t>
            </w:r>
          </w:p>
        </w:tc>
      </w:tr>
      <w:tr w:rsidR="00B3200D" w:rsidRPr="00A7082A" w14:paraId="084C9F10" w14:textId="77777777" w:rsidTr="003F3253">
        <w:trPr>
          <w:trHeight w:val="57"/>
          <w:jc w:val="right"/>
        </w:trPr>
        <w:tc>
          <w:tcPr>
            <w:tcW w:w="9360" w:type="dxa"/>
            <w:gridSpan w:val="4"/>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0F4940EE" w14:textId="77777777" w:rsidR="00B3200D" w:rsidRPr="00A7082A" w:rsidRDefault="00B3200D" w:rsidP="003F3253">
            <w:pPr>
              <w:tabs>
                <w:tab w:val="left" w:pos="1872"/>
              </w:tabs>
              <w:rPr>
                <w:sz w:val="18"/>
                <w:szCs w:val="18"/>
              </w:rPr>
            </w:pPr>
            <w:r w:rsidRPr="00A7082A">
              <w:rPr>
                <w:b/>
                <w:bCs/>
                <w:sz w:val="18"/>
                <w:szCs w:val="18"/>
              </w:rPr>
              <w:t xml:space="preserve">Article 9 </w:t>
            </w:r>
            <w:r w:rsidRPr="00A7082A">
              <w:rPr>
                <w:sz w:val="18"/>
                <w:szCs w:val="18"/>
              </w:rPr>
              <w:t>(The indicators for article 9 are to be read with the relevant monitoring indicators in table 4.)</w:t>
            </w:r>
          </w:p>
        </w:tc>
      </w:tr>
      <w:tr w:rsidR="00B3200D" w:rsidRPr="00A7082A" w14:paraId="3F8E76BE" w14:textId="77777777" w:rsidTr="003F3253">
        <w:trPr>
          <w:trHeight w:val="57"/>
          <w:jc w:val="right"/>
        </w:trPr>
        <w:tc>
          <w:tcPr>
            <w:tcW w:w="2128" w:type="dxa"/>
            <w:tcBorders>
              <w:top w:val="single" w:sz="4" w:space="0" w:color="000000" w:themeColor="text1"/>
            </w:tcBorders>
            <w:shd w:val="clear" w:color="auto" w:fill="auto"/>
            <w:tcMar>
              <w:top w:w="80" w:type="dxa"/>
              <w:left w:w="80" w:type="dxa"/>
              <w:bottom w:w="80" w:type="dxa"/>
              <w:right w:w="80" w:type="dxa"/>
            </w:tcMar>
          </w:tcPr>
          <w:p w14:paraId="7E7EEFEA" w14:textId="77777777" w:rsidR="00B3200D" w:rsidRPr="00A7082A" w:rsidRDefault="00B3200D" w:rsidP="003F3253">
            <w:pPr>
              <w:tabs>
                <w:tab w:val="left" w:pos="1163"/>
              </w:tabs>
              <w:rPr>
                <w:sz w:val="18"/>
                <w:szCs w:val="18"/>
              </w:rPr>
            </w:pPr>
            <w:r w:rsidRPr="00A7082A">
              <w:rPr>
                <w:sz w:val="18"/>
                <w:szCs w:val="18"/>
              </w:rPr>
              <w:t>D7. Outcome indicator for article 9</w:t>
            </w:r>
          </w:p>
        </w:tc>
        <w:tc>
          <w:tcPr>
            <w:tcW w:w="3511" w:type="dxa"/>
            <w:tcBorders>
              <w:top w:val="single" w:sz="4" w:space="0" w:color="000000" w:themeColor="text1"/>
            </w:tcBorders>
            <w:shd w:val="clear" w:color="auto" w:fill="auto"/>
            <w:tcMar>
              <w:top w:w="80" w:type="dxa"/>
              <w:left w:w="80" w:type="dxa"/>
              <w:bottom w:w="80" w:type="dxa"/>
              <w:right w:w="80" w:type="dxa"/>
            </w:tcMar>
          </w:tcPr>
          <w:p w14:paraId="66C6F2AB" w14:textId="77777777" w:rsidR="00B3200D" w:rsidRPr="00A7082A" w:rsidRDefault="00B3200D" w:rsidP="003F3253">
            <w:pPr>
              <w:rPr>
                <w:sz w:val="18"/>
                <w:szCs w:val="18"/>
              </w:rPr>
            </w:pPr>
            <w:r w:rsidRPr="00A7082A">
              <w:rPr>
                <w:sz w:val="18"/>
                <w:szCs w:val="18"/>
              </w:rPr>
              <w:t xml:space="preserve">Total amount of mercury releases in the inventory from relevant sources </w:t>
            </w:r>
          </w:p>
        </w:tc>
        <w:tc>
          <w:tcPr>
            <w:tcW w:w="1931" w:type="dxa"/>
            <w:tcBorders>
              <w:top w:val="single" w:sz="4" w:space="0" w:color="000000" w:themeColor="text1"/>
            </w:tcBorders>
            <w:shd w:val="clear" w:color="auto" w:fill="auto"/>
            <w:tcMar>
              <w:top w:w="80" w:type="dxa"/>
              <w:left w:w="80" w:type="dxa"/>
              <w:bottom w:w="80" w:type="dxa"/>
              <w:right w:w="80" w:type="dxa"/>
            </w:tcMar>
          </w:tcPr>
          <w:p w14:paraId="79588453" w14:textId="77777777" w:rsidR="00B3200D" w:rsidRPr="00A7082A" w:rsidRDefault="00B3200D" w:rsidP="003F3253">
            <w:pPr>
              <w:tabs>
                <w:tab w:val="left" w:pos="1163"/>
              </w:tabs>
              <w:rPr>
                <w:sz w:val="18"/>
                <w:szCs w:val="18"/>
              </w:rPr>
            </w:pPr>
            <w:r w:rsidRPr="00A7082A">
              <w:rPr>
                <w:sz w:val="18"/>
                <w:szCs w:val="18"/>
              </w:rPr>
              <w:t>- Article 21 reporting</w:t>
            </w:r>
          </w:p>
          <w:p w14:paraId="53D96E2B" w14:textId="77777777" w:rsidR="00B3200D" w:rsidRPr="00A7082A" w:rsidRDefault="00B3200D" w:rsidP="003F3253">
            <w:pPr>
              <w:rPr>
                <w:sz w:val="18"/>
                <w:szCs w:val="18"/>
              </w:rPr>
            </w:pPr>
            <w:r w:rsidRPr="00A7082A">
              <w:rPr>
                <w:sz w:val="18"/>
                <w:szCs w:val="18"/>
              </w:rPr>
              <w:t>- Inventories</w:t>
            </w:r>
          </w:p>
        </w:tc>
        <w:tc>
          <w:tcPr>
            <w:tcW w:w="1788" w:type="dxa"/>
            <w:tcBorders>
              <w:top w:val="single" w:sz="4" w:space="0" w:color="000000" w:themeColor="text1"/>
            </w:tcBorders>
            <w:shd w:val="clear" w:color="auto" w:fill="auto"/>
            <w:tcMar>
              <w:top w:w="80" w:type="dxa"/>
              <w:left w:w="80" w:type="dxa"/>
              <w:bottom w:w="80" w:type="dxa"/>
              <w:right w:w="80" w:type="dxa"/>
            </w:tcMar>
          </w:tcPr>
          <w:p w14:paraId="576457F0" w14:textId="77777777" w:rsidR="00B3200D" w:rsidRPr="00A7082A" w:rsidRDefault="00B3200D" w:rsidP="003F3253">
            <w:pPr>
              <w:rPr>
                <w:sz w:val="18"/>
                <w:szCs w:val="18"/>
              </w:rPr>
            </w:pPr>
            <w:r w:rsidRPr="00A7082A">
              <w:rPr>
                <w:sz w:val="18"/>
                <w:szCs w:val="18"/>
              </w:rPr>
              <w:t>Amount in the first evaluation</w:t>
            </w:r>
          </w:p>
        </w:tc>
      </w:tr>
      <w:tr w:rsidR="00B3200D" w:rsidRPr="00A7082A" w14:paraId="706C7B1A" w14:textId="77777777" w:rsidTr="003F3253">
        <w:trPr>
          <w:trHeight w:val="57"/>
          <w:jc w:val="right"/>
        </w:trPr>
        <w:tc>
          <w:tcPr>
            <w:tcW w:w="2128" w:type="dxa"/>
            <w:shd w:val="clear" w:color="auto" w:fill="auto"/>
            <w:tcMar>
              <w:top w:w="80" w:type="dxa"/>
              <w:left w:w="80" w:type="dxa"/>
              <w:bottom w:w="80" w:type="dxa"/>
              <w:right w:w="80" w:type="dxa"/>
            </w:tcMar>
          </w:tcPr>
          <w:p w14:paraId="576E27B8" w14:textId="77777777" w:rsidR="00B3200D" w:rsidRPr="00A7082A" w:rsidRDefault="00B3200D" w:rsidP="003F3253">
            <w:pPr>
              <w:tabs>
                <w:tab w:val="left" w:pos="1163"/>
              </w:tabs>
              <w:rPr>
                <w:sz w:val="18"/>
                <w:szCs w:val="18"/>
              </w:rPr>
            </w:pPr>
            <w:r w:rsidRPr="00A7082A">
              <w:rPr>
                <w:sz w:val="18"/>
                <w:szCs w:val="18"/>
              </w:rPr>
              <w:lastRenderedPageBreak/>
              <w:t>D8. Process indicator for article 9</w:t>
            </w:r>
          </w:p>
        </w:tc>
        <w:tc>
          <w:tcPr>
            <w:tcW w:w="3511" w:type="dxa"/>
            <w:shd w:val="clear" w:color="auto" w:fill="auto"/>
            <w:tcMar>
              <w:top w:w="80" w:type="dxa"/>
              <w:left w:w="80" w:type="dxa"/>
              <w:bottom w:w="80" w:type="dxa"/>
              <w:right w:w="80" w:type="dxa"/>
            </w:tcMar>
          </w:tcPr>
          <w:p w14:paraId="37F6AFBC" w14:textId="77777777" w:rsidR="00B3200D" w:rsidRPr="00A7082A" w:rsidRDefault="00B3200D" w:rsidP="003F3253">
            <w:pPr>
              <w:rPr>
                <w:sz w:val="18"/>
                <w:szCs w:val="18"/>
              </w:rPr>
            </w:pPr>
            <w:r w:rsidRPr="00A7082A">
              <w:rPr>
                <w:sz w:val="18"/>
                <w:szCs w:val="18"/>
              </w:rPr>
              <w:t>Number of parties that have identified relevant sources</w:t>
            </w:r>
          </w:p>
        </w:tc>
        <w:tc>
          <w:tcPr>
            <w:tcW w:w="1931" w:type="dxa"/>
            <w:shd w:val="clear" w:color="auto" w:fill="auto"/>
            <w:tcMar>
              <w:top w:w="80" w:type="dxa"/>
              <w:left w:w="80" w:type="dxa"/>
              <w:bottom w:w="80" w:type="dxa"/>
              <w:right w:w="80" w:type="dxa"/>
            </w:tcMar>
          </w:tcPr>
          <w:p w14:paraId="0DC09CBC" w14:textId="77777777" w:rsidR="00B3200D" w:rsidRPr="00A7082A" w:rsidRDefault="00B3200D" w:rsidP="003F3253">
            <w:pPr>
              <w:rPr>
                <w:sz w:val="18"/>
                <w:szCs w:val="18"/>
              </w:rPr>
            </w:pPr>
            <w:r w:rsidRPr="00A7082A">
              <w:rPr>
                <w:sz w:val="18"/>
                <w:szCs w:val="18"/>
              </w:rPr>
              <w:t>- Article 21 reporting</w:t>
            </w:r>
          </w:p>
        </w:tc>
        <w:tc>
          <w:tcPr>
            <w:tcW w:w="1788" w:type="dxa"/>
            <w:shd w:val="clear" w:color="auto" w:fill="auto"/>
            <w:tcMar>
              <w:top w:w="80" w:type="dxa"/>
              <w:left w:w="80" w:type="dxa"/>
              <w:bottom w:w="80" w:type="dxa"/>
              <w:right w:w="80" w:type="dxa"/>
            </w:tcMar>
          </w:tcPr>
          <w:p w14:paraId="31499F2E" w14:textId="77777777" w:rsidR="00B3200D" w:rsidRPr="00A7082A" w:rsidRDefault="00B3200D" w:rsidP="003F3253">
            <w:pPr>
              <w:rPr>
                <w:sz w:val="18"/>
                <w:szCs w:val="18"/>
              </w:rPr>
            </w:pPr>
            <w:r w:rsidRPr="00A7082A">
              <w:rPr>
                <w:sz w:val="18"/>
                <w:szCs w:val="18"/>
              </w:rPr>
              <w:t>Number in the first evaluation</w:t>
            </w:r>
          </w:p>
        </w:tc>
      </w:tr>
      <w:tr w:rsidR="00B3200D" w:rsidRPr="00A7082A" w14:paraId="296EF696" w14:textId="77777777" w:rsidTr="003F3253">
        <w:trPr>
          <w:trHeight w:val="57"/>
          <w:jc w:val="right"/>
        </w:trPr>
        <w:tc>
          <w:tcPr>
            <w:tcW w:w="2128" w:type="dxa"/>
            <w:tcBorders>
              <w:bottom w:val="single" w:sz="4" w:space="0" w:color="000000" w:themeColor="text1"/>
            </w:tcBorders>
            <w:shd w:val="clear" w:color="auto" w:fill="auto"/>
            <w:tcMar>
              <w:top w:w="80" w:type="dxa"/>
              <w:left w:w="80" w:type="dxa"/>
              <w:bottom w:w="80" w:type="dxa"/>
              <w:right w:w="80" w:type="dxa"/>
            </w:tcMar>
          </w:tcPr>
          <w:p w14:paraId="0CBB9B05" w14:textId="77777777" w:rsidR="00B3200D" w:rsidRPr="00A7082A" w:rsidRDefault="00B3200D" w:rsidP="003F3253">
            <w:pPr>
              <w:tabs>
                <w:tab w:val="left" w:pos="1163"/>
              </w:tabs>
              <w:rPr>
                <w:sz w:val="18"/>
                <w:szCs w:val="18"/>
              </w:rPr>
            </w:pPr>
            <w:r w:rsidRPr="00A7082A">
              <w:rPr>
                <w:sz w:val="18"/>
                <w:szCs w:val="18"/>
              </w:rPr>
              <w:t>D9. Process indicator for article 9</w:t>
            </w:r>
          </w:p>
        </w:tc>
        <w:tc>
          <w:tcPr>
            <w:tcW w:w="3511" w:type="dxa"/>
            <w:tcBorders>
              <w:bottom w:val="single" w:sz="4" w:space="0" w:color="000000" w:themeColor="text1"/>
            </w:tcBorders>
            <w:shd w:val="clear" w:color="auto" w:fill="auto"/>
            <w:tcMar>
              <w:top w:w="80" w:type="dxa"/>
              <w:left w:w="80" w:type="dxa"/>
              <w:bottom w:w="80" w:type="dxa"/>
              <w:right w:w="80" w:type="dxa"/>
            </w:tcMar>
          </w:tcPr>
          <w:p w14:paraId="1436CAFD" w14:textId="77777777" w:rsidR="00B3200D" w:rsidRPr="00A7082A" w:rsidRDefault="00B3200D" w:rsidP="003F3253">
            <w:pPr>
              <w:rPr>
                <w:sz w:val="18"/>
                <w:szCs w:val="18"/>
              </w:rPr>
            </w:pPr>
            <w:r w:rsidRPr="00A7082A">
              <w:rPr>
                <w:sz w:val="18"/>
                <w:szCs w:val="18"/>
              </w:rPr>
              <w:t>Number of parties that have established and maintained an inventory of releases from relevant sources</w:t>
            </w:r>
          </w:p>
        </w:tc>
        <w:tc>
          <w:tcPr>
            <w:tcW w:w="1931" w:type="dxa"/>
            <w:tcBorders>
              <w:bottom w:val="single" w:sz="4" w:space="0" w:color="000000" w:themeColor="text1"/>
            </w:tcBorders>
            <w:shd w:val="clear" w:color="auto" w:fill="auto"/>
            <w:tcMar>
              <w:top w:w="80" w:type="dxa"/>
              <w:left w:w="80" w:type="dxa"/>
              <w:bottom w:w="80" w:type="dxa"/>
              <w:right w:w="80" w:type="dxa"/>
            </w:tcMar>
          </w:tcPr>
          <w:p w14:paraId="1515F9EB" w14:textId="77777777" w:rsidR="00B3200D" w:rsidRPr="00A7082A" w:rsidRDefault="00B3200D" w:rsidP="003F3253">
            <w:pPr>
              <w:rPr>
                <w:sz w:val="18"/>
                <w:szCs w:val="18"/>
              </w:rPr>
            </w:pPr>
            <w:r w:rsidRPr="00A7082A">
              <w:rPr>
                <w:sz w:val="18"/>
                <w:szCs w:val="18"/>
              </w:rPr>
              <w:t>- Article 21 reporting</w:t>
            </w:r>
          </w:p>
        </w:tc>
        <w:tc>
          <w:tcPr>
            <w:tcW w:w="1788" w:type="dxa"/>
            <w:tcBorders>
              <w:bottom w:val="single" w:sz="4" w:space="0" w:color="000000" w:themeColor="text1"/>
            </w:tcBorders>
            <w:shd w:val="clear" w:color="auto" w:fill="auto"/>
            <w:tcMar>
              <w:top w:w="80" w:type="dxa"/>
              <w:left w:w="80" w:type="dxa"/>
              <w:bottom w:w="80" w:type="dxa"/>
              <w:right w:w="80" w:type="dxa"/>
            </w:tcMar>
          </w:tcPr>
          <w:p w14:paraId="07217415" w14:textId="77777777" w:rsidR="00B3200D" w:rsidRPr="00A7082A" w:rsidRDefault="00B3200D" w:rsidP="003F3253">
            <w:pPr>
              <w:rPr>
                <w:sz w:val="18"/>
                <w:szCs w:val="18"/>
              </w:rPr>
            </w:pPr>
            <w:r w:rsidRPr="00A7082A">
              <w:rPr>
                <w:sz w:val="18"/>
                <w:szCs w:val="18"/>
              </w:rPr>
              <w:t>Number in the first evaluation</w:t>
            </w:r>
          </w:p>
        </w:tc>
      </w:tr>
      <w:tr w:rsidR="00B3200D" w:rsidRPr="00A7082A" w14:paraId="03955E25" w14:textId="77777777" w:rsidTr="003F3253">
        <w:trPr>
          <w:trHeight w:val="57"/>
          <w:jc w:val="right"/>
        </w:trPr>
        <w:tc>
          <w:tcPr>
            <w:tcW w:w="2128"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20F6B1BC" w14:textId="77777777" w:rsidR="00B3200D" w:rsidRPr="00A7082A" w:rsidRDefault="00B3200D" w:rsidP="003F3253">
            <w:pPr>
              <w:tabs>
                <w:tab w:val="left" w:pos="1163"/>
              </w:tabs>
              <w:rPr>
                <w:sz w:val="18"/>
                <w:szCs w:val="18"/>
              </w:rPr>
            </w:pPr>
            <w:r w:rsidRPr="00A7082A">
              <w:rPr>
                <w:b/>
                <w:bCs/>
                <w:sz w:val="18"/>
                <w:szCs w:val="18"/>
              </w:rPr>
              <w:t>Article 12</w:t>
            </w:r>
          </w:p>
        </w:tc>
        <w:tc>
          <w:tcPr>
            <w:tcW w:w="3511"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330D3996" w14:textId="77777777" w:rsidR="00B3200D" w:rsidRPr="00A7082A" w:rsidRDefault="00B3200D" w:rsidP="003F3253">
            <w:pPr>
              <w:rPr>
                <w:sz w:val="18"/>
                <w:szCs w:val="18"/>
              </w:rPr>
            </w:pPr>
          </w:p>
        </w:tc>
        <w:tc>
          <w:tcPr>
            <w:tcW w:w="1931"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1D67037D" w14:textId="77777777" w:rsidR="00B3200D" w:rsidRPr="00A7082A" w:rsidRDefault="00B3200D" w:rsidP="003F3253">
            <w:pPr>
              <w:rPr>
                <w:sz w:val="18"/>
                <w:szCs w:val="18"/>
              </w:rPr>
            </w:pPr>
          </w:p>
        </w:tc>
        <w:tc>
          <w:tcPr>
            <w:tcW w:w="1788"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13FD9DA4" w14:textId="77777777" w:rsidR="00B3200D" w:rsidRPr="00A7082A" w:rsidRDefault="00B3200D" w:rsidP="003F3253">
            <w:pPr>
              <w:rPr>
                <w:sz w:val="18"/>
                <w:szCs w:val="18"/>
              </w:rPr>
            </w:pPr>
          </w:p>
        </w:tc>
      </w:tr>
      <w:tr w:rsidR="00B3200D" w:rsidRPr="00A7082A" w14:paraId="77FE7C60" w14:textId="77777777" w:rsidTr="003F3253">
        <w:trPr>
          <w:trHeight w:val="57"/>
          <w:jc w:val="right"/>
        </w:trPr>
        <w:tc>
          <w:tcPr>
            <w:tcW w:w="2128" w:type="dxa"/>
            <w:tcBorders>
              <w:top w:val="single" w:sz="4" w:space="0" w:color="000000" w:themeColor="text1"/>
            </w:tcBorders>
            <w:shd w:val="clear" w:color="auto" w:fill="auto"/>
            <w:tcMar>
              <w:top w:w="80" w:type="dxa"/>
              <w:left w:w="80" w:type="dxa"/>
              <w:bottom w:w="80" w:type="dxa"/>
              <w:right w:w="80" w:type="dxa"/>
            </w:tcMar>
          </w:tcPr>
          <w:p w14:paraId="14496273" w14:textId="77777777" w:rsidR="00B3200D" w:rsidRPr="00A7082A" w:rsidRDefault="00B3200D" w:rsidP="003F3253">
            <w:pPr>
              <w:tabs>
                <w:tab w:val="left" w:pos="1163"/>
              </w:tabs>
              <w:rPr>
                <w:sz w:val="18"/>
                <w:szCs w:val="18"/>
              </w:rPr>
            </w:pPr>
            <w:r w:rsidRPr="00A7082A">
              <w:rPr>
                <w:sz w:val="18"/>
                <w:szCs w:val="18"/>
              </w:rPr>
              <w:t>D10. Process indicator for article 12</w:t>
            </w:r>
          </w:p>
        </w:tc>
        <w:tc>
          <w:tcPr>
            <w:tcW w:w="3511" w:type="dxa"/>
            <w:tcBorders>
              <w:top w:val="single" w:sz="4" w:space="0" w:color="000000" w:themeColor="text1"/>
            </w:tcBorders>
            <w:shd w:val="clear" w:color="auto" w:fill="auto"/>
            <w:tcMar>
              <w:top w:w="80" w:type="dxa"/>
              <w:left w:w="80" w:type="dxa"/>
              <w:bottom w:w="80" w:type="dxa"/>
              <w:right w:w="80" w:type="dxa"/>
            </w:tcMar>
          </w:tcPr>
          <w:p w14:paraId="5E52814F" w14:textId="77777777" w:rsidR="00B3200D" w:rsidRPr="00A7082A" w:rsidRDefault="00B3200D" w:rsidP="003F3253">
            <w:pPr>
              <w:rPr>
                <w:sz w:val="18"/>
                <w:szCs w:val="18"/>
              </w:rPr>
            </w:pPr>
            <w:r w:rsidRPr="00A7082A">
              <w:rPr>
                <w:sz w:val="18"/>
                <w:szCs w:val="18"/>
              </w:rPr>
              <w:t>Number of parties that have developed strategies for identifying and assessing sites contaminated by mercury or mercury compounds</w:t>
            </w:r>
          </w:p>
        </w:tc>
        <w:tc>
          <w:tcPr>
            <w:tcW w:w="1931" w:type="dxa"/>
            <w:tcBorders>
              <w:top w:val="single" w:sz="4" w:space="0" w:color="000000" w:themeColor="text1"/>
            </w:tcBorders>
            <w:shd w:val="clear" w:color="auto" w:fill="auto"/>
            <w:tcMar>
              <w:top w:w="80" w:type="dxa"/>
              <w:left w:w="80" w:type="dxa"/>
              <w:bottom w:w="80" w:type="dxa"/>
              <w:right w:w="80" w:type="dxa"/>
            </w:tcMar>
          </w:tcPr>
          <w:p w14:paraId="1E37A1FF" w14:textId="77777777" w:rsidR="00B3200D" w:rsidRPr="00A7082A" w:rsidRDefault="00B3200D" w:rsidP="003F3253">
            <w:pPr>
              <w:rPr>
                <w:sz w:val="18"/>
                <w:szCs w:val="18"/>
              </w:rPr>
            </w:pPr>
            <w:r w:rsidRPr="00A7082A">
              <w:rPr>
                <w:sz w:val="18"/>
                <w:szCs w:val="18"/>
              </w:rPr>
              <w:t>- Article 21 reporting</w:t>
            </w:r>
          </w:p>
        </w:tc>
        <w:tc>
          <w:tcPr>
            <w:tcW w:w="1788" w:type="dxa"/>
            <w:tcBorders>
              <w:top w:val="single" w:sz="4" w:space="0" w:color="000000" w:themeColor="text1"/>
            </w:tcBorders>
            <w:shd w:val="clear" w:color="auto" w:fill="auto"/>
            <w:tcMar>
              <w:top w:w="80" w:type="dxa"/>
              <w:left w:w="80" w:type="dxa"/>
              <w:bottom w:w="80" w:type="dxa"/>
              <w:right w:w="80" w:type="dxa"/>
            </w:tcMar>
          </w:tcPr>
          <w:p w14:paraId="574E757F" w14:textId="77777777" w:rsidR="00B3200D" w:rsidRPr="00A7082A" w:rsidRDefault="00B3200D" w:rsidP="003F3253">
            <w:pPr>
              <w:rPr>
                <w:sz w:val="18"/>
                <w:szCs w:val="18"/>
              </w:rPr>
            </w:pPr>
            <w:r w:rsidRPr="00A7082A">
              <w:rPr>
                <w:sz w:val="18"/>
                <w:szCs w:val="18"/>
              </w:rPr>
              <w:t>Number in the first evaluation</w:t>
            </w:r>
          </w:p>
        </w:tc>
      </w:tr>
      <w:tr w:rsidR="00B3200D" w:rsidRPr="00A7082A" w14:paraId="557681D3" w14:textId="77777777" w:rsidTr="003F3253">
        <w:trPr>
          <w:trHeight w:val="57"/>
          <w:jc w:val="right"/>
        </w:trPr>
        <w:tc>
          <w:tcPr>
            <w:tcW w:w="2128" w:type="dxa"/>
            <w:shd w:val="clear" w:color="auto" w:fill="auto"/>
            <w:tcMar>
              <w:top w:w="80" w:type="dxa"/>
              <w:left w:w="80" w:type="dxa"/>
              <w:bottom w:w="80" w:type="dxa"/>
              <w:right w:w="80" w:type="dxa"/>
            </w:tcMar>
          </w:tcPr>
          <w:p w14:paraId="78F656A6" w14:textId="77777777" w:rsidR="00B3200D" w:rsidRPr="00A7082A" w:rsidRDefault="00B3200D" w:rsidP="003F3253">
            <w:pPr>
              <w:tabs>
                <w:tab w:val="left" w:pos="1163"/>
              </w:tabs>
              <w:rPr>
                <w:sz w:val="18"/>
                <w:szCs w:val="18"/>
              </w:rPr>
            </w:pPr>
            <w:r w:rsidRPr="00A7082A">
              <w:rPr>
                <w:sz w:val="18"/>
                <w:szCs w:val="18"/>
              </w:rPr>
              <w:t>D11. Process indicator for article 12</w:t>
            </w:r>
          </w:p>
        </w:tc>
        <w:tc>
          <w:tcPr>
            <w:tcW w:w="3511" w:type="dxa"/>
            <w:shd w:val="clear" w:color="auto" w:fill="auto"/>
            <w:tcMar>
              <w:top w:w="80" w:type="dxa"/>
              <w:left w:w="80" w:type="dxa"/>
              <w:bottom w:w="80" w:type="dxa"/>
              <w:right w:w="80" w:type="dxa"/>
            </w:tcMar>
          </w:tcPr>
          <w:p w14:paraId="1D670E2D" w14:textId="77777777" w:rsidR="00B3200D" w:rsidRPr="00A7082A" w:rsidRDefault="00B3200D" w:rsidP="003F3253">
            <w:pPr>
              <w:tabs>
                <w:tab w:val="left" w:pos="1163"/>
              </w:tabs>
              <w:rPr>
                <w:sz w:val="18"/>
                <w:szCs w:val="18"/>
              </w:rPr>
            </w:pPr>
            <w:r w:rsidRPr="00A7082A">
              <w:rPr>
                <w:spacing w:val="-2"/>
                <w:sz w:val="18"/>
                <w:szCs w:val="18"/>
              </w:rPr>
              <w:t>Number of parties that have developed an inventory of contaminated sites</w:t>
            </w:r>
          </w:p>
        </w:tc>
        <w:tc>
          <w:tcPr>
            <w:tcW w:w="1931" w:type="dxa"/>
            <w:shd w:val="clear" w:color="auto" w:fill="auto"/>
            <w:tcMar>
              <w:top w:w="80" w:type="dxa"/>
              <w:left w:w="80" w:type="dxa"/>
              <w:bottom w:w="80" w:type="dxa"/>
              <w:right w:w="80" w:type="dxa"/>
            </w:tcMar>
          </w:tcPr>
          <w:p w14:paraId="15978F2B" w14:textId="77777777" w:rsidR="00B3200D" w:rsidRPr="00A7082A" w:rsidRDefault="00B3200D" w:rsidP="003F3253">
            <w:pPr>
              <w:tabs>
                <w:tab w:val="left" w:pos="1163"/>
              </w:tabs>
              <w:rPr>
                <w:sz w:val="18"/>
                <w:szCs w:val="18"/>
              </w:rPr>
            </w:pPr>
            <w:r w:rsidRPr="00A7082A">
              <w:rPr>
                <w:sz w:val="18"/>
                <w:szCs w:val="18"/>
              </w:rPr>
              <w:t>- Article 21 reporting</w:t>
            </w:r>
          </w:p>
        </w:tc>
        <w:tc>
          <w:tcPr>
            <w:tcW w:w="1788" w:type="dxa"/>
            <w:shd w:val="clear" w:color="auto" w:fill="auto"/>
            <w:tcMar>
              <w:top w:w="80" w:type="dxa"/>
              <w:left w:w="80" w:type="dxa"/>
              <w:bottom w:w="80" w:type="dxa"/>
              <w:right w:w="80" w:type="dxa"/>
            </w:tcMar>
          </w:tcPr>
          <w:p w14:paraId="725C2EA6" w14:textId="77777777" w:rsidR="00B3200D" w:rsidRPr="00A7082A" w:rsidRDefault="00B3200D" w:rsidP="003F3253">
            <w:pPr>
              <w:tabs>
                <w:tab w:val="left" w:pos="1163"/>
              </w:tabs>
              <w:rPr>
                <w:sz w:val="18"/>
                <w:szCs w:val="18"/>
              </w:rPr>
            </w:pPr>
            <w:r w:rsidRPr="00A7082A">
              <w:rPr>
                <w:sz w:val="18"/>
                <w:szCs w:val="18"/>
              </w:rPr>
              <w:t>Number in the first evaluation</w:t>
            </w:r>
          </w:p>
        </w:tc>
      </w:tr>
      <w:tr w:rsidR="00B3200D" w:rsidRPr="00A7082A" w14:paraId="2C39AE11" w14:textId="77777777" w:rsidTr="003F3253">
        <w:trPr>
          <w:trHeight w:val="57"/>
          <w:jc w:val="right"/>
        </w:trPr>
        <w:tc>
          <w:tcPr>
            <w:tcW w:w="2128" w:type="dxa"/>
            <w:tcBorders>
              <w:bottom w:val="single" w:sz="12" w:space="0" w:color="000000" w:themeColor="text1"/>
            </w:tcBorders>
            <w:shd w:val="clear" w:color="auto" w:fill="auto"/>
            <w:tcMar>
              <w:top w:w="80" w:type="dxa"/>
              <w:left w:w="80" w:type="dxa"/>
              <w:bottom w:w="80" w:type="dxa"/>
              <w:right w:w="80" w:type="dxa"/>
            </w:tcMar>
          </w:tcPr>
          <w:p w14:paraId="3E5F6EAB" w14:textId="77777777" w:rsidR="00B3200D" w:rsidRPr="00A7082A" w:rsidRDefault="00B3200D" w:rsidP="003F3253">
            <w:pPr>
              <w:rPr>
                <w:sz w:val="18"/>
                <w:szCs w:val="18"/>
              </w:rPr>
            </w:pPr>
            <w:r w:rsidRPr="00A7082A">
              <w:rPr>
                <w:b/>
                <w:bCs/>
                <w:sz w:val="18"/>
                <w:szCs w:val="18"/>
              </w:rPr>
              <w:t>Notes</w:t>
            </w:r>
          </w:p>
        </w:tc>
        <w:tc>
          <w:tcPr>
            <w:tcW w:w="7231" w:type="dxa"/>
            <w:gridSpan w:val="3"/>
            <w:tcBorders>
              <w:bottom w:val="single" w:sz="12" w:space="0" w:color="000000" w:themeColor="text1"/>
            </w:tcBorders>
            <w:shd w:val="clear" w:color="auto" w:fill="auto"/>
            <w:tcMar>
              <w:top w:w="80" w:type="dxa"/>
              <w:left w:w="80" w:type="dxa"/>
              <w:bottom w:w="80" w:type="dxa"/>
              <w:right w:w="80" w:type="dxa"/>
            </w:tcMar>
          </w:tcPr>
          <w:p w14:paraId="6E2568FD" w14:textId="77777777" w:rsidR="00B3200D" w:rsidRPr="00A7082A" w:rsidRDefault="00B3200D" w:rsidP="003F3253">
            <w:pPr>
              <w:numPr>
                <w:ilvl w:val="0"/>
                <w:numId w:val="53"/>
              </w:numPr>
              <w:rPr>
                <w:sz w:val="18"/>
                <w:szCs w:val="18"/>
              </w:rPr>
            </w:pPr>
            <w:r w:rsidRPr="00A7082A">
              <w:rPr>
                <w:sz w:val="18"/>
                <w:szCs w:val="18"/>
              </w:rPr>
              <w:t>There may be some data gaps, as parties are not obliged to share the information collected as part of their inventory.</w:t>
            </w:r>
          </w:p>
        </w:tc>
      </w:tr>
    </w:tbl>
    <w:p w14:paraId="3BD79B44" w14:textId="77777777" w:rsidR="00B3200D" w:rsidRPr="00A7082A" w:rsidRDefault="00B3200D" w:rsidP="00B3200D">
      <w:pPr>
        <w:widowControl w:val="0"/>
        <w:jc w:val="right"/>
      </w:pPr>
    </w:p>
    <w:p w14:paraId="596C586B" w14:textId="77777777" w:rsidR="00B3200D" w:rsidRPr="00A7082A" w:rsidRDefault="00B3200D" w:rsidP="00B3200D">
      <w:pPr>
        <w:rPr>
          <w:sz w:val="12"/>
          <w:szCs w:val="12"/>
        </w:rPr>
      </w:pPr>
    </w:p>
    <w:tbl>
      <w:tblPr>
        <w:tblW w:w="8307" w:type="dxa"/>
        <w:jc w:val="right"/>
        <w:tblLayout w:type="fixed"/>
        <w:tblLook w:val="04A0" w:firstRow="1" w:lastRow="0" w:firstColumn="1" w:lastColumn="0" w:noHBand="0" w:noVBand="1"/>
      </w:tblPr>
      <w:tblGrid>
        <w:gridCol w:w="1808"/>
        <w:gridCol w:w="3184"/>
        <w:gridCol w:w="1748"/>
        <w:gridCol w:w="1567"/>
      </w:tblGrid>
      <w:tr w:rsidR="00B3200D" w:rsidRPr="00A7082A" w14:paraId="21E90318" w14:textId="77777777" w:rsidTr="003F3253">
        <w:trPr>
          <w:trHeight w:val="57"/>
          <w:jc w:val="right"/>
        </w:trPr>
        <w:tc>
          <w:tcPr>
            <w:tcW w:w="5629" w:type="dxa"/>
            <w:gridSpan w:val="2"/>
            <w:tcBorders>
              <w:top w:val="single" w:sz="4" w:space="0" w:color="000000" w:themeColor="text1"/>
              <w:bottom w:val="single" w:sz="12" w:space="0" w:color="auto"/>
            </w:tcBorders>
            <w:shd w:val="clear" w:color="auto" w:fill="auto"/>
            <w:tcMar>
              <w:top w:w="80" w:type="dxa"/>
              <w:left w:w="80" w:type="dxa"/>
              <w:bottom w:w="80" w:type="dxa"/>
              <w:right w:w="80" w:type="dxa"/>
            </w:tcMar>
          </w:tcPr>
          <w:p w14:paraId="2C88DD1C" w14:textId="77777777" w:rsidR="00B3200D" w:rsidRPr="00A7082A" w:rsidRDefault="00B3200D" w:rsidP="003F3253">
            <w:pPr>
              <w:keepNext/>
              <w:keepLines/>
              <w:spacing w:after="120"/>
              <w:rPr>
                <w:bCs/>
                <w:i/>
                <w:sz w:val="18"/>
                <w:szCs w:val="18"/>
              </w:rPr>
            </w:pPr>
            <w:r w:rsidRPr="00A7082A">
              <w:rPr>
                <w:bCs/>
                <w:i/>
                <w:sz w:val="18"/>
                <w:szCs w:val="18"/>
              </w:rPr>
              <w:t xml:space="preserve">E: Support cluster </w:t>
            </w:r>
          </w:p>
          <w:p w14:paraId="199745A7" w14:textId="77777777" w:rsidR="00B3200D" w:rsidRPr="00A7082A" w:rsidRDefault="00B3200D" w:rsidP="003F3253">
            <w:pPr>
              <w:keepNext/>
              <w:keepLines/>
              <w:rPr>
                <w:i/>
                <w:sz w:val="18"/>
                <w:szCs w:val="18"/>
              </w:rPr>
            </w:pPr>
            <w:r w:rsidRPr="00A7082A">
              <w:rPr>
                <w:bCs/>
                <w:i/>
                <w:sz w:val="18"/>
                <w:szCs w:val="18"/>
              </w:rPr>
              <w:t>Article 13 (financial resources and mechanism); article 14 (capacity</w:t>
            </w:r>
            <w:r w:rsidRPr="00A7082A">
              <w:rPr>
                <w:bCs/>
                <w:i/>
                <w:sz w:val="18"/>
                <w:szCs w:val="18"/>
              </w:rPr>
              <w:noBreakHyphen/>
              <w:t xml:space="preserve">building, technical assistance and technology transfer) </w:t>
            </w:r>
          </w:p>
        </w:tc>
        <w:tc>
          <w:tcPr>
            <w:tcW w:w="1963" w:type="dxa"/>
            <w:tcBorders>
              <w:top w:val="single" w:sz="4" w:space="0" w:color="000000" w:themeColor="text1"/>
              <w:bottom w:val="single" w:sz="12" w:space="0" w:color="auto"/>
            </w:tcBorders>
            <w:shd w:val="clear" w:color="auto" w:fill="auto"/>
            <w:tcMar>
              <w:top w:w="80" w:type="dxa"/>
              <w:left w:w="80" w:type="dxa"/>
              <w:bottom w:w="80" w:type="dxa"/>
              <w:right w:w="80" w:type="dxa"/>
            </w:tcMar>
          </w:tcPr>
          <w:p w14:paraId="5B57E046" w14:textId="77777777" w:rsidR="00B3200D" w:rsidRPr="00A7082A" w:rsidRDefault="00B3200D" w:rsidP="003F3253">
            <w:pPr>
              <w:keepNext/>
              <w:keepLines/>
              <w:rPr>
                <w:i/>
                <w:sz w:val="18"/>
                <w:szCs w:val="18"/>
              </w:rPr>
            </w:pPr>
            <w:r w:rsidRPr="00A7082A">
              <w:rPr>
                <w:i/>
                <w:sz w:val="18"/>
                <w:szCs w:val="18"/>
              </w:rPr>
              <w:t>Source of information on the indicator</w:t>
            </w:r>
          </w:p>
        </w:tc>
        <w:tc>
          <w:tcPr>
            <w:tcW w:w="1758" w:type="dxa"/>
            <w:tcBorders>
              <w:top w:val="single" w:sz="4" w:space="0" w:color="000000" w:themeColor="text1"/>
              <w:bottom w:val="single" w:sz="12" w:space="0" w:color="auto"/>
            </w:tcBorders>
            <w:shd w:val="clear" w:color="auto" w:fill="auto"/>
            <w:tcMar>
              <w:top w:w="80" w:type="dxa"/>
              <w:left w:w="80" w:type="dxa"/>
              <w:bottom w:w="80" w:type="dxa"/>
              <w:right w:w="80" w:type="dxa"/>
            </w:tcMar>
          </w:tcPr>
          <w:p w14:paraId="5543B7A4" w14:textId="77777777" w:rsidR="00B3200D" w:rsidRPr="00A7082A" w:rsidRDefault="00B3200D" w:rsidP="003F3253">
            <w:pPr>
              <w:keepNext/>
              <w:keepLines/>
              <w:rPr>
                <w:i/>
                <w:sz w:val="18"/>
                <w:szCs w:val="18"/>
              </w:rPr>
            </w:pPr>
            <w:r w:rsidRPr="00A7082A">
              <w:rPr>
                <w:i/>
                <w:sz w:val="18"/>
                <w:szCs w:val="18"/>
              </w:rPr>
              <w:t>Baseline for the indicator</w:t>
            </w:r>
          </w:p>
        </w:tc>
      </w:tr>
      <w:tr w:rsidR="00B3200D" w:rsidRPr="00A7082A" w14:paraId="220B370E" w14:textId="77777777" w:rsidTr="003F3253">
        <w:trPr>
          <w:trHeight w:val="57"/>
          <w:jc w:val="right"/>
        </w:trPr>
        <w:tc>
          <w:tcPr>
            <w:tcW w:w="2032" w:type="dxa"/>
            <w:tcBorders>
              <w:top w:val="single" w:sz="12" w:space="0" w:color="auto"/>
            </w:tcBorders>
            <w:shd w:val="clear" w:color="auto" w:fill="auto"/>
            <w:tcMar>
              <w:top w:w="80" w:type="dxa"/>
              <w:left w:w="80" w:type="dxa"/>
              <w:bottom w:w="80" w:type="dxa"/>
              <w:right w:w="80" w:type="dxa"/>
            </w:tcMar>
          </w:tcPr>
          <w:p w14:paraId="03287482" w14:textId="77777777" w:rsidR="00B3200D" w:rsidRPr="00A7082A" w:rsidRDefault="00B3200D" w:rsidP="003F3253">
            <w:pPr>
              <w:keepNext/>
              <w:keepLines/>
              <w:rPr>
                <w:sz w:val="18"/>
                <w:szCs w:val="18"/>
              </w:rPr>
            </w:pPr>
            <w:r w:rsidRPr="00A7082A">
              <w:rPr>
                <w:b/>
                <w:bCs/>
                <w:sz w:val="18"/>
                <w:szCs w:val="18"/>
              </w:rPr>
              <w:t xml:space="preserve">Article 13 </w:t>
            </w:r>
          </w:p>
        </w:tc>
        <w:tc>
          <w:tcPr>
            <w:tcW w:w="3597" w:type="dxa"/>
            <w:tcBorders>
              <w:top w:val="single" w:sz="12" w:space="0" w:color="auto"/>
              <w:bottom w:val="single" w:sz="4" w:space="0" w:color="auto"/>
            </w:tcBorders>
            <w:shd w:val="clear" w:color="auto" w:fill="auto"/>
            <w:tcMar>
              <w:top w:w="80" w:type="dxa"/>
              <w:left w:w="80" w:type="dxa"/>
              <w:bottom w:w="80" w:type="dxa"/>
              <w:right w:w="80" w:type="dxa"/>
            </w:tcMar>
          </w:tcPr>
          <w:p w14:paraId="420A48F6" w14:textId="77777777" w:rsidR="00B3200D" w:rsidRPr="00A7082A" w:rsidRDefault="00B3200D" w:rsidP="003F3253">
            <w:pPr>
              <w:keepNext/>
              <w:keepLines/>
              <w:rPr>
                <w:sz w:val="18"/>
                <w:szCs w:val="18"/>
              </w:rPr>
            </w:pPr>
          </w:p>
        </w:tc>
        <w:tc>
          <w:tcPr>
            <w:tcW w:w="1963" w:type="dxa"/>
            <w:tcBorders>
              <w:top w:val="single" w:sz="12" w:space="0" w:color="auto"/>
              <w:bottom w:val="single" w:sz="4" w:space="0" w:color="auto"/>
            </w:tcBorders>
            <w:shd w:val="clear" w:color="auto" w:fill="auto"/>
            <w:tcMar>
              <w:top w:w="80" w:type="dxa"/>
              <w:left w:w="80" w:type="dxa"/>
              <w:bottom w:w="80" w:type="dxa"/>
              <w:right w:w="80" w:type="dxa"/>
            </w:tcMar>
          </w:tcPr>
          <w:p w14:paraId="1F9DE5E1" w14:textId="77777777" w:rsidR="00B3200D" w:rsidRPr="00A7082A" w:rsidRDefault="00B3200D" w:rsidP="003F3253">
            <w:pPr>
              <w:keepNext/>
              <w:keepLines/>
              <w:rPr>
                <w:sz w:val="18"/>
                <w:szCs w:val="18"/>
              </w:rPr>
            </w:pPr>
          </w:p>
        </w:tc>
        <w:tc>
          <w:tcPr>
            <w:tcW w:w="1758" w:type="dxa"/>
            <w:tcBorders>
              <w:top w:val="single" w:sz="12" w:space="0" w:color="auto"/>
              <w:bottom w:val="single" w:sz="4" w:space="0" w:color="auto"/>
            </w:tcBorders>
            <w:shd w:val="clear" w:color="auto" w:fill="auto"/>
            <w:tcMar>
              <w:top w:w="80" w:type="dxa"/>
              <w:left w:w="80" w:type="dxa"/>
              <w:bottom w:w="80" w:type="dxa"/>
              <w:right w:w="80" w:type="dxa"/>
            </w:tcMar>
          </w:tcPr>
          <w:p w14:paraId="0788B16C" w14:textId="77777777" w:rsidR="00B3200D" w:rsidRPr="00A7082A" w:rsidRDefault="00B3200D" w:rsidP="003F3253">
            <w:pPr>
              <w:keepNext/>
              <w:keepLines/>
              <w:rPr>
                <w:sz w:val="18"/>
                <w:szCs w:val="18"/>
              </w:rPr>
            </w:pPr>
          </w:p>
        </w:tc>
      </w:tr>
      <w:tr w:rsidR="00B3200D" w:rsidRPr="00A7082A" w14:paraId="75A56105" w14:textId="77777777" w:rsidTr="003F3253">
        <w:trPr>
          <w:trHeight w:val="57"/>
          <w:jc w:val="right"/>
        </w:trPr>
        <w:tc>
          <w:tcPr>
            <w:tcW w:w="2032" w:type="dxa"/>
            <w:tcBorders>
              <w:top w:val="single" w:sz="4" w:space="0" w:color="auto"/>
            </w:tcBorders>
            <w:shd w:val="clear" w:color="auto" w:fill="auto"/>
            <w:tcMar>
              <w:top w:w="80" w:type="dxa"/>
              <w:left w:w="80" w:type="dxa"/>
              <w:bottom w:w="80" w:type="dxa"/>
              <w:right w:w="80" w:type="dxa"/>
            </w:tcMar>
          </w:tcPr>
          <w:p w14:paraId="234BDE1E" w14:textId="77777777" w:rsidR="00B3200D" w:rsidRPr="00A7082A" w:rsidRDefault="00B3200D" w:rsidP="003F3253">
            <w:pPr>
              <w:keepNext/>
              <w:keepLines/>
              <w:rPr>
                <w:sz w:val="18"/>
                <w:szCs w:val="18"/>
              </w:rPr>
            </w:pPr>
            <w:r w:rsidRPr="00A7082A">
              <w:rPr>
                <w:sz w:val="18"/>
                <w:szCs w:val="18"/>
              </w:rPr>
              <w:t>E1. Process indicator for article 13</w:t>
            </w:r>
          </w:p>
        </w:tc>
        <w:tc>
          <w:tcPr>
            <w:tcW w:w="3597" w:type="dxa"/>
            <w:tcBorders>
              <w:top w:val="single" w:sz="4" w:space="0" w:color="auto"/>
            </w:tcBorders>
            <w:shd w:val="clear" w:color="auto" w:fill="auto"/>
            <w:tcMar>
              <w:top w:w="80" w:type="dxa"/>
              <w:left w:w="80" w:type="dxa"/>
              <w:bottom w:w="80" w:type="dxa"/>
              <w:right w:w="80" w:type="dxa"/>
            </w:tcMar>
          </w:tcPr>
          <w:p w14:paraId="3094EA0F" w14:textId="77777777" w:rsidR="00B3200D" w:rsidRPr="00A7082A" w:rsidRDefault="00B3200D" w:rsidP="003F3253">
            <w:pPr>
              <w:keepNext/>
              <w:keepLines/>
              <w:tabs>
                <w:tab w:val="left" w:pos="1163"/>
              </w:tabs>
              <w:rPr>
                <w:sz w:val="18"/>
                <w:szCs w:val="18"/>
              </w:rPr>
            </w:pPr>
            <w:r w:rsidRPr="00A7082A">
              <w:rPr>
                <w:sz w:val="18"/>
                <w:szCs w:val="18"/>
              </w:rPr>
              <w:t xml:space="preserve">Number of parties that have: </w:t>
            </w:r>
          </w:p>
          <w:p w14:paraId="5BE40E06" w14:textId="77777777" w:rsidR="00B3200D" w:rsidRPr="00A7082A" w:rsidRDefault="00B3200D" w:rsidP="003F3253">
            <w:pPr>
              <w:keepNext/>
              <w:keepLines/>
              <w:numPr>
                <w:ilvl w:val="0"/>
                <w:numId w:val="54"/>
              </w:numPr>
              <w:rPr>
                <w:sz w:val="18"/>
                <w:szCs w:val="18"/>
              </w:rPr>
            </w:pPr>
            <w:r w:rsidRPr="00A7082A">
              <w:rPr>
                <w:sz w:val="18"/>
                <w:szCs w:val="18"/>
              </w:rPr>
              <w:t xml:space="preserve">Contributed to the financial mechanism referred to in article 13, para. 5 </w:t>
            </w:r>
          </w:p>
          <w:p w14:paraId="56FAEE72" w14:textId="77777777" w:rsidR="00B3200D" w:rsidRPr="00A7082A" w:rsidRDefault="00B3200D" w:rsidP="003F3253">
            <w:pPr>
              <w:keepNext/>
              <w:keepLines/>
              <w:numPr>
                <w:ilvl w:val="0"/>
                <w:numId w:val="54"/>
              </w:numPr>
              <w:rPr>
                <w:sz w:val="18"/>
                <w:szCs w:val="18"/>
              </w:rPr>
            </w:pPr>
            <w:r w:rsidRPr="00A7082A">
              <w:rPr>
                <w:sz w:val="18"/>
                <w:szCs w:val="18"/>
              </w:rPr>
              <w:t>Received Global Environment Facility resources</w:t>
            </w:r>
          </w:p>
          <w:p w14:paraId="739A6553" w14:textId="77777777" w:rsidR="00B3200D" w:rsidRPr="00A7082A" w:rsidRDefault="00B3200D" w:rsidP="003F3253">
            <w:pPr>
              <w:keepNext/>
              <w:keepLines/>
              <w:numPr>
                <w:ilvl w:val="0"/>
                <w:numId w:val="54"/>
              </w:numPr>
              <w:rPr>
                <w:sz w:val="18"/>
                <w:szCs w:val="18"/>
              </w:rPr>
            </w:pPr>
            <w:r w:rsidRPr="00A7082A">
              <w:rPr>
                <w:sz w:val="18"/>
                <w:szCs w:val="18"/>
              </w:rPr>
              <w:t>Received SIP resources</w:t>
            </w:r>
          </w:p>
          <w:p w14:paraId="052E2029" w14:textId="77777777" w:rsidR="00B3200D" w:rsidRPr="00A7082A" w:rsidRDefault="00B3200D" w:rsidP="003F3253">
            <w:pPr>
              <w:keepNext/>
              <w:keepLines/>
              <w:numPr>
                <w:ilvl w:val="0"/>
                <w:numId w:val="55"/>
              </w:numPr>
              <w:rPr>
                <w:sz w:val="18"/>
                <w:szCs w:val="18"/>
              </w:rPr>
            </w:pPr>
            <w:r w:rsidRPr="00A7082A">
              <w:rPr>
                <w:sz w:val="18"/>
                <w:szCs w:val="18"/>
              </w:rPr>
              <w:t>Mobilized national resources for implementing the Convention within the reporting period</w:t>
            </w:r>
          </w:p>
        </w:tc>
        <w:tc>
          <w:tcPr>
            <w:tcW w:w="1963" w:type="dxa"/>
            <w:tcBorders>
              <w:top w:val="single" w:sz="4" w:space="0" w:color="auto"/>
            </w:tcBorders>
            <w:shd w:val="clear" w:color="auto" w:fill="auto"/>
            <w:tcMar>
              <w:top w:w="80" w:type="dxa"/>
              <w:left w:w="80" w:type="dxa"/>
              <w:bottom w:w="80" w:type="dxa"/>
              <w:right w:w="80" w:type="dxa"/>
            </w:tcMar>
          </w:tcPr>
          <w:p w14:paraId="559473E0" w14:textId="77777777" w:rsidR="00B3200D" w:rsidRPr="00A7082A" w:rsidRDefault="00B3200D" w:rsidP="003F3253">
            <w:pPr>
              <w:keepNext/>
              <w:keepLines/>
              <w:tabs>
                <w:tab w:val="left" w:pos="1163"/>
              </w:tabs>
              <w:rPr>
                <w:sz w:val="18"/>
                <w:szCs w:val="18"/>
              </w:rPr>
            </w:pPr>
            <w:r w:rsidRPr="00A7082A">
              <w:rPr>
                <w:sz w:val="18"/>
                <w:szCs w:val="18"/>
              </w:rPr>
              <w:t>- Article 21 reporting</w:t>
            </w:r>
          </w:p>
        </w:tc>
        <w:tc>
          <w:tcPr>
            <w:tcW w:w="1758" w:type="dxa"/>
            <w:tcBorders>
              <w:top w:val="single" w:sz="4" w:space="0" w:color="auto"/>
            </w:tcBorders>
            <w:shd w:val="clear" w:color="auto" w:fill="auto"/>
            <w:tcMar>
              <w:top w:w="80" w:type="dxa"/>
              <w:left w:w="80" w:type="dxa"/>
              <w:bottom w:w="80" w:type="dxa"/>
              <w:right w:w="80" w:type="dxa"/>
            </w:tcMar>
          </w:tcPr>
          <w:p w14:paraId="3B2E2DF2" w14:textId="77777777" w:rsidR="00B3200D" w:rsidRPr="00A7082A" w:rsidRDefault="00B3200D" w:rsidP="003F3253">
            <w:pPr>
              <w:keepNext/>
              <w:keepLines/>
              <w:tabs>
                <w:tab w:val="left" w:pos="1163"/>
              </w:tabs>
              <w:rPr>
                <w:sz w:val="18"/>
                <w:szCs w:val="18"/>
              </w:rPr>
            </w:pPr>
            <w:r w:rsidRPr="00A7082A">
              <w:rPr>
                <w:sz w:val="18"/>
                <w:szCs w:val="18"/>
              </w:rPr>
              <w:t>Number in the first evaluation</w:t>
            </w:r>
          </w:p>
        </w:tc>
      </w:tr>
      <w:tr w:rsidR="00B3200D" w:rsidRPr="00A7082A" w14:paraId="51BFB0EF" w14:textId="77777777" w:rsidTr="003F3253">
        <w:trPr>
          <w:trHeight w:val="57"/>
          <w:jc w:val="right"/>
        </w:trPr>
        <w:tc>
          <w:tcPr>
            <w:tcW w:w="2032" w:type="dxa"/>
            <w:shd w:val="clear" w:color="auto" w:fill="auto"/>
            <w:tcMar>
              <w:top w:w="80" w:type="dxa"/>
              <w:left w:w="80" w:type="dxa"/>
              <w:bottom w:w="80" w:type="dxa"/>
              <w:right w:w="80" w:type="dxa"/>
            </w:tcMar>
          </w:tcPr>
          <w:p w14:paraId="6488014A" w14:textId="77777777" w:rsidR="00B3200D" w:rsidRPr="00A7082A" w:rsidRDefault="00B3200D" w:rsidP="003F3253">
            <w:pPr>
              <w:rPr>
                <w:sz w:val="18"/>
                <w:szCs w:val="18"/>
              </w:rPr>
            </w:pPr>
            <w:r w:rsidRPr="00A7082A">
              <w:rPr>
                <w:sz w:val="18"/>
                <w:szCs w:val="18"/>
              </w:rPr>
              <w:t>E2. Process indicator for article 13</w:t>
            </w:r>
          </w:p>
        </w:tc>
        <w:tc>
          <w:tcPr>
            <w:tcW w:w="3597" w:type="dxa"/>
            <w:shd w:val="clear" w:color="auto" w:fill="auto"/>
            <w:tcMar>
              <w:top w:w="80" w:type="dxa"/>
              <w:left w:w="80" w:type="dxa"/>
              <w:bottom w:w="80" w:type="dxa"/>
              <w:right w:w="80" w:type="dxa"/>
            </w:tcMar>
          </w:tcPr>
          <w:p w14:paraId="50A6531E" w14:textId="77777777" w:rsidR="00B3200D" w:rsidRPr="00A7082A" w:rsidRDefault="00B3200D" w:rsidP="003F3253">
            <w:pPr>
              <w:tabs>
                <w:tab w:val="left" w:pos="1163"/>
              </w:tabs>
              <w:rPr>
                <w:sz w:val="18"/>
                <w:szCs w:val="18"/>
              </w:rPr>
            </w:pPr>
            <w:r w:rsidRPr="00A7082A">
              <w:rPr>
                <w:sz w:val="18"/>
                <w:szCs w:val="18"/>
              </w:rPr>
              <w:t xml:space="preserve">Amount of resources provided by: </w:t>
            </w:r>
          </w:p>
          <w:p w14:paraId="17CF7A92" w14:textId="77777777" w:rsidR="00B3200D" w:rsidRPr="00A7082A" w:rsidRDefault="00B3200D" w:rsidP="003F3253">
            <w:pPr>
              <w:numPr>
                <w:ilvl w:val="0"/>
                <w:numId w:val="56"/>
              </w:numPr>
              <w:rPr>
                <w:sz w:val="18"/>
                <w:szCs w:val="18"/>
              </w:rPr>
            </w:pPr>
            <w:r w:rsidRPr="00A7082A">
              <w:rPr>
                <w:sz w:val="18"/>
                <w:szCs w:val="18"/>
              </w:rPr>
              <w:t>Global Environment Facility</w:t>
            </w:r>
          </w:p>
          <w:p w14:paraId="0D9DF042" w14:textId="77777777" w:rsidR="00B3200D" w:rsidRPr="00A7082A" w:rsidRDefault="00B3200D" w:rsidP="003F3253">
            <w:pPr>
              <w:numPr>
                <w:ilvl w:val="0"/>
                <w:numId w:val="56"/>
              </w:numPr>
              <w:rPr>
                <w:sz w:val="18"/>
                <w:szCs w:val="18"/>
              </w:rPr>
            </w:pPr>
            <w:r w:rsidRPr="00A7082A">
              <w:rPr>
                <w:sz w:val="18"/>
                <w:szCs w:val="18"/>
              </w:rPr>
              <w:t>SIP</w:t>
            </w:r>
          </w:p>
          <w:p w14:paraId="7F16D6CF" w14:textId="77777777" w:rsidR="00B3200D" w:rsidRPr="00A7082A" w:rsidRDefault="00B3200D" w:rsidP="003F3253">
            <w:pPr>
              <w:numPr>
                <w:ilvl w:val="0"/>
                <w:numId w:val="56"/>
              </w:numPr>
              <w:rPr>
                <w:sz w:val="18"/>
                <w:szCs w:val="18"/>
              </w:rPr>
            </w:pPr>
            <w:r w:rsidRPr="00A7082A">
              <w:rPr>
                <w:sz w:val="18"/>
                <w:szCs w:val="18"/>
              </w:rPr>
              <w:t>Bilateral support within the reporting period</w:t>
            </w:r>
          </w:p>
        </w:tc>
        <w:tc>
          <w:tcPr>
            <w:tcW w:w="1963" w:type="dxa"/>
            <w:shd w:val="clear" w:color="auto" w:fill="auto"/>
            <w:tcMar>
              <w:top w:w="80" w:type="dxa"/>
              <w:left w:w="80" w:type="dxa"/>
              <w:bottom w:w="80" w:type="dxa"/>
              <w:right w:w="80" w:type="dxa"/>
            </w:tcMar>
          </w:tcPr>
          <w:p w14:paraId="2A3BC44D" w14:textId="77777777" w:rsidR="00B3200D" w:rsidRPr="00A7082A" w:rsidRDefault="00B3200D" w:rsidP="003F3253">
            <w:pPr>
              <w:tabs>
                <w:tab w:val="left" w:pos="1163"/>
              </w:tabs>
              <w:rPr>
                <w:sz w:val="18"/>
                <w:szCs w:val="18"/>
              </w:rPr>
            </w:pPr>
            <w:r w:rsidRPr="00A7082A">
              <w:rPr>
                <w:sz w:val="18"/>
                <w:szCs w:val="18"/>
              </w:rPr>
              <w:t>- Article 21 reporting</w:t>
            </w:r>
          </w:p>
          <w:p w14:paraId="51E6969D" w14:textId="77777777" w:rsidR="00B3200D" w:rsidRPr="00A7082A" w:rsidRDefault="00B3200D" w:rsidP="003F3253">
            <w:pPr>
              <w:tabs>
                <w:tab w:val="left" w:pos="1163"/>
              </w:tabs>
              <w:rPr>
                <w:sz w:val="18"/>
                <w:szCs w:val="18"/>
              </w:rPr>
            </w:pPr>
            <w:r w:rsidRPr="00A7082A">
              <w:rPr>
                <w:sz w:val="18"/>
                <w:szCs w:val="18"/>
              </w:rPr>
              <w:t>- Other public sources</w:t>
            </w:r>
          </w:p>
        </w:tc>
        <w:tc>
          <w:tcPr>
            <w:tcW w:w="1758" w:type="dxa"/>
            <w:shd w:val="clear" w:color="auto" w:fill="auto"/>
            <w:tcMar>
              <w:top w:w="80" w:type="dxa"/>
              <w:left w:w="80" w:type="dxa"/>
              <w:bottom w:w="80" w:type="dxa"/>
              <w:right w:w="80" w:type="dxa"/>
            </w:tcMar>
          </w:tcPr>
          <w:p w14:paraId="162CDA4E" w14:textId="77777777" w:rsidR="00B3200D" w:rsidRPr="00A7082A" w:rsidRDefault="00B3200D" w:rsidP="003F3253">
            <w:pPr>
              <w:tabs>
                <w:tab w:val="left" w:pos="1163"/>
              </w:tabs>
              <w:rPr>
                <w:sz w:val="18"/>
                <w:szCs w:val="18"/>
              </w:rPr>
            </w:pPr>
            <w:r w:rsidRPr="00A7082A">
              <w:rPr>
                <w:sz w:val="18"/>
                <w:szCs w:val="18"/>
              </w:rPr>
              <w:t>Amount in the first evaluation</w:t>
            </w:r>
          </w:p>
        </w:tc>
      </w:tr>
      <w:tr w:rsidR="00B3200D" w:rsidRPr="00A7082A" w14:paraId="41B902B3" w14:textId="77777777" w:rsidTr="003F3253">
        <w:trPr>
          <w:trHeight w:val="57"/>
          <w:jc w:val="right"/>
        </w:trPr>
        <w:tc>
          <w:tcPr>
            <w:tcW w:w="2032" w:type="dxa"/>
            <w:tcBorders>
              <w:bottom w:val="single" w:sz="4" w:space="0" w:color="000000" w:themeColor="text1"/>
            </w:tcBorders>
            <w:shd w:val="clear" w:color="auto" w:fill="auto"/>
            <w:tcMar>
              <w:top w:w="80" w:type="dxa"/>
              <w:left w:w="80" w:type="dxa"/>
              <w:bottom w:w="80" w:type="dxa"/>
              <w:right w:w="80" w:type="dxa"/>
            </w:tcMar>
          </w:tcPr>
          <w:p w14:paraId="41F3AF6B" w14:textId="77777777" w:rsidR="00B3200D" w:rsidRPr="00A7082A" w:rsidRDefault="00B3200D" w:rsidP="003F3253">
            <w:pPr>
              <w:tabs>
                <w:tab w:val="left" w:pos="1163"/>
              </w:tabs>
              <w:rPr>
                <w:sz w:val="18"/>
                <w:szCs w:val="18"/>
              </w:rPr>
            </w:pPr>
            <w:r w:rsidRPr="00A7082A">
              <w:rPr>
                <w:sz w:val="18"/>
                <w:szCs w:val="18"/>
              </w:rPr>
              <w:t>E3. Additional process indicator for article 13</w:t>
            </w:r>
          </w:p>
        </w:tc>
        <w:tc>
          <w:tcPr>
            <w:tcW w:w="3597" w:type="dxa"/>
            <w:tcBorders>
              <w:bottom w:val="single" w:sz="4" w:space="0" w:color="000000" w:themeColor="text1"/>
            </w:tcBorders>
            <w:shd w:val="clear" w:color="auto" w:fill="auto"/>
            <w:tcMar>
              <w:top w:w="80" w:type="dxa"/>
              <w:left w:w="80" w:type="dxa"/>
              <w:bottom w:w="80" w:type="dxa"/>
              <w:right w:w="80" w:type="dxa"/>
            </w:tcMar>
          </w:tcPr>
          <w:p w14:paraId="3C9D799B" w14:textId="77777777" w:rsidR="00B3200D" w:rsidRPr="00A7082A" w:rsidRDefault="00B3200D" w:rsidP="003F3253">
            <w:pPr>
              <w:rPr>
                <w:sz w:val="18"/>
                <w:szCs w:val="18"/>
              </w:rPr>
            </w:pPr>
            <w:r w:rsidRPr="00A7082A">
              <w:rPr>
                <w:sz w:val="18"/>
                <w:szCs w:val="18"/>
              </w:rPr>
              <w:t>Number of recommendations from the financial review reflected in the Global Environment Facility/SIP policy documents</w:t>
            </w:r>
          </w:p>
        </w:tc>
        <w:tc>
          <w:tcPr>
            <w:tcW w:w="1963" w:type="dxa"/>
            <w:tcBorders>
              <w:bottom w:val="single" w:sz="4" w:space="0" w:color="000000" w:themeColor="text1"/>
            </w:tcBorders>
            <w:shd w:val="clear" w:color="auto" w:fill="auto"/>
            <w:tcMar>
              <w:top w:w="80" w:type="dxa"/>
              <w:left w:w="80" w:type="dxa"/>
              <w:bottom w:w="80" w:type="dxa"/>
              <w:right w:w="80" w:type="dxa"/>
            </w:tcMar>
          </w:tcPr>
          <w:p w14:paraId="004F1211" w14:textId="77777777" w:rsidR="00B3200D" w:rsidRPr="00A7082A" w:rsidRDefault="00B3200D" w:rsidP="003F3253">
            <w:pPr>
              <w:rPr>
                <w:sz w:val="18"/>
                <w:szCs w:val="18"/>
              </w:rPr>
            </w:pPr>
            <w:r w:rsidRPr="00A7082A">
              <w:rPr>
                <w:sz w:val="18"/>
                <w:szCs w:val="18"/>
              </w:rPr>
              <w:t>- Information from policy documents</w:t>
            </w:r>
          </w:p>
        </w:tc>
        <w:tc>
          <w:tcPr>
            <w:tcW w:w="1758" w:type="dxa"/>
            <w:tcBorders>
              <w:bottom w:val="single" w:sz="4" w:space="0" w:color="000000" w:themeColor="text1"/>
            </w:tcBorders>
            <w:shd w:val="clear" w:color="auto" w:fill="auto"/>
            <w:tcMar>
              <w:top w:w="80" w:type="dxa"/>
              <w:left w:w="80" w:type="dxa"/>
              <w:bottom w:w="80" w:type="dxa"/>
              <w:right w:w="80" w:type="dxa"/>
            </w:tcMar>
          </w:tcPr>
          <w:p w14:paraId="7474D915" w14:textId="77777777" w:rsidR="00B3200D" w:rsidRPr="00A7082A" w:rsidRDefault="00B3200D" w:rsidP="003F3253">
            <w:pPr>
              <w:rPr>
                <w:sz w:val="18"/>
                <w:szCs w:val="18"/>
              </w:rPr>
            </w:pPr>
            <w:r w:rsidRPr="00A7082A">
              <w:rPr>
                <w:sz w:val="18"/>
                <w:szCs w:val="18"/>
              </w:rPr>
              <w:t>Zero</w:t>
            </w:r>
          </w:p>
        </w:tc>
      </w:tr>
      <w:tr w:rsidR="00B3200D" w:rsidRPr="00A7082A" w14:paraId="26B66427" w14:textId="77777777" w:rsidTr="003F3253">
        <w:trPr>
          <w:trHeight w:val="57"/>
          <w:jc w:val="right"/>
        </w:trPr>
        <w:tc>
          <w:tcPr>
            <w:tcW w:w="2032"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71A96FDB" w14:textId="77777777" w:rsidR="00B3200D" w:rsidRPr="00A7082A" w:rsidRDefault="00B3200D" w:rsidP="003F3253">
            <w:pPr>
              <w:keepNext/>
              <w:tabs>
                <w:tab w:val="left" w:pos="1163"/>
              </w:tabs>
              <w:rPr>
                <w:sz w:val="18"/>
                <w:szCs w:val="18"/>
              </w:rPr>
            </w:pPr>
            <w:r w:rsidRPr="00A7082A">
              <w:rPr>
                <w:b/>
                <w:bCs/>
                <w:sz w:val="18"/>
                <w:szCs w:val="18"/>
              </w:rPr>
              <w:t>Article 14</w:t>
            </w:r>
          </w:p>
        </w:tc>
        <w:tc>
          <w:tcPr>
            <w:tcW w:w="3597"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0C3514CE" w14:textId="77777777" w:rsidR="00B3200D" w:rsidRPr="00A7082A" w:rsidRDefault="00B3200D" w:rsidP="003F3253">
            <w:pPr>
              <w:rPr>
                <w:sz w:val="18"/>
                <w:szCs w:val="18"/>
              </w:rPr>
            </w:pPr>
          </w:p>
        </w:tc>
        <w:tc>
          <w:tcPr>
            <w:tcW w:w="1963"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6B6BDA35" w14:textId="77777777" w:rsidR="00B3200D" w:rsidRPr="00A7082A" w:rsidRDefault="00B3200D" w:rsidP="003F3253">
            <w:pPr>
              <w:rPr>
                <w:sz w:val="18"/>
                <w:szCs w:val="18"/>
              </w:rPr>
            </w:pPr>
          </w:p>
        </w:tc>
        <w:tc>
          <w:tcPr>
            <w:tcW w:w="1758"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239F0603" w14:textId="77777777" w:rsidR="00B3200D" w:rsidRPr="00A7082A" w:rsidRDefault="00B3200D" w:rsidP="003F3253">
            <w:pPr>
              <w:rPr>
                <w:sz w:val="18"/>
                <w:szCs w:val="18"/>
              </w:rPr>
            </w:pPr>
          </w:p>
        </w:tc>
      </w:tr>
      <w:tr w:rsidR="00B3200D" w:rsidRPr="00A7082A" w14:paraId="13C39D54" w14:textId="77777777" w:rsidTr="003F3253">
        <w:trPr>
          <w:trHeight w:val="57"/>
          <w:jc w:val="right"/>
        </w:trPr>
        <w:tc>
          <w:tcPr>
            <w:tcW w:w="2032" w:type="dxa"/>
            <w:tcBorders>
              <w:top w:val="single" w:sz="4" w:space="0" w:color="000000" w:themeColor="text1"/>
            </w:tcBorders>
            <w:shd w:val="clear" w:color="auto" w:fill="auto"/>
            <w:tcMar>
              <w:top w:w="80" w:type="dxa"/>
              <w:left w:w="80" w:type="dxa"/>
              <w:bottom w:w="80" w:type="dxa"/>
              <w:right w:w="80" w:type="dxa"/>
            </w:tcMar>
          </w:tcPr>
          <w:p w14:paraId="3E2CF573" w14:textId="77777777" w:rsidR="00B3200D" w:rsidRPr="00A7082A" w:rsidRDefault="00B3200D" w:rsidP="003F3253">
            <w:pPr>
              <w:tabs>
                <w:tab w:val="left" w:pos="1163"/>
              </w:tabs>
              <w:rPr>
                <w:sz w:val="18"/>
                <w:szCs w:val="18"/>
              </w:rPr>
            </w:pPr>
            <w:r w:rsidRPr="00A7082A">
              <w:rPr>
                <w:sz w:val="18"/>
                <w:szCs w:val="18"/>
              </w:rPr>
              <w:t>E4. Process indicator for article 14</w:t>
            </w:r>
          </w:p>
        </w:tc>
        <w:tc>
          <w:tcPr>
            <w:tcW w:w="3597" w:type="dxa"/>
            <w:tcBorders>
              <w:top w:val="single" w:sz="4" w:space="0" w:color="000000" w:themeColor="text1"/>
            </w:tcBorders>
            <w:shd w:val="clear" w:color="auto" w:fill="auto"/>
            <w:tcMar>
              <w:top w:w="80" w:type="dxa"/>
              <w:left w:w="80" w:type="dxa"/>
              <w:bottom w:w="80" w:type="dxa"/>
              <w:right w:w="80" w:type="dxa"/>
            </w:tcMar>
          </w:tcPr>
          <w:p w14:paraId="5DD108FA" w14:textId="77777777" w:rsidR="00B3200D" w:rsidRPr="00A7082A" w:rsidRDefault="00B3200D" w:rsidP="003F3253">
            <w:pPr>
              <w:tabs>
                <w:tab w:val="left" w:pos="1163"/>
              </w:tabs>
              <w:rPr>
                <w:sz w:val="18"/>
                <w:szCs w:val="18"/>
              </w:rPr>
            </w:pPr>
            <w:r w:rsidRPr="00A7082A">
              <w:rPr>
                <w:sz w:val="18"/>
                <w:szCs w:val="18"/>
              </w:rPr>
              <w:t>Number of parties that have:</w:t>
            </w:r>
          </w:p>
          <w:p w14:paraId="3752549C" w14:textId="77777777" w:rsidR="00B3200D" w:rsidRPr="00A7082A" w:rsidRDefault="00B3200D" w:rsidP="003F3253">
            <w:pPr>
              <w:numPr>
                <w:ilvl w:val="0"/>
                <w:numId w:val="57"/>
              </w:numPr>
              <w:rPr>
                <w:sz w:val="18"/>
                <w:szCs w:val="18"/>
              </w:rPr>
            </w:pPr>
            <w:r w:rsidRPr="00A7082A">
              <w:rPr>
                <w:sz w:val="18"/>
                <w:szCs w:val="18"/>
              </w:rPr>
              <w:t>Cooperated in providing capacity</w:t>
            </w:r>
            <w:r w:rsidRPr="00A7082A">
              <w:rPr>
                <w:sz w:val="18"/>
                <w:szCs w:val="18"/>
              </w:rPr>
              <w:noBreakHyphen/>
              <w:t>building and technical assistance to another party</w:t>
            </w:r>
          </w:p>
          <w:p w14:paraId="6C84ACD3" w14:textId="77777777" w:rsidR="00B3200D" w:rsidRPr="00A7082A" w:rsidRDefault="00B3200D" w:rsidP="003F3253">
            <w:pPr>
              <w:numPr>
                <w:ilvl w:val="0"/>
                <w:numId w:val="57"/>
              </w:numPr>
              <w:rPr>
                <w:sz w:val="18"/>
                <w:szCs w:val="18"/>
              </w:rPr>
            </w:pPr>
            <w:r w:rsidRPr="00A7082A">
              <w:rPr>
                <w:sz w:val="18"/>
                <w:szCs w:val="18"/>
              </w:rPr>
              <w:t>Requested technical assistance</w:t>
            </w:r>
          </w:p>
          <w:p w14:paraId="38E717C9" w14:textId="77777777" w:rsidR="00B3200D" w:rsidRPr="00A7082A" w:rsidRDefault="00B3200D" w:rsidP="003F3253">
            <w:pPr>
              <w:numPr>
                <w:ilvl w:val="0"/>
                <w:numId w:val="57"/>
              </w:numPr>
              <w:rPr>
                <w:sz w:val="18"/>
                <w:szCs w:val="18"/>
              </w:rPr>
            </w:pPr>
            <w:r w:rsidRPr="00A7082A">
              <w:rPr>
                <w:sz w:val="18"/>
                <w:szCs w:val="18"/>
              </w:rPr>
              <w:t>Received capacity</w:t>
            </w:r>
            <w:r w:rsidRPr="00A7082A">
              <w:rPr>
                <w:sz w:val="18"/>
                <w:szCs w:val="18"/>
              </w:rPr>
              <w:noBreakHyphen/>
              <w:t>building or technical assistance</w:t>
            </w:r>
          </w:p>
          <w:p w14:paraId="14883AB0" w14:textId="77777777" w:rsidR="00B3200D" w:rsidRPr="00A7082A" w:rsidRDefault="00B3200D" w:rsidP="003F3253">
            <w:pPr>
              <w:numPr>
                <w:ilvl w:val="0"/>
                <w:numId w:val="57"/>
              </w:numPr>
              <w:rPr>
                <w:sz w:val="18"/>
                <w:szCs w:val="18"/>
              </w:rPr>
            </w:pPr>
            <w:r w:rsidRPr="00A7082A">
              <w:rPr>
                <w:sz w:val="18"/>
                <w:szCs w:val="18"/>
              </w:rPr>
              <w:t xml:space="preserve">Promoted or facilitated technology transfer </w:t>
            </w:r>
          </w:p>
        </w:tc>
        <w:tc>
          <w:tcPr>
            <w:tcW w:w="1963" w:type="dxa"/>
            <w:tcBorders>
              <w:top w:val="single" w:sz="4" w:space="0" w:color="000000" w:themeColor="text1"/>
            </w:tcBorders>
            <w:shd w:val="clear" w:color="auto" w:fill="auto"/>
            <w:tcMar>
              <w:top w:w="80" w:type="dxa"/>
              <w:left w:w="80" w:type="dxa"/>
              <w:bottom w:w="80" w:type="dxa"/>
              <w:right w:w="80" w:type="dxa"/>
            </w:tcMar>
          </w:tcPr>
          <w:p w14:paraId="49401C0C" w14:textId="77777777" w:rsidR="00B3200D" w:rsidRPr="00A7082A" w:rsidRDefault="00B3200D" w:rsidP="003F3253">
            <w:pPr>
              <w:tabs>
                <w:tab w:val="left" w:pos="1163"/>
              </w:tabs>
              <w:rPr>
                <w:sz w:val="18"/>
                <w:szCs w:val="18"/>
              </w:rPr>
            </w:pPr>
            <w:r w:rsidRPr="00A7082A">
              <w:rPr>
                <w:sz w:val="18"/>
                <w:szCs w:val="18"/>
              </w:rPr>
              <w:t>- Article 21 reporting</w:t>
            </w:r>
          </w:p>
          <w:p w14:paraId="3B80D559" w14:textId="77777777" w:rsidR="00B3200D" w:rsidRPr="00A7082A" w:rsidRDefault="00B3200D" w:rsidP="003F3253">
            <w:pPr>
              <w:tabs>
                <w:tab w:val="left" w:pos="1163"/>
              </w:tabs>
              <w:rPr>
                <w:sz w:val="18"/>
                <w:szCs w:val="18"/>
              </w:rPr>
            </w:pPr>
            <w:r w:rsidRPr="00A7082A">
              <w:rPr>
                <w:sz w:val="18"/>
                <w:szCs w:val="18"/>
              </w:rPr>
              <w:t>- Other public sources</w:t>
            </w:r>
          </w:p>
        </w:tc>
        <w:tc>
          <w:tcPr>
            <w:tcW w:w="1758" w:type="dxa"/>
            <w:tcBorders>
              <w:top w:val="single" w:sz="4" w:space="0" w:color="000000" w:themeColor="text1"/>
            </w:tcBorders>
            <w:shd w:val="clear" w:color="auto" w:fill="auto"/>
            <w:tcMar>
              <w:top w:w="80" w:type="dxa"/>
              <w:left w:w="80" w:type="dxa"/>
              <w:bottom w:w="80" w:type="dxa"/>
              <w:right w:w="80" w:type="dxa"/>
            </w:tcMar>
          </w:tcPr>
          <w:p w14:paraId="58857AC4" w14:textId="77777777" w:rsidR="00B3200D" w:rsidRPr="00A7082A" w:rsidRDefault="00B3200D" w:rsidP="003F3253">
            <w:pPr>
              <w:tabs>
                <w:tab w:val="left" w:pos="1163"/>
              </w:tabs>
              <w:rPr>
                <w:sz w:val="18"/>
                <w:szCs w:val="18"/>
              </w:rPr>
            </w:pPr>
            <w:r w:rsidRPr="00A7082A">
              <w:rPr>
                <w:sz w:val="18"/>
                <w:szCs w:val="18"/>
              </w:rPr>
              <w:t>Number in the first evaluation</w:t>
            </w:r>
          </w:p>
        </w:tc>
      </w:tr>
      <w:tr w:rsidR="00B3200D" w:rsidRPr="00A7082A" w14:paraId="301785B7" w14:textId="77777777" w:rsidTr="003F3253">
        <w:trPr>
          <w:trHeight w:val="57"/>
          <w:jc w:val="right"/>
        </w:trPr>
        <w:tc>
          <w:tcPr>
            <w:tcW w:w="2032" w:type="dxa"/>
            <w:tcBorders>
              <w:bottom w:val="single" w:sz="12" w:space="0" w:color="000000" w:themeColor="text1"/>
            </w:tcBorders>
            <w:shd w:val="clear" w:color="auto" w:fill="auto"/>
            <w:tcMar>
              <w:top w:w="80" w:type="dxa"/>
              <w:left w:w="80" w:type="dxa"/>
              <w:bottom w:w="80" w:type="dxa"/>
              <w:right w:w="80" w:type="dxa"/>
            </w:tcMar>
          </w:tcPr>
          <w:p w14:paraId="5277571D" w14:textId="77777777" w:rsidR="00B3200D" w:rsidRPr="00A7082A" w:rsidRDefault="00B3200D" w:rsidP="003F3253">
            <w:pPr>
              <w:rPr>
                <w:sz w:val="18"/>
                <w:szCs w:val="18"/>
              </w:rPr>
            </w:pPr>
            <w:r w:rsidRPr="00A7082A">
              <w:rPr>
                <w:b/>
                <w:bCs/>
                <w:sz w:val="18"/>
                <w:szCs w:val="18"/>
              </w:rPr>
              <w:t>Notes</w:t>
            </w:r>
          </w:p>
        </w:tc>
        <w:tc>
          <w:tcPr>
            <w:tcW w:w="7318" w:type="dxa"/>
            <w:gridSpan w:val="3"/>
            <w:tcBorders>
              <w:bottom w:val="single" w:sz="12" w:space="0" w:color="000000" w:themeColor="text1"/>
            </w:tcBorders>
            <w:shd w:val="clear" w:color="auto" w:fill="auto"/>
            <w:tcMar>
              <w:top w:w="80" w:type="dxa"/>
              <w:left w:w="80" w:type="dxa"/>
              <w:bottom w:w="80" w:type="dxa"/>
              <w:right w:w="80" w:type="dxa"/>
            </w:tcMar>
          </w:tcPr>
          <w:p w14:paraId="4755C4D5" w14:textId="77777777" w:rsidR="00B3200D" w:rsidRPr="00A7082A" w:rsidRDefault="00B3200D" w:rsidP="003F3253">
            <w:pPr>
              <w:numPr>
                <w:ilvl w:val="0"/>
                <w:numId w:val="58"/>
              </w:numPr>
              <w:rPr>
                <w:sz w:val="18"/>
                <w:szCs w:val="18"/>
              </w:rPr>
            </w:pPr>
            <w:r w:rsidRPr="00A7082A">
              <w:rPr>
                <w:sz w:val="18"/>
                <w:szCs w:val="18"/>
              </w:rPr>
              <w:t xml:space="preserve">The cycle of review of the financial mechanism may well not align with the effectiveness evaluation cycle. </w:t>
            </w:r>
          </w:p>
          <w:p w14:paraId="406CFC4A" w14:textId="77777777" w:rsidR="00B3200D" w:rsidRPr="00A7082A" w:rsidRDefault="00B3200D" w:rsidP="003F3253">
            <w:pPr>
              <w:numPr>
                <w:ilvl w:val="0"/>
                <w:numId w:val="58"/>
              </w:numPr>
              <w:rPr>
                <w:sz w:val="18"/>
                <w:szCs w:val="18"/>
              </w:rPr>
            </w:pPr>
            <w:r w:rsidRPr="00A7082A">
              <w:rPr>
                <w:sz w:val="18"/>
                <w:szCs w:val="18"/>
              </w:rPr>
              <w:t xml:space="preserve">As the reporting format does not request dollar values for resources provided, other public sources may need to be consulted. </w:t>
            </w:r>
          </w:p>
        </w:tc>
      </w:tr>
    </w:tbl>
    <w:p w14:paraId="1171875D" w14:textId="77777777" w:rsidR="00B3200D" w:rsidRPr="00A7082A" w:rsidRDefault="00B3200D" w:rsidP="00B3200D">
      <w:pPr>
        <w:widowControl w:val="0"/>
        <w:jc w:val="right"/>
        <w:rPr>
          <w:sz w:val="12"/>
          <w:szCs w:val="12"/>
        </w:rPr>
      </w:pPr>
    </w:p>
    <w:p w14:paraId="4B62B202" w14:textId="77777777" w:rsidR="00B3200D" w:rsidRPr="00A7082A" w:rsidRDefault="00B3200D" w:rsidP="00B3200D">
      <w:pPr>
        <w:rPr>
          <w:sz w:val="12"/>
          <w:szCs w:val="12"/>
        </w:rPr>
      </w:pPr>
    </w:p>
    <w:tbl>
      <w:tblPr>
        <w:tblW w:w="8307" w:type="dxa"/>
        <w:jc w:val="right"/>
        <w:tblLayout w:type="fixed"/>
        <w:tblLook w:val="04A0" w:firstRow="1" w:lastRow="0" w:firstColumn="1" w:lastColumn="0" w:noHBand="0" w:noVBand="1"/>
      </w:tblPr>
      <w:tblGrid>
        <w:gridCol w:w="1768"/>
        <w:gridCol w:w="3204"/>
        <w:gridCol w:w="1740"/>
        <w:gridCol w:w="1595"/>
      </w:tblGrid>
      <w:tr w:rsidR="00B3200D" w:rsidRPr="00A7082A" w14:paraId="5D4B98D8" w14:textId="77777777" w:rsidTr="003F3253">
        <w:trPr>
          <w:trHeight w:val="57"/>
          <w:jc w:val="right"/>
        </w:trPr>
        <w:tc>
          <w:tcPr>
            <w:tcW w:w="5606" w:type="dxa"/>
            <w:gridSpan w:val="2"/>
            <w:tcBorders>
              <w:top w:val="single" w:sz="4" w:space="0" w:color="000000" w:themeColor="text1"/>
              <w:bottom w:val="single" w:sz="12" w:space="0" w:color="000000" w:themeColor="text1"/>
            </w:tcBorders>
            <w:shd w:val="clear" w:color="auto" w:fill="auto"/>
            <w:tcMar>
              <w:top w:w="80" w:type="dxa"/>
              <w:left w:w="80" w:type="dxa"/>
              <w:bottom w:w="80" w:type="dxa"/>
              <w:right w:w="80" w:type="dxa"/>
            </w:tcMar>
          </w:tcPr>
          <w:p w14:paraId="2453CB8C" w14:textId="77777777" w:rsidR="00B3200D" w:rsidRPr="00A7082A" w:rsidRDefault="00B3200D" w:rsidP="003F3253">
            <w:pPr>
              <w:rPr>
                <w:i/>
              </w:rPr>
            </w:pPr>
            <w:r w:rsidRPr="00A7082A">
              <w:rPr>
                <w:bCs/>
                <w:i/>
                <w:sz w:val="18"/>
                <w:szCs w:val="18"/>
              </w:rPr>
              <w:t>F: Article 15 (Implementation and Compliance Committee)</w:t>
            </w:r>
          </w:p>
        </w:tc>
        <w:tc>
          <w:tcPr>
            <w:tcW w:w="1955" w:type="dxa"/>
            <w:tcBorders>
              <w:top w:val="single" w:sz="4" w:space="0" w:color="000000" w:themeColor="text1"/>
              <w:bottom w:val="single" w:sz="12" w:space="0" w:color="000000" w:themeColor="text1"/>
            </w:tcBorders>
            <w:shd w:val="clear" w:color="auto" w:fill="auto"/>
            <w:tcMar>
              <w:top w:w="80" w:type="dxa"/>
              <w:left w:w="80" w:type="dxa"/>
              <w:bottom w:w="80" w:type="dxa"/>
              <w:right w:w="80" w:type="dxa"/>
            </w:tcMar>
          </w:tcPr>
          <w:p w14:paraId="3DB48503" w14:textId="77777777" w:rsidR="00B3200D" w:rsidRPr="00A7082A" w:rsidRDefault="00B3200D" w:rsidP="003F3253">
            <w:pPr>
              <w:rPr>
                <w:i/>
              </w:rPr>
            </w:pPr>
            <w:r w:rsidRPr="00A7082A">
              <w:rPr>
                <w:bCs/>
                <w:i/>
                <w:sz w:val="18"/>
                <w:szCs w:val="18"/>
              </w:rPr>
              <w:t>Source of information on the indicator</w:t>
            </w:r>
          </w:p>
        </w:tc>
        <w:tc>
          <w:tcPr>
            <w:tcW w:w="1789" w:type="dxa"/>
            <w:tcBorders>
              <w:top w:val="single" w:sz="4" w:space="0" w:color="000000" w:themeColor="text1"/>
              <w:bottom w:val="single" w:sz="12" w:space="0" w:color="000000" w:themeColor="text1"/>
            </w:tcBorders>
            <w:shd w:val="clear" w:color="auto" w:fill="auto"/>
            <w:tcMar>
              <w:top w:w="80" w:type="dxa"/>
              <w:left w:w="80" w:type="dxa"/>
              <w:bottom w:w="80" w:type="dxa"/>
              <w:right w:w="80" w:type="dxa"/>
            </w:tcMar>
          </w:tcPr>
          <w:p w14:paraId="515FA50C" w14:textId="77777777" w:rsidR="00B3200D" w:rsidRPr="00A7082A" w:rsidRDefault="00B3200D" w:rsidP="003F3253">
            <w:pPr>
              <w:rPr>
                <w:i/>
              </w:rPr>
            </w:pPr>
            <w:r w:rsidRPr="00A7082A">
              <w:rPr>
                <w:bCs/>
                <w:i/>
                <w:sz w:val="18"/>
                <w:szCs w:val="18"/>
              </w:rPr>
              <w:t>Baseline for the indicator</w:t>
            </w:r>
          </w:p>
        </w:tc>
      </w:tr>
      <w:tr w:rsidR="00B3200D" w:rsidRPr="00A7082A" w14:paraId="2FD4232A" w14:textId="77777777" w:rsidTr="003F3253">
        <w:trPr>
          <w:trHeight w:val="57"/>
          <w:jc w:val="right"/>
        </w:trPr>
        <w:tc>
          <w:tcPr>
            <w:tcW w:w="1986" w:type="dxa"/>
            <w:tcBorders>
              <w:top w:val="single" w:sz="12" w:space="0" w:color="000000" w:themeColor="text1"/>
              <w:bottom w:val="single" w:sz="4" w:space="0" w:color="000000" w:themeColor="text1"/>
            </w:tcBorders>
            <w:shd w:val="clear" w:color="auto" w:fill="auto"/>
            <w:tcMar>
              <w:top w:w="80" w:type="dxa"/>
              <w:left w:w="80" w:type="dxa"/>
              <w:bottom w:w="80" w:type="dxa"/>
              <w:right w:w="80" w:type="dxa"/>
            </w:tcMar>
          </w:tcPr>
          <w:p w14:paraId="38338E5B" w14:textId="77777777" w:rsidR="00B3200D" w:rsidRPr="00A7082A" w:rsidRDefault="00B3200D" w:rsidP="003F3253">
            <w:r w:rsidRPr="00A7082A">
              <w:rPr>
                <w:sz w:val="18"/>
                <w:szCs w:val="18"/>
              </w:rPr>
              <w:lastRenderedPageBreak/>
              <w:t>F1. Process indicator</w:t>
            </w:r>
          </w:p>
        </w:tc>
        <w:tc>
          <w:tcPr>
            <w:tcW w:w="3620" w:type="dxa"/>
            <w:tcBorders>
              <w:top w:val="single" w:sz="12" w:space="0" w:color="000000" w:themeColor="text1"/>
              <w:bottom w:val="single" w:sz="4" w:space="0" w:color="000000" w:themeColor="text1"/>
            </w:tcBorders>
            <w:shd w:val="clear" w:color="auto" w:fill="auto"/>
            <w:tcMar>
              <w:top w:w="80" w:type="dxa"/>
              <w:left w:w="80" w:type="dxa"/>
              <w:bottom w:w="80" w:type="dxa"/>
              <w:right w:w="80" w:type="dxa"/>
            </w:tcMar>
          </w:tcPr>
          <w:p w14:paraId="2CE90483" w14:textId="77777777" w:rsidR="00B3200D" w:rsidRPr="00A7082A" w:rsidRDefault="00B3200D" w:rsidP="003F3253">
            <w:r w:rsidRPr="00A7082A">
              <w:rPr>
                <w:sz w:val="18"/>
                <w:szCs w:val="18"/>
              </w:rPr>
              <w:t>Proportion of issues that the Implementation and Compliance Committee was able to resolve, including indications of systemic issues, if any</w:t>
            </w:r>
          </w:p>
        </w:tc>
        <w:tc>
          <w:tcPr>
            <w:tcW w:w="1955" w:type="dxa"/>
            <w:tcBorders>
              <w:top w:val="single" w:sz="12" w:space="0" w:color="000000" w:themeColor="text1"/>
              <w:bottom w:val="single" w:sz="4" w:space="0" w:color="000000" w:themeColor="text1"/>
            </w:tcBorders>
            <w:shd w:val="clear" w:color="auto" w:fill="auto"/>
            <w:tcMar>
              <w:top w:w="80" w:type="dxa"/>
              <w:left w:w="80" w:type="dxa"/>
              <w:bottom w:w="80" w:type="dxa"/>
              <w:right w:w="80" w:type="dxa"/>
            </w:tcMar>
          </w:tcPr>
          <w:p w14:paraId="025EEC10" w14:textId="77777777" w:rsidR="00B3200D" w:rsidRPr="00A7082A" w:rsidRDefault="00B3200D" w:rsidP="003F3253">
            <w:r w:rsidRPr="00A7082A">
              <w:rPr>
                <w:sz w:val="18"/>
                <w:szCs w:val="18"/>
              </w:rPr>
              <w:t>- Implementation and Compliance Committee report, as referred to in article 21</w:t>
            </w:r>
          </w:p>
        </w:tc>
        <w:tc>
          <w:tcPr>
            <w:tcW w:w="1789" w:type="dxa"/>
            <w:tcBorders>
              <w:top w:val="single" w:sz="12" w:space="0" w:color="000000" w:themeColor="text1"/>
              <w:bottom w:val="single" w:sz="4" w:space="0" w:color="000000" w:themeColor="text1"/>
            </w:tcBorders>
            <w:shd w:val="clear" w:color="auto" w:fill="auto"/>
            <w:tcMar>
              <w:top w:w="80" w:type="dxa"/>
              <w:left w:w="80" w:type="dxa"/>
              <w:bottom w:w="80" w:type="dxa"/>
              <w:right w:w="80" w:type="dxa"/>
            </w:tcMar>
          </w:tcPr>
          <w:p w14:paraId="0E92C675" w14:textId="77777777" w:rsidR="00B3200D" w:rsidRPr="00A7082A" w:rsidRDefault="00B3200D" w:rsidP="003F3253">
            <w:r w:rsidRPr="00A7082A">
              <w:rPr>
                <w:sz w:val="18"/>
                <w:szCs w:val="18"/>
              </w:rPr>
              <w:t>Percentage in the first evaluation</w:t>
            </w:r>
          </w:p>
        </w:tc>
      </w:tr>
      <w:tr w:rsidR="00B3200D" w:rsidRPr="00A7082A" w14:paraId="764F9F8E" w14:textId="77777777" w:rsidTr="003F3253">
        <w:trPr>
          <w:trHeight w:val="57"/>
          <w:jc w:val="right"/>
        </w:trPr>
        <w:tc>
          <w:tcPr>
            <w:tcW w:w="1986" w:type="dxa"/>
            <w:tcBorders>
              <w:top w:val="single" w:sz="4" w:space="0" w:color="000000" w:themeColor="text1"/>
              <w:bottom w:val="single" w:sz="12" w:space="0" w:color="auto"/>
            </w:tcBorders>
            <w:shd w:val="clear" w:color="auto" w:fill="auto"/>
            <w:tcMar>
              <w:top w:w="80" w:type="dxa"/>
              <w:left w:w="80" w:type="dxa"/>
              <w:bottom w:w="80" w:type="dxa"/>
              <w:right w:w="80" w:type="dxa"/>
            </w:tcMar>
          </w:tcPr>
          <w:p w14:paraId="7855D6A0" w14:textId="77777777" w:rsidR="00B3200D" w:rsidRPr="00A7082A" w:rsidRDefault="00B3200D" w:rsidP="003F3253">
            <w:r w:rsidRPr="00A7082A">
              <w:rPr>
                <w:b/>
                <w:bCs/>
                <w:sz w:val="18"/>
                <w:szCs w:val="18"/>
              </w:rPr>
              <w:t>Notes</w:t>
            </w:r>
          </w:p>
        </w:tc>
        <w:tc>
          <w:tcPr>
            <w:tcW w:w="7364" w:type="dxa"/>
            <w:gridSpan w:val="3"/>
            <w:tcBorders>
              <w:top w:val="single" w:sz="4" w:space="0" w:color="000000" w:themeColor="text1"/>
              <w:bottom w:val="single" w:sz="12" w:space="0" w:color="auto"/>
            </w:tcBorders>
            <w:shd w:val="clear" w:color="auto" w:fill="auto"/>
            <w:tcMar>
              <w:top w:w="80" w:type="dxa"/>
              <w:left w:w="80" w:type="dxa"/>
              <w:bottom w:w="80" w:type="dxa"/>
              <w:right w:w="80" w:type="dxa"/>
            </w:tcMar>
          </w:tcPr>
          <w:p w14:paraId="1017A633" w14:textId="77777777" w:rsidR="00B3200D" w:rsidRPr="00A7082A" w:rsidRDefault="00B3200D" w:rsidP="003F3253">
            <w:pPr>
              <w:numPr>
                <w:ilvl w:val="0"/>
                <w:numId w:val="59"/>
              </w:numPr>
              <w:rPr>
                <w:spacing w:val="-2"/>
                <w:sz w:val="18"/>
                <w:szCs w:val="18"/>
              </w:rPr>
            </w:pPr>
            <w:r w:rsidRPr="00A7082A">
              <w:rPr>
                <w:spacing w:val="-2"/>
                <w:sz w:val="18"/>
                <w:szCs w:val="18"/>
              </w:rPr>
              <w:t>The Conference of the Parties is to consider the terms of reference of the Implementation and Compliance Committee at its third meeting.</w:t>
            </w:r>
          </w:p>
        </w:tc>
      </w:tr>
    </w:tbl>
    <w:p w14:paraId="67A91128" w14:textId="77777777" w:rsidR="00B3200D" w:rsidRPr="00A7082A" w:rsidRDefault="00B3200D" w:rsidP="00B3200D">
      <w:pPr>
        <w:widowControl w:val="0"/>
        <w:jc w:val="right"/>
        <w:rPr>
          <w:sz w:val="12"/>
          <w:szCs w:val="12"/>
        </w:rPr>
      </w:pPr>
    </w:p>
    <w:p w14:paraId="5C040E10" w14:textId="77777777" w:rsidR="00B3200D" w:rsidRPr="00A7082A" w:rsidRDefault="00B3200D" w:rsidP="00B3200D">
      <w:pPr>
        <w:rPr>
          <w:sz w:val="12"/>
          <w:szCs w:val="12"/>
        </w:rPr>
      </w:pPr>
    </w:p>
    <w:tbl>
      <w:tblPr>
        <w:tblW w:w="8307" w:type="dxa"/>
        <w:jc w:val="right"/>
        <w:tblLayout w:type="fixed"/>
        <w:tblLook w:val="04A0" w:firstRow="1" w:lastRow="0" w:firstColumn="1" w:lastColumn="0" w:noHBand="0" w:noVBand="1"/>
      </w:tblPr>
      <w:tblGrid>
        <w:gridCol w:w="1848"/>
        <w:gridCol w:w="3155"/>
        <w:gridCol w:w="1716"/>
        <w:gridCol w:w="1588"/>
      </w:tblGrid>
      <w:tr w:rsidR="00B3200D" w:rsidRPr="00A7082A" w14:paraId="14EF031B" w14:textId="77777777" w:rsidTr="003F3253">
        <w:trPr>
          <w:trHeight w:val="57"/>
          <w:jc w:val="right"/>
        </w:trPr>
        <w:tc>
          <w:tcPr>
            <w:tcW w:w="5641" w:type="dxa"/>
            <w:gridSpan w:val="2"/>
            <w:tcBorders>
              <w:top w:val="single" w:sz="4" w:space="0" w:color="000000" w:themeColor="text1"/>
              <w:bottom w:val="single" w:sz="12" w:space="0" w:color="000000" w:themeColor="text1"/>
            </w:tcBorders>
            <w:shd w:val="clear" w:color="auto" w:fill="auto"/>
            <w:tcMar>
              <w:top w:w="80" w:type="dxa"/>
              <w:left w:w="80" w:type="dxa"/>
              <w:bottom w:w="80" w:type="dxa"/>
              <w:right w:w="80" w:type="dxa"/>
            </w:tcMar>
          </w:tcPr>
          <w:p w14:paraId="229C502F" w14:textId="77777777" w:rsidR="00B3200D" w:rsidRPr="00A7082A" w:rsidRDefault="00B3200D" w:rsidP="003F3253">
            <w:pPr>
              <w:keepNext/>
              <w:keepLines/>
              <w:spacing w:after="120"/>
              <w:rPr>
                <w:bCs/>
                <w:i/>
                <w:sz w:val="18"/>
                <w:szCs w:val="18"/>
              </w:rPr>
            </w:pPr>
            <w:r w:rsidRPr="00A7082A">
              <w:rPr>
                <w:bCs/>
                <w:i/>
                <w:sz w:val="18"/>
                <w:szCs w:val="18"/>
              </w:rPr>
              <w:t xml:space="preserve">G: Article 16 (Health aspects) </w:t>
            </w:r>
          </w:p>
          <w:p w14:paraId="61BCE2C7" w14:textId="77777777" w:rsidR="00B3200D" w:rsidRPr="00A7082A" w:rsidRDefault="00B3200D" w:rsidP="003F3253">
            <w:pPr>
              <w:keepNext/>
              <w:keepLines/>
            </w:pPr>
            <w:r w:rsidRPr="00A7082A">
              <w:rPr>
                <w:sz w:val="18"/>
                <w:szCs w:val="18"/>
              </w:rPr>
              <w:t>(The indicator for article 16 is to be read with the relevant monitoring indicators indicated in table 4)</w:t>
            </w:r>
          </w:p>
        </w:tc>
        <w:tc>
          <w:tcPr>
            <w:tcW w:w="1927" w:type="dxa"/>
            <w:tcBorders>
              <w:top w:val="single" w:sz="4" w:space="0" w:color="000000" w:themeColor="text1"/>
              <w:bottom w:val="single" w:sz="12" w:space="0" w:color="000000" w:themeColor="text1"/>
            </w:tcBorders>
            <w:shd w:val="clear" w:color="auto" w:fill="auto"/>
            <w:tcMar>
              <w:top w:w="80" w:type="dxa"/>
              <w:left w:w="80" w:type="dxa"/>
              <w:bottom w:w="80" w:type="dxa"/>
              <w:right w:w="80" w:type="dxa"/>
            </w:tcMar>
          </w:tcPr>
          <w:p w14:paraId="2654E5FA" w14:textId="77777777" w:rsidR="00B3200D" w:rsidRPr="00A7082A" w:rsidRDefault="00B3200D" w:rsidP="003F3253">
            <w:pPr>
              <w:keepNext/>
              <w:keepLines/>
              <w:rPr>
                <w:i/>
              </w:rPr>
            </w:pPr>
            <w:r w:rsidRPr="00A7082A">
              <w:rPr>
                <w:bCs/>
                <w:i/>
                <w:sz w:val="18"/>
                <w:szCs w:val="18"/>
              </w:rPr>
              <w:t>Source of information on t</w:t>
            </w:r>
            <w:r w:rsidRPr="00A7082A">
              <w:rPr>
                <w:bCs/>
                <w:i/>
              </w:rPr>
              <w:t xml:space="preserve">he </w:t>
            </w:r>
            <w:r w:rsidRPr="00A7082A">
              <w:rPr>
                <w:bCs/>
                <w:i/>
                <w:sz w:val="18"/>
                <w:szCs w:val="18"/>
              </w:rPr>
              <w:t>indicator</w:t>
            </w:r>
          </w:p>
        </w:tc>
        <w:tc>
          <w:tcPr>
            <w:tcW w:w="1782" w:type="dxa"/>
            <w:tcBorders>
              <w:top w:val="single" w:sz="4" w:space="0" w:color="000000" w:themeColor="text1"/>
              <w:bottom w:val="single" w:sz="12" w:space="0" w:color="000000" w:themeColor="text1"/>
            </w:tcBorders>
            <w:shd w:val="clear" w:color="auto" w:fill="auto"/>
            <w:tcMar>
              <w:top w:w="80" w:type="dxa"/>
              <w:left w:w="80" w:type="dxa"/>
              <w:bottom w:w="80" w:type="dxa"/>
              <w:right w:w="80" w:type="dxa"/>
            </w:tcMar>
          </w:tcPr>
          <w:p w14:paraId="22078110" w14:textId="77777777" w:rsidR="00B3200D" w:rsidRPr="00A7082A" w:rsidRDefault="00B3200D" w:rsidP="003F3253">
            <w:pPr>
              <w:keepNext/>
              <w:keepLines/>
              <w:rPr>
                <w:i/>
              </w:rPr>
            </w:pPr>
            <w:r w:rsidRPr="00A7082A">
              <w:rPr>
                <w:bCs/>
                <w:i/>
                <w:sz w:val="18"/>
                <w:szCs w:val="18"/>
              </w:rPr>
              <w:t>Baseline for the indicator</w:t>
            </w:r>
          </w:p>
        </w:tc>
      </w:tr>
      <w:tr w:rsidR="00B3200D" w:rsidRPr="00A7082A" w14:paraId="480F0083" w14:textId="77777777" w:rsidTr="003F3253">
        <w:trPr>
          <w:trHeight w:val="57"/>
          <w:jc w:val="right"/>
        </w:trPr>
        <w:tc>
          <w:tcPr>
            <w:tcW w:w="2077" w:type="dxa"/>
            <w:tcBorders>
              <w:top w:val="single" w:sz="12" w:space="0" w:color="000000" w:themeColor="text1"/>
            </w:tcBorders>
            <w:shd w:val="clear" w:color="auto" w:fill="auto"/>
            <w:tcMar>
              <w:top w:w="80" w:type="dxa"/>
              <w:left w:w="80" w:type="dxa"/>
              <w:bottom w:w="80" w:type="dxa"/>
              <w:right w:w="80" w:type="dxa"/>
            </w:tcMar>
          </w:tcPr>
          <w:p w14:paraId="3056D071" w14:textId="77777777" w:rsidR="00B3200D" w:rsidRPr="00A7082A" w:rsidRDefault="00B3200D" w:rsidP="003F3253">
            <w:pPr>
              <w:keepNext/>
              <w:keepLines/>
            </w:pPr>
            <w:r w:rsidRPr="00A7082A">
              <w:rPr>
                <w:sz w:val="18"/>
                <w:szCs w:val="18"/>
              </w:rPr>
              <w:t>G1. Monitoring indicator</w:t>
            </w:r>
          </w:p>
        </w:tc>
        <w:tc>
          <w:tcPr>
            <w:tcW w:w="3564" w:type="dxa"/>
            <w:tcBorders>
              <w:top w:val="single" w:sz="12" w:space="0" w:color="000000" w:themeColor="text1"/>
            </w:tcBorders>
            <w:shd w:val="clear" w:color="auto" w:fill="auto"/>
            <w:tcMar>
              <w:top w:w="80" w:type="dxa"/>
              <w:left w:w="80" w:type="dxa"/>
              <w:bottom w:w="80" w:type="dxa"/>
              <w:right w:w="80" w:type="dxa"/>
            </w:tcMar>
          </w:tcPr>
          <w:p w14:paraId="0D874A48" w14:textId="77777777" w:rsidR="00B3200D" w:rsidRPr="00A7082A" w:rsidRDefault="00B3200D" w:rsidP="003F3253">
            <w:pPr>
              <w:keepNext/>
              <w:keepLines/>
            </w:pPr>
            <w:r w:rsidRPr="00A7082A">
              <w:rPr>
                <w:sz w:val="18"/>
                <w:szCs w:val="18"/>
              </w:rPr>
              <w:t>Mercury levels in selected human populations (as defined by the monitoring arrangements)</w:t>
            </w:r>
          </w:p>
        </w:tc>
        <w:tc>
          <w:tcPr>
            <w:tcW w:w="1927" w:type="dxa"/>
            <w:tcBorders>
              <w:top w:val="single" w:sz="12" w:space="0" w:color="000000" w:themeColor="text1"/>
            </w:tcBorders>
            <w:shd w:val="clear" w:color="auto" w:fill="auto"/>
            <w:tcMar>
              <w:top w:w="80" w:type="dxa"/>
              <w:left w:w="80" w:type="dxa"/>
              <w:bottom w:w="80" w:type="dxa"/>
              <w:right w:w="80" w:type="dxa"/>
            </w:tcMar>
          </w:tcPr>
          <w:p w14:paraId="1A396DB9" w14:textId="77777777" w:rsidR="00B3200D" w:rsidRPr="00A7082A" w:rsidRDefault="00B3200D" w:rsidP="003F3253">
            <w:pPr>
              <w:keepNext/>
              <w:keepLines/>
            </w:pPr>
            <w:r w:rsidRPr="00A7082A">
              <w:rPr>
                <w:sz w:val="18"/>
                <w:szCs w:val="18"/>
              </w:rPr>
              <w:t>- Existing monitoring data and activities</w:t>
            </w:r>
          </w:p>
        </w:tc>
        <w:tc>
          <w:tcPr>
            <w:tcW w:w="1782" w:type="dxa"/>
            <w:tcBorders>
              <w:top w:val="single" w:sz="12" w:space="0" w:color="000000" w:themeColor="text1"/>
            </w:tcBorders>
            <w:shd w:val="clear" w:color="auto" w:fill="auto"/>
            <w:tcMar>
              <w:top w:w="80" w:type="dxa"/>
              <w:left w:w="80" w:type="dxa"/>
              <w:bottom w:w="80" w:type="dxa"/>
              <w:right w:w="80" w:type="dxa"/>
            </w:tcMar>
          </w:tcPr>
          <w:p w14:paraId="28330336" w14:textId="77777777" w:rsidR="00B3200D" w:rsidRPr="00A7082A" w:rsidRDefault="00B3200D" w:rsidP="003F3253">
            <w:pPr>
              <w:keepNext/>
              <w:keepLines/>
            </w:pPr>
            <w:r w:rsidRPr="00A7082A">
              <w:rPr>
                <w:sz w:val="18"/>
                <w:szCs w:val="18"/>
              </w:rPr>
              <w:t>Number in the first evaluation</w:t>
            </w:r>
          </w:p>
        </w:tc>
      </w:tr>
      <w:tr w:rsidR="00B3200D" w:rsidRPr="00A7082A" w14:paraId="1B205969" w14:textId="77777777" w:rsidTr="003F3253">
        <w:trPr>
          <w:trHeight w:val="57"/>
          <w:jc w:val="right"/>
        </w:trPr>
        <w:tc>
          <w:tcPr>
            <w:tcW w:w="2077" w:type="dxa"/>
            <w:shd w:val="clear" w:color="auto" w:fill="auto"/>
            <w:tcMar>
              <w:top w:w="80" w:type="dxa"/>
              <w:left w:w="80" w:type="dxa"/>
              <w:bottom w:w="80" w:type="dxa"/>
              <w:right w:w="80" w:type="dxa"/>
            </w:tcMar>
          </w:tcPr>
          <w:p w14:paraId="02938FE3" w14:textId="77777777" w:rsidR="00B3200D" w:rsidRPr="00A7082A" w:rsidRDefault="00B3200D" w:rsidP="003F3253">
            <w:pPr>
              <w:keepNext/>
              <w:keepLines/>
            </w:pPr>
            <w:r w:rsidRPr="00A7082A">
              <w:rPr>
                <w:sz w:val="18"/>
                <w:szCs w:val="18"/>
              </w:rPr>
              <w:t>G2. Process indicator</w:t>
            </w:r>
          </w:p>
        </w:tc>
        <w:tc>
          <w:tcPr>
            <w:tcW w:w="3564" w:type="dxa"/>
            <w:shd w:val="clear" w:color="auto" w:fill="auto"/>
            <w:tcMar>
              <w:top w:w="80" w:type="dxa"/>
              <w:left w:w="80" w:type="dxa"/>
              <w:bottom w:w="80" w:type="dxa"/>
              <w:right w:w="80" w:type="dxa"/>
            </w:tcMar>
          </w:tcPr>
          <w:p w14:paraId="7203B953" w14:textId="77777777" w:rsidR="00B3200D" w:rsidRPr="00A7082A" w:rsidRDefault="00B3200D" w:rsidP="003F3253">
            <w:pPr>
              <w:keepNext/>
              <w:keepLines/>
            </w:pPr>
            <w:r w:rsidRPr="00A7082A">
              <w:rPr>
                <w:sz w:val="18"/>
                <w:szCs w:val="18"/>
              </w:rPr>
              <w:t>Number of parties that have taken measures, such as fish advisories, to provide information to the public on exposure to mercury, in accordance with paragraph 1 of article 16</w:t>
            </w:r>
          </w:p>
        </w:tc>
        <w:tc>
          <w:tcPr>
            <w:tcW w:w="1927" w:type="dxa"/>
            <w:shd w:val="clear" w:color="auto" w:fill="auto"/>
            <w:tcMar>
              <w:top w:w="80" w:type="dxa"/>
              <w:left w:w="80" w:type="dxa"/>
              <w:bottom w:w="80" w:type="dxa"/>
              <w:right w:w="80" w:type="dxa"/>
            </w:tcMar>
          </w:tcPr>
          <w:p w14:paraId="13E99866" w14:textId="77777777" w:rsidR="00B3200D" w:rsidRPr="00A7082A" w:rsidRDefault="00B3200D" w:rsidP="003F3253">
            <w:pPr>
              <w:keepNext/>
              <w:keepLines/>
            </w:pPr>
            <w:r w:rsidRPr="00A7082A">
              <w:rPr>
                <w:sz w:val="18"/>
                <w:szCs w:val="18"/>
              </w:rPr>
              <w:t>- Article 21 reporting</w:t>
            </w:r>
          </w:p>
        </w:tc>
        <w:tc>
          <w:tcPr>
            <w:tcW w:w="1782" w:type="dxa"/>
            <w:shd w:val="clear" w:color="auto" w:fill="auto"/>
            <w:tcMar>
              <w:top w:w="80" w:type="dxa"/>
              <w:left w:w="80" w:type="dxa"/>
              <w:bottom w:w="80" w:type="dxa"/>
              <w:right w:w="80" w:type="dxa"/>
            </w:tcMar>
          </w:tcPr>
          <w:p w14:paraId="03883330" w14:textId="77777777" w:rsidR="00B3200D" w:rsidRPr="00A7082A" w:rsidRDefault="00B3200D" w:rsidP="003F3253">
            <w:pPr>
              <w:keepNext/>
              <w:keepLines/>
            </w:pPr>
            <w:r w:rsidRPr="00A7082A">
              <w:rPr>
                <w:sz w:val="18"/>
                <w:szCs w:val="18"/>
              </w:rPr>
              <w:t>Number in the first evaluation</w:t>
            </w:r>
          </w:p>
        </w:tc>
      </w:tr>
      <w:tr w:rsidR="00B3200D" w:rsidRPr="00A7082A" w14:paraId="71384BF2" w14:textId="77777777" w:rsidTr="003F3253">
        <w:trPr>
          <w:trHeight w:val="57"/>
          <w:jc w:val="right"/>
        </w:trPr>
        <w:tc>
          <w:tcPr>
            <w:tcW w:w="2077" w:type="dxa"/>
            <w:shd w:val="clear" w:color="auto" w:fill="auto"/>
            <w:tcMar>
              <w:top w:w="80" w:type="dxa"/>
              <w:left w:w="80" w:type="dxa"/>
              <w:bottom w:w="80" w:type="dxa"/>
              <w:right w:w="80" w:type="dxa"/>
            </w:tcMar>
          </w:tcPr>
          <w:p w14:paraId="4312C1A0" w14:textId="77777777" w:rsidR="00B3200D" w:rsidRPr="00A7082A" w:rsidRDefault="00B3200D" w:rsidP="003F3253">
            <w:pPr>
              <w:keepNext/>
              <w:keepLines/>
            </w:pPr>
            <w:r w:rsidRPr="00A7082A">
              <w:rPr>
                <w:sz w:val="18"/>
                <w:szCs w:val="18"/>
              </w:rPr>
              <w:t>G3. Process indicator</w:t>
            </w:r>
          </w:p>
        </w:tc>
        <w:tc>
          <w:tcPr>
            <w:tcW w:w="3564" w:type="dxa"/>
            <w:shd w:val="clear" w:color="auto" w:fill="auto"/>
            <w:tcMar>
              <w:top w:w="80" w:type="dxa"/>
              <w:left w:w="80" w:type="dxa"/>
              <w:bottom w:w="80" w:type="dxa"/>
              <w:right w:w="80" w:type="dxa"/>
            </w:tcMar>
          </w:tcPr>
          <w:p w14:paraId="419ADE9B" w14:textId="77777777" w:rsidR="00B3200D" w:rsidRPr="00A7082A" w:rsidRDefault="00B3200D" w:rsidP="003F3253">
            <w:pPr>
              <w:keepNext/>
              <w:keepLines/>
            </w:pPr>
            <w:r w:rsidRPr="00A7082A">
              <w:rPr>
                <w:sz w:val="18"/>
                <w:szCs w:val="18"/>
              </w:rPr>
              <w:t>Number of parties that have taken measures to protect human health, in accordance with article 16</w:t>
            </w:r>
          </w:p>
        </w:tc>
        <w:tc>
          <w:tcPr>
            <w:tcW w:w="1927" w:type="dxa"/>
            <w:shd w:val="clear" w:color="auto" w:fill="auto"/>
            <w:tcMar>
              <w:top w:w="80" w:type="dxa"/>
              <w:left w:w="80" w:type="dxa"/>
              <w:bottom w:w="80" w:type="dxa"/>
              <w:right w:w="80" w:type="dxa"/>
            </w:tcMar>
          </w:tcPr>
          <w:p w14:paraId="6D5AC516" w14:textId="77777777" w:rsidR="00B3200D" w:rsidRPr="00A7082A" w:rsidRDefault="00B3200D" w:rsidP="003F3253">
            <w:pPr>
              <w:keepNext/>
              <w:keepLines/>
              <w:rPr>
                <w:sz w:val="18"/>
                <w:szCs w:val="18"/>
              </w:rPr>
            </w:pPr>
            <w:r w:rsidRPr="00A7082A">
              <w:rPr>
                <w:sz w:val="18"/>
                <w:szCs w:val="18"/>
              </w:rPr>
              <w:t>- Article 21 reporting</w:t>
            </w:r>
          </w:p>
          <w:p w14:paraId="4E47C298" w14:textId="77777777" w:rsidR="00B3200D" w:rsidRPr="00A7082A" w:rsidRDefault="00B3200D" w:rsidP="003F3253">
            <w:pPr>
              <w:keepNext/>
              <w:keepLines/>
            </w:pPr>
            <w:r w:rsidRPr="00A7082A">
              <w:rPr>
                <w:sz w:val="18"/>
                <w:szCs w:val="18"/>
              </w:rPr>
              <w:t>- Submissions to the secretariat</w:t>
            </w:r>
          </w:p>
        </w:tc>
        <w:tc>
          <w:tcPr>
            <w:tcW w:w="1782" w:type="dxa"/>
            <w:shd w:val="clear" w:color="auto" w:fill="auto"/>
            <w:tcMar>
              <w:top w:w="80" w:type="dxa"/>
              <w:left w:w="80" w:type="dxa"/>
              <w:bottom w:w="80" w:type="dxa"/>
              <w:right w:w="80" w:type="dxa"/>
            </w:tcMar>
          </w:tcPr>
          <w:p w14:paraId="320126BF" w14:textId="77777777" w:rsidR="00B3200D" w:rsidRPr="00A7082A" w:rsidRDefault="00B3200D" w:rsidP="003F3253">
            <w:pPr>
              <w:keepNext/>
              <w:keepLines/>
            </w:pPr>
            <w:r w:rsidRPr="00A7082A">
              <w:rPr>
                <w:sz w:val="18"/>
                <w:szCs w:val="18"/>
              </w:rPr>
              <w:t>Number in the first evaluation</w:t>
            </w:r>
          </w:p>
        </w:tc>
      </w:tr>
      <w:tr w:rsidR="00B3200D" w:rsidRPr="00A7082A" w14:paraId="40848C61" w14:textId="77777777" w:rsidTr="003F3253">
        <w:trPr>
          <w:trHeight w:val="57"/>
          <w:jc w:val="right"/>
        </w:trPr>
        <w:tc>
          <w:tcPr>
            <w:tcW w:w="2077" w:type="dxa"/>
            <w:tcBorders>
              <w:bottom w:val="single" w:sz="12" w:space="0" w:color="000000" w:themeColor="text1"/>
            </w:tcBorders>
            <w:shd w:val="clear" w:color="auto" w:fill="auto"/>
            <w:tcMar>
              <w:top w:w="80" w:type="dxa"/>
              <w:left w:w="80" w:type="dxa"/>
              <w:bottom w:w="80" w:type="dxa"/>
              <w:right w:w="80" w:type="dxa"/>
            </w:tcMar>
          </w:tcPr>
          <w:p w14:paraId="17C66599" w14:textId="77777777" w:rsidR="00B3200D" w:rsidRPr="00A7082A" w:rsidRDefault="00B3200D" w:rsidP="003F3253">
            <w:r w:rsidRPr="00A7082A">
              <w:rPr>
                <w:b/>
                <w:bCs/>
                <w:sz w:val="18"/>
                <w:szCs w:val="18"/>
              </w:rPr>
              <w:t>Notes</w:t>
            </w:r>
          </w:p>
        </w:tc>
        <w:tc>
          <w:tcPr>
            <w:tcW w:w="7273" w:type="dxa"/>
            <w:gridSpan w:val="3"/>
            <w:tcBorders>
              <w:bottom w:val="single" w:sz="12" w:space="0" w:color="000000" w:themeColor="text1"/>
            </w:tcBorders>
            <w:shd w:val="clear" w:color="auto" w:fill="auto"/>
            <w:tcMar>
              <w:top w:w="80" w:type="dxa"/>
              <w:left w:w="80" w:type="dxa"/>
              <w:bottom w:w="80" w:type="dxa"/>
              <w:right w:w="80" w:type="dxa"/>
            </w:tcMar>
          </w:tcPr>
          <w:p w14:paraId="31345A9A" w14:textId="77777777" w:rsidR="00B3200D" w:rsidRPr="00A7082A" w:rsidRDefault="00B3200D" w:rsidP="003F3253">
            <w:pPr>
              <w:numPr>
                <w:ilvl w:val="0"/>
                <w:numId w:val="60"/>
              </w:numPr>
              <w:rPr>
                <w:sz w:val="18"/>
                <w:szCs w:val="18"/>
              </w:rPr>
            </w:pPr>
            <w:r w:rsidRPr="00A7082A">
              <w:rPr>
                <w:sz w:val="18"/>
                <w:szCs w:val="18"/>
              </w:rPr>
              <w:t xml:space="preserve">Mercury levels in biota are also to be considered. </w:t>
            </w:r>
          </w:p>
        </w:tc>
      </w:tr>
    </w:tbl>
    <w:p w14:paraId="380A3530" w14:textId="77777777" w:rsidR="00B3200D" w:rsidRPr="00A7082A" w:rsidRDefault="00B3200D" w:rsidP="00B3200D">
      <w:pPr>
        <w:widowControl w:val="0"/>
        <w:jc w:val="right"/>
        <w:rPr>
          <w:sz w:val="12"/>
          <w:szCs w:val="12"/>
        </w:rPr>
      </w:pPr>
    </w:p>
    <w:p w14:paraId="7AA74501" w14:textId="77777777" w:rsidR="00B3200D" w:rsidRPr="00A7082A" w:rsidRDefault="00B3200D" w:rsidP="00B3200D">
      <w:pPr>
        <w:rPr>
          <w:sz w:val="12"/>
          <w:szCs w:val="12"/>
        </w:rPr>
      </w:pPr>
    </w:p>
    <w:tbl>
      <w:tblPr>
        <w:tblW w:w="8307" w:type="dxa"/>
        <w:jc w:val="right"/>
        <w:tblLayout w:type="fixed"/>
        <w:tblLook w:val="04A0" w:firstRow="1" w:lastRow="0" w:firstColumn="1" w:lastColumn="0" w:noHBand="0" w:noVBand="1"/>
      </w:tblPr>
      <w:tblGrid>
        <w:gridCol w:w="1823"/>
        <w:gridCol w:w="3178"/>
        <w:gridCol w:w="1732"/>
        <w:gridCol w:w="1574"/>
      </w:tblGrid>
      <w:tr w:rsidR="00B3200D" w:rsidRPr="00A7082A" w14:paraId="285716E8" w14:textId="77777777" w:rsidTr="003F3253">
        <w:trPr>
          <w:trHeight w:val="57"/>
          <w:jc w:val="right"/>
        </w:trPr>
        <w:tc>
          <w:tcPr>
            <w:tcW w:w="5639" w:type="dxa"/>
            <w:gridSpan w:val="2"/>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7E0F3E02" w14:textId="77777777" w:rsidR="00B3200D" w:rsidRPr="00A7082A" w:rsidRDefault="00B3200D" w:rsidP="003F3253">
            <w:pPr>
              <w:spacing w:after="120"/>
              <w:rPr>
                <w:bCs/>
                <w:i/>
                <w:sz w:val="18"/>
                <w:szCs w:val="18"/>
              </w:rPr>
            </w:pPr>
            <w:r w:rsidRPr="00A7082A">
              <w:rPr>
                <w:bCs/>
                <w:i/>
                <w:sz w:val="18"/>
                <w:szCs w:val="18"/>
              </w:rPr>
              <w:t xml:space="preserve">H: Information and research cluster </w:t>
            </w:r>
          </w:p>
          <w:p w14:paraId="29CABC4D" w14:textId="77777777" w:rsidR="00B3200D" w:rsidRPr="00A7082A" w:rsidRDefault="00B3200D" w:rsidP="003F3253">
            <w:pPr>
              <w:rPr>
                <w:sz w:val="18"/>
                <w:szCs w:val="18"/>
              </w:rPr>
            </w:pPr>
            <w:r w:rsidRPr="00A7082A">
              <w:rPr>
                <w:bCs/>
                <w:i/>
                <w:sz w:val="18"/>
                <w:szCs w:val="18"/>
              </w:rPr>
              <w:t>Article 17 (information exchange); article 18 (public information, awareness and education); article 19 (research, development and monitoring)</w:t>
            </w:r>
            <w:r w:rsidRPr="00A7082A">
              <w:rPr>
                <w:b/>
                <w:bCs/>
                <w:sz w:val="18"/>
                <w:szCs w:val="18"/>
              </w:rPr>
              <w:t xml:space="preserve"> </w:t>
            </w:r>
          </w:p>
        </w:tc>
        <w:tc>
          <w:tcPr>
            <w:tcW w:w="1945"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61A6AD43" w14:textId="77777777" w:rsidR="00B3200D" w:rsidRPr="00A7082A" w:rsidRDefault="00B3200D" w:rsidP="003F3253">
            <w:pPr>
              <w:rPr>
                <w:i/>
                <w:sz w:val="18"/>
                <w:szCs w:val="18"/>
              </w:rPr>
            </w:pPr>
            <w:r w:rsidRPr="00A7082A">
              <w:rPr>
                <w:i/>
                <w:sz w:val="18"/>
                <w:szCs w:val="18"/>
              </w:rPr>
              <w:t>Source of information on the indicator</w:t>
            </w:r>
          </w:p>
        </w:tc>
        <w:tc>
          <w:tcPr>
            <w:tcW w:w="1766"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5251D4A1" w14:textId="77777777" w:rsidR="00B3200D" w:rsidRPr="00A7082A" w:rsidRDefault="00B3200D" w:rsidP="003F3253">
            <w:pPr>
              <w:rPr>
                <w:i/>
                <w:sz w:val="18"/>
                <w:szCs w:val="18"/>
              </w:rPr>
            </w:pPr>
            <w:r w:rsidRPr="00A7082A">
              <w:rPr>
                <w:i/>
                <w:sz w:val="18"/>
                <w:szCs w:val="18"/>
              </w:rPr>
              <w:t>Baseline for the indicator</w:t>
            </w:r>
          </w:p>
        </w:tc>
      </w:tr>
      <w:tr w:rsidR="00B3200D" w:rsidRPr="00A7082A" w14:paraId="0CC8D216" w14:textId="77777777" w:rsidTr="003F3253">
        <w:trPr>
          <w:trHeight w:val="57"/>
          <w:jc w:val="right"/>
        </w:trPr>
        <w:tc>
          <w:tcPr>
            <w:tcW w:w="2049"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301683C5" w14:textId="77777777" w:rsidR="00B3200D" w:rsidRPr="00A7082A" w:rsidRDefault="00B3200D" w:rsidP="003F3253">
            <w:pPr>
              <w:rPr>
                <w:sz w:val="18"/>
                <w:szCs w:val="18"/>
              </w:rPr>
            </w:pPr>
            <w:r w:rsidRPr="00A7082A">
              <w:rPr>
                <w:b/>
                <w:bCs/>
                <w:sz w:val="18"/>
                <w:szCs w:val="18"/>
              </w:rPr>
              <w:t>Article 17</w:t>
            </w:r>
          </w:p>
        </w:tc>
        <w:tc>
          <w:tcPr>
            <w:tcW w:w="3590"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6AC9ECF6" w14:textId="77777777" w:rsidR="00B3200D" w:rsidRPr="00A7082A" w:rsidRDefault="00B3200D" w:rsidP="003F3253">
            <w:pPr>
              <w:rPr>
                <w:sz w:val="18"/>
                <w:szCs w:val="18"/>
              </w:rPr>
            </w:pPr>
          </w:p>
        </w:tc>
        <w:tc>
          <w:tcPr>
            <w:tcW w:w="1945"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5F9495BF" w14:textId="77777777" w:rsidR="00B3200D" w:rsidRPr="00A7082A" w:rsidRDefault="00B3200D" w:rsidP="003F3253">
            <w:pPr>
              <w:rPr>
                <w:sz w:val="18"/>
                <w:szCs w:val="18"/>
              </w:rPr>
            </w:pPr>
          </w:p>
        </w:tc>
        <w:tc>
          <w:tcPr>
            <w:tcW w:w="1766"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6241AE4E" w14:textId="77777777" w:rsidR="00B3200D" w:rsidRPr="00A7082A" w:rsidRDefault="00B3200D" w:rsidP="003F3253">
            <w:pPr>
              <w:rPr>
                <w:sz w:val="18"/>
                <w:szCs w:val="18"/>
              </w:rPr>
            </w:pPr>
          </w:p>
        </w:tc>
      </w:tr>
      <w:tr w:rsidR="00B3200D" w:rsidRPr="00A7082A" w14:paraId="4365614E" w14:textId="77777777" w:rsidTr="003F3253">
        <w:trPr>
          <w:trHeight w:val="57"/>
          <w:jc w:val="right"/>
        </w:trPr>
        <w:tc>
          <w:tcPr>
            <w:tcW w:w="2049" w:type="dxa"/>
            <w:tcBorders>
              <w:top w:val="single" w:sz="4" w:space="0" w:color="000000" w:themeColor="text1"/>
            </w:tcBorders>
            <w:shd w:val="clear" w:color="auto" w:fill="auto"/>
            <w:tcMar>
              <w:top w:w="80" w:type="dxa"/>
              <w:left w:w="80" w:type="dxa"/>
              <w:bottom w:w="80" w:type="dxa"/>
              <w:right w:w="80" w:type="dxa"/>
            </w:tcMar>
          </w:tcPr>
          <w:p w14:paraId="0F30511D" w14:textId="77777777" w:rsidR="00B3200D" w:rsidRPr="00A7082A" w:rsidRDefault="00B3200D" w:rsidP="003F3253">
            <w:pPr>
              <w:rPr>
                <w:sz w:val="18"/>
                <w:szCs w:val="18"/>
              </w:rPr>
            </w:pPr>
            <w:r w:rsidRPr="00A7082A">
              <w:rPr>
                <w:sz w:val="18"/>
                <w:szCs w:val="18"/>
              </w:rPr>
              <w:t>H1. Process indicator for article 17</w:t>
            </w:r>
          </w:p>
        </w:tc>
        <w:tc>
          <w:tcPr>
            <w:tcW w:w="3590" w:type="dxa"/>
            <w:tcBorders>
              <w:top w:val="single" w:sz="4" w:space="0" w:color="000000" w:themeColor="text1"/>
            </w:tcBorders>
            <w:shd w:val="clear" w:color="auto" w:fill="auto"/>
            <w:tcMar>
              <w:top w:w="80" w:type="dxa"/>
              <w:left w:w="80" w:type="dxa"/>
              <w:bottom w:w="80" w:type="dxa"/>
              <w:right w:w="80" w:type="dxa"/>
            </w:tcMar>
          </w:tcPr>
          <w:p w14:paraId="4BA48513" w14:textId="77777777" w:rsidR="00B3200D" w:rsidRPr="00A7082A" w:rsidRDefault="00B3200D" w:rsidP="003F3253">
            <w:pPr>
              <w:rPr>
                <w:sz w:val="18"/>
                <w:szCs w:val="18"/>
              </w:rPr>
            </w:pPr>
            <w:r w:rsidRPr="00A7082A">
              <w:rPr>
                <w:sz w:val="18"/>
                <w:szCs w:val="18"/>
              </w:rPr>
              <w:t>Number of parties with designated national focal points</w:t>
            </w:r>
          </w:p>
        </w:tc>
        <w:tc>
          <w:tcPr>
            <w:tcW w:w="1945" w:type="dxa"/>
            <w:tcBorders>
              <w:top w:val="single" w:sz="4" w:space="0" w:color="000000" w:themeColor="text1"/>
            </w:tcBorders>
            <w:shd w:val="clear" w:color="auto" w:fill="auto"/>
            <w:tcMar>
              <w:top w:w="80" w:type="dxa"/>
              <w:left w:w="80" w:type="dxa"/>
              <w:bottom w:w="80" w:type="dxa"/>
              <w:right w:w="80" w:type="dxa"/>
            </w:tcMar>
          </w:tcPr>
          <w:p w14:paraId="019204F2" w14:textId="77777777" w:rsidR="00B3200D" w:rsidRPr="00A7082A" w:rsidRDefault="00B3200D" w:rsidP="003F3253">
            <w:pPr>
              <w:rPr>
                <w:sz w:val="18"/>
                <w:szCs w:val="18"/>
              </w:rPr>
            </w:pPr>
            <w:r w:rsidRPr="00A7082A">
              <w:rPr>
                <w:sz w:val="18"/>
                <w:szCs w:val="18"/>
              </w:rPr>
              <w:t>- Article 21 reporting</w:t>
            </w:r>
          </w:p>
        </w:tc>
        <w:tc>
          <w:tcPr>
            <w:tcW w:w="1766" w:type="dxa"/>
            <w:tcBorders>
              <w:top w:val="single" w:sz="4" w:space="0" w:color="000000" w:themeColor="text1"/>
            </w:tcBorders>
            <w:shd w:val="clear" w:color="auto" w:fill="auto"/>
            <w:tcMar>
              <w:top w:w="80" w:type="dxa"/>
              <w:left w:w="80" w:type="dxa"/>
              <w:bottom w:w="80" w:type="dxa"/>
              <w:right w:w="80" w:type="dxa"/>
            </w:tcMar>
          </w:tcPr>
          <w:p w14:paraId="59D45FA0" w14:textId="77777777" w:rsidR="00B3200D" w:rsidRPr="00A7082A" w:rsidRDefault="00B3200D" w:rsidP="003F3253">
            <w:pPr>
              <w:rPr>
                <w:sz w:val="18"/>
                <w:szCs w:val="18"/>
              </w:rPr>
            </w:pPr>
            <w:r w:rsidRPr="00A7082A">
              <w:rPr>
                <w:sz w:val="18"/>
                <w:szCs w:val="18"/>
              </w:rPr>
              <w:t>Number in the first evaluation</w:t>
            </w:r>
          </w:p>
        </w:tc>
      </w:tr>
      <w:tr w:rsidR="00B3200D" w:rsidRPr="00A7082A" w14:paraId="7E2DA437" w14:textId="77777777" w:rsidTr="003F3253">
        <w:trPr>
          <w:trHeight w:val="57"/>
          <w:jc w:val="right"/>
        </w:trPr>
        <w:tc>
          <w:tcPr>
            <w:tcW w:w="2049" w:type="dxa"/>
            <w:tcBorders>
              <w:bottom w:val="single" w:sz="4" w:space="0" w:color="000000" w:themeColor="text1"/>
            </w:tcBorders>
            <w:shd w:val="clear" w:color="auto" w:fill="auto"/>
            <w:tcMar>
              <w:top w:w="80" w:type="dxa"/>
              <w:left w:w="80" w:type="dxa"/>
              <w:bottom w:w="80" w:type="dxa"/>
              <w:right w:w="80" w:type="dxa"/>
            </w:tcMar>
          </w:tcPr>
          <w:p w14:paraId="2352CD05" w14:textId="77777777" w:rsidR="00B3200D" w:rsidRPr="00A7082A" w:rsidRDefault="00B3200D" w:rsidP="003F3253">
            <w:pPr>
              <w:rPr>
                <w:sz w:val="18"/>
                <w:szCs w:val="18"/>
              </w:rPr>
            </w:pPr>
            <w:r w:rsidRPr="00A7082A">
              <w:rPr>
                <w:sz w:val="18"/>
                <w:szCs w:val="18"/>
              </w:rPr>
              <w:t>H2. Process indicator for article 17</w:t>
            </w:r>
          </w:p>
        </w:tc>
        <w:tc>
          <w:tcPr>
            <w:tcW w:w="3590" w:type="dxa"/>
            <w:tcBorders>
              <w:bottom w:val="single" w:sz="4" w:space="0" w:color="000000" w:themeColor="text1"/>
            </w:tcBorders>
            <w:shd w:val="clear" w:color="auto" w:fill="auto"/>
            <w:tcMar>
              <w:top w:w="80" w:type="dxa"/>
              <w:left w:w="80" w:type="dxa"/>
              <w:bottom w:w="80" w:type="dxa"/>
              <w:right w:w="80" w:type="dxa"/>
            </w:tcMar>
          </w:tcPr>
          <w:p w14:paraId="3A9010EF" w14:textId="77777777" w:rsidR="00B3200D" w:rsidRPr="00A7082A" w:rsidRDefault="00B3200D" w:rsidP="003F3253">
            <w:pPr>
              <w:rPr>
                <w:sz w:val="18"/>
                <w:szCs w:val="18"/>
              </w:rPr>
            </w:pPr>
            <w:r w:rsidRPr="00A7082A">
              <w:rPr>
                <w:sz w:val="18"/>
                <w:szCs w:val="18"/>
              </w:rPr>
              <w:t xml:space="preserve">Number of parties that have facilitated the exchange of information related to mercury </w:t>
            </w:r>
          </w:p>
        </w:tc>
        <w:tc>
          <w:tcPr>
            <w:tcW w:w="1945" w:type="dxa"/>
            <w:tcBorders>
              <w:bottom w:val="single" w:sz="4" w:space="0" w:color="000000" w:themeColor="text1"/>
            </w:tcBorders>
            <w:shd w:val="clear" w:color="auto" w:fill="auto"/>
            <w:tcMar>
              <w:top w:w="80" w:type="dxa"/>
              <w:left w:w="80" w:type="dxa"/>
              <w:bottom w:w="80" w:type="dxa"/>
              <w:right w:w="80" w:type="dxa"/>
            </w:tcMar>
          </w:tcPr>
          <w:p w14:paraId="43E66BAD" w14:textId="77777777" w:rsidR="00B3200D" w:rsidRPr="00A7082A" w:rsidRDefault="00B3200D" w:rsidP="003F3253">
            <w:pPr>
              <w:rPr>
                <w:sz w:val="18"/>
                <w:szCs w:val="18"/>
              </w:rPr>
            </w:pPr>
            <w:r w:rsidRPr="00A7082A">
              <w:rPr>
                <w:sz w:val="18"/>
                <w:szCs w:val="18"/>
              </w:rPr>
              <w:t>- Article 21 reporting</w:t>
            </w:r>
          </w:p>
        </w:tc>
        <w:tc>
          <w:tcPr>
            <w:tcW w:w="1766" w:type="dxa"/>
            <w:tcBorders>
              <w:bottom w:val="single" w:sz="4" w:space="0" w:color="000000" w:themeColor="text1"/>
            </w:tcBorders>
            <w:shd w:val="clear" w:color="auto" w:fill="auto"/>
            <w:tcMar>
              <w:top w:w="80" w:type="dxa"/>
              <w:left w:w="80" w:type="dxa"/>
              <w:bottom w:w="80" w:type="dxa"/>
              <w:right w:w="80" w:type="dxa"/>
            </w:tcMar>
          </w:tcPr>
          <w:p w14:paraId="79BDB74B" w14:textId="77777777" w:rsidR="00B3200D" w:rsidRPr="00A7082A" w:rsidRDefault="00B3200D" w:rsidP="003F3253">
            <w:pPr>
              <w:rPr>
                <w:sz w:val="18"/>
                <w:szCs w:val="18"/>
              </w:rPr>
            </w:pPr>
            <w:r w:rsidRPr="00A7082A">
              <w:rPr>
                <w:sz w:val="18"/>
                <w:szCs w:val="18"/>
              </w:rPr>
              <w:t>Number in the first evaluation</w:t>
            </w:r>
          </w:p>
        </w:tc>
      </w:tr>
      <w:tr w:rsidR="00B3200D" w:rsidRPr="00A7082A" w14:paraId="0060C24E" w14:textId="77777777" w:rsidTr="003F3253">
        <w:trPr>
          <w:trHeight w:val="57"/>
          <w:jc w:val="right"/>
        </w:trPr>
        <w:tc>
          <w:tcPr>
            <w:tcW w:w="2049"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3801C871" w14:textId="77777777" w:rsidR="00B3200D" w:rsidRPr="00A7082A" w:rsidRDefault="00B3200D" w:rsidP="003F3253">
            <w:pPr>
              <w:tabs>
                <w:tab w:val="left" w:pos="1163"/>
              </w:tabs>
              <w:rPr>
                <w:sz w:val="18"/>
                <w:szCs w:val="18"/>
              </w:rPr>
            </w:pPr>
            <w:r w:rsidRPr="00A7082A">
              <w:rPr>
                <w:b/>
                <w:bCs/>
                <w:sz w:val="18"/>
                <w:szCs w:val="18"/>
              </w:rPr>
              <w:t>Article 18</w:t>
            </w:r>
          </w:p>
        </w:tc>
        <w:tc>
          <w:tcPr>
            <w:tcW w:w="3590"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377377A2" w14:textId="77777777" w:rsidR="00B3200D" w:rsidRPr="00A7082A" w:rsidRDefault="00B3200D" w:rsidP="003F3253">
            <w:pPr>
              <w:rPr>
                <w:sz w:val="18"/>
                <w:szCs w:val="18"/>
              </w:rPr>
            </w:pPr>
          </w:p>
        </w:tc>
        <w:tc>
          <w:tcPr>
            <w:tcW w:w="1945"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63C160DC" w14:textId="77777777" w:rsidR="00B3200D" w:rsidRPr="00A7082A" w:rsidRDefault="00B3200D" w:rsidP="003F3253">
            <w:pPr>
              <w:rPr>
                <w:sz w:val="18"/>
                <w:szCs w:val="18"/>
              </w:rPr>
            </w:pPr>
          </w:p>
        </w:tc>
        <w:tc>
          <w:tcPr>
            <w:tcW w:w="1766"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0CADBE0D" w14:textId="77777777" w:rsidR="00B3200D" w:rsidRPr="00A7082A" w:rsidRDefault="00B3200D" w:rsidP="003F3253">
            <w:pPr>
              <w:rPr>
                <w:sz w:val="18"/>
                <w:szCs w:val="18"/>
              </w:rPr>
            </w:pPr>
          </w:p>
        </w:tc>
      </w:tr>
      <w:tr w:rsidR="00B3200D" w:rsidRPr="00A7082A" w14:paraId="55A158C7" w14:textId="77777777" w:rsidTr="003F3253">
        <w:trPr>
          <w:trHeight w:val="57"/>
          <w:jc w:val="right"/>
        </w:trPr>
        <w:tc>
          <w:tcPr>
            <w:tcW w:w="2049" w:type="dxa"/>
            <w:tcBorders>
              <w:top w:val="single" w:sz="4" w:space="0" w:color="000000" w:themeColor="text1"/>
            </w:tcBorders>
            <w:shd w:val="clear" w:color="auto" w:fill="auto"/>
            <w:tcMar>
              <w:top w:w="80" w:type="dxa"/>
              <w:left w:w="80" w:type="dxa"/>
              <w:bottom w:w="80" w:type="dxa"/>
              <w:right w:w="80" w:type="dxa"/>
            </w:tcMar>
          </w:tcPr>
          <w:p w14:paraId="1B0AEC0D" w14:textId="77777777" w:rsidR="00B3200D" w:rsidRPr="00A7082A" w:rsidRDefault="00B3200D" w:rsidP="003F3253">
            <w:pPr>
              <w:tabs>
                <w:tab w:val="left" w:pos="1163"/>
              </w:tabs>
              <w:rPr>
                <w:sz w:val="18"/>
                <w:szCs w:val="18"/>
              </w:rPr>
            </w:pPr>
            <w:r w:rsidRPr="00A7082A">
              <w:rPr>
                <w:sz w:val="18"/>
                <w:szCs w:val="18"/>
              </w:rPr>
              <w:t>H3. Process indicator for article 18</w:t>
            </w:r>
          </w:p>
        </w:tc>
        <w:tc>
          <w:tcPr>
            <w:tcW w:w="3590" w:type="dxa"/>
            <w:tcBorders>
              <w:top w:val="single" w:sz="4" w:space="0" w:color="000000" w:themeColor="text1"/>
            </w:tcBorders>
            <w:shd w:val="clear" w:color="auto" w:fill="auto"/>
            <w:tcMar>
              <w:top w:w="80" w:type="dxa"/>
              <w:left w:w="80" w:type="dxa"/>
              <w:bottom w:w="80" w:type="dxa"/>
              <w:right w:w="80" w:type="dxa"/>
            </w:tcMar>
          </w:tcPr>
          <w:p w14:paraId="0D0E6DAB" w14:textId="77777777" w:rsidR="00B3200D" w:rsidRPr="00A7082A" w:rsidRDefault="00B3200D" w:rsidP="003F3253">
            <w:pPr>
              <w:rPr>
                <w:sz w:val="18"/>
                <w:szCs w:val="18"/>
              </w:rPr>
            </w:pPr>
            <w:r w:rsidRPr="00A7082A">
              <w:rPr>
                <w:sz w:val="18"/>
                <w:szCs w:val="18"/>
              </w:rPr>
              <w:t>Number of parties that have taken measures to implement article 18</w:t>
            </w:r>
          </w:p>
        </w:tc>
        <w:tc>
          <w:tcPr>
            <w:tcW w:w="1945" w:type="dxa"/>
            <w:tcBorders>
              <w:top w:val="single" w:sz="4" w:space="0" w:color="000000" w:themeColor="text1"/>
            </w:tcBorders>
            <w:shd w:val="clear" w:color="auto" w:fill="auto"/>
            <w:tcMar>
              <w:top w:w="80" w:type="dxa"/>
              <w:left w:w="80" w:type="dxa"/>
              <w:bottom w:w="80" w:type="dxa"/>
              <w:right w:w="80" w:type="dxa"/>
            </w:tcMar>
          </w:tcPr>
          <w:p w14:paraId="7D91EACC" w14:textId="77777777" w:rsidR="00B3200D" w:rsidRPr="00A7082A" w:rsidRDefault="00B3200D" w:rsidP="003F3253">
            <w:pPr>
              <w:rPr>
                <w:sz w:val="18"/>
                <w:szCs w:val="18"/>
              </w:rPr>
            </w:pPr>
            <w:r w:rsidRPr="00A7082A">
              <w:rPr>
                <w:sz w:val="18"/>
                <w:szCs w:val="18"/>
              </w:rPr>
              <w:t>- Article 21 reporting</w:t>
            </w:r>
          </w:p>
        </w:tc>
        <w:tc>
          <w:tcPr>
            <w:tcW w:w="1766" w:type="dxa"/>
            <w:tcBorders>
              <w:top w:val="single" w:sz="4" w:space="0" w:color="000000" w:themeColor="text1"/>
            </w:tcBorders>
            <w:shd w:val="clear" w:color="auto" w:fill="auto"/>
            <w:tcMar>
              <w:top w:w="80" w:type="dxa"/>
              <w:left w:w="80" w:type="dxa"/>
              <w:bottom w:w="80" w:type="dxa"/>
              <w:right w:w="80" w:type="dxa"/>
            </w:tcMar>
          </w:tcPr>
          <w:p w14:paraId="61E97E5B" w14:textId="77777777" w:rsidR="00B3200D" w:rsidRPr="00A7082A" w:rsidRDefault="00B3200D" w:rsidP="003F3253">
            <w:pPr>
              <w:rPr>
                <w:sz w:val="18"/>
                <w:szCs w:val="18"/>
              </w:rPr>
            </w:pPr>
            <w:r w:rsidRPr="00A7082A">
              <w:rPr>
                <w:sz w:val="18"/>
                <w:szCs w:val="18"/>
              </w:rPr>
              <w:t>Number in the first evaluation</w:t>
            </w:r>
          </w:p>
        </w:tc>
      </w:tr>
      <w:tr w:rsidR="00B3200D" w:rsidRPr="00A7082A" w14:paraId="03C01C9E" w14:textId="77777777" w:rsidTr="003F3253">
        <w:trPr>
          <w:trHeight w:val="57"/>
          <w:jc w:val="right"/>
        </w:trPr>
        <w:tc>
          <w:tcPr>
            <w:tcW w:w="2049" w:type="dxa"/>
            <w:shd w:val="clear" w:color="auto" w:fill="auto"/>
            <w:tcMar>
              <w:top w:w="80" w:type="dxa"/>
              <w:left w:w="80" w:type="dxa"/>
              <w:bottom w:w="80" w:type="dxa"/>
              <w:right w:w="80" w:type="dxa"/>
            </w:tcMar>
          </w:tcPr>
          <w:p w14:paraId="29D79D77" w14:textId="77777777" w:rsidR="00B3200D" w:rsidRPr="00A7082A" w:rsidRDefault="00B3200D" w:rsidP="003F3253">
            <w:pPr>
              <w:tabs>
                <w:tab w:val="left" w:pos="1163"/>
              </w:tabs>
              <w:rPr>
                <w:sz w:val="18"/>
                <w:szCs w:val="18"/>
              </w:rPr>
            </w:pPr>
            <w:r w:rsidRPr="00A7082A">
              <w:rPr>
                <w:sz w:val="18"/>
                <w:szCs w:val="18"/>
              </w:rPr>
              <w:t>H4. Process indicator for article 18</w:t>
            </w:r>
          </w:p>
        </w:tc>
        <w:tc>
          <w:tcPr>
            <w:tcW w:w="3590" w:type="dxa"/>
            <w:shd w:val="clear" w:color="auto" w:fill="auto"/>
            <w:tcMar>
              <w:top w:w="80" w:type="dxa"/>
              <w:left w:w="80" w:type="dxa"/>
              <w:bottom w:w="80" w:type="dxa"/>
              <w:right w:w="80" w:type="dxa"/>
            </w:tcMar>
          </w:tcPr>
          <w:p w14:paraId="4FC0A988" w14:textId="77777777" w:rsidR="00B3200D" w:rsidRPr="00A7082A" w:rsidRDefault="00B3200D" w:rsidP="003F3253">
            <w:pPr>
              <w:rPr>
                <w:sz w:val="18"/>
                <w:szCs w:val="18"/>
              </w:rPr>
            </w:pPr>
            <w:r w:rsidRPr="00A7082A">
              <w:rPr>
                <w:sz w:val="18"/>
                <w:szCs w:val="18"/>
              </w:rPr>
              <w:t>Average number of measures under paragraph 1 of article 18 that are being implemented by parties</w:t>
            </w:r>
          </w:p>
        </w:tc>
        <w:tc>
          <w:tcPr>
            <w:tcW w:w="1945" w:type="dxa"/>
            <w:shd w:val="clear" w:color="auto" w:fill="auto"/>
            <w:tcMar>
              <w:top w:w="80" w:type="dxa"/>
              <w:left w:w="80" w:type="dxa"/>
              <w:bottom w:w="80" w:type="dxa"/>
              <w:right w:w="80" w:type="dxa"/>
            </w:tcMar>
          </w:tcPr>
          <w:p w14:paraId="2D34B54D" w14:textId="77777777" w:rsidR="00B3200D" w:rsidRPr="00A7082A" w:rsidRDefault="00B3200D" w:rsidP="003F3253">
            <w:pPr>
              <w:rPr>
                <w:sz w:val="18"/>
                <w:szCs w:val="18"/>
              </w:rPr>
            </w:pPr>
            <w:r w:rsidRPr="00A7082A">
              <w:rPr>
                <w:sz w:val="18"/>
                <w:szCs w:val="18"/>
              </w:rPr>
              <w:t>- Derived from article 21 reporting</w:t>
            </w:r>
          </w:p>
        </w:tc>
        <w:tc>
          <w:tcPr>
            <w:tcW w:w="1766" w:type="dxa"/>
            <w:shd w:val="clear" w:color="auto" w:fill="auto"/>
            <w:tcMar>
              <w:top w:w="80" w:type="dxa"/>
              <w:left w:w="80" w:type="dxa"/>
              <w:bottom w:w="80" w:type="dxa"/>
              <w:right w:w="80" w:type="dxa"/>
            </w:tcMar>
          </w:tcPr>
          <w:p w14:paraId="5A1C1E37" w14:textId="77777777" w:rsidR="00B3200D" w:rsidRPr="00A7082A" w:rsidRDefault="00B3200D" w:rsidP="003F3253">
            <w:pPr>
              <w:rPr>
                <w:sz w:val="18"/>
                <w:szCs w:val="18"/>
              </w:rPr>
            </w:pPr>
            <w:r w:rsidRPr="00A7082A">
              <w:rPr>
                <w:sz w:val="18"/>
                <w:szCs w:val="18"/>
              </w:rPr>
              <w:t>Number in the first evaluation</w:t>
            </w:r>
          </w:p>
        </w:tc>
      </w:tr>
      <w:tr w:rsidR="00B3200D" w:rsidRPr="00A7082A" w14:paraId="676992F7" w14:textId="77777777" w:rsidTr="003F3253">
        <w:trPr>
          <w:trHeight w:val="57"/>
          <w:jc w:val="right"/>
        </w:trPr>
        <w:tc>
          <w:tcPr>
            <w:tcW w:w="2049" w:type="dxa"/>
            <w:shd w:val="clear" w:color="auto" w:fill="auto"/>
            <w:tcMar>
              <w:top w:w="80" w:type="dxa"/>
              <w:left w:w="80" w:type="dxa"/>
              <w:bottom w:w="80" w:type="dxa"/>
              <w:right w:w="80" w:type="dxa"/>
            </w:tcMar>
          </w:tcPr>
          <w:p w14:paraId="7C169DCE" w14:textId="77777777" w:rsidR="00B3200D" w:rsidRPr="00A7082A" w:rsidRDefault="00B3200D" w:rsidP="003F3253">
            <w:pPr>
              <w:tabs>
                <w:tab w:val="left" w:pos="1163"/>
              </w:tabs>
              <w:rPr>
                <w:sz w:val="18"/>
                <w:szCs w:val="18"/>
              </w:rPr>
            </w:pPr>
            <w:r w:rsidRPr="00A7082A">
              <w:rPr>
                <w:sz w:val="18"/>
                <w:szCs w:val="18"/>
              </w:rPr>
              <w:t>H5. Process indicator for article 18</w:t>
            </w:r>
          </w:p>
        </w:tc>
        <w:tc>
          <w:tcPr>
            <w:tcW w:w="3590" w:type="dxa"/>
            <w:shd w:val="clear" w:color="auto" w:fill="auto"/>
            <w:tcMar>
              <w:top w:w="80" w:type="dxa"/>
              <w:left w:w="80" w:type="dxa"/>
              <w:bottom w:w="80" w:type="dxa"/>
              <w:right w:w="80" w:type="dxa"/>
            </w:tcMar>
          </w:tcPr>
          <w:p w14:paraId="0AB0E1D3" w14:textId="77777777" w:rsidR="00B3200D" w:rsidRPr="00A7082A" w:rsidRDefault="00B3200D" w:rsidP="003F3253">
            <w:pPr>
              <w:rPr>
                <w:sz w:val="18"/>
                <w:szCs w:val="18"/>
              </w:rPr>
            </w:pPr>
            <w:r w:rsidRPr="00A7082A">
              <w:rPr>
                <w:sz w:val="18"/>
                <w:szCs w:val="18"/>
              </w:rPr>
              <w:t>Number of parties that have public information on mercury levels in air, humans and biota within their territory</w:t>
            </w:r>
          </w:p>
        </w:tc>
        <w:tc>
          <w:tcPr>
            <w:tcW w:w="1945" w:type="dxa"/>
            <w:shd w:val="clear" w:color="auto" w:fill="auto"/>
            <w:tcMar>
              <w:top w:w="80" w:type="dxa"/>
              <w:left w:w="80" w:type="dxa"/>
              <w:bottom w:w="80" w:type="dxa"/>
              <w:right w:w="80" w:type="dxa"/>
            </w:tcMar>
          </w:tcPr>
          <w:p w14:paraId="3ED4040A" w14:textId="77777777" w:rsidR="00B3200D" w:rsidRPr="00A7082A" w:rsidRDefault="00B3200D" w:rsidP="003F3253">
            <w:pPr>
              <w:rPr>
                <w:sz w:val="18"/>
                <w:szCs w:val="18"/>
              </w:rPr>
            </w:pPr>
            <w:r w:rsidRPr="00A7082A">
              <w:rPr>
                <w:sz w:val="18"/>
                <w:szCs w:val="18"/>
              </w:rPr>
              <w:t>- Article 21 reporting</w:t>
            </w:r>
          </w:p>
        </w:tc>
        <w:tc>
          <w:tcPr>
            <w:tcW w:w="1766" w:type="dxa"/>
            <w:shd w:val="clear" w:color="auto" w:fill="auto"/>
            <w:tcMar>
              <w:top w:w="80" w:type="dxa"/>
              <w:left w:w="80" w:type="dxa"/>
              <w:bottom w:w="80" w:type="dxa"/>
              <w:right w:w="80" w:type="dxa"/>
            </w:tcMar>
          </w:tcPr>
          <w:p w14:paraId="66ABC9CC" w14:textId="77777777" w:rsidR="00B3200D" w:rsidRPr="00A7082A" w:rsidRDefault="00B3200D" w:rsidP="003F3253">
            <w:pPr>
              <w:rPr>
                <w:sz w:val="18"/>
                <w:szCs w:val="18"/>
              </w:rPr>
            </w:pPr>
            <w:r w:rsidRPr="00A7082A">
              <w:rPr>
                <w:sz w:val="18"/>
                <w:szCs w:val="18"/>
              </w:rPr>
              <w:t>Number in the first evaluation</w:t>
            </w:r>
          </w:p>
        </w:tc>
      </w:tr>
      <w:tr w:rsidR="00B3200D" w:rsidRPr="00A7082A" w14:paraId="6676613C" w14:textId="77777777" w:rsidTr="003F3253">
        <w:trPr>
          <w:trHeight w:val="57"/>
          <w:jc w:val="right"/>
        </w:trPr>
        <w:tc>
          <w:tcPr>
            <w:tcW w:w="2049" w:type="dxa"/>
            <w:tcBorders>
              <w:bottom w:val="single" w:sz="4" w:space="0" w:color="000000" w:themeColor="text1"/>
            </w:tcBorders>
            <w:shd w:val="clear" w:color="auto" w:fill="auto"/>
            <w:tcMar>
              <w:top w:w="80" w:type="dxa"/>
              <w:left w:w="80" w:type="dxa"/>
              <w:bottom w:w="80" w:type="dxa"/>
              <w:right w:w="80" w:type="dxa"/>
            </w:tcMar>
          </w:tcPr>
          <w:p w14:paraId="5837F13C" w14:textId="77777777" w:rsidR="00B3200D" w:rsidRPr="00A7082A" w:rsidRDefault="00B3200D" w:rsidP="003F3253">
            <w:pPr>
              <w:tabs>
                <w:tab w:val="left" w:pos="1163"/>
              </w:tabs>
              <w:rPr>
                <w:sz w:val="18"/>
                <w:szCs w:val="18"/>
              </w:rPr>
            </w:pPr>
            <w:r w:rsidRPr="00A7082A">
              <w:rPr>
                <w:sz w:val="18"/>
                <w:szCs w:val="18"/>
              </w:rPr>
              <w:t>H6. Process indicator for article 18</w:t>
            </w:r>
          </w:p>
        </w:tc>
        <w:tc>
          <w:tcPr>
            <w:tcW w:w="3590" w:type="dxa"/>
            <w:tcBorders>
              <w:bottom w:val="single" w:sz="4" w:space="0" w:color="000000" w:themeColor="text1"/>
            </w:tcBorders>
            <w:shd w:val="clear" w:color="auto" w:fill="auto"/>
            <w:tcMar>
              <w:top w:w="80" w:type="dxa"/>
              <w:left w:w="80" w:type="dxa"/>
              <w:bottom w:w="80" w:type="dxa"/>
              <w:right w:w="80" w:type="dxa"/>
            </w:tcMar>
          </w:tcPr>
          <w:p w14:paraId="752E6D06" w14:textId="77777777" w:rsidR="00B3200D" w:rsidRPr="00A7082A" w:rsidRDefault="00B3200D" w:rsidP="003F3253">
            <w:pPr>
              <w:tabs>
                <w:tab w:val="left" w:pos="1163"/>
              </w:tabs>
              <w:rPr>
                <w:sz w:val="18"/>
                <w:szCs w:val="18"/>
              </w:rPr>
            </w:pPr>
            <w:r w:rsidRPr="00A7082A">
              <w:rPr>
                <w:sz w:val="18"/>
                <w:szCs w:val="18"/>
              </w:rPr>
              <w:t>Number of parties undertaking risk communication relating to mercury intake through food and water consumption within their territory</w:t>
            </w:r>
          </w:p>
        </w:tc>
        <w:tc>
          <w:tcPr>
            <w:tcW w:w="1945" w:type="dxa"/>
            <w:tcBorders>
              <w:bottom w:val="single" w:sz="4" w:space="0" w:color="000000" w:themeColor="text1"/>
            </w:tcBorders>
            <w:shd w:val="clear" w:color="auto" w:fill="auto"/>
            <w:tcMar>
              <w:top w:w="80" w:type="dxa"/>
              <w:left w:w="80" w:type="dxa"/>
              <w:bottom w:w="80" w:type="dxa"/>
              <w:right w:w="80" w:type="dxa"/>
            </w:tcMar>
          </w:tcPr>
          <w:p w14:paraId="11198468" w14:textId="77777777" w:rsidR="00B3200D" w:rsidRPr="00A7082A" w:rsidRDefault="00B3200D" w:rsidP="003F3253">
            <w:pPr>
              <w:tabs>
                <w:tab w:val="left" w:pos="1163"/>
              </w:tabs>
              <w:rPr>
                <w:sz w:val="18"/>
                <w:szCs w:val="18"/>
              </w:rPr>
            </w:pPr>
            <w:r w:rsidRPr="00A7082A">
              <w:rPr>
                <w:sz w:val="18"/>
                <w:szCs w:val="18"/>
              </w:rPr>
              <w:t>- Article 21 reporting</w:t>
            </w:r>
          </w:p>
        </w:tc>
        <w:tc>
          <w:tcPr>
            <w:tcW w:w="1766" w:type="dxa"/>
            <w:tcBorders>
              <w:bottom w:val="single" w:sz="4" w:space="0" w:color="000000" w:themeColor="text1"/>
            </w:tcBorders>
            <w:shd w:val="clear" w:color="auto" w:fill="auto"/>
            <w:tcMar>
              <w:top w:w="80" w:type="dxa"/>
              <w:left w:w="80" w:type="dxa"/>
              <w:bottom w:w="80" w:type="dxa"/>
              <w:right w:w="80" w:type="dxa"/>
            </w:tcMar>
          </w:tcPr>
          <w:p w14:paraId="1AF93BC3" w14:textId="77777777" w:rsidR="00B3200D" w:rsidRPr="00A7082A" w:rsidRDefault="00B3200D" w:rsidP="003F3253">
            <w:pPr>
              <w:tabs>
                <w:tab w:val="left" w:pos="1163"/>
              </w:tabs>
              <w:rPr>
                <w:sz w:val="18"/>
                <w:szCs w:val="18"/>
              </w:rPr>
            </w:pPr>
            <w:r w:rsidRPr="00A7082A">
              <w:rPr>
                <w:sz w:val="18"/>
                <w:szCs w:val="18"/>
              </w:rPr>
              <w:t>Number in the first evaluation</w:t>
            </w:r>
          </w:p>
        </w:tc>
      </w:tr>
      <w:tr w:rsidR="00B3200D" w:rsidRPr="00A7082A" w14:paraId="1D9AA09B" w14:textId="77777777" w:rsidTr="003F3253">
        <w:trPr>
          <w:trHeight w:val="57"/>
          <w:jc w:val="right"/>
        </w:trPr>
        <w:tc>
          <w:tcPr>
            <w:tcW w:w="2049"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667D19E1" w14:textId="77777777" w:rsidR="00B3200D" w:rsidRPr="00A7082A" w:rsidRDefault="00B3200D" w:rsidP="003F3253">
            <w:pPr>
              <w:keepNext/>
              <w:tabs>
                <w:tab w:val="left" w:pos="1163"/>
              </w:tabs>
              <w:rPr>
                <w:sz w:val="18"/>
                <w:szCs w:val="18"/>
              </w:rPr>
            </w:pPr>
            <w:r w:rsidRPr="00A7082A">
              <w:rPr>
                <w:b/>
                <w:bCs/>
                <w:sz w:val="18"/>
                <w:szCs w:val="18"/>
              </w:rPr>
              <w:t>Article 19</w:t>
            </w:r>
          </w:p>
        </w:tc>
        <w:tc>
          <w:tcPr>
            <w:tcW w:w="3590"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6856B9D5" w14:textId="77777777" w:rsidR="00B3200D" w:rsidRPr="00A7082A" w:rsidRDefault="00B3200D" w:rsidP="003F3253">
            <w:pPr>
              <w:rPr>
                <w:sz w:val="18"/>
                <w:szCs w:val="18"/>
              </w:rPr>
            </w:pPr>
          </w:p>
        </w:tc>
        <w:tc>
          <w:tcPr>
            <w:tcW w:w="1945"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62240C33" w14:textId="77777777" w:rsidR="00B3200D" w:rsidRPr="00A7082A" w:rsidRDefault="00B3200D" w:rsidP="003F3253">
            <w:pPr>
              <w:rPr>
                <w:sz w:val="18"/>
                <w:szCs w:val="18"/>
              </w:rPr>
            </w:pPr>
          </w:p>
        </w:tc>
        <w:tc>
          <w:tcPr>
            <w:tcW w:w="1766"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1BF4E8FB" w14:textId="77777777" w:rsidR="00B3200D" w:rsidRPr="00A7082A" w:rsidRDefault="00B3200D" w:rsidP="003F3253">
            <w:pPr>
              <w:rPr>
                <w:sz w:val="18"/>
                <w:szCs w:val="18"/>
              </w:rPr>
            </w:pPr>
          </w:p>
        </w:tc>
      </w:tr>
      <w:tr w:rsidR="00B3200D" w:rsidRPr="00A7082A" w14:paraId="73CD198B" w14:textId="77777777" w:rsidTr="003F3253">
        <w:trPr>
          <w:trHeight w:val="57"/>
          <w:jc w:val="right"/>
        </w:trPr>
        <w:tc>
          <w:tcPr>
            <w:tcW w:w="2049" w:type="dxa"/>
            <w:tcBorders>
              <w:top w:val="single" w:sz="4" w:space="0" w:color="000000" w:themeColor="text1"/>
            </w:tcBorders>
            <w:shd w:val="clear" w:color="auto" w:fill="auto"/>
            <w:tcMar>
              <w:top w:w="80" w:type="dxa"/>
              <w:left w:w="80" w:type="dxa"/>
              <w:bottom w:w="80" w:type="dxa"/>
              <w:right w:w="80" w:type="dxa"/>
            </w:tcMar>
          </w:tcPr>
          <w:p w14:paraId="50100F5B" w14:textId="77777777" w:rsidR="00B3200D" w:rsidRPr="00A7082A" w:rsidRDefault="00B3200D" w:rsidP="003F3253">
            <w:pPr>
              <w:tabs>
                <w:tab w:val="left" w:pos="1163"/>
              </w:tabs>
              <w:rPr>
                <w:sz w:val="18"/>
                <w:szCs w:val="18"/>
              </w:rPr>
            </w:pPr>
            <w:r w:rsidRPr="00A7082A">
              <w:rPr>
                <w:sz w:val="18"/>
                <w:szCs w:val="18"/>
              </w:rPr>
              <w:t>H7. Process indicator for article 19</w:t>
            </w:r>
          </w:p>
        </w:tc>
        <w:tc>
          <w:tcPr>
            <w:tcW w:w="3590" w:type="dxa"/>
            <w:tcBorders>
              <w:top w:val="single" w:sz="4" w:space="0" w:color="000000" w:themeColor="text1"/>
            </w:tcBorders>
            <w:shd w:val="clear" w:color="auto" w:fill="auto"/>
            <w:tcMar>
              <w:top w:w="80" w:type="dxa"/>
              <w:left w:w="80" w:type="dxa"/>
              <w:bottom w:w="80" w:type="dxa"/>
              <w:right w:w="80" w:type="dxa"/>
            </w:tcMar>
          </w:tcPr>
          <w:p w14:paraId="132A06FB" w14:textId="77777777" w:rsidR="00B3200D" w:rsidRPr="00A7082A" w:rsidRDefault="00B3200D" w:rsidP="003F3253">
            <w:pPr>
              <w:rPr>
                <w:sz w:val="18"/>
                <w:szCs w:val="18"/>
              </w:rPr>
            </w:pPr>
            <w:r w:rsidRPr="00A7082A">
              <w:rPr>
                <w:sz w:val="18"/>
                <w:szCs w:val="18"/>
              </w:rPr>
              <w:t xml:space="preserve">Number of parties that have undertaken research, development and monitoring, in accordance with paragraph 1 of article 19 </w:t>
            </w:r>
          </w:p>
        </w:tc>
        <w:tc>
          <w:tcPr>
            <w:tcW w:w="1945" w:type="dxa"/>
            <w:tcBorders>
              <w:top w:val="single" w:sz="4" w:space="0" w:color="000000" w:themeColor="text1"/>
            </w:tcBorders>
            <w:shd w:val="clear" w:color="auto" w:fill="auto"/>
            <w:tcMar>
              <w:top w:w="80" w:type="dxa"/>
              <w:left w:w="80" w:type="dxa"/>
              <w:bottom w:w="80" w:type="dxa"/>
              <w:right w:w="80" w:type="dxa"/>
            </w:tcMar>
          </w:tcPr>
          <w:p w14:paraId="4E5A7465" w14:textId="77777777" w:rsidR="00B3200D" w:rsidRPr="00A7082A" w:rsidRDefault="00B3200D" w:rsidP="003F3253">
            <w:pPr>
              <w:rPr>
                <w:sz w:val="18"/>
                <w:szCs w:val="18"/>
              </w:rPr>
            </w:pPr>
            <w:r w:rsidRPr="00A7082A">
              <w:rPr>
                <w:sz w:val="18"/>
                <w:szCs w:val="18"/>
              </w:rPr>
              <w:t>- Article 21 reporting</w:t>
            </w:r>
          </w:p>
        </w:tc>
        <w:tc>
          <w:tcPr>
            <w:tcW w:w="1766" w:type="dxa"/>
            <w:tcBorders>
              <w:top w:val="single" w:sz="4" w:space="0" w:color="000000" w:themeColor="text1"/>
            </w:tcBorders>
            <w:shd w:val="clear" w:color="auto" w:fill="auto"/>
            <w:tcMar>
              <w:top w:w="80" w:type="dxa"/>
              <w:left w:w="80" w:type="dxa"/>
              <w:bottom w:w="80" w:type="dxa"/>
              <w:right w:w="80" w:type="dxa"/>
            </w:tcMar>
          </w:tcPr>
          <w:p w14:paraId="7F301CC8" w14:textId="77777777" w:rsidR="00B3200D" w:rsidRPr="00A7082A" w:rsidRDefault="00B3200D" w:rsidP="003F3253">
            <w:pPr>
              <w:rPr>
                <w:sz w:val="18"/>
                <w:szCs w:val="18"/>
              </w:rPr>
            </w:pPr>
            <w:r w:rsidRPr="00A7082A">
              <w:rPr>
                <w:sz w:val="18"/>
                <w:szCs w:val="18"/>
              </w:rPr>
              <w:t>Number in the first evaluation</w:t>
            </w:r>
          </w:p>
        </w:tc>
      </w:tr>
      <w:tr w:rsidR="00B3200D" w:rsidRPr="00A7082A" w14:paraId="71E13DBF" w14:textId="77777777" w:rsidTr="003F3253">
        <w:trPr>
          <w:trHeight w:val="57"/>
          <w:jc w:val="right"/>
        </w:trPr>
        <w:tc>
          <w:tcPr>
            <w:tcW w:w="2049" w:type="dxa"/>
            <w:shd w:val="clear" w:color="auto" w:fill="auto"/>
            <w:tcMar>
              <w:top w:w="80" w:type="dxa"/>
              <w:left w:w="80" w:type="dxa"/>
              <w:bottom w:w="80" w:type="dxa"/>
              <w:right w:w="80" w:type="dxa"/>
            </w:tcMar>
          </w:tcPr>
          <w:p w14:paraId="1E59D120" w14:textId="77777777" w:rsidR="00B3200D" w:rsidRPr="00A7082A" w:rsidRDefault="00B3200D" w:rsidP="003F3253">
            <w:pPr>
              <w:tabs>
                <w:tab w:val="left" w:pos="1163"/>
              </w:tabs>
              <w:rPr>
                <w:sz w:val="18"/>
                <w:szCs w:val="18"/>
              </w:rPr>
            </w:pPr>
            <w:r w:rsidRPr="00A7082A">
              <w:rPr>
                <w:sz w:val="18"/>
                <w:szCs w:val="18"/>
              </w:rPr>
              <w:lastRenderedPageBreak/>
              <w:t>H8. Process indicator for article 19</w:t>
            </w:r>
          </w:p>
        </w:tc>
        <w:tc>
          <w:tcPr>
            <w:tcW w:w="3590" w:type="dxa"/>
            <w:shd w:val="clear" w:color="auto" w:fill="auto"/>
            <w:tcMar>
              <w:top w:w="80" w:type="dxa"/>
              <w:left w:w="80" w:type="dxa"/>
              <w:bottom w:w="80" w:type="dxa"/>
              <w:right w:w="80" w:type="dxa"/>
            </w:tcMar>
          </w:tcPr>
          <w:p w14:paraId="76B87431" w14:textId="77777777" w:rsidR="00B3200D" w:rsidRPr="00A7082A" w:rsidRDefault="00B3200D" w:rsidP="003F3253">
            <w:pPr>
              <w:rPr>
                <w:sz w:val="18"/>
                <w:szCs w:val="18"/>
              </w:rPr>
            </w:pPr>
            <w:r w:rsidRPr="00A7082A">
              <w:rPr>
                <w:sz w:val="18"/>
                <w:szCs w:val="18"/>
              </w:rPr>
              <w:t>Number of parties contributing data and knowledge to integrated assessments</w:t>
            </w:r>
          </w:p>
        </w:tc>
        <w:tc>
          <w:tcPr>
            <w:tcW w:w="1945" w:type="dxa"/>
            <w:shd w:val="clear" w:color="auto" w:fill="auto"/>
            <w:tcMar>
              <w:top w:w="80" w:type="dxa"/>
              <w:left w:w="80" w:type="dxa"/>
              <w:bottom w:w="80" w:type="dxa"/>
              <w:right w:w="80" w:type="dxa"/>
            </w:tcMar>
          </w:tcPr>
          <w:p w14:paraId="1D4E6527" w14:textId="77777777" w:rsidR="00B3200D" w:rsidRPr="00A7082A" w:rsidRDefault="00B3200D" w:rsidP="003F3253">
            <w:pPr>
              <w:rPr>
                <w:sz w:val="18"/>
                <w:szCs w:val="18"/>
              </w:rPr>
            </w:pPr>
            <w:r w:rsidRPr="00A7082A">
              <w:rPr>
                <w:sz w:val="18"/>
                <w:szCs w:val="18"/>
              </w:rPr>
              <w:t>- Existing monitoring networks, databases, scientific data and literature</w:t>
            </w:r>
          </w:p>
        </w:tc>
        <w:tc>
          <w:tcPr>
            <w:tcW w:w="1766" w:type="dxa"/>
            <w:shd w:val="clear" w:color="auto" w:fill="auto"/>
            <w:tcMar>
              <w:top w:w="80" w:type="dxa"/>
              <w:left w:w="80" w:type="dxa"/>
              <w:bottom w:w="80" w:type="dxa"/>
              <w:right w:w="80" w:type="dxa"/>
            </w:tcMar>
          </w:tcPr>
          <w:p w14:paraId="638B4BA1" w14:textId="77777777" w:rsidR="00B3200D" w:rsidRPr="00A7082A" w:rsidRDefault="00B3200D" w:rsidP="003F3253">
            <w:pPr>
              <w:rPr>
                <w:sz w:val="18"/>
                <w:szCs w:val="18"/>
              </w:rPr>
            </w:pPr>
            <w:r w:rsidRPr="00A7082A">
              <w:rPr>
                <w:sz w:val="18"/>
                <w:szCs w:val="18"/>
              </w:rPr>
              <w:t>Number in the first evaluation</w:t>
            </w:r>
          </w:p>
        </w:tc>
      </w:tr>
      <w:tr w:rsidR="00B3200D" w:rsidRPr="00A7082A" w14:paraId="2EED7388" w14:textId="77777777" w:rsidTr="003F3253">
        <w:trPr>
          <w:trHeight w:val="57"/>
          <w:jc w:val="right"/>
        </w:trPr>
        <w:tc>
          <w:tcPr>
            <w:tcW w:w="2049" w:type="dxa"/>
            <w:shd w:val="clear" w:color="auto" w:fill="auto"/>
            <w:tcMar>
              <w:top w:w="80" w:type="dxa"/>
              <w:left w:w="80" w:type="dxa"/>
              <w:bottom w:w="80" w:type="dxa"/>
              <w:right w:w="80" w:type="dxa"/>
            </w:tcMar>
          </w:tcPr>
          <w:p w14:paraId="690AB58E" w14:textId="77777777" w:rsidR="00B3200D" w:rsidRPr="00A7082A" w:rsidRDefault="00B3200D" w:rsidP="003F3253">
            <w:pPr>
              <w:tabs>
                <w:tab w:val="left" w:pos="1163"/>
              </w:tabs>
              <w:rPr>
                <w:sz w:val="18"/>
                <w:szCs w:val="18"/>
              </w:rPr>
            </w:pPr>
            <w:r w:rsidRPr="00A7082A">
              <w:rPr>
                <w:sz w:val="18"/>
                <w:szCs w:val="18"/>
              </w:rPr>
              <w:t xml:space="preserve">H9. Additional process indicator for article 19 </w:t>
            </w:r>
          </w:p>
        </w:tc>
        <w:tc>
          <w:tcPr>
            <w:tcW w:w="3590" w:type="dxa"/>
            <w:shd w:val="clear" w:color="auto" w:fill="auto"/>
            <w:tcMar>
              <w:top w:w="80" w:type="dxa"/>
              <w:left w:w="80" w:type="dxa"/>
              <w:bottom w:w="80" w:type="dxa"/>
              <w:right w:w="80" w:type="dxa"/>
            </w:tcMar>
          </w:tcPr>
          <w:p w14:paraId="5AE3FB73" w14:textId="77777777" w:rsidR="00B3200D" w:rsidRPr="00A7082A" w:rsidRDefault="00B3200D" w:rsidP="003F3253">
            <w:pPr>
              <w:rPr>
                <w:sz w:val="18"/>
                <w:szCs w:val="18"/>
              </w:rPr>
            </w:pPr>
            <w:r w:rsidRPr="00A7082A">
              <w:rPr>
                <w:sz w:val="18"/>
                <w:szCs w:val="18"/>
              </w:rPr>
              <w:t>Number of regions contributing to a regional dataset</w:t>
            </w:r>
          </w:p>
        </w:tc>
        <w:tc>
          <w:tcPr>
            <w:tcW w:w="1945" w:type="dxa"/>
            <w:shd w:val="clear" w:color="auto" w:fill="auto"/>
            <w:tcMar>
              <w:top w:w="80" w:type="dxa"/>
              <w:left w:w="80" w:type="dxa"/>
              <w:bottom w:w="80" w:type="dxa"/>
              <w:right w:w="80" w:type="dxa"/>
            </w:tcMar>
          </w:tcPr>
          <w:p w14:paraId="77325612" w14:textId="77777777" w:rsidR="00B3200D" w:rsidRPr="00A7082A" w:rsidRDefault="00B3200D" w:rsidP="003F3253">
            <w:pPr>
              <w:rPr>
                <w:sz w:val="18"/>
                <w:szCs w:val="18"/>
              </w:rPr>
            </w:pPr>
            <w:r w:rsidRPr="00A7082A">
              <w:rPr>
                <w:sz w:val="18"/>
                <w:szCs w:val="18"/>
              </w:rPr>
              <w:t>- Existing monitoring networks, databases, scientific data and literature</w:t>
            </w:r>
          </w:p>
        </w:tc>
        <w:tc>
          <w:tcPr>
            <w:tcW w:w="1766" w:type="dxa"/>
            <w:shd w:val="clear" w:color="auto" w:fill="auto"/>
            <w:tcMar>
              <w:top w:w="80" w:type="dxa"/>
              <w:left w:w="80" w:type="dxa"/>
              <w:bottom w:w="80" w:type="dxa"/>
              <w:right w:w="80" w:type="dxa"/>
            </w:tcMar>
          </w:tcPr>
          <w:p w14:paraId="611CF4F0" w14:textId="77777777" w:rsidR="00B3200D" w:rsidRPr="00A7082A" w:rsidRDefault="00B3200D" w:rsidP="003F3253">
            <w:pPr>
              <w:rPr>
                <w:sz w:val="18"/>
                <w:szCs w:val="18"/>
              </w:rPr>
            </w:pPr>
            <w:r w:rsidRPr="00A7082A">
              <w:rPr>
                <w:sz w:val="18"/>
                <w:szCs w:val="18"/>
              </w:rPr>
              <w:t>Number in the first evaluation</w:t>
            </w:r>
          </w:p>
        </w:tc>
      </w:tr>
      <w:tr w:rsidR="00B3200D" w:rsidRPr="00A7082A" w14:paraId="4B0CB8AE" w14:textId="77777777" w:rsidTr="003F3253">
        <w:trPr>
          <w:trHeight w:val="57"/>
          <w:jc w:val="right"/>
        </w:trPr>
        <w:tc>
          <w:tcPr>
            <w:tcW w:w="2049" w:type="dxa"/>
            <w:tcBorders>
              <w:bottom w:val="single" w:sz="12" w:space="0" w:color="000000" w:themeColor="text1"/>
            </w:tcBorders>
            <w:shd w:val="clear" w:color="auto" w:fill="auto"/>
            <w:tcMar>
              <w:top w:w="80" w:type="dxa"/>
              <w:left w:w="80" w:type="dxa"/>
              <w:bottom w:w="80" w:type="dxa"/>
              <w:right w:w="80" w:type="dxa"/>
            </w:tcMar>
          </w:tcPr>
          <w:p w14:paraId="6675E1CD" w14:textId="77777777" w:rsidR="00B3200D" w:rsidRPr="00A7082A" w:rsidRDefault="00B3200D" w:rsidP="003F3253">
            <w:pPr>
              <w:rPr>
                <w:sz w:val="18"/>
                <w:szCs w:val="18"/>
              </w:rPr>
            </w:pPr>
            <w:r w:rsidRPr="00A7082A">
              <w:rPr>
                <w:b/>
                <w:bCs/>
                <w:sz w:val="18"/>
                <w:szCs w:val="18"/>
              </w:rPr>
              <w:t>Notes</w:t>
            </w:r>
          </w:p>
        </w:tc>
        <w:tc>
          <w:tcPr>
            <w:tcW w:w="7301" w:type="dxa"/>
            <w:gridSpan w:val="3"/>
            <w:tcBorders>
              <w:bottom w:val="single" w:sz="12" w:space="0" w:color="000000" w:themeColor="text1"/>
            </w:tcBorders>
            <w:shd w:val="clear" w:color="auto" w:fill="auto"/>
            <w:tcMar>
              <w:top w:w="80" w:type="dxa"/>
              <w:left w:w="80" w:type="dxa"/>
              <w:bottom w:w="80" w:type="dxa"/>
              <w:right w:w="80" w:type="dxa"/>
            </w:tcMar>
          </w:tcPr>
          <w:p w14:paraId="5364548E" w14:textId="77777777" w:rsidR="00B3200D" w:rsidRPr="00A7082A" w:rsidRDefault="00B3200D" w:rsidP="003F3253">
            <w:pPr>
              <w:numPr>
                <w:ilvl w:val="0"/>
                <w:numId w:val="61"/>
              </w:numPr>
              <w:rPr>
                <w:sz w:val="18"/>
                <w:szCs w:val="18"/>
              </w:rPr>
            </w:pPr>
            <w:r w:rsidRPr="00A7082A">
              <w:rPr>
                <w:sz w:val="18"/>
                <w:szCs w:val="18"/>
              </w:rPr>
              <w:t xml:space="preserve">Submissions to the secretariat that supplement article 21 reporting </w:t>
            </w:r>
          </w:p>
        </w:tc>
      </w:tr>
    </w:tbl>
    <w:p w14:paraId="4215D708" w14:textId="77777777" w:rsidR="00B3200D" w:rsidRPr="00A7082A" w:rsidRDefault="00B3200D" w:rsidP="00B3200D">
      <w:pPr>
        <w:widowControl w:val="0"/>
        <w:jc w:val="right"/>
        <w:rPr>
          <w:sz w:val="12"/>
          <w:szCs w:val="12"/>
        </w:rPr>
      </w:pPr>
    </w:p>
    <w:tbl>
      <w:tblPr>
        <w:tblW w:w="8307" w:type="dxa"/>
        <w:jc w:val="right"/>
        <w:tblLayout w:type="fixed"/>
        <w:tblLook w:val="04A0" w:firstRow="1" w:lastRow="0" w:firstColumn="1" w:lastColumn="0" w:noHBand="0" w:noVBand="1"/>
      </w:tblPr>
      <w:tblGrid>
        <w:gridCol w:w="1766"/>
        <w:gridCol w:w="3202"/>
        <w:gridCol w:w="1819"/>
        <w:gridCol w:w="1520"/>
      </w:tblGrid>
      <w:tr w:rsidR="00B3200D" w:rsidRPr="00A7082A" w14:paraId="6D4C51DE" w14:textId="77777777" w:rsidTr="003F3253">
        <w:trPr>
          <w:trHeight w:val="57"/>
          <w:jc w:val="right"/>
        </w:trPr>
        <w:tc>
          <w:tcPr>
            <w:tcW w:w="4968" w:type="dxa"/>
            <w:gridSpan w:val="2"/>
            <w:tcBorders>
              <w:top w:val="single" w:sz="4" w:space="0" w:color="000000" w:themeColor="text1"/>
              <w:bottom w:val="single" w:sz="12" w:space="0" w:color="000000" w:themeColor="text1"/>
            </w:tcBorders>
            <w:shd w:val="clear" w:color="auto" w:fill="auto"/>
            <w:tcMar>
              <w:top w:w="80" w:type="dxa"/>
              <w:left w:w="80" w:type="dxa"/>
              <w:bottom w:w="80" w:type="dxa"/>
              <w:right w:w="80" w:type="dxa"/>
            </w:tcMar>
          </w:tcPr>
          <w:p w14:paraId="5AE7365B" w14:textId="77777777" w:rsidR="00B3200D" w:rsidRPr="00A7082A" w:rsidRDefault="00B3200D" w:rsidP="003F3253">
            <w:pPr>
              <w:spacing w:before="40" w:after="40"/>
              <w:rPr>
                <w:i/>
                <w:sz w:val="18"/>
                <w:szCs w:val="18"/>
              </w:rPr>
            </w:pPr>
            <w:r w:rsidRPr="00A7082A">
              <w:rPr>
                <w:bCs/>
                <w:i/>
                <w:sz w:val="18"/>
                <w:szCs w:val="18"/>
              </w:rPr>
              <w:t>I: Article 20 (implementation plans)</w:t>
            </w:r>
          </w:p>
        </w:tc>
        <w:tc>
          <w:tcPr>
            <w:tcW w:w="1819" w:type="dxa"/>
            <w:tcBorders>
              <w:top w:val="single" w:sz="4" w:space="0" w:color="000000" w:themeColor="text1"/>
              <w:bottom w:val="single" w:sz="12" w:space="0" w:color="000000" w:themeColor="text1"/>
            </w:tcBorders>
            <w:shd w:val="clear" w:color="auto" w:fill="auto"/>
            <w:tcMar>
              <w:top w:w="80" w:type="dxa"/>
              <w:left w:w="80" w:type="dxa"/>
              <w:bottom w:w="80" w:type="dxa"/>
              <w:right w:w="80" w:type="dxa"/>
            </w:tcMar>
          </w:tcPr>
          <w:p w14:paraId="731D22D6" w14:textId="77777777" w:rsidR="00B3200D" w:rsidRPr="00A7082A" w:rsidRDefault="00B3200D" w:rsidP="003F3253">
            <w:pPr>
              <w:spacing w:before="40" w:after="40"/>
              <w:rPr>
                <w:i/>
                <w:sz w:val="18"/>
                <w:szCs w:val="18"/>
              </w:rPr>
            </w:pPr>
            <w:r w:rsidRPr="00A7082A">
              <w:rPr>
                <w:i/>
                <w:sz w:val="18"/>
                <w:szCs w:val="18"/>
              </w:rPr>
              <w:t>Source of information on the indicator</w:t>
            </w:r>
          </w:p>
        </w:tc>
        <w:tc>
          <w:tcPr>
            <w:tcW w:w="1520" w:type="dxa"/>
            <w:tcBorders>
              <w:top w:val="single" w:sz="4" w:space="0" w:color="000000" w:themeColor="text1"/>
              <w:bottom w:val="single" w:sz="12" w:space="0" w:color="000000" w:themeColor="text1"/>
            </w:tcBorders>
            <w:shd w:val="clear" w:color="auto" w:fill="auto"/>
            <w:tcMar>
              <w:top w:w="80" w:type="dxa"/>
              <w:left w:w="80" w:type="dxa"/>
              <w:bottom w:w="80" w:type="dxa"/>
              <w:right w:w="80" w:type="dxa"/>
            </w:tcMar>
          </w:tcPr>
          <w:p w14:paraId="3FCE6D85" w14:textId="77777777" w:rsidR="00B3200D" w:rsidRPr="00A7082A" w:rsidRDefault="00B3200D" w:rsidP="003F3253">
            <w:pPr>
              <w:spacing w:before="40" w:after="40"/>
              <w:rPr>
                <w:i/>
                <w:sz w:val="18"/>
                <w:szCs w:val="18"/>
              </w:rPr>
            </w:pPr>
            <w:r w:rsidRPr="00A7082A">
              <w:rPr>
                <w:i/>
                <w:sz w:val="18"/>
                <w:szCs w:val="18"/>
              </w:rPr>
              <w:t>Baseline for the indicator</w:t>
            </w:r>
          </w:p>
        </w:tc>
      </w:tr>
      <w:tr w:rsidR="00B3200D" w:rsidRPr="00A7082A" w14:paraId="2ABC5658" w14:textId="77777777" w:rsidTr="003F3253">
        <w:trPr>
          <w:trHeight w:val="57"/>
          <w:jc w:val="right"/>
        </w:trPr>
        <w:tc>
          <w:tcPr>
            <w:tcW w:w="1766" w:type="dxa"/>
            <w:tcBorders>
              <w:top w:val="single" w:sz="12" w:space="0" w:color="000000" w:themeColor="text1"/>
            </w:tcBorders>
            <w:shd w:val="clear" w:color="auto" w:fill="auto"/>
            <w:tcMar>
              <w:top w:w="80" w:type="dxa"/>
              <w:left w:w="80" w:type="dxa"/>
              <w:bottom w:w="80" w:type="dxa"/>
              <w:right w:w="80" w:type="dxa"/>
            </w:tcMar>
          </w:tcPr>
          <w:p w14:paraId="23EDA796" w14:textId="77777777" w:rsidR="00B3200D" w:rsidRPr="00A7082A" w:rsidRDefault="00B3200D" w:rsidP="003F3253">
            <w:pPr>
              <w:spacing w:before="40" w:after="40"/>
              <w:rPr>
                <w:sz w:val="18"/>
                <w:szCs w:val="18"/>
              </w:rPr>
            </w:pPr>
            <w:r w:rsidRPr="00A7082A">
              <w:rPr>
                <w:sz w:val="18"/>
                <w:szCs w:val="18"/>
              </w:rPr>
              <w:t>I1. Process indicator</w:t>
            </w:r>
          </w:p>
        </w:tc>
        <w:tc>
          <w:tcPr>
            <w:tcW w:w="3202" w:type="dxa"/>
            <w:tcBorders>
              <w:top w:val="single" w:sz="12" w:space="0" w:color="000000" w:themeColor="text1"/>
            </w:tcBorders>
            <w:shd w:val="clear" w:color="auto" w:fill="auto"/>
            <w:tcMar>
              <w:top w:w="80" w:type="dxa"/>
              <w:left w:w="80" w:type="dxa"/>
              <w:bottom w:w="80" w:type="dxa"/>
              <w:right w:w="80" w:type="dxa"/>
            </w:tcMar>
          </w:tcPr>
          <w:p w14:paraId="6F42FBBB" w14:textId="77777777" w:rsidR="00B3200D" w:rsidRPr="00A7082A" w:rsidRDefault="00B3200D" w:rsidP="003F3253">
            <w:pPr>
              <w:spacing w:before="40" w:after="40"/>
              <w:rPr>
                <w:sz w:val="18"/>
                <w:szCs w:val="18"/>
              </w:rPr>
            </w:pPr>
            <w:r w:rsidRPr="00A7082A">
              <w:rPr>
                <w:sz w:val="18"/>
                <w:szCs w:val="18"/>
              </w:rPr>
              <w:t>Number of parties submitting implementation plans</w:t>
            </w:r>
          </w:p>
        </w:tc>
        <w:tc>
          <w:tcPr>
            <w:tcW w:w="1819" w:type="dxa"/>
            <w:tcBorders>
              <w:top w:val="single" w:sz="12" w:space="0" w:color="000000" w:themeColor="text1"/>
            </w:tcBorders>
            <w:shd w:val="clear" w:color="auto" w:fill="auto"/>
            <w:tcMar>
              <w:top w:w="80" w:type="dxa"/>
              <w:left w:w="80" w:type="dxa"/>
              <w:bottom w:w="80" w:type="dxa"/>
              <w:right w:w="80" w:type="dxa"/>
            </w:tcMar>
          </w:tcPr>
          <w:p w14:paraId="77C037C1" w14:textId="77777777" w:rsidR="00B3200D" w:rsidRPr="00A7082A" w:rsidRDefault="00B3200D" w:rsidP="003F3253">
            <w:pPr>
              <w:spacing w:before="40" w:after="40"/>
              <w:rPr>
                <w:sz w:val="18"/>
                <w:szCs w:val="18"/>
              </w:rPr>
            </w:pPr>
            <w:r w:rsidRPr="00A7082A">
              <w:rPr>
                <w:sz w:val="18"/>
                <w:szCs w:val="18"/>
              </w:rPr>
              <w:t>- Secretariat report to the Conference of the Parties on implementation plan submissions</w:t>
            </w:r>
          </w:p>
        </w:tc>
        <w:tc>
          <w:tcPr>
            <w:tcW w:w="1520" w:type="dxa"/>
            <w:tcBorders>
              <w:top w:val="single" w:sz="12" w:space="0" w:color="000000" w:themeColor="text1"/>
            </w:tcBorders>
            <w:shd w:val="clear" w:color="auto" w:fill="auto"/>
            <w:tcMar>
              <w:top w:w="80" w:type="dxa"/>
              <w:left w:w="80" w:type="dxa"/>
              <w:bottom w:w="80" w:type="dxa"/>
              <w:right w:w="80" w:type="dxa"/>
            </w:tcMar>
          </w:tcPr>
          <w:p w14:paraId="2427ED03" w14:textId="77777777" w:rsidR="00B3200D" w:rsidRPr="00A7082A" w:rsidRDefault="00B3200D" w:rsidP="003F3253">
            <w:pPr>
              <w:spacing w:before="40" w:after="40"/>
              <w:rPr>
                <w:sz w:val="18"/>
                <w:szCs w:val="18"/>
              </w:rPr>
            </w:pPr>
            <w:r w:rsidRPr="00A7082A">
              <w:rPr>
                <w:sz w:val="18"/>
                <w:szCs w:val="18"/>
              </w:rPr>
              <w:t>Zero</w:t>
            </w:r>
          </w:p>
        </w:tc>
      </w:tr>
      <w:tr w:rsidR="00B3200D" w:rsidRPr="00A7082A" w14:paraId="58A5FF12" w14:textId="77777777" w:rsidTr="003F3253">
        <w:trPr>
          <w:trHeight w:val="57"/>
          <w:jc w:val="right"/>
        </w:trPr>
        <w:tc>
          <w:tcPr>
            <w:tcW w:w="1766" w:type="dxa"/>
            <w:tcBorders>
              <w:bottom w:val="single" w:sz="12" w:space="0" w:color="000000" w:themeColor="text1"/>
            </w:tcBorders>
            <w:shd w:val="clear" w:color="auto" w:fill="auto"/>
            <w:tcMar>
              <w:top w:w="80" w:type="dxa"/>
              <w:left w:w="80" w:type="dxa"/>
              <w:bottom w:w="80" w:type="dxa"/>
              <w:right w:w="80" w:type="dxa"/>
            </w:tcMar>
          </w:tcPr>
          <w:p w14:paraId="16494809" w14:textId="77777777" w:rsidR="00B3200D" w:rsidRPr="00A7082A" w:rsidRDefault="00B3200D" w:rsidP="003F3253">
            <w:pPr>
              <w:spacing w:before="40" w:after="40"/>
              <w:rPr>
                <w:sz w:val="18"/>
                <w:szCs w:val="18"/>
              </w:rPr>
            </w:pPr>
            <w:r w:rsidRPr="00A7082A">
              <w:rPr>
                <w:b/>
                <w:bCs/>
                <w:sz w:val="18"/>
                <w:szCs w:val="18"/>
              </w:rPr>
              <w:t>Notes</w:t>
            </w:r>
          </w:p>
        </w:tc>
        <w:tc>
          <w:tcPr>
            <w:tcW w:w="6541" w:type="dxa"/>
            <w:gridSpan w:val="3"/>
            <w:tcBorders>
              <w:bottom w:val="single" w:sz="12" w:space="0" w:color="000000" w:themeColor="text1"/>
            </w:tcBorders>
            <w:shd w:val="clear" w:color="auto" w:fill="auto"/>
            <w:tcMar>
              <w:top w:w="80" w:type="dxa"/>
              <w:left w:w="80" w:type="dxa"/>
              <w:bottom w:w="80" w:type="dxa"/>
              <w:right w:w="80" w:type="dxa"/>
            </w:tcMar>
          </w:tcPr>
          <w:p w14:paraId="145D417C" w14:textId="77777777" w:rsidR="00B3200D" w:rsidRPr="00A7082A" w:rsidRDefault="00B3200D" w:rsidP="003F3253">
            <w:pPr>
              <w:numPr>
                <w:ilvl w:val="0"/>
                <w:numId w:val="62"/>
              </w:numPr>
              <w:spacing w:before="40" w:after="40"/>
              <w:rPr>
                <w:sz w:val="18"/>
                <w:szCs w:val="18"/>
              </w:rPr>
            </w:pPr>
            <w:r w:rsidRPr="00A7082A">
              <w:rPr>
                <w:sz w:val="18"/>
                <w:szCs w:val="18"/>
              </w:rPr>
              <w:t>Parties are not obliged to prepare an implementation plan. Some parties have nevertheless found it useful to prepare such a plan and submit it to the secretariat.</w:t>
            </w:r>
          </w:p>
        </w:tc>
      </w:tr>
    </w:tbl>
    <w:p w14:paraId="73374B40" w14:textId="77777777" w:rsidR="00B3200D" w:rsidRPr="00A7082A" w:rsidRDefault="00B3200D" w:rsidP="00B3200D">
      <w:pPr>
        <w:widowControl w:val="0"/>
        <w:jc w:val="right"/>
        <w:rPr>
          <w:sz w:val="12"/>
          <w:szCs w:val="12"/>
        </w:rPr>
      </w:pPr>
    </w:p>
    <w:p w14:paraId="2B4EBDCD" w14:textId="77777777" w:rsidR="00B3200D" w:rsidRPr="00A7082A" w:rsidRDefault="00B3200D" w:rsidP="00B3200D">
      <w:pPr>
        <w:rPr>
          <w:sz w:val="12"/>
          <w:szCs w:val="12"/>
        </w:rPr>
      </w:pPr>
    </w:p>
    <w:tbl>
      <w:tblPr>
        <w:tblW w:w="8307" w:type="dxa"/>
        <w:jc w:val="right"/>
        <w:tblLayout w:type="fixed"/>
        <w:tblLook w:val="04A0" w:firstRow="1" w:lastRow="0" w:firstColumn="1" w:lastColumn="0" w:noHBand="0" w:noVBand="1"/>
      </w:tblPr>
      <w:tblGrid>
        <w:gridCol w:w="1798"/>
        <w:gridCol w:w="3162"/>
        <w:gridCol w:w="1771"/>
        <w:gridCol w:w="1576"/>
      </w:tblGrid>
      <w:tr w:rsidR="00B3200D" w:rsidRPr="00A7082A" w14:paraId="1E5DE769" w14:textId="77777777" w:rsidTr="003F3253">
        <w:trPr>
          <w:trHeight w:val="57"/>
          <w:jc w:val="right"/>
        </w:trPr>
        <w:tc>
          <w:tcPr>
            <w:tcW w:w="5592" w:type="dxa"/>
            <w:gridSpan w:val="2"/>
            <w:tcBorders>
              <w:top w:val="single" w:sz="4" w:space="0" w:color="000000" w:themeColor="text1"/>
              <w:bottom w:val="single" w:sz="12" w:space="0" w:color="000000" w:themeColor="text1"/>
            </w:tcBorders>
            <w:shd w:val="clear" w:color="auto" w:fill="auto"/>
            <w:tcMar>
              <w:top w:w="80" w:type="dxa"/>
              <w:left w:w="80" w:type="dxa"/>
              <w:bottom w:w="80" w:type="dxa"/>
              <w:right w:w="80" w:type="dxa"/>
            </w:tcMar>
          </w:tcPr>
          <w:p w14:paraId="06D43C84" w14:textId="77777777" w:rsidR="00B3200D" w:rsidRPr="00A7082A" w:rsidRDefault="00B3200D" w:rsidP="003F3253">
            <w:pPr>
              <w:spacing w:before="40" w:after="40"/>
              <w:rPr>
                <w:i/>
                <w:sz w:val="18"/>
                <w:szCs w:val="18"/>
              </w:rPr>
            </w:pPr>
            <w:r w:rsidRPr="00A7082A">
              <w:rPr>
                <w:bCs/>
                <w:i/>
                <w:sz w:val="18"/>
                <w:szCs w:val="18"/>
              </w:rPr>
              <w:t>J: Article 21 (reporting)</w:t>
            </w:r>
          </w:p>
        </w:tc>
        <w:tc>
          <w:tcPr>
            <w:tcW w:w="1990" w:type="dxa"/>
            <w:tcBorders>
              <w:top w:val="single" w:sz="4" w:space="0" w:color="000000" w:themeColor="text1"/>
              <w:bottom w:val="single" w:sz="12" w:space="0" w:color="000000" w:themeColor="text1"/>
            </w:tcBorders>
            <w:shd w:val="clear" w:color="auto" w:fill="auto"/>
            <w:tcMar>
              <w:top w:w="80" w:type="dxa"/>
              <w:left w:w="80" w:type="dxa"/>
              <w:bottom w:w="80" w:type="dxa"/>
              <w:right w:w="80" w:type="dxa"/>
            </w:tcMar>
          </w:tcPr>
          <w:p w14:paraId="17223BAB" w14:textId="77777777" w:rsidR="00B3200D" w:rsidRPr="00A7082A" w:rsidRDefault="00B3200D" w:rsidP="003F3253">
            <w:pPr>
              <w:spacing w:before="40" w:after="40"/>
              <w:rPr>
                <w:i/>
                <w:sz w:val="18"/>
                <w:szCs w:val="18"/>
              </w:rPr>
            </w:pPr>
            <w:r w:rsidRPr="00A7082A">
              <w:rPr>
                <w:i/>
                <w:sz w:val="18"/>
                <w:szCs w:val="18"/>
              </w:rPr>
              <w:t>Source of information on the indicator</w:t>
            </w:r>
          </w:p>
        </w:tc>
        <w:tc>
          <w:tcPr>
            <w:tcW w:w="1768" w:type="dxa"/>
            <w:tcBorders>
              <w:top w:val="single" w:sz="4" w:space="0" w:color="000000" w:themeColor="text1"/>
              <w:bottom w:val="single" w:sz="12" w:space="0" w:color="000000" w:themeColor="text1"/>
            </w:tcBorders>
            <w:shd w:val="clear" w:color="auto" w:fill="auto"/>
            <w:tcMar>
              <w:top w:w="80" w:type="dxa"/>
              <w:left w:w="80" w:type="dxa"/>
              <w:bottom w:w="80" w:type="dxa"/>
              <w:right w:w="80" w:type="dxa"/>
            </w:tcMar>
          </w:tcPr>
          <w:p w14:paraId="1757CCF1" w14:textId="77777777" w:rsidR="00B3200D" w:rsidRPr="00A7082A" w:rsidRDefault="00B3200D" w:rsidP="003F3253">
            <w:pPr>
              <w:spacing w:before="40" w:after="40"/>
              <w:rPr>
                <w:i/>
                <w:sz w:val="18"/>
                <w:szCs w:val="18"/>
              </w:rPr>
            </w:pPr>
            <w:r w:rsidRPr="00A7082A">
              <w:rPr>
                <w:i/>
                <w:sz w:val="18"/>
                <w:szCs w:val="18"/>
              </w:rPr>
              <w:t>Baseline for the indicator</w:t>
            </w:r>
          </w:p>
        </w:tc>
      </w:tr>
      <w:tr w:rsidR="00B3200D" w:rsidRPr="00A7082A" w14:paraId="202DEE81" w14:textId="77777777" w:rsidTr="003F3253">
        <w:trPr>
          <w:trHeight w:val="57"/>
          <w:jc w:val="right"/>
        </w:trPr>
        <w:tc>
          <w:tcPr>
            <w:tcW w:w="2020" w:type="dxa"/>
            <w:tcBorders>
              <w:top w:val="single" w:sz="12" w:space="0" w:color="000000" w:themeColor="text1"/>
            </w:tcBorders>
            <w:shd w:val="clear" w:color="auto" w:fill="auto"/>
            <w:tcMar>
              <w:top w:w="80" w:type="dxa"/>
              <w:left w:w="80" w:type="dxa"/>
              <w:bottom w:w="80" w:type="dxa"/>
              <w:right w:w="80" w:type="dxa"/>
            </w:tcMar>
          </w:tcPr>
          <w:p w14:paraId="138360EB" w14:textId="77777777" w:rsidR="00B3200D" w:rsidRPr="00A7082A" w:rsidRDefault="00B3200D" w:rsidP="003F3253">
            <w:pPr>
              <w:spacing w:before="40" w:after="40"/>
              <w:rPr>
                <w:sz w:val="18"/>
                <w:szCs w:val="18"/>
              </w:rPr>
            </w:pPr>
            <w:r w:rsidRPr="00A7082A">
              <w:rPr>
                <w:sz w:val="18"/>
                <w:szCs w:val="18"/>
              </w:rPr>
              <w:t>J1. Process indicator</w:t>
            </w:r>
          </w:p>
        </w:tc>
        <w:tc>
          <w:tcPr>
            <w:tcW w:w="3572" w:type="dxa"/>
            <w:tcBorders>
              <w:top w:val="single" w:sz="12" w:space="0" w:color="000000" w:themeColor="text1"/>
            </w:tcBorders>
            <w:shd w:val="clear" w:color="auto" w:fill="auto"/>
            <w:tcMar>
              <w:top w:w="80" w:type="dxa"/>
              <w:left w:w="80" w:type="dxa"/>
              <w:bottom w:w="80" w:type="dxa"/>
              <w:right w:w="80" w:type="dxa"/>
            </w:tcMar>
          </w:tcPr>
          <w:p w14:paraId="3229CC92" w14:textId="77777777" w:rsidR="00B3200D" w:rsidRPr="00A7082A" w:rsidRDefault="00B3200D" w:rsidP="003F3253">
            <w:pPr>
              <w:spacing w:before="40" w:after="40"/>
              <w:rPr>
                <w:sz w:val="18"/>
                <w:szCs w:val="18"/>
              </w:rPr>
            </w:pPr>
            <w:r w:rsidRPr="00A7082A">
              <w:rPr>
                <w:sz w:val="18"/>
                <w:szCs w:val="18"/>
              </w:rPr>
              <w:t>Proportion of parties reporting on time</w:t>
            </w:r>
          </w:p>
        </w:tc>
        <w:tc>
          <w:tcPr>
            <w:tcW w:w="1990" w:type="dxa"/>
            <w:tcBorders>
              <w:top w:val="single" w:sz="12" w:space="0" w:color="000000" w:themeColor="text1"/>
            </w:tcBorders>
            <w:shd w:val="clear" w:color="auto" w:fill="auto"/>
            <w:tcMar>
              <w:top w:w="80" w:type="dxa"/>
              <w:left w:w="80" w:type="dxa"/>
              <w:bottom w:w="80" w:type="dxa"/>
              <w:right w:w="80" w:type="dxa"/>
            </w:tcMar>
          </w:tcPr>
          <w:p w14:paraId="0899D588" w14:textId="77777777" w:rsidR="00B3200D" w:rsidRPr="00A7082A" w:rsidRDefault="00B3200D" w:rsidP="003F3253">
            <w:pPr>
              <w:spacing w:before="40" w:after="40"/>
              <w:rPr>
                <w:sz w:val="18"/>
                <w:szCs w:val="18"/>
              </w:rPr>
            </w:pPr>
            <w:r w:rsidRPr="00A7082A">
              <w:rPr>
                <w:sz w:val="18"/>
                <w:szCs w:val="18"/>
              </w:rPr>
              <w:t>- Article 21 reporting</w:t>
            </w:r>
          </w:p>
        </w:tc>
        <w:tc>
          <w:tcPr>
            <w:tcW w:w="1768" w:type="dxa"/>
            <w:tcBorders>
              <w:top w:val="single" w:sz="12" w:space="0" w:color="000000" w:themeColor="text1"/>
            </w:tcBorders>
            <w:shd w:val="clear" w:color="auto" w:fill="auto"/>
            <w:tcMar>
              <w:top w:w="80" w:type="dxa"/>
              <w:left w:w="80" w:type="dxa"/>
              <w:bottom w:w="80" w:type="dxa"/>
              <w:right w:w="80" w:type="dxa"/>
            </w:tcMar>
          </w:tcPr>
          <w:p w14:paraId="10A189BE" w14:textId="77777777" w:rsidR="00B3200D" w:rsidRPr="00A7082A" w:rsidRDefault="00B3200D" w:rsidP="003F3253">
            <w:pPr>
              <w:spacing w:before="40" w:after="40"/>
              <w:rPr>
                <w:sz w:val="18"/>
                <w:szCs w:val="18"/>
              </w:rPr>
            </w:pPr>
            <w:r w:rsidRPr="00A7082A">
              <w:rPr>
                <w:sz w:val="18"/>
                <w:szCs w:val="18"/>
              </w:rPr>
              <w:t>Percentage of the first submission on time</w:t>
            </w:r>
          </w:p>
        </w:tc>
      </w:tr>
      <w:tr w:rsidR="00B3200D" w:rsidRPr="00A7082A" w14:paraId="3A44143F" w14:textId="77777777" w:rsidTr="003F3253">
        <w:trPr>
          <w:trHeight w:val="57"/>
          <w:jc w:val="right"/>
        </w:trPr>
        <w:tc>
          <w:tcPr>
            <w:tcW w:w="2020" w:type="dxa"/>
            <w:shd w:val="clear" w:color="auto" w:fill="auto"/>
            <w:tcMar>
              <w:top w:w="80" w:type="dxa"/>
              <w:left w:w="80" w:type="dxa"/>
              <w:bottom w:w="80" w:type="dxa"/>
              <w:right w:w="80" w:type="dxa"/>
            </w:tcMar>
          </w:tcPr>
          <w:p w14:paraId="1D239259" w14:textId="77777777" w:rsidR="00B3200D" w:rsidRPr="00A7082A" w:rsidRDefault="00B3200D" w:rsidP="003F3253">
            <w:pPr>
              <w:spacing w:before="40" w:after="40"/>
              <w:rPr>
                <w:sz w:val="18"/>
                <w:szCs w:val="18"/>
              </w:rPr>
            </w:pPr>
            <w:r w:rsidRPr="00A7082A">
              <w:rPr>
                <w:sz w:val="18"/>
                <w:szCs w:val="18"/>
              </w:rPr>
              <w:t>J2. Process indicator</w:t>
            </w:r>
          </w:p>
        </w:tc>
        <w:tc>
          <w:tcPr>
            <w:tcW w:w="3572" w:type="dxa"/>
            <w:shd w:val="clear" w:color="auto" w:fill="auto"/>
            <w:tcMar>
              <w:top w:w="80" w:type="dxa"/>
              <w:left w:w="80" w:type="dxa"/>
              <w:bottom w:w="80" w:type="dxa"/>
              <w:right w:w="80" w:type="dxa"/>
            </w:tcMar>
          </w:tcPr>
          <w:p w14:paraId="78B21EBF" w14:textId="77777777" w:rsidR="00B3200D" w:rsidRPr="00A7082A" w:rsidRDefault="00B3200D" w:rsidP="003F3253">
            <w:pPr>
              <w:spacing w:before="40" w:after="40"/>
              <w:rPr>
                <w:sz w:val="18"/>
                <w:szCs w:val="18"/>
              </w:rPr>
            </w:pPr>
            <w:r w:rsidRPr="00A7082A">
              <w:rPr>
                <w:sz w:val="18"/>
                <w:szCs w:val="18"/>
              </w:rPr>
              <w:t>Proportion of reports received on time</w:t>
            </w:r>
          </w:p>
        </w:tc>
        <w:tc>
          <w:tcPr>
            <w:tcW w:w="1990" w:type="dxa"/>
            <w:shd w:val="clear" w:color="auto" w:fill="auto"/>
            <w:tcMar>
              <w:top w:w="80" w:type="dxa"/>
              <w:left w:w="80" w:type="dxa"/>
              <w:bottom w:w="80" w:type="dxa"/>
              <w:right w:w="80" w:type="dxa"/>
            </w:tcMar>
          </w:tcPr>
          <w:p w14:paraId="64526AFD" w14:textId="77777777" w:rsidR="00B3200D" w:rsidRPr="00A7082A" w:rsidRDefault="00B3200D" w:rsidP="003F3253">
            <w:pPr>
              <w:spacing w:before="40" w:after="40"/>
              <w:rPr>
                <w:sz w:val="18"/>
                <w:szCs w:val="18"/>
              </w:rPr>
            </w:pPr>
            <w:r w:rsidRPr="00A7082A">
              <w:rPr>
                <w:sz w:val="18"/>
                <w:szCs w:val="18"/>
              </w:rPr>
              <w:t>- Article 21 reporting</w:t>
            </w:r>
          </w:p>
        </w:tc>
        <w:tc>
          <w:tcPr>
            <w:tcW w:w="1768" w:type="dxa"/>
            <w:shd w:val="clear" w:color="auto" w:fill="auto"/>
            <w:tcMar>
              <w:top w:w="80" w:type="dxa"/>
              <w:left w:w="80" w:type="dxa"/>
              <w:bottom w:w="80" w:type="dxa"/>
              <w:right w:w="80" w:type="dxa"/>
            </w:tcMar>
          </w:tcPr>
          <w:p w14:paraId="48DF5170" w14:textId="77777777" w:rsidR="00B3200D" w:rsidRPr="00A7082A" w:rsidRDefault="00B3200D" w:rsidP="003F3253">
            <w:pPr>
              <w:spacing w:before="40" w:after="40"/>
              <w:rPr>
                <w:sz w:val="18"/>
                <w:szCs w:val="18"/>
              </w:rPr>
            </w:pPr>
            <w:r w:rsidRPr="00A7082A">
              <w:rPr>
                <w:sz w:val="18"/>
                <w:szCs w:val="18"/>
              </w:rPr>
              <w:t>Percentage not available in the first reports</w:t>
            </w:r>
          </w:p>
        </w:tc>
      </w:tr>
      <w:tr w:rsidR="00B3200D" w:rsidRPr="00A7082A" w14:paraId="6FB1F017" w14:textId="77777777" w:rsidTr="003F3253">
        <w:trPr>
          <w:trHeight w:val="57"/>
          <w:jc w:val="right"/>
        </w:trPr>
        <w:tc>
          <w:tcPr>
            <w:tcW w:w="2020" w:type="dxa"/>
            <w:shd w:val="clear" w:color="auto" w:fill="auto"/>
            <w:tcMar>
              <w:top w:w="80" w:type="dxa"/>
              <w:left w:w="80" w:type="dxa"/>
              <w:bottom w:w="80" w:type="dxa"/>
              <w:right w:w="80" w:type="dxa"/>
            </w:tcMar>
          </w:tcPr>
          <w:p w14:paraId="60C99791" w14:textId="77777777" w:rsidR="00B3200D" w:rsidRPr="00A7082A" w:rsidRDefault="00B3200D" w:rsidP="003F3253">
            <w:pPr>
              <w:spacing w:before="40" w:after="40"/>
              <w:rPr>
                <w:sz w:val="18"/>
                <w:szCs w:val="18"/>
              </w:rPr>
            </w:pPr>
            <w:r w:rsidRPr="00A7082A">
              <w:rPr>
                <w:sz w:val="18"/>
                <w:szCs w:val="18"/>
              </w:rPr>
              <w:t>J3. Process indicator</w:t>
            </w:r>
          </w:p>
        </w:tc>
        <w:tc>
          <w:tcPr>
            <w:tcW w:w="3572" w:type="dxa"/>
            <w:shd w:val="clear" w:color="auto" w:fill="auto"/>
            <w:tcMar>
              <w:top w:w="80" w:type="dxa"/>
              <w:left w:w="80" w:type="dxa"/>
              <w:bottom w:w="80" w:type="dxa"/>
              <w:right w:w="80" w:type="dxa"/>
            </w:tcMar>
          </w:tcPr>
          <w:p w14:paraId="30C877FC" w14:textId="77777777" w:rsidR="00B3200D" w:rsidRPr="00A7082A" w:rsidRDefault="00B3200D" w:rsidP="003F3253">
            <w:pPr>
              <w:spacing w:before="40" w:after="40"/>
              <w:rPr>
                <w:sz w:val="18"/>
                <w:szCs w:val="18"/>
              </w:rPr>
            </w:pPr>
            <w:r w:rsidRPr="00A7082A">
              <w:rPr>
                <w:sz w:val="18"/>
                <w:szCs w:val="18"/>
              </w:rPr>
              <w:t>Proportion of parties indicating that information is not available for specific questions</w:t>
            </w:r>
          </w:p>
        </w:tc>
        <w:tc>
          <w:tcPr>
            <w:tcW w:w="1990" w:type="dxa"/>
            <w:shd w:val="clear" w:color="auto" w:fill="auto"/>
            <w:tcMar>
              <w:top w:w="80" w:type="dxa"/>
              <w:left w:w="80" w:type="dxa"/>
              <w:bottom w:w="80" w:type="dxa"/>
              <w:right w:w="80" w:type="dxa"/>
            </w:tcMar>
          </w:tcPr>
          <w:p w14:paraId="15AFBE04" w14:textId="77777777" w:rsidR="00B3200D" w:rsidRPr="00A7082A" w:rsidRDefault="00B3200D" w:rsidP="003F3253">
            <w:pPr>
              <w:spacing w:before="40" w:after="40"/>
              <w:rPr>
                <w:sz w:val="18"/>
                <w:szCs w:val="18"/>
              </w:rPr>
            </w:pPr>
            <w:r w:rsidRPr="00A7082A">
              <w:rPr>
                <w:sz w:val="18"/>
                <w:szCs w:val="18"/>
              </w:rPr>
              <w:t>- Article 21 reporting</w:t>
            </w:r>
          </w:p>
        </w:tc>
        <w:tc>
          <w:tcPr>
            <w:tcW w:w="1768" w:type="dxa"/>
            <w:shd w:val="clear" w:color="auto" w:fill="auto"/>
            <w:tcMar>
              <w:top w:w="80" w:type="dxa"/>
              <w:left w:w="80" w:type="dxa"/>
              <w:bottom w:w="80" w:type="dxa"/>
              <w:right w:w="80" w:type="dxa"/>
            </w:tcMar>
          </w:tcPr>
          <w:p w14:paraId="12194D2A" w14:textId="77777777" w:rsidR="00B3200D" w:rsidRPr="00A7082A" w:rsidRDefault="00B3200D" w:rsidP="003F3253">
            <w:pPr>
              <w:spacing w:before="40" w:after="40"/>
              <w:rPr>
                <w:sz w:val="18"/>
                <w:szCs w:val="18"/>
              </w:rPr>
            </w:pPr>
            <w:r w:rsidRPr="00A7082A">
              <w:rPr>
                <w:sz w:val="18"/>
                <w:szCs w:val="18"/>
              </w:rPr>
              <w:t>Percentage not available in the first reports</w:t>
            </w:r>
          </w:p>
        </w:tc>
      </w:tr>
      <w:tr w:rsidR="00B3200D" w:rsidRPr="00A7082A" w14:paraId="3DBDFD97" w14:textId="77777777" w:rsidTr="003F3253">
        <w:trPr>
          <w:trHeight w:val="57"/>
          <w:jc w:val="right"/>
        </w:trPr>
        <w:tc>
          <w:tcPr>
            <w:tcW w:w="2020" w:type="dxa"/>
            <w:tcBorders>
              <w:bottom w:val="single" w:sz="12" w:space="0" w:color="000000" w:themeColor="text1"/>
            </w:tcBorders>
            <w:shd w:val="clear" w:color="auto" w:fill="auto"/>
            <w:tcMar>
              <w:top w:w="80" w:type="dxa"/>
              <w:left w:w="80" w:type="dxa"/>
              <w:bottom w:w="80" w:type="dxa"/>
              <w:right w:w="80" w:type="dxa"/>
            </w:tcMar>
          </w:tcPr>
          <w:p w14:paraId="1854862A" w14:textId="77777777" w:rsidR="00B3200D" w:rsidRPr="00A7082A" w:rsidRDefault="00B3200D" w:rsidP="003F3253">
            <w:pPr>
              <w:spacing w:before="40" w:after="40"/>
              <w:rPr>
                <w:sz w:val="18"/>
                <w:szCs w:val="18"/>
              </w:rPr>
            </w:pPr>
            <w:r w:rsidRPr="00A7082A">
              <w:rPr>
                <w:b/>
                <w:bCs/>
                <w:sz w:val="18"/>
                <w:szCs w:val="18"/>
              </w:rPr>
              <w:t>Notes</w:t>
            </w:r>
          </w:p>
        </w:tc>
        <w:tc>
          <w:tcPr>
            <w:tcW w:w="7330" w:type="dxa"/>
            <w:gridSpan w:val="3"/>
            <w:tcBorders>
              <w:bottom w:val="single" w:sz="12" w:space="0" w:color="000000" w:themeColor="text1"/>
            </w:tcBorders>
            <w:shd w:val="clear" w:color="auto" w:fill="auto"/>
            <w:tcMar>
              <w:top w:w="80" w:type="dxa"/>
              <w:left w:w="80" w:type="dxa"/>
              <w:bottom w:w="80" w:type="dxa"/>
              <w:right w:w="80" w:type="dxa"/>
            </w:tcMar>
          </w:tcPr>
          <w:p w14:paraId="7DABAAA2" w14:textId="77777777" w:rsidR="00B3200D" w:rsidRPr="00A7082A" w:rsidRDefault="00B3200D" w:rsidP="003F3253">
            <w:pPr>
              <w:numPr>
                <w:ilvl w:val="0"/>
                <w:numId w:val="63"/>
              </w:numPr>
              <w:spacing w:before="40" w:after="40"/>
              <w:rPr>
                <w:sz w:val="18"/>
                <w:szCs w:val="18"/>
              </w:rPr>
            </w:pPr>
            <w:r w:rsidRPr="00A7082A">
              <w:rPr>
                <w:sz w:val="18"/>
                <w:szCs w:val="18"/>
              </w:rPr>
              <w:t>Parties are to report every two years.</w:t>
            </w:r>
          </w:p>
        </w:tc>
      </w:tr>
    </w:tbl>
    <w:p w14:paraId="3CB663B2" w14:textId="77777777" w:rsidR="00B3200D" w:rsidRPr="00A7082A" w:rsidRDefault="00B3200D" w:rsidP="00B3200D">
      <w:pPr>
        <w:keepNext/>
        <w:keepLines/>
        <w:tabs>
          <w:tab w:val="left" w:pos="4082"/>
        </w:tabs>
        <w:suppressAutoHyphens/>
        <w:spacing w:before="40" w:after="40"/>
        <w:ind w:left="1247"/>
        <w:rPr>
          <w:sz w:val="17"/>
          <w:szCs w:val="17"/>
        </w:rPr>
      </w:pPr>
      <w:r w:rsidRPr="00A7082A">
        <w:rPr>
          <w:i/>
          <w:iCs/>
          <w:sz w:val="17"/>
          <w:szCs w:val="17"/>
        </w:rPr>
        <w:t>Abbreviations:</w:t>
      </w:r>
      <w:r w:rsidRPr="00A7082A">
        <w:rPr>
          <w:sz w:val="17"/>
          <w:szCs w:val="17"/>
        </w:rPr>
        <w:t xml:space="preserve"> ASGM, artisanal and small</w:t>
      </w:r>
      <w:r w:rsidRPr="00A7082A">
        <w:rPr>
          <w:sz w:val="17"/>
          <w:szCs w:val="17"/>
        </w:rPr>
        <w:noBreakHyphen/>
        <w:t>scale gold mining; BAT/BEP, best available techniques/best environmental practices; SIP, Specific International Programme to Support Capacity</w:t>
      </w:r>
      <w:r w:rsidRPr="00A7082A">
        <w:rPr>
          <w:sz w:val="17"/>
          <w:szCs w:val="17"/>
        </w:rPr>
        <w:noBreakHyphen/>
        <w:t>building and Technical Assistance.</w:t>
      </w:r>
    </w:p>
    <w:p w14:paraId="3C1B7556" w14:textId="77777777" w:rsidR="00B3200D" w:rsidRPr="00A7082A" w:rsidRDefault="00B3200D" w:rsidP="00B3200D">
      <w:r w:rsidRPr="00A7082A">
        <w:br w:type="page"/>
      </w:r>
    </w:p>
    <w:p w14:paraId="04713DA3" w14:textId="77777777" w:rsidR="00B3200D" w:rsidRPr="00A7082A" w:rsidRDefault="00B3200D" w:rsidP="00B3200D">
      <w:pPr>
        <w:pStyle w:val="CH1"/>
        <w:rPr>
          <w:rFonts w:eastAsia="SimSun"/>
          <w:i/>
        </w:rPr>
      </w:pPr>
      <w:r w:rsidRPr="00A7082A">
        <w:rPr>
          <w:rFonts w:eastAsia="SimSun"/>
        </w:rPr>
        <w:lastRenderedPageBreak/>
        <w:tab/>
      </w:r>
      <w:r w:rsidRPr="00A7082A">
        <w:rPr>
          <w:rFonts w:eastAsia="SimSun"/>
        </w:rPr>
        <w:tab/>
        <w:t>Annex II to decision MC-3/10</w:t>
      </w:r>
      <w:r w:rsidRPr="00A7082A">
        <w:rPr>
          <w:rFonts w:eastAsia="SimSun"/>
          <w:i/>
        </w:rPr>
        <w:t xml:space="preserve"> </w:t>
      </w:r>
    </w:p>
    <w:p w14:paraId="07563E15" w14:textId="77777777" w:rsidR="00B3200D" w:rsidRPr="00A7082A" w:rsidRDefault="00B3200D" w:rsidP="00B3200D">
      <w:pPr>
        <w:pStyle w:val="CH2"/>
      </w:pPr>
      <w:r w:rsidRPr="00A7082A">
        <w:tab/>
      </w:r>
      <w:r w:rsidRPr="00A7082A">
        <w:tab/>
        <w:t>Framework for the effectiveness evaluation of the Minamata Convention</w:t>
      </w:r>
    </w:p>
    <w:p w14:paraId="12985105" w14:textId="77777777" w:rsidR="00B3200D" w:rsidRPr="00A7082A" w:rsidRDefault="00B3200D" w:rsidP="00B3200D">
      <w:pPr>
        <w:pStyle w:val="Titlefigure"/>
      </w:pPr>
      <w:r w:rsidRPr="00A7082A">
        <w:rPr>
          <w:b w:val="0"/>
        </w:rPr>
        <w:t xml:space="preserve">Figure 1 </w:t>
      </w:r>
      <w:r w:rsidRPr="00A7082A">
        <w:rPr>
          <w:b w:val="0"/>
        </w:rPr>
        <w:br/>
      </w:r>
      <w:r w:rsidRPr="00A7082A">
        <w:t>Information and analysis flow</w:t>
      </w:r>
    </w:p>
    <w:p w14:paraId="7868F8CA" w14:textId="77777777" w:rsidR="00B3200D" w:rsidRPr="00A7082A" w:rsidRDefault="00B3200D" w:rsidP="00B3200D">
      <w:pPr>
        <w:pStyle w:val="NormalNonumber"/>
        <w:jc w:val="center"/>
      </w:pPr>
      <w:r w:rsidRPr="00A7082A">
        <w:rPr>
          <w:noProof/>
        </w:rPr>
        <w:drawing>
          <wp:inline distT="0" distB="0" distL="0" distR="0" wp14:anchorId="4559BECF" wp14:editId="1EF9E38B">
            <wp:extent cx="5295900" cy="3276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95900" cy="3276600"/>
                    </a:xfrm>
                    <a:prstGeom prst="rect">
                      <a:avLst/>
                    </a:prstGeom>
                  </pic:spPr>
                </pic:pic>
              </a:graphicData>
            </a:graphic>
          </wp:inline>
        </w:drawing>
      </w:r>
    </w:p>
    <w:p w14:paraId="6E1D64A0" w14:textId="77777777" w:rsidR="00B3200D" w:rsidRPr="00A7082A" w:rsidRDefault="00B3200D" w:rsidP="00B3200D">
      <w:pPr>
        <w:pStyle w:val="Normal-pool"/>
        <w:spacing w:after="120"/>
        <w:ind w:left="1247"/>
        <w:rPr>
          <w:b/>
          <w:highlight w:val="yellow"/>
        </w:rPr>
      </w:pPr>
      <w:r w:rsidRPr="00A7082A">
        <w:t>Figure 2</w:t>
      </w:r>
      <w:r w:rsidRPr="00A7082A">
        <w:rPr>
          <w:b/>
        </w:rPr>
        <w:t xml:space="preserve"> </w:t>
      </w:r>
      <w:r w:rsidRPr="00A7082A">
        <w:rPr>
          <w:b/>
        </w:rPr>
        <w:br/>
        <w:t>Framework institutional arrangements</w:t>
      </w:r>
    </w:p>
    <w:p w14:paraId="78AA4914" w14:textId="77777777" w:rsidR="00B3200D" w:rsidRPr="00A7082A" w:rsidRDefault="00B3200D" w:rsidP="00B3200D">
      <w:pPr>
        <w:pStyle w:val="Normal-pool"/>
        <w:spacing w:after="120"/>
        <w:jc w:val="right"/>
        <w:rPr>
          <w:b/>
          <w:highlight w:val="yellow"/>
        </w:rPr>
      </w:pPr>
      <w:r w:rsidRPr="00A7082A">
        <w:rPr>
          <w:noProof/>
        </w:rPr>
        <w:drawing>
          <wp:inline distT="0" distB="0" distL="0" distR="0" wp14:anchorId="739B04E3" wp14:editId="1D177DEA">
            <wp:extent cx="6026150" cy="34759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26150" cy="3475990"/>
                    </a:xfrm>
                    <a:prstGeom prst="rect">
                      <a:avLst/>
                    </a:prstGeom>
                  </pic:spPr>
                </pic:pic>
              </a:graphicData>
            </a:graphic>
          </wp:inline>
        </w:drawing>
      </w:r>
    </w:p>
    <w:p w14:paraId="37C28751" w14:textId="77777777" w:rsidR="00B3200D" w:rsidRPr="00A7082A" w:rsidRDefault="00B3200D" w:rsidP="00B3200D">
      <w:pPr>
        <w:pStyle w:val="Normal-pool"/>
        <w:spacing w:after="120"/>
        <w:ind w:left="1247"/>
        <w:rPr>
          <w:sz w:val="17"/>
          <w:szCs w:val="17"/>
        </w:rPr>
      </w:pPr>
      <w:r w:rsidRPr="00A7082A">
        <w:rPr>
          <w:i/>
          <w:iCs/>
          <w:sz w:val="17"/>
          <w:szCs w:val="17"/>
        </w:rPr>
        <w:t>Abbreviations</w:t>
      </w:r>
      <w:r w:rsidRPr="00A7082A">
        <w:rPr>
          <w:sz w:val="17"/>
          <w:szCs w:val="17"/>
        </w:rPr>
        <w:t>: COP, Conference of the Parties to the Minamata Convention on Mercury; ICC, Implementation and Compliance Committee; MIA, Minamata initial assessment; NAP, national action plan; NIP, national implementation plan; SIP, Specific International Programme to Support Capacity</w:t>
      </w:r>
      <w:r w:rsidRPr="00A7082A">
        <w:rPr>
          <w:sz w:val="17"/>
          <w:szCs w:val="17"/>
        </w:rPr>
        <w:noBreakHyphen/>
        <w:t xml:space="preserve">building and Technical Assistance. </w:t>
      </w:r>
    </w:p>
    <w:p w14:paraId="74A2DEE9" w14:textId="3CCDFC6D" w:rsidR="003F4DA7" w:rsidRPr="00711DBB" w:rsidRDefault="003F4DA7" w:rsidP="00B3200D">
      <w:pPr>
        <w:pStyle w:val="CH1"/>
        <w:rPr>
          <w:sz w:val="24"/>
        </w:rPr>
      </w:pPr>
    </w:p>
    <w:sectPr w:rsidR="003F4DA7" w:rsidRPr="00711DBB" w:rsidSect="007D789B">
      <w:headerReference w:type="even" r:id="rId15"/>
      <w:headerReference w:type="default" r:id="rId16"/>
      <w:headerReference w:type="first" r:id="rId17"/>
      <w:footerReference w:type="first" r:id="rId18"/>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C9AC8" w14:textId="77777777" w:rsidR="00B2441D" w:rsidRDefault="00B2441D">
      <w:r>
        <w:separator/>
      </w:r>
    </w:p>
  </w:endnote>
  <w:endnote w:type="continuationSeparator" w:id="0">
    <w:p w14:paraId="1E2F11E5" w14:textId="77777777" w:rsidR="00B2441D" w:rsidRDefault="00B2441D">
      <w:r>
        <w:continuationSeparator/>
      </w:r>
    </w:p>
  </w:endnote>
  <w:endnote w:type="continuationNotice" w:id="1">
    <w:p w14:paraId="1717E183" w14:textId="77777777" w:rsidR="00B2441D" w:rsidRDefault="00B24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EEB3" w14:textId="363F725D" w:rsidR="005629FD" w:rsidRPr="003F4DA7" w:rsidRDefault="005629FD" w:rsidP="003F4DA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E8B00" w14:textId="77777777" w:rsidR="00B2441D" w:rsidRPr="008D1ED6" w:rsidRDefault="00B2441D" w:rsidP="009A29A2">
      <w:pPr>
        <w:tabs>
          <w:tab w:val="clear" w:pos="1247"/>
          <w:tab w:val="clear" w:pos="1814"/>
          <w:tab w:val="clear" w:pos="2381"/>
          <w:tab w:val="clear" w:pos="2948"/>
          <w:tab w:val="clear" w:pos="3515"/>
          <w:tab w:val="left" w:pos="624"/>
        </w:tabs>
        <w:spacing w:before="60"/>
        <w:ind w:left="624"/>
        <w:rPr>
          <w:sz w:val="18"/>
          <w:szCs w:val="18"/>
        </w:rPr>
      </w:pPr>
      <w:r w:rsidRPr="008D1ED6">
        <w:rPr>
          <w:sz w:val="18"/>
          <w:szCs w:val="18"/>
        </w:rPr>
        <w:separator/>
      </w:r>
    </w:p>
  </w:footnote>
  <w:footnote w:type="continuationSeparator" w:id="0">
    <w:p w14:paraId="2648991D" w14:textId="77777777" w:rsidR="00B2441D" w:rsidRDefault="00B2441D">
      <w:r>
        <w:continuationSeparator/>
      </w:r>
    </w:p>
  </w:footnote>
  <w:footnote w:type="continuationNotice" w:id="1">
    <w:p w14:paraId="4B87ED62" w14:textId="77777777" w:rsidR="00B2441D" w:rsidRDefault="00B2441D"/>
  </w:footnote>
  <w:footnote w:id="2">
    <w:p w14:paraId="294640D1" w14:textId="77777777" w:rsidR="00B3200D" w:rsidRPr="009A29A2" w:rsidRDefault="00B3200D" w:rsidP="00B3200D">
      <w:pPr>
        <w:tabs>
          <w:tab w:val="left" w:pos="624"/>
        </w:tabs>
        <w:spacing w:before="20" w:after="40"/>
        <w:ind w:left="1247"/>
        <w:rPr>
          <w:sz w:val="18"/>
          <w:szCs w:val="18"/>
        </w:rPr>
      </w:pPr>
      <w:r w:rsidRPr="009A29A2">
        <w:rPr>
          <w:rFonts w:eastAsia="Calibri Light"/>
          <w:sz w:val="18"/>
          <w:szCs w:val="18"/>
          <w:vertAlign w:val="superscript"/>
        </w:rPr>
        <w:footnoteRef/>
      </w:r>
      <w:r w:rsidRPr="009A29A2">
        <w:rPr>
          <w:sz w:val="18"/>
          <w:szCs w:val="18"/>
        </w:rPr>
        <w:t xml:space="preserve"> UNEP/MC/COP.3/14.</w:t>
      </w:r>
    </w:p>
  </w:footnote>
  <w:footnote w:id="3">
    <w:p w14:paraId="07315E5B" w14:textId="77777777" w:rsidR="00B3200D" w:rsidRPr="009A29A2" w:rsidRDefault="00B3200D" w:rsidP="00B3200D">
      <w:pPr>
        <w:tabs>
          <w:tab w:val="left" w:pos="624"/>
        </w:tabs>
        <w:spacing w:before="20" w:after="40"/>
        <w:ind w:left="1247"/>
        <w:rPr>
          <w:sz w:val="18"/>
          <w:szCs w:val="18"/>
        </w:rPr>
      </w:pPr>
      <w:r w:rsidRPr="009A29A2">
        <w:rPr>
          <w:rFonts w:eastAsia="Calibri Light"/>
          <w:sz w:val="18"/>
          <w:szCs w:val="18"/>
          <w:vertAlign w:val="superscript"/>
        </w:rPr>
        <w:footnoteRef/>
      </w:r>
      <w:r w:rsidRPr="009A29A2">
        <w:rPr>
          <w:sz w:val="18"/>
          <w:szCs w:val="18"/>
        </w:rPr>
        <w:t xml:space="preserve"> UNEP/MC/COP.3/INF/15.</w:t>
      </w:r>
    </w:p>
  </w:footnote>
  <w:footnote w:id="4">
    <w:p w14:paraId="0BFD8707" w14:textId="77777777" w:rsidR="00B3200D" w:rsidRPr="009A29A2" w:rsidRDefault="00B3200D" w:rsidP="00B3200D">
      <w:pPr>
        <w:pStyle w:val="FootnoteText"/>
        <w:rPr>
          <w:szCs w:val="18"/>
          <w:lang w:val="en-US"/>
        </w:rPr>
      </w:pPr>
      <w:r w:rsidRPr="009A29A2">
        <w:rPr>
          <w:rStyle w:val="FootnoteReference"/>
          <w:sz w:val="18"/>
        </w:rPr>
        <w:footnoteRef/>
      </w:r>
      <w:r w:rsidRPr="009A29A2">
        <w:rPr>
          <w:szCs w:val="18"/>
          <w:lang w:val="en-GB"/>
        </w:rPr>
        <w:t xml:space="preserve"> UNEP/MC/COP.3/INF/15.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7791E720" w:rsidR="005629FD" w:rsidRPr="00417FE2" w:rsidRDefault="005629FD">
    <w:pPr>
      <w:pStyle w:val="Header"/>
      <w:rPr>
        <w:szCs w:val="18"/>
      </w:rPr>
    </w:pPr>
    <w:r w:rsidRPr="009C52E8">
      <w:rPr>
        <w:bCs/>
        <w:szCs w:val="18"/>
      </w:rPr>
      <w:t>UNEP</w:t>
    </w:r>
    <w:r w:rsidRPr="009C52E8">
      <w:rPr>
        <w:szCs w:val="18"/>
      </w:rPr>
      <w:t>/MC/COP.3/</w:t>
    </w:r>
    <w:r w:rsidR="006B4F0C">
      <w:rPr>
        <w:szCs w:val="18"/>
      </w:rPr>
      <w:t>Dec.1</w:t>
    </w:r>
    <w:r w:rsidR="00B3200D">
      <w:rPr>
        <w:szCs w:val="1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335CA4B2" w:rsidR="005629FD" w:rsidRPr="00417FE2" w:rsidRDefault="005629FD" w:rsidP="00417FE2">
    <w:pPr>
      <w:pStyle w:val="Header"/>
      <w:jc w:val="right"/>
      <w:rPr>
        <w:szCs w:val="18"/>
      </w:rPr>
    </w:pPr>
    <w:r w:rsidRPr="009C52E8">
      <w:rPr>
        <w:bCs/>
        <w:szCs w:val="18"/>
      </w:rPr>
      <w:t>UNEP</w:t>
    </w:r>
    <w:r w:rsidRPr="009C52E8">
      <w:rPr>
        <w:szCs w:val="18"/>
      </w:rPr>
      <w:t>/MC/COP.3/</w:t>
    </w:r>
    <w:r w:rsidR="009F2A42">
      <w:rPr>
        <w:szCs w:val="18"/>
      </w:rPr>
      <w:t>Dec.1</w:t>
    </w:r>
    <w:r w:rsidR="00B3200D">
      <w:rPr>
        <w:szCs w:val="18"/>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4F0E6DAA" w:rsidR="005629FD" w:rsidRPr="003F4DA7" w:rsidRDefault="005629FD" w:rsidP="00417FE2">
    <w:pPr>
      <w:pStyle w:val="Header"/>
      <w:jc w:val="right"/>
      <w:rPr>
        <w:szCs w:val="18"/>
      </w:rPr>
    </w:pPr>
    <w:r w:rsidRPr="009C52E8">
      <w:rPr>
        <w:bCs/>
        <w:szCs w:val="18"/>
      </w:rPr>
      <w:t>UNEP</w:t>
    </w:r>
    <w:r w:rsidRPr="009C52E8">
      <w:rPr>
        <w:szCs w:val="18"/>
      </w:rPr>
      <w:t>/MC/COP.3/</w:t>
    </w:r>
    <w:r w:rsidR="009F2A42">
      <w:rPr>
        <w:szCs w:val="18"/>
      </w:rPr>
      <w:t>Dec.1</w:t>
    </w:r>
    <w:r w:rsidR="00B3200D">
      <w:rPr>
        <w:szCs w:val="1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E2"/>
    <w:multiLevelType w:val="hybridMultilevel"/>
    <w:tmpl w:val="FC90C11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B90B45"/>
    <w:multiLevelType w:val="hybridMultilevel"/>
    <w:tmpl w:val="2884B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1585F"/>
    <w:multiLevelType w:val="hybridMultilevel"/>
    <w:tmpl w:val="E35276A8"/>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8F66D60"/>
    <w:multiLevelType w:val="hybridMultilevel"/>
    <w:tmpl w:val="967476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B235F78"/>
    <w:multiLevelType w:val="hybridMultilevel"/>
    <w:tmpl w:val="7AC09686"/>
    <w:lvl w:ilvl="0" w:tplc="FC78434E">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76ACC4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AEC29E">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B4EF5E">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18C6A2">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B6E6C2">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2167C">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F25294">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280F4">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E272851"/>
    <w:multiLevelType w:val="multilevel"/>
    <w:tmpl w:val="D53268C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0E6156D2"/>
    <w:multiLevelType w:val="hybridMultilevel"/>
    <w:tmpl w:val="0D0CEF42"/>
    <w:lvl w:ilvl="0" w:tplc="4E9C3542">
      <w:start w:val="1"/>
      <w:numFmt w:val="bullet"/>
      <w:lvlText w:val="o"/>
      <w:lvlJc w:val="left"/>
      <w:pPr>
        <w:tabs>
          <w:tab w:val="left" w:pos="1163"/>
          <w:tab w:val="left" w:pos="1247"/>
          <w:tab w:val="left" w:pos="1815"/>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D7A1310">
      <w:start w:val="1"/>
      <w:numFmt w:val="bullet"/>
      <w:lvlText w:val="o"/>
      <w:lvlJc w:val="left"/>
      <w:pPr>
        <w:tabs>
          <w:tab w:val="left" w:pos="1163"/>
          <w:tab w:val="left" w:pos="1247"/>
          <w:tab w:val="left" w:pos="1815"/>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86E5996">
      <w:start w:val="1"/>
      <w:numFmt w:val="bullet"/>
      <w:lvlText w:val="▪"/>
      <w:lvlJc w:val="left"/>
      <w:pPr>
        <w:tabs>
          <w:tab w:val="left" w:pos="1163"/>
          <w:tab w:val="left" w:pos="1247"/>
          <w:tab w:val="left" w:pos="1815"/>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2B25AA2">
      <w:start w:val="1"/>
      <w:numFmt w:val="bullet"/>
      <w:suff w:val="nothing"/>
      <w:lvlText w:val="•"/>
      <w:lvlJc w:val="left"/>
      <w:pPr>
        <w:tabs>
          <w:tab w:val="left" w:pos="1163"/>
          <w:tab w:val="left" w:pos="1247"/>
          <w:tab w:val="left" w:pos="1815"/>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D84FCC">
      <w:start w:val="1"/>
      <w:numFmt w:val="bullet"/>
      <w:lvlText w:val="o"/>
      <w:lvlJc w:val="left"/>
      <w:pPr>
        <w:tabs>
          <w:tab w:val="left" w:pos="1163"/>
          <w:tab w:val="left" w:pos="1247"/>
          <w:tab w:val="left" w:pos="1815"/>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8705E3C">
      <w:start w:val="1"/>
      <w:numFmt w:val="bullet"/>
      <w:lvlText w:val="▪"/>
      <w:lvlJc w:val="left"/>
      <w:pPr>
        <w:tabs>
          <w:tab w:val="left" w:pos="1163"/>
          <w:tab w:val="left" w:pos="1247"/>
          <w:tab w:val="left" w:pos="1815"/>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55E9198">
      <w:start w:val="1"/>
      <w:numFmt w:val="bullet"/>
      <w:lvlText w:val="•"/>
      <w:lvlJc w:val="left"/>
      <w:pPr>
        <w:tabs>
          <w:tab w:val="left" w:pos="1163"/>
          <w:tab w:val="left" w:pos="1247"/>
          <w:tab w:val="left" w:pos="1815"/>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B88776E">
      <w:start w:val="1"/>
      <w:numFmt w:val="bullet"/>
      <w:lvlText w:val="o"/>
      <w:lvlJc w:val="left"/>
      <w:pPr>
        <w:tabs>
          <w:tab w:val="left" w:pos="1163"/>
          <w:tab w:val="left" w:pos="1247"/>
          <w:tab w:val="left" w:pos="1815"/>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CFCCC62">
      <w:start w:val="1"/>
      <w:numFmt w:val="bullet"/>
      <w:lvlText w:val="▪"/>
      <w:lvlJc w:val="left"/>
      <w:pPr>
        <w:tabs>
          <w:tab w:val="left" w:pos="1163"/>
          <w:tab w:val="left" w:pos="1247"/>
          <w:tab w:val="left" w:pos="1815"/>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31122E4"/>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07640"/>
    <w:multiLevelType w:val="hybridMultilevel"/>
    <w:tmpl w:val="1494D5EC"/>
    <w:lvl w:ilvl="0" w:tplc="5316F0A6">
      <w:start w:val="1"/>
      <w:numFmt w:val="decimal"/>
      <w:lvlText w:val="%1."/>
      <w:lvlJc w:val="left"/>
      <w:pPr>
        <w:tabs>
          <w:tab w:val="left" w:pos="624"/>
          <w:tab w:val="left" w:pos="1247"/>
          <w:tab w:val="left" w:pos="1814"/>
          <w:tab w:val="left" w:pos="2381"/>
          <w:tab w:val="left" w:pos="2948"/>
          <w:tab w:val="left" w:pos="3515"/>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86CD6A">
      <w:start w:val="1"/>
      <w:numFmt w:val="lowerLetter"/>
      <w:lvlText w:val="(%2)"/>
      <w:lvlJc w:val="left"/>
      <w:pPr>
        <w:tabs>
          <w:tab w:val="left" w:pos="624"/>
          <w:tab w:val="left" w:pos="1247"/>
          <w:tab w:val="left" w:pos="1814"/>
          <w:tab w:val="left" w:pos="2381"/>
          <w:tab w:val="left" w:pos="2948"/>
          <w:tab w:val="left" w:pos="3515"/>
        </w:tabs>
        <w:ind w:left="1647" w:hanging="360"/>
      </w:pPr>
      <w:rPr>
        <w:highlight w:val="none"/>
      </w:rPr>
    </w:lvl>
    <w:lvl w:ilvl="2" w:tplc="B664A4C2">
      <w:start w:val="1"/>
      <w:numFmt w:val="lowerRoman"/>
      <w:lvlText w:val="%3)"/>
      <w:lvlJc w:val="left"/>
      <w:pPr>
        <w:tabs>
          <w:tab w:val="left" w:pos="624"/>
          <w:tab w:val="left" w:pos="1247"/>
          <w:tab w:val="left" w:pos="1814"/>
          <w:tab w:val="left" w:pos="2948"/>
          <w:tab w:val="left" w:pos="3515"/>
        </w:tabs>
        <w:ind w:left="2381"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B26CF6">
      <w:start w:val="1"/>
      <w:numFmt w:val="decimal"/>
      <w:lvlText w:val="%4."/>
      <w:lvlJc w:val="left"/>
      <w:pPr>
        <w:tabs>
          <w:tab w:val="left" w:pos="624"/>
          <w:tab w:val="left" w:pos="1247"/>
          <w:tab w:val="left" w:pos="1814"/>
          <w:tab w:val="left" w:pos="2381"/>
          <w:tab w:val="left" w:pos="3515"/>
        </w:tabs>
        <w:ind w:left="2948"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CF032">
      <w:start w:val="1"/>
      <w:numFmt w:val="lowerLetter"/>
      <w:lvlText w:val="(%5)"/>
      <w:lvlJc w:val="left"/>
      <w:pPr>
        <w:tabs>
          <w:tab w:val="left" w:pos="624"/>
          <w:tab w:val="left" w:pos="1247"/>
          <w:tab w:val="left" w:pos="1814"/>
          <w:tab w:val="left" w:pos="2381"/>
          <w:tab w:val="left" w:pos="2948"/>
          <w:tab w:val="left" w:pos="3515"/>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72B596">
      <w:start w:val="1"/>
      <w:numFmt w:val="lowerRoman"/>
      <w:lvlText w:val="%6."/>
      <w:lvlJc w:val="left"/>
      <w:pPr>
        <w:tabs>
          <w:tab w:val="left" w:pos="624"/>
          <w:tab w:val="left" w:pos="1247"/>
          <w:tab w:val="left" w:pos="1814"/>
          <w:tab w:val="left" w:pos="2381"/>
          <w:tab w:val="left" w:pos="2948"/>
          <w:tab w:val="left" w:pos="3515"/>
        </w:tabs>
        <w:ind w:left="452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69D18">
      <w:start w:val="1"/>
      <w:numFmt w:val="decimal"/>
      <w:lvlText w:val="%7."/>
      <w:lvlJc w:val="left"/>
      <w:pPr>
        <w:tabs>
          <w:tab w:val="left" w:pos="624"/>
          <w:tab w:val="left" w:pos="1247"/>
          <w:tab w:val="left" w:pos="1814"/>
          <w:tab w:val="left" w:pos="2381"/>
          <w:tab w:val="left" w:pos="2948"/>
          <w:tab w:val="left" w:pos="3515"/>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2E4B24">
      <w:start w:val="1"/>
      <w:numFmt w:val="lowerLetter"/>
      <w:lvlText w:val="%8."/>
      <w:lvlJc w:val="left"/>
      <w:pPr>
        <w:tabs>
          <w:tab w:val="left" w:pos="624"/>
          <w:tab w:val="left" w:pos="1247"/>
          <w:tab w:val="left" w:pos="1814"/>
          <w:tab w:val="left" w:pos="2381"/>
          <w:tab w:val="left" w:pos="2948"/>
          <w:tab w:val="left" w:pos="3515"/>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4CD54">
      <w:start w:val="1"/>
      <w:numFmt w:val="lowerRoman"/>
      <w:lvlText w:val="%9."/>
      <w:lvlJc w:val="left"/>
      <w:pPr>
        <w:tabs>
          <w:tab w:val="left" w:pos="624"/>
          <w:tab w:val="left" w:pos="1247"/>
          <w:tab w:val="left" w:pos="1814"/>
          <w:tab w:val="left" w:pos="2381"/>
          <w:tab w:val="left" w:pos="2948"/>
          <w:tab w:val="left" w:pos="3515"/>
        </w:tabs>
        <w:ind w:left="668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11" w15:restartNumberingAfterBreak="0">
    <w:nsid w:val="1A3C3625"/>
    <w:multiLevelType w:val="hybridMultilevel"/>
    <w:tmpl w:val="8ACA138C"/>
    <w:lvl w:ilvl="0" w:tplc="78083696">
      <w:start w:val="1"/>
      <w:numFmt w:val="lowerLetter"/>
      <w:lvlText w:val="(%1)"/>
      <w:lvlJc w:val="left"/>
      <w:pPr>
        <w:ind w:left="2232" w:hanging="360"/>
      </w:pPr>
      <w:rPr>
        <w:rFonts w:hint="default"/>
      </w:rPr>
    </w:lvl>
    <w:lvl w:ilvl="1" w:tplc="78083696">
      <w:start w:val="1"/>
      <w:numFmt w:val="lowerLetter"/>
      <w:lvlText w:val="(%2)"/>
      <w:lvlJc w:val="left"/>
      <w:pPr>
        <w:ind w:left="2952" w:hanging="360"/>
      </w:pPr>
      <w:rPr>
        <w:rFonts w:hint="default"/>
      </w:rPr>
    </w:lvl>
    <w:lvl w:ilvl="2" w:tplc="0809001B">
      <w:start w:val="1"/>
      <w:numFmt w:val="lowerRoman"/>
      <w:lvlText w:val="%3."/>
      <w:lvlJc w:val="right"/>
      <w:pPr>
        <w:ind w:left="3672" w:hanging="180"/>
      </w:pPr>
    </w:lvl>
    <w:lvl w:ilvl="3" w:tplc="0809000F" w:tentative="1">
      <w:start w:val="1"/>
      <w:numFmt w:val="decimal"/>
      <w:lvlText w:val="%4."/>
      <w:lvlJc w:val="left"/>
      <w:pPr>
        <w:ind w:left="4392" w:hanging="360"/>
      </w:pPr>
    </w:lvl>
    <w:lvl w:ilvl="4" w:tplc="08090019" w:tentative="1">
      <w:start w:val="1"/>
      <w:numFmt w:val="lowerLetter"/>
      <w:lvlText w:val="%5."/>
      <w:lvlJc w:val="left"/>
      <w:pPr>
        <w:ind w:left="5112" w:hanging="360"/>
      </w:pPr>
    </w:lvl>
    <w:lvl w:ilvl="5" w:tplc="0809001B" w:tentative="1">
      <w:start w:val="1"/>
      <w:numFmt w:val="lowerRoman"/>
      <w:lvlText w:val="%6."/>
      <w:lvlJc w:val="right"/>
      <w:pPr>
        <w:ind w:left="5832" w:hanging="180"/>
      </w:pPr>
    </w:lvl>
    <w:lvl w:ilvl="6" w:tplc="0809000F" w:tentative="1">
      <w:start w:val="1"/>
      <w:numFmt w:val="decimal"/>
      <w:lvlText w:val="%7."/>
      <w:lvlJc w:val="left"/>
      <w:pPr>
        <w:ind w:left="6552" w:hanging="360"/>
      </w:pPr>
    </w:lvl>
    <w:lvl w:ilvl="7" w:tplc="08090019" w:tentative="1">
      <w:start w:val="1"/>
      <w:numFmt w:val="lowerLetter"/>
      <w:lvlText w:val="%8."/>
      <w:lvlJc w:val="left"/>
      <w:pPr>
        <w:ind w:left="7272" w:hanging="360"/>
      </w:pPr>
    </w:lvl>
    <w:lvl w:ilvl="8" w:tplc="0809001B" w:tentative="1">
      <w:start w:val="1"/>
      <w:numFmt w:val="lowerRoman"/>
      <w:lvlText w:val="%9."/>
      <w:lvlJc w:val="right"/>
      <w:pPr>
        <w:ind w:left="7992" w:hanging="180"/>
      </w:pPr>
    </w:lvl>
  </w:abstractNum>
  <w:abstractNum w:abstractNumId="1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3" w15:restartNumberingAfterBreak="0">
    <w:nsid w:val="22BA736E"/>
    <w:multiLevelType w:val="hybridMultilevel"/>
    <w:tmpl w:val="3EC8D13C"/>
    <w:lvl w:ilvl="0" w:tplc="FFFFFFFF">
      <w:start w:val="1"/>
      <w:numFmt w:val="lowerLetter"/>
      <w:lvlText w:val="(%1)"/>
      <w:lvlJc w:val="left"/>
      <w:pPr>
        <w:tabs>
          <w:tab w:val="left" w:pos="848"/>
          <w:tab w:val="left" w:pos="1247"/>
          <w:tab w:val="left" w:pos="1814"/>
          <w:tab w:val="left" w:pos="2381"/>
          <w:tab w:val="left" w:pos="2948"/>
          <w:tab w:val="left" w:pos="3515"/>
        </w:tabs>
        <w:ind w:left="1871"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4" w15:restartNumberingAfterBreak="0">
    <w:nsid w:val="23122D5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424446"/>
    <w:multiLevelType w:val="hybridMultilevel"/>
    <w:tmpl w:val="A24CB1CE"/>
    <w:lvl w:ilvl="0" w:tplc="BCE88806">
      <w:start w:val="1"/>
      <w:numFmt w:val="decimal"/>
      <w:lvlText w:val="%1."/>
      <w:lvlJc w:val="left"/>
      <w:pPr>
        <w:ind w:left="2591" w:hanging="360"/>
      </w:pPr>
      <w:rPr>
        <w:i w:val="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6" w15:restartNumberingAfterBreak="0">
    <w:nsid w:val="23693738"/>
    <w:multiLevelType w:val="hybridMultilevel"/>
    <w:tmpl w:val="5524C290"/>
    <w:lvl w:ilvl="0" w:tplc="AA62171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FFEC6BC">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C989E">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8A034C">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084492">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CC13F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6E061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A84F5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E2CD9C">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4FF7BCD"/>
    <w:multiLevelType w:val="hybridMultilevel"/>
    <w:tmpl w:val="25BE336C"/>
    <w:lvl w:ilvl="0" w:tplc="41140B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2E3B6C"/>
    <w:multiLevelType w:val="hybridMultilevel"/>
    <w:tmpl w:val="E35276A8"/>
    <w:numStyleLink w:val="ImportedStyle2"/>
  </w:abstractNum>
  <w:abstractNum w:abstractNumId="20"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895181E"/>
    <w:multiLevelType w:val="hybridMultilevel"/>
    <w:tmpl w:val="C61A7318"/>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E93A2C"/>
    <w:multiLevelType w:val="hybridMultilevel"/>
    <w:tmpl w:val="C73CEC88"/>
    <w:lvl w:ilvl="0" w:tplc="DFD47FAE">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9EE168">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18DDA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5CEBD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AE729C">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8CBDD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C11D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F0BC9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DAA00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9D03C2A"/>
    <w:multiLevelType w:val="hybridMultilevel"/>
    <w:tmpl w:val="C1268A52"/>
    <w:lvl w:ilvl="0" w:tplc="DF1CD7B8">
      <w:start w:val="1"/>
      <w:numFmt w:val="bullet"/>
      <w:lvlText w:val="o"/>
      <w:lvlJc w:val="left"/>
      <w:pPr>
        <w:tabs>
          <w:tab w:val="left" w:pos="1163"/>
          <w:tab w:val="left" w:pos="1248"/>
          <w:tab w:val="left" w:pos="1814"/>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8EAE3DE">
      <w:start w:val="1"/>
      <w:numFmt w:val="bullet"/>
      <w:lvlText w:val="o"/>
      <w:lvlJc w:val="left"/>
      <w:pPr>
        <w:tabs>
          <w:tab w:val="left" w:pos="1163"/>
          <w:tab w:val="left" w:pos="1248"/>
          <w:tab w:val="left" w:pos="1814"/>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63495F2">
      <w:start w:val="1"/>
      <w:numFmt w:val="bullet"/>
      <w:lvlText w:val="▪"/>
      <w:lvlJc w:val="left"/>
      <w:pPr>
        <w:tabs>
          <w:tab w:val="left" w:pos="1163"/>
          <w:tab w:val="left" w:pos="1248"/>
          <w:tab w:val="left" w:pos="1814"/>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D6CE78">
      <w:start w:val="1"/>
      <w:numFmt w:val="bullet"/>
      <w:suff w:val="nothing"/>
      <w:lvlText w:val="•"/>
      <w:lvlJc w:val="left"/>
      <w:pPr>
        <w:tabs>
          <w:tab w:val="left" w:pos="1163"/>
          <w:tab w:val="left" w:pos="1248"/>
          <w:tab w:val="left" w:pos="1814"/>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7328132">
      <w:start w:val="1"/>
      <w:numFmt w:val="bullet"/>
      <w:lvlText w:val="o"/>
      <w:lvlJc w:val="left"/>
      <w:pPr>
        <w:tabs>
          <w:tab w:val="left" w:pos="1163"/>
          <w:tab w:val="left" w:pos="1248"/>
          <w:tab w:val="left" w:pos="1814"/>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87C048A">
      <w:start w:val="1"/>
      <w:numFmt w:val="bullet"/>
      <w:lvlText w:val="▪"/>
      <w:lvlJc w:val="left"/>
      <w:pPr>
        <w:tabs>
          <w:tab w:val="left" w:pos="1163"/>
          <w:tab w:val="left" w:pos="1248"/>
          <w:tab w:val="left" w:pos="1814"/>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E098B2">
      <w:start w:val="1"/>
      <w:numFmt w:val="bullet"/>
      <w:lvlText w:val="•"/>
      <w:lvlJc w:val="left"/>
      <w:pPr>
        <w:tabs>
          <w:tab w:val="left" w:pos="1163"/>
          <w:tab w:val="left" w:pos="1248"/>
          <w:tab w:val="left" w:pos="1814"/>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3A6FC4E">
      <w:start w:val="1"/>
      <w:numFmt w:val="bullet"/>
      <w:lvlText w:val="o"/>
      <w:lvlJc w:val="left"/>
      <w:pPr>
        <w:tabs>
          <w:tab w:val="left" w:pos="1163"/>
          <w:tab w:val="left" w:pos="1248"/>
          <w:tab w:val="left" w:pos="1814"/>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047B3E">
      <w:start w:val="1"/>
      <w:numFmt w:val="bullet"/>
      <w:lvlText w:val="▪"/>
      <w:lvlJc w:val="left"/>
      <w:pPr>
        <w:tabs>
          <w:tab w:val="left" w:pos="1163"/>
          <w:tab w:val="left" w:pos="1248"/>
          <w:tab w:val="left" w:pos="1814"/>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E0F2A71"/>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5"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6" w15:restartNumberingAfterBreak="0">
    <w:nsid w:val="30363FFE"/>
    <w:multiLevelType w:val="hybridMultilevel"/>
    <w:tmpl w:val="5D7E35D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8" w15:restartNumberingAfterBreak="0">
    <w:nsid w:val="381A73AC"/>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3E81218F"/>
    <w:multiLevelType w:val="hybridMultilevel"/>
    <w:tmpl w:val="48A68780"/>
    <w:lvl w:ilvl="0" w:tplc="B7DAD524">
      <w:start w:val="1"/>
      <w:numFmt w:val="decimal"/>
      <w:lvlText w:val="%1."/>
      <w:lvlJc w:val="left"/>
      <w:pPr>
        <w:tabs>
          <w:tab w:val="left" w:pos="1163"/>
          <w:tab w:val="left" w:pos="1247"/>
          <w:tab w:val="left" w:pos="1814"/>
          <w:tab w:val="left" w:pos="2381"/>
          <w:tab w:val="left" w:pos="2948"/>
          <w:tab w:val="left" w:pos="3515"/>
        </w:tabs>
        <w:ind w:left="283" w:hanging="170"/>
      </w:pPr>
      <w:rPr>
        <w:rFonts w:hAnsi="Arial Unicode MS"/>
        <w:caps w:val="0"/>
        <w:smallCaps w:val="0"/>
        <w:strike w:val="0"/>
        <w:dstrike w:val="0"/>
        <w:outline w:val="0"/>
        <w:emboss w:val="0"/>
        <w:imprint w:val="0"/>
        <w:spacing w:val="0"/>
        <w:w w:val="100"/>
        <w:kern w:val="0"/>
        <w:position w:val="0"/>
        <w:highlight w:val="none"/>
        <w:vertAlign w:val="baseline"/>
      </w:rPr>
    </w:lvl>
    <w:lvl w:ilvl="1" w:tplc="706099C8">
      <w:start w:val="1"/>
      <w:numFmt w:val="decimal"/>
      <w:lvlText w:val="%2."/>
      <w:lvlJc w:val="left"/>
      <w:pPr>
        <w:tabs>
          <w:tab w:val="left" w:pos="1163"/>
          <w:tab w:val="left" w:pos="1247"/>
          <w:tab w:val="left" w:pos="1814"/>
          <w:tab w:val="left" w:pos="2381"/>
          <w:tab w:val="left" w:pos="2948"/>
          <w:tab w:val="left" w:pos="3515"/>
        </w:tabs>
        <w:ind w:left="890" w:hanging="170"/>
      </w:pPr>
      <w:rPr>
        <w:rFonts w:hAnsi="Arial Unicode MS"/>
        <w:caps w:val="0"/>
        <w:smallCaps w:val="0"/>
        <w:strike w:val="0"/>
        <w:dstrike w:val="0"/>
        <w:outline w:val="0"/>
        <w:emboss w:val="0"/>
        <w:imprint w:val="0"/>
        <w:spacing w:val="0"/>
        <w:w w:val="100"/>
        <w:kern w:val="0"/>
        <w:position w:val="0"/>
        <w:highlight w:val="none"/>
        <w:vertAlign w:val="baseline"/>
      </w:rPr>
    </w:lvl>
    <w:lvl w:ilvl="2" w:tplc="325C5BCA">
      <w:start w:val="1"/>
      <w:numFmt w:val="decimal"/>
      <w:lvlText w:val="%3."/>
      <w:lvlJc w:val="left"/>
      <w:pPr>
        <w:tabs>
          <w:tab w:val="left" w:pos="1163"/>
          <w:tab w:val="left" w:pos="1247"/>
          <w:tab w:val="left" w:pos="1814"/>
          <w:tab w:val="left" w:pos="2381"/>
          <w:tab w:val="left" w:pos="2948"/>
          <w:tab w:val="left" w:pos="3515"/>
        </w:tabs>
        <w:ind w:left="1610"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BF84DD04">
      <w:start w:val="1"/>
      <w:numFmt w:val="decimal"/>
      <w:lvlText w:val="%4."/>
      <w:lvlJc w:val="left"/>
      <w:pPr>
        <w:tabs>
          <w:tab w:val="left" w:pos="1163"/>
          <w:tab w:val="left" w:pos="1247"/>
          <w:tab w:val="left" w:pos="1814"/>
          <w:tab w:val="left" w:pos="2381"/>
          <w:tab w:val="left" w:pos="2948"/>
          <w:tab w:val="left" w:pos="3515"/>
        </w:tabs>
        <w:ind w:left="2330" w:hanging="170"/>
      </w:pPr>
      <w:rPr>
        <w:rFonts w:hAnsi="Arial Unicode MS"/>
        <w:caps w:val="0"/>
        <w:smallCaps w:val="0"/>
        <w:strike w:val="0"/>
        <w:dstrike w:val="0"/>
        <w:outline w:val="0"/>
        <w:emboss w:val="0"/>
        <w:imprint w:val="0"/>
        <w:spacing w:val="0"/>
        <w:w w:val="100"/>
        <w:kern w:val="0"/>
        <w:position w:val="0"/>
        <w:highlight w:val="none"/>
        <w:vertAlign w:val="baseline"/>
      </w:rPr>
    </w:lvl>
    <w:lvl w:ilvl="4" w:tplc="9698E778">
      <w:start w:val="1"/>
      <w:numFmt w:val="decimal"/>
      <w:lvlText w:val="%5."/>
      <w:lvlJc w:val="left"/>
      <w:pPr>
        <w:tabs>
          <w:tab w:val="left" w:pos="1163"/>
          <w:tab w:val="left" w:pos="1247"/>
          <w:tab w:val="left" w:pos="1814"/>
          <w:tab w:val="left" w:pos="2381"/>
          <w:tab w:val="left" w:pos="2948"/>
          <w:tab w:val="left" w:pos="3515"/>
        </w:tabs>
        <w:ind w:left="3050" w:hanging="170"/>
      </w:pPr>
      <w:rPr>
        <w:rFonts w:hAnsi="Arial Unicode MS"/>
        <w:caps w:val="0"/>
        <w:smallCaps w:val="0"/>
        <w:strike w:val="0"/>
        <w:dstrike w:val="0"/>
        <w:outline w:val="0"/>
        <w:emboss w:val="0"/>
        <w:imprint w:val="0"/>
        <w:spacing w:val="0"/>
        <w:w w:val="100"/>
        <w:kern w:val="0"/>
        <w:position w:val="0"/>
        <w:highlight w:val="none"/>
        <w:vertAlign w:val="baseline"/>
      </w:rPr>
    </w:lvl>
    <w:lvl w:ilvl="5" w:tplc="8232317E">
      <w:start w:val="1"/>
      <w:numFmt w:val="decimal"/>
      <w:lvlText w:val="%6."/>
      <w:lvlJc w:val="left"/>
      <w:pPr>
        <w:tabs>
          <w:tab w:val="left" w:pos="1163"/>
          <w:tab w:val="left" w:pos="1247"/>
          <w:tab w:val="left" w:pos="1814"/>
          <w:tab w:val="left" w:pos="2381"/>
          <w:tab w:val="left" w:pos="2948"/>
          <w:tab w:val="left" w:pos="3515"/>
        </w:tabs>
        <w:ind w:left="3770"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38E04868">
      <w:start w:val="1"/>
      <w:numFmt w:val="decimal"/>
      <w:lvlText w:val="%7."/>
      <w:lvlJc w:val="left"/>
      <w:pPr>
        <w:tabs>
          <w:tab w:val="left" w:pos="1163"/>
          <w:tab w:val="left" w:pos="1247"/>
          <w:tab w:val="left" w:pos="1814"/>
          <w:tab w:val="left" w:pos="2381"/>
          <w:tab w:val="left" w:pos="2948"/>
          <w:tab w:val="left" w:pos="3515"/>
        </w:tabs>
        <w:ind w:left="4490" w:hanging="170"/>
      </w:pPr>
      <w:rPr>
        <w:rFonts w:hAnsi="Arial Unicode MS"/>
        <w:caps w:val="0"/>
        <w:smallCaps w:val="0"/>
        <w:strike w:val="0"/>
        <w:dstrike w:val="0"/>
        <w:outline w:val="0"/>
        <w:emboss w:val="0"/>
        <w:imprint w:val="0"/>
        <w:spacing w:val="0"/>
        <w:w w:val="100"/>
        <w:kern w:val="0"/>
        <w:position w:val="0"/>
        <w:highlight w:val="none"/>
        <w:vertAlign w:val="baseline"/>
      </w:rPr>
    </w:lvl>
    <w:lvl w:ilvl="7" w:tplc="13C23B92">
      <w:start w:val="1"/>
      <w:numFmt w:val="decimal"/>
      <w:lvlText w:val="%8."/>
      <w:lvlJc w:val="left"/>
      <w:pPr>
        <w:tabs>
          <w:tab w:val="left" w:pos="1163"/>
          <w:tab w:val="left" w:pos="1247"/>
          <w:tab w:val="left" w:pos="1814"/>
          <w:tab w:val="left" w:pos="2381"/>
          <w:tab w:val="left" w:pos="2948"/>
          <w:tab w:val="left" w:pos="3515"/>
        </w:tabs>
        <w:ind w:left="5210" w:hanging="170"/>
      </w:pPr>
      <w:rPr>
        <w:rFonts w:hAnsi="Arial Unicode MS"/>
        <w:caps w:val="0"/>
        <w:smallCaps w:val="0"/>
        <w:strike w:val="0"/>
        <w:dstrike w:val="0"/>
        <w:outline w:val="0"/>
        <w:emboss w:val="0"/>
        <w:imprint w:val="0"/>
        <w:spacing w:val="0"/>
        <w:w w:val="100"/>
        <w:kern w:val="0"/>
        <w:position w:val="0"/>
        <w:highlight w:val="none"/>
        <w:vertAlign w:val="baseline"/>
      </w:rPr>
    </w:lvl>
    <w:lvl w:ilvl="8" w:tplc="B88C81DE">
      <w:start w:val="1"/>
      <w:numFmt w:val="decimal"/>
      <w:lvlText w:val="%9."/>
      <w:lvlJc w:val="left"/>
      <w:pPr>
        <w:tabs>
          <w:tab w:val="left" w:pos="1163"/>
          <w:tab w:val="left" w:pos="1247"/>
          <w:tab w:val="left" w:pos="1814"/>
          <w:tab w:val="left" w:pos="2381"/>
          <w:tab w:val="left" w:pos="2948"/>
          <w:tab w:val="left" w:pos="3515"/>
        </w:tabs>
        <w:ind w:left="5930"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6001E9B"/>
    <w:multiLevelType w:val="hybridMultilevel"/>
    <w:tmpl w:val="A6C4426A"/>
    <w:lvl w:ilvl="0" w:tplc="5D90EC60">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EC59A2">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AC0E8">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62730">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7EE044">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622A4C">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401C94">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6468F8">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06C766">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7ED1D44"/>
    <w:multiLevelType w:val="hybridMultilevel"/>
    <w:tmpl w:val="CBF03FCC"/>
    <w:lvl w:ilvl="0" w:tplc="F9AE0F88">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56D0E8">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3EFFB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E2D4F6">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F416DA">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80CBB8">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46AE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7C657E">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448906">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BCB68A8"/>
    <w:multiLevelType w:val="hybridMultilevel"/>
    <w:tmpl w:val="652001B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40277A"/>
    <w:multiLevelType w:val="hybridMultilevel"/>
    <w:tmpl w:val="35C8B356"/>
    <w:lvl w:ilvl="0" w:tplc="6596AA24">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1A2E2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626538">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F4723A">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EA6786">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32FE1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74C79E">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21E43C6">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56B18E">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E684106"/>
    <w:multiLevelType w:val="hybridMultilevel"/>
    <w:tmpl w:val="6D048E66"/>
    <w:lvl w:ilvl="0" w:tplc="994214D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DA0201"/>
    <w:multiLevelType w:val="hybridMultilevel"/>
    <w:tmpl w:val="26E48006"/>
    <w:lvl w:ilvl="0" w:tplc="D3284F9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BA5D10">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A9AD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AC86A">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8C6D3A">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E089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C83FCE">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2C35A0">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2BB8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12945D7"/>
    <w:multiLevelType w:val="hybridMultilevel"/>
    <w:tmpl w:val="12BE7FBA"/>
    <w:lvl w:ilvl="0" w:tplc="794835AE">
      <w:start w:val="1"/>
      <w:numFmt w:val="bullet"/>
      <w:lvlText w:val="▪"/>
      <w:lvlJc w:val="left"/>
      <w:pPr>
        <w:tabs>
          <w:tab w:val="left" w:pos="1247"/>
          <w:tab w:val="left" w:pos="1814"/>
          <w:tab w:val="left" w:pos="2381"/>
          <w:tab w:val="left" w:pos="2948"/>
          <w:tab w:val="left" w:pos="3515"/>
        </w:tabs>
        <w:ind w:left="2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E41962">
      <w:start w:val="1"/>
      <w:numFmt w:val="bullet"/>
      <w:lvlText w:val="o"/>
      <w:lvlJc w:val="left"/>
      <w:pPr>
        <w:tabs>
          <w:tab w:val="left" w:pos="1247"/>
          <w:tab w:val="left" w:pos="1814"/>
          <w:tab w:val="left" w:pos="2381"/>
          <w:tab w:val="left" w:pos="2948"/>
          <w:tab w:val="left" w:pos="3515"/>
        </w:tabs>
        <w:ind w:left="9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D24924">
      <w:start w:val="1"/>
      <w:numFmt w:val="bullet"/>
      <w:lvlText w:val="▪"/>
      <w:lvlJc w:val="left"/>
      <w:pPr>
        <w:tabs>
          <w:tab w:val="left" w:pos="1247"/>
          <w:tab w:val="left" w:pos="1814"/>
          <w:tab w:val="left" w:pos="2381"/>
          <w:tab w:val="left" w:pos="2948"/>
          <w:tab w:val="left" w:pos="3515"/>
        </w:tabs>
        <w:ind w:left="16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32B5EE">
      <w:start w:val="1"/>
      <w:numFmt w:val="bullet"/>
      <w:lvlText w:val="•"/>
      <w:lvlJc w:val="left"/>
      <w:pPr>
        <w:tabs>
          <w:tab w:val="left" w:pos="1247"/>
          <w:tab w:val="left" w:pos="1814"/>
          <w:tab w:val="left" w:pos="2381"/>
          <w:tab w:val="left" w:pos="2948"/>
          <w:tab w:val="left" w:pos="3515"/>
        </w:tabs>
        <w:ind w:left="23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9CB4AE">
      <w:start w:val="1"/>
      <w:numFmt w:val="bullet"/>
      <w:lvlText w:val="o"/>
      <w:lvlJc w:val="left"/>
      <w:pPr>
        <w:tabs>
          <w:tab w:val="left" w:pos="1247"/>
          <w:tab w:val="left" w:pos="1814"/>
          <w:tab w:val="left" w:pos="2381"/>
          <w:tab w:val="left" w:pos="2948"/>
          <w:tab w:val="left" w:pos="3515"/>
        </w:tabs>
        <w:ind w:left="308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3E514A">
      <w:start w:val="1"/>
      <w:numFmt w:val="bullet"/>
      <w:lvlText w:val="▪"/>
      <w:lvlJc w:val="left"/>
      <w:pPr>
        <w:tabs>
          <w:tab w:val="left" w:pos="1247"/>
          <w:tab w:val="left" w:pos="1814"/>
          <w:tab w:val="left" w:pos="2381"/>
          <w:tab w:val="left" w:pos="2948"/>
          <w:tab w:val="left" w:pos="3515"/>
        </w:tabs>
        <w:ind w:left="38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8085AA">
      <w:start w:val="1"/>
      <w:numFmt w:val="bullet"/>
      <w:lvlText w:val="•"/>
      <w:lvlJc w:val="left"/>
      <w:pPr>
        <w:tabs>
          <w:tab w:val="left" w:pos="1247"/>
          <w:tab w:val="left" w:pos="1814"/>
          <w:tab w:val="left" w:pos="2381"/>
          <w:tab w:val="left" w:pos="2948"/>
          <w:tab w:val="left" w:pos="3515"/>
        </w:tabs>
        <w:ind w:left="45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8E8734">
      <w:start w:val="1"/>
      <w:numFmt w:val="bullet"/>
      <w:lvlText w:val="o"/>
      <w:lvlJc w:val="left"/>
      <w:pPr>
        <w:tabs>
          <w:tab w:val="left" w:pos="1247"/>
          <w:tab w:val="left" w:pos="1814"/>
          <w:tab w:val="left" w:pos="2381"/>
          <w:tab w:val="left" w:pos="2948"/>
          <w:tab w:val="left" w:pos="3515"/>
        </w:tabs>
        <w:ind w:left="52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4CB380">
      <w:start w:val="1"/>
      <w:numFmt w:val="bullet"/>
      <w:lvlText w:val="▪"/>
      <w:lvlJc w:val="left"/>
      <w:pPr>
        <w:tabs>
          <w:tab w:val="left" w:pos="1247"/>
          <w:tab w:val="left" w:pos="1814"/>
          <w:tab w:val="left" w:pos="2381"/>
          <w:tab w:val="left" w:pos="2948"/>
          <w:tab w:val="left" w:pos="3515"/>
        </w:tabs>
        <w:ind w:left="59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2" w15:restartNumberingAfterBreak="0">
    <w:nsid w:val="52A66A9D"/>
    <w:multiLevelType w:val="multilevel"/>
    <w:tmpl w:val="FB0485A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3"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5" w15:restartNumberingAfterBreak="0">
    <w:nsid w:val="5AFE1330"/>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5D427D00"/>
    <w:multiLevelType w:val="hybridMultilevel"/>
    <w:tmpl w:val="89FE5F40"/>
    <w:lvl w:ilvl="0" w:tplc="A31009E2">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DA39BE">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90A090">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B4C85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46EB28">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56D3F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CE4522">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C0E6BA">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427F78">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DBC4BD9"/>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3267EB"/>
    <w:multiLevelType w:val="hybridMultilevel"/>
    <w:tmpl w:val="B966241E"/>
    <w:lvl w:ilvl="0" w:tplc="DFFC8182">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8AAFBC">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96D76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665DA0">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C42FB0">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2C1BA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76DF1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EAEB22">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C81970">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F297111"/>
    <w:multiLevelType w:val="hybridMultilevel"/>
    <w:tmpl w:val="E572ED9E"/>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E04D5B"/>
    <w:multiLevelType w:val="hybridMultilevel"/>
    <w:tmpl w:val="5EB2697A"/>
    <w:lvl w:ilvl="0" w:tplc="C51200A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3F0A0D"/>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53" w15:restartNumberingAfterBreak="0">
    <w:nsid w:val="68C06696"/>
    <w:multiLevelType w:val="hybridMultilevel"/>
    <w:tmpl w:val="AF14FE7C"/>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9F6BCD"/>
    <w:multiLevelType w:val="hybridMultilevel"/>
    <w:tmpl w:val="C06E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B42071"/>
    <w:multiLevelType w:val="hybridMultilevel"/>
    <w:tmpl w:val="9822F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03575B0"/>
    <w:multiLevelType w:val="hybridMultilevel"/>
    <w:tmpl w:val="5F3850CC"/>
    <w:lvl w:ilvl="0" w:tplc="78083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5D258FB"/>
    <w:multiLevelType w:val="hybridMultilevel"/>
    <w:tmpl w:val="DAF8FEF2"/>
    <w:lvl w:ilvl="0" w:tplc="0409000F">
      <w:start w:val="1"/>
      <w:numFmt w:val="decimal"/>
      <w:lvlText w:val="%1."/>
      <w:lvlJc w:val="left"/>
      <w:pPr>
        <w:ind w:left="291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9402D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CF4843"/>
    <w:multiLevelType w:val="hybridMultilevel"/>
    <w:tmpl w:val="FAB8F50A"/>
    <w:lvl w:ilvl="0" w:tplc="A492E86C">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2"/>
  </w:num>
  <w:num w:numId="2">
    <w:abstractNumId w:val="12"/>
  </w:num>
  <w:num w:numId="3">
    <w:abstractNumId w:val="27"/>
  </w:num>
  <w:num w:numId="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25"/>
  </w:num>
  <w:num w:numId="6">
    <w:abstractNumId w:val="1"/>
  </w:num>
  <w:num w:numId="7">
    <w:abstractNumId w:val="20"/>
  </w:num>
  <w:num w:numId="8">
    <w:abstractNumId w:val="31"/>
  </w:num>
  <w:num w:numId="9">
    <w:abstractNumId w:val="17"/>
  </w:num>
  <w:num w:numId="10">
    <w:abstractNumId w:val="35"/>
  </w:num>
  <w:num w:numId="11">
    <w:abstractNumId w:val="3"/>
  </w:num>
  <w:num w:numId="12">
    <w:abstractNumId w:val="62"/>
  </w:num>
  <w:num w:numId="13">
    <w:abstractNumId w:val="43"/>
  </w:num>
  <w:num w:numId="14">
    <w:abstractNumId w:val="28"/>
  </w:num>
  <w:num w:numId="15">
    <w:abstractNumId w:val="8"/>
  </w:num>
  <w:num w:numId="16">
    <w:abstractNumId w:val="58"/>
  </w:num>
  <w:num w:numId="1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8">
    <w:abstractNumId w:val="47"/>
  </w:num>
  <w:num w:numId="19">
    <w:abstractNumId w:val="18"/>
  </w:num>
  <w:num w:numId="20">
    <w:abstractNumId w:val="49"/>
  </w:num>
  <w:num w:numId="21">
    <w:abstractNumId w:val="15"/>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10"/>
  </w:num>
  <w:num w:numId="28">
    <w:abstractNumId w:val="55"/>
  </w:num>
  <w:num w:numId="29">
    <w:abstractNumId w:val="29"/>
  </w:num>
  <w:num w:numId="30">
    <w:abstractNumId w:val="51"/>
  </w:num>
  <w:num w:numId="31">
    <w:abstractNumId w:val="45"/>
  </w:num>
  <w:num w:numId="32">
    <w:abstractNumId w:val="63"/>
  </w:num>
  <w:num w:numId="33">
    <w:abstractNumId w:val="32"/>
  </w:num>
  <w:num w:numId="34">
    <w:abstractNumId w:val="24"/>
  </w:num>
  <w:num w:numId="35">
    <w:abstractNumId w:val="9"/>
  </w:num>
  <w:num w:numId="36">
    <w:abstractNumId w:val="44"/>
  </w:num>
  <w:num w:numId="37">
    <w:abstractNumId w:val="13"/>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42"/>
    <w:lvlOverride w:ilvl="0">
      <w:lvl w:ilvl="0">
        <w:start w:val="1"/>
        <w:numFmt w:val="decimal"/>
        <w:pStyle w:val="Normalnumber"/>
        <w:lvlText w:val="%1."/>
        <w:lvlJc w:val="left"/>
        <w:pPr>
          <w:tabs>
            <w:tab w:val="num" w:pos="171"/>
          </w:tabs>
          <w:ind w:left="284"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2">
    <w:abstractNumId w:val="42"/>
    <w:lvlOverride w:ilvl="0">
      <w:lvl w:ilvl="0">
        <w:start w:val="1"/>
        <w:numFmt w:val="decimal"/>
        <w:pStyle w:val="Normalnumber"/>
        <w:lvlText w:val="%1."/>
        <w:lvlJc w:val="left"/>
        <w:pPr>
          <w:tabs>
            <w:tab w:val="num" w:pos="1164"/>
          </w:tabs>
          <w:ind w:left="1277" w:firstLine="0"/>
        </w:pPr>
        <w:rPr>
          <w:rFonts w:hint="default"/>
        </w:rPr>
      </w:lvl>
    </w:lvlOverride>
  </w:num>
  <w:num w:numId="43">
    <w:abstractNumId w:val="54"/>
  </w:num>
  <w:num w:numId="44">
    <w:abstractNumId w:val="26"/>
  </w:num>
  <w:num w:numId="45">
    <w:abstractNumId w:val="53"/>
  </w:num>
  <w:num w:numId="46">
    <w:abstractNumId w:val="36"/>
  </w:num>
  <w:num w:numId="47">
    <w:abstractNumId w:val="21"/>
  </w:num>
  <w:num w:numId="48">
    <w:abstractNumId w:val="0"/>
  </w:num>
  <w:num w:numId="49">
    <w:abstractNumId w:val="38"/>
  </w:num>
  <w:num w:numId="50">
    <w:abstractNumId w:val="40"/>
  </w:num>
  <w:num w:numId="51">
    <w:abstractNumId w:val="39"/>
  </w:num>
  <w:num w:numId="52">
    <w:abstractNumId w:val="46"/>
  </w:num>
  <w:num w:numId="53">
    <w:abstractNumId w:val="48"/>
  </w:num>
  <w:num w:numId="54">
    <w:abstractNumId w:val="7"/>
  </w:num>
  <w:num w:numId="55">
    <w:abstractNumId w:val="7"/>
    <w:lvlOverride w:ilvl="0">
      <w:lvl w:ilvl="0" w:tplc="4E9C3542">
        <w:start w:val="1"/>
        <w:numFmt w:val="bullet"/>
        <w:lvlText w:val="o"/>
        <w:lvlJc w:val="left"/>
        <w:pPr>
          <w:tabs>
            <w:tab w:val="left" w:pos="1163"/>
            <w:tab w:val="left" w:pos="1247"/>
            <w:tab w:val="left" w:pos="1814"/>
            <w:tab w:val="left" w:pos="2381"/>
            <w:tab w:val="left" w:pos="2948"/>
            <w:tab w:val="left" w:pos="3515"/>
          </w:tabs>
          <w:ind w:left="2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D7A1310">
        <w:start w:val="1"/>
        <w:numFmt w:val="bullet"/>
        <w:lvlText w:val="o"/>
        <w:lvlJc w:val="left"/>
        <w:pPr>
          <w:tabs>
            <w:tab w:val="left" w:pos="1163"/>
            <w:tab w:val="left" w:pos="1247"/>
            <w:tab w:val="left" w:pos="1814"/>
            <w:tab w:val="left" w:pos="2381"/>
            <w:tab w:val="left" w:pos="2948"/>
            <w:tab w:val="left" w:pos="3515"/>
          </w:tabs>
          <w:ind w:left="10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6E5996">
        <w:start w:val="1"/>
        <w:numFmt w:val="bullet"/>
        <w:lvlText w:val="▪"/>
        <w:lvlJc w:val="left"/>
        <w:pPr>
          <w:tabs>
            <w:tab w:val="left" w:pos="1163"/>
            <w:tab w:val="left" w:pos="1247"/>
            <w:tab w:val="left" w:pos="1814"/>
            <w:tab w:val="left" w:pos="2381"/>
            <w:tab w:val="left" w:pos="2948"/>
            <w:tab w:val="left" w:pos="3515"/>
          </w:tabs>
          <w:ind w:left="17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B25AA2">
        <w:start w:val="1"/>
        <w:numFmt w:val="bullet"/>
        <w:suff w:val="nothing"/>
        <w:lvlText w:val="•"/>
        <w:lvlJc w:val="left"/>
        <w:pPr>
          <w:tabs>
            <w:tab w:val="left" w:pos="1163"/>
            <w:tab w:val="left" w:pos="1247"/>
            <w:tab w:val="left" w:pos="1814"/>
            <w:tab w:val="left" w:pos="2381"/>
            <w:tab w:val="left" w:pos="2948"/>
            <w:tab w:val="left" w:pos="3515"/>
          </w:tabs>
          <w:ind w:left="2381" w:hanging="11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D84FCC">
        <w:start w:val="1"/>
        <w:numFmt w:val="bullet"/>
        <w:lvlText w:val="o"/>
        <w:lvlJc w:val="left"/>
        <w:pPr>
          <w:tabs>
            <w:tab w:val="left" w:pos="1163"/>
            <w:tab w:val="left" w:pos="1247"/>
            <w:tab w:val="left" w:pos="1814"/>
            <w:tab w:val="left" w:pos="2381"/>
            <w:tab w:val="left" w:pos="2948"/>
            <w:tab w:val="left" w:pos="3515"/>
          </w:tabs>
          <w:ind w:left="316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705E3C">
        <w:start w:val="1"/>
        <w:numFmt w:val="bullet"/>
        <w:lvlText w:val="▪"/>
        <w:lvlJc w:val="left"/>
        <w:pPr>
          <w:tabs>
            <w:tab w:val="left" w:pos="1163"/>
            <w:tab w:val="left" w:pos="1247"/>
            <w:tab w:val="left" w:pos="1814"/>
            <w:tab w:val="left" w:pos="2381"/>
            <w:tab w:val="left" w:pos="2948"/>
            <w:tab w:val="left" w:pos="3515"/>
          </w:tabs>
          <w:ind w:left="38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5E9198">
        <w:start w:val="1"/>
        <w:numFmt w:val="bullet"/>
        <w:lvlText w:val="•"/>
        <w:lvlJc w:val="left"/>
        <w:pPr>
          <w:tabs>
            <w:tab w:val="left" w:pos="1163"/>
            <w:tab w:val="left" w:pos="1247"/>
            <w:tab w:val="left" w:pos="1814"/>
            <w:tab w:val="left" w:pos="2381"/>
            <w:tab w:val="left" w:pos="2948"/>
            <w:tab w:val="left" w:pos="3515"/>
          </w:tabs>
          <w:ind w:left="46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B88776E">
        <w:start w:val="1"/>
        <w:numFmt w:val="bullet"/>
        <w:lvlText w:val="o"/>
        <w:lvlJc w:val="left"/>
        <w:pPr>
          <w:tabs>
            <w:tab w:val="left" w:pos="1163"/>
            <w:tab w:val="left" w:pos="1247"/>
            <w:tab w:val="left" w:pos="1814"/>
            <w:tab w:val="left" w:pos="2381"/>
            <w:tab w:val="left" w:pos="2948"/>
            <w:tab w:val="left" w:pos="3515"/>
          </w:tabs>
          <w:ind w:left="53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FCCC62">
        <w:start w:val="1"/>
        <w:numFmt w:val="bullet"/>
        <w:lvlText w:val="▪"/>
        <w:lvlJc w:val="left"/>
        <w:pPr>
          <w:tabs>
            <w:tab w:val="left" w:pos="1163"/>
            <w:tab w:val="left" w:pos="1247"/>
            <w:tab w:val="left" w:pos="1814"/>
            <w:tab w:val="left" w:pos="2381"/>
            <w:tab w:val="left" w:pos="2948"/>
            <w:tab w:val="left" w:pos="3515"/>
          </w:tabs>
          <w:ind w:left="604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23"/>
  </w:num>
  <w:num w:numId="57">
    <w:abstractNumId w:val="30"/>
  </w:num>
  <w:num w:numId="58">
    <w:abstractNumId w:val="37"/>
  </w:num>
  <w:num w:numId="59">
    <w:abstractNumId w:val="5"/>
  </w:num>
  <w:num w:numId="60">
    <w:abstractNumId w:val="34"/>
  </w:num>
  <w:num w:numId="61">
    <w:abstractNumId w:val="16"/>
  </w:num>
  <w:num w:numId="62">
    <w:abstractNumId w:val="22"/>
  </w:num>
  <w:num w:numId="63">
    <w:abstractNumId w:val="33"/>
  </w:num>
  <w:num w:numId="64">
    <w:abstractNumId w:val="4"/>
  </w:num>
  <w:num w:numId="6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3">
    <w:abstractNumId w:val="52"/>
  </w:num>
  <w:num w:numId="94">
    <w:abstractNumId w:val="60"/>
  </w:num>
  <w:num w:numId="9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7">
    <w:abstractNumId w:val="19"/>
  </w:num>
  <w:num w:numId="98">
    <w:abstractNumId w:val="6"/>
  </w:num>
  <w:num w:numId="99">
    <w:abstractNumId w:val="56"/>
  </w:num>
  <w:num w:numId="100">
    <w:abstractNumId w:val="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E4A"/>
    <w:rsid w:val="000024A3"/>
    <w:rsid w:val="00003786"/>
    <w:rsid w:val="00004299"/>
    <w:rsid w:val="000057BB"/>
    <w:rsid w:val="000077AD"/>
    <w:rsid w:val="00011A16"/>
    <w:rsid w:val="000149E6"/>
    <w:rsid w:val="00016424"/>
    <w:rsid w:val="000171FD"/>
    <w:rsid w:val="00022680"/>
    <w:rsid w:val="0002372D"/>
    <w:rsid w:val="00023DA9"/>
    <w:rsid w:val="00024235"/>
    <w:rsid w:val="000247B0"/>
    <w:rsid w:val="000249AF"/>
    <w:rsid w:val="00026997"/>
    <w:rsid w:val="00026A08"/>
    <w:rsid w:val="00032E4E"/>
    <w:rsid w:val="000338A8"/>
    <w:rsid w:val="00033E0B"/>
    <w:rsid w:val="000347CB"/>
    <w:rsid w:val="00035EDE"/>
    <w:rsid w:val="00041EB8"/>
    <w:rsid w:val="00042EFC"/>
    <w:rsid w:val="00045C5B"/>
    <w:rsid w:val="00046230"/>
    <w:rsid w:val="00046DB6"/>
    <w:rsid w:val="000475E2"/>
    <w:rsid w:val="000509B4"/>
    <w:rsid w:val="00053CC2"/>
    <w:rsid w:val="00053E20"/>
    <w:rsid w:val="00053FF1"/>
    <w:rsid w:val="000543A8"/>
    <w:rsid w:val="00054828"/>
    <w:rsid w:val="000548F9"/>
    <w:rsid w:val="00054C83"/>
    <w:rsid w:val="00055DC5"/>
    <w:rsid w:val="0005743F"/>
    <w:rsid w:val="0006035B"/>
    <w:rsid w:val="0006096F"/>
    <w:rsid w:val="000632BF"/>
    <w:rsid w:val="000649C5"/>
    <w:rsid w:val="00067A62"/>
    <w:rsid w:val="00067DDB"/>
    <w:rsid w:val="000712DE"/>
    <w:rsid w:val="00071652"/>
    <w:rsid w:val="00071886"/>
    <w:rsid w:val="00071AFC"/>
    <w:rsid w:val="00071C12"/>
    <w:rsid w:val="00073984"/>
    <w:rsid w:val="000742BC"/>
    <w:rsid w:val="00076758"/>
    <w:rsid w:val="00076CC6"/>
    <w:rsid w:val="00077945"/>
    <w:rsid w:val="00077F12"/>
    <w:rsid w:val="00080762"/>
    <w:rsid w:val="0008244A"/>
    <w:rsid w:val="00082A0C"/>
    <w:rsid w:val="00083504"/>
    <w:rsid w:val="000860C3"/>
    <w:rsid w:val="000874FC"/>
    <w:rsid w:val="000878B8"/>
    <w:rsid w:val="00092C24"/>
    <w:rsid w:val="0009366E"/>
    <w:rsid w:val="0009509A"/>
    <w:rsid w:val="0009640C"/>
    <w:rsid w:val="00096F57"/>
    <w:rsid w:val="00097305"/>
    <w:rsid w:val="0009789E"/>
    <w:rsid w:val="000A1B30"/>
    <w:rsid w:val="000A2C42"/>
    <w:rsid w:val="000A50C8"/>
    <w:rsid w:val="000A6D5B"/>
    <w:rsid w:val="000A6D92"/>
    <w:rsid w:val="000A751B"/>
    <w:rsid w:val="000B1B03"/>
    <w:rsid w:val="000B22A2"/>
    <w:rsid w:val="000B24AD"/>
    <w:rsid w:val="000B502C"/>
    <w:rsid w:val="000B541B"/>
    <w:rsid w:val="000B5B4C"/>
    <w:rsid w:val="000B73F9"/>
    <w:rsid w:val="000C2A52"/>
    <w:rsid w:val="000C2A88"/>
    <w:rsid w:val="000C4F45"/>
    <w:rsid w:val="000C5F5C"/>
    <w:rsid w:val="000C690C"/>
    <w:rsid w:val="000D07BE"/>
    <w:rsid w:val="000D1282"/>
    <w:rsid w:val="000D2FAB"/>
    <w:rsid w:val="000D3391"/>
    <w:rsid w:val="000D33C0"/>
    <w:rsid w:val="000D49CE"/>
    <w:rsid w:val="000D4CF6"/>
    <w:rsid w:val="000D5F2E"/>
    <w:rsid w:val="000D6941"/>
    <w:rsid w:val="000D78F4"/>
    <w:rsid w:val="000E06DF"/>
    <w:rsid w:val="000E08E0"/>
    <w:rsid w:val="000E215D"/>
    <w:rsid w:val="000E2A2E"/>
    <w:rsid w:val="000E4923"/>
    <w:rsid w:val="000E74B4"/>
    <w:rsid w:val="000F2A9B"/>
    <w:rsid w:val="000F4829"/>
    <w:rsid w:val="000F6B21"/>
    <w:rsid w:val="001000BC"/>
    <w:rsid w:val="001004E7"/>
    <w:rsid w:val="001018D1"/>
    <w:rsid w:val="00102557"/>
    <w:rsid w:val="00102B48"/>
    <w:rsid w:val="00102EFB"/>
    <w:rsid w:val="00106D20"/>
    <w:rsid w:val="00112CBE"/>
    <w:rsid w:val="00113D26"/>
    <w:rsid w:val="0011707E"/>
    <w:rsid w:val="001170B8"/>
    <w:rsid w:val="001202E3"/>
    <w:rsid w:val="0012067A"/>
    <w:rsid w:val="00120E0C"/>
    <w:rsid w:val="00121E44"/>
    <w:rsid w:val="00123699"/>
    <w:rsid w:val="00123A93"/>
    <w:rsid w:val="001241FB"/>
    <w:rsid w:val="001248F8"/>
    <w:rsid w:val="00124F1B"/>
    <w:rsid w:val="0013059D"/>
    <w:rsid w:val="0013548D"/>
    <w:rsid w:val="00135ADF"/>
    <w:rsid w:val="00136187"/>
    <w:rsid w:val="001413D1"/>
    <w:rsid w:val="001413F6"/>
    <w:rsid w:val="00141A55"/>
    <w:rsid w:val="0014293F"/>
    <w:rsid w:val="001431B1"/>
    <w:rsid w:val="0014370B"/>
    <w:rsid w:val="0014397D"/>
    <w:rsid w:val="00143DDD"/>
    <w:rsid w:val="001446A3"/>
    <w:rsid w:val="00146792"/>
    <w:rsid w:val="001472C1"/>
    <w:rsid w:val="00152B6B"/>
    <w:rsid w:val="00154BAE"/>
    <w:rsid w:val="00155395"/>
    <w:rsid w:val="00155A2F"/>
    <w:rsid w:val="00155EA1"/>
    <w:rsid w:val="00156B6B"/>
    <w:rsid w:val="00160397"/>
    <w:rsid w:val="00160D74"/>
    <w:rsid w:val="00163711"/>
    <w:rsid w:val="001646EA"/>
    <w:rsid w:val="00164C8D"/>
    <w:rsid w:val="00167D02"/>
    <w:rsid w:val="00170792"/>
    <w:rsid w:val="0017355C"/>
    <w:rsid w:val="00173A13"/>
    <w:rsid w:val="00174D64"/>
    <w:rsid w:val="001751B3"/>
    <w:rsid w:val="001759D8"/>
    <w:rsid w:val="00177D7F"/>
    <w:rsid w:val="00180C3F"/>
    <w:rsid w:val="00181EC8"/>
    <w:rsid w:val="00182BC7"/>
    <w:rsid w:val="00184349"/>
    <w:rsid w:val="00186790"/>
    <w:rsid w:val="00186A59"/>
    <w:rsid w:val="00187284"/>
    <w:rsid w:val="00190CE3"/>
    <w:rsid w:val="0019194B"/>
    <w:rsid w:val="00191FB2"/>
    <w:rsid w:val="001921DA"/>
    <w:rsid w:val="00193CBE"/>
    <w:rsid w:val="00193F1E"/>
    <w:rsid w:val="001955C0"/>
    <w:rsid w:val="00195AEC"/>
    <w:rsid w:val="00195F33"/>
    <w:rsid w:val="00196E6D"/>
    <w:rsid w:val="001A07BC"/>
    <w:rsid w:val="001A2FF9"/>
    <w:rsid w:val="001A3452"/>
    <w:rsid w:val="001A3953"/>
    <w:rsid w:val="001A47E5"/>
    <w:rsid w:val="001A7E53"/>
    <w:rsid w:val="001B02D6"/>
    <w:rsid w:val="001B0D65"/>
    <w:rsid w:val="001B1617"/>
    <w:rsid w:val="001B303B"/>
    <w:rsid w:val="001B504B"/>
    <w:rsid w:val="001B62F1"/>
    <w:rsid w:val="001B6F98"/>
    <w:rsid w:val="001C04F4"/>
    <w:rsid w:val="001C191A"/>
    <w:rsid w:val="001C1FC1"/>
    <w:rsid w:val="001C3AD9"/>
    <w:rsid w:val="001C7C06"/>
    <w:rsid w:val="001D1053"/>
    <w:rsid w:val="001D1473"/>
    <w:rsid w:val="001D3874"/>
    <w:rsid w:val="001D3B61"/>
    <w:rsid w:val="001D4900"/>
    <w:rsid w:val="001D516A"/>
    <w:rsid w:val="001D5DEF"/>
    <w:rsid w:val="001D65B7"/>
    <w:rsid w:val="001D7E75"/>
    <w:rsid w:val="001E0D73"/>
    <w:rsid w:val="001E239B"/>
    <w:rsid w:val="001E45BD"/>
    <w:rsid w:val="001E56D2"/>
    <w:rsid w:val="001E7D56"/>
    <w:rsid w:val="001F3DF8"/>
    <w:rsid w:val="001F5186"/>
    <w:rsid w:val="001F6928"/>
    <w:rsid w:val="001F75DE"/>
    <w:rsid w:val="0020005A"/>
    <w:rsid w:val="002007CF"/>
    <w:rsid w:val="00200D58"/>
    <w:rsid w:val="002011C1"/>
    <w:rsid w:val="002013BE"/>
    <w:rsid w:val="00201EDC"/>
    <w:rsid w:val="0020364F"/>
    <w:rsid w:val="00203D4C"/>
    <w:rsid w:val="00205538"/>
    <w:rsid w:val="00205869"/>
    <w:rsid w:val="002063A4"/>
    <w:rsid w:val="0021145B"/>
    <w:rsid w:val="00211475"/>
    <w:rsid w:val="00213D57"/>
    <w:rsid w:val="002148FB"/>
    <w:rsid w:val="00214D18"/>
    <w:rsid w:val="00215CF4"/>
    <w:rsid w:val="00220C23"/>
    <w:rsid w:val="00223DB3"/>
    <w:rsid w:val="002247F6"/>
    <w:rsid w:val="00225BA1"/>
    <w:rsid w:val="00225E21"/>
    <w:rsid w:val="00225E44"/>
    <w:rsid w:val="0023014E"/>
    <w:rsid w:val="002326B2"/>
    <w:rsid w:val="002349CA"/>
    <w:rsid w:val="00234E78"/>
    <w:rsid w:val="00236D9B"/>
    <w:rsid w:val="002378F0"/>
    <w:rsid w:val="00237A9E"/>
    <w:rsid w:val="00240A60"/>
    <w:rsid w:val="00241339"/>
    <w:rsid w:val="00241BDC"/>
    <w:rsid w:val="002434DA"/>
    <w:rsid w:val="00243D36"/>
    <w:rsid w:val="002441ED"/>
    <w:rsid w:val="00245877"/>
    <w:rsid w:val="00246151"/>
    <w:rsid w:val="002464A9"/>
    <w:rsid w:val="0024719B"/>
    <w:rsid w:val="00247707"/>
    <w:rsid w:val="00252145"/>
    <w:rsid w:val="00252456"/>
    <w:rsid w:val="0025346F"/>
    <w:rsid w:val="0025789B"/>
    <w:rsid w:val="0026018E"/>
    <w:rsid w:val="00262301"/>
    <w:rsid w:val="00264E2F"/>
    <w:rsid w:val="0026572F"/>
    <w:rsid w:val="0026615A"/>
    <w:rsid w:val="00266CB7"/>
    <w:rsid w:val="00271237"/>
    <w:rsid w:val="00271861"/>
    <w:rsid w:val="00275DD0"/>
    <w:rsid w:val="00275E07"/>
    <w:rsid w:val="00281B88"/>
    <w:rsid w:val="00281CAF"/>
    <w:rsid w:val="00282D2D"/>
    <w:rsid w:val="00283CDD"/>
    <w:rsid w:val="00285B55"/>
    <w:rsid w:val="00286740"/>
    <w:rsid w:val="00286BF5"/>
    <w:rsid w:val="00287038"/>
    <w:rsid w:val="00290418"/>
    <w:rsid w:val="00291EAE"/>
    <w:rsid w:val="002929D8"/>
    <w:rsid w:val="00294ACF"/>
    <w:rsid w:val="002A237D"/>
    <w:rsid w:val="002A4C53"/>
    <w:rsid w:val="002A50B3"/>
    <w:rsid w:val="002A6C21"/>
    <w:rsid w:val="002B0323"/>
    <w:rsid w:val="002B0672"/>
    <w:rsid w:val="002B247F"/>
    <w:rsid w:val="002B50D4"/>
    <w:rsid w:val="002B58BF"/>
    <w:rsid w:val="002B6D5E"/>
    <w:rsid w:val="002C0E7A"/>
    <w:rsid w:val="002C145D"/>
    <w:rsid w:val="002C2C3E"/>
    <w:rsid w:val="002C2C8B"/>
    <w:rsid w:val="002C533E"/>
    <w:rsid w:val="002C7987"/>
    <w:rsid w:val="002D027F"/>
    <w:rsid w:val="002D04FB"/>
    <w:rsid w:val="002D275C"/>
    <w:rsid w:val="002D3E15"/>
    <w:rsid w:val="002D56AE"/>
    <w:rsid w:val="002D7867"/>
    <w:rsid w:val="002D7A85"/>
    <w:rsid w:val="002D7B60"/>
    <w:rsid w:val="002D7BCA"/>
    <w:rsid w:val="002E05D2"/>
    <w:rsid w:val="002E0944"/>
    <w:rsid w:val="002E3FD9"/>
    <w:rsid w:val="002E728C"/>
    <w:rsid w:val="002F2529"/>
    <w:rsid w:val="002F29FC"/>
    <w:rsid w:val="002F2B44"/>
    <w:rsid w:val="002F2E0D"/>
    <w:rsid w:val="002F2E7B"/>
    <w:rsid w:val="002F4297"/>
    <w:rsid w:val="002F4761"/>
    <w:rsid w:val="002F4928"/>
    <w:rsid w:val="002F5391"/>
    <w:rsid w:val="002F5C79"/>
    <w:rsid w:val="002F6236"/>
    <w:rsid w:val="002F6441"/>
    <w:rsid w:val="002F68EE"/>
    <w:rsid w:val="003019E2"/>
    <w:rsid w:val="003037C3"/>
    <w:rsid w:val="00303850"/>
    <w:rsid w:val="003051A1"/>
    <w:rsid w:val="0030535E"/>
    <w:rsid w:val="00305B9F"/>
    <w:rsid w:val="00306CEE"/>
    <w:rsid w:val="003071D7"/>
    <w:rsid w:val="00310BEB"/>
    <w:rsid w:val="003114F5"/>
    <w:rsid w:val="00311769"/>
    <w:rsid w:val="00311CAC"/>
    <w:rsid w:val="00311F6A"/>
    <w:rsid w:val="00312895"/>
    <w:rsid w:val="0031413F"/>
    <w:rsid w:val="00314854"/>
    <w:rsid w:val="003148BB"/>
    <w:rsid w:val="00317976"/>
    <w:rsid w:val="00320066"/>
    <w:rsid w:val="00320F2F"/>
    <w:rsid w:val="00321D40"/>
    <w:rsid w:val="0032457E"/>
    <w:rsid w:val="00325CBF"/>
    <w:rsid w:val="00325D38"/>
    <w:rsid w:val="00326DDB"/>
    <w:rsid w:val="0032700A"/>
    <w:rsid w:val="00335455"/>
    <w:rsid w:val="00337AFC"/>
    <w:rsid w:val="0034200A"/>
    <w:rsid w:val="00343F65"/>
    <w:rsid w:val="00345D7F"/>
    <w:rsid w:val="00345E23"/>
    <w:rsid w:val="00347F8B"/>
    <w:rsid w:val="00350059"/>
    <w:rsid w:val="00352668"/>
    <w:rsid w:val="0035277E"/>
    <w:rsid w:val="00352BCD"/>
    <w:rsid w:val="00353228"/>
    <w:rsid w:val="0035573D"/>
    <w:rsid w:val="00355EA9"/>
    <w:rsid w:val="003578DE"/>
    <w:rsid w:val="003610B8"/>
    <w:rsid w:val="00361688"/>
    <w:rsid w:val="003655AC"/>
    <w:rsid w:val="00367266"/>
    <w:rsid w:val="00372928"/>
    <w:rsid w:val="00380921"/>
    <w:rsid w:val="00382DD5"/>
    <w:rsid w:val="003858F9"/>
    <w:rsid w:val="003877D5"/>
    <w:rsid w:val="003912D6"/>
    <w:rsid w:val="003929B8"/>
    <w:rsid w:val="00393432"/>
    <w:rsid w:val="00394A5E"/>
    <w:rsid w:val="00396257"/>
    <w:rsid w:val="00397781"/>
    <w:rsid w:val="00397EB8"/>
    <w:rsid w:val="003A006F"/>
    <w:rsid w:val="003A11B3"/>
    <w:rsid w:val="003A2652"/>
    <w:rsid w:val="003A2669"/>
    <w:rsid w:val="003A36C0"/>
    <w:rsid w:val="003A4FD0"/>
    <w:rsid w:val="003A6893"/>
    <w:rsid w:val="003A69D1"/>
    <w:rsid w:val="003A7705"/>
    <w:rsid w:val="003A77F1"/>
    <w:rsid w:val="003B1545"/>
    <w:rsid w:val="003B2CAC"/>
    <w:rsid w:val="003B2D02"/>
    <w:rsid w:val="003B69F0"/>
    <w:rsid w:val="003C09F2"/>
    <w:rsid w:val="003C2150"/>
    <w:rsid w:val="003C3219"/>
    <w:rsid w:val="003C409D"/>
    <w:rsid w:val="003C4544"/>
    <w:rsid w:val="003C4AD3"/>
    <w:rsid w:val="003C5583"/>
    <w:rsid w:val="003C5BA6"/>
    <w:rsid w:val="003C5C2C"/>
    <w:rsid w:val="003C625B"/>
    <w:rsid w:val="003C6916"/>
    <w:rsid w:val="003C74CF"/>
    <w:rsid w:val="003D18B2"/>
    <w:rsid w:val="003D2643"/>
    <w:rsid w:val="003D3752"/>
    <w:rsid w:val="003D42CF"/>
    <w:rsid w:val="003D5434"/>
    <w:rsid w:val="003D7662"/>
    <w:rsid w:val="003E0FFF"/>
    <w:rsid w:val="003E1AFF"/>
    <w:rsid w:val="003E3257"/>
    <w:rsid w:val="003E339D"/>
    <w:rsid w:val="003E35DA"/>
    <w:rsid w:val="003E455D"/>
    <w:rsid w:val="003E4E1E"/>
    <w:rsid w:val="003E793F"/>
    <w:rsid w:val="003F0DEC"/>
    <w:rsid w:val="003F0E85"/>
    <w:rsid w:val="003F20F5"/>
    <w:rsid w:val="003F3608"/>
    <w:rsid w:val="003F3E2F"/>
    <w:rsid w:val="003F4B01"/>
    <w:rsid w:val="003F4DA7"/>
    <w:rsid w:val="003F5091"/>
    <w:rsid w:val="003F51C7"/>
    <w:rsid w:val="00401A45"/>
    <w:rsid w:val="00406DA0"/>
    <w:rsid w:val="00410C55"/>
    <w:rsid w:val="00415171"/>
    <w:rsid w:val="00416854"/>
    <w:rsid w:val="00416DEA"/>
    <w:rsid w:val="0041747D"/>
    <w:rsid w:val="00417725"/>
    <w:rsid w:val="00417FE2"/>
    <w:rsid w:val="00421BCD"/>
    <w:rsid w:val="0042266F"/>
    <w:rsid w:val="004233DC"/>
    <w:rsid w:val="004250EB"/>
    <w:rsid w:val="00425504"/>
    <w:rsid w:val="00425F8B"/>
    <w:rsid w:val="00426C5A"/>
    <w:rsid w:val="00430363"/>
    <w:rsid w:val="0043165A"/>
    <w:rsid w:val="00432222"/>
    <w:rsid w:val="0043263A"/>
    <w:rsid w:val="0043334D"/>
    <w:rsid w:val="004334A6"/>
    <w:rsid w:val="00434321"/>
    <w:rsid w:val="0043587E"/>
    <w:rsid w:val="00437F26"/>
    <w:rsid w:val="00444097"/>
    <w:rsid w:val="004447B6"/>
    <w:rsid w:val="00445487"/>
    <w:rsid w:val="004478CD"/>
    <w:rsid w:val="00447E0D"/>
    <w:rsid w:val="004510EE"/>
    <w:rsid w:val="0045134A"/>
    <w:rsid w:val="00453EA8"/>
    <w:rsid w:val="00454769"/>
    <w:rsid w:val="00455C83"/>
    <w:rsid w:val="00456C71"/>
    <w:rsid w:val="004605BC"/>
    <w:rsid w:val="00465501"/>
    <w:rsid w:val="00465AF0"/>
    <w:rsid w:val="00466991"/>
    <w:rsid w:val="0047064C"/>
    <w:rsid w:val="0047119C"/>
    <w:rsid w:val="00476ADD"/>
    <w:rsid w:val="00477A76"/>
    <w:rsid w:val="004822B7"/>
    <w:rsid w:val="00482B20"/>
    <w:rsid w:val="0048379A"/>
    <w:rsid w:val="00487880"/>
    <w:rsid w:val="0049106E"/>
    <w:rsid w:val="00491DAD"/>
    <w:rsid w:val="0049469E"/>
    <w:rsid w:val="00497E01"/>
    <w:rsid w:val="004A2217"/>
    <w:rsid w:val="004A24F9"/>
    <w:rsid w:val="004A2D55"/>
    <w:rsid w:val="004A42E1"/>
    <w:rsid w:val="004A4DA1"/>
    <w:rsid w:val="004A7615"/>
    <w:rsid w:val="004A766B"/>
    <w:rsid w:val="004A7EE0"/>
    <w:rsid w:val="004B162C"/>
    <w:rsid w:val="004B2ABE"/>
    <w:rsid w:val="004B3ADA"/>
    <w:rsid w:val="004B48BE"/>
    <w:rsid w:val="004B4D52"/>
    <w:rsid w:val="004B57E1"/>
    <w:rsid w:val="004B5C11"/>
    <w:rsid w:val="004C3DBE"/>
    <w:rsid w:val="004C4AE8"/>
    <w:rsid w:val="004C5C96"/>
    <w:rsid w:val="004D06A4"/>
    <w:rsid w:val="004D3A31"/>
    <w:rsid w:val="004D5441"/>
    <w:rsid w:val="004D60D7"/>
    <w:rsid w:val="004D65A6"/>
    <w:rsid w:val="004E0AB7"/>
    <w:rsid w:val="004E2C3A"/>
    <w:rsid w:val="004E5024"/>
    <w:rsid w:val="004E58BA"/>
    <w:rsid w:val="004E6B38"/>
    <w:rsid w:val="004F111A"/>
    <w:rsid w:val="004F1A81"/>
    <w:rsid w:val="004F5C75"/>
    <w:rsid w:val="004F5D88"/>
    <w:rsid w:val="005007C0"/>
    <w:rsid w:val="00501354"/>
    <w:rsid w:val="00504D3B"/>
    <w:rsid w:val="005050D2"/>
    <w:rsid w:val="00512ECA"/>
    <w:rsid w:val="0051483C"/>
    <w:rsid w:val="005218D9"/>
    <w:rsid w:val="00522167"/>
    <w:rsid w:val="00524D33"/>
    <w:rsid w:val="0052730B"/>
    <w:rsid w:val="005273AE"/>
    <w:rsid w:val="0053069F"/>
    <w:rsid w:val="0053138D"/>
    <w:rsid w:val="00531BE0"/>
    <w:rsid w:val="00536186"/>
    <w:rsid w:val="00536E61"/>
    <w:rsid w:val="00536F53"/>
    <w:rsid w:val="00537F88"/>
    <w:rsid w:val="00540628"/>
    <w:rsid w:val="00544CBB"/>
    <w:rsid w:val="00544DB7"/>
    <w:rsid w:val="00546E2E"/>
    <w:rsid w:val="00547AF3"/>
    <w:rsid w:val="00550A9F"/>
    <w:rsid w:val="00551B65"/>
    <w:rsid w:val="00556704"/>
    <w:rsid w:val="005629FD"/>
    <w:rsid w:val="00563292"/>
    <w:rsid w:val="005645B1"/>
    <w:rsid w:val="005655AA"/>
    <w:rsid w:val="005656D7"/>
    <w:rsid w:val="00565CE7"/>
    <w:rsid w:val="0057315F"/>
    <w:rsid w:val="00573E7F"/>
    <w:rsid w:val="00576104"/>
    <w:rsid w:val="00582E46"/>
    <w:rsid w:val="00582F02"/>
    <w:rsid w:val="00583314"/>
    <w:rsid w:val="005841FC"/>
    <w:rsid w:val="005853CB"/>
    <w:rsid w:val="00586418"/>
    <w:rsid w:val="00587D09"/>
    <w:rsid w:val="00592B21"/>
    <w:rsid w:val="00592F59"/>
    <w:rsid w:val="00593714"/>
    <w:rsid w:val="00596957"/>
    <w:rsid w:val="005A0CCE"/>
    <w:rsid w:val="005A1A70"/>
    <w:rsid w:val="005A3334"/>
    <w:rsid w:val="005A3B3E"/>
    <w:rsid w:val="005A5A62"/>
    <w:rsid w:val="005B2DF4"/>
    <w:rsid w:val="005B3107"/>
    <w:rsid w:val="005B364D"/>
    <w:rsid w:val="005B427A"/>
    <w:rsid w:val="005B44BF"/>
    <w:rsid w:val="005B514F"/>
    <w:rsid w:val="005B5CF4"/>
    <w:rsid w:val="005B6D98"/>
    <w:rsid w:val="005C0019"/>
    <w:rsid w:val="005C0132"/>
    <w:rsid w:val="005C09DE"/>
    <w:rsid w:val="005C39AB"/>
    <w:rsid w:val="005C5239"/>
    <w:rsid w:val="005C5B32"/>
    <w:rsid w:val="005C67C8"/>
    <w:rsid w:val="005D0249"/>
    <w:rsid w:val="005D03D4"/>
    <w:rsid w:val="005D1761"/>
    <w:rsid w:val="005D18FA"/>
    <w:rsid w:val="005D4FD4"/>
    <w:rsid w:val="005D6E8C"/>
    <w:rsid w:val="005E262E"/>
    <w:rsid w:val="005E3004"/>
    <w:rsid w:val="005E6CAE"/>
    <w:rsid w:val="005F100C"/>
    <w:rsid w:val="005F1DE6"/>
    <w:rsid w:val="005F4391"/>
    <w:rsid w:val="005F4E03"/>
    <w:rsid w:val="005F68DA"/>
    <w:rsid w:val="005F7419"/>
    <w:rsid w:val="006006B1"/>
    <w:rsid w:val="00601BC9"/>
    <w:rsid w:val="006040B4"/>
    <w:rsid w:val="00605283"/>
    <w:rsid w:val="0060773B"/>
    <w:rsid w:val="006077FF"/>
    <w:rsid w:val="00607C33"/>
    <w:rsid w:val="00612D58"/>
    <w:rsid w:val="00613FD6"/>
    <w:rsid w:val="006157B5"/>
    <w:rsid w:val="0061654B"/>
    <w:rsid w:val="00617224"/>
    <w:rsid w:val="00617FDE"/>
    <w:rsid w:val="006201E6"/>
    <w:rsid w:val="00620F0B"/>
    <w:rsid w:val="00623D70"/>
    <w:rsid w:val="006258C9"/>
    <w:rsid w:val="00625E09"/>
    <w:rsid w:val="00626FC6"/>
    <w:rsid w:val="006303B4"/>
    <w:rsid w:val="00630ADC"/>
    <w:rsid w:val="00631729"/>
    <w:rsid w:val="00631ACD"/>
    <w:rsid w:val="00633D3D"/>
    <w:rsid w:val="00636791"/>
    <w:rsid w:val="00636B12"/>
    <w:rsid w:val="00641703"/>
    <w:rsid w:val="006431A6"/>
    <w:rsid w:val="00643E3A"/>
    <w:rsid w:val="00644ECE"/>
    <w:rsid w:val="006459F6"/>
    <w:rsid w:val="006501AD"/>
    <w:rsid w:val="00651BFA"/>
    <w:rsid w:val="00652D1E"/>
    <w:rsid w:val="00653DA0"/>
    <w:rsid w:val="00654475"/>
    <w:rsid w:val="00656DF0"/>
    <w:rsid w:val="00657CD1"/>
    <w:rsid w:val="00660CBD"/>
    <w:rsid w:val="00661B39"/>
    <w:rsid w:val="006622A7"/>
    <w:rsid w:val="00665A4B"/>
    <w:rsid w:val="00670C29"/>
    <w:rsid w:val="00670FAE"/>
    <w:rsid w:val="006713D2"/>
    <w:rsid w:val="00676D88"/>
    <w:rsid w:val="00677DBF"/>
    <w:rsid w:val="00681A4E"/>
    <w:rsid w:val="00682F43"/>
    <w:rsid w:val="00683434"/>
    <w:rsid w:val="00686B1D"/>
    <w:rsid w:val="00686C40"/>
    <w:rsid w:val="00687D9F"/>
    <w:rsid w:val="00692A11"/>
    <w:rsid w:val="00692E2A"/>
    <w:rsid w:val="00693481"/>
    <w:rsid w:val="0069496A"/>
    <w:rsid w:val="006968AB"/>
    <w:rsid w:val="00696C1C"/>
    <w:rsid w:val="00697127"/>
    <w:rsid w:val="006A7696"/>
    <w:rsid w:val="006A76F2"/>
    <w:rsid w:val="006A7AA0"/>
    <w:rsid w:val="006B1AD4"/>
    <w:rsid w:val="006B3037"/>
    <w:rsid w:val="006B4C7F"/>
    <w:rsid w:val="006B4F0C"/>
    <w:rsid w:val="006B4F1D"/>
    <w:rsid w:val="006B7260"/>
    <w:rsid w:val="006B7D29"/>
    <w:rsid w:val="006C05B7"/>
    <w:rsid w:val="006C1088"/>
    <w:rsid w:val="006C4068"/>
    <w:rsid w:val="006C5082"/>
    <w:rsid w:val="006C5749"/>
    <w:rsid w:val="006D145A"/>
    <w:rsid w:val="006D169F"/>
    <w:rsid w:val="006D19D4"/>
    <w:rsid w:val="006D214C"/>
    <w:rsid w:val="006D4DE3"/>
    <w:rsid w:val="006D5644"/>
    <w:rsid w:val="006D5BCA"/>
    <w:rsid w:val="006D667A"/>
    <w:rsid w:val="006D7923"/>
    <w:rsid w:val="006D7C69"/>
    <w:rsid w:val="006D7EFB"/>
    <w:rsid w:val="006E0C39"/>
    <w:rsid w:val="006E1A2E"/>
    <w:rsid w:val="006E4FAF"/>
    <w:rsid w:val="006E58D7"/>
    <w:rsid w:val="006E6672"/>
    <w:rsid w:val="006E6722"/>
    <w:rsid w:val="006E7101"/>
    <w:rsid w:val="006F7AFF"/>
    <w:rsid w:val="007004FB"/>
    <w:rsid w:val="007027B9"/>
    <w:rsid w:val="007047D5"/>
    <w:rsid w:val="007055F4"/>
    <w:rsid w:val="00705951"/>
    <w:rsid w:val="007066B5"/>
    <w:rsid w:val="00706E76"/>
    <w:rsid w:val="007114C6"/>
    <w:rsid w:val="00711DBB"/>
    <w:rsid w:val="00711DD6"/>
    <w:rsid w:val="007145A7"/>
    <w:rsid w:val="007145DA"/>
    <w:rsid w:val="00715280"/>
    <w:rsid w:val="00715BC2"/>
    <w:rsid w:val="00715E88"/>
    <w:rsid w:val="00716803"/>
    <w:rsid w:val="00716D8B"/>
    <w:rsid w:val="007170F7"/>
    <w:rsid w:val="0072039D"/>
    <w:rsid w:val="00723437"/>
    <w:rsid w:val="00723B6C"/>
    <w:rsid w:val="00726051"/>
    <w:rsid w:val="007265D5"/>
    <w:rsid w:val="00727394"/>
    <w:rsid w:val="00730218"/>
    <w:rsid w:val="007311EE"/>
    <w:rsid w:val="00731576"/>
    <w:rsid w:val="00731C4E"/>
    <w:rsid w:val="007330F9"/>
    <w:rsid w:val="00734CAA"/>
    <w:rsid w:val="0073584A"/>
    <w:rsid w:val="007363EE"/>
    <w:rsid w:val="00737EF7"/>
    <w:rsid w:val="00740EE2"/>
    <w:rsid w:val="00742680"/>
    <w:rsid w:val="007445C6"/>
    <w:rsid w:val="007479FE"/>
    <w:rsid w:val="00747B72"/>
    <w:rsid w:val="00751825"/>
    <w:rsid w:val="00755079"/>
    <w:rsid w:val="0075533C"/>
    <w:rsid w:val="00755A18"/>
    <w:rsid w:val="00755D83"/>
    <w:rsid w:val="00757380"/>
    <w:rsid w:val="00757581"/>
    <w:rsid w:val="007602F5"/>
    <w:rsid w:val="00760D36"/>
    <w:rsid w:val="007611A0"/>
    <w:rsid w:val="007636C4"/>
    <w:rsid w:val="007661A1"/>
    <w:rsid w:val="00767BFE"/>
    <w:rsid w:val="00767D30"/>
    <w:rsid w:val="00767F6B"/>
    <w:rsid w:val="00772574"/>
    <w:rsid w:val="00773E54"/>
    <w:rsid w:val="0077441D"/>
    <w:rsid w:val="007746F5"/>
    <w:rsid w:val="00774B38"/>
    <w:rsid w:val="00776BEA"/>
    <w:rsid w:val="0077732E"/>
    <w:rsid w:val="0078183C"/>
    <w:rsid w:val="00781DFC"/>
    <w:rsid w:val="0078701E"/>
    <w:rsid w:val="007875B8"/>
    <w:rsid w:val="00787688"/>
    <w:rsid w:val="00790F4A"/>
    <w:rsid w:val="007935E6"/>
    <w:rsid w:val="0079421B"/>
    <w:rsid w:val="007968AD"/>
    <w:rsid w:val="00796D3F"/>
    <w:rsid w:val="007A131C"/>
    <w:rsid w:val="007A1683"/>
    <w:rsid w:val="007A1BFB"/>
    <w:rsid w:val="007A3B6F"/>
    <w:rsid w:val="007A5C12"/>
    <w:rsid w:val="007A64F3"/>
    <w:rsid w:val="007A7CB0"/>
    <w:rsid w:val="007B0270"/>
    <w:rsid w:val="007B1846"/>
    <w:rsid w:val="007B1A70"/>
    <w:rsid w:val="007B31FB"/>
    <w:rsid w:val="007B4546"/>
    <w:rsid w:val="007B512C"/>
    <w:rsid w:val="007B5A1D"/>
    <w:rsid w:val="007B6424"/>
    <w:rsid w:val="007B68A3"/>
    <w:rsid w:val="007C2541"/>
    <w:rsid w:val="007C3941"/>
    <w:rsid w:val="007D4814"/>
    <w:rsid w:val="007D4E66"/>
    <w:rsid w:val="007D6524"/>
    <w:rsid w:val="007D66A8"/>
    <w:rsid w:val="007D736F"/>
    <w:rsid w:val="007D789B"/>
    <w:rsid w:val="007E003F"/>
    <w:rsid w:val="007E0C1B"/>
    <w:rsid w:val="007E511B"/>
    <w:rsid w:val="007E78E9"/>
    <w:rsid w:val="007E7A7B"/>
    <w:rsid w:val="007F0033"/>
    <w:rsid w:val="007F0CF8"/>
    <w:rsid w:val="007F427B"/>
    <w:rsid w:val="007F5E1B"/>
    <w:rsid w:val="007F62CB"/>
    <w:rsid w:val="007F7A62"/>
    <w:rsid w:val="00800080"/>
    <w:rsid w:val="00802517"/>
    <w:rsid w:val="00802BE4"/>
    <w:rsid w:val="008142EC"/>
    <w:rsid w:val="00815020"/>
    <w:rsid w:val="00815F2E"/>
    <w:rsid w:val="008164F2"/>
    <w:rsid w:val="00821395"/>
    <w:rsid w:val="00824F2D"/>
    <w:rsid w:val="0082626E"/>
    <w:rsid w:val="00830E26"/>
    <w:rsid w:val="0083340D"/>
    <w:rsid w:val="00834368"/>
    <w:rsid w:val="0083441A"/>
    <w:rsid w:val="008349B1"/>
    <w:rsid w:val="0083636C"/>
    <w:rsid w:val="00836EBA"/>
    <w:rsid w:val="00841043"/>
    <w:rsid w:val="008425D8"/>
    <w:rsid w:val="00843576"/>
    <w:rsid w:val="00843B64"/>
    <w:rsid w:val="00844147"/>
    <w:rsid w:val="00845261"/>
    <w:rsid w:val="008478FC"/>
    <w:rsid w:val="00851014"/>
    <w:rsid w:val="00851C51"/>
    <w:rsid w:val="008538F7"/>
    <w:rsid w:val="008541DC"/>
    <w:rsid w:val="008549ED"/>
    <w:rsid w:val="00860AC0"/>
    <w:rsid w:val="008643EE"/>
    <w:rsid w:val="00865EB1"/>
    <w:rsid w:val="0086757E"/>
    <w:rsid w:val="00867BFF"/>
    <w:rsid w:val="00870215"/>
    <w:rsid w:val="00871542"/>
    <w:rsid w:val="00871A7D"/>
    <w:rsid w:val="00871F2F"/>
    <w:rsid w:val="00872BF6"/>
    <w:rsid w:val="008735C5"/>
    <w:rsid w:val="0087433C"/>
    <w:rsid w:val="0087796B"/>
    <w:rsid w:val="0088480A"/>
    <w:rsid w:val="0088650A"/>
    <w:rsid w:val="0088757A"/>
    <w:rsid w:val="00890358"/>
    <w:rsid w:val="0089120E"/>
    <w:rsid w:val="00891EA5"/>
    <w:rsid w:val="00892910"/>
    <w:rsid w:val="00892DE1"/>
    <w:rsid w:val="00893D2A"/>
    <w:rsid w:val="0089431B"/>
    <w:rsid w:val="00895668"/>
    <w:rsid w:val="008957DD"/>
    <w:rsid w:val="00897D98"/>
    <w:rsid w:val="008A032F"/>
    <w:rsid w:val="008A05C2"/>
    <w:rsid w:val="008A261B"/>
    <w:rsid w:val="008A2801"/>
    <w:rsid w:val="008A6DF2"/>
    <w:rsid w:val="008A743C"/>
    <w:rsid w:val="008A7807"/>
    <w:rsid w:val="008B1DF7"/>
    <w:rsid w:val="008B4CC9"/>
    <w:rsid w:val="008B725B"/>
    <w:rsid w:val="008C0B15"/>
    <w:rsid w:val="008C1FBD"/>
    <w:rsid w:val="008C3DA2"/>
    <w:rsid w:val="008C7C57"/>
    <w:rsid w:val="008D01BD"/>
    <w:rsid w:val="008D0E97"/>
    <w:rsid w:val="008D1ED6"/>
    <w:rsid w:val="008D2CA9"/>
    <w:rsid w:val="008D3539"/>
    <w:rsid w:val="008D4674"/>
    <w:rsid w:val="008D75E4"/>
    <w:rsid w:val="008D7ADA"/>
    <w:rsid w:val="008D7C99"/>
    <w:rsid w:val="008E0FCB"/>
    <w:rsid w:val="008E34D9"/>
    <w:rsid w:val="008F25AA"/>
    <w:rsid w:val="008F3D2B"/>
    <w:rsid w:val="008F4D12"/>
    <w:rsid w:val="008F5CA8"/>
    <w:rsid w:val="008F6DFE"/>
    <w:rsid w:val="008F77F9"/>
    <w:rsid w:val="00901DBE"/>
    <w:rsid w:val="00905166"/>
    <w:rsid w:val="0090529F"/>
    <w:rsid w:val="009053C3"/>
    <w:rsid w:val="00905AD7"/>
    <w:rsid w:val="00906F0A"/>
    <w:rsid w:val="009125AF"/>
    <w:rsid w:val="00920EF1"/>
    <w:rsid w:val="0092178C"/>
    <w:rsid w:val="0092538E"/>
    <w:rsid w:val="0092628E"/>
    <w:rsid w:val="00930B88"/>
    <w:rsid w:val="0093456E"/>
    <w:rsid w:val="00935376"/>
    <w:rsid w:val="00935817"/>
    <w:rsid w:val="00940DCC"/>
    <w:rsid w:val="0094179A"/>
    <w:rsid w:val="00943DC4"/>
    <w:rsid w:val="0094459E"/>
    <w:rsid w:val="00944DBC"/>
    <w:rsid w:val="009451BB"/>
    <w:rsid w:val="00946A93"/>
    <w:rsid w:val="009473E1"/>
    <w:rsid w:val="00947CFA"/>
    <w:rsid w:val="00950977"/>
    <w:rsid w:val="0095102B"/>
    <w:rsid w:val="00951A7B"/>
    <w:rsid w:val="00955512"/>
    <w:rsid w:val="009557F8"/>
    <w:rsid w:val="009564A6"/>
    <w:rsid w:val="00957120"/>
    <w:rsid w:val="00957EF8"/>
    <w:rsid w:val="009617AB"/>
    <w:rsid w:val="0096247A"/>
    <w:rsid w:val="00963095"/>
    <w:rsid w:val="0096553B"/>
    <w:rsid w:val="00966A53"/>
    <w:rsid w:val="00966E25"/>
    <w:rsid w:val="0096715A"/>
    <w:rsid w:val="00967621"/>
    <w:rsid w:val="00967E6A"/>
    <w:rsid w:val="00972425"/>
    <w:rsid w:val="00972C49"/>
    <w:rsid w:val="0098077A"/>
    <w:rsid w:val="0099003C"/>
    <w:rsid w:val="009907B9"/>
    <w:rsid w:val="00990918"/>
    <w:rsid w:val="00990DF9"/>
    <w:rsid w:val="00990E1B"/>
    <w:rsid w:val="00995DBC"/>
    <w:rsid w:val="00995F3C"/>
    <w:rsid w:val="00996BF1"/>
    <w:rsid w:val="009A061D"/>
    <w:rsid w:val="009A12C3"/>
    <w:rsid w:val="009A29A2"/>
    <w:rsid w:val="009A3A83"/>
    <w:rsid w:val="009A3FB1"/>
    <w:rsid w:val="009A6BF1"/>
    <w:rsid w:val="009B2DF7"/>
    <w:rsid w:val="009B32D1"/>
    <w:rsid w:val="009B44C9"/>
    <w:rsid w:val="009B4A0F"/>
    <w:rsid w:val="009B546A"/>
    <w:rsid w:val="009B5684"/>
    <w:rsid w:val="009B691D"/>
    <w:rsid w:val="009B71AB"/>
    <w:rsid w:val="009C11D2"/>
    <w:rsid w:val="009C2532"/>
    <w:rsid w:val="009C2A09"/>
    <w:rsid w:val="009C4F01"/>
    <w:rsid w:val="009C52E8"/>
    <w:rsid w:val="009C55D7"/>
    <w:rsid w:val="009C6C70"/>
    <w:rsid w:val="009C7B0A"/>
    <w:rsid w:val="009D036D"/>
    <w:rsid w:val="009D0B63"/>
    <w:rsid w:val="009D12F5"/>
    <w:rsid w:val="009D294E"/>
    <w:rsid w:val="009D4F1A"/>
    <w:rsid w:val="009D4F21"/>
    <w:rsid w:val="009D509F"/>
    <w:rsid w:val="009D5C92"/>
    <w:rsid w:val="009D5CB8"/>
    <w:rsid w:val="009E0120"/>
    <w:rsid w:val="009E027F"/>
    <w:rsid w:val="009E307E"/>
    <w:rsid w:val="009E63BD"/>
    <w:rsid w:val="009E64B0"/>
    <w:rsid w:val="009F2A42"/>
    <w:rsid w:val="009F2E94"/>
    <w:rsid w:val="009F596E"/>
    <w:rsid w:val="00A023C0"/>
    <w:rsid w:val="00A05DAE"/>
    <w:rsid w:val="00A06A39"/>
    <w:rsid w:val="00A07870"/>
    <w:rsid w:val="00A07B09"/>
    <w:rsid w:val="00A07C54"/>
    <w:rsid w:val="00A07F01"/>
    <w:rsid w:val="00A07F19"/>
    <w:rsid w:val="00A10ABB"/>
    <w:rsid w:val="00A1348D"/>
    <w:rsid w:val="00A138A1"/>
    <w:rsid w:val="00A13C99"/>
    <w:rsid w:val="00A15C38"/>
    <w:rsid w:val="00A16415"/>
    <w:rsid w:val="00A176CA"/>
    <w:rsid w:val="00A2178F"/>
    <w:rsid w:val="00A220F7"/>
    <w:rsid w:val="00A232EE"/>
    <w:rsid w:val="00A23B74"/>
    <w:rsid w:val="00A23EA7"/>
    <w:rsid w:val="00A25F9E"/>
    <w:rsid w:val="00A26651"/>
    <w:rsid w:val="00A27D30"/>
    <w:rsid w:val="00A31E85"/>
    <w:rsid w:val="00A32D85"/>
    <w:rsid w:val="00A34AD8"/>
    <w:rsid w:val="00A35572"/>
    <w:rsid w:val="00A35F55"/>
    <w:rsid w:val="00A4175F"/>
    <w:rsid w:val="00A44411"/>
    <w:rsid w:val="00A469FA"/>
    <w:rsid w:val="00A46AE2"/>
    <w:rsid w:val="00A47FB0"/>
    <w:rsid w:val="00A53662"/>
    <w:rsid w:val="00A55B01"/>
    <w:rsid w:val="00A56B5B"/>
    <w:rsid w:val="00A60181"/>
    <w:rsid w:val="00A60336"/>
    <w:rsid w:val="00A603FF"/>
    <w:rsid w:val="00A619B6"/>
    <w:rsid w:val="00A64160"/>
    <w:rsid w:val="00A648CA"/>
    <w:rsid w:val="00A657DD"/>
    <w:rsid w:val="00A66558"/>
    <w:rsid w:val="00A666A6"/>
    <w:rsid w:val="00A673FE"/>
    <w:rsid w:val="00A675FD"/>
    <w:rsid w:val="00A7033C"/>
    <w:rsid w:val="00A7082A"/>
    <w:rsid w:val="00A72437"/>
    <w:rsid w:val="00A8048B"/>
    <w:rsid w:val="00A80611"/>
    <w:rsid w:val="00A81499"/>
    <w:rsid w:val="00A81A69"/>
    <w:rsid w:val="00A84C80"/>
    <w:rsid w:val="00A85D3F"/>
    <w:rsid w:val="00A87154"/>
    <w:rsid w:val="00A9471A"/>
    <w:rsid w:val="00A94D54"/>
    <w:rsid w:val="00A95DE3"/>
    <w:rsid w:val="00A965EE"/>
    <w:rsid w:val="00A9792E"/>
    <w:rsid w:val="00A97AC8"/>
    <w:rsid w:val="00AA210D"/>
    <w:rsid w:val="00AA2E51"/>
    <w:rsid w:val="00AA31B0"/>
    <w:rsid w:val="00AA40F8"/>
    <w:rsid w:val="00AA4A0E"/>
    <w:rsid w:val="00AA5BF4"/>
    <w:rsid w:val="00AA5D77"/>
    <w:rsid w:val="00AB3B26"/>
    <w:rsid w:val="00AB3E9B"/>
    <w:rsid w:val="00AB5340"/>
    <w:rsid w:val="00AB79ED"/>
    <w:rsid w:val="00AB7FBE"/>
    <w:rsid w:val="00AC0A89"/>
    <w:rsid w:val="00AC0CCA"/>
    <w:rsid w:val="00AC0FC9"/>
    <w:rsid w:val="00AC30F5"/>
    <w:rsid w:val="00AC39AF"/>
    <w:rsid w:val="00AC65D1"/>
    <w:rsid w:val="00AC680B"/>
    <w:rsid w:val="00AC6CC5"/>
    <w:rsid w:val="00AC7C96"/>
    <w:rsid w:val="00AD1D7F"/>
    <w:rsid w:val="00AD29EE"/>
    <w:rsid w:val="00AD2FC4"/>
    <w:rsid w:val="00AD3593"/>
    <w:rsid w:val="00AD37EC"/>
    <w:rsid w:val="00AD4503"/>
    <w:rsid w:val="00AD7ACF"/>
    <w:rsid w:val="00AE0812"/>
    <w:rsid w:val="00AE118E"/>
    <w:rsid w:val="00AE119F"/>
    <w:rsid w:val="00AE237D"/>
    <w:rsid w:val="00AE2C51"/>
    <w:rsid w:val="00AE2D06"/>
    <w:rsid w:val="00AE502A"/>
    <w:rsid w:val="00AF0010"/>
    <w:rsid w:val="00AF094D"/>
    <w:rsid w:val="00AF0CF7"/>
    <w:rsid w:val="00AF1AA8"/>
    <w:rsid w:val="00AF2C1F"/>
    <w:rsid w:val="00AF2EEB"/>
    <w:rsid w:val="00AF5000"/>
    <w:rsid w:val="00AF549A"/>
    <w:rsid w:val="00AF7C07"/>
    <w:rsid w:val="00B0048F"/>
    <w:rsid w:val="00B00667"/>
    <w:rsid w:val="00B03CDB"/>
    <w:rsid w:val="00B06C64"/>
    <w:rsid w:val="00B07D8E"/>
    <w:rsid w:val="00B118EA"/>
    <w:rsid w:val="00B11CAC"/>
    <w:rsid w:val="00B1232F"/>
    <w:rsid w:val="00B13D2A"/>
    <w:rsid w:val="00B14C4B"/>
    <w:rsid w:val="00B15A29"/>
    <w:rsid w:val="00B17724"/>
    <w:rsid w:val="00B179BF"/>
    <w:rsid w:val="00B22C93"/>
    <w:rsid w:val="00B22E9B"/>
    <w:rsid w:val="00B2441D"/>
    <w:rsid w:val="00B24582"/>
    <w:rsid w:val="00B26660"/>
    <w:rsid w:val="00B27203"/>
    <w:rsid w:val="00B27589"/>
    <w:rsid w:val="00B31474"/>
    <w:rsid w:val="00B3200D"/>
    <w:rsid w:val="00B33D33"/>
    <w:rsid w:val="00B405B7"/>
    <w:rsid w:val="00B426CD"/>
    <w:rsid w:val="00B451B8"/>
    <w:rsid w:val="00B468C0"/>
    <w:rsid w:val="00B505A2"/>
    <w:rsid w:val="00B50AB4"/>
    <w:rsid w:val="00B52222"/>
    <w:rsid w:val="00B531DA"/>
    <w:rsid w:val="00B54895"/>
    <w:rsid w:val="00B54ABB"/>
    <w:rsid w:val="00B54FE7"/>
    <w:rsid w:val="00B56FE3"/>
    <w:rsid w:val="00B57520"/>
    <w:rsid w:val="00B605AA"/>
    <w:rsid w:val="00B62407"/>
    <w:rsid w:val="00B647C6"/>
    <w:rsid w:val="00B655F9"/>
    <w:rsid w:val="00B66901"/>
    <w:rsid w:val="00B66F60"/>
    <w:rsid w:val="00B67989"/>
    <w:rsid w:val="00B70CE2"/>
    <w:rsid w:val="00B71453"/>
    <w:rsid w:val="00B71E6D"/>
    <w:rsid w:val="00B72070"/>
    <w:rsid w:val="00B739CC"/>
    <w:rsid w:val="00B73F5A"/>
    <w:rsid w:val="00B779E1"/>
    <w:rsid w:val="00B81E3A"/>
    <w:rsid w:val="00B8595C"/>
    <w:rsid w:val="00B85CFB"/>
    <w:rsid w:val="00B90B5B"/>
    <w:rsid w:val="00B914E9"/>
    <w:rsid w:val="00B91EE1"/>
    <w:rsid w:val="00B94602"/>
    <w:rsid w:val="00BA0090"/>
    <w:rsid w:val="00BA133D"/>
    <w:rsid w:val="00BA1A67"/>
    <w:rsid w:val="00BA6A80"/>
    <w:rsid w:val="00BA6CFA"/>
    <w:rsid w:val="00BB26EB"/>
    <w:rsid w:val="00BB2C85"/>
    <w:rsid w:val="00BB4ABB"/>
    <w:rsid w:val="00BB7121"/>
    <w:rsid w:val="00BB7647"/>
    <w:rsid w:val="00BC0F67"/>
    <w:rsid w:val="00BC254A"/>
    <w:rsid w:val="00BC351B"/>
    <w:rsid w:val="00BC3F9F"/>
    <w:rsid w:val="00BC4BFC"/>
    <w:rsid w:val="00BC507E"/>
    <w:rsid w:val="00BC53BA"/>
    <w:rsid w:val="00BC5645"/>
    <w:rsid w:val="00BC57A1"/>
    <w:rsid w:val="00BC62BA"/>
    <w:rsid w:val="00BC67D7"/>
    <w:rsid w:val="00BD473C"/>
    <w:rsid w:val="00BD604A"/>
    <w:rsid w:val="00BD704B"/>
    <w:rsid w:val="00BD77E5"/>
    <w:rsid w:val="00BE03D7"/>
    <w:rsid w:val="00BE0EC1"/>
    <w:rsid w:val="00BE13CD"/>
    <w:rsid w:val="00BE4B84"/>
    <w:rsid w:val="00BE5431"/>
    <w:rsid w:val="00BE5B5F"/>
    <w:rsid w:val="00BE5BE5"/>
    <w:rsid w:val="00BE7993"/>
    <w:rsid w:val="00BE7E28"/>
    <w:rsid w:val="00BF0CFE"/>
    <w:rsid w:val="00BF1456"/>
    <w:rsid w:val="00BF19F2"/>
    <w:rsid w:val="00BF2AF8"/>
    <w:rsid w:val="00BF507F"/>
    <w:rsid w:val="00BF54D6"/>
    <w:rsid w:val="00C0043D"/>
    <w:rsid w:val="00C00A80"/>
    <w:rsid w:val="00C01AD3"/>
    <w:rsid w:val="00C031D0"/>
    <w:rsid w:val="00C03257"/>
    <w:rsid w:val="00C03D2E"/>
    <w:rsid w:val="00C06EA9"/>
    <w:rsid w:val="00C07333"/>
    <w:rsid w:val="00C114B7"/>
    <w:rsid w:val="00C11971"/>
    <w:rsid w:val="00C179DE"/>
    <w:rsid w:val="00C202B3"/>
    <w:rsid w:val="00C20EFE"/>
    <w:rsid w:val="00C217A2"/>
    <w:rsid w:val="00C268DF"/>
    <w:rsid w:val="00C26F55"/>
    <w:rsid w:val="00C30206"/>
    <w:rsid w:val="00C3080B"/>
    <w:rsid w:val="00C30C63"/>
    <w:rsid w:val="00C30FF3"/>
    <w:rsid w:val="00C32A9A"/>
    <w:rsid w:val="00C33ECE"/>
    <w:rsid w:val="00C34D5C"/>
    <w:rsid w:val="00C3589A"/>
    <w:rsid w:val="00C36B8B"/>
    <w:rsid w:val="00C37932"/>
    <w:rsid w:val="00C37B74"/>
    <w:rsid w:val="00C40D44"/>
    <w:rsid w:val="00C41424"/>
    <w:rsid w:val="00C415C1"/>
    <w:rsid w:val="00C422E3"/>
    <w:rsid w:val="00C42763"/>
    <w:rsid w:val="00C433AC"/>
    <w:rsid w:val="00C43F22"/>
    <w:rsid w:val="00C457D8"/>
    <w:rsid w:val="00C47DBF"/>
    <w:rsid w:val="00C5004A"/>
    <w:rsid w:val="00C5197A"/>
    <w:rsid w:val="00C5288F"/>
    <w:rsid w:val="00C54FDE"/>
    <w:rsid w:val="00C552FF"/>
    <w:rsid w:val="00C558DA"/>
    <w:rsid w:val="00C55AF3"/>
    <w:rsid w:val="00C56BC2"/>
    <w:rsid w:val="00C60C79"/>
    <w:rsid w:val="00C60E1C"/>
    <w:rsid w:val="00C611FC"/>
    <w:rsid w:val="00C771A9"/>
    <w:rsid w:val="00C80A1D"/>
    <w:rsid w:val="00C82943"/>
    <w:rsid w:val="00C832DE"/>
    <w:rsid w:val="00C8347D"/>
    <w:rsid w:val="00C84759"/>
    <w:rsid w:val="00C8535A"/>
    <w:rsid w:val="00C860C6"/>
    <w:rsid w:val="00C86AD9"/>
    <w:rsid w:val="00C86C21"/>
    <w:rsid w:val="00C870D0"/>
    <w:rsid w:val="00C870D3"/>
    <w:rsid w:val="00C87D9C"/>
    <w:rsid w:val="00C93096"/>
    <w:rsid w:val="00C93888"/>
    <w:rsid w:val="00C943B2"/>
    <w:rsid w:val="00C95B7D"/>
    <w:rsid w:val="00CA1198"/>
    <w:rsid w:val="00CA141F"/>
    <w:rsid w:val="00CA161C"/>
    <w:rsid w:val="00CA2647"/>
    <w:rsid w:val="00CA5CA9"/>
    <w:rsid w:val="00CA6154"/>
    <w:rsid w:val="00CA6C7F"/>
    <w:rsid w:val="00CB007D"/>
    <w:rsid w:val="00CB1EBE"/>
    <w:rsid w:val="00CB229E"/>
    <w:rsid w:val="00CB2628"/>
    <w:rsid w:val="00CB38F6"/>
    <w:rsid w:val="00CB60CA"/>
    <w:rsid w:val="00CC0FC7"/>
    <w:rsid w:val="00CC10A6"/>
    <w:rsid w:val="00CC19E4"/>
    <w:rsid w:val="00CC2EF0"/>
    <w:rsid w:val="00CC57F8"/>
    <w:rsid w:val="00CC6D5F"/>
    <w:rsid w:val="00CD282C"/>
    <w:rsid w:val="00CD2A00"/>
    <w:rsid w:val="00CD3A0F"/>
    <w:rsid w:val="00CD585A"/>
    <w:rsid w:val="00CD5EB8"/>
    <w:rsid w:val="00CD6283"/>
    <w:rsid w:val="00CD7044"/>
    <w:rsid w:val="00CE08B9"/>
    <w:rsid w:val="00CE13C3"/>
    <w:rsid w:val="00CE25B9"/>
    <w:rsid w:val="00CE29CB"/>
    <w:rsid w:val="00CE3515"/>
    <w:rsid w:val="00CE502E"/>
    <w:rsid w:val="00CE524C"/>
    <w:rsid w:val="00CE5F69"/>
    <w:rsid w:val="00CE7722"/>
    <w:rsid w:val="00CF0BFD"/>
    <w:rsid w:val="00CF141F"/>
    <w:rsid w:val="00CF4777"/>
    <w:rsid w:val="00CF65C8"/>
    <w:rsid w:val="00CF73E2"/>
    <w:rsid w:val="00D013F5"/>
    <w:rsid w:val="00D01C9C"/>
    <w:rsid w:val="00D02286"/>
    <w:rsid w:val="00D03046"/>
    <w:rsid w:val="00D035C4"/>
    <w:rsid w:val="00D036A3"/>
    <w:rsid w:val="00D049C8"/>
    <w:rsid w:val="00D05E3F"/>
    <w:rsid w:val="00D067BB"/>
    <w:rsid w:val="00D07009"/>
    <w:rsid w:val="00D1352A"/>
    <w:rsid w:val="00D14D8F"/>
    <w:rsid w:val="00D14FE4"/>
    <w:rsid w:val="00D157F5"/>
    <w:rsid w:val="00D15BB4"/>
    <w:rsid w:val="00D1638E"/>
    <w:rsid w:val="00D169AF"/>
    <w:rsid w:val="00D200EF"/>
    <w:rsid w:val="00D24300"/>
    <w:rsid w:val="00D24A13"/>
    <w:rsid w:val="00D25175"/>
    <w:rsid w:val="00D25249"/>
    <w:rsid w:val="00D26854"/>
    <w:rsid w:val="00D26BF5"/>
    <w:rsid w:val="00D34FF8"/>
    <w:rsid w:val="00D35835"/>
    <w:rsid w:val="00D417B1"/>
    <w:rsid w:val="00D44172"/>
    <w:rsid w:val="00D47BE3"/>
    <w:rsid w:val="00D50042"/>
    <w:rsid w:val="00D505FA"/>
    <w:rsid w:val="00D51FD9"/>
    <w:rsid w:val="00D5234D"/>
    <w:rsid w:val="00D540A5"/>
    <w:rsid w:val="00D5474A"/>
    <w:rsid w:val="00D57009"/>
    <w:rsid w:val="00D60B33"/>
    <w:rsid w:val="00D60C5A"/>
    <w:rsid w:val="00D61551"/>
    <w:rsid w:val="00D638E0"/>
    <w:rsid w:val="00D63B8C"/>
    <w:rsid w:val="00D64654"/>
    <w:rsid w:val="00D648F6"/>
    <w:rsid w:val="00D6688B"/>
    <w:rsid w:val="00D67D13"/>
    <w:rsid w:val="00D739CC"/>
    <w:rsid w:val="00D75F73"/>
    <w:rsid w:val="00D766F6"/>
    <w:rsid w:val="00D76CD4"/>
    <w:rsid w:val="00D77C35"/>
    <w:rsid w:val="00D80134"/>
    <w:rsid w:val="00D806F9"/>
    <w:rsid w:val="00D8093D"/>
    <w:rsid w:val="00D8108C"/>
    <w:rsid w:val="00D842AE"/>
    <w:rsid w:val="00D90BAA"/>
    <w:rsid w:val="00D9211C"/>
    <w:rsid w:val="00D92DE0"/>
    <w:rsid w:val="00D92FEF"/>
    <w:rsid w:val="00D931F9"/>
    <w:rsid w:val="00D93A0F"/>
    <w:rsid w:val="00D94081"/>
    <w:rsid w:val="00D94609"/>
    <w:rsid w:val="00D95755"/>
    <w:rsid w:val="00D97546"/>
    <w:rsid w:val="00D97A8A"/>
    <w:rsid w:val="00DA11EA"/>
    <w:rsid w:val="00DA1BCA"/>
    <w:rsid w:val="00DA324E"/>
    <w:rsid w:val="00DA3663"/>
    <w:rsid w:val="00DA610F"/>
    <w:rsid w:val="00DA659A"/>
    <w:rsid w:val="00DA68FD"/>
    <w:rsid w:val="00DA780B"/>
    <w:rsid w:val="00DB1640"/>
    <w:rsid w:val="00DB1C90"/>
    <w:rsid w:val="00DC1845"/>
    <w:rsid w:val="00DC22D3"/>
    <w:rsid w:val="00DC274A"/>
    <w:rsid w:val="00DC46FF"/>
    <w:rsid w:val="00DC497A"/>
    <w:rsid w:val="00DC5254"/>
    <w:rsid w:val="00DC569D"/>
    <w:rsid w:val="00DC6661"/>
    <w:rsid w:val="00DD1A4F"/>
    <w:rsid w:val="00DD3107"/>
    <w:rsid w:val="00DD3130"/>
    <w:rsid w:val="00DD5908"/>
    <w:rsid w:val="00DD7C2C"/>
    <w:rsid w:val="00DE298C"/>
    <w:rsid w:val="00DE2DE4"/>
    <w:rsid w:val="00DE335D"/>
    <w:rsid w:val="00DE3DD2"/>
    <w:rsid w:val="00DE5BDA"/>
    <w:rsid w:val="00DE7BA0"/>
    <w:rsid w:val="00DF0641"/>
    <w:rsid w:val="00DF174D"/>
    <w:rsid w:val="00DF30E2"/>
    <w:rsid w:val="00DF344A"/>
    <w:rsid w:val="00DF38B8"/>
    <w:rsid w:val="00DF433C"/>
    <w:rsid w:val="00DF519F"/>
    <w:rsid w:val="00DF5F15"/>
    <w:rsid w:val="00E00008"/>
    <w:rsid w:val="00E0035A"/>
    <w:rsid w:val="00E00A79"/>
    <w:rsid w:val="00E05356"/>
    <w:rsid w:val="00E0673E"/>
    <w:rsid w:val="00E06797"/>
    <w:rsid w:val="00E06D79"/>
    <w:rsid w:val="00E07443"/>
    <w:rsid w:val="00E1265B"/>
    <w:rsid w:val="00E12E09"/>
    <w:rsid w:val="00E13B48"/>
    <w:rsid w:val="00E1404F"/>
    <w:rsid w:val="00E14B9C"/>
    <w:rsid w:val="00E17780"/>
    <w:rsid w:val="00E17F33"/>
    <w:rsid w:val="00E20086"/>
    <w:rsid w:val="00E20B37"/>
    <w:rsid w:val="00E21C83"/>
    <w:rsid w:val="00E21E02"/>
    <w:rsid w:val="00E2232C"/>
    <w:rsid w:val="00E2358D"/>
    <w:rsid w:val="00E23737"/>
    <w:rsid w:val="00E24ADA"/>
    <w:rsid w:val="00E27760"/>
    <w:rsid w:val="00E311E8"/>
    <w:rsid w:val="00E321C7"/>
    <w:rsid w:val="00E323FA"/>
    <w:rsid w:val="00E32F59"/>
    <w:rsid w:val="00E33B25"/>
    <w:rsid w:val="00E34240"/>
    <w:rsid w:val="00E34BC4"/>
    <w:rsid w:val="00E35212"/>
    <w:rsid w:val="00E360AB"/>
    <w:rsid w:val="00E3750A"/>
    <w:rsid w:val="00E41908"/>
    <w:rsid w:val="00E439D3"/>
    <w:rsid w:val="00E46D9A"/>
    <w:rsid w:val="00E472C8"/>
    <w:rsid w:val="00E51E24"/>
    <w:rsid w:val="00E544F4"/>
    <w:rsid w:val="00E55328"/>
    <w:rsid w:val="00E565FF"/>
    <w:rsid w:val="00E56D6B"/>
    <w:rsid w:val="00E64DCB"/>
    <w:rsid w:val="00E65388"/>
    <w:rsid w:val="00E6633B"/>
    <w:rsid w:val="00E6709E"/>
    <w:rsid w:val="00E67667"/>
    <w:rsid w:val="00E73A69"/>
    <w:rsid w:val="00E74160"/>
    <w:rsid w:val="00E752A1"/>
    <w:rsid w:val="00E75BE3"/>
    <w:rsid w:val="00E7741D"/>
    <w:rsid w:val="00E77445"/>
    <w:rsid w:val="00E808CD"/>
    <w:rsid w:val="00E8348F"/>
    <w:rsid w:val="00E853C8"/>
    <w:rsid w:val="00E85854"/>
    <w:rsid w:val="00E85B7D"/>
    <w:rsid w:val="00E87919"/>
    <w:rsid w:val="00E9121B"/>
    <w:rsid w:val="00E92FAF"/>
    <w:rsid w:val="00E9302E"/>
    <w:rsid w:val="00E951E7"/>
    <w:rsid w:val="00E976AB"/>
    <w:rsid w:val="00EA0AE2"/>
    <w:rsid w:val="00EA157D"/>
    <w:rsid w:val="00EA239D"/>
    <w:rsid w:val="00EA39E5"/>
    <w:rsid w:val="00EA5785"/>
    <w:rsid w:val="00EA57A3"/>
    <w:rsid w:val="00EA57CE"/>
    <w:rsid w:val="00EA5FE9"/>
    <w:rsid w:val="00EA7037"/>
    <w:rsid w:val="00EB07D6"/>
    <w:rsid w:val="00EB3633"/>
    <w:rsid w:val="00EB3B1D"/>
    <w:rsid w:val="00EB7249"/>
    <w:rsid w:val="00EC2813"/>
    <w:rsid w:val="00EC349F"/>
    <w:rsid w:val="00EC362A"/>
    <w:rsid w:val="00EC5A46"/>
    <w:rsid w:val="00EC636E"/>
    <w:rsid w:val="00EC63E2"/>
    <w:rsid w:val="00ED0225"/>
    <w:rsid w:val="00ED1E2C"/>
    <w:rsid w:val="00ED366A"/>
    <w:rsid w:val="00ED4699"/>
    <w:rsid w:val="00ED510A"/>
    <w:rsid w:val="00ED6BB7"/>
    <w:rsid w:val="00EE120F"/>
    <w:rsid w:val="00EE18A1"/>
    <w:rsid w:val="00EE54A1"/>
    <w:rsid w:val="00EE6A6E"/>
    <w:rsid w:val="00EE6BE4"/>
    <w:rsid w:val="00EE7010"/>
    <w:rsid w:val="00EF0296"/>
    <w:rsid w:val="00EF0951"/>
    <w:rsid w:val="00EF0D69"/>
    <w:rsid w:val="00EF22B3"/>
    <w:rsid w:val="00EF314F"/>
    <w:rsid w:val="00EF3808"/>
    <w:rsid w:val="00EF5366"/>
    <w:rsid w:val="00EF7CA8"/>
    <w:rsid w:val="00F01791"/>
    <w:rsid w:val="00F03235"/>
    <w:rsid w:val="00F03979"/>
    <w:rsid w:val="00F03B69"/>
    <w:rsid w:val="00F03D2F"/>
    <w:rsid w:val="00F07A50"/>
    <w:rsid w:val="00F113DA"/>
    <w:rsid w:val="00F15160"/>
    <w:rsid w:val="00F1559E"/>
    <w:rsid w:val="00F22310"/>
    <w:rsid w:val="00F22360"/>
    <w:rsid w:val="00F22967"/>
    <w:rsid w:val="00F266FC"/>
    <w:rsid w:val="00F27FFB"/>
    <w:rsid w:val="00F30105"/>
    <w:rsid w:val="00F3037A"/>
    <w:rsid w:val="00F3091C"/>
    <w:rsid w:val="00F317CD"/>
    <w:rsid w:val="00F3395A"/>
    <w:rsid w:val="00F3465A"/>
    <w:rsid w:val="00F37DC8"/>
    <w:rsid w:val="00F40C70"/>
    <w:rsid w:val="00F4294B"/>
    <w:rsid w:val="00F439B3"/>
    <w:rsid w:val="00F47865"/>
    <w:rsid w:val="00F505E0"/>
    <w:rsid w:val="00F519E9"/>
    <w:rsid w:val="00F51B63"/>
    <w:rsid w:val="00F528E0"/>
    <w:rsid w:val="00F53463"/>
    <w:rsid w:val="00F55A86"/>
    <w:rsid w:val="00F55F57"/>
    <w:rsid w:val="00F56012"/>
    <w:rsid w:val="00F56194"/>
    <w:rsid w:val="00F572BB"/>
    <w:rsid w:val="00F57BFC"/>
    <w:rsid w:val="00F63534"/>
    <w:rsid w:val="00F650C3"/>
    <w:rsid w:val="00F65CA1"/>
    <w:rsid w:val="00F65CC1"/>
    <w:rsid w:val="00F65D85"/>
    <w:rsid w:val="00F6700B"/>
    <w:rsid w:val="00F679EA"/>
    <w:rsid w:val="00F7137B"/>
    <w:rsid w:val="00F75E76"/>
    <w:rsid w:val="00F8084E"/>
    <w:rsid w:val="00F8091E"/>
    <w:rsid w:val="00F85716"/>
    <w:rsid w:val="00F8615C"/>
    <w:rsid w:val="00F8699A"/>
    <w:rsid w:val="00F87352"/>
    <w:rsid w:val="00F91C4F"/>
    <w:rsid w:val="00F922D3"/>
    <w:rsid w:val="00F93600"/>
    <w:rsid w:val="00F94207"/>
    <w:rsid w:val="00F94B1B"/>
    <w:rsid w:val="00F969E5"/>
    <w:rsid w:val="00FA12A8"/>
    <w:rsid w:val="00FA3406"/>
    <w:rsid w:val="00FA4972"/>
    <w:rsid w:val="00FA6144"/>
    <w:rsid w:val="00FA6BB0"/>
    <w:rsid w:val="00FB142F"/>
    <w:rsid w:val="00FB2324"/>
    <w:rsid w:val="00FB2DBD"/>
    <w:rsid w:val="00FB3481"/>
    <w:rsid w:val="00FB4230"/>
    <w:rsid w:val="00FB539E"/>
    <w:rsid w:val="00FB5830"/>
    <w:rsid w:val="00FC34A7"/>
    <w:rsid w:val="00FC3DA6"/>
    <w:rsid w:val="00FC485A"/>
    <w:rsid w:val="00FD2698"/>
    <w:rsid w:val="00FD48DF"/>
    <w:rsid w:val="00FD5860"/>
    <w:rsid w:val="00FD6D11"/>
    <w:rsid w:val="00FE1452"/>
    <w:rsid w:val="00FE352D"/>
    <w:rsid w:val="00FE40EB"/>
    <w:rsid w:val="00FE4D02"/>
    <w:rsid w:val="00FE67ED"/>
    <w:rsid w:val="00FE7D62"/>
    <w:rsid w:val="00FF0DA0"/>
    <w:rsid w:val="00FF1231"/>
    <w:rsid w:val="00FF3819"/>
    <w:rsid w:val="00FF3822"/>
    <w:rsid w:val="00FF476C"/>
    <w:rsid w:val="00FF4DE7"/>
    <w:rsid w:val="00FF556A"/>
    <w:rsid w:val="00FF73EB"/>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406B4B"/>
  <w15:docId w15:val="{509422EE-C704-4A03-9F39-2CC478C4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55A86"/>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5A3334"/>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D2FC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qFormat/>
    <w:rsid w:val="00AD2FC4"/>
    <w:pPr>
      <w:spacing w:after="120"/>
      <w:ind w:left="1247"/>
    </w:pPr>
    <w:rPr>
      <w:lang w:val="en-GB"/>
    </w:rPr>
  </w:style>
  <w:style w:type="paragraph" w:customStyle="1" w:styleId="Normalnumber">
    <w:name w:val="Normal_number"/>
    <w:basedOn w:val="Normalpool"/>
    <w:link w:val="NormalnumberChar"/>
    <w:rsid w:val="008F77F9"/>
    <w:pPr>
      <w:numPr>
        <w:numId w:val="4"/>
      </w:num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qFormat/>
    <w:rsid w:val="00AD2FC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55A86"/>
    <w:rPr>
      <w:b/>
      <w:sz w:val="24"/>
      <w:szCs w:val="24"/>
      <w:lang w:eastAsia="en-US"/>
    </w:rPr>
  </w:style>
  <w:style w:type="character" w:customStyle="1" w:styleId="CH3Char">
    <w:name w:val="CH3 Char"/>
    <w:link w:val="CH3"/>
    <w:locked/>
    <w:rsid w:val="005A3334"/>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547AF3"/>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4F5C75"/>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Normal"/>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2200983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E7182-E151-448B-A5E3-79FC485B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4.xml><?xml version="1.0" encoding="utf-8"?>
<ds:datastoreItem xmlns:ds="http://schemas.openxmlformats.org/officeDocument/2006/customXml" ds:itemID="{EA30B304-9629-4279-B63B-74F48D26D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8</Pages>
  <Words>2712</Words>
  <Characters>15463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18139</CharactersWithSpaces>
  <SharedDoc>false</SharedDoc>
  <HLinks>
    <vt:vector size="90" baseType="variant">
      <vt:variant>
        <vt:i4>4194315</vt:i4>
      </vt:variant>
      <vt:variant>
        <vt:i4>84</vt:i4>
      </vt:variant>
      <vt:variant>
        <vt:i4>0</vt:i4>
      </vt:variant>
      <vt:variant>
        <vt:i4>5</vt:i4>
      </vt:variant>
      <vt:variant>
        <vt:lpwstr>http://www.mercuryconvention.org/</vt:lpwstr>
      </vt:variant>
      <vt:variant>
        <vt:lpwstr/>
      </vt:variant>
      <vt:variant>
        <vt:i4>5505083</vt:i4>
      </vt:variant>
      <vt:variant>
        <vt:i4>81</vt:i4>
      </vt:variant>
      <vt:variant>
        <vt:i4>0</vt:i4>
      </vt:variant>
      <vt:variant>
        <vt:i4>5</vt:i4>
      </vt:variant>
      <vt:variant>
        <vt:lpwstr>mailto:mea-minamatasecretariat@un.org</vt:lpwstr>
      </vt:variant>
      <vt:variant>
        <vt:lpwstr/>
      </vt:variant>
      <vt:variant>
        <vt:i4>1114162</vt:i4>
      </vt:variant>
      <vt:variant>
        <vt:i4>74</vt:i4>
      </vt:variant>
      <vt:variant>
        <vt:i4>0</vt:i4>
      </vt:variant>
      <vt:variant>
        <vt:i4>5</vt:i4>
      </vt:variant>
      <vt:variant>
        <vt:lpwstr/>
      </vt:variant>
      <vt:variant>
        <vt:lpwstr>_Toc27124754</vt:lpwstr>
      </vt:variant>
      <vt:variant>
        <vt:i4>1441842</vt:i4>
      </vt:variant>
      <vt:variant>
        <vt:i4>68</vt:i4>
      </vt:variant>
      <vt:variant>
        <vt:i4>0</vt:i4>
      </vt:variant>
      <vt:variant>
        <vt:i4>5</vt:i4>
      </vt:variant>
      <vt:variant>
        <vt:lpwstr/>
      </vt:variant>
      <vt:variant>
        <vt:lpwstr>_Toc27124753</vt:lpwstr>
      </vt:variant>
      <vt:variant>
        <vt:i4>1507378</vt:i4>
      </vt:variant>
      <vt:variant>
        <vt:i4>62</vt:i4>
      </vt:variant>
      <vt:variant>
        <vt:i4>0</vt:i4>
      </vt:variant>
      <vt:variant>
        <vt:i4>5</vt:i4>
      </vt:variant>
      <vt:variant>
        <vt:lpwstr/>
      </vt:variant>
      <vt:variant>
        <vt:lpwstr>_Toc27124752</vt:lpwstr>
      </vt:variant>
      <vt:variant>
        <vt:i4>1310770</vt:i4>
      </vt:variant>
      <vt:variant>
        <vt:i4>56</vt:i4>
      </vt:variant>
      <vt:variant>
        <vt:i4>0</vt:i4>
      </vt:variant>
      <vt:variant>
        <vt:i4>5</vt:i4>
      </vt:variant>
      <vt:variant>
        <vt:lpwstr/>
      </vt:variant>
      <vt:variant>
        <vt:lpwstr>_Toc27124751</vt:lpwstr>
      </vt:variant>
      <vt:variant>
        <vt:i4>1376306</vt:i4>
      </vt:variant>
      <vt:variant>
        <vt:i4>50</vt:i4>
      </vt:variant>
      <vt:variant>
        <vt:i4>0</vt:i4>
      </vt:variant>
      <vt:variant>
        <vt:i4>5</vt:i4>
      </vt:variant>
      <vt:variant>
        <vt:lpwstr/>
      </vt:variant>
      <vt:variant>
        <vt:lpwstr>_Toc27124750</vt:lpwstr>
      </vt:variant>
      <vt:variant>
        <vt:i4>1835059</vt:i4>
      </vt:variant>
      <vt:variant>
        <vt:i4>44</vt:i4>
      </vt:variant>
      <vt:variant>
        <vt:i4>0</vt:i4>
      </vt:variant>
      <vt:variant>
        <vt:i4>5</vt:i4>
      </vt:variant>
      <vt:variant>
        <vt:lpwstr/>
      </vt:variant>
      <vt:variant>
        <vt:lpwstr>_Toc27124749</vt:lpwstr>
      </vt:variant>
      <vt:variant>
        <vt:i4>1900595</vt:i4>
      </vt:variant>
      <vt:variant>
        <vt:i4>38</vt:i4>
      </vt:variant>
      <vt:variant>
        <vt:i4>0</vt:i4>
      </vt:variant>
      <vt:variant>
        <vt:i4>5</vt:i4>
      </vt:variant>
      <vt:variant>
        <vt:lpwstr/>
      </vt:variant>
      <vt:variant>
        <vt:lpwstr>_Toc27124748</vt:lpwstr>
      </vt:variant>
      <vt:variant>
        <vt:i4>1179699</vt:i4>
      </vt:variant>
      <vt:variant>
        <vt:i4>32</vt:i4>
      </vt:variant>
      <vt:variant>
        <vt:i4>0</vt:i4>
      </vt:variant>
      <vt:variant>
        <vt:i4>5</vt:i4>
      </vt:variant>
      <vt:variant>
        <vt:lpwstr/>
      </vt:variant>
      <vt:variant>
        <vt:lpwstr>_Toc27124747</vt:lpwstr>
      </vt:variant>
      <vt:variant>
        <vt:i4>1245235</vt:i4>
      </vt:variant>
      <vt:variant>
        <vt:i4>26</vt:i4>
      </vt:variant>
      <vt:variant>
        <vt:i4>0</vt:i4>
      </vt:variant>
      <vt:variant>
        <vt:i4>5</vt:i4>
      </vt:variant>
      <vt:variant>
        <vt:lpwstr/>
      </vt:variant>
      <vt:variant>
        <vt:lpwstr>_Toc27124746</vt:lpwstr>
      </vt:variant>
      <vt:variant>
        <vt:i4>1114163</vt:i4>
      </vt:variant>
      <vt:variant>
        <vt:i4>20</vt:i4>
      </vt:variant>
      <vt:variant>
        <vt:i4>0</vt:i4>
      </vt:variant>
      <vt:variant>
        <vt:i4>5</vt:i4>
      </vt:variant>
      <vt:variant>
        <vt:lpwstr/>
      </vt:variant>
      <vt:variant>
        <vt:lpwstr>_Toc27124744</vt:lpwstr>
      </vt:variant>
      <vt:variant>
        <vt:i4>1441843</vt:i4>
      </vt:variant>
      <vt:variant>
        <vt:i4>14</vt:i4>
      </vt:variant>
      <vt:variant>
        <vt:i4>0</vt:i4>
      </vt:variant>
      <vt:variant>
        <vt:i4>5</vt:i4>
      </vt:variant>
      <vt:variant>
        <vt:lpwstr/>
      </vt:variant>
      <vt:variant>
        <vt:lpwstr>_Toc27124743</vt:lpwstr>
      </vt:variant>
      <vt:variant>
        <vt:i4>1507379</vt:i4>
      </vt:variant>
      <vt:variant>
        <vt:i4>8</vt:i4>
      </vt:variant>
      <vt:variant>
        <vt:i4>0</vt:i4>
      </vt:variant>
      <vt:variant>
        <vt:i4>5</vt:i4>
      </vt:variant>
      <vt:variant>
        <vt:lpwstr/>
      </vt:variant>
      <vt:variant>
        <vt:lpwstr>_Toc27124742</vt:lpwstr>
      </vt:variant>
      <vt:variant>
        <vt:i4>1310771</vt:i4>
      </vt:variant>
      <vt:variant>
        <vt:i4>2</vt:i4>
      </vt:variant>
      <vt:variant>
        <vt:i4>0</vt:i4>
      </vt:variant>
      <vt:variant>
        <vt:i4>5</vt:i4>
      </vt:variant>
      <vt:variant>
        <vt:lpwstr/>
      </vt:variant>
      <vt:variant>
        <vt:lpwstr>_Toc27124741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Linh DOAN</cp:lastModifiedBy>
  <cp:revision>13</cp:revision>
  <cp:lastPrinted>2020-05-15T11:26:00Z</cp:lastPrinted>
  <dcterms:created xsi:type="dcterms:W3CDTF">2020-10-15T16:27:00Z</dcterms:created>
  <dcterms:modified xsi:type="dcterms:W3CDTF">2020-10-29T09:25:00Z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