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3D22DE">
        <w:trPr>
          <w:cantSplit/>
          <w:trHeight w:val="850"/>
          <w:jc w:val="right"/>
        </w:trPr>
        <w:tc>
          <w:tcPr>
            <w:tcW w:w="1518"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643" w:type="dxa"/>
          </w:tcPr>
          <w:p w14:paraId="2F47229A" w14:textId="77777777" w:rsidR="00032E4E" w:rsidRPr="008E4D6C" w:rsidRDefault="00032E4E" w:rsidP="00023DA9">
            <w:pPr>
              <w:rPr>
                <w:rFonts w:ascii="Univers" w:hAnsi="Univers"/>
                <w:b/>
                <w:sz w:val="27"/>
                <w:szCs w:val="27"/>
              </w:rPr>
            </w:pPr>
          </w:p>
        </w:tc>
        <w:tc>
          <w:tcPr>
            <w:tcW w:w="33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3D22DE">
        <w:trPr>
          <w:cantSplit/>
          <w:trHeight w:val="281"/>
          <w:jc w:val="right"/>
        </w:trPr>
        <w:tc>
          <w:tcPr>
            <w:tcW w:w="1518" w:type="dxa"/>
            <w:tcBorders>
              <w:bottom w:val="single" w:sz="4" w:space="0" w:color="auto"/>
            </w:tcBorders>
          </w:tcPr>
          <w:p w14:paraId="30269B88" w14:textId="77777777" w:rsidR="00032E4E" w:rsidRPr="008E4D6C" w:rsidRDefault="00032E4E" w:rsidP="00023DA9">
            <w:pPr>
              <w:rPr>
                <w:sz w:val="18"/>
                <w:szCs w:val="18"/>
              </w:rPr>
            </w:pPr>
          </w:p>
        </w:tc>
        <w:tc>
          <w:tcPr>
            <w:tcW w:w="4643"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335" w:type="dxa"/>
            <w:tcBorders>
              <w:bottom w:val="single" w:sz="4" w:space="0" w:color="auto"/>
            </w:tcBorders>
          </w:tcPr>
          <w:p w14:paraId="540639F8" w14:textId="39E8DA3F"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w:t>
            </w:r>
            <w:r w:rsidR="003D22DE">
              <w:t>2</w:t>
            </w:r>
            <w:r w:rsidRPr="008E4D6C">
              <w:t>/</w:t>
            </w:r>
            <w:r w:rsidR="000B64FA">
              <w:t>9</w:t>
            </w:r>
          </w:p>
        </w:tc>
      </w:tr>
      <w:bookmarkStart w:id="2" w:name="_MON_1021710482"/>
      <w:bookmarkEnd w:id="2"/>
      <w:bookmarkStart w:id="3" w:name="_MON_1021710510"/>
      <w:bookmarkEnd w:id="3"/>
      <w:tr w:rsidR="003D22DE" w:rsidRPr="008E4D6C" w14:paraId="34AA74B4" w14:textId="77777777" w:rsidTr="003D22DE">
        <w:trPr>
          <w:cantSplit/>
          <w:trHeight w:val="2549"/>
          <w:jc w:val="right"/>
        </w:trPr>
        <w:tc>
          <w:tcPr>
            <w:tcW w:w="1518" w:type="dxa"/>
            <w:tcBorders>
              <w:top w:val="single" w:sz="4" w:space="0" w:color="auto"/>
              <w:bottom w:val="single" w:sz="24" w:space="0" w:color="auto"/>
            </w:tcBorders>
          </w:tcPr>
          <w:p w14:paraId="02CDC318" w14:textId="77777777" w:rsidR="003D22DE" w:rsidRPr="008E4D6C" w:rsidRDefault="003D22DE" w:rsidP="003D22DE">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3146" r:id="rId12"/>
              </w:object>
            </w:r>
            <w:r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13D00ED4" w:rsidR="003D22DE" w:rsidRPr="008E4D6C" w:rsidRDefault="003D22DE" w:rsidP="003D22DE">
            <w:pPr>
              <w:spacing w:before="1200"/>
              <w:rPr>
                <w:rFonts w:ascii="Arial" w:hAnsi="Arial" w:cs="Arial"/>
                <w:b/>
                <w:sz w:val="28"/>
              </w:rPr>
            </w:pPr>
            <w:r w:rsidRPr="008E4D6C">
              <w:rPr>
                <w:rFonts w:ascii="Arial" w:hAnsi="Arial" w:cs="Arial"/>
                <w:b/>
                <w:sz w:val="32"/>
                <w:szCs w:val="32"/>
              </w:rPr>
              <w:t>Programme</w:t>
            </w:r>
            <w:r w:rsidRPr="008E4D6C">
              <w:rPr>
                <w:rFonts w:ascii="Arial" w:hAnsi="Arial" w:cs="Arial"/>
                <w:b/>
                <w:sz w:val="32"/>
                <w:szCs w:val="32"/>
              </w:rPr>
              <w:br/>
              <w:t>des Nations Unies</w:t>
            </w:r>
            <w:r w:rsidRPr="008E4D6C">
              <w:rPr>
                <w:rFonts w:ascii="Arial" w:hAnsi="Arial" w:cs="Arial"/>
                <w:b/>
                <w:sz w:val="32"/>
                <w:szCs w:val="32"/>
              </w:rPr>
              <w:br/>
              <w:t>pour l’environnement</w:t>
            </w:r>
          </w:p>
        </w:tc>
        <w:tc>
          <w:tcPr>
            <w:tcW w:w="3335" w:type="dxa"/>
            <w:tcBorders>
              <w:top w:val="single" w:sz="4" w:space="0" w:color="auto"/>
              <w:bottom w:val="single" w:sz="24" w:space="0" w:color="auto"/>
            </w:tcBorders>
          </w:tcPr>
          <w:p w14:paraId="3F8F71B5" w14:textId="77777777" w:rsidR="003D22DE" w:rsidRPr="00A47916" w:rsidRDefault="003D22DE" w:rsidP="003D22DE">
            <w:pPr>
              <w:spacing w:before="120"/>
            </w:pPr>
            <w:proofErr w:type="spellStart"/>
            <w:r w:rsidRPr="00A47916">
              <w:t>Distr</w:t>
            </w:r>
            <w:proofErr w:type="spellEnd"/>
            <w:r w:rsidRPr="00A47916">
              <w:t xml:space="preserve">. générale </w:t>
            </w:r>
            <w:r w:rsidRPr="00A47916">
              <w:br/>
            </w:r>
            <w:r>
              <w:t>6 décembre</w:t>
            </w:r>
            <w:r w:rsidRPr="00A47916">
              <w:t xml:space="preserve"> 2018</w:t>
            </w:r>
          </w:p>
          <w:p w14:paraId="1A75CF9D" w14:textId="7D0A0F0E" w:rsidR="003D22DE" w:rsidRPr="008E4D6C" w:rsidRDefault="003D22DE" w:rsidP="003D22DE">
            <w:pPr>
              <w:spacing w:before="240"/>
            </w:pPr>
            <w:r w:rsidRPr="00A47916">
              <w:t>Français</w:t>
            </w:r>
            <w:r>
              <w:t xml:space="preserve"> </w:t>
            </w:r>
            <w:r w:rsidRPr="00A47916">
              <w:br/>
              <w:t>Original : anglais</w:t>
            </w:r>
          </w:p>
        </w:tc>
      </w:tr>
    </w:tbl>
    <w:p w14:paraId="48BB973D" w14:textId="77777777" w:rsidR="003D22DE" w:rsidRPr="00A47916" w:rsidRDefault="003D22DE" w:rsidP="003D22DE">
      <w:pPr>
        <w:pStyle w:val="AATitle"/>
        <w:rPr>
          <w:lang w:val="fr-FR"/>
        </w:rPr>
      </w:pPr>
      <w:r w:rsidRPr="00A47916">
        <w:rPr>
          <w:lang w:val="fr-FR"/>
        </w:rPr>
        <w:t>Conférence</w:t>
      </w:r>
      <w:r>
        <w:rPr>
          <w:lang w:val="fr-FR"/>
        </w:rPr>
        <w:t xml:space="preserve"> des </w:t>
      </w:r>
      <w:r w:rsidRPr="005F4E6A">
        <w:t>Parties</w:t>
      </w:r>
      <w:r w:rsidRPr="00A47916">
        <w:rPr>
          <w:lang w:val="fr-FR"/>
        </w:rPr>
        <w:t xml:space="preserve"> à</w:t>
      </w:r>
      <w:r>
        <w:rPr>
          <w:lang w:val="fr-FR"/>
        </w:rPr>
        <w:t xml:space="preserve"> la </w:t>
      </w:r>
      <w:r w:rsidRPr="00A47916">
        <w:rPr>
          <w:lang w:val="fr-FR"/>
        </w:rPr>
        <w:t xml:space="preserve">Convention </w:t>
      </w:r>
      <w:r w:rsidRPr="00A47916">
        <w:rPr>
          <w:lang w:val="fr-FR"/>
        </w:rPr>
        <w:br/>
        <w:t>de Minamata sur</w:t>
      </w:r>
      <w:r>
        <w:rPr>
          <w:lang w:val="fr-FR"/>
        </w:rPr>
        <w:t xml:space="preserve"> le </w:t>
      </w:r>
      <w:r w:rsidRPr="00A47916">
        <w:rPr>
          <w:lang w:val="fr-FR"/>
        </w:rPr>
        <w:t>mercure</w:t>
      </w:r>
    </w:p>
    <w:p w14:paraId="5FA5DBD8" w14:textId="77777777" w:rsidR="003D22DE" w:rsidRPr="00A47916" w:rsidRDefault="003D22DE" w:rsidP="003D22DE">
      <w:pPr>
        <w:pStyle w:val="AATitle"/>
        <w:rPr>
          <w:lang w:val="fr-FR"/>
        </w:rPr>
      </w:pPr>
      <w:r w:rsidRPr="00A47916">
        <w:rPr>
          <w:lang w:val="fr-FR"/>
        </w:rPr>
        <w:t>Deuxième réunion</w:t>
      </w:r>
    </w:p>
    <w:p w14:paraId="78EFE1C1" w14:textId="77777777" w:rsidR="003D22DE" w:rsidRPr="005F4E6A" w:rsidRDefault="003D22DE" w:rsidP="003D22DE">
      <w:pPr>
        <w:pStyle w:val="AATitle"/>
        <w:rPr>
          <w:b w:val="0"/>
        </w:rPr>
      </w:pPr>
      <w:r w:rsidRPr="005F4E6A">
        <w:rPr>
          <w:b w:val="0"/>
        </w:rPr>
        <w:t>Genève, 19-23 novembre 2018</w:t>
      </w:r>
    </w:p>
    <w:p w14:paraId="7032A950" w14:textId="77777777" w:rsidR="009816C5" w:rsidRDefault="009816C5" w:rsidP="009816C5">
      <w:pPr>
        <w:pStyle w:val="ZZAnxtitle"/>
      </w:pPr>
      <w:bookmarkStart w:id="4" w:name="_Toc14185197"/>
      <w:r>
        <w:t>Décision adoptée par la deuxième Conférence des Parties à la Convention de Minamata sur le mercure</w:t>
      </w:r>
    </w:p>
    <w:p w14:paraId="1F25FEC2" w14:textId="534BE601" w:rsidR="000B64FA" w:rsidRPr="000B64FA" w:rsidRDefault="000B64FA" w:rsidP="000B64FA">
      <w:pPr>
        <w:keepNext/>
        <w:keepLines/>
        <w:tabs>
          <w:tab w:val="right" w:pos="851"/>
          <w:tab w:val="left" w:pos="4082"/>
        </w:tabs>
        <w:suppressAutoHyphens/>
        <w:spacing w:before="240" w:after="120"/>
        <w:ind w:left="1247" w:right="284" w:hanging="1247"/>
        <w:rPr>
          <w:rFonts w:eastAsiaTheme="minorHAnsi"/>
          <w:b/>
          <w:sz w:val="28"/>
          <w:szCs w:val="28"/>
          <w:lang w:val="fr-CA"/>
        </w:rPr>
      </w:pPr>
      <w:bookmarkStart w:id="5" w:name="_GoBack"/>
      <w:bookmarkEnd w:id="5"/>
      <w:r>
        <w:rPr>
          <w:rFonts w:eastAsia="MS Mincho"/>
          <w:b/>
          <w:sz w:val="28"/>
          <w:szCs w:val="28"/>
          <w:lang w:val="fr-CA"/>
        </w:rPr>
        <w:tab/>
      </w:r>
      <w:r>
        <w:rPr>
          <w:rFonts w:eastAsia="MS Mincho"/>
          <w:b/>
          <w:sz w:val="28"/>
          <w:szCs w:val="28"/>
          <w:lang w:val="fr-CA"/>
        </w:rPr>
        <w:tab/>
      </w:r>
      <w:r w:rsidRPr="000B64FA">
        <w:rPr>
          <w:rFonts w:eastAsia="MS Mincho"/>
          <w:b/>
          <w:sz w:val="28"/>
          <w:szCs w:val="28"/>
          <w:lang w:val="fr-CA"/>
        </w:rPr>
        <w:t>MC-2/9 : Codes du Système harmonisé</w:t>
      </w:r>
      <w:bookmarkEnd w:id="4"/>
    </w:p>
    <w:p w14:paraId="0FAB2E6C" w14:textId="77777777" w:rsidR="000B64FA" w:rsidRPr="000B64FA" w:rsidRDefault="000B64FA" w:rsidP="000B64FA">
      <w:pPr>
        <w:tabs>
          <w:tab w:val="left" w:pos="4082"/>
        </w:tabs>
        <w:spacing w:after="120"/>
        <w:ind w:left="1247"/>
        <w:rPr>
          <w:i/>
          <w:iCs/>
          <w:lang w:val="fr-CA"/>
        </w:rPr>
      </w:pPr>
      <w:r w:rsidRPr="000B64FA">
        <w:rPr>
          <w:i/>
          <w:lang w:val="fr-CA"/>
        </w:rPr>
        <w:tab/>
        <w:t>La Conférence des Parties,</w:t>
      </w:r>
    </w:p>
    <w:p w14:paraId="3520A5D3" w14:textId="77777777" w:rsidR="000B64FA" w:rsidRPr="000B64FA" w:rsidRDefault="000B64FA" w:rsidP="000B64FA">
      <w:pPr>
        <w:tabs>
          <w:tab w:val="left" w:pos="4082"/>
        </w:tabs>
        <w:spacing w:after="120"/>
        <w:ind w:left="1247"/>
        <w:rPr>
          <w:i/>
          <w:lang w:val="fr-CA"/>
        </w:rPr>
      </w:pPr>
      <w:r w:rsidRPr="000B64FA">
        <w:rPr>
          <w:i/>
          <w:lang w:val="fr-CA"/>
        </w:rPr>
        <w:tab/>
        <w:t xml:space="preserve">Consciente </w:t>
      </w:r>
      <w:r w:rsidRPr="000B64FA">
        <w:rPr>
          <w:lang w:val="fr-CA"/>
        </w:rPr>
        <w:t>que l’amélioration des données générées par le Système harmonisé de désignation et de codification des marchandises pourrait être un moyen de faciliter l’application de l’article 4 de la Convention, de faciliter l’établissement des rapports nationaux en application de l’article 21 et de promouvoir une meilleure communication entre les partenaires commerciaux,</w:t>
      </w:r>
    </w:p>
    <w:p w14:paraId="40865928" w14:textId="77777777" w:rsidR="000B64FA" w:rsidRPr="000B64FA" w:rsidRDefault="000B64FA" w:rsidP="000B64FA">
      <w:pPr>
        <w:tabs>
          <w:tab w:val="left" w:pos="4082"/>
        </w:tabs>
        <w:spacing w:after="120"/>
        <w:ind w:left="1247"/>
        <w:rPr>
          <w:i/>
          <w:iCs/>
        </w:rPr>
      </w:pPr>
      <w:r w:rsidRPr="000B64FA">
        <w:rPr>
          <w:i/>
          <w:iCs/>
        </w:rPr>
        <w:tab/>
        <w:t>Prenant en considération les </w:t>
      </w:r>
      <w:r w:rsidRPr="000B64FA">
        <w:rPr>
          <w:iCs/>
        </w:rPr>
        <w:t>résultats de l’étude sur le Système harmonisé menée au titre du domaine de partenariat des produits contenant du mercure par le Partenariat sur le mercure du Programme des Nations Unies pour l’environnement,</w:t>
      </w:r>
    </w:p>
    <w:p w14:paraId="7D1734A3" w14:textId="77777777" w:rsidR="000B64FA" w:rsidRPr="000B64FA" w:rsidRDefault="000B64FA" w:rsidP="000B64FA">
      <w:pPr>
        <w:tabs>
          <w:tab w:val="left" w:pos="4082"/>
        </w:tabs>
        <w:spacing w:after="120"/>
        <w:ind w:left="1247"/>
      </w:pPr>
      <w:r w:rsidRPr="000B64FA">
        <w:rPr>
          <w:i/>
          <w:iCs/>
        </w:rPr>
        <w:tab/>
        <w:t>Prie le </w:t>
      </w:r>
      <w:r w:rsidRPr="000B64FA">
        <w:rPr>
          <w:iCs/>
        </w:rPr>
        <w:t>Secrétariat, en collaboration avec le Partenariat sur les produits contenant du mercure et </w:t>
      </w:r>
      <w:r w:rsidRPr="000B64FA">
        <w:t>en concertation avec les organisations compétentes :</w:t>
      </w:r>
    </w:p>
    <w:p w14:paraId="7E4B3AA3" w14:textId="77777777" w:rsidR="000B64FA" w:rsidRPr="000B64FA" w:rsidRDefault="000B64FA" w:rsidP="000B64FA">
      <w:pPr>
        <w:tabs>
          <w:tab w:val="left" w:pos="4082"/>
        </w:tabs>
        <w:spacing w:after="120"/>
        <w:ind w:left="1247"/>
      </w:pPr>
      <w:r w:rsidRPr="000B64FA">
        <w:tab/>
        <w:t>a)</w:t>
      </w:r>
      <w:r w:rsidRPr="000B64FA">
        <w:tab/>
        <w:t xml:space="preserve">De proposer, en tenant compte des résultats de l’étude sur le Système harmonisé au titre du Partenariat sur </w:t>
      </w:r>
      <w:proofErr w:type="gramStart"/>
      <w:r w:rsidRPr="000B64FA">
        <w:t>les produits menée</w:t>
      </w:r>
      <w:proofErr w:type="gramEnd"/>
      <w:r w:rsidRPr="000B64FA">
        <w:t xml:space="preserve"> par le Partenariat mondial sur le mercure du Programme des Nations Unies pour l’environnement, des solutions pour la définition de codes douaniers permettant d’identifier et de distinguer les produits sans mercure ajouté et ceux contenant du mercure ajouté qui figurent dans l’Annexe A de la Convention, y compris des moyens de les harmoniser éventuellement ;</w:t>
      </w:r>
    </w:p>
    <w:p w14:paraId="27156EEF" w14:textId="77777777" w:rsidR="000B64FA" w:rsidRPr="000B64FA" w:rsidRDefault="000B64FA" w:rsidP="000B64FA">
      <w:pPr>
        <w:tabs>
          <w:tab w:val="left" w:pos="4082"/>
        </w:tabs>
        <w:spacing w:after="120"/>
        <w:ind w:left="1247"/>
      </w:pPr>
      <w:r w:rsidRPr="000B64FA">
        <w:tab/>
        <w:t>b)</w:t>
      </w:r>
      <w:r w:rsidRPr="000B64FA">
        <w:tab/>
        <w:t>De faire parvenir aux Parties et autres parties prenantes, d’ici à mai 2019, un projet de rapport pour observations ;</w:t>
      </w:r>
    </w:p>
    <w:p w14:paraId="7C4D9A11" w14:textId="77777777" w:rsidR="000B64FA" w:rsidRPr="000B64FA" w:rsidRDefault="000B64FA" w:rsidP="000B64FA">
      <w:pPr>
        <w:tabs>
          <w:tab w:val="left" w:pos="4082"/>
        </w:tabs>
        <w:spacing w:after="120"/>
        <w:ind w:left="1247"/>
      </w:pPr>
      <w:r w:rsidRPr="000B64FA">
        <w:tab/>
        <w:t>c)</w:t>
      </w:r>
      <w:r w:rsidRPr="000B64FA">
        <w:tab/>
        <w:t>De recevoir les observations des Parties et autres parties prenantes sur le projet de rapport jusqu’au 1</w:t>
      </w:r>
      <w:r w:rsidRPr="000B64FA">
        <w:rPr>
          <w:vertAlign w:val="superscript"/>
        </w:rPr>
        <w:t>er</w:t>
      </w:r>
      <w:r w:rsidRPr="000B64FA">
        <w:t xml:space="preserve"> août 2019 ;</w:t>
      </w:r>
    </w:p>
    <w:p w14:paraId="481C76CF" w14:textId="77777777" w:rsidR="000B64FA" w:rsidRPr="000B64FA" w:rsidRDefault="000B64FA" w:rsidP="000B64FA">
      <w:pPr>
        <w:tabs>
          <w:tab w:val="left" w:pos="4082"/>
        </w:tabs>
        <w:spacing w:after="120"/>
        <w:ind w:left="1247"/>
      </w:pPr>
      <w:r w:rsidRPr="000B64FA">
        <w:tab/>
        <w:t>d)</w:t>
      </w:r>
      <w:r w:rsidRPr="000B64FA">
        <w:tab/>
        <w:t>De réviser le projet de rapport en tenant compte des observations reçues conformément à l’alinéa c) ci-dessus ;</w:t>
      </w:r>
    </w:p>
    <w:p w14:paraId="0706CE20" w14:textId="77777777" w:rsidR="000B64FA" w:rsidRPr="000B64FA" w:rsidRDefault="000B64FA" w:rsidP="000B64FA">
      <w:pPr>
        <w:tabs>
          <w:tab w:val="clear" w:pos="1247"/>
          <w:tab w:val="clear" w:pos="1814"/>
          <w:tab w:val="left" w:pos="1843"/>
          <w:tab w:val="left" w:pos="4082"/>
        </w:tabs>
        <w:spacing w:after="120"/>
        <w:ind w:left="1276"/>
      </w:pPr>
      <w:r w:rsidRPr="000B64FA">
        <w:tab/>
        <w:t>e)</w:t>
      </w:r>
      <w:r w:rsidRPr="000B64FA">
        <w:tab/>
        <w:t>De présenter le rapport susvisé à la Conférence des Parties à sa troisième réunion, pour examen.</w:t>
      </w:r>
    </w:p>
    <w:p w14:paraId="29516043" w14:textId="69103195" w:rsidR="003D22DE" w:rsidRPr="000B64FA" w:rsidRDefault="003D22DE" w:rsidP="000B64FA">
      <w:pPr>
        <w:tabs>
          <w:tab w:val="clear" w:pos="1247"/>
          <w:tab w:val="clear" w:pos="1814"/>
          <w:tab w:val="clear" w:pos="2381"/>
          <w:tab w:val="clear" w:pos="2948"/>
          <w:tab w:val="clear" w:pos="3515"/>
        </w:tabs>
        <w:rPr>
          <w:rFonts w:eastAsia="MS Mincho"/>
          <w:b/>
          <w:sz w:val="28"/>
          <w:szCs w:val="28"/>
          <w:lang w:val="fr-CA"/>
        </w:rPr>
      </w:pPr>
    </w:p>
    <w:sectPr w:rsidR="003D22DE" w:rsidRPr="000B64FA"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84A1A" w14:textId="77777777" w:rsidR="009F0BFD" w:rsidRDefault="009F0BFD">
      <w:r>
        <w:separator/>
      </w:r>
    </w:p>
  </w:endnote>
  <w:endnote w:type="continuationSeparator" w:id="0">
    <w:p w14:paraId="2202CB17" w14:textId="77777777" w:rsidR="009F0BFD" w:rsidRDefault="009F0BFD">
      <w:r>
        <w:continuationSeparator/>
      </w:r>
    </w:p>
  </w:endnote>
  <w:endnote w:type="continuationNotice" w:id="1">
    <w:p w14:paraId="139A9760" w14:textId="77777777" w:rsidR="009F0BFD" w:rsidRDefault="009F0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9A90D" w14:textId="77777777" w:rsidR="009F0BFD" w:rsidRDefault="009F0BFD" w:rsidP="00D92DE0">
      <w:pPr>
        <w:ind w:left="624"/>
      </w:pPr>
      <w:r>
        <w:separator/>
      </w:r>
    </w:p>
  </w:footnote>
  <w:footnote w:type="continuationSeparator" w:id="0">
    <w:p w14:paraId="41E60C89" w14:textId="77777777" w:rsidR="009F0BFD" w:rsidRDefault="009F0BFD">
      <w:r>
        <w:continuationSeparator/>
      </w:r>
    </w:p>
  </w:footnote>
  <w:footnote w:type="continuationNotice" w:id="1">
    <w:p w14:paraId="71F2492E" w14:textId="77777777" w:rsidR="009F0BFD" w:rsidRDefault="009F0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2C931EF1" w:rsidR="00853842" w:rsidRPr="00CA5CA9" w:rsidRDefault="00853842" w:rsidP="006B4C09">
    <w:pPr>
      <w:pStyle w:val="Header-pool"/>
    </w:pPr>
    <w:r w:rsidRPr="00CA5CA9">
      <w:rPr>
        <w:bCs/>
      </w:rPr>
      <w:t>UNEP</w:t>
    </w:r>
    <w:r w:rsidRPr="00CA5CA9">
      <w:t>/</w:t>
    </w:r>
    <w:r>
      <w:t>MC</w:t>
    </w:r>
    <w:r w:rsidRPr="00CA5CA9">
      <w:t>/</w:t>
    </w:r>
    <w:r>
      <w:t>COP.</w:t>
    </w:r>
    <w:r w:rsidR="009C5EDE">
      <w:t>2</w:t>
    </w:r>
    <w:r w:rsidRPr="00CA5CA9">
      <w:t>/</w:t>
    </w:r>
    <w:r w:rsidR="00EB297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462592B6"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D22DE">
      <w:rPr>
        <w:szCs w:val="18"/>
      </w:rPr>
      <w:t>2</w:t>
    </w:r>
    <w:r w:rsidRPr="00CA5CA9">
      <w:rPr>
        <w:szCs w:val="18"/>
      </w:rPr>
      <w:t>/</w:t>
    </w:r>
    <w:r w:rsidR="000B64FA">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2291BF8"/>
    <w:multiLevelType w:val="multilevel"/>
    <w:tmpl w:val="F4ACF36E"/>
    <w:numStyleLink w:val="Normallist"/>
  </w:abstractNum>
  <w:abstractNum w:abstractNumId="11" w15:restartNumberingAfterBreak="0">
    <w:nsid w:val="658E3431"/>
    <w:multiLevelType w:val="hybridMultilevel"/>
    <w:tmpl w:val="F4ACF36E"/>
    <w:styleLink w:val="Normallist2"/>
    <w:lvl w:ilvl="0" w:tplc="FBCEB55C">
      <w:start w:val="1"/>
      <w:numFmt w:val="decimal"/>
      <w:lvlText w:val="%1."/>
      <w:lvlJc w:val="left"/>
      <w:pPr>
        <w:tabs>
          <w:tab w:val="num" w:pos="2830"/>
        </w:tabs>
        <w:ind w:left="3510" w:firstLine="0"/>
      </w:pPr>
      <w:rPr>
        <w:rFonts w:hint="default"/>
      </w:rPr>
    </w:lvl>
    <w:lvl w:ilvl="1" w:tplc="FDA8D172">
      <w:start w:val="1"/>
      <w:numFmt w:val="lowerLetter"/>
      <w:lvlText w:val="%2)"/>
      <w:lvlJc w:val="left"/>
      <w:pPr>
        <w:tabs>
          <w:tab w:val="num" w:pos="567"/>
        </w:tabs>
        <w:ind w:left="1247" w:firstLine="567"/>
      </w:pPr>
      <w:rPr>
        <w:rFonts w:hint="default"/>
      </w:rPr>
    </w:lvl>
    <w:lvl w:ilvl="2" w:tplc="BAF838C0">
      <w:start w:val="1"/>
      <w:numFmt w:val="lowerRoman"/>
      <w:lvlText w:val="%3)"/>
      <w:lvlJc w:val="left"/>
      <w:pPr>
        <w:tabs>
          <w:tab w:val="num" w:pos="567"/>
        </w:tabs>
        <w:ind w:left="2948" w:hanging="567"/>
      </w:pPr>
      <w:rPr>
        <w:rFonts w:hint="default"/>
      </w:rPr>
    </w:lvl>
    <w:lvl w:ilvl="3" w:tplc="95820F7C">
      <w:start w:val="1"/>
      <w:numFmt w:val="lowerLetter"/>
      <w:lvlText w:val="%4."/>
      <w:lvlJc w:val="left"/>
      <w:pPr>
        <w:tabs>
          <w:tab w:val="num" w:pos="567"/>
        </w:tabs>
        <w:ind w:left="3515" w:hanging="567"/>
      </w:pPr>
      <w:rPr>
        <w:rFonts w:hint="default"/>
      </w:rPr>
    </w:lvl>
    <w:lvl w:ilvl="4" w:tplc="4F364E66">
      <w:start w:val="1"/>
      <w:numFmt w:val="lowerRoman"/>
      <w:lvlText w:val="%5."/>
      <w:lvlJc w:val="left"/>
      <w:pPr>
        <w:tabs>
          <w:tab w:val="num" w:pos="567"/>
        </w:tabs>
        <w:ind w:left="4082" w:hanging="567"/>
      </w:pPr>
      <w:rPr>
        <w:rFonts w:hint="default"/>
      </w:rPr>
    </w:lvl>
    <w:lvl w:ilvl="5" w:tplc="383EFA2C">
      <w:start w:val="1"/>
      <w:numFmt w:val="lowerRoman"/>
      <w:lvlText w:val="%6."/>
      <w:lvlJc w:val="right"/>
      <w:pPr>
        <w:tabs>
          <w:tab w:val="num" w:pos="7835"/>
        </w:tabs>
        <w:ind w:left="7835" w:hanging="180"/>
      </w:pPr>
      <w:rPr>
        <w:rFonts w:hint="default"/>
      </w:rPr>
    </w:lvl>
    <w:lvl w:ilvl="6" w:tplc="2AE85E38">
      <w:start w:val="1"/>
      <w:numFmt w:val="decimal"/>
      <w:lvlText w:val="%7."/>
      <w:lvlJc w:val="left"/>
      <w:pPr>
        <w:tabs>
          <w:tab w:val="num" w:pos="8555"/>
        </w:tabs>
        <w:ind w:left="8555" w:hanging="360"/>
      </w:pPr>
      <w:rPr>
        <w:rFonts w:hint="default"/>
      </w:rPr>
    </w:lvl>
    <w:lvl w:ilvl="7" w:tplc="17FEBCD0">
      <w:start w:val="1"/>
      <w:numFmt w:val="lowerLetter"/>
      <w:lvlText w:val="%8."/>
      <w:lvlJc w:val="left"/>
      <w:pPr>
        <w:tabs>
          <w:tab w:val="num" w:pos="9275"/>
        </w:tabs>
        <w:ind w:left="9275" w:hanging="360"/>
      </w:pPr>
      <w:rPr>
        <w:rFonts w:hint="default"/>
      </w:rPr>
    </w:lvl>
    <w:lvl w:ilvl="8" w:tplc="035C4F40">
      <w:start w:val="1"/>
      <w:numFmt w:val="lowerRoman"/>
      <w:lvlText w:val="%9."/>
      <w:lvlJc w:val="right"/>
      <w:pPr>
        <w:tabs>
          <w:tab w:val="num" w:pos="9995"/>
        </w:tabs>
        <w:ind w:left="9995" w:hanging="180"/>
      </w:pPr>
      <w:rPr>
        <w:rFonts w:hint="default"/>
      </w:rPr>
    </w:lvl>
  </w:abstractNum>
  <w:num w:numId="1">
    <w:abstractNumId w:val="10"/>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2"/>
  </w:num>
  <w:num w:numId="3">
    <w:abstractNumId w:val="6"/>
  </w:num>
  <w:num w:numId="4">
    <w:abstractNumId w:val="9"/>
  </w:num>
  <w:num w:numId="5">
    <w:abstractNumId w:val="11"/>
    <w:lvlOverride w:ilvl="0">
      <w:lvl w:ilvl="0" w:tplc="FBCEB55C">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DA8D17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F838C0">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5820F7C">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364E6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3EFA2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E85E3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FEBCD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5C4F40">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1"/>
  </w:num>
  <w:num w:numId="8">
    <w:abstractNumId w:val="3"/>
  </w:num>
  <w:num w:numId="9">
    <w:abstractNumId w:val="5"/>
  </w:num>
  <w:num w:numId="10">
    <w:abstractNumId w:val="0"/>
  </w:num>
  <w:num w:numId="11">
    <w:abstractNumId w:val="7"/>
  </w:num>
  <w:num w:numId="12">
    <w:abstractNumId w:val="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64FA"/>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BB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37C"/>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CCE"/>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2DE"/>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0A"/>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B5"/>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6C5"/>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5EDE"/>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0BFD"/>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474"/>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C5360"/>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2DC"/>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2974"/>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4636"/>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autoRedefine/>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link w:val="BVIfnrCharCharCharChar"/>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uiPriority w:val="99"/>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7"/>
      </w:numPr>
    </w:pPr>
  </w:style>
  <w:style w:type="numbering" w:customStyle="1" w:styleId="Importeradestilen15">
    <w:name w:val="Importerade stilen 15"/>
    <w:rsid w:val="00A06DF8"/>
    <w:pPr>
      <w:numPr>
        <w:numId w:val="8"/>
      </w:numPr>
    </w:pPr>
  </w:style>
  <w:style w:type="numbering" w:customStyle="1" w:styleId="Importeradestilen12">
    <w:name w:val="Importerade stilen 12"/>
    <w:rsid w:val="00A06DF8"/>
    <w:pPr>
      <w:numPr>
        <w:numId w:val="6"/>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 w:type="numbering" w:customStyle="1" w:styleId="Normallist2">
    <w:name w:val="Normal_list2"/>
    <w:basedOn w:val="NoList"/>
    <w:rsid w:val="006C30B5"/>
    <w:pPr>
      <w:numPr>
        <w:numId w:val="13"/>
      </w:numPr>
    </w:pPr>
  </w:style>
  <w:style w:type="character" w:customStyle="1" w:styleId="DeltaViewMoveDestination">
    <w:name w:val="DeltaView Move Destination"/>
    <w:uiPriority w:val="99"/>
    <w:rsid w:val="006C30B5"/>
    <w:rPr>
      <w:color w:val="00C000"/>
      <w:u w:val="double"/>
    </w:rPr>
  </w:style>
  <w:style w:type="numbering" w:customStyle="1" w:styleId="WWNum25">
    <w:name w:val="WWNum25"/>
    <w:rsid w:val="006C30B5"/>
    <w:pPr>
      <w:numPr>
        <w:numId w:val="9"/>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6C30B5"/>
    <w:rPr>
      <w:lang w:val="fr-FR" w:eastAsia="en-US"/>
    </w:rPr>
  </w:style>
  <w:style w:type="numbering" w:customStyle="1" w:styleId="ImportedStyle2">
    <w:name w:val="Imported Style 2"/>
    <w:rsid w:val="006C30B5"/>
    <w:pPr>
      <w:numPr>
        <w:numId w:val="10"/>
      </w:numPr>
    </w:pPr>
  </w:style>
  <w:style w:type="paragraph" w:customStyle="1" w:styleId="Text">
    <w:name w:val="Text"/>
    <w:rsid w:val="006C30B5"/>
    <w:pPr>
      <w:pBdr>
        <w:top w:val="nil"/>
        <w:left w:val="nil"/>
        <w:bottom w:val="nil"/>
        <w:right w:val="nil"/>
        <w:between w:val="nil"/>
        <w:bar w:val="nil"/>
      </w:pBdr>
      <w:suppressAutoHyphens/>
    </w:pPr>
    <w:rPr>
      <w:rFonts w:eastAsia="Arial Unicode MS" w:cs="Arial Unicode MS"/>
      <w:color w:val="000000"/>
      <w:u w:color="000000"/>
      <w:bdr w:val="nil"/>
      <w:lang w:val="en-US"/>
    </w:rPr>
  </w:style>
  <w:style w:type="numbering" w:customStyle="1" w:styleId="Importovanstyl6">
    <w:name w:val="Importovaný styl 6"/>
    <w:rsid w:val="006C30B5"/>
    <w:pPr>
      <w:numPr>
        <w:numId w:val="11"/>
      </w:numPr>
    </w:pPr>
  </w:style>
  <w:style w:type="numbering" w:customStyle="1" w:styleId="Importovanstyl9">
    <w:name w:val="Importovaný styl 9"/>
    <w:rsid w:val="006C30B5"/>
    <w:pPr>
      <w:numPr>
        <w:numId w:val="12"/>
      </w:numPr>
    </w:pPr>
  </w:style>
  <w:style w:type="character" w:customStyle="1" w:styleId="NormalpoolChar">
    <w:name w:val="Normal_pool Char"/>
    <w:link w:val="Normalpool"/>
    <w:locked/>
    <w:rsid w:val="006C30B5"/>
    <w:rPr>
      <w:lang w:val="fr-CA"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6C30B5"/>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styleId="UnresolvedMention">
    <w:name w:val="Unresolved Mention"/>
    <w:basedOn w:val="DefaultParagraphFont"/>
    <w:uiPriority w:val="99"/>
    <w:semiHidden/>
    <w:unhideWhenUsed/>
    <w:rsid w:val="006C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3714148">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3.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42B7BC-BCE1-4DC0-ADCE-58D8DD22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2020-11-09T12:19:00Z</cp:lastPrinted>
  <dcterms:created xsi:type="dcterms:W3CDTF">2020-11-06T13:39:00Z</dcterms:created>
  <dcterms:modified xsi:type="dcterms:W3CDTF">2020-11-09T12:19:00Z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