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0B74161B"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75660C">
              <w:t>9</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r w:rsidRPr="002927A1">
              <w:rPr>
                <w:lang w:val="es-ES_tradnl"/>
              </w:rPr>
              <w:t>Distr.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72D99C82" w14:textId="77777777" w:rsidR="00201CFE" w:rsidRPr="00201CFE" w:rsidRDefault="00201CFE" w:rsidP="00201CFE">
      <w:pPr>
        <w:pStyle w:val="CH1"/>
        <w:rPr>
          <w:rFonts w:eastAsiaTheme="minorHAnsi"/>
          <w:lang w:val="es-ES"/>
        </w:rPr>
      </w:pPr>
      <w:r w:rsidRPr="00D632D2">
        <w:rPr>
          <w:bCs/>
        </w:rPr>
        <w:tab/>
      </w:r>
      <w:bookmarkStart w:id="1" w:name="_Toc13072386"/>
      <w:r w:rsidRPr="00D632D2">
        <w:rPr>
          <w:bCs/>
        </w:rPr>
        <w:tab/>
      </w:r>
      <w:bookmarkStart w:id="2" w:name="_Toc13135490"/>
      <w:r w:rsidRPr="00201CFE">
        <w:rPr>
          <w:bCs/>
          <w:lang w:val="es-ES"/>
        </w:rPr>
        <w:t>MC-2/9: Códigos del Sistema Armonizado</w:t>
      </w:r>
      <w:bookmarkEnd w:id="1"/>
      <w:bookmarkEnd w:id="2"/>
    </w:p>
    <w:p w14:paraId="2156185F" w14:textId="77777777" w:rsidR="00201CFE" w:rsidRPr="00D632D2" w:rsidRDefault="00201CFE" w:rsidP="00201CFE">
      <w:pPr>
        <w:pStyle w:val="Normal-pool"/>
        <w:tabs>
          <w:tab w:val="clear" w:pos="1247"/>
          <w:tab w:val="clear" w:pos="1814"/>
          <w:tab w:val="clear" w:pos="2381"/>
          <w:tab w:val="clear" w:pos="2948"/>
          <w:tab w:val="clear" w:pos="3515"/>
          <w:tab w:val="clear" w:pos="4082"/>
          <w:tab w:val="left" w:pos="624"/>
        </w:tabs>
        <w:spacing w:after="120"/>
        <w:ind w:left="1247" w:firstLine="624"/>
        <w:rPr>
          <w:i/>
          <w:iCs/>
          <w:noProof/>
          <w:lang w:val="es-ES_tradnl"/>
        </w:rPr>
      </w:pPr>
      <w:r w:rsidRPr="00D632D2">
        <w:rPr>
          <w:i/>
          <w:iCs/>
          <w:noProof/>
          <w:lang w:val="es-ES_tradnl"/>
        </w:rPr>
        <w:t>La Conferencia de las Partes,</w:t>
      </w:r>
    </w:p>
    <w:p w14:paraId="7EF1B2C6" w14:textId="77777777" w:rsidR="00201CFE" w:rsidRPr="00D632D2" w:rsidRDefault="00201CFE" w:rsidP="00201CFE">
      <w:pPr>
        <w:pStyle w:val="Normal-pool"/>
        <w:tabs>
          <w:tab w:val="clear" w:pos="1247"/>
          <w:tab w:val="clear" w:pos="1814"/>
          <w:tab w:val="clear" w:pos="2381"/>
          <w:tab w:val="clear" w:pos="2948"/>
          <w:tab w:val="clear" w:pos="3515"/>
          <w:tab w:val="clear" w:pos="4082"/>
          <w:tab w:val="left" w:pos="624"/>
        </w:tabs>
        <w:spacing w:after="120"/>
        <w:ind w:left="1247" w:firstLine="624"/>
        <w:rPr>
          <w:i/>
          <w:iCs/>
          <w:noProof/>
          <w:lang w:val="es-ES_tradnl"/>
        </w:rPr>
      </w:pPr>
      <w:r w:rsidRPr="00D632D2">
        <w:rPr>
          <w:i/>
          <w:iCs/>
          <w:noProof/>
          <w:lang w:val="es-ES_tradnl"/>
        </w:rPr>
        <w:t xml:space="preserve">Reconociendo </w:t>
      </w:r>
      <w:r w:rsidRPr="00D632D2">
        <w:rPr>
          <w:noProof/>
          <w:lang w:val="es-ES_tradnl"/>
        </w:rPr>
        <w:t>que la mejora de los datos generados por el Sistema Armonizado de Designación y Codificación de Mercancías podría ser una manera de facilitar la aplicación del artículo 4 del Convenio, mejorar la presentación de informes nacionales de conformidad con el artículo 21 y promover una mejor comunicación entre los socios comerciales,</w:t>
      </w:r>
    </w:p>
    <w:p w14:paraId="196453F6" w14:textId="77777777" w:rsidR="00201CFE" w:rsidRPr="00D632D2" w:rsidRDefault="00201CFE" w:rsidP="00201CFE">
      <w:pPr>
        <w:pStyle w:val="Normal-pool"/>
        <w:tabs>
          <w:tab w:val="clear" w:pos="1247"/>
          <w:tab w:val="clear" w:pos="1814"/>
          <w:tab w:val="clear" w:pos="2381"/>
          <w:tab w:val="clear" w:pos="2948"/>
          <w:tab w:val="clear" w:pos="3515"/>
          <w:tab w:val="clear" w:pos="4082"/>
          <w:tab w:val="left" w:pos="624"/>
        </w:tabs>
        <w:spacing w:after="120"/>
        <w:ind w:left="1247" w:firstLine="624"/>
        <w:rPr>
          <w:i/>
          <w:iCs/>
          <w:noProof/>
          <w:lang w:val="es-ES_tradnl"/>
        </w:rPr>
      </w:pPr>
      <w:r w:rsidRPr="00D632D2">
        <w:rPr>
          <w:i/>
          <w:iCs/>
          <w:noProof/>
          <w:lang w:val="es-ES_tradnl"/>
        </w:rPr>
        <w:t xml:space="preserve">Teniendo en cuenta </w:t>
      </w:r>
      <w:r w:rsidRPr="00D632D2">
        <w:rPr>
          <w:noProof/>
          <w:lang w:val="es-ES_tradnl"/>
        </w:rPr>
        <w:t>el estudio sobre la iniciativa del Sistema Armonizado elaborado por la esfera relativa a las asociaciones sobre el contenido de mercurio en productos del Programa Mundial de Modalidades de Asociación sobre el Mercurio del Programa de las Naciones Unidas para el Medio Ambiente,</w:t>
      </w:r>
    </w:p>
    <w:p w14:paraId="38F5CBED" w14:textId="77777777" w:rsidR="00201CFE" w:rsidRPr="00D632D2" w:rsidRDefault="00201CFE" w:rsidP="00201CFE">
      <w:pPr>
        <w:pStyle w:val="Normal-pool"/>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i/>
          <w:iCs/>
          <w:noProof/>
          <w:lang w:val="es-ES_tradnl"/>
        </w:rPr>
        <w:t xml:space="preserve">Pide </w:t>
      </w:r>
      <w:r w:rsidRPr="00D632D2">
        <w:rPr>
          <w:noProof/>
          <w:lang w:val="es-ES_tradnl"/>
        </w:rPr>
        <w:t>a la Secretaría que, en colaboración con la Asociación sobre Productos que Contienen Mercurio, y en consulta con las organizaciones pertinentes:</w:t>
      </w:r>
    </w:p>
    <w:p w14:paraId="489D087B" w14:textId="77777777" w:rsidR="00201CFE" w:rsidRPr="00201CFE" w:rsidRDefault="00201CFE" w:rsidP="00EF360B">
      <w:pPr>
        <w:pStyle w:val="Normalnumber"/>
        <w:numPr>
          <w:ilvl w:val="0"/>
          <w:numId w:val="12"/>
        </w:numPr>
        <w:tabs>
          <w:tab w:val="clear" w:pos="1247"/>
        </w:tabs>
        <w:ind w:left="1247" w:firstLine="624"/>
        <w:rPr>
          <w:lang w:val="es-ES"/>
        </w:rPr>
      </w:pPr>
      <w:r w:rsidRPr="00201CFE">
        <w:rPr>
          <w:lang w:val="es-ES"/>
        </w:rPr>
        <w:t xml:space="preserve">Proponga, teniendo en cuenta los resultados de la encuesta sobre la iniciativa del Sistema Armonizado elaborado por la Asociación Mundial sobre el Mercurio y la Asociación sobre Productos que Contienen Mercurio del PNUMA, enfoques para los códigos específicos con los que identificar y distinguir los productos con y sin mercurio añadido enumerados en el anexo A del Convenio, incluidos los enfoques para su posible armonización; </w:t>
      </w:r>
    </w:p>
    <w:p w14:paraId="4B5B382A" w14:textId="77777777" w:rsidR="00201CFE" w:rsidRPr="00201CFE" w:rsidRDefault="00201CFE" w:rsidP="00EF360B">
      <w:pPr>
        <w:pStyle w:val="Normalnumber"/>
        <w:numPr>
          <w:ilvl w:val="0"/>
          <w:numId w:val="12"/>
        </w:numPr>
        <w:tabs>
          <w:tab w:val="clear" w:pos="1247"/>
        </w:tabs>
        <w:ind w:left="1247" w:firstLine="624"/>
        <w:rPr>
          <w:lang w:val="es-ES"/>
        </w:rPr>
      </w:pPr>
      <w:r w:rsidRPr="00201CFE">
        <w:rPr>
          <w:lang w:val="es-ES"/>
        </w:rPr>
        <w:t>Remita a las Partes y a otros interesados un proyecto de informe para que formulen sus observaciones a más tardar en mayo de 2019;</w:t>
      </w:r>
    </w:p>
    <w:p w14:paraId="0586892A" w14:textId="77777777" w:rsidR="00201CFE" w:rsidRPr="00201CFE" w:rsidRDefault="00201CFE" w:rsidP="00EF360B">
      <w:pPr>
        <w:pStyle w:val="Normalnumber"/>
        <w:numPr>
          <w:ilvl w:val="0"/>
          <w:numId w:val="12"/>
        </w:numPr>
        <w:tabs>
          <w:tab w:val="clear" w:pos="1247"/>
        </w:tabs>
        <w:ind w:left="1247" w:firstLine="624"/>
        <w:rPr>
          <w:lang w:val="es-ES"/>
        </w:rPr>
      </w:pPr>
      <w:r w:rsidRPr="00201CFE">
        <w:rPr>
          <w:lang w:val="es-ES"/>
        </w:rPr>
        <w:t>Reciba las observaciones de las Partes y otros interesados sobre el proyecto de informe hasta el 1 de agosto de 2019;</w:t>
      </w:r>
    </w:p>
    <w:p w14:paraId="1548C4EF" w14:textId="77777777" w:rsidR="00201CFE" w:rsidRPr="00201CFE" w:rsidRDefault="00201CFE" w:rsidP="00EF360B">
      <w:pPr>
        <w:pStyle w:val="Normalnumber"/>
        <w:numPr>
          <w:ilvl w:val="0"/>
          <w:numId w:val="12"/>
        </w:numPr>
        <w:tabs>
          <w:tab w:val="clear" w:pos="1247"/>
        </w:tabs>
        <w:ind w:left="1247" w:firstLine="624"/>
        <w:rPr>
          <w:lang w:val="es-ES"/>
        </w:rPr>
      </w:pPr>
      <w:r w:rsidRPr="00201CFE">
        <w:rPr>
          <w:lang w:val="es-ES"/>
        </w:rPr>
        <w:t>Revise el proyecto de informe, teniendo en cuenta las observaciones recibidas de conformidad con lo dispuesto en el apartado c);</w:t>
      </w:r>
    </w:p>
    <w:p w14:paraId="23B7D2E7" w14:textId="77777777" w:rsidR="00201CFE" w:rsidRPr="00201CFE" w:rsidRDefault="00201CFE" w:rsidP="00EF360B">
      <w:pPr>
        <w:pStyle w:val="Normalnumber"/>
        <w:numPr>
          <w:ilvl w:val="0"/>
          <w:numId w:val="12"/>
        </w:numPr>
        <w:tabs>
          <w:tab w:val="clear" w:pos="1247"/>
        </w:tabs>
        <w:ind w:left="1247" w:firstLine="624"/>
        <w:rPr>
          <w:lang w:val="es-ES"/>
        </w:rPr>
      </w:pPr>
      <w:r w:rsidRPr="00201CFE">
        <w:rPr>
          <w:lang w:val="es-ES"/>
        </w:rPr>
        <w:t>Presente el informe a la Conferencia de las Partes en su tercera reunión para su examen.</w:t>
      </w:r>
    </w:p>
    <w:p w14:paraId="3C9509C5" w14:textId="10F1C7F3" w:rsidR="003476D8" w:rsidRPr="00201CFE" w:rsidRDefault="003476D8" w:rsidP="00201CFE">
      <w:pPr>
        <w:tabs>
          <w:tab w:val="clear" w:pos="1247"/>
          <w:tab w:val="clear" w:pos="1814"/>
          <w:tab w:val="clear" w:pos="2381"/>
          <w:tab w:val="clear" w:pos="2948"/>
          <w:tab w:val="clear" w:pos="3515"/>
        </w:tabs>
        <w:rPr>
          <w:lang w:val="es-ES"/>
        </w:rPr>
      </w:pPr>
      <w:bookmarkStart w:id="3" w:name="_GoBack"/>
      <w:bookmarkEnd w:id="3"/>
    </w:p>
    <w:sectPr w:rsidR="003476D8" w:rsidRPr="00201CFE"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3EC6" w14:textId="77777777" w:rsidR="00EF360B" w:rsidRDefault="00EF360B">
      <w:r>
        <w:separator/>
      </w:r>
    </w:p>
  </w:endnote>
  <w:endnote w:type="continuationSeparator" w:id="0">
    <w:p w14:paraId="488D1D47" w14:textId="77777777" w:rsidR="00EF360B" w:rsidRDefault="00EF360B">
      <w:r>
        <w:continuationSeparator/>
      </w:r>
    </w:p>
  </w:endnote>
  <w:endnote w:type="continuationNotice" w:id="1">
    <w:p w14:paraId="38E8D595" w14:textId="77777777" w:rsidR="00EF360B" w:rsidRDefault="00EF3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4BEFE" w14:textId="77777777" w:rsidR="00EF360B" w:rsidRPr="008D1ED6" w:rsidRDefault="00EF360B"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35A248B2" w14:textId="77777777" w:rsidR="00EF360B" w:rsidRDefault="00EF360B">
      <w:r>
        <w:continuationSeparator/>
      </w:r>
    </w:p>
  </w:footnote>
  <w:footnote w:type="continuationNotice" w:id="1">
    <w:p w14:paraId="776E7980" w14:textId="77777777" w:rsidR="00EF360B" w:rsidRDefault="00EF3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02AEA838"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75660C">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6F69439C"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75660C">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6B046E"/>
    <w:multiLevelType w:val="hybridMultilevel"/>
    <w:tmpl w:val="32C28572"/>
    <w:lvl w:ilvl="0" w:tplc="04090017">
      <w:start w:val="1"/>
      <w:numFmt w:val="lowerLetter"/>
      <w:lvlText w:val="%1)"/>
      <w:lvlJc w:val="left"/>
      <w:pPr>
        <w:ind w:left="1967" w:hanging="360"/>
      </w:pPr>
    </w:lvl>
    <w:lvl w:ilvl="1" w:tplc="0C0A0019" w:tentative="1">
      <w:start w:val="1"/>
      <w:numFmt w:val="lowerLetter"/>
      <w:lvlText w:val="%2."/>
      <w:lvlJc w:val="left"/>
      <w:pPr>
        <w:ind w:left="2687" w:hanging="360"/>
      </w:pPr>
    </w:lvl>
    <w:lvl w:ilvl="2" w:tplc="0C0A001B" w:tentative="1">
      <w:start w:val="1"/>
      <w:numFmt w:val="lowerRoman"/>
      <w:lvlText w:val="%3."/>
      <w:lvlJc w:val="right"/>
      <w:pPr>
        <w:ind w:left="3407" w:hanging="180"/>
      </w:pPr>
    </w:lvl>
    <w:lvl w:ilvl="3" w:tplc="0C0A000F" w:tentative="1">
      <w:start w:val="1"/>
      <w:numFmt w:val="decimal"/>
      <w:lvlText w:val="%4."/>
      <w:lvlJc w:val="left"/>
      <w:pPr>
        <w:ind w:left="4127" w:hanging="360"/>
      </w:pPr>
    </w:lvl>
    <w:lvl w:ilvl="4" w:tplc="0C0A0019" w:tentative="1">
      <w:start w:val="1"/>
      <w:numFmt w:val="lowerLetter"/>
      <w:lvlText w:val="%5."/>
      <w:lvlJc w:val="left"/>
      <w:pPr>
        <w:ind w:left="4847" w:hanging="360"/>
      </w:pPr>
    </w:lvl>
    <w:lvl w:ilvl="5" w:tplc="0C0A001B" w:tentative="1">
      <w:start w:val="1"/>
      <w:numFmt w:val="lowerRoman"/>
      <w:lvlText w:val="%6."/>
      <w:lvlJc w:val="right"/>
      <w:pPr>
        <w:ind w:left="5567" w:hanging="180"/>
      </w:pPr>
    </w:lvl>
    <w:lvl w:ilvl="6" w:tplc="0C0A000F" w:tentative="1">
      <w:start w:val="1"/>
      <w:numFmt w:val="decimal"/>
      <w:lvlText w:val="%7."/>
      <w:lvlJc w:val="left"/>
      <w:pPr>
        <w:ind w:left="6287" w:hanging="360"/>
      </w:pPr>
    </w:lvl>
    <w:lvl w:ilvl="7" w:tplc="0C0A0019" w:tentative="1">
      <w:start w:val="1"/>
      <w:numFmt w:val="lowerLetter"/>
      <w:lvlText w:val="%8."/>
      <w:lvlJc w:val="left"/>
      <w:pPr>
        <w:ind w:left="7007" w:hanging="360"/>
      </w:pPr>
    </w:lvl>
    <w:lvl w:ilvl="8" w:tplc="0C0A001B" w:tentative="1">
      <w:start w:val="1"/>
      <w:numFmt w:val="lowerRoman"/>
      <w:lvlText w:val="%9."/>
      <w:lvlJc w:val="right"/>
      <w:pPr>
        <w:ind w:left="7727" w:hanging="180"/>
      </w:pPr>
    </w:lvl>
  </w:abstractNum>
  <w:abstractNum w:abstractNumId="11"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1"/>
  </w:num>
  <w:num w:numId="2">
    <w:abstractNumId w:val="2"/>
  </w:num>
  <w:num w:numId="3">
    <w:abstractNumId w:val="7"/>
  </w:num>
  <w:num w:numId="4">
    <w:abstractNumId w:val="6"/>
  </w:num>
  <w:num w:numId="5">
    <w:abstractNumId w:val="0"/>
  </w:num>
  <w:num w:numId="6">
    <w:abstractNumId w:val="5"/>
  </w:num>
  <w:num w:numId="7">
    <w:abstractNumId w:val="8"/>
  </w:num>
  <w:num w:numId="8">
    <w:abstractNumId w:val="3"/>
  </w:num>
  <w:num w:numId="9">
    <w:abstractNumId w:val="9"/>
  </w:num>
  <w:num w:numId="10">
    <w:abstractNumId w:val="1"/>
  </w:num>
  <w:num w:numId="11">
    <w:abstractNumId w:val="4"/>
    <w:lvlOverride w:ilvl="0">
      <w:lvl w:ilvl="0" w:tplc="3C785296">
        <w:start w:val="1"/>
        <w:numFmt w:val="decimal"/>
        <w:pStyle w:val="Style1"/>
        <w:lvlText w:val="%1."/>
        <w:lvlJc w:val="left"/>
        <w:pPr>
          <w:ind w:left="720" w:hanging="360"/>
        </w:pPr>
      </w:lvl>
    </w:lvlOverride>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6CC2"/>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CFE"/>
    <w:rsid w:val="00201EDC"/>
    <w:rsid w:val="0020364F"/>
    <w:rsid w:val="00205869"/>
    <w:rsid w:val="002063A4"/>
    <w:rsid w:val="00207F30"/>
    <w:rsid w:val="00210312"/>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660C"/>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87949"/>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4AC1"/>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3F82"/>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590E"/>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6332"/>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60B"/>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04CA2139-243B-49D6-861E-AE3E6171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2021-01-13T17:04:00Z</dcterms:created>
  <dcterms:modified xsi:type="dcterms:W3CDTF">2021-01-13T17:05:00Z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