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8"/>
        <w:gridCol w:w="4643"/>
        <w:gridCol w:w="3335"/>
      </w:tblGrid>
      <w:tr w:rsidR="00032E4E" w:rsidRPr="008E4D6C" w14:paraId="4B9F0F9B" w14:textId="77777777" w:rsidTr="003D22DE">
        <w:trPr>
          <w:cantSplit/>
          <w:trHeight w:val="850"/>
          <w:jc w:val="right"/>
        </w:trPr>
        <w:tc>
          <w:tcPr>
            <w:tcW w:w="1518" w:type="dxa"/>
          </w:tcPr>
          <w:p w14:paraId="2A9B9F9D" w14:textId="5D52BB23" w:rsidR="00032E4E" w:rsidRPr="008E4D6C" w:rsidRDefault="00032E4E" w:rsidP="00023DA9">
            <w:pPr>
              <w:rPr>
                <w:rFonts w:ascii="Univers" w:hAnsi="Univers"/>
                <w:b/>
                <w:sz w:val="27"/>
                <w:szCs w:val="27"/>
              </w:rPr>
            </w:pPr>
            <w:r w:rsidRPr="008E4D6C">
              <w:rPr>
                <w:rFonts w:ascii="Arial" w:hAnsi="Arial" w:cs="Arial"/>
                <w:b/>
                <w:sz w:val="27"/>
                <w:szCs w:val="27"/>
              </w:rPr>
              <w:t>NATIONS</w:t>
            </w:r>
            <w:r w:rsidR="00FD27BC" w:rsidRPr="008E4D6C">
              <w:rPr>
                <w:rFonts w:ascii="Arial" w:hAnsi="Arial" w:cs="Arial"/>
                <w:b/>
                <w:sz w:val="27"/>
                <w:szCs w:val="27"/>
              </w:rPr>
              <w:br/>
              <w:t>UNIES</w:t>
            </w:r>
          </w:p>
        </w:tc>
        <w:tc>
          <w:tcPr>
            <w:tcW w:w="4643" w:type="dxa"/>
          </w:tcPr>
          <w:p w14:paraId="2F47229A" w14:textId="77777777" w:rsidR="00032E4E" w:rsidRPr="008E4D6C" w:rsidRDefault="00032E4E" w:rsidP="00023DA9">
            <w:pPr>
              <w:rPr>
                <w:rFonts w:ascii="Univers" w:hAnsi="Univers"/>
                <w:b/>
                <w:sz w:val="27"/>
                <w:szCs w:val="27"/>
              </w:rPr>
            </w:pPr>
          </w:p>
        </w:tc>
        <w:tc>
          <w:tcPr>
            <w:tcW w:w="3335" w:type="dxa"/>
          </w:tcPr>
          <w:p w14:paraId="57073C3F" w14:textId="77777777" w:rsidR="00032E4E" w:rsidRPr="008E4D6C" w:rsidRDefault="00787688" w:rsidP="00023DA9">
            <w:pPr>
              <w:jc w:val="right"/>
              <w:rPr>
                <w:rFonts w:ascii="Arial" w:hAnsi="Arial" w:cs="Arial"/>
                <w:b/>
                <w:sz w:val="64"/>
                <w:szCs w:val="64"/>
              </w:rPr>
            </w:pPr>
            <w:r w:rsidRPr="008E4D6C">
              <w:rPr>
                <w:rFonts w:ascii="Arial" w:hAnsi="Arial" w:cs="Arial"/>
                <w:b/>
                <w:sz w:val="64"/>
                <w:szCs w:val="64"/>
              </w:rPr>
              <w:t>MC</w:t>
            </w:r>
          </w:p>
        </w:tc>
      </w:tr>
      <w:tr w:rsidR="00032E4E" w:rsidRPr="008E4D6C" w14:paraId="0DEAC680" w14:textId="77777777" w:rsidTr="003D22DE">
        <w:trPr>
          <w:cantSplit/>
          <w:trHeight w:val="281"/>
          <w:jc w:val="right"/>
        </w:trPr>
        <w:tc>
          <w:tcPr>
            <w:tcW w:w="1518" w:type="dxa"/>
            <w:tcBorders>
              <w:bottom w:val="single" w:sz="4" w:space="0" w:color="auto"/>
            </w:tcBorders>
          </w:tcPr>
          <w:p w14:paraId="30269B88" w14:textId="77777777" w:rsidR="00032E4E" w:rsidRPr="008E4D6C" w:rsidRDefault="00032E4E" w:rsidP="00023DA9">
            <w:pPr>
              <w:rPr>
                <w:sz w:val="18"/>
                <w:szCs w:val="18"/>
              </w:rPr>
            </w:pPr>
          </w:p>
        </w:tc>
        <w:tc>
          <w:tcPr>
            <w:tcW w:w="4643" w:type="dxa"/>
            <w:tcBorders>
              <w:bottom w:val="single" w:sz="4" w:space="0" w:color="auto"/>
            </w:tcBorders>
          </w:tcPr>
          <w:p w14:paraId="54296B4D" w14:textId="77777777" w:rsidR="00032E4E" w:rsidRPr="008E4D6C" w:rsidRDefault="00032E4E" w:rsidP="00023DA9">
            <w:pPr>
              <w:rPr>
                <w:rFonts w:ascii="Univers" w:hAnsi="Univers"/>
                <w:b/>
                <w:sz w:val="18"/>
                <w:szCs w:val="18"/>
              </w:rPr>
            </w:pPr>
          </w:p>
        </w:tc>
        <w:tc>
          <w:tcPr>
            <w:tcW w:w="3335" w:type="dxa"/>
            <w:tcBorders>
              <w:bottom w:val="single" w:sz="4" w:space="0" w:color="auto"/>
            </w:tcBorders>
          </w:tcPr>
          <w:p w14:paraId="540639F8" w14:textId="06D4B6A1" w:rsidR="00032E4E" w:rsidRPr="008E4D6C" w:rsidRDefault="00032E4E" w:rsidP="00787688">
            <w:pPr>
              <w:rPr>
                <w:sz w:val="18"/>
                <w:szCs w:val="18"/>
              </w:rPr>
            </w:pPr>
            <w:r w:rsidRPr="008E4D6C">
              <w:rPr>
                <w:b/>
                <w:bCs/>
                <w:sz w:val="28"/>
              </w:rPr>
              <w:t>UNEP</w:t>
            </w:r>
            <w:bookmarkStart w:id="0" w:name="OLE_LINK1"/>
            <w:bookmarkStart w:id="1" w:name="OLE_LINK2"/>
            <w:r w:rsidR="00787688" w:rsidRPr="008E4D6C">
              <w:rPr>
                <w:b/>
                <w:bCs/>
                <w:sz w:val="28"/>
              </w:rPr>
              <w:t>/</w:t>
            </w:r>
            <w:r w:rsidR="00787688" w:rsidRPr="008E4D6C">
              <w:t>MC</w:t>
            </w:r>
            <w:r w:rsidRPr="008E4D6C">
              <w:t>/</w:t>
            </w:r>
            <w:bookmarkEnd w:id="0"/>
            <w:bookmarkEnd w:id="1"/>
            <w:r w:rsidR="00787688" w:rsidRPr="008E4D6C">
              <w:t>COP.</w:t>
            </w:r>
            <w:r w:rsidR="003D22DE">
              <w:t>2</w:t>
            </w:r>
            <w:r w:rsidRPr="008E4D6C">
              <w:t>/</w:t>
            </w:r>
            <w:r w:rsidR="00EB2974">
              <w:t>8</w:t>
            </w:r>
          </w:p>
        </w:tc>
      </w:tr>
      <w:bookmarkStart w:id="2" w:name="_MON_1021710482"/>
      <w:bookmarkEnd w:id="2"/>
      <w:bookmarkStart w:id="3" w:name="_MON_1021710510"/>
      <w:bookmarkEnd w:id="3"/>
      <w:tr w:rsidR="003D22DE" w:rsidRPr="008E4D6C" w14:paraId="34AA74B4" w14:textId="77777777" w:rsidTr="003D22DE">
        <w:trPr>
          <w:cantSplit/>
          <w:trHeight w:val="2549"/>
          <w:jc w:val="right"/>
        </w:trPr>
        <w:tc>
          <w:tcPr>
            <w:tcW w:w="1518" w:type="dxa"/>
            <w:tcBorders>
              <w:top w:val="single" w:sz="4" w:space="0" w:color="auto"/>
              <w:bottom w:val="single" w:sz="24" w:space="0" w:color="auto"/>
            </w:tcBorders>
          </w:tcPr>
          <w:p w14:paraId="02CDC318" w14:textId="77777777" w:rsidR="003D22DE" w:rsidRPr="008E4D6C" w:rsidRDefault="003D22DE" w:rsidP="003D22DE">
            <w:r w:rsidRPr="008E4D6C">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61.1pt" o:ole="" fillcolor="window">
                  <v:imagedata r:id="rId11" o:title=""/>
                </v:shape>
                <o:OLEObject Type="Embed" ProgID="Word.Picture.8" ShapeID="_x0000_i1025" DrawAspect="Content" ObjectID="_1666433124" r:id="rId12"/>
              </w:object>
            </w:r>
            <w:r w:rsidRPr="008E4D6C">
              <w:rPr>
                <w:noProof/>
                <w:lang w:val="en-GB" w:eastAsia="en-GB"/>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3" w:type="dxa"/>
            <w:tcBorders>
              <w:top w:val="single" w:sz="4" w:space="0" w:color="auto"/>
              <w:bottom w:val="single" w:sz="24" w:space="0" w:color="auto"/>
            </w:tcBorders>
          </w:tcPr>
          <w:p w14:paraId="2AC211BD" w14:textId="13D00ED4" w:rsidR="003D22DE" w:rsidRPr="008E4D6C" w:rsidRDefault="003D22DE" w:rsidP="003D22DE">
            <w:pPr>
              <w:spacing w:before="1200"/>
              <w:rPr>
                <w:rFonts w:ascii="Arial" w:hAnsi="Arial" w:cs="Arial"/>
                <w:b/>
                <w:sz w:val="28"/>
              </w:rPr>
            </w:pPr>
            <w:r w:rsidRPr="008E4D6C">
              <w:rPr>
                <w:rFonts w:ascii="Arial" w:hAnsi="Arial" w:cs="Arial"/>
                <w:b/>
                <w:sz w:val="32"/>
                <w:szCs w:val="32"/>
              </w:rPr>
              <w:t>Programme</w:t>
            </w:r>
            <w:r w:rsidRPr="008E4D6C">
              <w:rPr>
                <w:rFonts w:ascii="Arial" w:hAnsi="Arial" w:cs="Arial"/>
                <w:b/>
                <w:sz w:val="32"/>
                <w:szCs w:val="32"/>
              </w:rPr>
              <w:br/>
              <w:t>des Nations Unies</w:t>
            </w:r>
            <w:r w:rsidRPr="008E4D6C">
              <w:rPr>
                <w:rFonts w:ascii="Arial" w:hAnsi="Arial" w:cs="Arial"/>
                <w:b/>
                <w:sz w:val="32"/>
                <w:szCs w:val="32"/>
              </w:rPr>
              <w:br/>
              <w:t>pour l’environnement</w:t>
            </w:r>
          </w:p>
        </w:tc>
        <w:tc>
          <w:tcPr>
            <w:tcW w:w="3335" w:type="dxa"/>
            <w:tcBorders>
              <w:top w:val="single" w:sz="4" w:space="0" w:color="auto"/>
              <w:bottom w:val="single" w:sz="24" w:space="0" w:color="auto"/>
            </w:tcBorders>
          </w:tcPr>
          <w:p w14:paraId="3F8F71B5" w14:textId="77777777" w:rsidR="003D22DE" w:rsidRPr="00A47916" w:rsidRDefault="003D22DE" w:rsidP="003D22DE">
            <w:pPr>
              <w:spacing w:before="120"/>
            </w:pPr>
            <w:proofErr w:type="spellStart"/>
            <w:r w:rsidRPr="00A47916">
              <w:t>Distr</w:t>
            </w:r>
            <w:proofErr w:type="spellEnd"/>
            <w:r w:rsidRPr="00A47916">
              <w:t xml:space="preserve">. générale </w:t>
            </w:r>
            <w:r w:rsidRPr="00A47916">
              <w:br/>
            </w:r>
            <w:r>
              <w:t>6 décembre</w:t>
            </w:r>
            <w:r w:rsidRPr="00A47916">
              <w:t xml:space="preserve"> 2018</w:t>
            </w:r>
          </w:p>
          <w:p w14:paraId="1A75CF9D" w14:textId="7D0A0F0E" w:rsidR="003D22DE" w:rsidRPr="008E4D6C" w:rsidRDefault="003D22DE" w:rsidP="003D22DE">
            <w:pPr>
              <w:spacing w:before="240"/>
            </w:pPr>
            <w:r w:rsidRPr="00A47916">
              <w:t>Français</w:t>
            </w:r>
            <w:r>
              <w:t xml:space="preserve"> </w:t>
            </w:r>
            <w:r w:rsidRPr="00A47916">
              <w:br/>
              <w:t>Original : anglais</w:t>
            </w:r>
          </w:p>
        </w:tc>
      </w:tr>
    </w:tbl>
    <w:p w14:paraId="48BB973D" w14:textId="77777777" w:rsidR="003D22DE" w:rsidRPr="00A47916" w:rsidRDefault="003D22DE" w:rsidP="003D22DE">
      <w:pPr>
        <w:pStyle w:val="AATitle"/>
        <w:rPr>
          <w:lang w:val="fr-FR"/>
        </w:rPr>
      </w:pPr>
      <w:r w:rsidRPr="00A47916">
        <w:rPr>
          <w:lang w:val="fr-FR"/>
        </w:rPr>
        <w:t>Conférence</w:t>
      </w:r>
      <w:r>
        <w:rPr>
          <w:lang w:val="fr-FR"/>
        </w:rPr>
        <w:t xml:space="preserve"> des </w:t>
      </w:r>
      <w:r w:rsidRPr="005F4E6A">
        <w:t>Parties</w:t>
      </w:r>
      <w:r w:rsidRPr="00A47916">
        <w:rPr>
          <w:lang w:val="fr-FR"/>
        </w:rPr>
        <w:t xml:space="preserve"> à</w:t>
      </w:r>
      <w:r>
        <w:rPr>
          <w:lang w:val="fr-FR"/>
        </w:rPr>
        <w:t xml:space="preserve"> la </w:t>
      </w:r>
      <w:r w:rsidRPr="00A47916">
        <w:rPr>
          <w:lang w:val="fr-FR"/>
        </w:rPr>
        <w:t xml:space="preserve">Convention </w:t>
      </w:r>
      <w:r w:rsidRPr="00A47916">
        <w:rPr>
          <w:lang w:val="fr-FR"/>
        </w:rPr>
        <w:br/>
        <w:t>de Minamata sur</w:t>
      </w:r>
      <w:r>
        <w:rPr>
          <w:lang w:val="fr-FR"/>
        </w:rPr>
        <w:t xml:space="preserve"> le </w:t>
      </w:r>
      <w:r w:rsidRPr="00A47916">
        <w:rPr>
          <w:lang w:val="fr-FR"/>
        </w:rPr>
        <w:t>mercure</w:t>
      </w:r>
    </w:p>
    <w:p w14:paraId="5FA5DBD8" w14:textId="77777777" w:rsidR="003D22DE" w:rsidRPr="00A47916" w:rsidRDefault="003D22DE" w:rsidP="003D22DE">
      <w:pPr>
        <w:pStyle w:val="AATitle"/>
        <w:rPr>
          <w:lang w:val="fr-FR"/>
        </w:rPr>
      </w:pPr>
      <w:r w:rsidRPr="00A47916">
        <w:rPr>
          <w:lang w:val="fr-FR"/>
        </w:rPr>
        <w:t>Deuxième réunion</w:t>
      </w:r>
    </w:p>
    <w:p w14:paraId="78EFE1C1" w14:textId="77777777" w:rsidR="003D22DE" w:rsidRPr="005F4E6A" w:rsidRDefault="003D22DE" w:rsidP="003D22DE">
      <w:pPr>
        <w:pStyle w:val="AATitle"/>
        <w:rPr>
          <w:b w:val="0"/>
        </w:rPr>
      </w:pPr>
      <w:r w:rsidRPr="005F4E6A">
        <w:rPr>
          <w:b w:val="0"/>
        </w:rPr>
        <w:t>Genève, 19-23 novembre 2018</w:t>
      </w:r>
    </w:p>
    <w:p w14:paraId="67675D30" w14:textId="77777777" w:rsidR="00870C25" w:rsidRDefault="00870C25" w:rsidP="00870C25">
      <w:pPr>
        <w:pStyle w:val="ZZAnxtitle"/>
      </w:pPr>
      <w:bookmarkStart w:id="4" w:name="_Toc14185195"/>
      <w:r>
        <w:t>Décision adoptée par la deuxième Conférence des Parties à la Convention de Minamata sur le mercure</w:t>
      </w:r>
    </w:p>
    <w:p w14:paraId="56EB7FD3" w14:textId="77777777" w:rsidR="0017537C" w:rsidRPr="003B4D51" w:rsidRDefault="00160BBE" w:rsidP="0017537C">
      <w:pPr>
        <w:pStyle w:val="CH1"/>
      </w:pPr>
      <w:bookmarkStart w:id="5" w:name="_GoBack"/>
      <w:bookmarkEnd w:id="5"/>
      <w:r>
        <w:rPr>
          <w:b w:val="0"/>
        </w:rPr>
        <w:tab/>
      </w:r>
      <w:r>
        <w:rPr>
          <w:b w:val="0"/>
        </w:rPr>
        <w:tab/>
      </w:r>
      <w:bookmarkStart w:id="6" w:name="_Toc14185196"/>
      <w:bookmarkEnd w:id="4"/>
      <w:r w:rsidR="0017537C">
        <w:t>M</w:t>
      </w:r>
      <w:r w:rsidR="0017537C" w:rsidRPr="003B4D51">
        <w:t>C-2/</w:t>
      </w:r>
      <w:r w:rsidR="0017537C">
        <w:t>8</w:t>
      </w:r>
      <w:r w:rsidR="0017537C" w:rsidRPr="003B4D51">
        <w:t xml:space="preserve"> : </w:t>
      </w:r>
      <w:r w:rsidR="0017537C">
        <w:t>Orientations sur la gestion des </w:t>
      </w:r>
      <w:r w:rsidR="0017537C" w:rsidRPr="003B4D51">
        <w:t>sites contaminés par</w:t>
      </w:r>
      <w:r w:rsidR="0017537C">
        <w:t> le </w:t>
      </w:r>
      <w:r w:rsidR="0017537C" w:rsidRPr="003B4D51">
        <w:t>mercure et</w:t>
      </w:r>
      <w:r w:rsidR="0017537C">
        <w:t xml:space="preserve"> les </w:t>
      </w:r>
      <w:r w:rsidR="0017537C" w:rsidRPr="003B4D51">
        <w:t>composés du mercure</w:t>
      </w:r>
      <w:bookmarkEnd w:id="6"/>
    </w:p>
    <w:p w14:paraId="2393B2F2" w14:textId="77777777" w:rsidR="0017537C" w:rsidRPr="003B4D51" w:rsidRDefault="0017537C" w:rsidP="0017537C">
      <w:pPr>
        <w:pStyle w:val="NormalNonumber"/>
        <w:rPr>
          <w:i/>
        </w:rPr>
      </w:pPr>
      <w:r>
        <w:rPr>
          <w:i/>
        </w:rPr>
        <w:tab/>
      </w:r>
      <w:r w:rsidRPr="003B4D51">
        <w:rPr>
          <w:i/>
        </w:rPr>
        <w:t>La Conférence</w:t>
      </w:r>
      <w:r>
        <w:rPr>
          <w:i/>
        </w:rPr>
        <w:t xml:space="preserve"> des </w:t>
      </w:r>
      <w:r w:rsidRPr="003B4D51">
        <w:rPr>
          <w:i/>
        </w:rPr>
        <w:t>Parties</w:t>
      </w:r>
      <w:r w:rsidRPr="003B4D51">
        <w:t>,</w:t>
      </w:r>
    </w:p>
    <w:p w14:paraId="7444B9F7" w14:textId="77777777" w:rsidR="0017537C" w:rsidRPr="003B4D51" w:rsidRDefault="0017537C" w:rsidP="0017537C">
      <w:pPr>
        <w:pStyle w:val="NormalNonumber"/>
        <w:rPr>
          <w:i/>
        </w:rPr>
      </w:pPr>
      <w:r>
        <w:rPr>
          <w:i/>
        </w:rPr>
        <w:tab/>
      </w:r>
      <w:r w:rsidRPr="003B4D51">
        <w:rPr>
          <w:i/>
        </w:rPr>
        <w:t xml:space="preserve">Consciente </w:t>
      </w:r>
      <w:r w:rsidRPr="003B4D51">
        <w:rPr>
          <w:iCs/>
        </w:rPr>
        <w:t>de</w:t>
      </w:r>
      <w:r>
        <w:rPr>
          <w:iCs/>
        </w:rPr>
        <w:t xml:space="preserve"> la </w:t>
      </w:r>
      <w:r w:rsidRPr="003B4D51">
        <w:rPr>
          <w:iCs/>
        </w:rPr>
        <w:t>nécessité d</w:t>
      </w:r>
      <w:r>
        <w:rPr>
          <w:iCs/>
        </w:rPr>
        <w:t>’</w:t>
      </w:r>
      <w:r w:rsidRPr="003B4D51">
        <w:rPr>
          <w:iCs/>
        </w:rPr>
        <w:t>aider</w:t>
      </w:r>
      <w:r>
        <w:rPr>
          <w:iCs/>
        </w:rPr>
        <w:t xml:space="preserve"> les </w:t>
      </w:r>
      <w:r w:rsidRPr="003B4D51">
        <w:rPr>
          <w:iCs/>
        </w:rPr>
        <w:t>Parties à instaurer</w:t>
      </w:r>
      <w:r>
        <w:rPr>
          <w:iCs/>
        </w:rPr>
        <w:t xml:space="preserve"> une </w:t>
      </w:r>
      <w:r w:rsidRPr="003B4D51">
        <w:rPr>
          <w:iCs/>
        </w:rPr>
        <w:t>gestion écologiquement rationnelle</w:t>
      </w:r>
      <w:r>
        <w:rPr>
          <w:iCs/>
        </w:rPr>
        <w:t xml:space="preserve"> des sites contaminés par le mercure et les composés du mercure en leur donnant des orientations,</w:t>
      </w:r>
    </w:p>
    <w:p w14:paraId="0B9F2096" w14:textId="77777777" w:rsidR="0017537C" w:rsidRPr="003B4D51" w:rsidRDefault="0017537C" w:rsidP="0017537C">
      <w:pPr>
        <w:pStyle w:val="NormalNonumber"/>
        <w:rPr>
          <w:iCs/>
        </w:rPr>
      </w:pPr>
      <w:r>
        <w:rPr>
          <w:i/>
        </w:rPr>
        <w:tab/>
      </w:r>
      <w:r w:rsidRPr="003B4D51">
        <w:rPr>
          <w:i/>
        </w:rPr>
        <w:t xml:space="preserve">Prenant note </w:t>
      </w:r>
      <w:r w:rsidRPr="003B4D51">
        <w:t>du proje</w:t>
      </w:r>
      <w:r>
        <w:t>t d’orientations établi par le s</w:t>
      </w:r>
      <w:r w:rsidRPr="003B4D51">
        <w:rPr>
          <w:iCs/>
        </w:rPr>
        <w:t>ecrétariat en concertation avec</w:t>
      </w:r>
      <w:r>
        <w:rPr>
          <w:iCs/>
        </w:rPr>
        <w:t xml:space="preserve"> les </w:t>
      </w:r>
      <w:r w:rsidRPr="003B4D51">
        <w:rPr>
          <w:iCs/>
        </w:rPr>
        <w:t>experts désignés</w:t>
      </w:r>
      <w:r w:rsidRPr="003B4D51">
        <w:rPr>
          <w:iCs/>
          <w:szCs w:val="18"/>
          <w:vertAlign w:val="superscript"/>
        </w:rPr>
        <w:footnoteReference w:id="2"/>
      </w:r>
      <w:r w:rsidRPr="003B4D51">
        <w:rPr>
          <w:iCs/>
        </w:rPr>
        <w:t>,</w:t>
      </w:r>
    </w:p>
    <w:p w14:paraId="72B1C4AD" w14:textId="77777777" w:rsidR="0017537C" w:rsidRPr="003B4D51" w:rsidRDefault="0017537C" w:rsidP="0017537C">
      <w:pPr>
        <w:pStyle w:val="NormalNonumber"/>
        <w:rPr>
          <w:i/>
        </w:rPr>
      </w:pPr>
      <w:r>
        <w:rPr>
          <w:i/>
        </w:rPr>
        <w:tab/>
      </w:r>
      <w:r w:rsidRPr="003B4D51">
        <w:rPr>
          <w:i/>
        </w:rPr>
        <w:t xml:space="preserve">Invitant </w:t>
      </w:r>
      <w:r w:rsidRPr="003B4D51">
        <w:t>toutes</w:t>
      </w:r>
      <w:r>
        <w:t xml:space="preserve"> les </w:t>
      </w:r>
      <w:r w:rsidRPr="003B4D51">
        <w:t>Parties qui possèdent</w:t>
      </w:r>
      <w:r>
        <w:t xml:space="preserve"> une </w:t>
      </w:r>
      <w:r w:rsidRPr="003B4D51">
        <w:t>expérience</w:t>
      </w:r>
      <w:r>
        <w:t xml:space="preserve"> des </w:t>
      </w:r>
      <w:r w:rsidRPr="003B4D51">
        <w:t>sites contaminés par</w:t>
      </w:r>
      <w:r>
        <w:t xml:space="preserve"> le </w:t>
      </w:r>
      <w:r w:rsidRPr="003B4D51">
        <w:t>mercure et</w:t>
      </w:r>
      <w:r>
        <w:t xml:space="preserve"> les </w:t>
      </w:r>
      <w:r w:rsidRPr="003B4D51">
        <w:t>composés du mercure, et en particulier celles qui font face à</w:t>
      </w:r>
      <w:r>
        <w:t xml:space="preserve"> des </w:t>
      </w:r>
      <w:r w:rsidRPr="003B4D51">
        <w:t>difficultés pour traiter ces sites, à</w:t>
      </w:r>
      <w:r>
        <w:t> contribuer à l’élaboration des </w:t>
      </w:r>
      <w:r w:rsidRPr="003B4D51">
        <w:t>orientations,</w:t>
      </w:r>
    </w:p>
    <w:p w14:paraId="28D304CE" w14:textId="77777777" w:rsidR="0017537C" w:rsidRPr="003B4D51" w:rsidRDefault="0017537C" w:rsidP="0017537C">
      <w:pPr>
        <w:pStyle w:val="NormalNonumber"/>
        <w:rPr>
          <w:i/>
        </w:rPr>
      </w:pPr>
      <w:r>
        <w:rPr>
          <w:i/>
        </w:rPr>
        <w:tab/>
      </w:r>
      <w:r w:rsidRPr="003B4D51">
        <w:rPr>
          <w:i/>
        </w:rPr>
        <w:t>Invitant</w:t>
      </w:r>
      <w:r>
        <w:rPr>
          <w:i/>
        </w:rPr>
        <w:t xml:space="preserve"> les </w:t>
      </w:r>
      <w:r w:rsidRPr="003B4D51">
        <w:t>P</w:t>
      </w:r>
      <w:r w:rsidRPr="003B4D51">
        <w:rPr>
          <w:iCs/>
        </w:rPr>
        <w:t>arties à coopérer à l</w:t>
      </w:r>
      <w:r>
        <w:rPr>
          <w:iCs/>
        </w:rPr>
        <w:t>’</w:t>
      </w:r>
      <w:r w:rsidRPr="003B4D51">
        <w:rPr>
          <w:iCs/>
        </w:rPr>
        <w:t>élaboration de stratégies et à</w:t>
      </w:r>
      <w:r>
        <w:rPr>
          <w:iCs/>
        </w:rPr>
        <w:t xml:space="preserve"> la </w:t>
      </w:r>
      <w:r w:rsidRPr="003B4D51">
        <w:rPr>
          <w:iCs/>
        </w:rPr>
        <w:t>mise</w:t>
      </w:r>
      <w:r>
        <w:rPr>
          <w:iCs/>
        </w:rPr>
        <w:t xml:space="preserve"> en œuvre d’activités visant à recenser, évaluer, classer par ordre de priorité, gérer et, selon qu’il</w:t>
      </w:r>
      <w:r w:rsidRPr="003B4D51">
        <w:rPr>
          <w:iCs/>
        </w:rPr>
        <w:t xml:space="preserve"> convient, remettre en état</w:t>
      </w:r>
      <w:r>
        <w:rPr>
          <w:iCs/>
        </w:rPr>
        <w:t xml:space="preserve"> les </w:t>
      </w:r>
      <w:r w:rsidRPr="003B4D51">
        <w:rPr>
          <w:iCs/>
        </w:rPr>
        <w:t>site</w:t>
      </w:r>
      <w:r>
        <w:rPr>
          <w:iCs/>
        </w:rPr>
        <w:t>s</w:t>
      </w:r>
      <w:r w:rsidRPr="003B4D51">
        <w:rPr>
          <w:iCs/>
        </w:rPr>
        <w:t xml:space="preserve"> contaminés,</w:t>
      </w:r>
    </w:p>
    <w:p w14:paraId="426C124D" w14:textId="77777777" w:rsidR="0017537C" w:rsidRPr="003B4D51" w:rsidRDefault="0017537C" w:rsidP="0017537C">
      <w:pPr>
        <w:pStyle w:val="NormalNonumber"/>
        <w:rPr>
          <w:iCs/>
        </w:rPr>
      </w:pPr>
      <w:r>
        <w:rPr>
          <w:iCs/>
        </w:rPr>
        <w:tab/>
        <w:t>1.</w:t>
      </w:r>
      <w:r w:rsidRPr="003B4D51">
        <w:rPr>
          <w:iCs/>
        </w:rPr>
        <w:tab/>
      </w:r>
      <w:r w:rsidRPr="003B4D51">
        <w:rPr>
          <w:i/>
        </w:rPr>
        <w:t>Prie</w:t>
      </w:r>
      <w:r>
        <w:rPr>
          <w:i/>
        </w:rPr>
        <w:t xml:space="preserve"> le </w:t>
      </w:r>
      <w:r>
        <w:t>s</w:t>
      </w:r>
      <w:r w:rsidRPr="003B4D51">
        <w:t>ecré</w:t>
      </w:r>
      <w:r>
        <w:t>tariat </w:t>
      </w:r>
      <w:r w:rsidRPr="003B4D51">
        <w:rPr>
          <w:iCs/>
        </w:rPr>
        <w:t>:</w:t>
      </w:r>
    </w:p>
    <w:p w14:paraId="4706E80B" w14:textId="77777777" w:rsidR="0017537C" w:rsidRPr="00461D6C" w:rsidRDefault="0017537C" w:rsidP="0017537C">
      <w:pPr>
        <w:pStyle w:val="NormalNonumber"/>
      </w:pPr>
      <w:r>
        <w:tab/>
        <w:t>a)</w:t>
      </w:r>
      <w:r>
        <w:tab/>
      </w:r>
      <w:r w:rsidRPr="00461D6C">
        <w:t xml:space="preserve">De demander aux Parties et aux parties prenantes de soumettre, </w:t>
      </w:r>
      <w:r>
        <w:t>d’ici au</w:t>
      </w:r>
      <w:r w:rsidRPr="00461D6C">
        <w:t xml:space="preserve"> 15</w:t>
      </w:r>
      <w:r>
        <w:t> </w:t>
      </w:r>
      <w:r w:rsidRPr="00461D6C">
        <w:t>février</w:t>
      </w:r>
      <w:r>
        <w:t> </w:t>
      </w:r>
      <w:r w:rsidRPr="00461D6C">
        <w:t>2019,</w:t>
      </w:r>
      <w:r>
        <w:t xml:space="preserve"> des </w:t>
      </w:r>
      <w:r w:rsidRPr="00461D6C">
        <w:t>observations et</w:t>
      </w:r>
      <w:r>
        <w:t xml:space="preserve"> des </w:t>
      </w:r>
      <w:r w:rsidRPr="00461D6C">
        <w:t>informations supplémentaires pour compléter et améliorer encore</w:t>
      </w:r>
      <w:r>
        <w:t xml:space="preserve"> le </w:t>
      </w:r>
      <w:r w:rsidRPr="00461D6C">
        <w:t>projet d</w:t>
      </w:r>
      <w:r>
        <w:t>’</w:t>
      </w:r>
      <w:r w:rsidRPr="00461D6C">
        <w:t>orientations</w:t>
      </w:r>
      <w:r>
        <w:rPr>
          <w:rStyle w:val="FootnoteReference"/>
        </w:rPr>
        <w:footnoteReference w:id="3"/>
      </w:r>
      <w:r w:rsidRPr="00461D6C">
        <w:t>, en particulier</w:t>
      </w:r>
      <w:r>
        <w:t xml:space="preserve"> des </w:t>
      </w:r>
      <w:r w:rsidRPr="00461D6C">
        <w:t>informations et</w:t>
      </w:r>
      <w:r>
        <w:t xml:space="preserve"> des </w:t>
      </w:r>
      <w:r w:rsidRPr="00461D6C">
        <w:t>observations, y compris</w:t>
      </w:r>
      <w:r>
        <w:t xml:space="preserve"> des </w:t>
      </w:r>
      <w:r w:rsidRPr="00461D6C">
        <w:t>études de cas, sur :</w:t>
      </w:r>
    </w:p>
    <w:p w14:paraId="6F00C031" w14:textId="77777777" w:rsidR="0017537C" w:rsidRPr="00461D6C" w:rsidRDefault="0017537C" w:rsidP="0017537C">
      <w:pPr>
        <w:pStyle w:val="NormalNonumber"/>
        <w:ind w:left="2948" w:hanging="1701"/>
        <w:rPr>
          <w:bCs/>
        </w:rPr>
      </w:pPr>
      <w:r>
        <w:rPr>
          <w:bCs/>
        </w:rPr>
        <w:tab/>
      </w:r>
      <w:r>
        <w:rPr>
          <w:bCs/>
        </w:rPr>
        <w:tab/>
      </w:r>
      <w:r>
        <w:rPr>
          <w:bCs/>
        </w:rPr>
        <w:tab/>
        <w:t>i)</w:t>
      </w:r>
      <w:r>
        <w:rPr>
          <w:bCs/>
        </w:rPr>
        <w:tab/>
      </w:r>
      <w:r w:rsidRPr="00461D6C">
        <w:rPr>
          <w:bCs/>
        </w:rPr>
        <w:t xml:space="preserve">Les situations </w:t>
      </w:r>
      <w:r>
        <w:rPr>
          <w:bCs/>
        </w:rPr>
        <w:t>particulières liées à la présence de</w:t>
      </w:r>
      <w:r w:rsidRPr="004A76F1">
        <w:rPr>
          <w:bCs/>
        </w:rPr>
        <w:t xml:space="preserve"> mercure </w:t>
      </w:r>
      <w:r w:rsidRPr="00461D6C">
        <w:rPr>
          <w:bCs/>
        </w:rPr>
        <w:t>auxquelles</w:t>
      </w:r>
      <w:r>
        <w:rPr>
          <w:bCs/>
        </w:rPr>
        <w:t xml:space="preserve"> les </w:t>
      </w:r>
      <w:r w:rsidRPr="00461D6C">
        <w:rPr>
          <w:bCs/>
        </w:rPr>
        <w:t>Parties pourraient se trouver confrontées</w:t>
      </w:r>
      <w:r>
        <w:rPr>
          <w:bCs/>
        </w:rPr>
        <w:t xml:space="preserve"> dans des cas donnés, par exemple lors du démantèlement </w:t>
      </w:r>
      <w:r w:rsidRPr="00461D6C">
        <w:rPr>
          <w:bCs/>
        </w:rPr>
        <w:t>d</w:t>
      </w:r>
      <w:r>
        <w:rPr>
          <w:bCs/>
        </w:rPr>
        <w:t>’</w:t>
      </w:r>
      <w:r w:rsidRPr="00461D6C">
        <w:rPr>
          <w:bCs/>
        </w:rPr>
        <w:t>usines de chlore-alcali</w:t>
      </w:r>
      <w:r>
        <w:rPr>
          <w:bCs/>
        </w:rPr>
        <w:t xml:space="preserve"> ou de la dé</w:t>
      </w:r>
      <w:r w:rsidRPr="00461D6C">
        <w:rPr>
          <w:bCs/>
        </w:rPr>
        <w:t xml:space="preserve">contamination </w:t>
      </w:r>
      <w:r>
        <w:rPr>
          <w:bCs/>
        </w:rPr>
        <w:t>de sites</w:t>
      </w:r>
      <w:r w:rsidRPr="00461D6C">
        <w:rPr>
          <w:bCs/>
        </w:rPr>
        <w:t xml:space="preserve"> d</w:t>
      </w:r>
      <w:r>
        <w:rPr>
          <w:bCs/>
        </w:rPr>
        <w:t>’</w:t>
      </w:r>
      <w:r w:rsidRPr="00461D6C">
        <w:rPr>
          <w:bCs/>
        </w:rPr>
        <w:t>extraction artisanale et à pe</w:t>
      </w:r>
      <w:r>
        <w:rPr>
          <w:bCs/>
        </w:rPr>
        <w:t>tite échelle d’or, etc. ;</w:t>
      </w:r>
    </w:p>
    <w:p w14:paraId="0AD9FB9C" w14:textId="77777777" w:rsidR="0017537C" w:rsidRPr="00461D6C" w:rsidRDefault="0017537C" w:rsidP="0017537C">
      <w:pPr>
        <w:pStyle w:val="NormalNonumber"/>
        <w:ind w:left="2948" w:hanging="1701"/>
        <w:rPr>
          <w:bCs/>
        </w:rPr>
      </w:pPr>
      <w:r>
        <w:rPr>
          <w:bCs/>
        </w:rPr>
        <w:tab/>
      </w:r>
      <w:r>
        <w:rPr>
          <w:bCs/>
        </w:rPr>
        <w:tab/>
      </w:r>
      <w:r>
        <w:rPr>
          <w:bCs/>
        </w:rPr>
        <w:tab/>
        <w:t>ii)</w:t>
      </w:r>
      <w:r>
        <w:rPr>
          <w:bCs/>
        </w:rPr>
        <w:tab/>
      </w:r>
      <w:r w:rsidRPr="00461D6C">
        <w:rPr>
          <w:bCs/>
        </w:rPr>
        <w:t>Le rôle</w:t>
      </w:r>
      <w:r>
        <w:rPr>
          <w:bCs/>
        </w:rPr>
        <w:t xml:space="preserve"> des </w:t>
      </w:r>
      <w:r w:rsidRPr="00461D6C">
        <w:rPr>
          <w:bCs/>
        </w:rPr>
        <w:t>inventaires</w:t>
      </w:r>
      <w:r>
        <w:rPr>
          <w:bCs/>
        </w:rPr>
        <w:t xml:space="preserve"> des </w:t>
      </w:r>
      <w:r w:rsidRPr="00461D6C">
        <w:rPr>
          <w:bCs/>
        </w:rPr>
        <w:t>sites contaminés dans</w:t>
      </w:r>
      <w:r>
        <w:rPr>
          <w:bCs/>
        </w:rPr>
        <w:t xml:space="preserve"> les </w:t>
      </w:r>
      <w:r w:rsidRPr="00461D6C">
        <w:rPr>
          <w:bCs/>
        </w:rPr>
        <w:t>stratégies et politiques concernant ces sites ;</w:t>
      </w:r>
    </w:p>
    <w:p w14:paraId="6796410C" w14:textId="77777777" w:rsidR="0017537C" w:rsidRPr="00461D6C" w:rsidRDefault="0017537C" w:rsidP="0017537C">
      <w:pPr>
        <w:pStyle w:val="NormalNonumber"/>
        <w:ind w:left="2948" w:hanging="1701"/>
        <w:rPr>
          <w:bCs/>
        </w:rPr>
      </w:pPr>
      <w:r>
        <w:rPr>
          <w:bCs/>
        </w:rPr>
        <w:tab/>
      </w:r>
      <w:r>
        <w:rPr>
          <w:bCs/>
        </w:rPr>
        <w:tab/>
      </w:r>
      <w:r>
        <w:rPr>
          <w:bCs/>
        </w:rPr>
        <w:tab/>
        <w:t>iii)</w:t>
      </w:r>
      <w:r>
        <w:rPr>
          <w:bCs/>
        </w:rPr>
        <w:tab/>
      </w:r>
      <w:r w:rsidRPr="00461D6C">
        <w:rPr>
          <w:bCs/>
        </w:rPr>
        <w:t>Le classement</w:t>
      </w:r>
      <w:r>
        <w:rPr>
          <w:bCs/>
        </w:rPr>
        <w:t xml:space="preserve"> des </w:t>
      </w:r>
      <w:r w:rsidRPr="00461D6C">
        <w:rPr>
          <w:bCs/>
        </w:rPr>
        <w:t>sites contaminés par ordre de priorité au regard de l</w:t>
      </w:r>
      <w:r>
        <w:rPr>
          <w:bCs/>
        </w:rPr>
        <w:t>’</w:t>
      </w:r>
      <w:r w:rsidRPr="00461D6C">
        <w:rPr>
          <w:bCs/>
        </w:rPr>
        <w:t>action à poursuivre, sur</w:t>
      </w:r>
      <w:r>
        <w:rPr>
          <w:bCs/>
        </w:rPr>
        <w:t xml:space="preserve"> la </w:t>
      </w:r>
      <w:r w:rsidRPr="00461D6C">
        <w:rPr>
          <w:bCs/>
        </w:rPr>
        <w:t>base</w:t>
      </w:r>
      <w:r>
        <w:rPr>
          <w:bCs/>
        </w:rPr>
        <w:t xml:space="preserve"> d’une</w:t>
      </w:r>
      <w:r w:rsidRPr="00461D6C">
        <w:rPr>
          <w:bCs/>
        </w:rPr>
        <w:t xml:space="preserve"> évaluation</w:t>
      </w:r>
      <w:r>
        <w:rPr>
          <w:bCs/>
        </w:rPr>
        <w:t xml:space="preserve"> des </w:t>
      </w:r>
      <w:r w:rsidRPr="00461D6C">
        <w:rPr>
          <w:bCs/>
        </w:rPr>
        <w:t>risques ;</w:t>
      </w:r>
    </w:p>
    <w:p w14:paraId="0A4A5E1A" w14:textId="77777777" w:rsidR="0017537C" w:rsidRPr="00461D6C" w:rsidRDefault="0017537C" w:rsidP="0017537C">
      <w:pPr>
        <w:pStyle w:val="NormalNonumber"/>
        <w:ind w:left="2948" w:hanging="1701"/>
        <w:rPr>
          <w:bCs/>
        </w:rPr>
      </w:pPr>
      <w:r>
        <w:rPr>
          <w:bCs/>
        </w:rPr>
        <w:lastRenderedPageBreak/>
        <w:tab/>
      </w:r>
      <w:r>
        <w:rPr>
          <w:bCs/>
        </w:rPr>
        <w:tab/>
      </w:r>
      <w:r>
        <w:rPr>
          <w:bCs/>
        </w:rPr>
        <w:tab/>
        <w:t>iv)</w:t>
      </w:r>
      <w:r>
        <w:rPr>
          <w:bCs/>
        </w:rPr>
        <w:tab/>
      </w:r>
      <w:r w:rsidRPr="00461D6C">
        <w:rPr>
          <w:bCs/>
        </w:rPr>
        <w:t>Les liens entre</w:t>
      </w:r>
      <w:r>
        <w:rPr>
          <w:bCs/>
        </w:rPr>
        <w:t xml:space="preserve"> les </w:t>
      </w:r>
      <w:r w:rsidRPr="00461D6C">
        <w:rPr>
          <w:bCs/>
        </w:rPr>
        <w:t>politiques relatives aux sites contaminés et</w:t>
      </w:r>
      <w:r>
        <w:rPr>
          <w:bCs/>
        </w:rPr>
        <w:t xml:space="preserve"> les </w:t>
      </w:r>
      <w:r w:rsidRPr="00461D6C">
        <w:rPr>
          <w:bCs/>
        </w:rPr>
        <w:t>politiques de planificat</w:t>
      </w:r>
      <w:r>
        <w:rPr>
          <w:bCs/>
        </w:rPr>
        <w:t>ion de l’utilisation des terres </w:t>
      </w:r>
      <w:r w:rsidRPr="00461D6C">
        <w:rPr>
          <w:bCs/>
        </w:rPr>
        <w:t>;</w:t>
      </w:r>
    </w:p>
    <w:p w14:paraId="6208BEC5" w14:textId="77777777" w:rsidR="0017537C" w:rsidRPr="00461D6C" w:rsidRDefault="0017537C" w:rsidP="0017537C">
      <w:pPr>
        <w:pStyle w:val="NormalNonumber"/>
        <w:ind w:left="2948" w:hanging="1701"/>
        <w:rPr>
          <w:bCs/>
        </w:rPr>
      </w:pPr>
      <w:r>
        <w:rPr>
          <w:bCs/>
        </w:rPr>
        <w:tab/>
      </w:r>
      <w:r>
        <w:rPr>
          <w:bCs/>
        </w:rPr>
        <w:tab/>
      </w:r>
      <w:r>
        <w:rPr>
          <w:bCs/>
        </w:rPr>
        <w:tab/>
        <w:t>v)</w:t>
      </w:r>
      <w:r>
        <w:rPr>
          <w:bCs/>
        </w:rPr>
        <w:tab/>
      </w:r>
      <w:r w:rsidRPr="00461D6C">
        <w:rPr>
          <w:bCs/>
        </w:rPr>
        <w:t>Les procédures suivies pour caractériser</w:t>
      </w:r>
      <w:r>
        <w:rPr>
          <w:bCs/>
        </w:rPr>
        <w:t xml:space="preserve"> les </w:t>
      </w:r>
      <w:r w:rsidRPr="00461D6C">
        <w:rPr>
          <w:bCs/>
        </w:rPr>
        <w:t>sites contaminés, y compris</w:t>
      </w:r>
      <w:r>
        <w:rPr>
          <w:bCs/>
        </w:rPr>
        <w:t xml:space="preserve"> les </w:t>
      </w:r>
      <w:r w:rsidRPr="00461D6C">
        <w:rPr>
          <w:bCs/>
        </w:rPr>
        <w:t xml:space="preserve">méthodes et techniques </w:t>
      </w:r>
      <w:r>
        <w:rPr>
          <w:bCs/>
        </w:rPr>
        <w:t>d’échantillonnage et d’analyse </w:t>
      </w:r>
      <w:r w:rsidRPr="00461D6C">
        <w:rPr>
          <w:bCs/>
        </w:rPr>
        <w:t>;</w:t>
      </w:r>
    </w:p>
    <w:p w14:paraId="048B75AB" w14:textId="77777777" w:rsidR="0017537C" w:rsidRPr="00461D6C" w:rsidRDefault="0017537C" w:rsidP="0017537C">
      <w:pPr>
        <w:pStyle w:val="NormalNonumber"/>
        <w:ind w:left="2948" w:hanging="1701"/>
        <w:rPr>
          <w:bCs/>
        </w:rPr>
      </w:pPr>
      <w:r>
        <w:rPr>
          <w:bCs/>
        </w:rPr>
        <w:tab/>
      </w:r>
      <w:r>
        <w:rPr>
          <w:bCs/>
        </w:rPr>
        <w:tab/>
      </w:r>
      <w:r>
        <w:rPr>
          <w:bCs/>
        </w:rPr>
        <w:tab/>
        <w:t>vi)</w:t>
      </w:r>
      <w:r>
        <w:rPr>
          <w:bCs/>
        </w:rPr>
        <w:tab/>
      </w:r>
      <w:r w:rsidRPr="00461D6C">
        <w:rPr>
          <w:bCs/>
        </w:rPr>
        <w:t>L</w:t>
      </w:r>
      <w:r>
        <w:rPr>
          <w:bCs/>
        </w:rPr>
        <w:t>’</w:t>
      </w:r>
      <w:r w:rsidRPr="00461D6C">
        <w:rPr>
          <w:bCs/>
        </w:rPr>
        <w:t>éventail</w:t>
      </w:r>
      <w:r>
        <w:rPr>
          <w:bCs/>
        </w:rPr>
        <w:t xml:space="preserve"> des </w:t>
      </w:r>
      <w:r w:rsidRPr="00461D6C">
        <w:rPr>
          <w:bCs/>
        </w:rPr>
        <w:t>techniques de remise en état éprouvées ou émergentes, en précisant</w:t>
      </w:r>
      <w:r>
        <w:rPr>
          <w:bCs/>
        </w:rPr>
        <w:t xml:space="preserve"> les </w:t>
      </w:r>
      <w:r w:rsidRPr="00461D6C">
        <w:rPr>
          <w:bCs/>
        </w:rPr>
        <w:t>situations dans lesquelles certaines techniques pourraient se révéler ou non appropriées, leurs avantages et leurs inconvénients sur</w:t>
      </w:r>
      <w:r>
        <w:rPr>
          <w:bCs/>
        </w:rPr>
        <w:t xml:space="preserve"> le </w:t>
      </w:r>
      <w:r w:rsidRPr="00461D6C">
        <w:rPr>
          <w:bCs/>
        </w:rPr>
        <w:t>plan environnemental, et leurs coûts</w:t>
      </w:r>
      <w:r>
        <w:rPr>
          <w:bCs/>
        </w:rPr>
        <w:t> </w:t>
      </w:r>
      <w:r w:rsidRPr="00461D6C">
        <w:rPr>
          <w:bCs/>
        </w:rPr>
        <w:t>;</w:t>
      </w:r>
    </w:p>
    <w:p w14:paraId="752DDC63" w14:textId="77777777" w:rsidR="0017537C" w:rsidRPr="00461D6C" w:rsidRDefault="0017537C" w:rsidP="0017537C">
      <w:pPr>
        <w:pStyle w:val="NormalNonumber"/>
        <w:ind w:left="2948" w:hanging="1701"/>
        <w:rPr>
          <w:bCs/>
        </w:rPr>
      </w:pPr>
      <w:r>
        <w:rPr>
          <w:bCs/>
        </w:rPr>
        <w:tab/>
      </w:r>
      <w:r>
        <w:rPr>
          <w:bCs/>
        </w:rPr>
        <w:tab/>
      </w:r>
      <w:r>
        <w:rPr>
          <w:bCs/>
        </w:rPr>
        <w:tab/>
        <w:t>vii)</w:t>
      </w:r>
      <w:r>
        <w:rPr>
          <w:bCs/>
        </w:rPr>
        <w:tab/>
      </w:r>
      <w:r w:rsidRPr="00461D6C">
        <w:rPr>
          <w:bCs/>
        </w:rPr>
        <w:t>Les considérations socioéconomiques et culturelles à prendre en compte dans</w:t>
      </w:r>
      <w:r>
        <w:rPr>
          <w:bCs/>
        </w:rPr>
        <w:t xml:space="preserve"> le </w:t>
      </w:r>
      <w:r w:rsidRPr="00461D6C">
        <w:rPr>
          <w:bCs/>
        </w:rPr>
        <w:t>cadre de</w:t>
      </w:r>
      <w:r>
        <w:rPr>
          <w:bCs/>
        </w:rPr>
        <w:t xml:space="preserve"> la </w:t>
      </w:r>
      <w:r w:rsidRPr="00461D6C">
        <w:rPr>
          <w:bCs/>
        </w:rPr>
        <w:t>remise en état</w:t>
      </w:r>
      <w:r>
        <w:rPr>
          <w:bCs/>
        </w:rPr>
        <w:t xml:space="preserve"> des </w:t>
      </w:r>
      <w:r w:rsidRPr="00461D6C">
        <w:rPr>
          <w:bCs/>
        </w:rPr>
        <w:t>sites contaminés</w:t>
      </w:r>
      <w:r>
        <w:rPr>
          <w:bCs/>
        </w:rPr>
        <w:t> </w:t>
      </w:r>
      <w:r w:rsidRPr="00461D6C">
        <w:rPr>
          <w:bCs/>
        </w:rPr>
        <w:t>;</w:t>
      </w:r>
    </w:p>
    <w:p w14:paraId="7B6CB5CD" w14:textId="77777777" w:rsidR="0017537C" w:rsidRPr="00461D6C" w:rsidRDefault="0017537C" w:rsidP="0017537C">
      <w:pPr>
        <w:pStyle w:val="NormalNonumber"/>
        <w:ind w:left="2948" w:hanging="1701"/>
        <w:rPr>
          <w:bCs/>
        </w:rPr>
      </w:pPr>
      <w:r>
        <w:rPr>
          <w:bCs/>
        </w:rPr>
        <w:tab/>
      </w:r>
      <w:r>
        <w:rPr>
          <w:bCs/>
        </w:rPr>
        <w:tab/>
      </w:r>
      <w:r>
        <w:rPr>
          <w:bCs/>
        </w:rPr>
        <w:tab/>
        <w:t>viii)</w:t>
      </w:r>
      <w:r>
        <w:rPr>
          <w:bCs/>
        </w:rPr>
        <w:tab/>
      </w:r>
      <w:r w:rsidRPr="00461D6C">
        <w:rPr>
          <w:bCs/>
        </w:rPr>
        <w:t>Des informations sur</w:t>
      </w:r>
      <w:r>
        <w:rPr>
          <w:bCs/>
        </w:rPr>
        <w:t xml:space="preserve"> les </w:t>
      </w:r>
      <w:r w:rsidRPr="00461D6C">
        <w:rPr>
          <w:bCs/>
        </w:rPr>
        <w:t>modes de financement</w:t>
      </w:r>
      <w:r>
        <w:rPr>
          <w:bCs/>
        </w:rPr>
        <w:t xml:space="preserve"> des </w:t>
      </w:r>
      <w:r w:rsidRPr="00461D6C">
        <w:rPr>
          <w:bCs/>
        </w:rPr>
        <w:t>travaux et</w:t>
      </w:r>
      <w:r>
        <w:rPr>
          <w:bCs/>
        </w:rPr>
        <w:t xml:space="preserve"> le </w:t>
      </w:r>
      <w:r w:rsidRPr="00461D6C">
        <w:rPr>
          <w:bCs/>
        </w:rPr>
        <w:t>développement</w:t>
      </w:r>
      <w:r>
        <w:rPr>
          <w:bCs/>
        </w:rPr>
        <w:t xml:space="preserve"> des </w:t>
      </w:r>
      <w:r w:rsidRPr="00461D6C">
        <w:rPr>
          <w:bCs/>
        </w:rPr>
        <w:t xml:space="preserve">capacités </w:t>
      </w:r>
      <w:r>
        <w:rPr>
          <w:bCs/>
        </w:rPr>
        <w:t>d’</w:t>
      </w:r>
      <w:r w:rsidRPr="00461D6C">
        <w:rPr>
          <w:bCs/>
        </w:rPr>
        <w:t xml:space="preserve">identification, </w:t>
      </w:r>
      <w:r>
        <w:rPr>
          <w:bCs/>
        </w:rPr>
        <w:t>d’</w:t>
      </w:r>
      <w:r w:rsidRPr="00461D6C">
        <w:rPr>
          <w:bCs/>
        </w:rPr>
        <w:t>évaluation</w:t>
      </w:r>
      <w:r>
        <w:rPr>
          <w:bCs/>
        </w:rPr>
        <w:t xml:space="preserve"> et de</w:t>
      </w:r>
      <w:r w:rsidRPr="00461D6C">
        <w:rPr>
          <w:bCs/>
        </w:rPr>
        <w:t xml:space="preserve"> remise en état</w:t>
      </w:r>
      <w:r>
        <w:rPr>
          <w:bCs/>
        </w:rPr>
        <w:t xml:space="preserve"> des </w:t>
      </w:r>
      <w:r w:rsidRPr="00B21A61">
        <w:rPr>
          <w:bCs/>
        </w:rPr>
        <w:t xml:space="preserve">sites contaminés </w:t>
      </w:r>
      <w:r w:rsidRPr="00461D6C">
        <w:rPr>
          <w:bCs/>
        </w:rPr>
        <w:t xml:space="preserve">et </w:t>
      </w:r>
      <w:r>
        <w:rPr>
          <w:bCs/>
        </w:rPr>
        <w:t>de</w:t>
      </w:r>
      <w:r w:rsidRPr="00461D6C">
        <w:rPr>
          <w:bCs/>
        </w:rPr>
        <w:t xml:space="preserve"> gestion</w:t>
      </w:r>
      <w:r>
        <w:rPr>
          <w:bCs/>
        </w:rPr>
        <w:t xml:space="preserve"> des </w:t>
      </w:r>
      <w:r w:rsidRPr="00461D6C">
        <w:rPr>
          <w:bCs/>
        </w:rPr>
        <w:t xml:space="preserve">risques associés, y compris </w:t>
      </w:r>
      <w:r>
        <w:rPr>
          <w:bCs/>
        </w:rPr>
        <w:t>sur les </w:t>
      </w:r>
      <w:r w:rsidRPr="00461D6C">
        <w:rPr>
          <w:bCs/>
        </w:rPr>
        <w:t xml:space="preserve">cadres </w:t>
      </w:r>
      <w:r>
        <w:rPr>
          <w:bCs/>
        </w:rPr>
        <w:t>d</w:t>
      </w:r>
      <w:r w:rsidRPr="00461D6C">
        <w:rPr>
          <w:bCs/>
        </w:rPr>
        <w:t>e financement nationa</w:t>
      </w:r>
      <w:r>
        <w:rPr>
          <w:bCs/>
        </w:rPr>
        <w:t>ux</w:t>
      </w:r>
      <w:r w:rsidRPr="00461D6C">
        <w:rPr>
          <w:bCs/>
        </w:rPr>
        <w:t> ;</w:t>
      </w:r>
    </w:p>
    <w:p w14:paraId="148772C9" w14:textId="77777777" w:rsidR="0017537C" w:rsidRPr="00DE037A" w:rsidRDefault="0017537C" w:rsidP="0017537C">
      <w:pPr>
        <w:pStyle w:val="NormalNonumber"/>
      </w:pPr>
      <w:r>
        <w:tab/>
        <w:t>b)</w:t>
      </w:r>
      <w:r>
        <w:tab/>
      </w:r>
      <w:r w:rsidRPr="00DE037A">
        <w:t>De compiler</w:t>
      </w:r>
      <w:r>
        <w:t xml:space="preserve"> les </w:t>
      </w:r>
      <w:r w:rsidRPr="00DE037A">
        <w:t>informations présentées par</w:t>
      </w:r>
      <w:r>
        <w:t xml:space="preserve"> les </w:t>
      </w:r>
      <w:r w:rsidRPr="00DE037A">
        <w:t>Parties et</w:t>
      </w:r>
      <w:r>
        <w:t xml:space="preserve"> les </w:t>
      </w:r>
      <w:r w:rsidRPr="00DE037A">
        <w:t>parties prenantes conformément au paragraphe 1 a) ci-dessus et de</w:t>
      </w:r>
      <w:r>
        <w:t xml:space="preserve"> les </w:t>
      </w:r>
      <w:r w:rsidRPr="00DE037A">
        <w:t>afficher sur</w:t>
      </w:r>
      <w:r>
        <w:t xml:space="preserve"> le </w:t>
      </w:r>
      <w:r w:rsidRPr="00DE037A">
        <w:t>site de</w:t>
      </w:r>
      <w:r>
        <w:t xml:space="preserve"> la </w:t>
      </w:r>
      <w:r w:rsidRPr="00DE037A">
        <w:t>Convention ;</w:t>
      </w:r>
    </w:p>
    <w:p w14:paraId="2B4B3F7E" w14:textId="77777777" w:rsidR="0017537C" w:rsidRPr="00DE037A" w:rsidRDefault="0017537C" w:rsidP="0017537C">
      <w:pPr>
        <w:pStyle w:val="NormalNonumber"/>
      </w:pPr>
      <w:r>
        <w:tab/>
        <w:t>c)</w:t>
      </w:r>
      <w:r>
        <w:tab/>
      </w:r>
      <w:r w:rsidRPr="00DE037A">
        <w:t>D</w:t>
      </w:r>
      <w:r>
        <w:t>’</w:t>
      </w:r>
      <w:r w:rsidRPr="00DE037A">
        <w:t xml:space="preserve">élaborer, </w:t>
      </w:r>
      <w:r>
        <w:t>d’ici au</w:t>
      </w:r>
      <w:r w:rsidRPr="00DE037A">
        <w:t xml:space="preserve"> 31 mars 2019, avec</w:t>
      </w:r>
      <w:r>
        <w:t xml:space="preserve"> le </w:t>
      </w:r>
      <w:r w:rsidRPr="00DE037A">
        <w:t>concours</w:t>
      </w:r>
      <w:r>
        <w:t xml:space="preserve"> d’un e</w:t>
      </w:r>
      <w:r w:rsidRPr="00DE037A">
        <w:t>xpert indépendant, sous réserve de</w:t>
      </w:r>
      <w:r>
        <w:t xml:space="preserve"> la </w:t>
      </w:r>
      <w:r w:rsidRPr="00DE037A">
        <w:t>disponibilité de ressources à cette fin et en tenant compte</w:t>
      </w:r>
      <w:r>
        <w:t xml:space="preserve"> des </w:t>
      </w:r>
      <w:r w:rsidRPr="00DE037A">
        <w:t>informations reçues conformément au paragraphe 1 a) ci-dessus :</w:t>
      </w:r>
    </w:p>
    <w:p w14:paraId="00CFA0A4" w14:textId="77777777" w:rsidR="0017537C" w:rsidRPr="00DE037A" w:rsidRDefault="0017537C" w:rsidP="0017537C">
      <w:pPr>
        <w:pStyle w:val="NormalNonumber"/>
        <w:ind w:left="2948" w:hanging="1701"/>
        <w:rPr>
          <w:bCs/>
        </w:rPr>
      </w:pPr>
      <w:r>
        <w:rPr>
          <w:bCs/>
        </w:rPr>
        <w:tab/>
      </w:r>
      <w:r>
        <w:rPr>
          <w:bCs/>
        </w:rPr>
        <w:tab/>
      </w:r>
      <w:r>
        <w:rPr>
          <w:bCs/>
        </w:rPr>
        <w:tab/>
        <w:t>i)</w:t>
      </w:r>
      <w:r>
        <w:rPr>
          <w:bCs/>
        </w:rPr>
        <w:tab/>
      </w:r>
      <w:r w:rsidRPr="00DE037A">
        <w:rPr>
          <w:bCs/>
        </w:rPr>
        <w:t xml:space="preserve">Un projet révisé </w:t>
      </w:r>
      <w:r w:rsidRPr="00B21A61">
        <w:rPr>
          <w:bCs/>
        </w:rPr>
        <w:t>d</w:t>
      </w:r>
      <w:r>
        <w:rPr>
          <w:bCs/>
        </w:rPr>
        <w:t>’</w:t>
      </w:r>
      <w:r w:rsidRPr="00B21A61">
        <w:rPr>
          <w:bCs/>
        </w:rPr>
        <w:t xml:space="preserve">orientations </w:t>
      </w:r>
      <w:r w:rsidRPr="00DE037A">
        <w:rPr>
          <w:bCs/>
        </w:rPr>
        <w:t>sur</w:t>
      </w:r>
      <w:r>
        <w:rPr>
          <w:bCs/>
        </w:rPr>
        <w:t xml:space="preserve"> la </w:t>
      </w:r>
      <w:r w:rsidRPr="00DE037A">
        <w:rPr>
          <w:bCs/>
        </w:rPr>
        <w:t>gestion</w:t>
      </w:r>
      <w:r>
        <w:rPr>
          <w:bCs/>
        </w:rPr>
        <w:t xml:space="preserve"> des </w:t>
      </w:r>
      <w:r w:rsidRPr="00DE037A">
        <w:rPr>
          <w:bCs/>
        </w:rPr>
        <w:t>sites contaminés, rédigé dans</w:t>
      </w:r>
      <w:r>
        <w:rPr>
          <w:bCs/>
        </w:rPr>
        <w:t xml:space="preserve"> un </w:t>
      </w:r>
      <w:r w:rsidRPr="00DE037A">
        <w:rPr>
          <w:bCs/>
        </w:rPr>
        <w:t>l</w:t>
      </w:r>
      <w:r>
        <w:rPr>
          <w:bCs/>
        </w:rPr>
        <w:t>angage</w:t>
      </w:r>
      <w:r w:rsidRPr="00DE037A">
        <w:rPr>
          <w:bCs/>
        </w:rPr>
        <w:t xml:space="preserve"> non prescriptif, donnant aux Parties</w:t>
      </w:r>
      <w:r>
        <w:rPr>
          <w:bCs/>
        </w:rPr>
        <w:t xml:space="preserve"> des </w:t>
      </w:r>
      <w:r w:rsidRPr="00DE037A">
        <w:rPr>
          <w:bCs/>
        </w:rPr>
        <w:t>conseils d</w:t>
      </w:r>
      <w:r>
        <w:rPr>
          <w:bCs/>
        </w:rPr>
        <w:t>’</w:t>
      </w:r>
      <w:r w:rsidRPr="00DE037A">
        <w:rPr>
          <w:bCs/>
        </w:rPr>
        <w:t xml:space="preserve">ordre général, </w:t>
      </w:r>
      <w:r>
        <w:rPr>
          <w:bCs/>
        </w:rPr>
        <w:t xml:space="preserve">prenant en </w:t>
      </w:r>
      <w:r w:rsidRPr="00DE037A">
        <w:rPr>
          <w:bCs/>
        </w:rPr>
        <w:t>compte</w:t>
      </w:r>
      <w:r>
        <w:rPr>
          <w:bCs/>
        </w:rPr>
        <w:t xml:space="preserve"> la </w:t>
      </w:r>
      <w:r w:rsidRPr="00DE037A">
        <w:rPr>
          <w:bCs/>
        </w:rPr>
        <w:t>diversité de leurs contextes nationaux</w:t>
      </w:r>
      <w:r>
        <w:rPr>
          <w:bCs/>
        </w:rPr>
        <w:t xml:space="preserve"> et</w:t>
      </w:r>
      <w:r w:rsidRPr="00DE037A">
        <w:rPr>
          <w:bCs/>
        </w:rPr>
        <w:t xml:space="preserve"> établissant</w:t>
      </w:r>
      <w:r>
        <w:rPr>
          <w:bCs/>
        </w:rPr>
        <w:t xml:space="preserve"> une </w:t>
      </w:r>
      <w:r w:rsidRPr="00DE037A">
        <w:rPr>
          <w:bCs/>
        </w:rPr>
        <w:t>distinction entre</w:t>
      </w:r>
      <w:r>
        <w:rPr>
          <w:bCs/>
        </w:rPr>
        <w:t xml:space="preserve"> les </w:t>
      </w:r>
      <w:r w:rsidRPr="00DE037A">
        <w:rPr>
          <w:bCs/>
        </w:rPr>
        <w:t>sites contaminés et</w:t>
      </w:r>
      <w:r>
        <w:rPr>
          <w:bCs/>
        </w:rPr>
        <w:t xml:space="preserve"> les </w:t>
      </w:r>
      <w:r w:rsidRPr="00DE037A">
        <w:rPr>
          <w:bCs/>
        </w:rPr>
        <w:t>sites miniers qui sont gérés</w:t>
      </w:r>
      <w:r>
        <w:rPr>
          <w:bCs/>
        </w:rPr>
        <w:t xml:space="preserve"> d’une </w:t>
      </w:r>
      <w:r w:rsidRPr="00DE037A">
        <w:rPr>
          <w:bCs/>
        </w:rPr>
        <w:t>manière écologiquement rationnelle ;</w:t>
      </w:r>
    </w:p>
    <w:p w14:paraId="38525B37" w14:textId="77777777" w:rsidR="0017537C" w:rsidRPr="00987CFA" w:rsidRDefault="0017537C" w:rsidP="0017537C">
      <w:pPr>
        <w:pStyle w:val="NormalNonumber"/>
        <w:ind w:left="2948" w:hanging="1701"/>
      </w:pPr>
      <w:r>
        <w:rPr>
          <w:bCs/>
        </w:rPr>
        <w:tab/>
      </w:r>
      <w:r>
        <w:rPr>
          <w:bCs/>
        </w:rPr>
        <w:tab/>
      </w:r>
      <w:r>
        <w:rPr>
          <w:bCs/>
        </w:rPr>
        <w:tab/>
        <w:t>ii)</w:t>
      </w:r>
      <w:r>
        <w:rPr>
          <w:bCs/>
        </w:rPr>
        <w:tab/>
      </w:r>
      <w:r w:rsidRPr="00DE037A">
        <w:rPr>
          <w:bCs/>
        </w:rPr>
        <w:t>Un</w:t>
      </w:r>
      <w:r w:rsidRPr="00DE037A">
        <w:t xml:space="preserve"> projet de cadre et d</w:t>
      </w:r>
      <w:r>
        <w:t>’</w:t>
      </w:r>
      <w:r w:rsidRPr="00DE037A">
        <w:t>arbre de décision pour</w:t>
      </w:r>
      <w:r>
        <w:t xml:space="preserve"> la </w:t>
      </w:r>
      <w:r w:rsidRPr="00DE037A">
        <w:t>gestion</w:t>
      </w:r>
      <w:r>
        <w:t xml:space="preserve"> des </w:t>
      </w:r>
      <w:r w:rsidRPr="00DE037A">
        <w:t>sites contaminés ;</w:t>
      </w:r>
      <w:r>
        <w:t xml:space="preserve"> e</w:t>
      </w:r>
      <w:r w:rsidRPr="00987CFA">
        <w:t>t</w:t>
      </w:r>
      <w:r>
        <w:t> </w:t>
      </w:r>
      <w:r w:rsidRPr="00987CFA">
        <w:t>de</w:t>
      </w:r>
      <w:r>
        <w:t xml:space="preserve"> les </w:t>
      </w:r>
      <w:r w:rsidRPr="00987CFA">
        <w:t>soumettre au groupe d</w:t>
      </w:r>
      <w:r>
        <w:t>’</w:t>
      </w:r>
      <w:r w:rsidRPr="00987CFA">
        <w:t>experts désigné conformément à</w:t>
      </w:r>
      <w:r>
        <w:t xml:space="preserve"> </w:t>
      </w:r>
      <w:r>
        <w:br/>
        <w:t>la </w:t>
      </w:r>
      <w:r w:rsidRPr="00987CFA">
        <w:t>décision</w:t>
      </w:r>
      <w:r>
        <w:t> </w:t>
      </w:r>
      <w:r w:rsidRPr="00987CFA">
        <w:t xml:space="preserve">MC-1/20, </w:t>
      </w:r>
      <w:r>
        <w:t>aux P</w:t>
      </w:r>
      <w:r w:rsidRPr="00987CFA">
        <w:t>arties</w:t>
      </w:r>
      <w:r>
        <w:t xml:space="preserve"> et aux parties prenantes pour observations </w:t>
      </w:r>
      <w:r w:rsidRPr="00987CFA">
        <w:t>;</w:t>
      </w:r>
    </w:p>
    <w:p w14:paraId="4A822A31" w14:textId="77777777" w:rsidR="0017537C" w:rsidRPr="0002099E" w:rsidRDefault="0017537C" w:rsidP="0017537C">
      <w:pPr>
        <w:pStyle w:val="NormalNonumber"/>
      </w:pPr>
      <w:r>
        <w:tab/>
        <w:t>d)</w:t>
      </w:r>
      <w:r>
        <w:tab/>
      </w:r>
      <w:r w:rsidRPr="0002099E">
        <w:t>De réviser plus avant</w:t>
      </w:r>
      <w:r>
        <w:t xml:space="preserve"> le </w:t>
      </w:r>
      <w:r w:rsidRPr="0002099E">
        <w:t>projet d</w:t>
      </w:r>
      <w:r>
        <w:t>’</w:t>
      </w:r>
      <w:r w:rsidRPr="0002099E">
        <w:t xml:space="preserve">orientations, </w:t>
      </w:r>
      <w:r>
        <w:t>d’ici au</w:t>
      </w:r>
      <w:r w:rsidRPr="0002099E">
        <w:t xml:space="preserve"> 31 mai 2019, en tenant compte</w:t>
      </w:r>
      <w:r>
        <w:t xml:space="preserve"> des </w:t>
      </w:r>
      <w:r w:rsidRPr="0002099E">
        <w:t>observations soumises conformément au paragraphe 2 ci-dessous, pour examen par</w:t>
      </w:r>
      <w:r>
        <w:t xml:space="preserve"> la </w:t>
      </w:r>
      <w:r w:rsidRPr="0002099E">
        <w:t>Conférence</w:t>
      </w:r>
      <w:r>
        <w:t xml:space="preserve"> des </w:t>
      </w:r>
      <w:r w:rsidRPr="0002099E">
        <w:t>Partis à sa troisième réunion ;</w:t>
      </w:r>
    </w:p>
    <w:p w14:paraId="7E997D9A" w14:textId="77777777" w:rsidR="0017537C" w:rsidRPr="001D1AB5" w:rsidRDefault="0017537C" w:rsidP="0017537C">
      <w:pPr>
        <w:pStyle w:val="NormalNonumber"/>
        <w:rPr>
          <w:sz w:val="24"/>
          <w:szCs w:val="24"/>
          <w:lang w:val="fr-FR"/>
        </w:rPr>
      </w:pPr>
      <w:r>
        <w:rPr>
          <w:iCs/>
        </w:rPr>
        <w:tab/>
        <w:t>2.</w:t>
      </w:r>
      <w:r>
        <w:rPr>
          <w:iCs/>
        </w:rPr>
        <w:tab/>
      </w:r>
      <w:r w:rsidRPr="00995D69">
        <w:rPr>
          <w:i/>
        </w:rPr>
        <w:t>Prie</w:t>
      </w:r>
      <w:r>
        <w:t xml:space="preserve"> le </w:t>
      </w:r>
      <w:r w:rsidRPr="00995D69">
        <w:t>groupe d</w:t>
      </w:r>
      <w:r>
        <w:t>’</w:t>
      </w:r>
      <w:r w:rsidRPr="00995D69">
        <w:t>experts dés</w:t>
      </w:r>
      <w:r>
        <w:t>igné conformément à la décision </w:t>
      </w:r>
      <w:r w:rsidRPr="00995D69">
        <w:t xml:space="preserve">MC-1/20 et </w:t>
      </w:r>
      <w:r w:rsidRPr="00E579AA">
        <w:t>invite</w:t>
      </w:r>
      <w:r>
        <w:t xml:space="preserve"> les </w:t>
      </w:r>
      <w:r w:rsidRPr="00995D69">
        <w:t>Parties et</w:t>
      </w:r>
      <w:r>
        <w:t xml:space="preserve"> les </w:t>
      </w:r>
      <w:r w:rsidRPr="00995D69">
        <w:t>parties prenantes à examiner</w:t>
      </w:r>
      <w:r>
        <w:t xml:space="preserve"> le projet d’orientations </w:t>
      </w:r>
      <w:r w:rsidRPr="00995D69">
        <w:t xml:space="preserve">et </w:t>
      </w:r>
      <w:r>
        <w:t>à soumettre, d’ici au 30 </w:t>
      </w:r>
      <w:r w:rsidRPr="00995D69">
        <w:t>avril</w:t>
      </w:r>
      <w:r>
        <w:t> </w:t>
      </w:r>
      <w:r w:rsidRPr="00995D69">
        <w:t xml:space="preserve">2019, </w:t>
      </w:r>
      <w:r>
        <w:t>leurs observations sur le </w:t>
      </w:r>
      <w:r w:rsidRPr="00995D69">
        <w:t>projet d</w:t>
      </w:r>
      <w:r>
        <w:t>’</w:t>
      </w:r>
      <w:r w:rsidRPr="00995D69">
        <w:t xml:space="preserve">orientations </w:t>
      </w:r>
      <w:r>
        <w:t>révisé ainsi que leurs observations sur le projet de cadre et d’arbre de décision pour la gestion des sites contaminés préparés par le secrétariat conformément au paragraphe 1 </w:t>
      </w:r>
      <w:r w:rsidRPr="00995D69">
        <w:t>c)</w:t>
      </w:r>
      <w:r>
        <w:t xml:space="preserve"> ci-dessus</w:t>
      </w:r>
      <w:r w:rsidRPr="00995D69">
        <w:t>.</w:t>
      </w:r>
    </w:p>
    <w:p w14:paraId="516C7198" w14:textId="397B01FB" w:rsidR="00160BBE" w:rsidRPr="00160BBE" w:rsidRDefault="00160BBE" w:rsidP="0017537C">
      <w:pPr>
        <w:tabs>
          <w:tab w:val="clear" w:pos="1247"/>
          <w:tab w:val="clear" w:pos="1814"/>
          <w:tab w:val="clear" w:pos="2381"/>
          <w:tab w:val="clear" w:pos="2948"/>
          <w:tab w:val="clear" w:pos="3515"/>
        </w:tabs>
        <w:rPr>
          <w:rFonts w:eastAsia="MS Mincho"/>
          <w:b/>
          <w:sz w:val="28"/>
          <w:szCs w:val="28"/>
          <w:lang w:val="fr-CA"/>
        </w:rPr>
      </w:pPr>
    </w:p>
    <w:p w14:paraId="29516043" w14:textId="731E5C5D" w:rsidR="003D22DE" w:rsidRPr="00160BBE" w:rsidRDefault="003D22DE" w:rsidP="00160BBE">
      <w:pPr>
        <w:tabs>
          <w:tab w:val="clear" w:pos="1247"/>
          <w:tab w:val="clear" w:pos="1814"/>
          <w:tab w:val="clear" w:pos="2381"/>
          <w:tab w:val="clear" w:pos="2948"/>
          <w:tab w:val="clear" w:pos="3515"/>
        </w:tabs>
        <w:rPr>
          <w:b/>
          <w:sz w:val="28"/>
          <w:szCs w:val="28"/>
        </w:rPr>
      </w:pPr>
    </w:p>
    <w:sectPr w:rsidR="003D22DE" w:rsidRPr="00160BBE" w:rsidSect="00064DA7">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15D24" w14:textId="77777777" w:rsidR="00C36D93" w:rsidRDefault="00C36D93">
      <w:r>
        <w:separator/>
      </w:r>
    </w:p>
  </w:endnote>
  <w:endnote w:type="continuationSeparator" w:id="0">
    <w:p w14:paraId="7177454C" w14:textId="77777777" w:rsidR="00C36D93" w:rsidRDefault="00C36D93">
      <w:r>
        <w:continuationSeparator/>
      </w:r>
    </w:p>
  </w:endnote>
  <w:endnote w:type="continuationNotice" w:id="1">
    <w:p w14:paraId="2FD4B262" w14:textId="77777777" w:rsidR="00C36D93" w:rsidRDefault="00C36D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A827" w14:textId="37F061F5" w:rsidR="00853842" w:rsidRDefault="00853842">
    <w:pPr>
      <w:pStyle w:val="Footer"/>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48B7" w14:textId="42554EB8" w:rsidR="00853842" w:rsidRDefault="00853842"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19573" w14:textId="78827440" w:rsidR="00853842" w:rsidRPr="00D25175" w:rsidRDefault="00853842">
    <w:pPr>
      <w:pStyle w:val="Footer"/>
      <w:rPr>
        <w:sz w:val="20"/>
      </w:rPr>
    </w:pPr>
    <w:r w:rsidRPr="00D25175">
      <w:rPr>
        <w:sz w:val="20"/>
      </w:rPr>
      <w:t>K17</w:t>
    </w:r>
    <w:r>
      <w:rPr>
        <w:sz w:val="20"/>
      </w:rPr>
      <w:t>08820</w:t>
    </w:r>
    <w:r w:rsidRPr="00D25175">
      <w:rPr>
        <w:sz w:val="20"/>
      </w:rPr>
      <w:tab/>
    </w:r>
    <w:r>
      <w:rPr>
        <w:sz w:val="20"/>
      </w:rPr>
      <w:t>160218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A90A5" w14:textId="77777777" w:rsidR="00C36D93" w:rsidRDefault="00C36D93" w:rsidP="00D92DE0">
      <w:pPr>
        <w:ind w:left="624"/>
      </w:pPr>
      <w:r>
        <w:separator/>
      </w:r>
    </w:p>
  </w:footnote>
  <w:footnote w:type="continuationSeparator" w:id="0">
    <w:p w14:paraId="3E0BF48B" w14:textId="77777777" w:rsidR="00C36D93" w:rsidRDefault="00C36D93">
      <w:r>
        <w:continuationSeparator/>
      </w:r>
    </w:p>
  </w:footnote>
  <w:footnote w:type="continuationNotice" w:id="1">
    <w:p w14:paraId="0C20C562" w14:textId="77777777" w:rsidR="00C36D93" w:rsidRDefault="00C36D93"/>
  </w:footnote>
  <w:footnote w:id="2">
    <w:p w14:paraId="685928A4" w14:textId="77777777" w:rsidR="0017537C" w:rsidRPr="0016290C" w:rsidRDefault="0017537C" w:rsidP="0017537C">
      <w:pPr>
        <w:pStyle w:val="FootnoteText"/>
        <w:rPr>
          <w:szCs w:val="18"/>
          <w:lang w:val="en-US"/>
        </w:rPr>
      </w:pPr>
      <w:r w:rsidRPr="0016290C">
        <w:rPr>
          <w:rStyle w:val="FootnoteReference"/>
        </w:rPr>
        <w:footnoteRef/>
      </w:r>
      <w:r w:rsidRPr="0016290C">
        <w:rPr>
          <w:szCs w:val="18"/>
          <w:lang w:val="en-US"/>
        </w:rPr>
        <w:t xml:space="preserve"> UNEP/MC/COP.2/7</w:t>
      </w:r>
      <w:r w:rsidRPr="00461D6C">
        <w:rPr>
          <w:szCs w:val="18"/>
          <w:lang w:val="en-US"/>
        </w:rPr>
        <w:t xml:space="preserve">, </w:t>
      </w:r>
      <w:proofErr w:type="spellStart"/>
      <w:r w:rsidRPr="00461D6C">
        <w:rPr>
          <w:szCs w:val="18"/>
          <w:lang w:val="en-US"/>
        </w:rPr>
        <w:t>annexe</w:t>
      </w:r>
      <w:proofErr w:type="spellEnd"/>
      <w:r w:rsidRPr="00461D6C">
        <w:rPr>
          <w:szCs w:val="18"/>
          <w:lang w:val="en-US"/>
        </w:rPr>
        <w:t> II.</w:t>
      </w:r>
    </w:p>
  </w:footnote>
  <w:footnote w:id="3">
    <w:p w14:paraId="3F79018E" w14:textId="77777777" w:rsidR="0017537C" w:rsidRPr="001930A9" w:rsidRDefault="0017537C" w:rsidP="0017537C">
      <w:pPr>
        <w:pStyle w:val="FootnoteText"/>
        <w:rPr>
          <w:lang w:val="en-US"/>
        </w:rPr>
      </w:pPr>
      <w:r>
        <w:rPr>
          <w:rStyle w:val="FootnoteReference"/>
        </w:rPr>
        <w:footnoteRef/>
      </w:r>
      <w:r w:rsidRPr="001930A9">
        <w:rPr>
          <w:lang w:val="en-US"/>
        </w:rPr>
        <w:t xml:space="preserve"> </w:t>
      </w:r>
      <w:r w:rsidRPr="0016290C">
        <w:rPr>
          <w:szCs w:val="18"/>
          <w:lang w:val="en-US"/>
        </w:rPr>
        <w:t>UNEP/MC/COP.2/7</w:t>
      </w:r>
      <w:r w:rsidRPr="00461D6C">
        <w:rPr>
          <w:szCs w:val="18"/>
          <w:lang w:val="en-US"/>
        </w:rPr>
        <w:t xml:space="preserve">, </w:t>
      </w:r>
      <w:proofErr w:type="spellStart"/>
      <w:r w:rsidRPr="00461D6C">
        <w:rPr>
          <w:szCs w:val="18"/>
          <w:lang w:val="en-US"/>
        </w:rPr>
        <w:t>annexe</w:t>
      </w:r>
      <w:proofErr w:type="spellEnd"/>
      <w:r w:rsidRPr="00461D6C">
        <w:rPr>
          <w:szCs w:val="18"/>
          <w:lang w:val="en-US"/>
        </w:rPr>
        <w:t>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4E3A" w14:textId="2C931EF1" w:rsidR="00853842" w:rsidRPr="00CA5CA9" w:rsidRDefault="00853842" w:rsidP="006B4C09">
    <w:pPr>
      <w:pStyle w:val="Header-pool"/>
    </w:pPr>
    <w:r w:rsidRPr="00CA5CA9">
      <w:rPr>
        <w:bCs/>
      </w:rPr>
      <w:t>UNEP</w:t>
    </w:r>
    <w:r w:rsidRPr="00CA5CA9">
      <w:t>/</w:t>
    </w:r>
    <w:r>
      <w:t>MC</w:t>
    </w:r>
    <w:r w:rsidRPr="00CA5CA9">
      <w:t>/</w:t>
    </w:r>
    <w:r>
      <w:t>COP.</w:t>
    </w:r>
    <w:r w:rsidR="009C5EDE">
      <w:t>2</w:t>
    </w:r>
    <w:r w:rsidRPr="00CA5CA9">
      <w:t>/</w:t>
    </w:r>
    <w:r w:rsidR="00EB2974">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1C51" w14:textId="3DE4E643" w:rsidR="00853842" w:rsidRPr="00CA5CA9" w:rsidRDefault="00853842"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w:t>
    </w:r>
    <w:r w:rsidR="003D22DE">
      <w:rPr>
        <w:szCs w:val="18"/>
      </w:rPr>
      <w:t>2</w:t>
    </w:r>
    <w:r w:rsidRPr="00CA5CA9">
      <w:rPr>
        <w:szCs w:val="18"/>
      </w:rPr>
      <w:t>/</w:t>
    </w:r>
    <w:r w:rsidR="00EB2974">
      <w:rPr>
        <w:szCs w:val="18"/>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8784" w14:textId="70C0CA95" w:rsidR="00853842" w:rsidRDefault="00853842"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outline w:val="0"/>
        <w:emboss w:val="0"/>
        <w:imprint w:val="0"/>
        <w:spacing w:val="0"/>
        <w:w w:val="100"/>
        <w:kern w:val="0"/>
        <w:position w:val="0"/>
        <w:highlight w:val="none"/>
        <w:vertAlign w:val="base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outline w:val="0"/>
        <w:emboss w:val="0"/>
        <w:imprint w:val="0"/>
        <w:spacing w:val="0"/>
        <w:w w:val="100"/>
        <w:kern w:val="0"/>
        <w:position w:val="0"/>
        <w:highlight w:val="none"/>
        <w:vertAlign w:val="base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outline w:val="0"/>
        <w:emboss w:val="0"/>
        <w:imprint w:val="0"/>
        <w:spacing w:val="0"/>
        <w:w w:val="100"/>
        <w:kern w:val="0"/>
        <w:position w:val="0"/>
        <w:highlight w:val="none"/>
        <w:vertAlign w:val="base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outline w:val="0"/>
        <w:emboss w:val="0"/>
        <w:imprint w:val="0"/>
        <w:spacing w:val="0"/>
        <w:w w:val="100"/>
        <w:kern w:val="0"/>
        <w:position w:val="0"/>
        <w:highlight w:val="none"/>
        <w:vertAlign w:val="base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outline w:val="0"/>
        <w:emboss w:val="0"/>
        <w:imprint w:val="0"/>
        <w:spacing w:val="0"/>
        <w:w w:val="100"/>
        <w:kern w:val="0"/>
        <w:position w:val="0"/>
        <w:highlight w:val="none"/>
        <w:vertAlign w:val="base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outline w:val="0"/>
        <w:emboss w:val="0"/>
        <w:imprint w:val="0"/>
        <w:spacing w:val="0"/>
        <w:w w:val="100"/>
        <w:kern w:val="0"/>
        <w:position w:val="0"/>
        <w:highlight w:val="none"/>
        <w:vertAlign w:val="base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outline w:val="0"/>
        <w:emboss w:val="0"/>
        <w:imprint w:val="0"/>
        <w:spacing w:val="0"/>
        <w:w w:val="100"/>
        <w:kern w:val="0"/>
        <w:position w:val="0"/>
        <w:highlight w:val="none"/>
        <w:vertAlign w:val="base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2A66A9D"/>
    <w:multiLevelType w:val="multilevel"/>
    <w:tmpl w:val="F4ACF36E"/>
    <w:styleLink w:val="Normallist"/>
    <w:lvl w:ilvl="0">
      <w:start w:val="1"/>
      <w:numFmt w:val="decimal"/>
      <w:pStyle w:val="Normalnumber"/>
      <w:lvlText w:val="%1."/>
      <w:lvlJc w:val="left"/>
      <w:pPr>
        <w:tabs>
          <w:tab w:val="num" w:pos="2830"/>
        </w:tabs>
        <w:ind w:left="3510"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 w15:restartNumberingAfterBreak="0">
    <w:nsid w:val="62291BF8"/>
    <w:multiLevelType w:val="multilevel"/>
    <w:tmpl w:val="F4ACF36E"/>
    <w:numStyleLink w:val="Normallist"/>
  </w:abstractNum>
  <w:abstractNum w:abstractNumId="11" w15:restartNumberingAfterBreak="0">
    <w:nsid w:val="658E3431"/>
    <w:multiLevelType w:val="hybridMultilevel"/>
    <w:tmpl w:val="F4ACF36E"/>
    <w:styleLink w:val="Normallist2"/>
    <w:lvl w:ilvl="0" w:tplc="FBCEB55C">
      <w:start w:val="1"/>
      <w:numFmt w:val="decimal"/>
      <w:lvlText w:val="%1."/>
      <w:lvlJc w:val="left"/>
      <w:pPr>
        <w:tabs>
          <w:tab w:val="num" w:pos="2830"/>
        </w:tabs>
        <w:ind w:left="3510" w:firstLine="0"/>
      </w:pPr>
      <w:rPr>
        <w:rFonts w:hint="default"/>
      </w:rPr>
    </w:lvl>
    <w:lvl w:ilvl="1" w:tplc="FDA8D172">
      <w:start w:val="1"/>
      <w:numFmt w:val="lowerLetter"/>
      <w:lvlText w:val="%2)"/>
      <w:lvlJc w:val="left"/>
      <w:pPr>
        <w:tabs>
          <w:tab w:val="num" w:pos="567"/>
        </w:tabs>
        <w:ind w:left="1247" w:firstLine="567"/>
      </w:pPr>
      <w:rPr>
        <w:rFonts w:hint="default"/>
      </w:rPr>
    </w:lvl>
    <w:lvl w:ilvl="2" w:tplc="BAF838C0">
      <w:start w:val="1"/>
      <w:numFmt w:val="lowerRoman"/>
      <w:lvlText w:val="%3)"/>
      <w:lvlJc w:val="left"/>
      <w:pPr>
        <w:tabs>
          <w:tab w:val="num" w:pos="567"/>
        </w:tabs>
        <w:ind w:left="2948" w:hanging="567"/>
      </w:pPr>
      <w:rPr>
        <w:rFonts w:hint="default"/>
      </w:rPr>
    </w:lvl>
    <w:lvl w:ilvl="3" w:tplc="95820F7C">
      <w:start w:val="1"/>
      <w:numFmt w:val="lowerLetter"/>
      <w:lvlText w:val="%4."/>
      <w:lvlJc w:val="left"/>
      <w:pPr>
        <w:tabs>
          <w:tab w:val="num" w:pos="567"/>
        </w:tabs>
        <w:ind w:left="3515" w:hanging="567"/>
      </w:pPr>
      <w:rPr>
        <w:rFonts w:hint="default"/>
      </w:rPr>
    </w:lvl>
    <w:lvl w:ilvl="4" w:tplc="4F364E66">
      <w:start w:val="1"/>
      <w:numFmt w:val="lowerRoman"/>
      <w:lvlText w:val="%5."/>
      <w:lvlJc w:val="left"/>
      <w:pPr>
        <w:tabs>
          <w:tab w:val="num" w:pos="567"/>
        </w:tabs>
        <w:ind w:left="4082" w:hanging="567"/>
      </w:pPr>
      <w:rPr>
        <w:rFonts w:hint="default"/>
      </w:rPr>
    </w:lvl>
    <w:lvl w:ilvl="5" w:tplc="383EFA2C">
      <w:start w:val="1"/>
      <w:numFmt w:val="lowerRoman"/>
      <w:lvlText w:val="%6."/>
      <w:lvlJc w:val="right"/>
      <w:pPr>
        <w:tabs>
          <w:tab w:val="num" w:pos="7835"/>
        </w:tabs>
        <w:ind w:left="7835" w:hanging="180"/>
      </w:pPr>
      <w:rPr>
        <w:rFonts w:hint="default"/>
      </w:rPr>
    </w:lvl>
    <w:lvl w:ilvl="6" w:tplc="2AE85E38">
      <w:start w:val="1"/>
      <w:numFmt w:val="decimal"/>
      <w:lvlText w:val="%7."/>
      <w:lvlJc w:val="left"/>
      <w:pPr>
        <w:tabs>
          <w:tab w:val="num" w:pos="8555"/>
        </w:tabs>
        <w:ind w:left="8555" w:hanging="360"/>
      </w:pPr>
      <w:rPr>
        <w:rFonts w:hint="default"/>
      </w:rPr>
    </w:lvl>
    <w:lvl w:ilvl="7" w:tplc="17FEBCD0">
      <w:start w:val="1"/>
      <w:numFmt w:val="lowerLetter"/>
      <w:lvlText w:val="%8."/>
      <w:lvlJc w:val="left"/>
      <w:pPr>
        <w:tabs>
          <w:tab w:val="num" w:pos="9275"/>
        </w:tabs>
        <w:ind w:left="9275" w:hanging="360"/>
      </w:pPr>
      <w:rPr>
        <w:rFonts w:hint="default"/>
      </w:rPr>
    </w:lvl>
    <w:lvl w:ilvl="8" w:tplc="035C4F40">
      <w:start w:val="1"/>
      <w:numFmt w:val="lowerRoman"/>
      <w:lvlText w:val="%9."/>
      <w:lvlJc w:val="right"/>
      <w:pPr>
        <w:tabs>
          <w:tab w:val="num" w:pos="9995"/>
        </w:tabs>
        <w:ind w:left="9995" w:hanging="180"/>
      </w:pPr>
      <w:rPr>
        <w:rFonts w:hint="default"/>
      </w:rPr>
    </w:lvl>
  </w:abstractNum>
  <w:num w:numId="1">
    <w:abstractNumId w:val="10"/>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
    <w:abstractNumId w:val="2"/>
  </w:num>
  <w:num w:numId="3">
    <w:abstractNumId w:val="6"/>
  </w:num>
  <w:num w:numId="4">
    <w:abstractNumId w:val="9"/>
  </w:num>
  <w:num w:numId="5">
    <w:abstractNumId w:val="11"/>
    <w:lvlOverride w:ilvl="0">
      <w:lvl w:ilvl="0" w:tplc="FBCEB55C">
        <w:start w:val="1"/>
        <w:numFmt w:val="decimal"/>
        <w:lvlText w:val="%1."/>
        <w:lvlJc w:val="left"/>
        <w:pPr>
          <w:tabs>
            <w:tab w:val="num" w:pos="1814"/>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DA8D172">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AF838C0">
        <w:start w:val="1"/>
        <w:numFmt w:val="lowerRoman"/>
        <w:lvlText w:val="(%3)"/>
        <w:lvlJc w:val="left"/>
        <w:pPr>
          <w:tabs>
            <w:tab w:val="left" w:pos="624"/>
            <w:tab w:val="left" w:pos="1134"/>
            <w:tab w:val="left" w:pos="1247"/>
            <w:tab w:val="left" w:pos="1814"/>
            <w:tab w:val="left" w:pos="1871"/>
            <w:tab w:val="left" w:pos="2381"/>
            <w:tab w:val="left" w:pos="2495"/>
            <w:tab w:val="left" w:pos="2948"/>
            <w:tab w:val="left" w:pos="3119"/>
            <w:tab w:val="left" w:pos="3515"/>
            <w:tab w:val="num" w:pos="4082"/>
          </w:tabs>
          <w:ind w:left="2948"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5820F7C">
        <w:start w:val="1"/>
        <w:numFmt w:val="lowerLetter"/>
        <w:suff w:val="nothing"/>
        <w:lvlText w:val="%4."/>
        <w:lvlJc w:val="left"/>
        <w:pPr>
          <w:tabs>
            <w:tab w:val="left" w:pos="624"/>
            <w:tab w:val="left" w:pos="1134"/>
            <w:tab w:val="left" w:pos="1247"/>
            <w:tab w:val="left" w:pos="1814"/>
            <w:tab w:val="left" w:pos="1871"/>
            <w:tab w:val="left" w:pos="2381"/>
            <w:tab w:val="left" w:pos="2495"/>
            <w:tab w:val="left" w:pos="2948"/>
            <w:tab w:val="left" w:pos="3119"/>
            <w:tab w:val="left" w:pos="3515"/>
          </w:tabs>
          <w:ind w:left="3119"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F364E66">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83EFA2C">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AE85E38">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7FEBCD0">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35C4F40">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4"/>
  </w:num>
  <w:num w:numId="7">
    <w:abstractNumId w:val="1"/>
  </w:num>
  <w:num w:numId="8">
    <w:abstractNumId w:val="3"/>
  </w:num>
  <w:num w:numId="9">
    <w:abstractNumId w:val="5"/>
  </w:num>
  <w:num w:numId="10">
    <w:abstractNumId w:val="0"/>
  </w:num>
  <w:num w:numId="11">
    <w:abstractNumId w:val="7"/>
  </w:num>
  <w:num w:numId="12">
    <w:abstractNumId w:val="8"/>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fr-CA" w:vendorID="64" w:dllVersion="0" w:nlCheck="1" w:checkStyle="0"/>
  <w:activeWritingStyle w:appName="MSWord" w:lang="fr-CH" w:vendorID="64" w:dllVersion="0" w:nlCheck="1" w:checkStyle="0"/>
  <w:activeWritingStyle w:appName="MSWord" w:lang="es-ES_tradnl" w:vendorID="64" w:dllVersion="0" w:nlCheck="1" w:checkStyle="0"/>
  <w:proofState w:spelling="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181F"/>
    <w:rsid w:val="000022DE"/>
    <w:rsid w:val="000024A3"/>
    <w:rsid w:val="00002CC2"/>
    <w:rsid w:val="00002E10"/>
    <w:rsid w:val="00003533"/>
    <w:rsid w:val="000041A6"/>
    <w:rsid w:val="00005291"/>
    <w:rsid w:val="000077AD"/>
    <w:rsid w:val="000079F5"/>
    <w:rsid w:val="00007EFE"/>
    <w:rsid w:val="000101A4"/>
    <w:rsid w:val="0001090A"/>
    <w:rsid w:val="0001146C"/>
    <w:rsid w:val="00011A16"/>
    <w:rsid w:val="0001290D"/>
    <w:rsid w:val="000149E6"/>
    <w:rsid w:val="00016E76"/>
    <w:rsid w:val="0001775E"/>
    <w:rsid w:val="000201F6"/>
    <w:rsid w:val="000204C0"/>
    <w:rsid w:val="00022246"/>
    <w:rsid w:val="00023BB8"/>
    <w:rsid w:val="00023CD6"/>
    <w:rsid w:val="00023DA9"/>
    <w:rsid w:val="000247B0"/>
    <w:rsid w:val="00026997"/>
    <w:rsid w:val="00026A08"/>
    <w:rsid w:val="0002734E"/>
    <w:rsid w:val="00030BA1"/>
    <w:rsid w:val="000311E3"/>
    <w:rsid w:val="000316FE"/>
    <w:rsid w:val="00031F83"/>
    <w:rsid w:val="00032E4E"/>
    <w:rsid w:val="00033260"/>
    <w:rsid w:val="00033E0B"/>
    <w:rsid w:val="0003406A"/>
    <w:rsid w:val="00034957"/>
    <w:rsid w:val="00034ABA"/>
    <w:rsid w:val="00034D91"/>
    <w:rsid w:val="00035EDE"/>
    <w:rsid w:val="000368A2"/>
    <w:rsid w:val="00037461"/>
    <w:rsid w:val="00037FC2"/>
    <w:rsid w:val="00040319"/>
    <w:rsid w:val="000450C6"/>
    <w:rsid w:val="00045599"/>
    <w:rsid w:val="00046103"/>
    <w:rsid w:val="00046BA4"/>
    <w:rsid w:val="00047302"/>
    <w:rsid w:val="00047771"/>
    <w:rsid w:val="00047DD8"/>
    <w:rsid w:val="000509B4"/>
    <w:rsid w:val="0005148B"/>
    <w:rsid w:val="00051AD0"/>
    <w:rsid w:val="00051BDE"/>
    <w:rsid w:val="0005269E"/>
    <w:rsid w:val="00053D90"/>
    <w:rsid w:val="00054C92"/>
    <w:rsid w:val="0005611D"/>
    <w:rsid w:val="000571FE"/>
    <w:rsid w:val="0006035B"/>
    <w:rsid w:val="0006096F"/>
    <w:rsid w:val="0006147B"/>
    <w:rsid w:val="00062962"/>
    <w:rsid w:val="0006360F"/>
    <w:rsid w:val="000638A4"/>
    <w:rsid w:val="000649C5"/>
    <w:rsid w:val="00064C46"/>
    <w:rsid w:val="00064DA7"/>
    <w:rsid w:val="00065BAF"/>
    <w:rsid w:val="00065D93"/>
    <w:rsid w:val="00067E24"/>
    <w:rsid w:val="00070416"/>
    <w:rsid w:val="00070D93"/>
    <w:rsid w:val="000715D5"/>
    <w:rsid w:val="0007177C"/>
    <w:rsid w:val="00071886"/>
    <w:rsid w:val="00072B8E"/>
    <w:rsid w:val="00073EAE"/>
    <w:rsid w:val="000742BC"/>
    <w:rsid w:val="00074B42"/>
    <w:rsid w:val="00074BC0"/>
    <w:rsid w:val="00074C52"/>
    <w:rsid w:val="00074D99"/>
    <w:rsid w:val="00076156"/>
    <w:rsid w:val="00076304"/>
    <w:rsid w:val="0007676E"/>
    <w:rsid w:val="00076CC6"/>
    <w:rsid w:val="00076D49"/>
    <w:rsid w:val="0007707B"/>
    <w:rsid w:val="000771CB"/>
    <w:rsid w:val="00077AFE"/>
    <w:rsid w:val="00080067"/>
    <w:rsid w:val="000823D1"/>
    <w:rsid w:val="00082A0C"/>
    <w:rsid w:val="00083504"/>
    <w:rsid w:val="00084299"/>
    <w:rsid w:val="0008451B"/>
    <w:rsid w:val="00084E27"/>
    <w:rsid w:val="000858D7"/>
    <w:rsid w:val="00086E40"/>
    <w:rsid w:val="000872B1"/>
    <w:rsid w:val="00090ABA"/>
    <w:rsid w:val="0009104F"/>
    <w:rsid w:val="00091316"/>
    <w:rsid w:val="000943DC"/>
    <w:rsid w:val="000946B9"/>
    <w:rsid w:val="0009640C"/>
    <w:rsid w:val="00096772"/>
    <w:rsid w:val="000973FF"/>
    <w:rsid w:val="000976EB"/>
    <w:rsid w:val="000A060E"/>
    <w:rsid w:val="000A06B8"/>
    <w:rsid w:val="000A0CA1"/>
    <w:rsid w:val="000A0D9A"/>
    <w:rsid w:val="000A3260"/>
    <w:rsid w:val="000A3C77"/>
    <w:rsid w:val="000A469C"/>
    <w:rsid w:val="000A482A"/>
    <w:rsid w:val="000A5319"/>
    <w:rsid w:val="000A58D9"/>
    <w:rsid w:val="000A5BB6"/>
    <w:rsid w:val="000B20EB"/>
    <w:rsid w:val="000B22A2"/>
    <w:rsid w:val="000B26FB"/>
    <w:rsid w:val="000B3273"/>
    <w:rsid w:val="000B3E88"/>
    <w:rsid w:val="000B40E0"/>
    <w:rsid w:val="000B506B"/>
    <w:rsid w:val="000B73F9"/>
    <w:rsid w:val="000B7A49"/>
    <w:rsid w:val="000C0B42"/>
    <w:rsid w:val="000C21B2"/>
    <w:rsid w:val="000C22BB"/>
    <w:rsid w:val="000C22FE"/>
    <w:rsid w:val="000C297B"/>
    <w:rsid w:val="000C2A52"/>
    <w:rsid w:val="000C2A88"/>
    <w:rsid w:val="000C2BEA"/>
    <w:rsid w:val="000C30A4"/>
    <w:rsid w:val="000C38D6"/>
    <w:rsid w:val="000C5527"/>
    <w:rsid w:val="000C6223"/>
    <w:rsid w:val="000D1849"/>
    <w:rsid w:val="000D1B4C"/>
    <w:rsid w:val="000D212B"/>
    <w:rsid w:val="000D33C0"/>
    <w:rsid w:val="000D4906"/>
    <w:rsid w:val="000D4CF6"/>
    <w:rsid w:val="000D59BD"/>
    <w:rsid w:val="000D60A6"/>
    <w:rsid w:val="000D6941"/>
    <w:rsid w:val="000D6CC4"/>
    <w:rsid w:val="000D7F21"/>
    <w:rsid w:val="000D7F9F"/>
    <w:rsid w:val="000E2405"/>
    <w:rsid w:val="000E37D1"/>
    <w:rsid w:val="000E4188"/>
    <w:rsid w:val="000E599B"/>
    <w:rsid w:val="000E5E79"/>
    <w:rsid w:val="000E72FF"/>
    <w:rsid w:val="000E7319"/>
    <w:rsid w:val="000F084C"/>
    <w:rsid w:val="000F1049"/>
    <w:rsid w:val="000F1466"/>
    <w:rsid w:val="000F3850"/>
    <w:rsid w:val="000F4829"/>
    <w:rsid w:val="000F4902"/>
    <w:rsid w:val="000F4A9C"/>
    <w:rsid w:val="000F4D2A"/>
    <w:rsid w:val="000F5231"/>
    <w:rsid w:val="000F6644"/>
    <w:rsid w:val="000F6E38"/>
    <w:rsid w:val="000F7059"/>
    <w:rsid w:val="000F7919"/>
    <w:rsid w:val="000F7F62"/>
    <w:rsid w:val="00100115"/>
    <w:rsid w:val="00100B4A"/>
    <w:rsid w:val="00100EF4"/>
    <w:rsid w:val="00105827"/>
    <w:rsid w:val="001064CE"/>
    <w:rsid w:val="00107F6D"/>
    <w:rsid w:val="0011125B"/>
    <w:rsid w:val="001112D3"/>
    <w:rsid w:val="00112026"/>
    <w:rsid w:val="0011242B"/>
    <w:rsid w:val="00112FB8"/>
    <w:rsid w:val="001134E5"/>
    <w:rsid w:val="001135F0"/>
    <w:rsid w:val="00116A78"/>
    <w:rsid w:val="0011765B"/>
    <w:rsid w:val="00117FF0"/>
    <w:rsid w:val="001202E3"/>
    <w:rsid w:val="00120977"/>
    <w:rsid w:val="0012111A"/>
    <w:rsid w:val="00122114"/>
    <w:rsid w:val="0012272C"/>
    <w:rsid w:val="00123699"/>
    <w:rsid w:val="00123857"/>
    <w:rsid w:val="001241FB"/>
    <w:rsid w:val="001242AB"/>
    <w:rsid w:val="001245F8"/>
    <w:rsid w:val="00124979"/>
    <w:rsid w:val="00124C6F"/>
    <w:rsid w:val="00124F83"/>
    <w:rsid w:val="00126141"/>
    <w:rsid w:val="001267DB"/>
    <w:rsid w:val="00126EC1"/>
    <w:rsid w:val="001275C6"/>
    <w:rsid w:val="00127F08"/>
    <w:rsid w:val="00127F7E"/>
    <w:rsid w:val="0013016C"/>
    <w:rsid w:val="0013059D"/>
    <w:rsid w:val="00133699"/>
    <w:rsid w:val="00133CDD"/>
    <w:rsid w:val="00134D94"/>
    <w:rsid w:val="00134F13"/>
    <w:rsid w:val="00136187"/>
    <w:rsid w:val="00136BF7"/>
    <w:rsid w:val="001372AE"/>
    <w:rsid w:val="001376A0"/>
    <w:rsid w:val="00137B30"/>
    <w:rsid w:val="00137BFE"/>
    <w:rsid w:val="00140296"/>
    <w:rsid w:val="00140BC6"/>
    <w:rsid w:val="00140CF5"/>
    <w:rsid w:val="00140E75"/>
    <w:rsid w:val="00141A55"/>
    <w:rsid w:val="0014215A"/>
    <w:rsid w:val="0014293F"/>
    <w:rsid w:val="0014371E"/>
    <w:rsid w:val="0014397D"/>
    <w:rsid w:val="001446A3"/>
    <w:rsid w:val="00146DC1"/>
    <w:rsid w:val="0014776A"/>
    <w:rsid w:val="00147976"/>
    <w:rsid w:val="00150D60"/>
    <w:rsid w:val="00152B6B"/>
    <w:rsid w:val="00152E27"/>
    <w:rsid w:val="00153CDC"/>
    <w:rsid w:val="00154971"/>
    <w:rsid w:val="00155395"/>
    <w:rsid w:val="00155944"/>
    <w:rsid w:val="00155A2F"/>
    <w:rsid w:val="00155C65"/>
    <w:rsid w:val="00156B6B"/>
    <w:rsid w:val="00156E94"/>
    <w:rsid w:val="0015786E"/>
    <w:rsid w:val="00160BBE"/>
    <w:rsid w:val="00160D74"/>
    <w:rsid w:val="00162653"/>
    <w:rsid w:val="0016339E"/>
    <w:rsid w:val="001646EA"/>
    <w:rsid w:val="00164E5A"/>
    <w:rsid w:val="00167898"/>
    <w:rsid w:val="001679A0"/>
    <w:rsid w:val="00167D02"/>
    <w:rsid w:val="0017069E"/>
    <w:rsid w:val="001721A2"/>
    <w:rsid w:val="00172D6A"/>
    <w:rsid w:val="00173A45"/>
    <w:rsid w:val="00173C3F"/>
    <w:rsid w:val="00174352"/>
    <w:rsid w:val="00175052"/>
    <w:rsid w:val="00175351"/>
    <w:rsid w:val="0017537C"/>
    <w:rsid w:val="00175765"/>
    <w:rsid w:val="001759D8"/>
    <w:rsid w:val="00175C38"/>
    <w:rsid w:val="00177D7F"/>
    <w:rsid w:val="00180A4B"/>
    <w:rsid w:val="00180C3F"/>
    <w:rsid w:val="00180DAF"/>
    <w:rsid w:val="00181E13"/>
    <w:rsid w:val="00181EC8"/>
    <w:rsid w:val="001822AB"/>
    <w:rsid w:val="00184349"/>
    <w:rsid w:val="00185D82"/>
    <w:rsid w:val="00185F42"/>
    <w:rsid w:val="00185F87"/>
    <w:rsid w:val="00186054"/>
    <w:rsid w:val="0019040A"/>
    <w:rsid w:val="00195142"/>
    <w:rsid w:val="00195F33"/>
    <w:rsid w:val="00196063"/>
    <w:rsid w:val="001960B1"/>
    <w:rsid w:val="00197040"/>
    <w:rsid w:val="001A06D8"/>
    <w:rsid w:val="001A1D62"/>
    <w:rsid w:val="001A23B0"/>
    <w:rsid w:val="001A2A68"/>
    <w:rsid w:val="001A34A9"/>
    <w:rsid w:val="001A5446"/>
    <w:rsid w:val="001A6B72"/>
    <w:rsid w:val="001B1617"/>
    <w:rsid w:val="001B1C51"/>
    <w:rsid w:val="001B1DC6"/>
    <w:rsid w:val="001B2512"/>
    <w:rsid w:val="001B260F"/>
    <w:rsid w:val="001B500C"/>
    <w:rsid w:val="001B504B"/>
    <w:rsid w:val="001B6514"/>
    <w:rsid w:val="001B6F98"/>
    <w:rsid w:val="001B724A"/>
    <w:rsid w:val="001C07F1"/>
    <w:rsid w:val="001C082D"/>
    <w:rsid w:val="001C191A"/>
    <w:rsid w:val="001C3EFD"/>
    <w:rsid w:val="001C4536"/>
    <w:rsid w:val="001C49E6"/>
    <w:rsid w:val="001C75B3"/>
    <w:rsid w:val="001C7707"/>
    <w:rsid w:val="001D0B86"/>
    <w:rsid w:val="001D0EB9"/>
    <w:rsid w:val="001D1749"/>
    <w:rsid w:val="001D29A5"/>
    <w:rsid w:val="001D34EB"/>
    <w:rsid w:val="001D3874"/>
    <w:rsid w:val="001D4158"/>
    <w:rsid w:val="001D5DE3"/>
    <w:rsid w:val="001D7E75"/>
    <w:rsid w:val="001E0512"/>
    <w:rsid w:val="001E0D73"/>
    <w:rsid w:val="001E2004"/>
    <w:rsid w:val="001E3AA2"/>
    <w:rsid w:val="001E4011"/>
    <w:rsid w:val="001E45BD"/>
    <w:rsid w:val="001E4BB1"/>
    <w:rsid w:val="001E518D"/>
    <w:rsid w:val="001E53B8"/>
    <w:rsid w:val="001E56D2"/>
    <w:rsid w:val="001E7219"/>
    <w:rsid w:val="001E7833"/>
    <w:rsid w:val="001E7AB5"/>
    <w:rsid w:val="001E7D56"/>
    <w:rsid w:val="001F1E77"/>
    <w:rsid w:val="001F2420"/>
    <w:rsid w:val="001F2CB1"/>
    <w:rsid w:val="001F322B"/>
    <w:rsid w:val="001F3C42"/>
    <w:rsid w:val="001F436E"/>
    <w:rsid w:val="001F4656"/>
    <w:rsid w:val="001F4BA8"/>
    <w:rsid w:val="001F5887"/>
    <w:rsid w:val="001F6305"/>
    <w:rsid w:val="001F75DE"/>
    <w:rsid w:val="001F7B3E"/>
    <w:rsid w:val="00200D58"/>
    <w:rsid w:val="00200F83"/>
    <w:rsid w:val="002011C1"/>
    <w:rsid w:val="002013BE"/>
    <w:rsid w:val="00201EDC"/>
    <w:rsid w:val="00202D9C"/>
    <w:rsid w:val="00203986"/>
    <w:rsid w:val="00204062"/>
    <w:rsid w:val="00204649"/>
    <w:rsid w:val="00204E4E"/>
    <w:rsid w:val="002063A4"/>
    <w:rsid w:val="00207464"/>
    <w:rsid w:val="00210B6F"/>
    <w:rsid w:val="0021145B"/>
    <w:rsid w:val="002124E3"/>
    <w:rsid w:val="002129AB"/>
    <w:rsid w:val="00213A3A"/>
    <w:rsid w:val="00214C86"/>
    <w:rsid w:val="00215572"/>
    <w:rsid w:val="00216BC1"/>
    <w:rsid w:val="00217058"/>
    <w:rsid w:val="0021743E"/>
    <w:rsid w:val="00217FC6"/>
    <w:rsid w:val="0022002F"/>
    <w:rsid w:val="00220C23"/>
    <w:rsid w:val="00222433"/>
    <w:rsid w:val="00222F7C"/>
    <w:rsid w:val="002231F2"/>
    <w:rsid w:val="00223DE4"/>
    <w:rsid w:val="002243C2"/>
    <w:rsid w:val="002247F6"/>
    <w:rsid w:val="00224DD6"/>
    <w:rsid w:val="00225E21"/>
    <w:rsid w:val="00226F07"/>
    <w:rsid w:val="002276DD"/>
    <w:rsid w:val="002277C9"/>
    <w:rsid w:val="00227AA1"/>
    <w:rsid w:val="00230C73"/>
    <w:rsid w:val="002313A8"/>
    <w:rsid w:val="00234E78"/>
    <w:rsid w:val="00235179"/>
    <w:rsid w:val="0023572B"/>
    <w:rsid w:val="00236927"/>
    <w:rsid w:val="00240AE4"/>
    <w:rsid w:val="00241834"/>
    <w:rsid w:val="00243266"/>
    <w:rsid w:val="00243727"/>
    <w:rsid w:val="0024375B"/>
    <w:rsid w:val="00243D36"/>
    <w:rsid w:val="00244D2D"/>
    <w:rsid w:val="0024586F"/>
    <w:rsid w:val="00246151"/>
    <w:rsid w:val="002464BE"/>
    <w:rsid w:val="00246A39"/>
    <w:rsid w:val="002473D9"/>
    <w:rsid w:val="00247707"/>
    <w:rsid w:val="002478D3"/>
    <w:rsid w:val="00247998"/>
    <w:rsid w:val="00247D22"/>
    <w:rsid w:val="00250C43"/>
    <w:rsid w:val="002525C0"/>
    <w:rsid w:val="00252FEA"/>
    <w:rsid w:val="00253CCE"/>
    <w:rsid w:val="00253F58"/>
    <w:rsid w:val="00255782"/>
    <w:rsid w:val="00255D9A"/>
    <w:rsid w:val="00256EFC"/>
    <w:rsid w:val="0026018E"/>
    <w:rsid w:val="00260281"/>
    <w:rsid w:val="00260D13"/>
    <w:rsid w:val="00263D88"/>
    <w:rsid w:val="002656AE"/>
    <w:rsid w:val="00265804"/>
    <w:rsid w:val="00266A31"/>
    <w:rsid w:val="00266A57"/>
    <w:rsid w:val="002677F9"/>
    <w:rsid w:val="0026795C"/>
    <w:rsid w:val="00267D44"/>
    <w:rsid w:val="00270268"/>
    <w:rsid w:val="0027029C"/>
    <w:rsid w:val="0027128B"/>
    <w:rsid w:val="002735FD"/>
    <w:rsid w:val="002738E4"/>
    <w:rsid w:val="0027629D"/>
    <w:rsid w:val="00277F0D"/>
    <w:rsid w:val="00280153"/>
    <w:rsid w:val="00280186"/>
    <w:rsid w:val="00280A9E"/>
    <w:rsid w:val="00280C10"/>
    <w:rsid w:val="0028141A"/>
    <w:rsid w:val="00281849"/>
    <w:rsid w:val="00282245"/>
    <w:rsid w:val="00284FB1"/>
    <w:rsid w:val="00286740"/>
    <w:rsid w:val="00286BD3"/>
    <w:rsid w:val="002907D8"/>
    <w:rsid w:val="00291EAE"/>
    <w:rsid w:val="00292693"/>
    <w:rsid w:val="002929D8"/>
    <w:rsid w:val="002931BC"/>
    <w:rsid w:val="00293590"/>
    <w:rsid w:val="00293CDC"/>
    <w:rsid w:val="002959C0"/>
    <w:rsid w:val="00296B5A"/>
    <w:rsid w:val="0029714A"/>
    <w:rsid w:val="00297492"/>
    <w:rsid w:val="002A00EB"/>
    <w:rsid w:val="002A0527"/>
    <w:rsid w:val="002A237D"/>
    <w:rsid w:val="002A2EB7"/>
    <w:rsid w:val="002A3007"/>
    <w:rsid w:val="002A3008"/>
    <w:rsid w:val="002A438A"/>
    <w:rsid w:val="002A4A0A"/>
    <w:rsid w:val="002A4C53"/>
    <w:rsid w:val="002A6539"/>
    <w:rsid w:val="002A6FAC"/>
    <w:rsid w:val="002A7DA5"/>
    <w:rsid w:val="002B0672"/>
    <w:rsid w:val="002B06AD"/>
    <w:rsid w:val="002B0A8A"/>
    <w:rsid w:val="002B0CDB"/>
    <w:rsid w:val="002B1420"/>
    <w:rsid w:val="002B1CA8"/>
    <w:rsid w:val="002B247F"/>
    <w:rsid w:val="002B2C46"/>
    <w:rsid w:val="002B3052"/>
    <w:rsid w:val="002B46F0"/>
    <w:rsid w:val="002B50D4"/>
    <w:rsid w:val="002B58BF"/>
    <w:rsid w:val="002B5E8F"/>
    <w:rsid w:val="002B6354"/>
    <w:rsid w:val="002B702C"/>
    <w:rsid w:val="002B78BF"/>
    <w:rsid w:val="002B78ED"/>
    <w:rsid w:val="002C145D"/>
    <w:rsid w:val="002C1501"/>
    <w:rsid w:val="002C1B41"/>
    <w:rsid w:val="002C1BAB"/>
    <w:rsid w:val="002C2852"/>
    <w:rsid w:val="002C2C3E"/>
    <w:rsid w:val="002C3B79"/>
    <w:rsid w:val="002C5301"/>
    <w:rsid w:val="002C533E"/>
    <w:rsid w:val="002C5D5A"/>
    <w:rsid w:val="002C5E36"/>
    <w:rsid w:val="002C691F"/>
    <w:rsid w:val="002C6E4F"/>
    <w:rsid w:val="002D027F"/>
    <w:rsid w:val="002D067F"/>
    <w:rsid w:val="002D1688"/>
    <w:rsid w:val="002D1F46"/>
    <w:rsid w:val="002D20E8"/>
    <w:rsid w:val="002D3A53"/>
    <w:rsid w:val="002D3E15"/>
    <w:rsid w:val="002D5273"/>
    <w:rsid w:val="002D5C5E"/>
    <w:rsid w:val="002D5FB9"/>
    <w:rsid w:val="002D64FF"/>
    <w:rsid w:val="002D7343"/>
    <w:rsid w:val="002D7A85"/>
    <w:rsid w:val="002D7B60"/>
    <w:rsid w:val="002E06D1"/>
    <w:rsid w:val="002E149C"/>
    <w:rsid w:val="002E26FC"/>
    <w:rsid w:val="002E4C4E"/>
    <w:rsid w:val="002E57D3"/>
    <w:rsid w:val="002E5C38"/>
    <w:rsid w:val="002E7D56"/>
    <w:rsid w:val="002F04E4"/>
    <w:rsid w:val="002F4761"/>
    <w:rsid w:val="002F48F4"/>
    <w:rsid w:val="002F5C79"/>
    <w:rsid w:val="002F5D57"/>
    <w:rsid w:val="002F610B"/>
    <w:rsid w:val="002F62ED"/>
    <w:rsid w:val="002F68EE"/>
    <w:rsid w:val="00300A47"/>
    <w:rsid w:val="003018A6"/>
    <w:rsid w:val="003019E2"/>
    <w:rsid w:val="00303BEF"/>
    <w:rsid w:val="00306155"/>
    <w:rsid w:val="00306AB8"/>
    <w:rsid w:val="00306BA6"/>
    <w:rsid w:val="00306D9E"/>
    <w:rsid w:val="00306E35"/>
    <w:rsid w:val="00307F3B"/>
    <w:rsid w:val="00310BEB"/>
    <w:rsid w:val="00310C7A"/>
    <w:rsid w:val="0031230B"/>
    <w:rsid w:val="00313CE0"/>
    <w:rsid w:val="0031413F"/>
    <w:rsid w:val="00314854"/>
    <w:rsid w:val="003148BB"/>
    <w:rsid w:val="003158D0"/>
    <w:rsid w:val="00315B31"/>
    <w:rsid w:val="00316188"/>
    <w:rsid w:val="00316FF1"/>
    <w:rsid w:val="00317976"/>
    <w:rsid w:val="00317E63"/>
    <w:rsid w:val="0032010D"/>
    <w:rsid w:val="00320F2F"/>
    <w:rsid w:val="00321026"/>
    <w:rsid w:val="00321450"/>
    <w:rsid w:val="00322697"/>
    <w:rsid w:val="00322705"/>
    <w:rsid w:val="003240F2"/>
    <w:rsid w:val="0032457E"/>
    <w:rsid w:val="00325D38"/>
    <w:rsid w:val="0032790C"/>
    <w:rsid w:val="0033008D"/>
    <w:rsid w:val="0033316E"/>
    <w:rsid w:val="00334244"/>
    <w:rsid w:val="00335767"/>
    <w:rsid w:val="0033629C"/>
    <w:rsid w:val="00337309"/>
    <w:rsid w:val="00337539"/>
    <w:rsid w:val="00340564"/>
    <w:rsid w:val="003407F9"/>
    <w:rsid w:val="00341E98"/>
    <w:rsid w:val="00344527"/>
    <w:rsid w:val="00344ED3"/>
    <w:rsid w:val="003456C9"/>
    <w:rsid w:val="003467EB"/>
    <w:rsid w:val="0034745B"/>
    <w:rsid w:val="0034792A"/>
    <w:rsid w:val="00351D70"/>
    <w:rsid w:val="00351DF5"/>
    <w:rsid w:val="0035277E"/>
    <w:rsid w:val="00352940"/>
    <w:rsid w:val="00353184"/>
    <w:rsid w:val="003544BB"/>
    <w:rsid w:val="00354E4C"/>
    <w:rsid w:val="00355EA9"/>
    <w:rsid w:val="00356D88"/>
    <w:rsid w:val="00356F46"/>
    <w:rsid w:val="003573BF"/>
    <w:rsid w:val="003578DE"/>
    <w:rsid w:val="00360044"/>
    <w:rsid w:val="00360A24"/>
    <w:rsid w:val="00361378"/>
    <w:rsid w:val="00361688"/>
    <w:rsid w:val="00361F43"/>
    <w:rsid w:val="003627F9"/>
    <w:rsid w:val="00362C4F"/>
    <w:rsid w:val="00362CA8"/>
    <w:rsid w:val="00363CA5"/>
    <w:rsid w:val="00366DEC"/>
    <w:rsid w:val="003703B8"/>
    <w:rsid w:val="00371D89"/>
    <w:rsid w:val="00371E75"/>
    <w:rsid w:val="0037412B"/>
    <w:rsid w:val="003753B1"/>
    <w:rsid w:val="00375513"/>
    <w:rsid w:val="003803CD"/>
    <w:rsid w:val="00383E58"/>
    <w:rsid w:val="0038408D"/>
    <w:rsid w:val="003841ED"/>
    <w:rsid w:val="00384EDF"/>
    <w:rsid w:val="00386494"/>
    <w:rsid w:val="00386C3F"/>
    <w:rsid w:val="003877D5"/>
    <w:rsid w:val="003878B2"/>
    <w:rsid w:val="003879C2"/>
    <w:rsid w:val="0039024C"/>
    <w:rsid w:val="00390ABA"/>
    <w:rsid w:val="00390FBD"/>
    <w:rsid w:val="00391A9A"/>
    <w:rsid w:val="003929B8"/>
    <w:rsid w:val="00393432"/>
    <w:rsid w:val="00393AFC"/>
    <w:rsid w:val="003946C7"/>
    <w:rsid w:val="00396257"/>
    <w:rsid w:val="0039699F"/>
    <w:rsid w:val="00396B0D"/>
    <w:rsid w:val="0039796B"/>
    <w:rsid w:val="00397EB8"/>
    <w:rsid w:val="00397FE4"/>
    <w:rsid w:val="003A0103"/>
    <w:rsid w:val="003A1ABC"/>
    <w:rsid w:val="003A1B4C"/>
    <w:rsid w:val="003A1E40"/>
    <w:rsid w:val="003A4FD0"/>
    <w:rsid w:val="003A54D4"/>
    <w:rsid w:val="003A5671"/>
    <w:rsid w:val="003A69D1"/>
    <w:rsid w:val="003A70B9"/>
    <w:rsid w:val="003A76B1"/>
    <w:rsid w:val="003A7705"/>
    <w:rsid w:val="003A77F1"/>
    <w:rsid w:val="003A7B61"/>
    <w:rsid w:val="003B1545"/>
    <w:rsid w:val="003B2EEF"/>
    <w:rsid w:val="003B4B9D"/>
    <w:rsid w:val="003B4E0F"/>
    <w:rsid w:val="003B57F8"/>
    <w:rsid w:val="003C1432"/>
    <w:rsid w:val="003C19C3"/>
    <w:rsid w:val="003C25AF"/>
    <w:rsid w:val="003C3219"/>
    <w:rsid w:val="003C33F7"/>
    <w:rsid w:val="003C3478"/>
    <w:rsid w:val="003C3AFC"/>
    <w:rsid w:val="003C3E11"/>
    <w:rsid w:val="003C3ECE"/>
    <w:rsid w:val="003C409D"/>
    <w:rsid w:val="003C485A"/>
    <w:rsid w:val="003C4A79"/>
    <w:rsid w:val="003C53F0"/>
    <w:rsid w:val="003C5583"/>
    <w:rsid w:val="003C59BA"/>
    <w:rsid w:val="003C5AC0"/>
    <w:rsid w:val="003C5BA6"/>
    <w:rsid w:val="003C5D84"/>
    <w:rsid w:val="003C61E3"/>
    <w:rsid w:val="003C74CF"/>
    <w:rsid w:val="003C7545"/>
    <w:rsid w:val="003D16FB"/>
    <w:rsid w:val="003D20AA"/>
    <w:rsid w:val="003D22DE"/>
    <w:rsid w:val="003D2335"/>
    <w:rsid w:val="003D3752"/>
    <w:rsid w:val="003D3CE7"/>
    <w:rsid w:val="003D3E42"/>
    <w:rsid w:val="003D3F7D"/>
    <w:rsid w:val="003D4F51"/>
    <w:rsid w:val="003D4FA4"/>
    <w:rsid w:val="003D5AF7"/>
    <w:rsid w:val="003D633C"/>
    <w:rsid w:val="003D78E0"/>
    <w:rsid w:val="003E040C"/>
    <w:rsid w:val="003E0737"/>
    <w:rsid w:val="003E0BD0"/>
    <w:rsid w:val="003E3178"/>
    <w:rsid w:val="003E35DA"/>
    <w:rsid w:val="003E455D"/>
    <w:rsid w:val="003E54D3"/>
    <w:rsid w:val="003E57B8"/>
    <w:rsid w:val="003E726C"/>
    <w:rsid w:val="003E7983"/>
    <w:rsid w:val="003F03FE"/>
    <w:rsid w:val="003F04A4"/>
    <w:rsid w:val="003F0863"/>
    <w:rsid w:val="003F0E85"/>
    <w:rsid w:val="003F1E83"/>
    <w:rsid w:val="003F3A37"/>
    <w:rsid w:val="003F5FAB"/>
    <w:rsid w:val="003F7D26"/>
    <w:rsid w:val="00402EC9"/>
    <w:rsid w:val="00403274"/>
    <w:rsid w:val="00404BF8"/>
    <w:rsid w:val="00405356"/>
    <w:rsid w:val="0040545F"/>
    <w:rsid w:val="00406B78"/>
    <w:rsid w:val="00406DF5"/>
    <w:rsid w:val="00406FB7"/>
    <w:rsid w:val="0040788A"/>
    <w:rsid w:val="00410C55"/>
    <w:rsid w:val="004114A7"/>
    <w:rsid w:val="00412291"/>
    <w:rsid w:val="0041287E"/>
    <w:rsid w:val="00414402"/>
    <w:rsid w:val="004146E9"/>
    <w:rsid w:val="00415552"/>
    <w:rsid w:val="004158C1"/>
    <w:rsid w:val="00415CB3"/>
    <w:rsid w:val="00416854"/>
    <w:rsid w:val="00417725"/>
    <w:rsid w:val="00420018"/>
    <w:rsid w:val="004200CB"/>
    <w:rsid w:val="00420281"/>
    <w:rsid w:val="00421119"/>
    <w:rsid w:val="00421484"/>
    <w:rsid w:val="0042266F"/>
    <w:rsid w:val="0042269A"/>
    <w:rsid w:val="0042271C"/>
    <w:rsid w:val="00422F39"/>
    <w:rsid w:val="00423C9B"/>
    <w:rsid w:val="0042432C"/>
    <w:rsid w:val="00425889"/>
    <w:rsid w:val="004258BA"/>
    <w:rsid w:val="0042711F"/>
    <w:rsid w:val="00427A73"/>
    <w:rsid w:val="004305F3"/>
    <w:rsid w:val="004314F8"/>
    <w:rsid w:val="00432048"/>
    <w:rsid w:val="00432EBA"/>
    <w:rsid w:val="00433266"/>
    <w:rsid w:val="0043339F"/>
    <w:rsid w:val="004342FE"/>
    <w:rsid w:val="004373C1"/>
    <w:rsid w:val="00437BE8"/>
    <w:rsid w:val="00437F26"/>
    <w:rsid w:val="00440CFD"/>
    <w:rsid w:val="00441680"/>
    <w:rsid w:val="00441C60"/>
    <w:rsid w:val="004423B4"/>
    <w:rsid w:val="00442554"/>
    <w:rsid w:val="004438A1"/>
    <w:rsid w:val="00444097"/>
    <w:rsid w:val="00444566"/>
    <w:rsid w:val="00444AB9"/>
    <w:rsid w:val="00445487"/>
    <w:rsid w:val="00446514"/>
    <w:rsid w:val="00446653"/>
    <w:rsid w:val="00447636"/>
    <w:rsid w:val="00447E0D"/>
    <w:rsid w:val="00450B4E"/>
    <w:rsid w:val="004527B1"/>
    <w:rsid w:val="00452F66"/>
    <w:rsid w:val="00453EA8"/>
    <w:rsid w:val="00454769"/>
    <w:rsid w:val="004550D8"/>
    <w:rsid w:val="004554D6"/>
    <w:rsid w:val="00456F8E"/>
    <w:rsid w:val="004618B1"/>
    <w:rsid w:val="004620C6"/>
    <w:rsid w:val="004638D4"/>
    <w:rsid w:val="004642A0"/>
    <w:rsid w:val="00464CEF"/>
    <w:rsid w:val="00464D16"/>
    <w:rsid w:val="00465A56"/>
    <w:rsid w:val="00466991"/>
    <w:rsid w:val="00466E8D"/>
    <w:rsid w:val="0047059E"/>
    <w:rsid w:val="0047064C"/>
    <w:rsid w:val="00471DE3"/>
    <w:rsid w:val="00473B55"/>
    <w:rsid w:val="00473DA7"/>
    <w:rsid w:val="00474130"/>
    <w:rsid w:val="00474271"/>
    <w:rsid w:val="00474E87"/>
    <w:rsid w:val="00476A20"/>
    <w:rsid w:val="0047746D"/>
    <w:rsid w:val="00480FA5"/>
    <w:rsid w:val="004822B7"/>
    <w:rsid w:val="0048263C"/>
    <w:rsid w:val="00484092"/>
    <w:rsid w:val="0048432F"/>
    <w:rsid w:val="004845CD"/>
    <w:rsid w:val="00484C30"/>
    <w:rsid w:val="00484D59"/>
    <w:rsid w:val="00484D5B"/>
    <w:rsid w:val="00485211"/>
    <w:rsid w:val="00485F20"/>
    <w:rsid w:val="00485F38"/>
    <w:rsid w:val="0048674D"/>
    <w:rsid w:val="00486EA5"/>
    <w:rsid w:val="00490AC1"/>
    <w:rsid w:val="00491B86"/>
    <w:rsid w:val="00491E99"/>
    <w:rsid w:val="0049469E"/>
    <w:rsid w:val="00495FE9"/>
    <w:rsid w:val="0049699E"/>
    <w:rsid w:val="004A0CE6"/>
    <w:rsid w:val="004A2217"/>
    <w:rsid w:val="004A24F9"/>
    <w:rsid w:val="004A2587"/>
    <w:rsid w:val="004A2FEB"/>
    <w:rsid w:val="004A4221"/>
    <w:rsid w:val="004A42E1"/>
    <w:rsid w:val="004A59FE"/>
    <w:rsid w:val="004A6C57"/>
    <w:rsid w:val="004A70F2"/>
    <w:rsid w:val="004A786A"/>
    <w:rsid w:val="004B0179"/>
    <w:rsid w:val="004B15DE"/>
    <w:rsid w:val="004B162C"/>
    <w:rsid w:val="004B1846"/>
    <w:rsid w:val="004B2536"/>
    <w:rsid w:val="004B2663"/>
    <w:rsid w:val="004B2ABE"/>
    <w:rsid w:val="004B2BBB"/>
    <w:rsid w:val="004B4520"/>
    <w:rsid w:val="004B4A7C"/>
    <w:rsid w:val="004B5FF4"/>
    <w:rsid w:val="004B670B"/>
    <w:rsid w:val="004C0144"/>
    <w:rsid w:val="004C06FA"/>
    <w:rsid w:val="004C0DBE"/>
    <w:rsid w:val="004C1AAD"/>
    <w:rsid w:val="004C232A"/>
    <w:rsid w:val="004C3562"/>
    <w:rsid w:val="004C396D"/>
    <w:rsid w:val="004C3DBE"/>
    <w:rsid w:val="004C589D"/>
    <w:rsid w:val="004C5C96"/>
    <w:rsid w:val="004C635D"/>
    <w:rsid w:val="004C67BC"/>
    <w:rsid w:val="004C782C"/>
    <w:rsid w:val="004D06A4"/>
    <w:rsid w:val="004D08F0"/>
    <w:rsid w:val="004D0F3B"/>
    <w:rsid w:val="004D1C34"/>
    <w:rsid w:val="004D2192"/>
    <w:rsid w:val="004D26AF"/>
    <w:rsid w:val="004D30B9"/>
    <w:rsid w:val="004D3889"/>
    <w:rsid w:val="004D3918"/>
    <w:rsid w:val="004D449D"/>
    <w:rsid w:val="004E2512"/>
    <w:rsid w:val="004E4BD7"/>
    <w:rsid w:val="004E5067"/>
    <w:rsid w:val="004E55B0"/>
    <w:rsid w:val="004E613C"/>
    <w:rsid w:val="004F0422"/>
    <w:rsid w:val="004F1A81"/>
    <w:rsid w:val="004F25C4"/>
    <w:rsid w:val="004F2986"/>
    <w:rsid w:val="004F30E7"/>
    <w:rsid w:val="004F32C2"/>
    <w:rsid w:val="004F3435"/>
    <w:rsid w:val="004F4446"/>
    <w:rsid w:val="004F6AB5"/>
    <w:rsid w:val="004F6BBB"/>
    <w:rsid w:val="00502B8A"/>
    <w:rsid w:val="00503745"/>
    <w:rsid w:val="00503EDF"/>
    <w:rsid w:val="005050D2"/>
    <w:rsid w:val="0050519C"/>
    <w:rsid w:val="005061DC"/>
    <w:rsid w:val="00506646"/>
    <w:rsid w:val="00506AA6"/>
    <w:rsid w:val="00512C43"/>
    <w:rsid w:val="00512C95"/>
    <w:rsid w:val="00512CE1"/>
    <w:rsid w:val="0051334F"/>
    <w:rsid w:val="005218D9"/>
    <w:rsid w:val="00522504"/>
    <w:rsid w:val="0052365D"/>
    <w:rsid w:val="00523700"/>
    <w:rsid w:val="00523741"/>
    <w:rsid w:val="00524583"/>
    <w:rsid w:val="005245EA"/>
    <w:rsid w:val="005248C3"/>
    <w:rsid w:val="00525055"/>
    <w:rsid w:val="00525C28"/>
    <w:rsid w:val="00525F24"/>
    <w:rsid w:val="00526572"/>
    <w:rsid w:val="00526627"/>
    <w:rsid w:val="00527C42"/>
    <w:rsid w:val="005305E4"/>
    <w:rsid w:val="00532268"/>
    <w:rsid w:val="00532ECF"/>
    <w:rsid w:val="005331A4"/>
    <w:rsid w:val="00533298"/>
    <w:rsid w:val="005337D4"/>
    <w:rsid w:val="00533D15"/>
    <w:rsid w:val="00536186"/>
    <w:rsid w:val="00536E36"/>
    <w:rsid w:val="00537C2C"/>
    <w:rsid w:val="0054011A"/>
    <w:rsid w:val="00540798"/>
    <w:rsid w:val="00541F02"/>
    <w:rsid w:val="00541F82"/>
    <w:rsid w:val="005420FE"/>
    <w:rsid w:val="00542790"/>
    <w:rsid w:val="00542C3D"/>
    <w:rsid w:val="00543FC4"/>
    <w:rsid w:val="00544CBB"/>
    <w:rsid w:val="00545411"/>
    <w:rsid w:val="00545C98"/>
    <w:rsid w:val="00550567"/>
    <w:rsid w:val="00551B65"/>
    <w:rsid w:val="005525CD"/>
    <w:rsid w:val="005526D0"/>
    <w:rsid w:val="00552A4B"/>
    <w:rsid w:val="00556704"/>
    <w:rsid w:val="0055700D"/>
    <w:rsid w:val="0055746A"/>
    <w:rsid w:val="00557802"/>
    <w:rsid w:val="005612C9"/>
    <w:rsid w:val="00561C9D"/>
    <w:rsid w:val="0056298A"/>
    <w:rsid w:val="00562FC3"/>
    <w:rsid w:val="005632EB"/>
    <w:rsid w:val="005656D7"/>
    <w:rsid w:val="00566BE8"/>
    <w:rsid w:val="0056710E"/>
    <w:rsid w:val="00567449"/>
    <w:rsid w:val="00571545"/>
    <w:rsid w:val="005722DA"/>
    <w:rsid w:val="0057315F"/>
    <w:rsid w:val="00573544"/>
    <w:rsid w:val="005742C4"/>
    <w:rsid w:val="00575204"/>
    <w:rsid w:val="00575218"/>
    <w:rsid w:val="005759EF"/>
    <w:rsid w:val="00576104"/>
    <w:rsid w:val="00576360"/>
    <w:rsid w:val="00576AAC"/>
    <w:rsid w:val="00576C35"/>
    <w:rsid w:val="00577234"/>
    <w:rsid w:val="0058036E"/>
    <w:rsid w:val="00580DA5"/>
    <w:rsid w:val="00581422"/>
    <w:rsid w:val="005814D7"/>
    <w:rsid w:val="005818ED"/>
    <w:rsid w:val="00581D30"/>
    <w:rsid w:val="00582351"/>
    <w:rsid w:val="00582B57"/>
    <w:rsid w:val="00582FF1"/>
    <w:rsid w:val="0058482F"/>
    <w:rsid w:val="00585E94"/>
    <w:rsid w:val="00586418"/>
    <w:rsid w:val="0058717E"/>
    <w:rsid w:val="0059160B"/>
    <w:rsid w:val="00592B21"/>
    <w:rsid w:val="00592C90"/>
    <w:rsid w:val="005933DA"/>
    <w:rsid w:val="00594158"/>
    <w:rsid w:val="00594F96"/>
    <w:rsid w:val="00597442"/>
    <w:rsid w:val="005A04CB"/>
    <w:rsid w:val="005A1B6C"/>
    <w:rsid w:val="005A24E7"/>
    <w:rsid w:val="005A3438"/>
    <w:rsid w:val="005A3A01"/>
    <w:rsid w:val="005A4DA6"/>
    <w:rsid w:val="005A5BA7"/>
    <w:rsid w:val="005B01A5"/>
    <w:rsid w:val="005B0B0B"/>
    <w:rsid w:val="005B3A1F"/>
    <w:rsid w:val="005B44BF"/>
    <w:rsid w:val="005B5615"/>
    <w:rsid w:val="005B5674"/>
    <w:rsid w:val="005B6337"/>
    <w:rsid w:val="005C0A4B"/>
    <w:rsid w:val="005C1D68"/>
    <w:rsid w:val="005C1EBB"/>
    <w:rsid w:val="005C2202"/>
    <w:rsid w:val="005C2374"/>
    <w:rsid w:val="005C54BD"/>
    <w:rsid w:val="005C5575"/>
    <w:rsid w:val="005C5B8B"/>
    <w:rsid w:val="005C642C"/>
    <w:rsid w:val="005C67C8"/>
    <w:rsid w:val="005C72CB"/>
    <w:rsid w:val="005D0249"/>
    <w:rsid w:val="005D0E49"/>
    <w:rsid w:val="005D1838"/>
    <w:rsid w:val="005D18FA"/>
    <w:rsid w:val="005D232B"/>
    <w:rsid w:val="005D32EE"/>
    <w:rsid w:val="005D3C8A"/>
    <w:rsid w:val="005D4AEE"/>
    <w:rsid w:val="005D4FD4"/>
    <w:rsid w:val="005D52F3"/>
    <w:rsid w:val="005D55EB"/>
    <w:rsid w:val="005D6E8C"/>
    <w:rsid w:val="005D74C4"/>
    <w:rsid w:val="005E0613"/>
    <w:rsid w:val="005E1911"/>
    <w:rsid w:val="005E1C94"/>
    <w:rsid w:val="005E2EA0"/>
    <w:rsid w:val="005E3004"/>
    <w:rsid w:val="005E437B"/>
    <w:rsid w:val="005E550A"/>
    <w:rsid w:val="005E5CEC"/>
    <w:rsid w:val="005E689D"/>
    <w:rsid w:val="005E71B2"/>
    <w:rsid w:val="005E734E"/>
    <w:rsid w:val="005E754A"/>
    <w:rsid w:val="005E784F"/>
    <w:rsid w:val="005F100C"/>
    <w:rsid w:val="005F1481"/>
    <w:rsid w:val="005F225C"/>
    <w:rsid w:val="005F2BE6"/>
    <w:rsid w:val="005F4715"/>
    <w:rsid w:val="005F4EA4"/>
    <w:rsid w:val="005F5A9E"/>
    <w:rsid w:val="005F5AF3"/>
    <w:rsid w:val="005F5FCF"/>
    <w:rsid w:val="005F68DA"/>
    <w:rsid w:val="005F6DEB"/>
    <w:rsid w:val="005F7419"/>
    <w:rsid w:val="006003B8"/>
    <w:rsid w:val="006008FA"/>
    <w:rsid w:val="00601BC9"/>
    <w:rsid w:val="00603C91"/>
    <w:rsid w:val="0060773B"/>
    <w:rsid w:val="0061146F"/>
    <w:rsid w:val="0061271A"/>
    <w:rsid w:val="00612FE4"/>
    <w:rsid w:val="00613FD6"/>
    <w:rsid w:val="00614113"/>
    <w:rsid w:val="00614FDC"/>
    <w:rsid w:val="006157B5"/>
    <w:rsid w:val="00615A74"/>
    <w:rsid w:val="00617224"/>
    <w:rsid w:val="006228E1"/>
    <w:rsid w:val="006233A3"/>
    <w:rsid w:val="00623B94"/>
    <w:rsid w:val="006253A9"/>
    <w:rsid w:val="0062566D"/>
    <w:rsid w:val="00625EA6"/>
    <w:rsid w:val="00626FC6"/>
    <w:rsid w:val="0062743E"/>
    <w:rsid w:val="006303B4"/>
    <w:rsid w:val="00630ADC"/>
    <w:rsid w:val="00631725"/>
    <w:rsid w:val="00631D0F"/>
    <w:rsid w:val="006338B0"/>
    <w:rsid w:val="006339E2"/>
    <w:rsid w:val="00633D3D"/>
    <w:rsid w:val="006342ED"/>
    <w:rsid w:val="0063542F"/>
    <w:rsid w:val="00636CCD"/>
    <w:rsid w:val="006403DE"/>
    <w:rsid w:val="00640B57"/>
    <w:rsid w:val="00640C6B"/>
    <w:rsid w:val="00641703"/>
    <w:rsid w:val="0064210D"/>
    <w:rsid w:val="006431A6"/>
    <w:rsid w:val="006439F3"/>
    <w:rsid w:val="00643AAA"/>
    <w:rsid w:val="00643D13"/>
    <w:rsid w:val="00643E3A"/>
    <w:rsid w:val="00645064"/>
    <w:rsid w:val="006459F6"/>
    <w:rsid w:val="00645CD6"/>
    <w:rsid w:val="006463D2"/>
    <w:rsid w:val="00646905"/>
    <w:rsid w:val="006501AD"/>
    <w:rsid w:val="006508AA"/>
    <w:rsid w:val="006509BD"/>
    <w:rsid w:val="006509CD"/>
    <w:rsid w:val="00651080"/>
    <w:rsid w:val="0065121F"/>
    <w:rsid w:val="006517C9"/>
    <w:rsid w:val="00651BFA"/>
    <w:rsid w:val="00654475"/>
    <w:rsid w:val="00655A81"/>
    <w:rsid w:val="00655AE8"/>
    <w:rsid w:val="00655C71"/>
    <w:rsid w:val="00656DDA"/>
    <w:rsid w:val="00656DF0"/>
    <w:rsid w:val="00657221"/>
    <w:rsid w:val="00657B34"/>
    <w:rsid w:val="00661125"/>
    <w:rsid w:val="00661133"/>
    <w:rsid w:val="00661C92"/>
    <w:rsid w:val="00663D4E"/>
    <w:rsid w:val="00663D7B"/>
    <w:rsid w:val="00665A4B"/>
    <w:rsid w:val="00665A61"/>
    <w:rsid w:val="006670DC"/>
    <w:rsid w:val="00667AA1"/>
    <w:rsid w:val="006702F3"/>
    <w:rsid w:val="006712CA"/>
    <w:rsid w:val="00672406"/>
    <w:rsid w:val="00673471"/>
    <w:rsid w:val="00673B91"/>
    <w:rsid w:val="006758D4"/>
    <w:rsid w:val="0067613E"/>
    <w:rsid w:val="00676B53"/>
    <w:rsid w:val="00676D28"/>
    <w:rsid w:val="00677707"/>
    <w:rsid w:val="00677C61"/>
    <w:rsid w:val="006805D6"/>
    <w:rsid w:val="00682614"/>
    <w:rsid w:val="00682DF0"/>
    <w:rsid w:val="0068379B"/>
    <w:rsid w:val="00683C6C"/>
    <w:rsid w:val="00683EEC"/>
    <w:rsid w:val="00684732"/>
    <w:rsid w:val="00684D50"/>
    <w:rsid w:val="00687D98"/>
    <w:rsid w:val="006918C4"/>
    <w:rsid w:val="0069217C"/>
    <w:rsid w:val="00692AB9"/>
    <w:rsid w:val="00692E17"/>
    <w:rsid w:val="00692E2A"/>
    <w:rsid w:val="00692EAA"/>
    <w:rsid w:val="00693405"/>
    <w:rsid w:val="00693648"/>
    <w:rsid w:val="006936AD"/>
    <w:rsid w:val="006941C3"/>
    <w:rsid w:val="0069496A"/>
    <w:rsid w:val="00696422"/>
    <w:rsid w:val="00696B4F"/>
    <w:rsid w:val="00697970"/>
    <w:rsid w:val="00697A93"/>
    <w:rsid w:val="006A21CF"/>
    <w:rsid w:val="006A2330"/>
    <w:rsid w:val="006A28CD"/>
    <w:rsid w:val="006A3E18"/>
    <w:rsid w:val="006A3FDE"/>
    <w:rsid w:val="006A6137"/>
    <w:rsid w:val="006A76F2"/>
    <w:rsid w:val="006A77E7"/>
    <w:rsid w:val="006B0384"/>
    <w:rsid w:val="006B05E6"/>
    <w:rsid w:val="006B210C"/>
    <w:rsid w:val="006B4C09"/>
    <w:rsid w:val="006B5D2C"/>
    <w:rsid w:val="006B63F4"/>
    <w:rsid w:val="006B7D29"/>
    <w:rsid w:val="006C0D4B"/>
    <w:rsid w:val="006C1563"/>
    <w:rsid w:val="006C15DF"/>
    <w:rsid w:val="006C172A"/>
    <w:rsid w:val="006C1744"/>
    <w:rsid w:val="006C2E76"/>
    <w:rsid w:val="006C307B"/>
    <w:rsid w:val="006C30B5"/>
    <w:rsid w:val="006C30FF"/>
    <w:rsid w:val="006C449B"/>
    <w:rsid w:val="006C47D7"/>
    <w:rsid w:val="006C5761"/>
    <w:rsid w:val="006C5B5A"/>
    <w:rsid w:val="006C5DE3"/>
    <w:rsid w:val="006C7266"/>
    <w:rsid w:val="006D19D4"/>
    <w:rsid w:val="006D28E6"/>
    <w:rsid w:val="006D2E48"/>
    <w:rsid w:val="006D531F"/>
    <w:rsid w:val="006D5644"/>
    <w:rsid w:val="006D572B"/>
    <w:rsid w:val="006D5E1D"/>
    <w:rsid w:val="006D7154"/>
    <w:rsid w:val="006D7EFB"/>
    <w:rsid w:val="006E0DBE"/>
    <w:rsid w:val="006E17B0"/>
    <w:rsid w:val="006E2E3B"/>
    <w:rsid w:val="006E3DB4"/>
    <w:rsid w:val="006E4012"/>
    <w:rsid w:val="006E412F"/>
    <w:rsid w:val="006E4AA3"/>
    <w:rsid w:val="006E4E56"/>
    <w:rsid w:val="006E551C"/>
    <w:rsid w:val="006E5AEE"/>
    <w:rsid w:val="006E6672"/>
    <w:rsid w:val="006E6722"/>
    <w:rsid w:val="006E6B70"/>
    <w:rsid w:val="006E6F43"/>
    <w:rsid w:val="006E6F90"/>
    <w:rsid w:val="006F1DDB"/>
    <w:rsid w:val="006F2691"/>
    <w:rsid w:val="006F2B8F"/>
    <w:rsid w:val="006F3BF8"/>
    <w:rsid w:val="006F404E"/>
    <w:rsid w:val="006F5A89"/>
    <w:rsid w:val="006F6EC2"/>
    <w:rsid w:val="006F7AFF"/>
    <w:rsid w:val="00701C9F"/>
    <w:rsid w:val="007027B9"/>
    <w:rsid w:val="007030B0"/>
    <w:rsid w:val="0070330C"/>
    <w:rsid w:val="00704FD9"/>
    <w:rsid w:val="00705BEE"/>
    <w:rsid w:val="00706656"/>
    <w:rsid w:val="007066B5"/>
    <w:rsid w:val="0070718C"/>
    <w:rsid w:val="007079E7"/>
    <w:rsid w:val="00711586"/>
    <w:rsid w:val="007123B4"/>
    <w:rsid w:val="007138CE"/>
    <w:rsid w:val="00713C93"/>
    <w:rsid w:val="007144E3"/>
    <w:rsid w:val="0071458C"/>
    <w:rsid w:val="007145DA"/>
    <w:rsid w:val="00714672"/>
    <w:rsid w:val="0071481B"/>
    <w:rsid w:val="00715E88"/>
    <w:rsid w:val="00721D6A"/>
    <w:rsid w:val="00721FEB"/>
    <w:rsid w:val="00722A5A"/>
    <w:rsid w:val="00723529"/>
    <w:rsid w:val="00724FA3"/>
    <w:rsid w:val="00725024"/>
    <w:rsid w:val="007251D9"/>
    <w:rsid w:val="007255A4"/>
    <w:rsid w:val="007257B4"/>
    <w:rsid w:val="00727370"/>
    <w:rsid w:val="007274FD"/>
    <w:rsid w:val="00731434"/>
    <w:rsid w:val="007320CA"/>
    <w:rsid w:val="00732596"/>
    <w:rsid w:val="0073309A"/>
    <w:rsid w:val="00734A3D"/>
    <w:rsid w:val="00734CAA"/>
    <w:rsid w:val="007352F3"/>
    <w:rsid w:val="0073595E"/>
    <w:rsid w:val="00735BE4"/>
    <w:rsid w:val="00737D3E"/>
    <w:rsid w:val="00740EE2"/>
    <w:rsid w:val="0074199F"/>
    <w:rsid w:val="00741CFD"/>
    <w:rsid w:val="00741F6F"/>
    <w:rsid w:val="00742680"/>
    <w:rsid w:val="0074379A"/>
    <w:rsid w:val="007439CD"/>
    <w:rsid w:val="007447F7"/>
    <w:rsid w:val="00744D8B"/>
    <w:rsid w:val="0074521A"/>
    <w:rsid w:val="0074623A"/>
    <w:rsid w:val="00746DCC"/>
    <w:rsid w:val="007479E3"/>
    <w:rsid w:val="00750159"/>
    <w:rsid w:val="00750F82"/>
    <w:rsid w:val="007514AD"/>
    <w:rsid w:val="00752221"/>
    <w:rsid w:val="007534D9"/>
    <w:rsid w:val="007540A3"/>
    <w:rsid w:val="0075533C"/>
    <w:rsid w:val="007561FF"/>
    <w:rsid w:val="00756DF7"/>
    <w:rsid w:val="0075743F"/>
    <w:rsid w:val="00757581"/>
    <w:rsid w:val="007602F5"/>
    <w:rsid w:val="00760D36"/>
    <w:rsid w:val="007611A0"/>
    <w:rsid w:val="00762C9D"/>
    <w:rsid w:val="00764548"/>
    <w:rsid w:val="00765BDF"/>
    <w:rsid w:val="00766419"/>
    <w:rsid w:val="00766A18"/>
    <w:rsid w:val="00770F49"/>
    <w:rsid w:val="00771914"/>
    <w:rsid w:val="00772574"/>
    <w:rsid w:val="00772BB2"/>
    <w:rsid w:val="00772BD1"/>
    <w:rsid w:val="007734A1"/>
    <w:rsid w:val="00773AF0"/>
    <w:rsid w:val="00773E54"/>
    <w:rsid w:val="007742BA"/>
    <w:rsid w:val="0077553D"/>
    <w:rsid w:val="00775BB3"/>
    <w:rsid w:val="007826D0"/>
    <w:rsid w:val="0078452C"/>
    <w:rsid w:val="00784564"/>
    <w:rsid w:val="00784643"/>
    <w:rsid w:val="007863CF"/>
    <w:rsid w:val="00787688"/>
    <w:rsid w:val="007905AC"/>
    <w:rsid w:val="007919C8"/>
    <w:rsid w:val="00791A62"/>
    <w:rsid w:val="007935E6"/>
    <w:rsid w:val="00793C57"/>
    <w:rsid w:val="00793EE0"/>
    <w:rsid w:val="00794DB5"/>
    <w:rsid w:val="00795C70"/>
    <w:rsid w:val="00796118"/>
    <w:rsid w:val="00796870"/>
    <w:rsid w:val="00796D20"/>
    <w:rsid w:val="00796D3F"/>
    <w:rsid w:val="007972A8"/>
    <w:rsid w:val="007A1683"/>
    <w:rsid w:val="007A24FD"/>
    <w:rsid w:val="007A25DB"/>
    <w:rsid w:val="007A42CC"/>
    <w:rsid w:val="007A5C12"/>
    <w:rsid w:val="007A6FA5"/>
    <w:rsid w:val="007A7C5A"/>
    <w:rsid w:val="007A7CB0"/>
    <w:rsid w:val="007B03E4"/>
    <w:rsid w:val="007B09AC"/>
    <w:rsid w:val="007B124B"/>
    <w:rsid w:val="007B1F75"/>
    <w:rsid w:val="007B477D"/>
    <w:rsid w:val="007B595A"/>
    <w:rsid w:val="007B639E"/>
    <w:rsid w:val="007B66CB"/>
    <w:rsid w:val="007B68A3"/>
    <w:rsid w:val="007B6FAF"/>
    <w:rsid w:val="007B7066"/>
    <w:rsid w:val="007B7E28"/>
    <w:rsid w:val="007C06FC"/>
    <w:rsid w:val="007C1ACD"/>
    <w:rsid w:val="007C236B"/>
    <w:rsid w:val="007C2541"/>
    <w:rsid w:val="007C2903"/>
    <w:rsid w:val="007C4978"/>
    <w:rsid w:val="007C6B01"/>
    <w:rsid w:val="007C6C5E"/>
    <w:rsid w:val="007D00C2"/>
    <w:rsid w:val="007D0DEE"/>
    <w:rsid w:val="007D15F9"/>
    <w:rsid w:val="007D281E"/>
    <w:rsid w:val="007D2B8E"/>
    <w:rsid w:val="007D3B3F"/>
    <w:rsid w:val="007D3E52"/>
    <w:rsid w:val="007D528E"/>
    <w:rsid w:val="007D56B4"/>
    <w:rsid w:val="007D5838"/>
    <w:rsid w:val="007D646C"/>
    <w:rsid w:val="007D66A8"/>
    <w:rsid w:val="007D6C37"/>
    <w:rsid w:val="007E003F"/>
    <w:rsid w:val="007E4A98"/>
    <w:rsid w:val="007E5BD9"/>
    <w:rsid w:val="007E6B82"/>
    <w:rsid w:val="007E7309"/>
    <w:rsid w:val="007F005D"/>
    <w:rsid w:val="007F07AF"/>
    <w:rsid w:val="007F0AFE"/>
    <w:rsid w:val="007F0CF8"/>
    <w:rsid w:val="007F1C16"/>
    <w:rsid w:val="007F1D7F"/>
    <w:rsid w:val="007F2F24"/>
    <w:rsid w:val="007F30B4"/>
    <w:rsid w:val="007F327E"/>
    <w:rsid w:val="007F3E94"/>
    <w:rsid w:val="007F44CF"/>
    <w:rsid w:val="007F4FF2"/>
    <w:rsid w:val="007F5785"/>
    <w:rsid w:val="007F62CB"/>
    <w:rsid w:val="00800345"/>
    <w:rsid w:val="00800B3E"/>
    <w:rsid w:val="00801302"/>
    <w:rsid w:val="00801CAD"/>
    <w:rsid w:val="00803C64"/>
    <w:rsid w:val="00805264"/>
    <w:rsid w:val="00806151"/>
    <w:rsid w:val="008065C6"/>
    <w:rsid w:val="008113AE"/>
    <w:rsid w:val="00811741"/>
    <w:rsid w:val="00811B84"/>
    <w:rsid w:val="00811C37"/>
    <w:rsid w:val="008128A2"/>
    <w:rsid w:val="00812CE2"/>
    <w:rsid w:val="008132CB"/>
    <w:rsid w:val="00813745"/>
    <w:rsid w:val="008140D7"/>
    <w:rsid w:val="00814103"/>
    <w:rsid w:val="008142EC"/>
    <w:rsid w:val="00815752"/>
    <w:rsid w:val="008164F2"/>
    <w:rsid w:val="00816557"/>
    <w:rsid w:val="00820EE3"/>
    <w:rsid w:val="00821395"/>
    <w:rsid w:val="008228B5"/>
    <w:rsid w:val="00823775"/>
    <w:rsid w:val="00823DA6"/>
    <w:rsid w:val="00826131"/>
    <w:rsid w:val="0082651A"/>
    <w:rsid w:val="00830A62"/>
    <w:rsid w:val="00830E26"/>
    <w:rsid w:val="0083176B"/>
    <w:rsid w:val="00832E17"/>
    <w:rsid w:val="00833057"/>
    <w:rsid w:val="008334A8"/>
    <w:rsid w:val="00834E1B"/>
    <w:rsid w:val="008368D7"/>
    <w:rsid w:val="00836D59"/>
    <w:rsid w:val="0083711C"/>
    <w:rsid w:val="0083732C"/>
    <w:rsid w:val="0083767F"/>
    <w:rsid w:val="00837C5E"/>
    <w:rsid w:val="008418D9"/>
    <w:rsid w:val="008427BB"/>
    <w:rsid w:val="00843518"/>
    <w:rsid w:val="00843576"/>
    <w:rsid w:val="00843B64"/>
    <w:rsid w:val="00845011"/>
    <w:rsid w:val="008457C5"/>
    <w:rsid w:val="00846231"/>
    <w:rsid w:val="008478FC"/>
    <w:rsid w:val="00847A7F"/>
    <w:rsid w:val="00850DBB"/>
    <w:rsid w:val="00851C51"/>
    <w:rsid w:val="008536D2"/>
    <w:rsid w:val="00853842"/>
    <w:rsid w:val="00856F11"/>
    <w:rsid w:val="00857A1D"/>
    <w:rsid w:val="00861839"/>
    <w:rsid w:val="00861A83"/>
    <w:rsid w:val="00863982"/>
    <w:rsid w:val="00864D01"/>
    <w:rsid w:val="00866467"/>
    <w:rsid w:val="00866EEA"/>
    <w:rsid w:val="00867BFF"/>
    <w:rsid w:val="00870009"/>
    <w:rsid w:val="00870B3C"/>
    <w:rsid w:val="00870C25"/>
    <w:rsid w:val="00871542"/>
    <w:rsid w:val="00872BF6"/>
    <w:rsid w:val="00874153"/>
    <w:rsid w:val="0087447E"/>
    <w:rsid w:val="0087540B"/>
    <w:rsid w:val="00875635"/>
    <w:rsid w:val="00875A51"/>
    <w:rsid w:val="008775E9"/>
    <w:rsid w:val="00880437"/>
    <w:rsid w:val="00880E8C"/>
    <w:rsid w:val="0088134F"/>
    <w:rsid w:val="008834C8"/>
    <w:rsid w:val="00883643"/>
    <w:rsid w:val="00883F14"/>
    <w:rsid w:val="00883FB1"/>
    <w:rsid w:val="00884438"/>
    <w:rsid w:val="0088480A"/>
    <w:rsid w:val="00884D04"/>
    <w:rsid w:val="00885C10"/>
    <w:rsid w:val="0088757A"/>
    <w:rsid w:val="0088787B"/>
    <w:rsid w:val="00887D29"/>
    <w:rsid w:val="00887ECB"/>
    <w:rsid w:val="00892811"/>
    <w:rsid w:val="00892A96"/>
    <w:rsid w:val="008930CA"/>
    <w:rsid w:val="00893A30"/>
    <w:rsid w:val="0089431B"/>
    <w:rsid w:val="00895668"/>
    <w:rsid w:val="008957DD"/>
    <w:rsid w:val="00896768"/>
    <w:rsid w:val="00897A90"/>
    <w:rsid w:val="00897D98"/>
    <w:rsid w:val="008A1C86"/>
    <w:rsid w:val="008A2213"/>
    <w:rsid w:val="008A23FE"/>
    <w:rsid w:val="008A4109"/>
    <w:rsid w:val="008A42AD"/>
    <w:rsid w:val="008A5F88"/>
    <w:rsid w:val="008A6594"/>
    <w:rsid w:val="008A6DF2"/>
    <w:rsid w:val="008A7254"/>
    <w:rsid w:val="008A7807"/>
    <w:rsid w:val="008A7BDD"/>
    <w:rsid w:val="008B0BF2"/>
    <w:rsid w:val="008B0ED1"/>
    <w:rsid w:val="008B1BAA"/>
    <w:rsid w:val="008B2CB5"/>
    <w:rsid w:val="008B374A"/>
    <w:rsid w:val="008B459A"/>
    <w:rsid w:val="008B48B3"/>
    <w:rsid w:val="008B4CC9"/>
    <w:rsid w:val="008B580B"/>
    <w:rsid w:val="008B738F"/>
    <w:rsid w:val="008B77B5"/>
    <w:rsid w:val="008B7888"/>
    <w:rsid w:val="008C03F7"/>
    <w:rsid w:val="008C0B15"/>
    <w:rsid w:val="008C0E31"/>
    <w:rsid w:val="008C125D"/>
    <w:rsid w:val="008C187C"/>
    <w:rsid w:val="008C1CCB"/>
    <w:rsid w:val="008C3A51"/>
    <w:rsid w:val="008C42A8"/>
    <w:rsid w:val="008C4841"/>
    <w:rsid w:val="008C5C2C"/>
    <w:rsid w:val="008C61B9"/>
    <w:rsid w:val="008C6BC3"/>
    <w:rsid w:val="008D0A94"/>
    <w:rsid w:val="008D1903"/>
    <w:rsid w:val="008D19DE"/>
    <w:rsid w:val="008D22E5"/>
    <w:rsid w:val="008D4BF3"/>
    <w:rsid w:val="008D4D92"/>
    <w:rsid w:val="008D5182"/>
    <w:rsid w:val="008D5638"/>
    <w:rsid w:val="008D749B"/>
    <w:rsid w:val="008D75E4"/>
    <w:rsid w:val="008D7C99"/>
    <w:rsid w:val="008E0FCB"/>
    <w:rsid w:val="008E1032"/>
    <w:rsid w:val="008E1320"/>
    <w:rsid w:val="008E238F"/>
    <w:rsid w:val="008E39C2"/>
    <w:rsid w:val="008E3D61"/>
    <w:rsid w:val="008E4024"/>
    <w:rsid w:val="008E4D6C"/>
    <w:rsid w:val="008E53ED"/>
    <w:rsid w:val="008E7834"/>
    <w:rsid w:val="008E7940"/>
    <w:rsid w:val="008E7F92"/>
    <w:rsid w:val="008F0087"/>
    <w:rsid w:val="008F2833"/>
    <w:rsid w:val="008F5820"/>
    <w:rsid w:val="008F5B28"/>
    <w:rsid w:val="008F5D16"/>
    <w:rsid w:val="008F6623"/>
    <w:rsid w:val="008F6DFE"/>
    <w:rsid w:val="009008F0"/>
    <w:rsid w:val="009019B8"/>
    <w:rsid w:val="00902FCF"/>
    <w:rsid w:val="00903B83"/>
    <w:rsid w:val="0090529F"/>
    <w:rsid w:val="0090694D"/>
    <w:rsid w:val="00906AE6"/>
    <w:rsid w:val="0090732B"/>
    <w:rsid w:val="00911401"/>
    <w:rsid w:val="00911E3A"/>
    <w:rsid w:val="00914EB4"/>
    <w:rsid w:val="00915BC4"/>
    <w:rsid w:val="00915C5A"/>
    <w:rsid w:val="00915D10"/>
    <w:rsid w:val="00917660"/>
    <w:rsid w:val="00917A21"/>
    <w:rsid w:val="00920A83"/>
    <w:rsid w:val="00921098"/>
    <w:rsid w:val="0092178C"/>
    <w:rsid w:val="009218C0"/>
    <w:rsid w:val="00922C12"/>
    <w:rsid w:val="00922D17"/>
    <w:rsid w:val="0092326C"/>
    <w:rsid w:val="00923D82"/>
    <w:rsid w:val="0092407B"/>
    <w:rsid w:val="00924A4B"/>
    <w:rsid w:val="0093046B"/>
    <w:rsid w:val="009306C1"/>
    <w:rsid w:val="00930B51"/>
    <w:rsid w:val="00930B7D"/>
    <w:rsid w:val="00930B88"/>
    <w:rsid w:val="009318B9"/>
    <w:rsid w:val="00933852"/>
    <w:rsid w:val="00933C1C"/>
    <w:rsid w:val="00934E0D"/>
    <w:rsid w:val="00935376"/>
    <w:rsid w:val="009405AC"/>
    <w:rsid w:val="00940ABA"/>
    <w:rsid w:val="00940DCC"/>
    <w:rsid w:val="0094179A"/>
    <w:rsid w:val="009417C1"/>
    <w:rsid w:val="00941DFD"/>
    <w:rsid w:val="0094258D"/>
    <w:rsid w:val="0094459E"/>
    <w:rsid w:val="00944DBC"/>
    <w:rsid w:val="00946239"/>
    <w:rsid w:val="009464DD"/>
    <w:rsid w:val="00946525"/>
    <w:rsid w:val="00947FCB"/>
    <w:rsid w:val="00950977"/>
    <w:rsid w:val="009510B1"/>
    <w:rsid w:val="0095170D"/>
    <w:rsid w:val="00951A7B"/>
    <w:rsid w:val="0095292A"/>
    <w:rsid w:val="00952F9D"/>
    <w:rsid w:val="00953D70"/>
    <w:rsid w:val="00955512"/>
    <w:rsid w:val="009564A6"/>
    <w:rsid w:val="00956C03"/>
    <w:rsid w:val="00957DA4"/>
    <w:rsid w:val="00957EF8"/>
    <w:rsid w:val="00960B45"/>
    <w:rsid w:val="00960DA0"/>
    <w:rsid w:val="00960EC1"/>
    <w:rsid w:val="0096131F"/>
    <w:rsid w:val="0096190A"/>
    <w:rsid w:val="00962695"/>
    <w:rsid w:val="0096355F"/>
    <w:rsid w:val="00963BEA"/>
    <w:rsid w:val="00964973"/>
    <w:rsid w:val="00965EC3"/>
    <w:rsid w:val="00966A4D"/>
    <w:rsid w:val="00966A53"/>
    <w:rsid w:val="00967621"/>
    <w:rsid w:val="00967966"/>
    <w:rsid w:val="00967E6A"/>
    <w:rsid w:val="00970116"/>
    <w:rsid w:val="0097162D"/>
    <w:rsid w:val="00972754"/>
    <w:rsid w:val="00973495"/>
    <w:rsid w:val="009736FA"/>
    <w:rsid w:val="00973D7A"/>
    <w:rsid w:val="00974C2A"/>
    <w:rsid w:val="00975096"/>
    <w:rsid w:val="00975639"/>
    <w:rsid w:val="00976326"/>
    <w:rsid w:val="00976548"/>
    <w:rsid w:val="00981462"/>
    <w:rsid w:val="0098155B"/>
    <w:rsid w:val="00981AC1"/>
    <w:rsid w:val="00983763"/>
    <w:rsid w:val="00983B21"/>
    <w:rsid w:val="0098579B"/>
    <w:rsid w:val="00985BDA"/>
    <w:rsid w:val="009870F9"/>
    <w:rsid w:val="00987B73"/>
    <w:rsid w:val="0099042F"/>
    <w:rsid w:val="009907B9"/>
    <w:rsid w:val="00990918"/>
    <w:rsid w:val="0099216A"/>
    <w:rsid w:val="009921AF"/>
    <w:rsid w:val="009923D6"/>
    <w:rsid w:val="00992C2C"/>
    <w:rsid w:val="00993A97"/>
    <w:rsid w:val="0099587D"/>
    <w:rsid w:val="00995C1B"/>
    <w:rsid w:val="00996D90"/>
    <w:rsid w:val="009A174C"/>
    <w:rsid w:val="009A287F"/>
    <w:rsid w:val="009A3A83"/>
    <w:rsid w:val="009B1CF4"/>
    <w:rsid w:val="009B287D"/>
    <w:rsid w:val="009B2F52"/>
    <w:rsid w:val="009B4A0F"/>
    <w:rsid w:val="009B4D15"/>
    <w:rsid w:val="009B508D"/>
    <w:rsid w:val="009C0718"/>
    <w:rsid w:val="009C0C39"/>
    <w:rsid w:val="009C1189"/>
    <w:rsid w:val="009C11D2"/>
    <w:rsid w:val="009C2728"/>
    <w:rsid w:val="009C35F0"/>
    <w:rsid w:val="009C46DF"/>
    <w:rsid w:val="009C4B7F"/>
    <w:rsid w:val="009C4DDC"/>
    <w:rsid w:val="009C5465"/>
    <w:rsid w:val="009C566C"/>
    <w:rsid w:val="009C5BFC"/>
    <w:rsid w:val="009C5EDE"/>
    <w:rsid w:val="009C6294"/>
    <w:rsid w:val="009C69B6"/>
    <w:rsid w:val="009C6C70"/>
    <w:rsid w:val="009C6F30"/>
    <w:rsid w:val="009C7B0A"/>
    <w:rsid w:val="009D097E"/>
    <w:rsid w:val="009D0B63"/>
    <w:rsid w:val="009D1F2C"/>
    <w:rsid w:val="009D3156"/>
    <w:rsid w:val="009D5A02"/>
    <w:rsid w:val="009D5CB8"/>
    <w:rsid w:val="009D7426"/>
    <w:rsid w:val="009E0119"/>
    <w:rsid w:val="009E01D1"/>
    <w:rsid w:val="009E0533"/>
    <w:rsid w:val="009E159C"/>
    <w:rsid w:val="009E234F"/>
    <w:rsid w:val="009E24CC"/>
    <w:rsid w:val="009E29DA"/>
    <w:rsid w:val="009E307E"/>
    <w:rsid w:val="009E366D"/>
    <w:rsid w:val="009E3D6D"/>
    <w:rsid w:val="009E478F"/>
    <w:rsid w:val="009E517F"/>
    <w:rsid w:val="009E557D"/>
    <w:rsid w:val="009E5B0C"/>
    <w:rsid w:val="009F1770"/>
    <w:rsid w:val="009F1E0E"/>
    <w:rsid w:val="009F1E27"/>
    <w:rsid w:val="009F1E5D"/>
    <w:rsid w:val="009F2205"/>
    <w:rsid w:val="009F3A90"/>
    <w:rsid w:val="009F4431"/>
    <w:rsid w:val="009F4921"/>
    <w:rsid w:val="009F5013"/>
    <w:rsid w:val="009F5613"/>
    <w:rsid w:val="009F5E7E"/>
    <w:rsid w:val="009F6250"/>
    <w:rsid w:val="009F6A9B"/>
    <w:rsid w:val="009F76A9"/>
    <w:rsid w:val="00A002CD"/>
    <w:rsid w:val="00A01AD4"/>
    <w:rsid w:val="00A034A5"/>
    <w:rsid w:val="00A0453C"/>
    <w:rsid w:val="00A06DF8"/>
    <w:rsid w:val="00A072AD"/>
    <w:rsid w:val="00A07870"/>
    <w:rsid w:val="00A07C54"/>
    <w:rsid w:val="00A07F19"/>
    <w:rsid w:val="00A10103"/>
    <w:rsid w:val="00A1094C"/>
    <w:rsid w:val="00A11608"/>
    <w:rsid w:val="00A11E01"/>
    <w:rsid w:val="00A12E6D"/>
    <w:rsid w:val="00A130CD"/>
    <w:rsid w:val="00A1348D"/>
    <w:rsid w:val="00A13B94"/>
    <w:rsid w:val="00A13C99"/>
    <w:rsid w:val="00A142F8"/>
    <w:rsid w:val="00A14AC6"/>
    <w:rsid w:val="00A14E8B"/>
    <w:rsid w:val="00A15A38"/>
    <w:rsid w:val="00A15BE2"/>
    <w:rsid w:val="00A16365"/>
    <w:rsid w:val="00A22237"/>
    <w:rsid w:val="00A232EE"/>
    <w:rsid w:val="00A23FF6"/>
    <w:rsid w:val="00A24CCB"/>
    <w:rsid w:val="00A25DE4"/>
    <w:rsid w:val="00A272F7"/>
    <w:rsid w:val="00A27C9F"/>
    <w:rsid w:val="00A30061"/>
    <w:rsid w:val="00A304EB"/>
    <w:rsid w:val="00A30AD6"/>
    <w:rsid w:val="00A3118A"/>
    <w:rsid w:val="00A3208D"/>
    <w:rsid w:val="00A32767"/>
    <w:rsid w:val="00A327E4"/>
    <w:rsid w:val="00A329FD"/>
    <w:rsid w:val="00A3304A"/>
    <w:rsid w:val="00A3385E"/>
    <w:rsid w:val="00A33880"/>
    <w:rsid w:val="00A3403F"/>
    <w:rsid w:val="00A35247"/>
    <w:rsid w:val="00A359A5"/>
    <w:rsid w:val="00A36827"/>
    <w:rsid w:val="00A3762E"/>
    <w:rsid w:val="00A37708"/>
    <w:rsid w:val="00A4175F"/>
    <w:rsid w:val="00A4311D"/>
    <w:rsid w:val="00A438B7"/>
    <w:rsid w:val="00A44411"/>
    <w:rsid w:val="00A45788"/>
    <w:rsid w:val="00A45930"/>
    <w:rsid w:val="00A45D4A"/>
    <w:rsid w:val="00A469FA"/>
    <w:rsid w:val="00A46E44"/>
    <w:rsid w:val="00A476CE"/>
    <w:rsid w:val="00A47A5E"/>
    <w:rsid w:val="00A50017"/>
    <w:rsid w:val="00A507F9"/>
    <w:rsid w:val="00A53662"/>
    <w:rsid w:val="00A548CB"/>
    <w:rsid w:val="00A54AD3"/>
    <w:rsid w:val="00A55387"/>
    <w:rsid w:val="00A55A7E"/>
    <w:rsid w:val="00A55B01"/>
    <w:rsid w:val="00A56146"/>
    <w:rsid w:val="00A564FC"/>
    <w:rsid w:val="00A56B5B"/>
    <w:rsid w:val="00A603FF"/>
    <w:rsid w:val="00A6182B"/>
    <w:rsid w:val="00A619B6"/>
    <w:rsid w:val="00A61AC1"/>
    <w:rsid w:val="00A620E3"/>
    <w:rsid w:val="00A63576"/>
    <w:rsid w:val="00A63A54"/>
    <w:rsid w:val="00A6475E"/>
    <w:rsid w:val="00A648CA"/>
    <w:rsid w:val="00A64A9C"/>
    <w:rsid w:val="00A657DD"/>
    <w:rsid w:val="00A666A6"/>
    <w:rsid w:val="00A675FD"/>
    <w:rsid w:val="00A72437"/>
    <w:rsid w:val="00A72519"/>
    <w:rsid w:val="00A7465A"/>
    <w:rsid w:val="00A75710"/>
    <w:rsid w:val="00A80445"/>
    <w:rsid w:val="00A8048B"/>
    <w:rsid w:val="00A80611"/>
    <w:rsid w:val="00A813ED"/>
    <w:rsid w:val="00A81D25"/>
    <w:rsid w:val="00A83B68"/>
    <w:rsid w:val="00A84383"/>
    <w:rsid w:val="00A848E8"/>
    <w:rsid w:val="00A84E43"/>
    <w:rsid w:val="00A861E8"/>
    <w:rsid w:val="00A873FC"/>
    <w:rsid w:val="00A90987"/>
    <w:rsid w:val="00A91664"/>
    <w:rsid w:val="00A92755"/>
    <w:rsid w:val="00A94C3D"/>
    <w:rsid w:val="00A951AD"/>
    <w:rsid w:val="00A95F9E"/>
    <w:rsid w:val="00AA0024"/>
    <w:rsid w:val="00AA0925"/>
    <w:rsid w:val="00AA0B9F"/>
    <w:rsid w:val="00AA1653"/>
    <w:rsid w:val="00AA1C7B"/>
    <w:rsid w:val="00AA3EEE"/>
    <w:rsid w:val="00AA5BF4"/>
    <w:rsid w:val="00AA6DFA"/>
    <w:rsid w:val="00AB0937"/>
    <w:rsid w:val="00AB125F"/>
    <w:rsid w:val="00AB12C7"/>
    <w:rsid w:val="00AB20A3"/>
    <w:rsid w:val="00AB2285"/>
    <w:rsid w:val="00AB4D86"/>
    <w:rsid w:val="00AB5340"/>
    <w:rsid w:val="00AB5B30"/>
    <w:rsid w:val="00AB5F18"/>
    <w:rsid w:val="00AC0433"/>
    <w:rsid w:val="00AC0A89"/>
    <w:rsid w:val="00AC0FF1"/>
    <w:rsid w:val="00AC3678"/>
    <w:rsid w:val="00AC42F7"/>
    <w:rsid w:val="00AC7C96"/>
    <w:rsid w:val="00AD209B"/>
    <w:rsid w:val="00AD21C7"/>
    <w:rsid w:val="00AD3059"/>
    <w:rsid w:val="00AD51B6"/>
    <w:rsid w:val="00AD6069"/>
    <w:rsid w:val="00AD60CB"/>
    <w:rsid w:val="00AD6C8D"/>
    <w:rsid w:val="00AD7D00"/>
    <w:rsid w:val="00AE0812"/>
    <w:rsid w:val="00AE2127"/>
    <w:rsid w:val="00AE237D"/>
    <w:rsid w:val="00AE452B"/>
    <w:rsid w:val="00AE502A"/>
    <w:rsid w:val="00AE5AA2"/>
    <w:rsid w:val="00AE5CAF"/>
    <w:rsid w:val="00AE7253"/>
    <w:rsid w:val="00AE7C3B"/>
    <w:rsid w:val="00AE7F0B"/>
    <w:rsid w:val="00AF0010"/>
    <w:rsid w:val="00AF2C1F"/>
    <w:rsid w:val="00AF4B4B"/>
    <w:rsid w:val="00AF5372"/>
    <w:rsid w:val="00AF7310"/>
    <w:rsid w:val="00AF7C07"/>
    <w:rsid w:val="00AF7C55"/>
    <w:rsid w:val="00B03F7B"/>
    <w:rsid w:val="00B04CE5"/>
    <w:rsid w:val="00B05406"/>
    <w:rsid w:val="00B06625"/>
    <w:rsid w:val="00B06969"/>
    <w:rsid w:val="00B06C64"/>
    <w:rsid w:val="00B077E2"/>
    <w:rsid w:val="00B10483"/>
    <w:rsid w:val="00B117F7"/>
    <w:rsid w:val="00B11915"/>
    <w:rsid w:val="00B1197C"/>
    <w:rsid w:val="00B119FB"/>
    <w:rsid w:val="00B11CAC"/>
    <w:rsid w:val="00B12743"/>
    <w:rsid w:val="00B1360F"/>
    <w:rsid w:val="00B14B83"/>
    <w:rsid w:val="00B15766"/>
    <w:rsid w:val="00B15A29"/>
    <w:rsid w:val="00B16325"/>
    <w:rsid w:val="00B17A1A"/>
    <w:rsid w:val="00B20BC3"/>
    <w:rsid w:val="00B2166B"/>
    <w:rsid w:val="00B22C93"/>
    <w:rsid w:val="00B239A5"/>
    <w:rsid w:val="00B24768"/>
    <w:rsid w:val="00B249C0"/>
    <w:rsid w:val="00B25338"/>
    <w:rsid w:val="00B255B3"/>
    <w:rsid w:val="00B26433"/>
    <w:rsid w:val="00B26B97"/>
    <w:rsid w:val="00B26DFD"/>
    <w:rsid w:val="00B26F2F"/>
    <w:rsid w:val="00B27589"/>
    <w:rsid w:val="00B27BE2"/>
    <w:rsid w:val="00B33504"/>
    <w:rsid w:val="00B35F31"/>
    <w:rsid w:val="00B361B6"/>
    <w:rsid w:val="00B36736"/>
    <w:rsid w:val="00B36C8C"/>
    <w:rsid w:val="00B3741C"/>
    <w:rsid w:val="00B37B1F"/>
    <w:rsid w:val="00B405B7"/>
    <w:rsid w:val="00B40DE4"/>
    <w:rsid w:val="00B4107D"/>
    <w:rsid w:val="00B418B8"/>
    <w:rsid w:val="00B42038"/>
    <w:rsid w:val="00B42858"/>
    <w:rsid w:val="00B42CD9"/>
    <w:rsid w:val="00B42F92"/>
    <w:rsid w:val="00B4457F"/>
    <w:rsid w:val="00B44704"/>
    <w:rsid w:val="00B45148"/>
    <w:rsid w:val="00B456DA"/>
    <w:rsid w:val="00B458F2"/>
    <w:rsid w:val="00B46CF0"/>
    <w:rsid w:val="00B46F03"/>
    <w:rsid w:val="00B47CCB"/>
    <w:rsid w:val="00B517DA"/>
    <w:rsid w:val="00B52222"/>
    <w:rsid w:val="00B5279F"/>
    <w:rsid w:val="00B53003"/>
    <w:rsid w:val="00B531DA"/>
    <w:rsid w:val="00B54895"/>
    <w:rsid w:val="00B54FE7"/>
    <w:rsid w:val="00B557C2"/>
    <w:rsid w:val="00B566CF"/>
    <w:rsid w:val="00B60732"/>
    <w:rsid w:val="00B622A5"/>
    <w:rsid w:val="00B629ED"/>
    <w:rsid w:val="00B62A2E"/>
    <w:rsid w:val="00B644B1"/>
    <w:rsid w:val="00B647C6"/>
    <w:rsid w:val="00B655F9"/>
    <w:rsid w:val="00B66901"/>
    <w:rsid w:val="00B66F60"/>
    <w:rsid w:val="00B66F82"/>
    <w:rsid w:val="00B67438"/>
    <w:rsid w:val="00B67E69"/>
    <w:rsid w:val="00B7050C"/>
    <w:rsid w:val="00B7199E"/>
    <w:rsid w:val="00B71E6D"/>
    <w:rsid w:val="00B72070"/>
    <w:rsid w:val="00B75474"/>
    <w:rsid w:val="00B7589E"/>
    <w:rsid w:val="00B759A6"/>
    <w:rsid w:val="00B76A3B"/>
    <w:rsid w:val="00B77855"/>
    <w:rsid w:val="00B779E1"/>
    <w:rsid w:val="00B80163"/>
    <w:rsid w:val="00B810D7"/>
    <w:rsid w:val="00B81AAF"/>
    <w:rsid w:val="00B81D67"/>
    <w:rsid w:val="00B81E3A"/>
    <w:rsid w:val="00B822F6"/>
    <w:rsid w:val="00B82920"/>
    <w:rsid w:val="00B83C52"/>
    <w:rsid w:val="00B845C6"/>
    <w:rsid w:val="00B84C60"/>
    <w:rsid w:val="00B85CFB"/>
    <w:rsid w:val="00B860D3"/>
    <w:rsid w:val="00B86FA6"/>
    <w:rsid w:val="00B914E9"/>
    <w:rsid w:val="00B91EE1"/>
    <w:rsid w:val="00B92996"/>
    <w:rsid w:val="00B92CFA"/>
    <w:rsid w:val="00B93517"/>
    <w:rsid w:val="00B942E0"/>
    <w:rsid w:val="00B94602"/>
    <w:rsid w:val="00B9551C"/>
    <w:rsid w:val="00BA0090"/>
    <w:rsid w:val="00BA126A"/>
    <w:rsid w:val="00BA1708"/>
    <w:rsid w:val="00BA1A67"/>
    <w:rsid w:val="00BA4788"/>
    <w:rsid w:val="00BA5064"/>
    <w:rsid w:val="00BA5E21"/>
    <w:rsid w:val="00BA6368"/>
    <w:rsid w:val="00BA6611"/>
    <w:rsid w:val="00BA6A80"/>
    <w:rsid w:val="00BB1373"/>
    <w:rsid w:val="00BB274D"/>
    <w:rsid w:val="00BB2A46"/>
    <w:rsid w:val="00BB39E9"/>
    <w:rsid w:val="00BB4ABB"/>
    <w:rsid w:val="00BB4CFC"/>
    <w:rsid w:val="00BC0646"/>
    <w:rsid w:val="00BC1349"/>
    <w:rsid w:val="00BC1D86"/>
    <w:rsid w:val="00BC1FAE"/>
    <w:rsid w:val="00BC62BA"/>
    <w:rsid w:val="00BC76CD"/>
    <w:rsid w:val="00BD32B3"/>
    <w:rsid w:val="00BD3D81"/>
    <w:rsid w:val="00BD504A"/>
    <w:rsid w:val="00BD5196"/>
    <w:rsid w:val="00BD646D"/>
    <w:rsid w:val="00BD6F90"/>
    <w:rsid w:val="00BE092C"/>
    <w:rsid w:val="00BE0D97"/>
    <w:rsid w:val="00BE0DC9"/>
    <w:rsid w:val="00BE0E29"/>
    <w:rsid w:val="00BE1325"/>
    <w:rsid w:val="00BE4962"/>
    <w:rsid w:val="00BE4BFD"/>
    <w:rsid w:val="00BE50AC"/>
    <w:rsid w:val="00BE5B5F"/>
    <w:rsid w:val="00BE6CFF"/>
    <w:rsid w:val="00BE752D"/>
    <w:rsid w:val="00BE7993"/>
    <w:rsid w:val="00BF1197"/>
    <w:rsid w:val="00BF18B7"/>
    <w:rsid w:val="00BF1E65"/>
    <w:rsid w:val="00BF478C"/>
    <w:rsid w:val="00BF7DF9"/>
    <w:rsid w:val="00C004F4"/>
    <w:rsid w:val="00C00589"/>
    <w:rsid w:val="00C0170E"/>
    <w:rsid w:val="00C02044"/>
    <w:rsid w:val="00C043FA"/>
    <w:rsid w:val="00C07529"/>
    <w:rsid w:val="00C07F5B"/>
    <w:rsid w:val="00C1096C"/>
    <w:rsid w:val="00C11EFC"/>
    <w:rsid w:val="00C130AB"/>
    <w:rsid w:val="00C14C16"/>
    <w:rsid w:val="00C15894"/>
    <w:rsid w:val="00C15EC7"/>
    <w:rsid w:val="00C167F4"/>
    <w:rsid w:val="00C169F9"/>
    <w:rsid w:val="00C16F76"/>
    <w:rsid w:val="00C17A91"/>
    <w:rsid w:val="00C20254"/>
    <w:rsid w:val="00C21AC5"/>
    <w:rsid w:val="00C22BDC"/>
    <w:rsid w:val="00C22C95"/>
    <w:rsid w:val="00C23644"/>
    <w:rsid w:val="00C243BA"/>
    <w:rsid w:val="00C24DFA"/>
    <w:rsid w:val="00C26C1F"/>
    <w:rsid w:val="00C26F55"/>
    <w:rsid w:val="00C3018E"/>
    <w:rsid w:val="00C30C61"/>
    <w:rsid w:val="00C30C63"/>
    <w:rsid w:val="00C30FF3"/>
    <w:rsid w:val="00C323F8"/>
    <w:rsid w:val="00C32789"/>
    <w:rsid w:val="00C331DD"/>
    <w:rsid w:val="00C33507"/>
    <w:rsid w:val="00C3360F"/>
    <w:rsid w:val="00C336C9"/>
    <w:rsid w:val="00C336F7"/>
    <w:rsid w:val="00C35B02"/>
    <w:rsid w:val="00C3626F"/>
    <w:rsid w:val="00C36B8B"/>
    <w:rsid w:val="00C36D93"/>
    <w:rsid w:val="00C411FE"/>
    <w:rsid w:val="00C415C1"/>
    <w:rsid w:val="00C419B2"/>
    <w:rsid w:val="00C43925"/>
    <w:rsid w:val="00C44492"/>
    <w:rsid w:val="00C44AED"/>
    <w:rsid w:val="00C4695A"/>
    <w:rsid w:val="00C46E0B"/>
    <w:rsid w:val="00C47DBF"/>
    <w:rsid w:val="00C500BE"/>
    <w:rsid w:val="00C5205C"/>
    <w:rsid w:val="00C54591"/>
    <w:rsid w:val="00C552FF"/>
    <w:rsid w:val="00C55434"/>
    <w:rsid w:val="00C558C3"/>
    <w:rsid w:val="00C558DA"/>
    <w:rsid w:val="00C55AF3"/>
    <w:rsid w:val="00C601A8"/>
    <w:rsid w:val="00C601E8"/>
    <w:rsid w:val="00C61A85"/>
    <w:rsid w:val="00C622D6"/>
    <w:rsid w:val="00C62D9E"/>
    <w:rsid w:val="00C63A46"/>
    <w:rsid w:val="00C648D9"/>
    <w:rsid w:val="00C67A5B"/>
    <w:rsid w:val="00C70061"/>
    <w:rsid w:val="00C703AA"/>
    <w:rsid w:val="00C7098C"/>
    <w:rsid w:val="00C70A38"/>
    <w:rsid w:val="00C70BB6"/>
    <w:rsid w:val="00C71422"/>
    <w:rsid w:val="00C71607"/>
    <w:rsid w:val="00C71E0C"/>
    <w:rsid w:val="00C72AA1"/>
    <w:rsid w:val="00C72C55"/>
    <w:rsid w:val="00C73DA2"/>
    <w:rsid w:val="00C73DD7"/>
    <w:rsid w:val="00C75229"/>
    <w:rsid w:val="00C769D2"/>
    <w:rsid w:val="00C771A9"/>
    <w:rsid w:val="00C7755C"/>
    <w:rsid w:val="00C80188"/>
    <w:rsid w:val="00C83C9E"/>
    <w:rsid w:val="00C83E1B"/>
    <w:rsid w:val="00C84759"/>
    <w:rsid w:val="00C8759D"/>
    <w:rsid w:val="00C9107A"/>
    <w:rsid w:val="00C9121C"/>
    <w:rsid w:val="00C93096"/>
    <w:rsid w:val="00C93DAA"/>
    <w:rsid w:val="00C9478E"/>
    <w:rsid w:val="00C94A8F"/>
    <w:rsid w:val="00C94AC4"/>
    <w:rsid w:val="00C97426"/>
    <w:rsid w:val="00CA0F8C"/>
    <w:rsid w:val="00CA136F"/>
    <w:rsid w:val="00CA4D89"/>
    <w:rsid w:val="00CA5CA9"/>
    <w:rsid w:val="00CA6BC8"/>
    <w:rsid w:val="00CA6C7F"/>
    <w:rsid w:val="00CA705A"/>
    <w:rsid w:val="00CA7E08"/>
    <w:rsid w:val="00CB0A07"/>
    <w:rsid w:val="00CB0F91"/>
    <w:rsid w:val="00CB1A46"/>
    <w:rsid w:val="00CB462B"/>
    <w:rsid w:val="00CB53A5"/>
    <w:rsid w:val="00CB60CA"/>
    <w:rsid w:val="00CB6A30"/>
    <w:rsid w:val="00CB742B"/>
    <w:rsid w:val="00CB74C7"/>
    <w:rsid w:val="00CB788B"/>
    <w:rsid w:val="00CC056B"/>
    <w:rsid w:val="00CC0FC7"/>
    <w:rsid w:val="00CC10A6"/>
    <w:rsid w:val="00CC183F"/>
    <w:rsid w:val="00CC30EB"/>
    <w:rsid w:val="00CC3B7C"/>
    <w:rsid w:val="00CC4940"/>
    <w:rsid w:val="00CC4B25"/>
    <w:rsid w:val="00CC50D2"/>
    <w:rsid w:val="00CC5360"/>
    <w:rsid w:val="00CD0594"/>
    <w:rsid w:val="00CD0737"/>
    <w:rsid w:val="00CD0EC1"/>
    <w:rsid w:val="00CD0FEA"/>
    <w:rsid w:val="00CD2D29"/>
    <w:rsid w:val="00CD31F6"/>
    <w:rsid w:val="00CD3591"/>
    <w:rsid w:val="00CD45B1"/>
    <w:rsid w:val="00CD4A35"/>
    <w:rsid w:val="00CD4B42"/>
    <w:rsid w:val="00CD59CB"/>
    <w:rsid w:val="00CD5EB8"/>
    <w:rsid w:val="00CD647C"/>
    <w:rsid w:val="00CD7044"/>
    <w:rsid w:val="00CD7128"/>
    <w:rsid w:val="00CE08B9"/>
    <w:rsid w:val="00CE1F2B"/>
    <w:rsid w:val="00CE2695"/>
    <w:rsid w:val="00CE2AE4"/>
    <w:rsid w:val="00CE3515"/>
    <w:rsid w:val="00CE524C"/>
    <w:rsid w:val="00CE530D"/>
    <w:rsid w:val="00CE729E"/>
    <w:rsid w:val="00CE78B0"/>
    <w:rsid w:val="00CF141F"/>
    <w:rsid w:val="00CF27D2"/>
    <w:rsid w:val="00CF324A"/>
    <w:rsid w:val="00CF4636"/>
    <w:rsid w:val="00CF4777"/>
    <w:rsid w:val="00CF4B21"/>
    <w:rsid w:val="00CF642A"/>
    <w:rsid w:val="00CF65C8"/>
    <w:rsid w:val="00CF65E0"/>
    <w:rsid w:val="00D00264"/>
    <w:rsid w:val="00D013F5"/>
    <w:rsid w:val="00D028B1"/>
    <w:rsid w:val="00D032C2"/>
    <w:rsid w:val="00D040C7"/>
    <w:rsid w:val="00D04667"/>
    <w:rsid w:val="00D05E3F"/>
    <w:rsid w:val="00D067BB"/>
    <w:rsid w:val="00D06D67"/>
    <w:rsid w:val="00D11D8D"/>
    <w:rsid w:val="00D12839"/>
    <w:rsid w:val="00D1289E"/>
    <w:rsid w:val="00D1352A"/>
    <w:rsid w:val="00D13A30"/>
    <w:rsid w:val="00D14220"/>
    <w:rsid w:val="00D147D7"/>
    <w:rsid w:val="00D1481A"/>
    <w:rsid w:val="00D155B8"/>
    <w:rsid w:val="00D1638E"/>
    <w:rsid w:val="00D169AF"/>
    <w:rsid w:val="00D213BF"/>
    <w:rsid w:val="00D220E4"/>
    <w:rsid w:val="00D22E9C"/>
    <w:rsid w:val="00D22EA6"/>
    <w:rsid w:val="00D230BC"/>
    <w:rsid w:val="00D231E9"/>
    <w:rsid w:val="00D23804"/>
    <w:rsid w:val="00D2395D"/>
    <w:rsid w:val="00D24E06"/>
    <w:rsid w:val="00D25175"/>
    <w:rsid w:val="00D25249"/>
    <w:rsid w:val="00D26854"/>
    <w:rsid w:val="00D300B8"/>
    <w:rsid w:val="00D301BC"/>
    <w:rsid w:val="00D312E8"/>
    <w:rsid w:val="00D31889"/>
    <w:rsid w:val="00D31B92"/>
    <w:rsid w:val="00D32478"/>
    <w:rsid w:val="00D3295E"/>
    <w:rsid w:val="00D3335E"/>
    <w:rsid w:val="00D33D9E"/>
    <w:rsid w:val="00D34638"/>
    <w:rsid w:val="00D34997"/>
    <w:rsid w:val="00D357CE"/>
    <w:rsid w:val="00D3617B"/>
    <w:rsid w:val="00D37773"/>
    <w:rsid w:val="00D379BA"/>
    <w:rsid w:val="00D40F5C"/>
    <w:rsid w:val="00D420AE"/>
    <w:rsid w:val="00D44172"/>
    <w:rsid w:val="00D45D35"/>
    <w:rsid w:val="00D47BE3"/>
    <w:rsid w:val="00D47D4F"/>
    <w:rsid w:val="00D50179"/>
    <w:rsid w:val="00D51045"/>
    <w:rsid w:val="00D519A1"/>
    <w:rsid w:val="00D51CAB"/>
    <w:rsid w:val="00D56513"/>
    <w:rsid w:val="00D60915"/>
    <w:rsid w:val="00D60F5D"/>
    <w:rsid w:val="00D61213"/>
    <w:rsid w:val="00D61D01"/>
    <w:rsid w:val="00D63087"/>
    <w:rsid w:val="00D63503"/>
    <w:rsid w:val="00D63B8C"/>
    <w:rsid w:val="00D63C1D"/>
    <w:rsid w:val="00D65F35"/>
    <w:rsid w:val="00D660E7"/>
    <w:rsid w:val="00D66335"/>
    <w:rsid w:val="00D66BDC"/>
    <w:rsid w:val="00D676DA"/>
    <w:rsid w:val="00D7083E"/>
    <w:rsid w:val="00D71FD6"/>
    <w:rsid w:val="00D72BE9"/>
    <w:rsid w:val="00D739CC"/>
    <w:rsid w:val="00D74750"/>
    <w:rsid w:val="00D765DC"/>
    <w:rsid w:val="00D773BB"/>
    <w:rsid w:val="00D7747D"/>
    <w:rsid w:val="00D779BB"/>
    <w:rsid w:val="00D806F9"/>
    <w:rsid w:val="00D8093D"/>
    <w:rsid w:val="00D8108C"/>
    <w:rsid w:val="00D812DD"/>
    <w:rsid w:val="00D828F5"/>
    <w:rsid w:val="00D837D0"/>
    <w:rsid w:val="00D83C0B"/>
    <w:rsid w:val="00D840B9"/>
    <w:rsid w:val="00D842AE"/>
    <w:rsid w:val="00D85526"/>
    <w:rsid w:val="00D86007"/>
    <w:rsid w:val="00D87172"/>
    <w:rsid w:val="00D9211C"/>
    <w:rsid w:val="00D921B4"/>
    <w:rsid w:val="00D92867"/>
    <w:rsid w:val="00D92DE0"/>
    <w:rsid w:val="00D92E5E"/>
    <w:rsid w:val="00D92FEF"/>
    <w:rsid w:val="00D93061"/>
    <w:rsid w:val="00D93152"/>
    <w:rsid w:val="00D931F9"/>
    <w:rsid w:val="00D93A0F"/>
    <w:rsid w:val="00D94EF0"/>
    <w:rsid w:val="00D96E66"/>
    <w:rsid w:val="00D97146"/>
    <w:rsid w:val="00D977F1"/>
    <w:rsid w:val="00DA0100"/>
    <w:rsid w:val="00DA0AB7"/>
    <w:rsid w:val="00DA1B21"/>
    <w:rsid w:val="00DA1BCA"/>
    <w:rsid w:val="00DA1FE7"/>
    <w:rsid w:val="00DA2601"/>
    <w:rsid w:val="00DA2E5C"/>
    <w:rsid w:val="00DA3663"/>
    <w:rsid w:val="00DA458A"/>
    <w:rsid w:val="00DA4E81"/>
    <w:rsid w:val="00DA517A"/>
    <w:rsid w:val="00DA6AB7"/>
    <w:rsid w:val="00DA7044"/>
    <w:rsid w:val="00DB0189"/>
    <w:rsid w:val="00DB07A2"/>
    <w:rsid w:val="00DB4047"/>
    <w:rsid w:val="00DB409A"/>
    <w:rsid w:val="00DB4126"/>
    <w:rsid w:val="00DB5AE9"/>
    <w:rsid w:val="00DC0AFC"/>
    <w:rsid w:val="00DC171A"/>
    <w:rsid w:val="00DC1F91"/>
    <w:rsid w:val="00DC229E"/>
    <w:rsid w:val="00DC22DC"/>
    <w:rsid w:val="00DC2CA5"/>
    <w:rsid w:val="00DC33AF"/>
    <w:rsid w:val="00DC4005"/>
    <w:rsid w:val="00DC46FF"/>
    <w:rsid w:val="00DC48D8"/>
    <w:rsid w:val="00DC5254"/>
    <w:rsid w:val="00DC569D"/>
    <w:rsid w:val="00DC70E9"/>
    <w:rsid w:val="00DC7E4B"/>
    <w:rsid w:val="00DD0029"/>
    <w:rsid w:val="00DD0412"/>
    <w:rsid w:val="00DD1153"/>
    <w:rsid w:val="00DD1A4F"/>
    <w:rsid w:val="00DD2ACD"/>
    <w:rsid w:val="00DD2D0F"/>
    <w:rsid w:val="00DD3107"/>
    <w:rsid w:val="00DD4D62"/>
    <w:rsid w:val="00DD622C"/>
    <w:rsid w:val="00DD6490"/>
    <w:rsid w:val="00DD6D51"/>
    <w:rsid w:val="00DD77EC"/>
    <w:rsid w:val="00DD7C2C"/>
    <w:rsid w:val="00DE2074"/>
    <w:rsid w:val="00DE2223"/>
    <w:rsid w:val="00DE25F4"/>
    <w:rsid w:val="00DE3C25"/>
    <w:rsid w:val="00DE4055"/>
    <w:rsid w:val="00DE4475"/>
    <w:rsid w:val="00DE5BDA"/>
    <w:rsid w:val="00DE7099"/>
    <w:rsid w:val="00DE7FFB"/>
    <w:rsid w:val="00DF055E"/>
    <w:rsid w:val="00DF0D3D"/>
    <w:rsid w:val="00DF108E"/>
    <w:rsid w:val="00DF27AA"/>
    <w:rsid w:val="00DF37F4"/>
    <w:rsid w:val="00DF40E8"/>
    <w:rsid w:val="00DF433C"/>
    <w:rsid w:val="00DF519F"/>
    <w:rsid w:val="00DF5749"/>
    <w:rsid w:val="00DF6492"/>
    <w:rsid w:val="00DF66D4"/>
    <w:rsid w:val="00DF6912"/>
    <w:rsid w:val="00DF7EB0"/>
    <w:rsid w:val="00E0035A"/>
    <w:rsid w:val="00E00861"/>
    <w:rsid w:val="00E01A9A"/>
    <w:rsid w:val="00E035E3"/>
    <w:rsid w:val="00E0411C"/>
    <w:rsid w:val="00E043D6"/>
    <w:rsid w:val="00E04814"/>
    <w:rsid w:val="00E05A0E"/>
    <w:rsid w:val="00E06797"/>
    <w:rsid w:val="00E06A93"/>
    <w:rsid w:val="00E072F7"/>
    <w:rsid w:val="00E115F9"/>
    <w:rsid w:val="00E1265B"/>
    <w:rsid w:val="00E12E09"/>
    <w:rsid w:val="00E133B8"/>
    <w:rsid w:val="00E13AFE"/>
    <w:rsid w:val="00E13B48"/>
    <w:rsid w:val="00E1404F"/>
    <w:rsid w:val="00E150E2"/>
    <w:rsid w:val="00E17AF8"/>
    <w:rsid w:val="00E20711"/>
    <w:rsid w:val="00E20AF2"/>
    <w:rsid w:val="00E210D6"/>
    <w:rsid w:val="00E21C83"/>
    <w:rsid w:val="00E21CCD"/>
    <w:rsid w:val="00E2212D"/>
    <w:rsid w:val="00E24693"/>
    <w:rsid w:val="00E24ADA"/>
    <w:rsid w:val="00E26876"/>
    <w:rsid w:val="00E30768"/>
    <w:rsid w:val="00E3083F"/>
    <w:rsid w:val="00E30AB3"/>
    <w:rsid w:val="00E30EAC"/>
    <w:rsid w:val="00E32F59"/>
    <w:rsid w:val="00E35652"/>
    <w:rsid w:val="00E35F07"/>
    <w:rsid w:val="00E36605"/>
    <w:rsid w:val="00E36DB6"/>
    <w:rsid w:val="00E36DCB"/>
    <w:rsid w:val="00E37AE6"/>
    <w:rsid w:val="00E41908"/>
    <w:rsid w:val="00E41CE8"/>
    <w:rsid w:val="00E439FE"/>
    <w:rsid w:val="00E4456C"/>
    <w:rsid w:val="00E445EE"/>
    <w:rsid w:val="00E46BCD"/>
    <w:rsid w:val="00E46D9A"/>
    <w:rsid w:val="00E50D32"/>
    <w:rsid w:val="00E52EA0"/>
    <w:rsid w:val="00E52F27"/>
    <w:rsid w:val="00E54E85"/>
    <w:rsid w:val="00E5512B"/>
    <w:rsid w:val="00E55ED8"/>
    <w:rsid w:val="00E565FF"/>
    <w:rsid w:val="00E57176"/>
    <w:rsid w:val="00E60B20"/>
    <w:rsid w:val="00E61350"/>
    <w:rsid w:val="00E613E2"/>
    <w:rsid w:val="00E619EE"/>
    <w:rsid w:val="00E62964"/>
    <w:rsid w:val="00E634DC"/>
    <w:rsid w:val="00E63BD4"/>
    <w:rsid w:val="00E65388"/>
    <w:rsid w:val="00E65D5C"/>
    <w:rsid w:val="00E66474"/>
    <w:rsid w:val="00E66A2C"/>
    <w:rsid w:val="00E709E2"/>
    <w:rsid w:val="00E70ADA"/>
    <w:rsid w:val="00E7126C"/>
    <w:rsid w:val="00E71E1F"/>
    <w:rsid w:val="00E72B4A"/>
    <w:rsid w:val="00E74F94"/>
    <w:rsid w:val="00E7633A"/>
    <w:rsid w:val="00E76498"/>
    <w:rsid w:val="00E7741D"/>
    <w:rsid w:val="00E807D9"/>
    <w:rsid w:val="00E808CD"/>
    <w:rsid w:val="00E81510"/>
    <w:rsid w:val="00E81A48"/>
    <w:rsid w:val="00E8281C"/>
    <w:rsid w:val="00E82BA1"/>
    <w:rsid w:val="00E8348F"/>
    <w:rsid w:val="00E84530"/>
    <w:rsid w:val="00E85B7D"/>
    <w:rsid w:val="00E86319"/>
    <w:rsid w:val="00E86CBF"/>
    <w:rsid w:val="00E9107C"/>
    <w:rsid w:val="00E91133"/>
    <w:rsid w:val="00E9121B"/>
    <w:rsid w:val="00E91398"/>
    <w:rsid w:val="00E9302E"/>
    <w:rsid w:val="00E9334D"/>
    <w:rsid w:val="00E93A6C"/>
    <w:rsid w:val="00E93D59"/>
    <w:rsid w:val="00E976AB"/>
    <w:rsid w:val="00EA0AE2"/>
    <w:rsid w:val="00EA1A43"/>
    <w:rsid w:val="00EA2BD8"/>
    <w:rsid w:val="00EA2E25"/>
    <w:rsid w:val="00EA39E5"/>
    <w:rsid w:val="00EA3E22"/>
    <w:rsid w:val="00EA5023"/>
    <w:rsid w:val="00EA57A3"/>
    <w:rsid w:val="00EA5CE4"/>
    <w:rsid w:val="00EA668D"/>
    <w:rsid w:val="00EB11D1"/>
    <w:rsid w:val="00EB23E0"/>
    <w:rsid w:val="00EB2974"/>
    <w:rsid w:val="00EB5ABD"/>
    <w:rsid w:val="00EB5C81"/>
    <w:rsid w:val="00EB63BC"/>
    <w:rsid w:val="00EB6462"/>
    <w:rsid w:val="00EB646C"/>
    <w:rsid w:val="00EB79E2"/>
    <w:rsid w:val="00EC0275"/>
    <w:rsid w:val="00EC0A12"/>
    <w:rsid w:val="00EC0A72"/>
    <w:rsid w:val="00EC1068"/>
    <w:rsid w:val="00EC1105"/>
    <w:rsid w:val="00EC27A6"/>
    <w:rsid w:val="00EC2813"/>
    <w:rsid w:val="00EC2F1F"/>
    <w:rsid w:val="00EC2F4A"/>
    <w:rsid w:val="00EC3443"/>
    <w:rsid w:val="00EC3758"/>
    <w:rsid w:val="00EC4514"/>
    <w:rsid w:val="00EC581A"/>
    <w:rsid w:val="00EC5A46"/>
    <w:rsid w:val="00EC63E2"/>
    <w:rsid w:val="00EC65F2"/>
    <w:rsid w:val="00EC6668"/>
    <w:rsid w:val="00EC6C6F"/>
    <w:rsid w:val="00EC6FAD"/>
    <w:rsid w:val="00ED0225"/>
    <w:rsid w:val="00ED1119"/>
    <w:rsid w:val="00ED19FB"/>
    <w:rsid w:val="00ED366A"/>
    <w:rsid w:val="00ED39AF"/>
    <w:rsid w:val="00ED499C"/>
    <w:rsid w:val="00ED666A"/>
    <w:rsid w:val="00ED6BB7"/>
    <w:rsid w:val="00EE29B8"/>
    <w:rsid w:val="00EF02D2"/>
    <w:rsid w:val="00EF0ACA"/>
    <w:rsid w:val="00EF1D21"/>
    <w:rsid w:val="00EF22B3"/>
    <w:rsid w:val="00EF2767"/>
    <w:rsid w:val="00EF291C"/>
    <w:rsid w:val="00EF2BFD"/>
    <w:rsid w:val="00EF3115"/>
    <w:rsid w:val="00EF3A4B"/>
    <w:rsid w:val="00EF432F"/>
    <w:rsid w:val="00EF4523"/>
    <w:rsid w:val="00EF70CF"/>
    <w:rsid w:val="00EF7F1B"/>
    <w:rsid w:val="00F0235F"/>
    <w:rsid w:val="00F03B69"/>
    <w:rsid w:val="00F04932"/>
    <w:rsid w:val="00F05E2C"/>
    <w:rsid w:val="00F064C5"/>
    <w:rsid w:val="00F070A7"/>
    <w:rsid w:val="00F076A5"/>
    <w:rsid w:val="00F07A50"/>
    <w:rsid w:val="00F113DA"/>
    <w:rsid w:val="00F120E7"/>
    <w:rsid w:val="00F1247A"/>
    <w:rsid w:val="00F1250A"/>
    <w:rsid w:val="00F12D9E"/>
    <w:rsid w:val="00F1316D"/>
    <w:rsid w:val="00F142C9"/>
    <w:rsid w:val="00F14636"/>
    <w:rsid w:val="00F15384"/>
    <w:rsid w:val="00F158E9"/>
    <w:rsid w:val="00F179E9"/>
    <w:rsid w:val="00F17BC1"/>
    <w:rsid w:val="00F20520"/>
    <w:rsid w:val="00F21D3B"/>
    <w:rsid w:val="00F22AE7"/>
    <w:rsid w:val="00F24BFD"/>
    <w:rsid w:val="00F258FD"/>
    <w:rsid w:val="00F26070"/>
    <w:rsid w:val="00F266FC"/>
    <w:rsid w:val="00F27061"/>
    <w:rsid w:val="00F27164"/>
    <w:rsid w:val="00F27969"/>
    <w:rsid w:val="00F3037A"/>
    <w:rsid w:val="00F3065C"/>
    <w:rsid w:val="00F32136"/>
    <w:rsid w:val="00F3294B"/>
    <w:rsid w:val="00F33DB7"/>
    <w:rsid w:val="00F3465A"/>
    <w:rsid w:val="00F35DEF"/>
    <w:rsid w:val="00F36285"/>
    <w:rsid w:val="00F36BA3"/>
    <w:rsid w:val="00F37A24"/>
    <w:rsid w:val="00F37DC8"/>
    <w:rsid w:val="00F400F3"/>
    <w:rsid w:val="00F42151"/>
    <w:rsid w:val="00F431B4"/>
    <w:rsid w:val="00F439B3"/>
    <w:rsid w:val="00F444C1"/>
    <w:rsid w:val="00F447A2"/>
    <w:rsid w:val="00F449DA"/>
    <w:rsid w:val="00F44A42"/>
    <w:rsid w:val="00F44BFA"/>
    <w:rsid w:val="00F45B5D"/>
    <w:rsid w:val="00F47C3D"/>
    <w:rsid w:val="00F50592"/>
    <w:rsid w:val="00F52E57"/>
    <w:rsid w:val="00F5361E"/>
    <w:rsid w:val="00F5483A"/>
    <w:rsid w:val="00F553B1"/>
    <w:rsid w:val="00F5791D"/>
    <w:rsid w:val="00F601B8"/>
    <w:rsid w:val="00F6024A"/>
    <w:rsid w:val="00F60EA4"/>
    <w:rsid w:val="00F61168"/>
    <w:rsid w:val="00F6116F"/>
    <w:rsid w:val="00F61FA2"/>
    <w:rsid w:val="00F62C68"/>
    <w:rsid w:val="00F650C3"/>
    <w:rsid w:val="00F65CEC"/>
    <w:rsid w:val="00F65D85"/>
    <w:rsid w:val="00F6666F"/>
    <w:rsid w:val="00F6700B"/>
    <w:rsid w:val="00F704AA"/>
    <w:rsid w:val="00F7137B"/>
    <w:rsid w:val="00F72798"/>
    <w:rsid w:val="00F72F54"/>
    <w:rsid w:val="00F7386C"/>
    <w:rsid w:val="00F73B55"/>
    <w:rsid w:val="00F8091E"/>
    <w:rsid w:val="00F819F8"/>
    <w:rsid w:val="00F83937"/>
    <w:rsid w:val="00F854C6"/>
    <w:rsid w:val="00F85F1D"/>
    <w:rsid w:val="00F8615C"/>
    <w:rsid w:val="00F86369"/>
    <w:rsid w:val="00F910D8"/>
    <w:rsid w:val="00F922C6"/>
    <w:rsid w:val="00F92DC9"/>
    <w:rsid w:val="00F9457C"/>
    <w:rsid w:val="00F969E5"/>
    <w:rsid w:val="00FA0CE2"/>
    <w:rsid w:val="00FA461B"/>
    <w:rsid w:val="00FA4907"/>
    <w:rsid w:val="00FA4972"/>
    <w:rsid w:val="00FA6BB0"/>
    <w:rsid w:val="00FB03CC"/>
    <w:rsid w:val="00FB0A32"/>
    <w:rsid w:val="00FB15EC"/>
    <w:rsid w:val="00FB2626"/>
    <w:rsid w:val="00FB2DBD"/>
    <w:rsid w:val="00FB3CF2"/>
    <w:rsid w:val="00FB47C7"/>
    <w:rsid w:val="00FB5B60"/>
    <w:rsid w:val="00FB6F7C"/>
    <w:rsid w:val="00FB7178"/>
    <w:rsid w:val="00FB7C8C"/>
    <w:rsid w:val="00FC2271"/>
    <w:rsid w:val="00FC2C1C"/>
    <w:rsid w:val="00FC2D6C"/>
    <w:rsid w:val="00FC405A"/>
    <w:rsid w:val="00FC5CEE"/>
    <w:rsid w:val="00FC62BA"/>
    <w:rsid w:val="00FC63B0"/>
    <w:rsid w:val="00FD0B00"/>
    <w:rsid w:val="00FD0F67"/>
    <w:rsid w:val="00FD1787"/>
    <w:rsid w:val="00FD27BC"/>
    <w:rsid w:val="00FD2820"/>
    <w:rsid w:val="00FD286F"/>
    <w:rsid w:val="00FD3340"/>
    <w:rsid w:val="00FD365F"/>
    <w:rsid w:val="00FD48DF"/>
    <w:rsid w:val="00FD5860"/>
    <w:rsid w:val="00FD591A"/>
    <w:rsid w:val="00FD5A29"/>
    <w:rsid w:val="00FD7D02"/>
    <w:rsid w:val="00FE193F"/>
    <w:rsid w:val="00FE28A8"/>
    <w:rsid w:val="00FE352D"/>
    <w:rsid w:val="00FE40EB"/>
    <w:rsid w:val="00FE4C8C"/>
    <w:rsid w:val="00FE4D02"/>
    <w:rsid w:val="00FE530D"/>
    <w:rsid w:val="00FE6A6F"/>
    <w:rsid w:val="00FE6C25"/>
    <w:rsid w:val="00FE7D62"/>
    <w:rsid w:val="00FF1C64"/>
    <w:rsid w:val="00FF311B"/>
    <w:rsid w:val="00FF3819"/>
    <w:rsid w:val="00FF4174"/>
    <w:rsid w:val="00FF46FC"/>
    <w:rsid w:val="00FF4E2D"/>
    <w:rsid w:val="00FF5176"/>
    <w:rsid w:val="00FF55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06B4B"/>
  <w15:docId w15:val="{0CED5DA5-2F7F-4665-BC74-16C52E7A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858"/>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link w:val="Heading1Char"/>
    <w:qFormat/>
    <w:rsid w:val="00B42858"/>
    <w:pPr>
      <w:keepNext/>
      <w:spacing w:before="240" w:after="120"/>
      <w:ind w:left="1247" w:hanging="680"/>
      <w:outlineLvl w:val="0"/>
    </w:pPr>
    <w:rPr>
      <w:b/>
      <w:sz w:val="28"/>
    </w:rPr>
  </w:style>
  <w:style w:type="paragraph" w:styleId="Heading2">
    <w:name w:val="heading 2"/>
    <w:basedOn w:val="Normal"/>
    <w:next w:val="Normalnumber"/>
    <w:link w:val="Heading2Char"/>
    <w:qFormat/>
    <w:rsid w:val="00B42858"/>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B42858"/>
    <w:pPr>
      <w:spacing w:after="120"/>
      <w:ind w:left="1247" w:hanging="680"/>
      <w:outlineLvl w:val="2"/>
    </w:pPr>
    <w:rPr>
      <w:b/>
    </w:rPr>
  </w:style>
  <w:style w:type="paragraph" w:styleId="Heading4">
    <w:name w:val="heading 4"/>
    <w:basedOn w:val="Heading3"/>
    <w:next w:val="Normalnumber"/>
    <w:link w:val="Heading4Char"/>
    <w:qFormat/>
    <w:rsid w:val="00B42858"/>
    <w:pPr>
      <w:keepNext/>
      <w:outlineLvl w:val="3"/>
    </w:pPr>
  </w:style>
  <w:style w:type="paragraph" w:styleId="Heading5">
    <w:name w:val="heading 5"/>
    <w:basedOn w:val="Normal"/>
    <w:next w:val="Normal"/>
    <w:link w:val="Heading5Char"/>
    <w:qFormat/>
    <w:rsid w:val="00B42858"/>
    <w:pPr>
      <w:keepNext/>
      <w:outlineLvl w:val="4"/>
    </w:pPr>
    <w:rPr>
      <w:rFonts w:ascii="Univers" w:hAnsi="Univers"/>
      <w:b/>
      <w:sz w:val="24"/>
    </w:rPr>
  </w:style>
  <w:style w:type="paragraph" w:styleId="Heading6">
    <w:name w:val="heading 6"/>
    <w:basedOn w:val="Normal"/>
    <w:next w:val="Normal"/>
    <w:link w:val="Heading6Char"/>
    <w:qFormat/>
    <w:rsid w:val="00B42858"/>
    <w:pPr>
      <w:keepNext/>
      <w:ind w:left="578"/>
      <w:outlineLvl w:val="5"/>
    </w:pPr>
    <w:rPr>
      <w:b/>
      <w:bCs/>
      <w:sz w:val="24"/>
    </w:rPr>
  </w:style>
  <w:style w:type="paragraph" w:styleId="Heading7">
    <w:name w:val="heading 7"/>
    <w:basedOn w:val="Normal"/>
    <w:next w:val="Normal"/>
    <w:link w:val="Heading7Char"/>
    <w:qFormat/>
    <w:rsid w:val="00B42858"/>
    <w:pPr>
      <w:keepNext/>
      <w:widowControl w:val="0"/>
      <w:jc w:val="center"/>
      <w:outlineLvl w:val="6"/>
    </w:pPr>
    <w:rPr>
      <w:snapToGrid w:val="0"/>
      <w:u w:val="single"/>
      <w:lang w:val="en-US"/>
    </w:rPr>
  </w:style>
  <w:style w:type="paragraph" w:styleId="Heading8">
    <w:name w:val="heading 8"/>
    <w:basedOn w:val="Normal"/>
    <w:next w:val="Normal"/>
    <w:link w:val="Heading8Char"/>
    <w:qFormat/>
    <w:rsid w:val="00B42858"/>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B42858"/>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B42858"/>
    <w:rPr>
      <w:rFonts w:ascii="Times New Roman" w:hAnsi="Times New Roman"/>
      <w:b/>
      <w:sz w:val="18"/>
    </w:rPr>
  </w:style>
  <w:style w:type="table" w:customStyle="1" w:styleId="Tabledocright">
    <w:name w:val="Table_doc_right"/>
    <w:basedOn w:val="TableNormal"/>
    <w:rsid w:val="00B42858"/>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uiPriority w:val="39"/>
    <w:rsid w:val="00B42858"/>
    <w:pPr>
      <w:tabs>
        <w:tab w:val="clear" w:pos="1814"/>
        <w:tab w:val="clear" w:pos="2381"/>
        <w:tab w:val="clear" w:pos="2948"/>
        <w:tab w:val="clear" w:pos="3515"/>
      </w:tabs>
      <w:ind w:left="1000"/>
    </w:pPr>
    <w:rPr>
      <w:sz w:val="18"/>
      <w:szCs w:val="18"/>
    </w:rPr>
  </w:style>
  <w:style w:type="paragraph" w:styleId="TOC7">
    <w:name w:val="toc 7"/>
    <w:basedOn w:val="Normal"/>
    <w:next w:val="Normal"/>
    <w:autoRedefine/>
    <w:uiPriority w:val="39"/>
    <w:rsid w:val="00B42858"/>
    <w:pPr>
      <w:tabs>
        <w:tab w:val="clear" w:pos="1814"/>
        <w:tab w:val="clear" w:pos="2381"/>
        <w:tab w:val="clear" w:pos="2948"/>
        <w:tab w:val="clear" w:pos="3515"/>
      </w:tabs>
      <w:ind w:left="1200"/>
    </w:pPr>
    <w:rPr>
      <w:sz w:val="18"/>
      <w:szCs w:val="18"/>
    </w:rPr>
  </w:style>
  <w:style w:type="paragraph" w:styleId="TOC8">
    <w:name w:val="toc 8"/>
    <w:basedOn w:val="Normal"/>
    <w:next w:val="Normal"/>
    <w:autoRedefine/>
    <w:uiPriority w:val="39"/>
    <w:rsid w:val="00B42858"/>
    <w:pPr>
      <w:tabs>
        <w:tab w:val="clear" w:pos="1814"/>
        <w:tab w:val="clear" w:pos="2381"/>
        <w:tab w:val="clear" w:pos="2948"/>
        <w:tab w:val="clear" w:pos="3515"/>
      </w:tabs>
      <w:ind w:left="1400"/>
    </w:pPr>
    <w:rPr>
      <w:sz w:val="18"/>
      <w:szCs w:val="18"/>
    </w:rPr>
  </w:style>
  <w:style w:type="paragraph" w:styleId="TOC9">
    <w:name w:val="toc 9"/>
    <w:basedOn w:val="Normal"/>
    <w:next w:val="Normal"/>
    <w:autoRedefine/>
    <w:uiPriority w:val="39"/>
    <w:rsid w:val="00B42858"/>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B42858"/>
    <w:rPr>
      <w:bCs w:val="0"/>
    </w:rPr>
  </w:style>
  <w:style w:type="paragraph" w:styleId="TableofFigures">
    <w:name w:val="table of figures"/>
    <w:basedOn w:val="Normal"/>
    <w:next w:val="Normal"/>
    <w:autoRedefine/>
    <w:semiHidden/>
    <w:rsid w:val="00B42858"/>
    <w:pPr>
      <w:tabs>
        <w:tab w:val="clear" w:pos="1814"/>
        <w:tab w:val="clear" w:pos="2381"/>
        <w:tab w:val="clear" w:pos="2948"/>
        <w:tab w:val="clear" w:pos="3515"/>
      </w:tabs>
      <w:ind w:left="1814" w:hanging="567"/>
    </w:pPr>
  </w:style>
  <w:style w:type="paragraph" w:customStyle="1" w:styleId="CH1">
    <w:name w:val="CH1"/>
    <w:basedOn w:val="Normalpool"/>
    <w:next w:val="CH2"/>
    <w:rsid w:val="00B42858"/>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B42858"/>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B42858"/>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B42858"/>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B42858"/>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B42858"/>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B42858"/>
    <w:pPr>
      <w:tabs>
        <w:tab w:val="left" w:pos="4321"/>
        <w:tab w:val="right" w:pos="8641"/>
      </w:tabs>
      <w:spacing w:before="60" w:after="120"/>
    </w:pPr>
    <w:rPr>
      <w:b/>
      <w:sz w:val="18"/>
    </w:rPr>
  </w:style>
  <w:style w:type="paragraph" w:customStyle="1" w:styleId="Headerpool">
    <w:name w:val="Header_pool"/>
    <w:basedOn w:val="Normal"/>
    <w:next w:val="Normal"/>
    <w:semiHidden/>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link w:val="NormalpoolChar"/>
    <w:autoRedefine/>
    <w:rsid w:val="00B42858"/>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B42858"/>
    <w:pPr>
      <w:tabs>
        <w:tab w:val="left" w:pos="4321"/>
        <w:tab w:val="right" w:pos="8641"/>
      </w:tabs>
      <w:spacing w:before="60" w:after="120"/>
    </w:pPr>
    <w:rPr>
      <w:b/>
      <w:sz w:val="18"/>
    </w:rPr>
  </w:style>
  <w:style w:type="paragraph" w:customStyle="1" w:styleId="Header-pool">
    <w:name w:val="Header-pool"/>
    <w:basedOn w:val="Normal-pool"/>
    <w:next w:val="Normal-pool"/>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B42858"/>
    <w:pPr>
      <w:tabs>
        <w:tab w:val="left" w:pos="1247"/>
        <w:tab w:val="left" w:pos="1814"/>
        <w:tab w:val="left" w:pos="2381"/>
        <w:tab w:val="left" w:pos="2948"/>
        <w:tab w:val="left" w:pos="3515"/>
        <w:tab w:val="left" w:pos="4082"/>
      </w:tabs>
    </w:pPr>
    <w:rPr>
      <w:lang w:val="fr-CA" w:eastAsia="en-US"/>
    </w:rPr>
  </w:style>
  <w:style w:type="character" w:styleId="FootnoteReference">
    <w:name w:val="footnote reference"/>
    <w:aliases w:val="16 Point,Superscript 6 Point,ftref,(Ref. de nota al pie),number,SUPERS,Footnote Reference Superscript"/>
    <w:link w:val="BVIfnrCharCharCharChar"/>
    <w:rsid w:val="00B42858"/>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
    <w:basedOn w:val="Normalpool"/>
    <w:link w:val="FootnoteTextChar"/>
    <w:rsid w:val="00B42858"/>
    <w:pPr>
      <w:spacing w:before="20" w:after="40"/>
      <w:ind w:left="1247"/>
    </w:pPr>
    <w:rPr>
      <w:sz w:val="18"/>
    </w:rPr>
  </w:style>
  <w:style w:type="character" w:styleId="CommentReference">
    <w:name w:val="annotation reference"/>
    <w:uiPriority w:val="99"/>
    <w:rsid w:val="003929B8"/>
    <w:rPr>
      <w:sz w:val="16"/>
      <w:szCs w:val="16"/>
    </w:rPr>
  </w:style>
  <w:style w:type="paragraph" w:styleId="CommentText">
    <w:name w:val="annotation text"/>
    <w:basedOn w:val="Normal"/>
    <w:link w:val="CommentTextChar"/>
    <w:uiPriority w:val="99"/>
    <w:rsid w:val="003929B8"/>
  </w:style>
  <w:style w:type="character" w:customStyle="1" w:styleId="CommentTextChar">
    <w:name w:val="Comment Text Char"/>
    <w:link w:val="CommentText"/>
    <w:uiPriority w:val="99"/>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CA" w:eastAsia="en-US"/>
    </w:rPr>
  </w:style>
  <w:style w:type="table" w:styleId="TableGrid">
    <w:name w:val="Table Grid"/>
    <w:basedOn w:val="TableNormal"/>
    <w:uiPriority w:val="5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table" w:customStyle="1" w:styleId="AATable">
    <w:name w:val="AA_Table"/>
    <w:basedOn w:val="TableNormal"/>
    <w:rsid w:val="00B42858"/>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B42858"/>
    <w:pPr>
      <w:keepNext/>
      <w:keepLines/>
      <w:suppressAutoHyphens/>
      <w:ind w:right="5103"/>
    </w:pPr>
    <w:rPr>
      <w:b/>
    </w:rPr>
  </w:style>
  <w:style w:type="paragraph" w:customStyle="1" w:styleId="AATitle2">
    <w:name w:val="AA_Title2"/>
    <w:basedOn w:val="AATitle"/>
    <w:rsid w:val="00B42858"/>
    <w:pPr>
      <w:tabs>
        <w:tab w:val="clear" w:pos="4082"/>
      </w:tabs>
      <w:spacing w:before="120" w:after="120"/>
      <w:ind w:right="4536"/>
    </w:pPr>
  </w:style>
  <w:style w:type="paragraph" w:customStyle="1" w:styleId="BBTitle">
    <w:name w:val="BB_Title"/>
    <w:basedOn w:val="Normalpool"/>
    <w:link w:val="BBTitleChar"/>
    <w:rsid w:val="00B42858"/>
    <w:pPr>
      <w:keepNext/>
      <w:keepLines/>
      <w:suppressAutoHyphens/>
      <w:spacing w:before="320" w:after="240"/>
      <w:ind w:left="1247" w:right="567"/>
    </w:pPr>
    <w:rPr>
      <w:b/>
      <w:sz w:val="28"/>
      <w:szCs w:val="28"/>
    </w:rPr>
  </w:style>
  <w:style w:type="paragraph" w:styleId="Footer">
    <w:name w:val="footer"/>
    <w:basedOn w:val="Normal"/>
    <w:link w:val="FooterChar"/>
    <w:rsid w:val="00B42858"/>
    <w:pPr>
      <w:tabs>
        <w:tab w:val="center" w:pos="4320"/>
        <w:tab w:val="right" w:pos="8640"/>
      </w:tabs>
      <w:spacing w:before="60" w:after="120"/>
    </w:pPr>
    <w:rPr>
      <w:sz w:val="18"/>
    </w:rPr>
  </w:style>
  <w:style w:type="paragraph" w:styleId="Header">
    <w:name w:val="header"/>
    <w:basedOn w:val="Normal"/>
    <w:link w:val="HeaderChar"/>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B42858"/>
    <w:rPr>
      <w:rFonts w:ascii="Times New Roman" w:hAnsi="Times New Roman"/>
      <w:color w:val="auto"/>
      <w:sz w:val="20"/>
      <w:szCs w:val="20"/>
      <w:u w:val="none"/>
      <w:lang w:val="fr-FR"/>
    </w:rPr>
  </w:style>
  <w:style w:type="numbering" w:customStyle="1" w:styleId="Normallist">
    <w:name w:val="Normal_list"/>
    <w:basedOn w:val="NoList"/>
    <w:rsid w:val="00B42858"/>
    <w:pPr>
      <w:numPr>
        <w:numId w:val="4"/>
      </w:numPr>
    </w:pPr>
  </w:style>
  <w:style w:type="paragraph" w:customStyle="1" w:styleId="NormalNonumber">
    <w:name w:val="Normal_No_number"/>
    <w:basedOn w:val="Normalpool"/>
    <w:link w:val="NormalNonumberChar"/>
    <w:rsid w:val="00B42858"/>
    <w:pPr>
      <w:spacing w:after="120"/>
      <w:ind w:left="1247"/>
    </w:pPr>
  </w:style>
  <w:style w:type="paragraph" w:customStyle="1" w:styleId="Normalnumber">
    <w:name w:val="Normal_number"/>
    <w:basedOn w:val="Normalpool"/>
    <w:link w:val="NormalnumberChar"/>
    <w:rsid w:val="00F9457C"/>
    <w:pPr>
      <w:numPr>
        <w:numId w:val="1"/>
      </w:numPr>
      <w:tabs>
        <w:tab w:val="clear" w:pos="3515"/>
      </w:tabs>
      <w:spacing w:after="120"/>
    </w:pPr>
    <w:rPr>
      <w:lang w:val="fr-FR"/>
    </w:rPr>
  </w:style>
  <w:style w:type="paragraph" w:customStyle="1" w:styleId="Titletable">
    <w:name w:val="Title_table"/>
    <w:basedOn w:val="Normalpool"/>
    <w:rsid w:val="00B42858"/>
    <w:pPr>
      <w:keepNext/>
      <w:keepLines/>
      <w:suppressAutoHyphens/>
      <w:spacing w:after="60"/>
      <w:ind w:left="1247"/>
    </w:pPr>
    <w:rPr>
      <w:b/>
      <w:bCs/>
    </w:rPr>
  </w:style>
  <w:style w:type="paragraph" w:styleId="TOC1">
    <w:name w:val="toc 1"/>
    <w:basedOn w:val="Normalpool"/>
    <w:next w:val="Normalpool"/>
    <w:uiPriority w:val="39"/>
    <w:rsid w:val="00B42858"/>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B42858"/>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B42858"/>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39"/>
    <w:rsid w:val="00B4285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39"/>
    <w:rsid w:val="00B42858"/>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B42858"/>
    <w:rPr>
      <w:b/>
      <w:bCs/>
      <w:sz w:val="28"/>
      <w:szCs w:val="22"/>
    </w:rPr>
  </w:style>
  <w:style w:type="paragraph" w:customStyle="1" w:styleId="ZZAnxtitle">
    <w:name w:val="ZZ_Anx_title"/>
    <w:basedOn w:val="Normalpool"/>
    <w:link w:val="ZZAnxtitleChar"/>
    <w:rsid w:val="00B42858"/>
    <w:pPr>
      <w:spacing w:before="360" w:after="120"/>
      <w:ind w:left="1247"/>
    </w:pPr>
    <w:rPr>
      <w:b/>
      <w:bCs/>
      <w:sz w:val="28"/>
      <w:szCs w:val="26"/>
    </w:rPr>
  </w:style>
  <w:style w:type="paragraph" w:styleId="Revision">
    <w:name w:val="Revision"/>
    <w:hidden/>
    <w:uiPriority w:val="99"/>
    <w:semiHidden/>
    <w:rsid w:val="00D806F9"/>
    <w:rPr>
      <w:lang w:eastAsia="en-US"/>
    </w:rPr>
  </w:style>
  <w:style w:type="character" w:styleId="Emphasis">
    <w:name w:val="Emphasis"/>
    <w:basedOn w:val="DefaultParagraphFont"/>
    <w:uiPriority w:val="20"/>
    <w:qFormat/>
    <w:rsid w:val="00155A2F"/>
    <w:rPr>
      <w:i/>
      <w:iCs/>
    </w:rPr>
  </w:style>
  <w:style w:type="character" w:customStyle="1" w:styleId="Normal-poolChar">
    <w:name w:val="Normal-pool Char"/>
    <w:link w:val="Normal-pool"/>
    <w:rsid w:val="008228B5"/>
    <w:rPr>
      <w:lang w:val="fr-CA" w:eastAsia="en-US"/>
    </w:rPr>
  </w:style>
  <w:style w:type="character" w:customStyle="1" w:styleId="ZZAnxheaderChar">
    <w:name w:val="ZZ_Anx_header Char"/>
    <w:link w:val="ZZAnxheader"/>
    <w:rsid w:val="008228B5"/>
    <w:rPr>
      <w:b/>
      <w:bCs/>
      <w:sz w:val="28"/>
      <w:szCs w:val="22"/>
      <w:lang w:val="fr-CA" w:eastAsia="en-US"/>
    </w:rPr>
  </w:style>
  <w:style w:type="character" w:customStyle="1" w:styleId="ZZAnxtitleChar">
    <w:name w:val="ZZ_Anx_title Char"/>
    <w:link w:val="ZZAnxtitle"/>
    <w:rsid w:val="008228B5"/>
    <w:rPr>
      <w:b/>
      <w:bCs/>
      <w:sz w:val="28"/>
      <w:szCs w:val="26"/>
      <w:lang w:val="fr-CA" w:eastAsia="en-US"/>
    </w:rPr>
  </w:style>
  <w:style w:type="character" w:customStyle="1" w:styleId="CH3Char">
    <w:name w:val="CH3 Char"/>
    <w:link w:val="CH3"/>
    <w:rsid w:val="008228B5"/>
    <w:rPr>
      <w:b/>
      <w:lang w:val="fr-CA" w:eastAsia="en-US"/>
    </w:rPr>
  </w:style>
  <w:style w:type="character" w:customStyle="1" w:styleId="NormalNonumberChar">
    <w:name w:val="Normal_No_number Char"/>
    <w:link w:val="NormalNonumber"/>
    <w:rsid w:val="008228B5"/>
    <w:rPr>
      <w:lang w:val="fr-CA" w:eastAsia="en-US"/>
    </w:rPr>
  </w:style>
  <w:style w:type="paragraph" w:styleId="EnvelopeReturn">
    <w:name w:val="envelope return"/>
    <w:basedOn w:val="Normal"/>
    <w:unhideWhenUsed/>
    <w:rsid w:val="008228B5"/>
    <w:pPr>
      <w:widowControl w:val="0"/>
      <w:tabs>
        <w:tab w:val="left" w:pos="-720"/>
      </w:tabs>
      <w:suppressAutoHyphens/>
      <w:snapToGrid w:val="0"/>
    </w:pPr>
    <w:rPr>
      <w:rFonts w:ascii="Garamond" w:hAnsi="Garamond"/>
      <w:sz w:val="22"/>
      <w:lang w:val="en-GB"/>
    </w:rPr>
  </w:style>
  <w:style w:type="character" w:customStyle="1" w:styleId="DeltaViewInsertion">
    <w:name w:val="DeltaView Insertion"/>
    <w:uiPriority w:val="99"/>
    <w:rsid w:val="009E159C"/>
    <w:rPr>
      <w:color w:val="0000FF"/>
      <w:u w:val="double"/>
    </w:rPr>
  </w:style>
  <w:style w:type="character" w:customStyle="1" w:styleId="CH2Char">
    <w:name w:val="CH2 Char"/>
    <w:link w:val="CH2"/>
    <w:locked/>
    <w:rsid w:val="00047771"/>
    <w:rPr>
      <w:b/>
      <w:sz w:val="24"/>
      <w:szCs w:val="24"/>
      <w:lang w:val="fr-CA" w:eastAsia="en-US"/>
    </w:rPr>
  </w:style>
  <w:style w:type="paragraph" w:customStyle="1" w:styleId="Brdtext">
    <w:name w:val="Brödtext"/>
    <w:rsid w:val="00047771"/>
    <w:pP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Inget">
    <w:name w:val="Inget"/>
    <w:rsid w:val="00047771"/>
  </w:style>
  <w:style w:type="paragraph" w:customStyle="1" w:styleId="Body">
    <w:name w:val="Body"/>
    <w:rsid w:val="006C47D7"/>
    <w:pPr>
      <w:pBdr>
        <w:top w:val="nil"/>
        <w:left w:val="nil"/>
        <w:bottom w:val="nil"/>
        <w:right w:val="nil"/>
        <w:between w:val="nil"/>
        <w:bar w:val="nil"/>
      </w:pBdr>
      <w:tabs>
        <w:tab w:val="left" w:pos="1247"/>
        <w:tab w:val="left" w:pos="1814"/>
        <w:tab w:val="left" w:pos="2381"/>
        <w:tab w:val="left" w:pos="2948"/>
        <w:tab w:val="left" w:pos="3515"/>
      </w:tabs>
    </w:pPr>
    <w:rPr>
      <w:color w:val="000000"/>
      <w:u w:color="000000"/>
      <w:bdr w:val="nil"/>
      <w:lang w:eastAsia="en-GB"/>
    </w:rPr>
  </w:style>
  <w:style w:type="character" w:customStyle="1" w:styleId="Heading1Char">
    <w:name w:val="Heading 1 Char"/>
    <w:basedOn w:val="DefaultParagraphFont"/>
    <w:link w:val="Heading1"/>
    <w:rsid w:val="00A06DF8"/>
    <w:rPr>
      <w:b/>
      <w:sz w:val="28"/>
      <w:lang w:val="fr-FR" w:eastAsia="en-US"/>
    </w:rPr>
  </w:style>
  <w:style w:type="character" w:customStyle="1" w:styleId="Heading2Char">
    <w:name w:val="Heading 2 Char"/>
    <w:basedOn w:val="DefaultParagraphFont"/>
    <w:link w:val="Heading2"/>
    <w:rsid w:val="00A06DF8"/>
    <w:rPr>
      <w:b/>
      <w:sz w:val="24"/>
      <w:szCs w:val="24"/>
      <w:lang w:val="fr-FR" w:eastAsia="en-US"/>
    </w:rPr>
  </w:style>
  <w:style w:type="character" w:customStyle="1" w:styleId="Heading3Char">
    <w:name w:val="Heading 3 Char"/>
    <w:basedOn w:val="DefaultParagraphFont"/>
    <w:link w:val="Heading3"/>
    <w:rsid w:val="00A06DF8"/>
    <w:rPr>
      <w:b/>
      <w:lang w:val="fr-FR" w:eastAsia="en-US"/>
    </w:rPr>
  </w:style>
  <w:style w:type="character" w:customStyle="1" w:styleId="Heading4Char">
    <w:name w:val="Heading 4 Char"/>
    <w:basedOn w:val="DefaultParagraphFont"/>
    <w:link w:val="Heading4"/>
    <w:rsid w:val="00A06DF8"/>
    <w:rPr>
      <w:b/>
      <w:lang w:val="fr-FR" w:eastAsia="en-US"/>
    </w:rPr>
  </w:style>
  <w:style w:type="character" w:customStyle="1" w:styleId="Heading5Char">
    <w:name w:val="Heading 5 Char"/>
    <w:basedOn w:val="DefaultParagraphFont"/>
    <w:link w:val="Heading5"/>
    <w:rsid w:val="00A06DF8"/>
    <w:rPr>
      <w:rFonts w:ascii="Univers" w:hAnsi="Univers"/>
      <w:b/>
      <w:sz w:val="24"/>
      <w:lang w:val="fr-FR" w:eastAsia="en-US"/>
    </w:rPr>
  </w:style>
  <w:style w:type="character" w:customStyle="1" w:styleId="Heading6Char">
    <w:name w:val="Heading 6 Char"/>
    <w:basedOn w:val="DefaultParagraphFont"/>
    <w:link w:val="Heading6"/>
    <w:rsid w:val="00A06DF8"/>
    <w:rPr>
      <w:b/>
      <w:bCs/>
      <w:sz w:val="24"/>
      <w:lang w:val="fr-FR" w:eastAsia="en-US"/>
    </w:rPr>
  </w:style>
  <w:style w:type="character" w:customStyle="1" w:styleId="Heading7Char">
    <w:name w:val="Heading 7 Char"/>
    <w:basedOn w:val="DefaultParagraphFont"/>
    <w:link w:val="Heading7"/>
    <w:rsid w:val="00A06DF8"/>
    <w:rPr>
      <w:snapToGrid w:val="0"/>
      <w:u w:val="single"/>
      <w:lang w:val="en-US" w:eastAsia="en-US"/>
    </w:rPr>
  </w:style>
  <w:style w:type="character" w:customStyle="1" w:styleId="Heading8Char">
    <w:name w:val="Heading 8 Char"/>
    <w:basedOn w:val="DefaultParagraphFont"/>
    <w:link w:val="Heading8"/>
    <w:rsid w:val="00A06DF8"/>
    <w:rPr>
      <w:snapToGrid w:val="0"/>
      <w:u w:val="single"/>
      <w:lang w:val="en-US" w:eastAsia="en-US"/>
    </w:rPr>
  </w:style>
  <w:style w:type="character" w:customStyle="1" w:styleId="Heading9Char">
    <w:name w:val="Heading 9 Char"/>
    <w:basedOn w:val="DefaultParagraphFont"/>
    <w:link w:val="Heading9"/>
    <w:rsid w:val="00A06DF8"/>
    <w:rPr>
      <w:snapToGrid w:val="0"/>
      <w:u w:val="single"/>
      <w:lang w:val="en-US" w:eastAsia="en-US"/>
    </w:rPr>
  </w:style>
  <w:style w:type="character" w:customStyle="1" w:styleId="FooterChar">
    <w:name w:val="Footer Char"/>
    <w:basedOn w:val="DefaultParagraphFont"/>
    <w:link w:val="Footer"/>
    <w:rsid w:val="00A06DF8"/>
    <w:rPr>
      <w:sz w:val="18"/>
      <w:lang w:val="fr-FR" w:eastAsia="en-US"/>
    </w:rPr>
  </w:style>
  <w:style w:type="character" w:customStyle="1" w:styleId="HeaderChar">
    <w:name w:val="Header Char"/>
    <w:basedOn w:val="DefaultParagraphFont"/>
    <w:link w:val="Header"/>
    <w:rsid w:val="00A06DF8"/>
    <w:rPr>
      <w:b/>
      <w:sz w:val="18"/>
      <w:lang w:val="fr-FR" w:eastAsia="en-US"/>
    </w:rPr>
  </w:style>
  <w:style w:type="character" w:customStyle="1" w:styleId="BBTitleChar">
    <w:name w:val="BB_Title Char"/>
    <w:link w:val="BBTitle"/>
    <w:rsid w:val="00A06DF8"/>
    <w:rPr>
      <w:b/>
      <w:sz w:val="28"/>
      <w:szCs w:val="28"/>
      <w:lang w:val="fr-CA" w:eastAsia="en-US"/>
    </w:rPr>
  </w:style>
  <w:style w:type="paragraph" w:customStyle="1" w:styleId="Default">
    <w:name w:val="Default"/>
    <w:uiPriority w:val="99"/>
    <w:rsid w:val="00A06DF8"/>
    <w:pPr>
      <w:autoSpaceDE w:val="0"/>
      <w:autoSpaceDN w:val="0"/>
      <w:adjustRightInd w:val="0"/>
    </w:pPr>
    <w:rPr>
      <w:rFonts w:eastAsia="Calibri"/>
      <w:color w:val="000000"/>
      <w:sz w:val="24"/>
      <w:szCs w:val="24"/>
      <w:lang w:val="fr-CH" w:eastAsia="en-US"/>
    </w:rPr>
  </w:style>
  <w:style w:type="character" w:customStyle="1" w:styleId="hps">
    <w:name w:val="hps"/>
    <w:uiPriority w:val="99"/>
    <w:rsid w:val="00A06DF8"/>
    <w:rPr>
      <w:rFonts w:cs="Times New Roman"/>
    </w:rPr>
  </w:style>
  <w:style w:type="paragraph" w:styleId="NormalWeb">
    <w:name w:val="Normal (Web)"/>
    <w:basedOn w:val="Normal"/>
    <w:uiPriority w:val="99"/>
    <w:unhideWhenUsed/>
    <w:rsid w:val="00A06DF8"/>
    <w:pPr>
      <w:tabs>
        <w:tab w:val="clear" w:pos="1247"/>
        <w:tab w:val="clear" w:pos="1814"/>
        <w:tab w:val="clear" w:pos="2381"/>
        <w:tab w:val="clear" w:pos="2948"/>
        <w:tab w:val="clear" w:pos="3515"/>
      </w:tabs>
      <w:spacing w:before="100" w:beforeAutospacing="1" w:after="100" w:afterAutospacing="1"/>
    </w:pPr>
    <w:rPr>
      <w:sz w:val="24"/>
      <w:szCs w:val="24"/>
      <w:lang w:val="en-GB" w:eastAsia="zh-CN"/>
    </w:rPr>
  </w:style>
  <w:style w:type="character" w:customStyle="1" w:styleId="Hyperlink0">
    <w:name w:val="Hyperlink.0"/>
    <w:rsid w:val="00A06DF8"/>
    <w:rPr>
      <w:rFonts w:cs="Times New Roman"/>
      <w:lang w:val="en-US" w:eastAsia="x-none"/>
    </w:rPr>
  </w:style>
  <w:style w:type="numbering" w:customStyle="1" w:styleId="Importeradestilen14">
    <w:name w:val="Importerade stilen 14"/>
    <w:rsid w:val="00A06DF8"/>
    <w:pPr>
      <w:numPr>
        <w:numId w:val="7"/>
      </w:numPr>
    </w:pPr>
  </w:style>
  <w:style w:type="numbering" w:customStyle="1" w:styleId="Importeradestilen15">
    <w:name w:val="Importerade stilen 15"/>
    <w:rsid w:val="00A06DF8"/>
    <w:pPr>
      <w:numPr>
        <w:numId w:val="8"/>
      </w:numPr>
    </w:pPr>
  </w:style>
  <w:style w:type="numbering" w:customStyle="1" w:styleId="Importeradestilen12">
    <w:name w:val="Importerade stilen 12"/>
    <w:rsid w:val="00A06DF8"/>
    <w:pPr>
      <w:numPr>
        <w:numId w:val="6"/>
      </w:numPr>
    </w:pPr>
  </w:style>
  <w:style w:type="character" w:styleId="Strong">
    <w:name w:val="Strong"/>
    <w:uiPriority w:val="22"/>
    <w:qFormat/>
    <w:rsid w:val="007D528E"/>
    <w:rPr>
      <w:b/>
      <w:bCs/>
    </w:rPr>
  </w:style>
  <w:style w:type="character" w:customStyle="1" w:styleId="uficommentbody">
    <w:name w:val="uficommentbody"/>
    <w:rsid w:val="007D528E"/>
  </w:style>
  <w:style w:type="character" w:customStyle="1" w:styleId="NormalnumberChar">
    <w:name w:val="Normal_number Char"/>
    <w:link w:val="Normalnumber"/>
    <w:locked/>
    <w:rsid w:val="00677C61"/>
    <w:rPr>
      <w:lang w:val="fr-FR" w:eastAsia="en-US"/>
    </w:rPr>
  </w:style>
  <w:style w:type="numbering" w:customStyle="1" w:styleId="NoList1">
    <w:name w:val="No List1"/>
    <w:next w:val="NoList"/>
    <w:semiHidden/>
    <w:rsid w:val="00E81510"/>
  </w:style>
  <w:style w:type="table" w:customStyle="1" w:styleId="AATable1">
    <w:name w:val="AA_Table1"/>
    <w:basedOn w:val="TableNormal"/>
    <w:semiHidden/>
    <w:rsid w:val="00E81510"/>
    <w:rPr>
      <w:lang w:val="en-US" w:eastAsia="en-US"/>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numbering" w:customStyle="1" w:styleId="Normallist1">
    <w:name w:val="Normal_list1"/>
    <w:basedOn w:val="NoList"/>
    <w:semiHidden/>
    <w:rsid w:val="00E81510"/>
  </w:style>
  <w:style w:type="paragraph" w:styleId="BodyText">
    <w:name w:val="Body Text"/>
    <w:basedOn w:val="Normal"/>
    <w:link w:val="BodyTextChar"/>
    <w:rsid w:val="00A6475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A6475E"/>
    <w:rPr>
      <w:rFonts w:eastAsia="SimSun"/>
      <w:sz w:val="22"/>
      <w:szCs w:val="24"/>
      <w:lang w:val="en-US" w:eastAsia="en-US"/>
    </w:rPr>
  </w:style>
  <w:style w:type="paragraph" w:styleId="TOCHeading">
    <w:name w:val="TOC Heading"/>
    <w:basedOn w:val="Heading1"/>
    <w:next w:val="Normal"/>
    <w:uiPriority w:val="39"/>
    <w:unhideWhenUsed/>
    <w:qFormat/>
    <w:rsid w:val="00B27BE2"/>
    <w:pPr>
      <w:keepLines/>
      <w:tabs>
        <w:tab w:val="clear" w:pos="1247"/>
        <w:tab w:val="clear" w:pos="1814"/>
        <w:tab w:val="clear" w:pos="2381"/>
        <w:tab w:val="clear" w:pos="2948"/>
        <w:tab w:val="clear" w:pos="3515"/>
      </w:tabs>
      <w:spacing w:before="480" w:after="0" w:line="276" w:lineRule="auto"/>
      <w:ind w:left="0" w:firstLine="0"/>
      <w:outlineLvl w:val="9"/>
    </w:pPr>
    <w:rPr>
      <w:rFonts w:asciiTheme="majorHAnsi" w:eastAsiaTheme="majorEastAsia" w:hAnsiTheme="majorHAnsi" w:cstheme="majorBidi"/>
      <w:bCs/>
      <w:color w:val="365F91" w:themeColor="accent1" w:themeShade="BF"/>
      <w:szCs w:val="28"/>
      <w:lang w:eastAsia="fr-FR"/>
    </w:rPr>
  </w:style>
  <w:style w:type="numbering" w:customStyle="1" w:styleId="Normallist2">
    <w:name w:val="Normal_list2"/>
    <w:basedOn w:val="NoList"/>
    <w:rsid w:val="006C30B5"/>
    <w:pPr>
      <w:numPr>
        <w:numId w:val="13"/>
      </w:numPr>
    </w:pPr>
  </w:style>
  <w:style w:type="character" w:customStyle="1" w:styleId="DeltaViewMoveDestination">
    <w:name w:val="DeltaView Move Destination"/>
    <w:uiPriority w:val="99"/>
    <w:rsid w:val="006C30B5"/>
    <w:rPr>
      <w:color w:val="00C000"/>
      <w:u w:val="double"/>
    </w:rPr>
  </w:style>
  <w:style w:type="numbering" w:customStyle="1" w:styleId="WWNum25">
    <w:name w:val="WWNum25"/>
    <w:rsid w:val="006C30B5"/>
    <w:pPr>
      <w:numPr>
        <w:numId w:val="9"/>
      </w:numPr>
    </w:p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6C30B5"/>
    <w:rPr>
      <w:lang w:val="fr-FR" w:eastAsia="en-US"/>
    </w:rPr>
  </w:style>
  <w:style w:type="numbering" w:customStyle="1" w:styleId="ImportedStyle2">
    <w:name w:val="Imported Style 2"/>
    <w:rsid w:val="006C30B5"/>
    <w:pPr>
      <w:numPr>
        <w:numId w:val="10"/>
      </w:numPr>
    </w:pPr>
  </w:style>
  <w:style w:type="paragraph" w:customStyle="1" w:styleId="Text">
    <w:name w:val="Text"/>
    <w:rsid w:val="006C30B5"/>
    <w:pPr>
      <w:pBdr>
        <w:top w:val="nil"/>
        <w:left w:val="nil"/>
        <w:bottom w:val="nil"/>
        <w:right w:val="nil"/>
        <w:between w:val="nil"/>
        <w:bar w:val="nil"/>
      </w:pBdr>
      <w:suppressAutoHyphens/>
    </w:pPr>
    <w:rPr>
      <w:rFonts w:eastAsia="Arial Unicode MS" w:cs="Arial Unicode MS"/>
      <w:color w:val="000000"/>
      <w:u w:color="000000"/>
      <w:bdr w:val="nil"/>
      <w:lang w:val="en-US"/>
    </w:rPr>
  </w:style>
  <w:style w:type="numbering" w:customStyle="1" w:styleId="Importovanstyl6">
    <w:name w:val="Importovaný styl 6"/>
    <w:rsid w:val="006C30B5"/>
    <w:pPr>
      <w:numPr>
        <w:numId w:val="11"/>
      </w:numPr>
    </w:pPr>
  </w:style>
  <w:style w:type="numbering" w:customStyle="1" w:styleId="Importovanstyl9">
    <w:name w:val="Importovaný styl 9"/>
    <w:rsid w:val="006C30B5"/>
    <w:pPr>
      <w:numPr>
        <w:numId w:val="12"/>
      </w:numPr>
    </w:pPr>
  </w:style>
  <w:style w:type="character" w:customStyle="1" w:styleId="NormalpoolChar">
    <w:name w:val="Normal_pool Char"/>
    <w:link w:val="Normalpool"/>
    <w:locked/>
    <w:rsid w:val="006C30B5"/>
    <w:rPr>
      <w:lang w:val="fr-CA" w:eastAsia="en-US"/>
    </w:r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nhideWhenUsed/>
    <w:rsid w:val="006C30B5"/>
    <w:pPr>
      <w:tabs>
        <w:tab w:val="clear" w:pos="1247"/>
        <w:tab w:val="clear" w:pos="1814"/>
        <w:tab w:val="clear" w:pos="2381"/>
        <w:tab w:val="clear" w:pos="2948"/>
        <w:tab w:val="clear" w:pos="3515"/>
      </w:tabs>
      <w:spacing w:before="120" w:after="160" w:line="240" w:lineRule="exact"/>
    </w:pPr>
    <w:rPr>
      <w:szCs w:val="18"/>
      <w:vertAlign w:val="superscript"/>
      <w:lang w:val="en-GB" w:eastAsia="zh-CN"/>
    </w:rPr>
  </w:style>
  <w:style w:type="character" w:styleId="UnresolvedMention">
    <w:name w:val="Unresolved Mention"/>
    <w:basedOn w:val="DefaultParagraphFont"/>
    <w:uiPriority w:val="99"/>
    <w:semiHidden/>
    <w:unhideWhenUsed/>
    <w:rsid w:val="006C3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3418">
      <w:bodyDiv w:val="1"/>
      <w:marLeft w:val="0"/>
      <w:marRight w:val="0"/>
      <w:marTop w:val="0"/>
      <w:marBottom w:val="0"/>
      <w:divBdr>
        <w:top w:val="none" w:sz="0" w:space="0" w:color="auto"/>
        <w:left w:val="none" w:sz="0" w:space="0" w:color="auto"/>
        <w:bottom w:val="none" w:sz="0" w:space="0" w:color="auto"/>
        <w:right w:val="none" w:sz="0" w:space="0" w:color="auto"/>
      </w:divBdr>
    </w:div>
    <w:div w:id="303657405">
      <w:bodyDiv w:val="1"/>
      <w:marLeft w:val="0"/>
      <w:marRight w:val="0"/>
      <w:marTop w:val="0"/>
      <w:marBottom w:val="0"/>
      <w:divBdr>
        <w:top w:val="none" w:sz="0" w:space="0" w:color="auto"/>
        <w:left w:val="none" w:sz="0" w:space="0" w:color="auto"/>
        <w:bottom w:val="none" w:sz="0" w:space="0" w:color="auto"/>
        <w:right w:val="none" w:sz="0" w:space="0" w:color="auto"/>
      </w:divBdr>
    </w:div>
    <w:div w:id="322317045">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45917365">
      <w:bodyDiv w:val="1"/>
      <w:marLeft w:val="0"/>
      <w:marRight w:val="0"/>
      <w:marTop w:val="0"/>
      <w:marBottom w:val="0"/>
      <w:divBdr>
        <w:top w:val="none" w:sz="0" w:space="0" w:color="auto"/>
        <w:left w:val="none" w:sz="0" w:space="0" w:color="auto"/>
        <w:bottom w:val="none" w:sz="0" w:space="0" w:color="auto"/>
        <w:right w:val="none" w:sz="0" w:space="0" w:color="auto"/>
      </w:divBdr>
    </w:div>
    <w:div w:id="620653541">
      <w:bodyDiv w:val="1"/>
      <w:marLeft w:val="0"/>
      <w:marRight w:val="0"/>
      <w:marTop w:val="0"/>
      <w:marBottom w:val="0"/>
      <w:divBdr>
        <w:top w:val="none" w:sz="0" w:space="0" w:color="auto"/>
        <w:left w:val="none" w:sz="0" w:space="0" w:color="auto"/>
        <w:bottom w:val="none" w:sz="0" w:space="0" w:color="auto"/>
        <w:right w:val="none" w:sz="0" w:space="0" w:color="auto"/>
      </w:divBdr>
    </w:div>
    <w:div w:id="750586826">
      <w:bodyDiv w:val="1"/>
      <w:marLeft w:val="0"/>
      <w:marRight w:val="0"/>
      <w:marTop w:val="0"/>
      <w:marBottom w:val="0"/>
      <w:divBdr>
        <w:top w:val="none" w:sz="0" w:space="0" w:color="auto"/>
        <w:left w:val="none" w:sz="0" w:space="0" w:color="auto"/>
        <w:bottom w:val="none" w:sz="0" w:space="0" w:color="auto"/>
        <w:right w:val="none" w:sz="0" w:space="0" w:color="auto"/>
      </w:divBdr>
    </w:div>
    <w:div w:id="918363720">
      <w:bodyDiv w:val="1"/>
      <w:marLeft w:val="0"/>
      <w:marRight w:val="0"/>
      <w:marTop w:val="0"/>
      <w:marBottom w:val="0"/>
      <w:divBdr>
        <w:top w:val="none" w:sz="0" w:space="0" w:color="auto"/>
        <w:left w:val="none" w:sz="0" w:space="0" w:color="auto"/>
        <w:bottom w:val="none" w:sz="0" w:space="0" w:color="auto"/>
        <w:right w:val="none" w:sz="0" w:space="0" w:color="auto"/>
      </w:divBdr>
      <w:divsChild>
        <w:div w:id="1078987041">
          <w:marLeft w:val="0"/>
          <w:marRight w:val="0"/>
          <w:marTop w:val="0"/>
          <w:marBottom w:val="0"/>
          <w:divBdr>
            <w:top w:val="none" w:sz="0" w:space="0" w:color="auto"/>
            <w:left w:val="none" w:sz="0" w:space="0" w:color="auto"/>
            <w:bottom w:val="none" w:sz="0" w:space="0" w:color="auto"/>
            <w:right w:val="none" w:sz="0" w:space="0" w:color="auto"/>
          </w:divBdr>
        </w:div>
        <w:div w:id="1089347858">
          <w:marLeft w:val="0"/>
          <w:marRight w:val="0"/>
          <w:marTop w:val="0"/>
          <w:marBottom w:val="0"/>
          <w:divBdr>
            <w:top w:val="none" w:sz="0" w:space="0" w:color="auto"/>
            <w:left w:val="none" w:sz="0" w:space="0" w:color="auto"/>
            <w:bottom w:val="none" w:sz="0" w:space="0" w:color="auto"/>
            <w:right w:val="none" w:sz="0" w:space="0" w:color="auto"/>
          </w:divBdr>
        </w:div>
      </w:divsChild>
    </w:div>
    <w:div w:id="932280951">
      <w:bodyDiv w:val="1"/>
      <w:marLeft w:val="0"/>
      <w:marRight w:val="0"/>
      <w:marTop w:val="0"/>
      <w:marBottom w:val="0"/>
      <w:divBdr>
        <w:top w:val="none" w:sz="0" w:space="0" w:color="auto"/>
        <w:left w:val="none" w:sz="0" w:space="0" w:color="auto"/>
        <w:bottom w:val="none" w:sz="0" w:space="0" w:color="auto"/>
        <w:right w:val="none" w:sz="0" w:space="0" w:color="auto"/>
      </w:divBdr>
    </w:div>
    <w:div w:id="1034429132">
      <w:bodyDiv w:val="1"/>
      <w:marLeft w:val="0"/>
      <w:marRight w:val="0"/>
      <w:marTop w:val="0"/>
      <w:marBottom w:val="0"/>
      <w:divBdr>
        <w:top w:val="none" w:sz="0" w:space="0" w:color="auto"/>
        <w:left w:val="none" w:sz="0" w:space="0" w:color="auto"/>
        <w:bottom w:val="none" w:sz="0" w:space="0" w:color="auto"/>
        <w:right w:val="none" w:sz="0" w:space="0" w:color="auto"/>
      </w:divBdr>
    </w:div>
    <w:div w:id="117919449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67540681">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98476495">
      <w:bodyDiv w:val="1"/>
      <w:marLeft w:val="0"/>
      <w:marRight w:val="0"/>
      <w:marTop w:val="0"/>
      <w:marBottom w:val="0"/>
      <w:divBdr>
        <w:top w:val="none" w:sz="0" w:space="0" w:color="auto"/>
        <w:left w:val="none" w:sz="0" w:space="0" w:color="auto"/>
        <w:bottom w:val="none" w:sz="0" w:space="0" w:color="auto"/>
        <w:right w:val="none" w:sz="0" w:space="0" w:color="auto"/>
      </w:divBdr>
    </w:div>
    <w:div w:id="1464152639">
      <w:bodyDiv w:val="1"/>
      <w:marLeft w:val="0"/>
      <w:marRight w:val="0"/>
      <w:marTop w:val="0"/>
      <w:marBottom w:val="0"/>
      <w:divBdr>
        <w:top w:val="none" w:sz="0" w:space="0" w:color="auto"/>
        <w:left w:val="none" w:sz="0" w:space="0" w:color="auto"/>
        <w:bottom w:val="none" w:sz="0" w:space="0" w:color="auto"/>
        <w:right w:val="none" w:sz="0" w:space="0" w:color="auto"/>
      </w:divBdr>
    </w:div>
    <w:div w:id="1697152681">
      <w:bodyDiv w:val="1"/>
      <w:marLeft w:val="0"/>
      <w:marRight w:val="0"/>
      <w:marTop w:val="0"/>
      <w:marBottom w:val="0"/>
      <w:divBdr>
        <w:top w:val="none" w:sz="0" w:space="0" w:color="auto"/>
        <w:left w:val="none" w:sz="0" w:space="0" w:color="auto"/>
        <w:bottom w:val="none" w:sz="0" w:space="0" w:color="auto"/>
        <w:right w:val="none" w:sz="0" w:space="0" w:color="auto"/>
      </w:divBdr>
    </w:div>
    <w:div w:id="1883592303">
      <w:bodyDiv w:val="1"/>
      <w:marLeft w:val="0"/>
      <w:marRight w:val="0"/>
      <w:marTop w:val="0"/>
      <w:marBottom w:val="0"/>
      <w:divBdr>
        <w:top w:val="none" w:sz="0" w:space="0" w:color="auto"/>
        <w:left w:val="none" w:sz="0" w:space="0" w:color="auto"/>
        <w:bottom w:val="none" w:sz="0" w:space="0" w:color="auto"/>
        <w:right w:val="none" w:sz="0" w:space="0" w:color="auto"/>
      </w:divBdr>
    </w:div>
    <w:div w:id="21157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F1DD2-0274-4564-B3E0-A81F9B46A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FB5916-0AD7-47AD-80B5-6A826330C542}">
  <ds:schemaRefs>
    <ds:schemaRef ds:uri="http://schemas.microsoft.com/sharepoint/v3/contenttype/forms"/>
  </ds:schemaRefs>
</ds:datastoreItem>
</file>

<file path=customXml/itemProps3.xml><?xml version="1.0" encoding="utf-8"?>
<ds:datastoreItem xmlns:ds="http://schemas.openxmlformats.org/officeDocument/2006/customXml" ds:itemID="{B10A6080-9BB2-43D1-9D71-248B086CD7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0DE0B0-9038-4264-8046-E35EBB90E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711</Words>
  <Characters>4056</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Alexandru SOFRONI</cp:lastModifiedBy>
  <cp:revision>4</cp:revision>
  <cp:lastPrinted>2020-11-09T12:19:00Z</cp:lastPrinted>
  <dcterms:created xsi:type="dcterms:W3CDTF">2020-11-06T13:38:00Z</dcterms:created>
  <dcterms:modified xsi:type="dcterms:W3CDTF">2020-11-09T12:19:00Z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