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41FBC7A1"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DC22DC">
              <w:t>6</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087"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6D11DC52" w14:textId="77777777" w:rsidR="00366E23" w:rsidRDefault="00366E23" w:rsidP="00366E23">
      <w:pPr>
        <w:pStyle w:val="ZZAnxtitle"/>
      </w:pPr>
      <w:bookmarkStart w:id="4" w:name="_Toc14185194"/>
      <w:r>
        <w:t>Décision adoptée par la deuxième Conférence des Parties à la Convention de Minamata sur le mercure</w:t>
      </w:r>
    </w:p>
    <w:p w14:paraId="27BE876D" w14:textId="198676E2" w:rsidR="00DC22DC" w:rsidRPr="00E84EB9" w:rsidRDefault="00DC22DC" w:rsidP="00DC22DC">
      <w:pPr>
        <w:pStyle w:val="CH1"/>
      </w:pPr>
      <w:bookmarkStart w:id="5" w:name="_GoBack"/>
      <w:bookmarkEnd w:id="5"/>
      <w:r>
        <w:tab/>
      </w:r>
      <w:r>
        <w:tab/>
        <w:t>MC-2/6</w:t>
      </w:r>
      <w:r w:rsidRPr="00E84EB9">
        <w:t xml:space="preserve"> : </w:t>
      </w:r>
      <w:r>
        <w:t>S</w:t>
      </w:r>
      <w:r w:rsidRPr="00E84EB9">
        <w:t>tockage provisoire écologiquement rationnel du mercure, à l</w:t>
      </w:r>
      <w:r>
        <w:t>’</w:t>
      </w:r>
      <w:r w:rsidRPr="00E84EB9">
        <w:t>exclusion</w:t>
      </w:r>
      <w:r>
        <w:t xml:space="preserve"> des </w:t>
      </w:r>
      <w:r w:rsidRPr="00E84EB9">
        <w:t>déchets de mercure</w:t>
      </w:r>
      <w:bookmarkEnd w:id="4"/>
    </w:p>
    <w:p w14:paraId="535E2A2D" w14:textId="77777777" w:rsidR="00DC22DC" w:rsidRPr="00E84EB9" w:rsidRDefault="00DC22DC" w:rsidP="00DC22DC">
      <w:pPr>
        <w:pStyle w:val="NormalNonumber"/>
        <w:rPr>
          <w:i/>
          <w:lang w:val="fr-FR"/>
        </w:rPr>
      </w:pPr>
      <w:r>
        <w:rPr>
          <w:i/>
          <w:iCs/>
          <w:lang w:val="fr-FR"/>
        </w:rPr>
        <w:tab/>
      </w:r>
      <w:r w:rsidRPr="00E84EB9">
        <w:rPr>
          <w:i/>
          <w:iCs/>
          <w:lang w:val="fr-FR"/>
        </w:rPr>
        <w:t>La Conférence</w:t>
      </w:r>
      <w:r>
        <w:rPr>
          <w:i/>
          <w:iCs/>
          <w:lang w:val="fr-FR"/>
        </w:rPr>
        <w:t xml:space="preserve"> des </w:t>
      </w:r>
      <w:r w:rsidRPr="00E84EB9">
        <w:rPr>
          <w:i/>
          <w:iCs/>
          <w:lang w:val="fr-FR"/>
        </w:rPr>
        <w:t>Parties,</w:t>
      </w:r>
    </w:p>
    <w:p w14:paraId="5E84E86C" w14:textId="77777777" w:rsidR="00DC22DC" w:rsidRPr="00E84EB9" w:rsidRDefault="00DC22DC" w:rsidP="00DC22DC">
      <w:pPr>
        <w:pStyle w:val="NormalNonumber"/>
        <w:rPr>
          <w:lang w:val="fr-FR"/>
        </w:rPr>
      </w:pPr>
      <w:r>
        <w:rPr>
          <w:i/>
          <w:iCs/>
          <w:lang w:val="fr-FR"/>
        </w:rPr>
        <w:tab/>
      </w:r>
      <w:r w:rsidRPr="00E84EB9">
        <w:rPr>
          <w:i/>
          <w:iCs/>
          <w:lang w:val="fr-FR"/>
        </w:rPr>
        <w:t>Consciente</w:t>
      </w:r>
      <w:r w:rsidRPr="00E84EB9">
        <w:rPr>
          <w:lang w:val="fr-FR"/>
        </w:rPr>
        <w:t xml:space="preserve"> de</w:t>
      </w:r>
      <w:r>
        <w:rPr>
          <w:lang w:val="fr-FR"/>
        </w:rPr>
        <w:t xml:space="preserve"> la </w:t>
      </w:r>
      <w:r w:rsidRPr="00E84EB9">
        <w:rPr>
          <w:lang w:val="fr-FR"/>
        </w:rPr>
        <w:t>nécessité d</w:t>
      </w:r>
      <w:r>
        <w:rPr>
          <w:lang w:val="fr-FR"/>
        </w:rPr>
        <w:t>’</w:t>
      </w:r>
      <w:r w:rsidRPr="00E84EB9">
        <w:rPr>
          <w:lang w:val="fr-FR"/>
        </w:rPr>
        <w:t>aider</w:t>
      </w:r>
      <w:r>
        <w:rPr>
          <w:lang w:val="fr-FR"/>
        </w:rPr>
        <w:t xml:space="preserve"> les </w:t>
      </w:r>
      <w:r w:rsidRPr="00E84EB9">
        <w:rPr>
          <w:lang w:val="fr-FR"/>
        </w:rPr>
        <w:t xml:space="preserve">Parties </w:t>
      </w:r>
      <w:r>
        <w:rPr>
          <w:lang w:val="fr-FR"/>
        </w:rPr>
        <w:t>à assurer le </w:t>
      </w:r>
      <w:r w:rsidRPr="00E84EB9">
        <w:rPr>
          <w:lang w:val="fr-FR"/>
        </w:rPr>
        <w:t>stockage provisoire écologiquement rationnel du mercure, à l</w:t>
      </w:r>
      <w:r>
        <w:rPr>
          <w:lang w:val="fr-FR"/>
        </w:rPr>
        <w:t>’</w:t>
      </w:r>
      <w:r w:rsidRPr="00E84EB9">
        <w:rPr>
          <w:lang w:val="fr-FR"/>
        </w:rPr>
        <w:t>exclusion</w:t>
      </w:r>
      <w:r>
        <w:rPr>
          <w:lang w:val="fr-FR"/>
        </w:rPr>
        <w:t xml:space="preserve"> des </w:t>
      </w:r>
      <w:r w:rsidRPr="00E84EB9">
        <w:rPr>
          <w:lang w:val="fr-FR"/>
        </w:rPr>
        <w:t xml:space="preserve">déchets de mercure, </w:t>
      </w:r>
      <w:r>
        <w:rPr>
          <w:lang w:val="fr-FR"/>
        </w:rPr>
        <w:t>en leur fournissant des </w:t>
      </w:r>
      <w:r w:rsidRPr="00E84EB9">
        <w:rPr>
          <w:lang w:val="fr-FR"/>
        </w:rPr>
        <w:t>directives,</w:t>
      </w:r>
    </w:p>
    <w:p w14:paraId="2BD55C8A" w14:textId="77777777" w:rsidR="00DC22DC" w:rsidRPr="00E84EB9" w:rsidRDefault="00DC22DC" w:rsidP="00DC22DC">
      <w:pPr>
        <w:pStyle w:val="NormalNonumber"/>
        <w:rPr>
          <w:lang w:val="fr-FR"/>
        </w:rPr>
      </w:pPr>
      <w:r>
        <w:rPr>
          <w:iCs/>
          <w:lang w:val="fr-FR"/>
        </w:rPr>
        <w:tab/>
        <w:t>1.</w:t>
      </w:r>
      <w:r>
        <w:rPr>
          <w:iCs/>
          <w:lang w:val="fr-FR"/>
        </w:rPr>
        <w:tab/>
      </w:r>
      <w:r w:rsidRPr="00E84EB9">
        <w:rPr>
          <w:i/>
          <w:iCs/>
          <w:lang w:val="fr-FR"/>
        </w:rPr>
        <w:t>Adopte</w:t>
      </w:r>
      <w:r>
        <w:rPr>
          <w:i/>
          <w:iCs/>
          <w:lang w:val="fr-FR"/>
        </w:rPr>
        <w:t xml:space="preserve"> les </w:t>
      </w:r>
      <w:r>
        <w:rPr>
          <w:lang w:val="fr-FR"/>
        </w:rPr>
        <w:t>directives pour le </w:t>
      </w:r>
      <w:r w:rsidRPr="00E84EB9">
        <w:rPr>
          <w:lang w:val="fr-FR"/>
        </w:rPr>
        <w:t>stockage provisoire écologiquement rationnel du mercure, à</w:t>
      </w:r>
      <w:r>
        <w:rPr>
          <w:lang w:val="fr-FR"/>
        </w:rPr>
        <w:t> </w:t>
      </w:r>
      <w:r w:rsidRPr="00E84EB9">
        <w:rPr>
          <w:lang w:val="fr-FR"/>
        </w:rPr>
        <w:t>l</w:t>
      </w:r>
      <w:r>
        <w:rPr>
          <w:lang w:val="fr-FR"/>
        </w:rPr>
        <w:t>’</w:t>
      </w:r>
      <w:r w:rsidRPr="00E84EB9">
        <w:rPr>
          <w:lang w:val="fr-FR"/>
        </w:rPr>
        <w:t>exclusion</w:t>
      </w:r>
      <w:r>
        <w:rPr>
          <w:lang w:val="fr-FR"/>
        </w:rPr>
        <w:t xml:space="preserve"> des </w:t>
      </w:r>
      <w:r w:rsidRPr="00E84EB9">
        <w:rPr>
          <w:lang w:val="fr-FR"/>
        </w:rPr>
        <w:t>déchets de mercure</w:t>
      </w:r>
      <w:r>
        <w:rPr>
          <w:rStyle w:val="FootnoteReference"/>
          <w:lang w:val="fr-FR"/>
        </w:rPr>
        <w:footnoteReference w:id="2"/>
      </w:r>
      <w:r w:rsidRPr="00E84EB9">
        <w:rPr>
          <w:lang w:val="fr-FR"/>
        </w:rPr>
        <w:t>, et engage</w:t>
      </w:r>
      <w:r>
        <w:rPr>
          <w:lang w:val="fr-FR"/>
        </w:rPr>
        <w:t xml:space="preserve"> les </w:t>
      </w:r>
      <w:r w:rsidRPr="00E84EB9">
        <w:rPr>
          <w:lang w:val="fr-FR"/>
        </w:rPr>
        <w:t>Parties à en tenir compte lorsqu</w:t>
      </w:r>
      <w:r>
        <w:rPr>
          <w:lang w:val="fr-FR"/>
        </w:rPr>
        <w:t>’</w:t>
      </w:r>
      <w:r w:rsidRPr="00E84EB9">
        <w:rPr>
          <w:lang w:val="fr-FR"/>
        </w:rPr>
        <w:t>elles s</w:t>
      </w:r>
      <w:r>
        <w:rPr>
          <w:lang w:val="fr-FR"/>
        </w:rPr>
        <w:t>’</w:t>
      </w:r>
      <w:r w:rsidRPr="00E84EB9">
        <w:rPr>
          <w:lang w:val="fr-FR"/>
        </w:rPr>
        <w:t>acquittent de leur obligation de prendre</w:t>
      </w:r>
      <w:r>
        <w:rPr>
          <w:lang w:val="fr-FR"/>
        </w:rPr>
        <w:t xml:space="preserve"> des </w:t>
      </w:r>
      <w:r w:rsidRPr="00E84EB9">
        <w:rPr>
          <w:lang w:val="fr-FR"/>
        </w:rPr>
        <w:t>mesures pour veiller à ce que</w:t>
      </w:r>
      <w:r>
        <w:rPr>
          <w:lang w:val="fr-FR"/>
        </w:rPr>
        <w:t xml:space="preserve"> le </w:t>
      </w:r>
      <w:r w:rsidRPr="00E84EB9">
        <w:rPr>
          <w:lang w:val="fr-FR"/>
        </w:rPr>
        <w:t>stockage provisoire du mercure et</w:t>
      </w:r>
      <w:r>
        <w:rPr>
          <w:lang w:val="fr-FR"/>
        </w:rPr>
        <w:t xml:space="preserve"> des </w:t>
      </w:r>
      <w:r w:rsidRPr="00E84EB9">
        <w:rPr>
          <w:lang w:val="fr-FR"/>
        </w:rPr>
        <w:t>composés du mercure destinés à</w:t>
      </w:r>
      <w:r>
        <w:rPr>
          <w:lang w:val="fr-FR"/>
        </w:rPr>
        <w:t xml:space="preserve"> une </w:t>
      </w:r>
      <w:r w:rsidRPr="00E84EB9">
        <w:rPr>
          <w:lang w:val="fr-FR"/>
        </w:rPr>
        <w:t>utilisation permise à</w:t>
      </w:r>
      <w:r>
        <w:rPr>
          <w:lang w:val="fr-FR"/>
        </w:rPr>
        <w:t xml:space="preserve"> une </w:t>
      </w:r>
      <w:r w:rsidRPr="00E84EB9">
        <w:rPr>
          <w:lang w:val="fr-FR"/>
        </w:rPr>
        <w:t>Partie dans</w:t>
      </w:r>
      <w:r>
        <w:rPr>
          <w:lang w:val="fr-FR"/>
        </w:rPr>
        <w:t xml:space="preserve"> le </w:t>
      </w:r>
      <w:r w:rsidRPr="00E84EB9">
        <w:rPr>
          <w:lang w:val="fr-FR"/>
        </w:rPr>
        <w:t>cadre de</w:t>
      </w:r>
      <w:r>
        <w:rPr>
          <w:lang w:val="fr-FR"/>
        </w:rPr>
        <w:t xml:space="preserve"> la </w:t>
      </w:r>
      <w:r w:rsidRPr="00E84EB9">
        <w:rPr>
          <w:lang w:val="fr-FR"/>
        </w:rPr>
        <w:t>Convention soit effectué</w:t>
      </w:r>
      <w:r>
        <w:rPr>
          <w:lang w:val="fr-FR"/>
        </w:rPr>
        <w:t xml:space="preserve"> d’une</w:t>
      </w:r>
      <w:r w:rsidRPr="00E84EB9">
        <w:rPr>
          <w:lang w:val="fr-FR"/>
        </w:rPr>
        <w:t xml:space="preserve"> manière écologiquement rationnelle ;</w:t>
      </w:r>
    </w:p>
    <w:p w14:paraId="334BE3CA" w14:textId="77777777" w:rsidR="00DC22DC" w:rsidRPr="005430A6" w:rsidRDefault="00DC22DC" w:rsidP="00DC22DC">
      <w:pPr>
        <w:pStyle w:val="NormalNonumber"/>
        <w:rPr>
          <w:sz w:val="24"/>
          <w:szCs w:val="24"/>
          <w:lang w:val="fr-FR"/>
        </w:rPr>
      </w:pPr>
      <w:r>
        <w:rPr>
          <w:iCs/>
          <w:lang w:val="fr-FR"/>
        </w:rPr>
        <w:tab/>
        <w:t>2.</w:t>
      </w:r>
      <w:r>
        <w:rPr>
          <w:iCs/>
          <w:lang w:val="fr-FR"/>
        </w:rPr>
        <w:tab/>
      </w:r>
      <w:r w:rsidRPr="00E84EB9">
        <w:rPr>
          <w:i/>
          <w:iCs/>
          <w:lang w:val="fr-FR"/>
        </w:rPr>
        <w:t>Note</w:t>
      </w:r>
      <w:r w:rsidRPr="00E84EB9">
        <w:rPr>
          <w:lang w:val="fr-FR"/>
        </w:rPr>
        <w:t xml:space="preserve"> qu</w:t>
      </w:r>
      <w:r>
        <w:rPr>
          <w:lang w:val="fr-FR"/>
        </w:rPr>
        <w:t>’</w:t>
      </w:r>
      <w:r w:rsidRPr="00E84EB9">
        <w:rPr>
          <w:lang w:val="fr-FR"/>
        </w:rPr>
        <w:t>il sera peut-être nécessaire de réviser ces directives afin de garantir qu</w:t>
      </w:r>
      <w:r>
        <w:rPr>
          <w:lang w:val="fr-FR"/>
        </w:rPr>
        <w:t>’</w:t>
      </w:r>
      <w:r w:rsidRPr="00E84EB9">
        <w:rPr>
          <w:lang w:val="fr-FR"/>
        </w:rPr>
        <w:t>elles continuent de tenir compte</w:t>
      </w:r>
      <w:r>
        <w:rPr>
          <w:lang w:val="fr-FR"/>
        </w:rPr>
        <w:t xml:space="preserve"> des meilleures pratiques.</w:t>
      </w:r>
    </w:p>
    <w:p w14:paraId="29516043" w14:textId="099BD115" w:rsidR="003D22DE" w:rsidRPr="00CC5360" w:rsidRDefault="003D22DE" w:rsidP="00CC5360">
      <w:pPr>
        <w:tabs>
          <w:tab w:val="clear" w:pos="1247"/>
          <w:tab w:val="clear" w:pos="1814"/>
          <w:tab w:val="clear" w:pos="2381"/>
          <w:tab w:val="clear" w:pos="2948"/>
          <w:tab w:val="clear" w:pos="3515"/>
        </w:tabs>
        <w:rPr>
          <w:b/>
          <w:bCs/>
          <w:sz w:val="28"/>
          <w:szCs w:val="26"/>
        </w:rPr>
      </w:pPr>
    </w:p>
    <w:sectPr w:rsidR="003D22DE" w:rsidRPr="00CC5360"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55E7" w14:textId="77777777" w:rsidR="002E5EF6" w:rsidRDefault="002E5EF6">
      <w:r>
        <w:separator/>
      </w:r>
    </w:p>
  </w:endnote>
  <w:endnote w:type="continuationSeparator" w:id="0">
    <w:p w14:paraId="603394D5" w14:textId="77777777" w:rsidR="002E5EF6" w:rsidRDefault="002E5EF6">
      <w:r>
        <w:continuationSeparator/>
      </w:r>
    </w:p>
  </w:endnote>
  <w:endnote w:type="continuationNotice" w:id="1">
    <w:p w14:paraId="2D5EE135" w14:textId="77777777" w:rsidR="002E5EF6" w:rsidRDefault="002E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A6CB" w14:textId="77777777" w:rsidR="002E5EF6" w:rsidRDefault="002E5EF6" w:rsidP="00D92DE0">
      <w:pPr>
        <w:ind w:left="624"/>
      </w:pPr>
      <w:r>
        <w:separator/>
      </w:r>
    </w:p>
  </w:footnote>
  <w:footnote w:type="continuationSeparator" w:id="0">
    <w:p w14:paraId="5F058DDC" w14:textId="77777777" w:rsidR="002E5EF6" w:rsidRDefault="002E5EF6">
      <w:r>
        <w:continuationSeparator/>
      </w:r>
    </w:p>
  </w:footnote>
  <w:footnote w:type="continuationNotice" w:id="1">
    <w:p w14:paraId="32A525D8" w14:textId="77777777" w:rsidR="002E5EF6" w:rsidRDefault="002E5EF6"/>
  </w:footnote>
  <w:footnote w:id="2">
    <w:p w14:paraId="016E8511" w14:textId="77777777" w:rsidR="00DC22DC" w:rsidRPr="00E63A4C" w:rsidRDefault="00DC22DC" w:rsidP="00DC22DC">
      <w:pPr>
        <w:pStyle w:val="FootnoteText"/>
        <w:rPr>
          <w:lang w:val="fr-FR"/>
        </w:rPr>
      </w:pPr>
      <w:r w:rsidRPr="00263159">
        <w:rPr>
          <w:rStyle w:val="FootnoteReference"/>
        </w:rPr>
        <w:footnoteRef/>
      </w:r>
      <w:r w:rsidRPr="00E63A4C">
        <w:rPr>
          <w:lang w:val="fr-FR"/>
        </w:rPr>
        <w:t xml:space="preserve"> Les directives adopt</w:t>
      </w:r>
      <w:r>
        <w:rPr>
          <w:lang w:val="fr-FR"/>
        </w:rPr>
        <w:t>é</w:t>
      </w:r>
      <w:r w:rsidRPr="00E63A4C">
        <w:rPr>
          <w:lang w:val="fr-FR"/>
        </w:rPr>
        <w:t xml:space="preserve">es par la Conférence des Parties </w:t>
      </w:r>
      <w:r>
        <w:rPr>
          <w:lang w:val="fr-FR"/>
        </w:rPr>
        <w:t>à sa deuxième réunion ont été établies à partir du projet révisé figurant dans le document</w:t>
      </w:r>
      <w:r w:rsidRPr="00E63A4C">
        <w:rPr>
          <w:sz w:val="20"/>
          <w:szCs w:val="18"/>
          <w:lang w:val="fr-FR"/>
        </w:rPr>
        <w:t xml:space="preserve"> </w:t>
      </w:r>
      <w:r w:rsidRPr="00E63A4C">
        <w:rPr>
          <w:lang w:val="fr-FR"/>
        </w:rPr>
        <w:t>UNEP</w:t>
      </w:r>
      <w:r w:rsidRPr="00E63A4C">
        <w:rPr>
          <w:b/>
          <w:lang w:val="fr-FR"/>
        </w:rPr>
        <w:t>/</w:t>
      </w:r>
      <w:r w:rsidRPr="00E63A4C">
        <w:rPr>
          <w:lang w:val="fr-FR"/>
        </w:rPr>
        <w:t>MC/COP.2/5</w:t>
      </w:r>
      <w:r>
        <w:rPr>
          <w:lang w:val="fr-FR"/>
        </w:rPr>
        <w:t xml:space="preserve"> et sont présentées dans le document </w:t>
      </w:r>
      <w:r w:rsidRPr="00E63A4C">
        <w:rPr>
          <w:rStyle w:val="DeltaViewInsertion"/>
          <w:szCs w:val="18"/>
          <w:lang w:val="fr-FR"/>
        </w:rPr>
        <w:t>UNEP</w:t>
      </w:r>
      <w:r w:rsidRPr="00E63A4C">
        <w:rPr>
          <w:rStyle w:val="DeltaViewInsertion"/>
          <w:b/>
          <w:szCs w:val="18"/>
          <w:lang w:val="fr-FR"/>
        </w:rPr>
        <w:t>/</w:t>
      </w:r>
      <w:r w:rsidRPr="00E63A4C">
        <w:rPr>
          <w:rStyle w:val="DeltaViewInsertion"/>
          <w:szCs w:val="18"/>
          <w:lang w:val="fr-FR"/>
        </w:rPr>
        <w:t>MC/COP.2/</w:t>
      </w:r>
      <w:r>
        <w:rPr>
          <w:rStyle w:val="DeltaViewInsertion"/>
          <w:szCs w:val="18"/>
          <w:lang w:val="fr-FR"/>
        </w:rPr>
        <w:t>5/Rev.</w:t>
      </w:r>
      <w:r w:rsidRPr="00E63A4C">
        <w:rPr>
          <w:rStyle w:val="DeltaViewInsertion"/>
          <w:szCs w:val="18"/>
          <w:lang w:val="fr-FR"/>
        </w:rPr>
        <w:t xml:space="preserve">1, </w:t>
      </w:r>
      <w:r>
        <w:rPr>
          <w:rStyle w:val="DeltaViewInsertion"/>
          <w:szCs w:val="18"/>
          <w:lang w:val="fr-FR"/>
        </w:rPr>
        <w:t>qui est disponible sur le site Web de la Convention de Minamata sur le mercure.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E5EBE75"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6C30B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32C02638"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DC22DC">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654"/>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5EF6"/>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66E23"/>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192572641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F71DE-1B13-42E6-9749-D6EE5DE2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2020-11-09T12:18:00Z</cp:lastPrinted>
  <dcterms:created xsi:type="dcterms:W3CDTF">2020-11-06T13:35:00Z</dcterms:created>
  <dcterms:modified xsi:type="dcterms:W3CDTF">2020-11-09T12:18:00Z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