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1818D1C6"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DF6089">
              <w:t>5</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1350BED2" w14:textId="77777777" w:rsidR="00A82D50" w:rsidRPr="00A82D50" w:rsidRDefault="00A82D50" w:rsidP="00A82D50">
      <w:pPr>
        <w:pStyle w:val="CH1"/>
        <w:rPr>
          <w:lang w:val="es-ES"/>
        </w:rPr>
      </w:pPr>
      <w:r w:rsidRPr="00D632D2">
        <w:tab/>
      </w:r>
      <w:r w:rsidRPr="00D632D2">
        <w:tab/>
      </w:r>
      <w:bookmarkStart w:id="1" w:name="_Toc13135486"/>
      <w:r w:rsidRPr="00A82D50">
        <w:rPr>
          <w:lang w:val="es-ES"/>
        </w:rPr>
        <w:t>MC-2/5: Lugar y fecha de celebración de la tercera reunión de la Conferencia de las Partes y reuniones posteriores</w:t>
      </w:r>
      <w:bookmarkEnd w:id="1"/>
    </w:p>
    <w:p w14:paraId="1BB53CC8" w14:textId="77777777" w:rsidR="00A82D50" w:rsidRPr="00D632D2" w:rsidRDefault="00A82D50" w:rsidP="00A82D50">
      <w:pPr>
        <w:tabs>
          <w:tab w:val="left" w:pos="624"/>
        </w:tabs>
        <w:autoSpaceDE w:val="0"/>
        <w:adjustRightInd w:val="0"/>
        <w:spacing w:after="120"/>
        <w:ind w:left="1247" w:firstLine="624"/>
        <w:jc w:val="both"/>
      </w:pPr>
      <w:r w:rsidRPr="00D632D2">
        <w:rPr>
          <w:i/>
          <w:iCs/>
        </w:rPr>
        <w:t>La Conferencia de las Partes</w:t>
      </w:r>
    </w:p>
    <w:p w14:paraId="12E98ADE" w14:textId="77777777" w:rsidR="00A82D50" w:rsidRPr="00D632D2" w:rsidRDefault="00A82D50" w:rsidP="0036727E">
      <w:pPr>
        <w:pStyle w:val="ListParagraph"/>
        <w:numPr>
          <w:ilvl w:val="0"/>
          <w:numId w:val="12"/>
        </w:numPr>
        <w:tabs>
          <w:tab w:val="clear" w:pos="1247"/>
          <w:tab w:val="clear" w:pos="1814"/>
          <w:tab w:val="clear" w:pos="2381"/>
          <w:tab w:val="clear" w:pos="2948"/>
          <w:tab w:val="clear" w:pos="3515"/>
          <w:tab w:val="left" w:pos="624"/>
        </w:tabs>
        <w:autoSpaceDE w:val="0"/>
        <w:adjustRightInd w:val="0"/>
        <w:spacing w:after="120"/>
        <w:ind w:left="1247" w:firstLine="624"/>
      </w:pPr>
      <w:r w:rsidRPr="00D632D2">
        <w:rPr>
          <w:i/>
          <w:iCs/>
        </w:rPr>
        <w:t>Decide</w:t>
      </w:r>
      <w:r w:rsidRPr="00D632D2">
        <w:t xml:space="preserve"> que, a falta de otra oferta, la tercera reunión ordinaria de la Conferencia de las Partes se celebrará en Ginebra del 25 al 29 de noviembre de 2019;</w:t>
      </w:r>
    </w:p>
    <w:p w14:paraId="248121B2" w14:textId="77777777" w:rsidR="00A82D50" w:rsidRPr="00D632D2" w:rsidRDefault="00A82D50" w:rsidP="0036727E">
      <w:pPr>
        <w:pStyle w:val="ListParagraph"/>
        <w:numPr>
          <w:ilvl w:val="0"/>
          <w:numId w:val="12"/>
        </w:numPr>
        <w:tabs>
          <w:tab w:val="clear" w:pos="1247"/>
          <w:tab w:val="clear" w:pos="1814"/>
          <w:tab w:val="clear" w:pos="2381"/>
          <w:tab w:val="clear" w:pos="2948"/>
          <w:tab w:val="clear" w:pos="3515"/>
          <w:tab w:val="left" w:pos="624"/>
        </w:tabs>
        <w:autoSpaceDE w:val="0"/>
        <w:adjustRightInd w:val="0"/>
        <w:spacing w:after="120"/>
        <w:ind w:left="1247" w:firstLine="624"/>
      </w:pPr>
      <w:r w:rsidRPr="00D632D2">
        <w:rPr>
          <w:i/>
          <w:iCs/>
        </w:rPr>
        <w:t>Invita</w:t>
      </w:r>
      <w:r w:rsidRPr="00D632D2">
        <w:t xml:space="preserve"> a las Partes a presentar antes de la tercera reunión ordinaria ofertas para acoger la cuarta reunión ordinaria de la Conferencia de las Partes, y a proceder de la misma manera respecto de las reuniones ordinarias subsiguientes;</w:t>
      </w:r>
    </w:p>
    <w:p w14:paraId="08F6623D" w14:textId="77777777" w:rsidR="00A82D50" w:rsidRPr="00D632D2" w:rsidRDefault="00A82D50" w:rsidP="0036727E">
      <w:pPr>
        <w:pStyle w:val="ListParagraph"/>
        <w:numPr>
          <w:ilvl w:val="0"/>
          <w:numId w:val="12"/>
        </w:numPr>
        <w:tabs>
          <w:tab w:val="clear" w:pos="1247"/>
          <w:tab w:val="clear" w:pos="1814"/>
          <w:tab w:val="clear" w:pos="2381"/>
          <w:tab w:val="clear" w:pos="2948"/>
          <w:tab w:val="clear" w:pos="3515"/>
          <w:tab w:val="left" w:pos="624"/>
        </w:tabs>
        <w:autoSpaceDE w:val="0"/>
        <w:adjustRightInd w:val="0"/>
        <w:spacing w:after="120"/>
        <w:ind w:left="1247" w:firstLine="624"/>
      </w:pPr>
      <w:r w:rsidRPr="00D632D2">
        <w:rPr>
          <w:i/>
        </w:rPr>
        <w:t xml:space="preserve">Solicita </w:t>
      </w:r>
      <w:r w:rsidRPr="00D632D2">
        <w:t>a la Secretaria Ejecutiva que presente, antes de cada reunión ordinaria, una evaluación de las ofertas recibidas de conformidad con el párrafo 2 de la presente decisión, para su examen por la Conferencia de las Partes.</w:t>
      </w:r>
    </w:p>
    <w:p w14:paraId="3C9509C5" w14:textId="31BECEDD" w:rsidR="003476D8" w:rsidRPr="00A82D50" w:rsidRDefault="003476D8" w:rsidP="00A82D50">
      <w:pPr>
        <w:tabs>
          <w:tab w:val="clear" w:pos="1247"/>
          <w:tab w:val="clear" w:pos="1814"/>
          <w:tab w:val="clear" w:pos="2381"/>
          <w:tab w:val="clear" w:pos="2948"/>
          <w:tab w:val="clear" w:pos="3515"/>
        </w:tabs>
      </w:pPr>
      <w:bookmarkStart w:id="2" w:name="_GoBack"/>
      <w:bookmarkEnd w:id="2"/>
    </w:p>
    <w:sectPr w:rsidR="003476D8" w:rsidRPr="00A82D50"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C1ED" w14:textId="77777777" w:rsidR="0036727E" w:rsidRDefault="0036727E">
      <w:r>
        <w:separator/>
      </w:r>
    </w:p>
  </w:endnote>
  <w:endnote w:type="continuationSeparator" w:id="0">
    <w:p w14:paraId="67DABD67" w14:textId="77777777" w:rsidR="0036727E" w:rsidRDefault="0036727E">
      <w:r>
        <w:continuationSeparator/>
      </w:r>
    </w:p>
  </w:endnote>
  <w:endnote w:type="continuationNotice" w:id="1">
    <w:p w14:paraId="375467C8" w14:textId="77777777" w:rsidR="0036727E" w:rsidRDefault="00367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B1B5" w14:textId="77777777" w:rsidR="0036727E" w:rsidRPr="008D1ED6" w:rsidRDefault="0036727E"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2DE52B1A" w14:textId="77777777" w:rsidR="0036727E" w:rsidRDefault="0036727E">
      <w:r>
        <w:continuationSeparator/>
      </w:r>
    </w:p>
  </w:footnote>
  <w:footnote w:type="continuationNotice" w:id="1">
    <w:p w14:paraId="3B96A3CB" w14:textId="77777777" w:rsidR="0036727E" w:rsidRDefault="00367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89C57AA"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DF6089">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578937E7"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DF6089">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3"/>
  </w:num>
  <w:num w:numId="3">
    <w:abstractNumId w:val="8"/>
  </w:num>
  <w:num w:numId="4">
    <w:abstractNumId w:val="7"/>
  </w:num>
  <w:num w:numId="5">
    <w:abstractNumId w:val="0"/>
  </w:num>
  <w:num w:numId="6">
    <w:abstractNumId w:val="6"/>
  </w:num>
  <w:num w:numId="7">
    <w:abstractNumId w:val="9"/>
  </w:num>
  <w:num w:numId="8">
    <w:abstractNumId w:val="4"/>
  </w:num>
  <w:num w:numId="9">
    <w:abstractNumId w:val="10"/>
  </w:num>
  <w:num w:numId="10">
    <w:abstractNumId w:val="1"/>
  </w:num>
  <w:num w:numId="11">
    <w:abstractNumId w:val="5"/>
    <w:lvlOverride w:ilvl="0">
      <w:lvl w:ilvl="0" w:tplc="3C785296">
        <w:start w:val="1"/>
        <w:numFmt w:val="decimal"/>
        <w:pStyle w:val="Style1"/>
        <w:lvlText w:val="%1."/>
        <w:lvlJc w:val="left"/>
        <w:pPr>
          <w:ind w:left="720" w:hanging="360"/>
        </w:pPr>
      </w:lvl>
    </w:lvlOverride>
  </w:num>
  <w:num w:numId="12">
    <w:abstractNumId w:val="2"/>
    <w:lvlOverride w:ilvl="0">
      <w:lvl w:ilvl="0" w:tplc="2000000F">
        <w:start w:val="1"/>
        <w:numFmt w:val="decimal"/>
        <w:lvlText w:val="%1."/>
        <w:lvlJc w:val="left"/>
        <w:pPr>
          <w:ind w:left="2591" w:hanging="36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27E"/>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C2CC56CF-4B02-4774-8445-AF9A6BD4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2021-01-13T17:00:00Z</dcterms:created>
  <dcterms:modified xsi:type="dcterms:W3CDTF">2021-01-13T17:01:00Z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