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2316D8">
        <w:trPr>
          <w:cantSplit/>
          <w:trHeight w:val="850"/>
          <w:jc w:val="right"/>
        </w:trPr>
        <w:tc>
          <w:tcPr>
            <w:tcW w:w="269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09"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292"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2316D8">
        <w:trPr>
          <w:cantSplit/>
          <w:trHeight w:val="281"/>
          <w:jc w:val="right"/>
        </w:trPr>
        <w:tc>
          <w:tcPr>
            <w:tcW w:w="1521"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68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292" w:type="dxa"/>
            <w:tcBorders>
              <w:bottom w:val="single" w:sz="4" w:space="0" w:color="auto"/>
            </w:tcBorders>
          </w:tcPr>
          <w:p w14:paraId="3D105487" w14:textId="1D0CFE96"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2316D8">
              <w:rPr>
                <w:lang w:val="en-GB"/>
              </w:rPr>
              <w:t>2</w:t>
            </w:r>
            <w:r w:rsidR="006C310F">
              <w:rPr>
                <w:lang w:val="en-GB"/>
              </w:rPr>
              <w:t>/</w:t>
            </w:r>
            <w:r w:rsidR="006004E9">
              <w:rPr>
                <w:lang w:val="en-GB"/>
              </w:rPr>
              <w:t>Dec.</w:t>
            </w:r>
            <w:r w:rsidR="00C65D59">
              <w:rPr>
                <w:lang w:val="en-GB"/>
              </w:rPr>
              <w:t>4</w:t>
            </w:r>
          </w:p>
        </w:tc>
      </w:tr>
      <w:tr w:rsidR="00032E4E" w:rsidRPr="00A6122E" w14:paraId="0344FC84" w14:textId="77777777" w:rsidTr="002316D8">
        <w:trPr>
          <w:cantSplit/>
          <w:trHeight w:val="2549"/>
          <w:jc w:val="right"/>
        </w:trPr>
        <w:tc>
          <w:tcPr>
            <w:tcW w:w="1521"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8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292" w:type="dxa"/>
            <w:tcBorders>
              <w:top w:val="single" w:sz="4" w:space="0" w:color="auto"/>
              <w:bottom w:val="single" w:sz="24" w:space="0" w:color="auto"/>
            </w:tcBorders>
          </w:tcPr>
          <w:p w14:paraId="16160027" w14:textId="77777777" w:rsidR="002316D8"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Pr>
                <w:lang w:val="en-GB"/>
              </w:rPr>
              <w:t>General</w:t>
            </w:r>
          </w:p>
          <w:p w14:paraId="65108D37" w14:textId="77777777" w:rsidR="002316D8" w:rsidRPr="00620245" w:rsidRDefault="002316D8" w:rsidP="002316D8">
            <w:pPr>
              <w:tabs>
                <w:tab w:val="clear" w:pos="1247"/>
                <w:tab w:val="clear" w:pos="1814"/>
                <w:tab w:val="clear" w:pos="2381"/>
                <w:tab w:val="clear" w:pos="2948"/>
                <w:tab w:val="clear" w:pos="3515"/>
              </w:tabs>
              <w:rPr>
                <w:lang w:val="en-GB"/>
              </w:rPr>
            </w:pPr>
            <w:r>
              <w:rPr>
                <w:lang w:val="en-GB"/>
              </w:rPr>
              <w:t>6 December</w:t>
            </w:r>
            <w:r w:rsidRPr="00826AF3">
              <w:rPr>
                <w:lang w:val="en-GB"/>
              </w:rPr>
              <w:t xml:space="preserve"> 201</w:t>
            </w:r>
            <w:r>
              <w:rPr>
                <w:lang w:val="en-GB"/>
              </w:rPr>
              <w:t>8</w:t>
            </w:r>
          </w:p>
          <w:p w14:paraId="6F78AAFF" w14:textId="470667E6" w:rsidR="00032E4E"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347B989F" w14:textId="77777777" w:rsidR="002316D8" w:rsidRPr="00A54CB9" w:rsidRDefault="002316D8" w:rsidP="002316D8">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Pr="00A54CB9">
        <w:rPr>
          <w:b/>
        </w:rPr>
        <w:t>Минаматск</w:t>
      </w:r>
      <w:r>
        <w:rPr>
          <w:b/>
        </w:rPr>
        <w:t>ой</w:t>
      </w:r>
      <w:proofErr w:type="spellEnd"/>
      <w:r w:rsidRPr="00A54CB9">
        <w:rPr>
          <w:b/>
        </w:rPr>
        <w:t xml:space="preserve"> конвенци</w:t>
      </w:r>
      <w:r>
        <w:rPr>
          <w:b/>
        </w:rPr>
        <w:t>и</w:t>
      </w:r>
      <w:r w:rsidRPr="00A54CB9">
        <w:rPr>
          <w:b/>
        </w:rPr>
        <w:t xml:space="preserve"> о ртути</w:t>
      </w:r>
    </w:p>
    <w:p w14:paraId="049AE5AE" w14:textId="77777777" w:rsidR="002316D8" w:rsidRPr="00A54CB9" w:rsidRDefault="002316D8" w:rsidP="002316D8">
      <w:pPr>
        <w:tabs>
          <w:tab w:val="clear" w:pos="1247"/>
          <w:tab w:val="clear" w:pos="1814"/>
          <w:tab w:val="clear" w:pos="2381"/>
          <w:tab w:val="clear" w:pos="2948"/>
          <w:tab w:val="clear" w:pos="3515"/>
        </w:tabs>
        <w:rPr>
          <w:b/>
        </w:rPr>
      </w:pPr>
      <w:r>
        <w:rPr>
          <w:b/>
        </w:rPr>
        <w:t>Второе</w:t>
      </w:r>
      <w:r w:rsidRPr="00A54CB9">
        <w:rPr>
          <w:b/>
        </w:rPr>
        <w:t xml:space="preserve"> совещание</w:t>
      </w:r>
    </w:p>
    <w:p w14:paraId="4569F67D" w14:textId="77777777" w:rsidR="002316D8" w:rsidRDefault="002316D8" w:rsidP="002316D8">
      <w:pPr>
        <w:tabs>
          <w:tab w:val="clear" w:pos="1247"/>
          <w:tab w:val="clear" w:pos="1814"/>
          <w:tab w:val="clear" w:pos="2381"/>
          <w:tab w:val="clear" w:pos="2948"/>
          <w:tab w:val="clear" w:pos="3515"/>
        </w:tabs>
      </w:pPr>
      <w:r w:rsidRPr="00A54CB9">
        <w:t xml:space="preserve">Женева, </w:t>
      </w:r>
      <w:r>
        <w:t>19-23</w:t>
      </w:r>
      <w:r w:rsidRPr="00A54CB9">
        <w:t xml:space="preserve"> </w:t>
      </w:r>
      <w:r>
        <w:t>сентября</w:t>
      </w:r>
      <w:r w:rsidRPr="00A54CB9">
        <w:t xml:space="preserve"> 201</w:t>
      </w:r>
      <w:r>
        <w:t>8</w:t>
      </w:r>
      <w:r w:rsidRPr="00A54CB9">
        <w:t xml:space="preserve"> года</w:t>
      </w:r>
    </w:p>
    <w:p w14:paraId="3E0B65DB" w14:textId="77777777" w:rsidR="00A6122E" w:rsidRDefault="00A6122E" w:rsidP="00A6122E">
      <w:pPr>
        <w:tabs>
          <w:tab w:val="left" w:pos="720"/>
        </w:tabs>
        <w:spacing w:before="360" w:after="240"/>
        <w:ind w:left="1247" w:right="567"/>
        <w:rPr>
          <w:b/>
          <w:bCs/>
          <w:sz w:val="28"/>
          <w:szCs w:val="28"/>
        </w:rPr>
      </w:pPr>
      <w:r>
        <w:rPr>
          <w:b/>
          <w:bCs/>
          <w:sz w:val="28"/>
          <w:szCs w:val="28"/>
        </w:rPr>
        <w:t xml:space="preserve">Решение принятое на втором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43D06B88" w14:textId="117E9F99" w:rsidR="00C65D59" w:rsidRPr="00C65D59" w:rsidRDefault="00C65D59" w:rsidP="00C65D59">
      <w:pPr>
        <w:pStyle w:val="Heading1"/>
        <w:rPr>
          <w:sz w:val="28"/>
        </w:rPr>
      </w:pPr>
      <w:bookmarkStart w:id="2" w:name="_GoBack"/>
      <w:bookmarkEnd w:id="2"/>
      <w:r>
        <w:tab/>
      </w:r>
      <w:bookmarkStart w:id="3" w:name="_Toc13575449"/>
      <w:bookmarkStart w:id="4" w:name="_Toc13575573"/>
      <w:r w:rsidRPr="00C65D59">
        <w:rPr>
          <w:sz w:val="28"/>
        </w:rPr>
        <w:t xml:space="preserve">MК-2/4: </w:t>
      </w:r>
      <w:bookmarkStart w:id="5" w:name="_Hlk13477162"/>
      <w:r w:rsidRPr="00C65D59">
        <w:rPr>
          <w:sz w:val="28"/>
        </w:rPr>
        <w:t xml:space="preserve">Правила процедуры Комитета по осуществлению и соблюдению </w:t>
      </w:r>
      <w:proofErr w:type="spellStart"/>
      <w:r w:rsidRPr="00C65D59">
        <w:rPr>
          <w:sz w:val="28"/>
        </w:rPr>
        <w:t>Минаматской</w:t>
      </w:r>
      <w:proofErr w:type="spellEnd"/>
      <w:r w:rsidRPr="00C65D59">
        <w:rPr>
          <w:sz w:val="28"/>
        </w:rPr>
        <w:t xml:space="preserve"> конвенции о ртути</w:t>
      </w:r>
      <w:bookmarkEnd w:id="3"/>
      <w:bookmarkEnd w:id="4"/>
      <w:bookmarkEnd w:id="5"/>
    </w:p>
    <w:p w14:paraId="2DBA1C6B" w14:textId="77777777" w:rsidR="00C65D59" w:rsidRPr="00C65D59" w:rsidRDefault="00C65D59" w:rsidP="00C65D59">
      <w:pPr>
        <w:tabs>
          <w:tab w:val="clear" w:pos="1247"/>
          <w:tab w:val="clear" w:pos="1814"/>
          <w:tab w:val="clear" w:pos="2381"/>
          <w:tab w:val="clear" w:pos="2948"/>
          <w:tab w:val="clear" w:pos="3515"/>
        </w:tabs>
        <w:spacing w:after="120"/>
        <w:ind w:left="1247" w:firstLine="624"/>
        <w:rPr>
          <w:i/>
          <w:iCs/>
        </w:rPr>
      </w:pPr>
      <w:r w:rsidRPr="00C65D59">
        <w:rPr>
          <w:i/>
          <w:iCs/>
        </w:rPr>
        <w:t>Конференция Сторон,</w:t>
      </w:r>
    </w:p>
    <w:p w14:paraId="57E110CF"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rPr>
          <w:i/>
          <w:iCs/>
        </w:rPr>
        <w:t>ссылаясь</w:t>
      </w:r>
      <w:r w:rsidRPr="00C65D59">
        <w:t xml:space="preserve"> на пункт 5 статьи 15 </w:t>
      </w:r>
      <w:proofErr w:type="spellStart"/>
      <w:r w:rsidRPr="00C65D59">
        <w:t>Минаматской</w:t>
      </w:r>
      <w:proofErr w:type="spellEnd"/>
      <w:r w:rsidRPr="00C65D59">
        <w:t xml:space="preserve"> конвенции о ртути,</w:t>
      </w:r>
    </w:p>
    <w:p w14:paraId="704EAA2A"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rPr>
          <w:i/>
          <w:iCs/>
        </w:rPr>
        <w:t>рассмотрев</w:t>
      </w:r>
      <w:r w:rsidRPr="00C65D59">
        <w:t xml:space="preserve"> доклад Комитета по осуществлению и соблюдению</w:t>
      </w:r>
      <w:r w:rsidRPr="00C65D59">
        <w:rPr>
          <w:szCs w:val="18"/>
          <w:vertAlign w:val="superscript"/>
        </w:rPr>
        <w:footnoteReference w:id="1"/>
      </w:r>
      <w:r w:rsidRPr="00C65D59">
        <w:t>,</w:t>
      </w:r>
    </w:p>
    <w:p w14:paraId="14E30CB7"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rPr>
          <w:i/>
          <w:iCs/>
        </w:rPr>
        <w:t>с удовлетворением отмечая</w:t>
      </w:r>
      <w:r w:rsidRPr="00C65D59">
        <w:t xml:space="preserve"> работу Комитета,</w:t>
      </w:r>
    </w:p>
    <w:p w14:paraId="656B7AE8"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rPr>
          <w:i/>
          <w:iCs/>
        </w:rPr>
        <w:t>постановляет</w:t>
      </w:r>
      <w:r w:rsidRPr="00C65D59">
        <w:t xml:space="preserve"> принять правила процедуры Комитета по осуществлению и соблюдению, изложенные в приложении к настоящему решению.</w:t>
      </w:r>
    </w:p>
    <w:p w14:paraId="6756F97C"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 xml:space="preserve">Приложение к решению МК-2/4 </w:t>
      </w:r>
    </w:p>
    <w:p w14:paraId="0EADF6C5"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 xml:space="preserve">Правила процедуры Комитета по осуществлению и соблюдению </w:t>
      </w:r>
      <w:proofErr w:type="spellStart"/>
      <w:r w:rsidRPr="00C65D59">
        <w:rPr>
          <w:b/>
          <w:bCs/>
          <w:sz w:val="24"/>
          <w:szCs w:val="24"/>
        </w:rPr>
        <w:t>Минаматской</w:t>
      </w:r>
      <w:proofErr w:type="spellEnd"/>
      <w:r w:rsidRPr="00C65D59">
        <w:rPr>
          <w:b/>
          <w:bCs/>
          <w:sz w:val="24"/>
          <w:szCs w:val="24"/>
        </w:rPr>
        <w:t xml:space="preserve"> конвенции о ртути</w:t>
      </w:r>
    </w:p>
    <w:p w14:paraId="42E0AC8C" w14:textId="77777777" w:rsidR="00C65D59" w:rsidRPr="00C65D59" w:rsidRDefault="00C65D59" w:rsidP="00C65D59">
      <w:pPr>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I.</w:t>
      </w:r>
      <w:r w:rsidRPr="00C65D59">
        <w:rPr>
          <w:b/>
          <w:bCs/>
          <w:sz w:val="28"/>
          <w:szCs w:val="28"/>
        </w:rPr>
        <w:tab/>
        <w:t>Введение</w:t>
      </w:r>
    </w:p>
    <w:p w14:paraId="40484D8D"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1</w:t>
      </w:r>
    </w:p>
    <w:p w14:paraId="30D3FA22"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 xml:space="preserve">Настоящие правила процедуры применяются к Комитету по осуществлению и соблюдению </w:t>
      </w:r>
      <w:proofErr w:type="spellStart"/>
      <w:r w:rsidRPr="00C65D59">
        <w:t>Минаматской</w:t>
      </w:r>
      <w:proofErr w:type="spellEnd"/>
      <w:r w:rsidRPr="00C65D59">
        <w:t xml:space="preserve"> конвенции о ртути. </w:t>
      </w:r>
    </w:p>
    <w:p w14:paraId="4F2FB102"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2</w:t>
      </w:r>
    </w:p>
    <w:p w14:paraId="73A67E94"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Для целей настоящих правил:</w:t>
      </w:r>
    </w:p>
    <w:p w14:paraId="5552E056"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a)</w:t>
      </w:r>
      <w:r w:rsidRPr="00C65D59">
        <w:tab/>
        <w:t xml:space="preserve">«Конвенция» означает </w:t>
      </w:r>
      <w:proofErr w:type="spellStart"/>
      <w:r w:rsidRPr="00C65D59">
        <w:t>Минаматскую</w:t>
      </w:r>
      <w:proofErr w:type="spellEnd"/>
      <w:r w:rsidRPr="00C65D59">
        <w:t xml:space="preserve"> конвенцию о ртути, принятую в Кумамото, Япония, 10 октября 2013 года;</w:t>
      </w:r>
    </w:p>
    <w:p w14:paraId="677524B9"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b)</w:t>
      </w:r>
      <w:r w:rsidRPr="00C65D59">
        <w:tab/>
        <w:t>«Сторона» означает Сторону, как это определено в пункте g) статьи 2 Конвенции;</w:t>
      </w:r>
    </w:p>
    <w:p w14:paraId="140EB31D"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c)</w:t>
      </w:r>
      <w:r w:rsidRPr="00C65D59">
        <w:tab/>
        <w:t xml:space="preserve">«Конференция Сторон» означает Конференцию Сторон, учрежденную в соответствии со статьей 23 Конвенции; </w:t>
      </w:r>
    </w:p>
    <w:p w14:paraId="12FA1436"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lastRenderedPageBreak/>
        <w:t>d)</w:t>
      </w:r>
      <w:r w:rsidRPr="00C65D59">
        <w:tab/>
        <w:t>«Комитет» означает Комитет по осуществлению и соблюдению, учрежденный в соответствии с пунктом 1 статьи 15 Конвенции;</w:t>
      </w:r>
    </w:p>
    <w:p w14:paraId="1EE629B2"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e)</w:t>
      </w:r>
      <w:r w:rsidRPr="00C65D59">
        <w:tab/>
        <w:t>«совещание» означает любое совещание Комитета, созванное в соответствии с правилами 8 и 9;</w:t>
      </w:r>
    </w:p>
    <w:p w14:paraId="7EDA4F7A"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f)</w:t>
      </w:r>
      <w:r w:rsidRPr="00C65D59">
        <w:tab/>
        <w:t>«Председатель» и «заместитель Председателя» означают, соответственно, Председателя и заместителя Председателя Комитета, избранных в соответствии с пунктом 1 правила 4;</w:t>
      </w:r>
    </w:p>
    <w:p w14:paraId="1827F5E8"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g)</w:t>
      </w:r>
      <w:r w:rsidRPr="00C65D59">
        <w:tab/>
        <w:t>«член» означает члена Комитета, избранного или назначенного в качестве замены в соответствии с правилом 3;</w:t>
      </w:r>
    </w:p>
    <w:p w14:paraId="50117F0D"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h)</w:t>
      </w:r>
      <w:r w:rsidRPr="00C65D59">
        <w:tab/>
        <w:t xml:space="preserve">«секретариат» означает секретариат, учрежденный в соответствии с пунктом 1 статьи 24 Конвенции; </w:t>
      </w:r>
    </w:p>
    <w:p w14:paraId="4A43F149"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i)</w:t>
      </w:r>
      <w:r w:rsidRPr="00C65D59">
        <w:tab/>
        <w:t>«присутствующие и участвующие в голосовании Стороны» означает Стороны, присутствующие на совещании, на котором проводится голосование, и голосующие «за» или «против». Члены, воздерживающиеся от голосования, рассматриваются как не участвующие в голосовании. Для очных встреч «присутствующие» означает физически присутствующие. Для совещаний с использованием электронных средств «присутствующие» означает участие посредством телеконференций, видеоконференций и других электронных средств в соответствии с решением.</w:t>
      </w:r>
    </w:p>
    <w:p w14:paraId="2B8C5603" w14:textId="77777777" w:rsidR="00C65D59" w:rsidRPr="00C65D59" w:rsidRDefault="00C65D59" w:rsidP="00C65D59">
      <w:pPr>
        <w:keepNext/>
        <w:keepLines/>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II.</w:t>
      </w:r>
      <w:r w:rsidRPr="00C65D59">
        <w:rPr>
          <w:b/>
          <w:bCs/>
          <w:sz w:val="28"/>
          <w:szCs w:val="28"/>
        </w:rPr>
        <w:tab/>
        <w:t>Членский состав</w:t>
      </w:r>
    </w:p>
    <w:p w14:paraId="41CC786C" w14:textId="77777777" w:rsidR="00C65D59" w:rsidRPr="00C65D59" w:rsidRDefault="00C65D59" w:rsidP="00C65D59">
      <w:pPr>
        <w:keepNext/>
        <w:keepLines/>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3</w:t>
      </w:r>
    </w:p>
    <w:p w14:paraId="5C349E13"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В соответствии со статьей 15 Комитет состоит из 15 членов, назначаемых Сторонами и избираемых Конференцией Сторон с должным учетом справедливого географического представительства на основе пяти регионов Организации Объединенных Наций.</w:t>
      </w:r>
    </w:p>
    <w:p w14:paraId="69A12CBF"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2.</w:t>
      </w:r>
      <w:r w:rsidRPr="00C65D59">
        <w:tab/>
        <w:t>Члены Комитета обладают компетенцией в области, связанной с Конвенцией, и членский состав отражает надлежащий баланс экспертного потенциала.</w:t>
      </w:r>
    </w:p>
    <w:p w14:paraId="673E802A"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3.</w:t>
      </w:r>
      <w:r w:rsidRPr="00C65D59">
        <w:tab/>
        <w:t xml:space="preserve">Первый состав Комитета выполняет свои обязанности с окончания первого очередного совещания Конференции Сторон до окончания третьего очередного совещания Конференции Сторон. На своем третьем очередном совещании Конференция Сторон вновь изберет 10 членов из числа первых членов Комитета на один срок и изберет 5 новых членов на два срока. Впоследствии Конференция Сторон на каждом своем очередном совещании избирает на два полных срока новых членов вместо тех, чей срок полномочий истек или вскоре истекает. </w:t>
      </w:r>
    </w:p>
    <w:p w14:paraId="63C7B0DC"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4.</w:t>
      </w:r>
      <w:r w:rsidRPr="00C65D59">
        <w:tab/>
        <w:t xml:space="preserve">Срок полномочий члена начинается после окончания очередного совещания Конференции Сторон, на котором избирается этот член и завершается в конце следующего очередного совещания Конференции Сторон. Сроком полномочий является период с окончания очередного совещания Конференции Сторон до окончания следующего очередного совещания Конференции Сторон. </w:t>
      </w:r>
    </w:p>
    <w:p w14:paraId="7ED8CD72"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5.</w:t>
      </w:r>
      <w:r w:rsidRPr="00C65D59">
        <w:tab/>
        <w:t>Члены не могут исполнять свои обязанности в течение более чем двух сроков подряд.</w:t>
      </w:r>
    </w:p>
    <w:p w14:paraId="5E4E9356"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6.</w:t>
      </w:r>
      <w:r w:rsidRPr="00C65D59">
        <w:tab/>
        <w:t xml:space="preserve">Если член Комитета слагает с себя обязанности или по иным причинам не может завершить свой срок пребывания в должности или выполнять свои функции, Сторона, назначившая этого члена, назначает другого своего представителя вместо указанного должностного лица на оставшийся срок полномочий. </w:t>
      </w:r>
    </w:p>
    <w:p w14:paraId="07772D14" w14:textId="77777777" w:rsidR="00C65D59" w:rsidRPr="00C65D59" w:rsidRDefault="00C65D59" w:rsidP="00C65D59">
      <w:pPr>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III.</w:t>
      </w:r>
      <w:r w:rsidRPr="00C65D59">
        <w:rPr>
          <w:b/>
          <w:bCs/>
          <w:sz w:val="28"/>
          <w:szCs w:val="28"/>
        </w:rPr>
        <w:tab/>
        <w:t>Должностные лица</w:t>
      </w:r>
    </w:p>
    <w:p w14:paraId="0208FBC9"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4</w:t>
      </w:r>
    </w:p>
    <w:p w14:paraId="2DB0053E" w14:textId="77777777" w:rsidR="00C65D59" w:rsidRPr="00C65D59" w:rsidRDefault="00C65D59" w:rsidP="00C65D59">
      <w:pPr>
        <w:tabs>
          <w:tab w:val="clear" w:pos="1247"/>
          <w:tab w:val="clear" w:pos="1814"/>
          <w:tab w:val="clear" w:pos="2381"/>
          <w:tab w:val="clear" w:pos="2948"/>
          <w:tab w:val="clear" w:pos="3515"/>
        </w:tabs>
        <w:spacing w:after="120"/>
        <w:ind w:left="1248" w:firstLine="624"/>
      </w:pPr>
      <w:r w:rsidRPr="00C65D59">
        <w:t>1.</w:t>
      </w:r>
      <w:r w:rsidRPr="00C65D59">
        <w:tab/>
        <w:t xml:space="preserve">В ходе каждого очного совещания Комитета Председатель и заместитель Председателя, который выступает в качестве Докладчика, должны быть избраны из числа членов Комитета, присутствующих на совещании, с должным учетом справедливого географического представительства на основе пяти региональных групп Организации Объединенных Наций. </w:t>
      </w:r>
    </w:p>
    <w:p w14:paraId="54C5F058" w14:textId="77777777" w:rsidR="00C65D59" w:rsidRPr="00C65D59" w:rsidRDefault="00C65D59" w:rsidP="00C65D59">
      <w:pPr>
        <w:tabs>
          <w:tab w:val="clear" w:pos="1247"/>
          <w:tab w:val="clear" w:pos="1814"/>
          <w:tab w:val="clear" w:pos="2381"/>
          <w:tab w:val="clear" w:pos="2948"/>
          <w:tab w:val="clear" w:pos="3515"/>
        </w:tabs>
        <w:spacing w:after="120"/>
        <w:ind w:left="1248" w:firstLine="624"/>
      </w:pPr>
      <w:r w:rsidRPr="00C65D59">
        <w:lastRenderedPageBreak/>
        <w:t>2.</w:t>
      </w:r>
      <w:r w:rsidRPr="00C65D59">
        <w:tab/>
        <w:t xml:space="preserve">Эти должностные лица приступают к выполнению своих обязанностей на закрытии совещания, на котором они избираются, и осуществляют свои полномочия до закрытия следующего совещания Комитета. </w:t>
      </w:r>
    </w:p>
    <w:p w14:paraId="48A24220" w14:textId="77777777" w:rsidR="00C65D59" w:rsidRPr="00C65D59" w:rsidRDefault="00C65D59" w:rsidP="00C65D59">
      <w:pPr>
        <w:tabs>
          <w:tab w:val="clear" w:pos="1247"/>
          <w:tab w:val="clear" w:pos="1814"/>
          <w:tab w:val="clear" w:pos="2381"/>
          <w:tab w:val="clear" w:pos="2948"/>
          <w:tab w:val="clear" w:pos="3515"/>
        </w:tabs>
        <w:spacing w:after="120"/>
        <w:ind w:left="1248" w:firstLine="624"/>
      </w:pPr>
      <w:r w:rsidRPr="00C65D59">
        <w:t>3.</w:t>
      </w:r>
      <w:r w:rsidRPr="00C65D59">
        <w:tab/>
        <w:t xml:space="preserve">Должности Председателя и заместителя Председателя, как правило, подлежат ротации между региональными группами Организации Объединенных Наций. </w:t>
      </w:r>
    </w:p>
    <w:p w14:paraId="13CF9D85"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5</w:t>
      </w:r>
    </w:p>
    <w:p w14:paraId="1EDAAD44" w14:textId="77777777" w:rsidR="00C65D59" w:rsidRPr="00C65D59" w:rsidRDefault="00C65D59" w:rsidP="00C65D59">
      <w:pPr>
        <w:tabs>
          <w:tab w:val="clear" w:pos="1247"/>
          <w:tab w:val="clear" w:pos="1814"/>
          <w:tab w:val="clear" w:pos="2381"/>
          <w:tab w:val="clear" w:pos="2948"/>
          <w:tab w:val="clear" w:pos="3515"/>
        </w:tabs>
        <w:spacing w:after="120"/>
        <w:ind w:left="1248" w:firstLine="624"/>
      </w:pPr>
      <w:r w:rsidRPr="00C65D59">
        <w:t>1.</w:t>
      </w:r>
      <w:r w:rsidRPr="00C65D59">
        <w:tab/>
        <w:t>Помимо осуществления полномочий, которыми Председатель наделяется согласно другим положениям настоящих правил, Председатель открывает и закрывает совещание, председательствует на совещании, следит за соблюдением настоящих правил, предоставляет слово, ставит вопросы на голосование и объявляет решения. Председатель выносит постановления по порядку ведения совещания и в соответствии с настоящими правилами осуществляет полный контроль за ходом работы совещания и поддерживает на нем порядок.</w:t>
      </w:r>
    </w:p>
    <w:p w14:paraId="4635DB26" w14:textId="77777777" w:rsidR="00C65D59" w:rsidRPr="00C65D59" w:rsidRDefault="00C65D59" w:rsidP="00C65D59">
      <w:pPr>
        <w:tabs>
          <w:tab w:val="clear" w:pos="1247"/>
          <w:tab w:val="clear" w:pos="1814"/>
          <w:tab w:val="clear" w:pos="2381"/>
          <w:tab w:val="clear" w:pos="2948"/>
          <w:tab w:val="clear" w:pos="3515"/>
        </w:tabs>
        <w:spacing w:after="120"/>
        <w:ind w:left="1248" w:firstLine="624"/>
      </w:pPr>
      <w:r w:rsidRPr="00C65D59">
        <w:t>2.</w:t>
      </w:r>
      <w:r w:rsidRPr="00C65D59">
        <w:tab/>
        <w:t>Председатель может предлагать Комитету прекратить запись ораторов, ограничить время, предоставляемое ораторам, и число выступлений каждого оратора по одному вопросу, прервать или прекратить прения или прервать или закрыть совещание.</w:t>
      </w:r>
    </w:p>
    <w:p w14:paraId="1B252BA8" w14:textId="77777777" w:rsidR="00C65D59" w:rsidRPr="00C65D59" w:rsidRDefault="00C65D59" w:rsidP="00C65D59">
      <w:pPr>
        <w:tabs>
          <w:tab w:val="clear" w:pos="1247"/>
          <w:tab w:val="clear" w:pos="1814"/>
          <w:tab w:val="clear" w:pos="2381"/>
          <w:tab w:val="clear" w:pos="2948"/>
          <w:tab w:val="clear" w:pos="3515"/>
        </w:tabs>
        <w:spacing w:after="120"/>
        <w:ind w:left="1248" w:firstLine="624"/>
      </w:pPr>
      <w:r w:rsidRPr="00C65D59">
        <w:t>3.</w:t>
      </w:r>
      <w:r w:rsidRPr="00C65D59">
        <w:tab/>
        <w:t>При исполнении своих должностных функций Председатель подчиняется Комитету.</w:t>
      </w:r>
    </w:p>
    <w:p w14:paraId="7C088041" w14:textId="77777777" w:rsidR="00C65D59" w:rsidRPr="00C65D59" w:rsidRDefault="00C65D59" w:rsidP="00C65D59">
      <w:pPr>
        <w:keepNext/>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6</w:t>
      </w:r>
    </w:p>
    <w:p w14:paraId="6D2D2E9A"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Председатель в случае его временного отсутствия на совещании или части совещания назначает одного из заместителей Председателя исполняющим обязанности Председателя.</w:t>
      </w:r>
    </w:p>
    <w:p w14:paraId="7961C6D9"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2.</w:t>
      </w:r>
      <w:r w:rsidRPr="00C65D59">
        <w:tab/>
        <w:t>Заместитель Председателя, исполняющий обязанности Председателя, обладает полномочиями и обязанностями Председателя.</w:t>
      </w:r>
    </w:p>
    <w:p w14:paraId="37166B3E"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7</w:t>
      </w:r>
    </w:p>
    <w:p w14:paraId="721CFF77"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Если Председатель или заместитель Председателя слагает с себя обязанности или по иным причинам не может завершить свой срок пребывания в должности или выполнять свои функции, Комитет на своем последующем совещании избирает нового Председателя и заместителя Председателя из числа членов Комитета.</w:t>
      </w:r>
    </w:p>
    <w:p w14:paraId="5D815F2E" w14:textId="77777777" w:rsidR="00C65D59" w:rsidRPr="00C65D59" w:rsidRDefault="00C65D59" w:rsidP="00C65D59">
      <w:pPr>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IV.</w:t>
      </w:r>
      <w:r w:rsidRPr="00C65D59">
        <w:rPr>
          <w:b/>
          <w:bCs/>
          <w:sz w:val="28"/>
          <w:szCs w:val="28"/>
        </w:rPr>
        <w:tab/>
        <w:t>Совещания</w:t>
      </w:r>
    </w:p>
    <w:p w14:paraId="472D57BB"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8</w:t>
      </w:r>
    </w:p>
    <w:p w14:paraId="318B699E"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 xml:space="preserve">Секретариат в консультации с Председателем, принимает необходимые меры для проведения совещаний Комитета. Комитет обсуждает сроки проведения следующего совещания в конце совещания. </w:t>
      </w:r>
    </w:p>
    <w:p w14:paraId="4C5F8D37"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2.</w:t>
      </w:r>
      <w:r w:rsidRPr="00C65D59">
        <w:tab/>
        <w:t>Совещания могут проводиться с помощью электронных или иных средств, если Комитет сочтет, что обсуждаемые вопросы могли бы быть рассмотрены в этом ключе.</w:t>
      </w:r>
    </w:p>
    <w:p w14:paraId="08B96760"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9</w:t>
      </w:r>
    </w:p>
    <w:p w14:paraId="4BBF9309"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Если Комитет не примет иного решения, совещания Комитета проводятся очно по меньшей мере один раз в течение каждого межсессионного периода между очередными совещаниями Конференции Сторон.</w:t>
      </w:r>
    </w:p>
    <w:p w14:paraId="0F788CD9"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10</w:t>
      </w:r>
    </w:p>
    <w:p w14:paraId="1EC02CBD"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Секретариат уведомляет все Стороны о сроках и месте проведения каждого совещания не позднее чем за 60 дней до начала проведения соответствующего совещания.</w:t>
      </w:r>
    </w:p>
    <w:p w14:paraId="4D810236"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2.</w:t>
      </w:r>
      <w:r w:rsidRPr="00C65D59">
        <w:tab/>
        <w:t xml:space="preserve">Секретариат объявляет о дате и месте проведения следующего совещания Комитета на веб-сайте </w:t>
      </w:r>
      <w:proofErr w:type="spellStart"/>
      <w:r w:rsidRPr="00C65D59">
        <w:t>Минаматской</w:t>
      </w:r>
      <w:proofErr w:type="spellEnd"/>
      <w:r w:rsidRPr="00C65D59">
        <w:t xml:space="preserve"> конвенции.</w:t>
      </w:r>
    </w:p>
    <w:p w14:paraId="693EAA41" w14:textId="77777777" w:rsidR="00C65D59" w:rsidRPr="00C65D59" w:rsidRDefault="00C65D59" w:rsidP="00C65D59">
      <w:pPr>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V.</w:t>
      </w:r>
      <w:r w:rsidRPr="00C65D59">
        <w:rPr>
          <w:b/>
          <w:bCs/>
          <w:sz w:val="28"/>
          <w:szCs w:val="28"/>
        </w:rPr>
        <w:tab/>
        <w:t>Наблюдатели</w:t>
      </w:r>
    </w:p>
    <w:p w14:paraId="24167B3F"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11</w:t>
      </w:r>
    </w:p>
    <w:p w14:paraId="0D82EE7D"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lastRenderedPageBreak/>
        <w:t>Комитет может приглашать наблюдателей на свои совещания или их сегменты, если рассматриваемые им вопросы имеют непосредственное отношение к таким наблюдателям и если, по меньшей мере, большинство членов поддерживают такое решение. Приглашения наблюдателям направляются секретариатом по просьбе и от имени Комитета. Участие наблюдателей осуществляется за их собственный счет.</w:t>
      </w:r>
    </w:p>
    <w:p w14:paraId="7303F9A3"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12</w:t>
      </w:r>
    </w:p>
    <w:p w14:paraId="7A8CE64F"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Такие наблюдатели могут включать любые стороны, Организацию Объединенных Наций, ее специализированные учреждения, Международное агентство по атомной энергии, любое государство, не являющееся Стороной Конвенции, любой субъект, обеспечивающий функционирование механизма, указанного в пункте 5 статьи 13 Конвенции, а также любой орган или учреждение, будь то национальное или международное, правительственное или неправительственное, которое обладает компетенцией в вопросах, относящихся к сфере действия Конвенции, и допущено к участию в совещаниях Конференции Сторон, или какое</w:t>
      </w:r>
      <w:r w:rsidRPr="00C65D59">
        <w:noBreakHyphen/>
        <w:t>либо лицо с особыми экспертными знаниями, имеющими отношение к рассматриваемым вопросам.</w:t>
      </w:r>
    </w:p>
    <w:p w14:paraId="0A6C6DE6"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13</w:t>
      </w:r>
    </w:p>
    <w:p w14:paraId="7CC0B424"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 xml:space="preserve">Секретариат информирует Комитет о любых просьбах принять участие в работе совещания, полученных от наблюдателей, как это определено в правиле 12, и направляет приглашения этим наблюдателям в соответствии с правилом 11. Секретариат уведомляет тех, кто имеет право являться наблюдателями, в соответствии с правилом 12, о дате и месте проведения следующего совещания посредством объявления на веб-сайте </w:t>
      </w:r>
      <w:proofErr w:type="spellStart"/>
      <w:r w:rsidRPr="00C65D59">
        <w:t>Минаматской</w:t>
      </w:r>
      <w:proofErr w:type="spellEnd"/>
      <w:r w:rsidRPr="00C65D59">
        <w:t xml:space="preserve"> конвенции.</w:t>
      </w:r>
    </w:p>
    <w:p w14:paraId="07CBD400"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14</w:t>
      </w:r>
    </w:p>
    <w:p w14:paraId="3190AE7C"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В тех случаях, когда Комитет рассматривает вопрос, на основе конкретного представления, касающийся соблюдения отдельной Стороной, такая Сторона приглашается к участию в рассмотрении этого вопроса в Комитете. Такие совещания не должны быть открыты для наблюдателей, если только иное не согласовано Комитетом и соответствующей Стороной.</w:t>
      </w:r>
    </w:p>
    <w:p w14:paraId="1682A484"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15</w:t>
      </w:r>
    </w:p>
    <w:p w14:paraId="2CEE0AC9"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Обсуждения для подготовки рекомендаций или голосования по рекомендациям должны быть закрыты для всех наблюдателей.</w:t>
      </w:r>
    </w:p>
    <w:p w14:paraId="432088A7" w14:textId="77777777" w:rsidR="00C65D59" w:rsidRPr="00C65D59" w:rsidRDefault="00C65D59" w:rsidP="00C65D59">
      <w:pPr>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VI.</w:t>
      </w:r>
      <w:r w:rsidRPr="00C65D59">
        <w:rPr>
          <w:b/>
          <w:bCs/>
          <w:sz w:val="28"/>
          <w:szCs w:val="28"/>
        </w:rPr>
        <w:tab/>
        <w:t>Повестка дня</w:t>
      </w:r>
    </w:p>
    <w:p w14:paraId="52273B05"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16</w:t>
      </w:r>
    </w:p>
    <w:p w14:paraId="46100C2D"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По согласованию с Председателем секретариат подготавливает предварительную повестку дня каждого совещания.</w:t>
      </w:r>
    </w:p>
    <w:p w14:paraId="70B0009F"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17</w:t>
      </w:r>
    </w:p>
    <w:p w14:paraId="2B14D1A5"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Предварительная повестка дня каждого совещания при необходимости включает:</w:t>
      </w:r>
    </w:p>
    <w:p w14:paraId="58BB6069"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a)</w:t>
      </w:r>
      <w:r w:rsidRPr="00C65D59">
        <w:tab/>
        <w:t>вопросы, вытекающие из функций Комитета, как это предусмотрено в статье 15 Конвенции, включая любые представления Сторон в отношении соблюдения своих обязательств, которые получены по крайней мере за восемь недель до первого дня этого совещания;</w:t>
      </w:r>
    </w:p>
    <w:p w14:paraId="276E8233"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b)</w:t>
      </w:r>
      <w:r w:rsidRPr="00C65D59">
        <w:tab/>
        <w:t>пункты, которые было решено включить на предыдущем совещании;</w:t>
      </w:r>
    </w:p>
    <w:p w14:paraId="5585A123"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c)</w:t>
      </w:r>
      <w:r w:rsidRPr="00C65D59">
        <w:tab/>
        <w:t>пункты, указанные в правиле 21 настоящих правил процедуры;</w:t>
      </w:r>
    </w:p>
    <w:p w14:paraId="0283A7EA"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d)</w:t>
      </w:r>
      <w:r w:rsidRPr="00C65D59">
        <w:tab/>
        <w:t>программа работы Комитета, а также пункт, касающийся места, сроков и продолжительности его следующего совещания;</w:t>
      </w:r>
    </w:p>
    <w:p w14:paraId="0FCD7A94"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e)</w:t>
      </w:r>
      <w:r w:rsidRPr="00C65D59">
        <w:tab/>
        <w:t xml:space="preserve">любой пункт, предложенный какой-либо Стороной и поступивший в секретариат до распространения предварительной повестки дня. </w:t>
      </w:r>
    </w:p>
    <w:p w14:paraId="58E42694"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18</w:t>
      </w:r>
    </w:p>
    <w:p w14:paraId="43A8F00E"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Для каждого совещания предварительная повестка дня, вместе со вспомогательными документами, распространяется секретариатом среди членов не позднее чем за четыре недели до открытия совещания.</w:t>
      </w:r>
    </w:p>
    <w:p w14:paraId="430E1F54"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lastRenderedPageBreak/>
        <w:t>Правило 19</w:t>
      </w:r>
    </w:p>
    <w:p w14:paraId="0FD4B5FB"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Секретариатом, с согласия Председателя, в дополнительную предварительную повестку дня включается любой пункт, предложенный одним из членов и поступивший в секретариат после составления предварительной повестки дня совещания, но до открытия совещания.</w:t>
      </w:r>
    </w:p>
    <w:p w14:paraId="6E561734"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20</w:t>
      </w:r>
    </w:p>
    <w:p w14:paraId="77C5087E"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При утверждении повестки дня совещания Комитетом может приниматься решение о дополнении, исключении, перенесении сроков рассмотрения или изменении пунктов. В повестку дня могут добавляться лишь те пункты, которые, по мнению Комитета, носят неотложный и важный характер.</w:t>
      </w:r>
    </w:p>
    <w:p w14:paraId="5CE3CB79"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21</w:t>
      </w:r>
    </w:p>
    <w:p w14:paraId="2A01CAFB"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 xml:space="preserve">Если Комитетом не принимается иного решения, то любой пункт повестки дня совещания, рассмотрение которого не было завершено на соответствующем совещании, автоматически включается в предварительную повестку дня следующего совещания. </w:t>
      </w:r>
    </w:p>
    <w:p w14:paraId="21D4D9D9" w14:textId="77777777" w:rsidR="00C65D59" w:rsidRPr="00C65D59" w:rsidRDefault="00C65D59" w:rsidP="00C65D59">
      <w:pPr>
        <w:keepNext/>
        <w:keepLines/>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VII.</w:t>
      </w:r>
      <w:r w:rsidRPr="00C65D59">
        <w:rPr>
          <w:b/>
          <w:bCs/>
          <w:sz w:val="28"/>
          <w:szCs w:val="28"/>
        </w:rPr>
        <w:tab/>
        <w:t>Секретариат</w:t>
      </w:r>
    </w:p>
    <w:p w14:paraId="7DB62B6D" w14:textId="77777777" w:rsidR="00C65D59" w:rsidRPr="00C65D59" w:rsidRDefault="00C65D59" w:rsidP="00C65D59">
      <w:pPr>
        <w:keepNext/>
        <w:keepLines/>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22</w:t>
      </w:r>
    </w:p>
    <w:p w14:paraId="50ACED62" w14:textId="77777777" w:rsidR="00C65D59" w:rsidRPr="00C65D59" w:rsidRDefault="00C65D59" w:rsidP="00C65D59">
      <w:pPr>
        <w:keepNext/>
        <w:keepLines/>
        <w:tabs>
          <w:tab w:val="clear" w:pos="1247"/>
          <w:tab w:val="clear" w:pos="1814"/>
          <w:tab w:val="clear" w:pos="2381"/>
          <w:tab w:val="clear" w:pos="2948"/>
          <w:tab w:val="clear" w:pos="3515"/>
        </w:tabs>
        <w:spacing w:after="120"/>
        <w:ind w:left="1247" w:firstLine="624"/>
      </w:pPr>
      <w:r w:rsidRPr="00C65D59">
        <w:t>1.</w:t>
      </w:r>
      <w:r w:rsidRPr="00C65D59">
        <w:tab/>
        <w:t>Руководитель секретариата или представитель руководителя секретариата выполняет свои должностные функции на всех совещаниях Комитета.</w:t>
      </w:r>
    </w:p>
    <w:p w14:paraId="151B9AF3"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2.</w:t>
      </w:r>
      <w:r w:rsidRPr="00C65D59">
        <w:tab/>
        <w:t>Руководитель секретариата принимает меры для обеспечения персонала и услуг, необходимых Комитету, в рамках имеющихся ресурсов. Руководитель секретариата распоряжается персоналом и направляет его работу и деятельность по предоставлению услуг, а также оказывает соответствующую поддержку и консультативную помощь Председателю и заместителю Председателя Комитета.</w:t>
      </w:r>
    </w:p>
    <w:p w14:paraId="5F1427A7"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23</w:t>
      </w:r>
    </w:p>
    <w:p w14:paraId="23422788"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Помимо функций, указанных в других положениях настоящих правил, секретариат в соответствии с настоящими правилами:</w:t>
      </w:r>
    </w:p>
    <w:p w14:paraId="3BF35B88"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a)</w:t>
      </w:r>
      <w:r w:rsidRPr="00C65D59">
        <w:tab/>
        <w:t>обеспечивает устный перевод на совещании, который может потребоваться в соответствии с правилом 39;</w:t>
      </w:r>
    </w:p>
    <w:p w14:paraId="020B430E"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b)</w:t>
      </w:r>
      <w:r w:rsidRPr="00C65D59">
        <w:tab/>
        <w:t>собирает, переводит, как это может потребоваться в соответствии с правилом 40, тиражирует и распространяет документы совещания;</w:t>
      </w:r>
    </w:p>
    <w:p w14:paraId="051830FA"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c)</w:t>
      </w:r>
      <w:r w:rsidRPr="00C65D59">
        <w:tab/>
        <w:t>рассылает официальные документы совещания;</w:t>
      </w:r>
    </w:p>
    <w:p w14:paraId="0C1BA5D7"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d)</w:t>
      </w:r>
      <w:r w:rsidRPr="00C65D59">
        <w:tab/>
        <w:t>организует хранение документов совещания и отвечает за их сохранность.</w:t>
      </w:r>
    </w:p>
    <w:p w14:paraId="1BB5EA5C" w14:textId="77777777" w:rsidR="00C65D59" w:rsidRPr="00C65D59" w:rsidRDefault="00C65D59" w:rsidP="00C65D59">
      <w:pPr>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VIII.</w:t>
      </w:r>
      <w:r w:rsidRPr="00C65D59">
        <w:rPr>
          <w:b/>
          <w:bCs/>
          <w:sz w:val="28"/>
          <w:szCs w:val="28"/>
        </w:rPr>
        <w:tab/>
        <w:t>Порядок работы</w:t>
      </w:r>
    </w:p>
    <w:p w14:paraId="2CEC9E06"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24</w:t>
      </w:r>
    </w:p>
    <w:p w14:paraId="0C770D85"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 xml:space="preserve">Председатель не объявляет заседание в рамках совещания Комитета открытым и не разрешает проведение прений, если присутствует менее одной трети членов. Для принятия любого решения требуется присутствие двух третей членов. </w:t>
      </w:r>
    </w:p>
    <w:p w14:paraId="4E4E69C7"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25</w:t>
      </w:r>
    </w:p>
    <w:p w14:paraId="313CD58E"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Никто не может выступать на совещании, не получив предварительного разрешения Председателя. В соответствии с правилами 26 и 27 Председатель предоставляет слово ораторам в том порядке, в каком они заявляют о своем желании выступить. Секретариатом ведется список ораторов. Председатель может призвать оратора к порядку, если замечания оратора не относятся к обсуждаемому вопросу.</w:t>
      </w:r>
    </w:p>
    <w:p w14:paraId="05D96F66"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2.</w:t>
      </w:r>
      <w:r w:rsidRPr="00C65D59">
        <w:tab/>
        <w:t>По предложению Председателя или любого из членов Комитет может ограничить время, предоставляемое каждому оратору, и число выступлений каждого оратора по одному вопросу. До принятия решения два члена могут высказаться за предложение об установлении таких ограничений и два – против него. Если прения ограничиваются по времени, а оратор выходит за пределы выделенного времени, Председатель незамедлительно призывает оратора к порядку.</w:t>
      </w:r>
    </w:p>
    <w:p w14:paraId="0193421F"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lastRenderedPageBreak/>
        <w:t>Правило 26</w:t>
      </w:r>
    </w:p>
    <w:p w14:paraId="095C5D3B"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Во время обсуждения любого вопроса любой член может в любое время поднять вопрос по порядку ведения совещания, который незамедлительно решается Председателем в соответствии с настоящими правилами. Любой член может опротестовать постановление Председателя. Протест должен быть незамедлительно поставлен на голосование, и решение остается в силе, если оно не будет отклонено большинством присутствующих и участвующих в голосовании членов. Выступая по порядку ведения совещания, член не может высказываться по существу обсуждаемого вопроса.</w:t>
      </w:r>
    </w:p>
    <w:p w14:paraId="37715C3A" w14:textId="77777777" w:rsidR="00C65D59" w:rsidRPr="00C65D59" w:rsidRDefault="00C65D59" w:rsidP="00C65D59">
      <w:pPr>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27</w:t>
      </w:r>
    </w:p>
    <w:p w14:paraId="12EC0077"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С учетом правила 26 следующие предложения имеют, в указанном порядке, приоритет перед всеми другими предложениями:</w:t>
      </w:r>
    </w:p>
    <w:p w14:paraId="02DA99DE"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a)</w:t>
      </w:r>
      <w:r w:rsidRPr="00C65D59">
        <w:tab/>
        <w:t xml:space="preserve">о перерыве в работе совещания; </w:t>
      </w:r>
    </w:p>
    <w:p w14:paraId="174D9BD0"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b)</w:t>
      </w:r>
      <w:r w:rsidRPr="00C65D59">
        <w:tab/>
        <w:t>о закрытии совещания;</w:t>
      </w:r>
    </w:p>
    <w:p w14:paraId="175F3CF4"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c)</w:t>
      </w:r>
      <w:r w:rsidRPr="00C65D59">
        <w:tab/>
        <w:t>о перерыве в прениях по обсуждаемому вопросу;</w:t>
      </w:r>
    </w:p>
    <w:p w14:paraId="3BB22493"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d)</w:t>
      </w:r>
      <w:r w:rsidRPr="00C65D59">
        <w:tab/>
        <w:t>о прекращении прений по обсуждаемому вопросу.</w:t>
      </w:r>
    </w:p>
    <w:p w14:paraId="3C31DD44"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2.</w:t>
      </w:r>
      <w:r w:rsidRPr="00C65D59">
        <w:tab/>
        <w:t>Разрешение выступить по одному из предложений, перечисленных в подпунктах а)-d) пункта 1, дается лишь члену, внесшему это предложение, и дополнительно одному оратору, выступающему за это предложение, и двум, выступающим против, после чего данное предложение незамедлительно ставится на голосование.</w:t>
      </w:r>
    </w:p>
    <w:p w14:paraId="60024694" w14:textId="77777777" w:rsidR="00C65D59" w:rsidRPr="00C65D59" w:rsidRDefault="00C65D59" w:rsidP="00C65D59">
      <w:pPr>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IX.</w:t>
      </w:r>
      <w:r w:rsidRPr="00C65D59">
        <w:rPr>
          <w:b/>
          <w:bCs/>
          <w:sz w:val="28"/>
          <w:szCs w:val="28"/>
        </w:rPr>
        <w:tab/>
        <w:t>Голосование</w:t>
      </w:r>
    </w:p>
    <w:p w14:paraId="525A838A"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28</w:t>
      </w:r>
    </w:p>
    <w:p w14:paraId="757534EC" w14:textId="77777777" w:rsidR="00C65D59" w:rsidRPr="00C65D59" w:rsidRDefault="00C65D59" w:rsidP="00C65D59">
      <w:pPr>
        <w:tabs>
          <w:tab w:val="clear" w:pos="1247"/>
          <w:tab w:val="clear" w:pos="1814"/>
          <w:tab w:val="clear" w:pos="2381"/>
          <w:tab w:val="clear" w:pos="2948"/>
          <w:tab w:val="clear" w:pos="3515"/>
        </w:tabs>
        <w:spacing w:after="120"/>
        <w:ind w:left="1248" w:firstLine="624"/>
      </w:pPr>
      <w:r w:rsidRPr="00C65D59">
        <w:t>Каждый член Комитета имеет один голос.</w:t>
      </w:r>
    </w:p>
    <w:p w14:paraId="2C7C423D"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29</w:t>
      </w:r>
    </w:p>
    <w:p w14:paraId="3605E56B"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Комитет прилагает все усилия к утверждению своих рекомендаций на основе консенсуса. Если исчерпаны все средства для достижения консенсуса, а консенсус не достигнут, то в качестве последней меры такие рекомендации утверждаются большинством в три четверти голосов членов, присутствующих и участвующих в голосовании, при наличии кворума в две трети членов.</w:t>
      </w:r>
    </w:p>
    <w:p w14:paraId="1B3F09BF"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2.</w:t>
      </w:r>
      <w:r w:rsidRPr="00C65D59">
        <w:tab/>
        <w:t>Комитет прилагает все усилия для достижения консенсуса по вопросам, касающимся ведения своих дел. Если консенсус не достигнут, то в качестве последней меры такие вопросы утверждаются большинством в три четверти голосов членов, присутствующих и участвующих в голосовании, при наличии кворума в две трети членов.</w:t>
      </w:r>
    </w:p>
    <w:p w14:paraId="5C65AFFD"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30</w:t>
      </w:r>
    </w:p>
    <w:p w14:paraId="441D6150"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Если два или более предложений относятся к одному и тому же вопросу, то Комитет, если он не примет иного решения, проводит голосование по предложениям в том порядке, в котором они были внесены. После каждого голосования по одному предложению Комитет может решить, будет ли он проводить голосование по следующему предложению.</w:t>
      </w:r>
    </w:p>
    <w:p w14:paraId="362B2330"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31</w:t>
      </w:r>
    </w:p>
    <w:p w14:paraId="2FF1BC35"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Любой член может потребовать проведения раздельного голосования по любой части предложения или поправки к предложению. Председатель удовлетворяет такое требование, если против него не возражает какой-либо из членов. В случае возражений против требования о раздельном голосовании, Председатель разрешает высказаться двум представителям: одному – за это требование, другому – против, после чего данное предложение незамедлительно ставится на голосование. Председатель может ограничить время выступления каждого оратора.</w:t>
      </w:r>
    </w:p>
    <w:p w14:paraId="67CE19F0"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2.</w:t>
      </w:r>
      <w:r w:rsidRPr="00C65D59">
        <w:tab/>
        <w:t>Если требование, упомянутое в пункте 1 настоящего правила, удовлетворяется или принимается, то одобренные части предложения или поправки к предложению ставятся затем на голосование в целом. Если все постановляющие части предложения или поправки отклоняются, то предложение или поправка считаются отклоненными в целом.</w:t>
      </w:r>
    </w:p>
    <w:p w14:paraId="68C60079"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32</w:t>
      </w:r>
    </w:p>
    <w:p w14:paraId="0F0D1E91"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lastRenderedPageBreak/>
        <w:t>Предложение рассматривается в качестве поправки к предложению, если им лишь дополняются, исключаются или изменяются части этого предложения. Голосование по поправке проводится до голосования по предложению, к которому она относится, и если поправка принимается, то на голосование ставится предложение с внесенной в него поправкой.</w:t>
      </w:r>
    </w:p>
    <w:p w14:paraId="055A56C7"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33</w:t>
      </w:r>
    </w:p>
    <w:p w14:paraId="75BFC94F"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Если к предложению вносятся две или более поправки, то Комитет проводит голосование сначала по поправке, наиболее отличающейся по существу от первоначального предложения, а затем – по поправке, в меньшей степени отличной от него, и так далее, пока все поправки не будут поставлены на голосование. Порядок голосования по поправкам в соответствии с настоящим правилом определяется Председателем.</w:t>
      </w:r>
    </w:p>
    <w:p w14:paraId="599AE4AB"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34</w:t>
      </w:r>
    </w:p>
    <w:p w14:paraId="26434F76"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Голосование, за исключением выборов, обычно проводится поднятием рук. Однако если какой-либо из членов в любое время просит провести тайное голосование, то по поставленному вопросу голосование проводится в этой форме.</w:t>
      </w:r>
    </w:p>
    <w:p w14:paraId="7F4C2573" w14:textId="77777777" w:rsidR="00C65D59" w:rsidRPr="00C65D59" w:rsidRDefault="00C65D59" w:rsidP="00C65D59">
      <w:pPr>
        <w:keepNext/>
        <w:keepLines/>
        <w:tabs>
          <w:tab w:val="clear" w:pos="1247"/>
          <w:tab w:val="clear" w:pos="1814"/>
          <w:tab w:val="clear" w:pos="2381"/>
          <w:tab w:val="clear" w:pos="2948"/>
          <w:tab w:val="clear" w:pos="3515"/>
        </w:tabs>
        <w:spacing w:after="120"/>
        <w:ind w:left="1247"/>
        <w:rPr>
          <w:b/>
          <w:bCs/>
          <w:sz w:val="24"/>
          <w:szCs w:val="24"/>
        </w:rPr>
      </w:pPr>
      <w:r w:rsidRPr="00C65D59">
        <w:rPr>
          <w:b/>
          <w:bCs/>
          <w:sz w:val="24"/>
          <w:szCs w:val="24"/>
        </w:rPr>
        <w:t>Правило 35</w:t>
      </w:r>
    </w:p>
    <w:p w14:paraId="2745A6D6"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После того как Председатель объявляет о начале голосования, ни один член не прерывает голосования, за исключением выступления по порядку ведения совещания, связанного с данным голосованием. Председатель может разрешить членам высказываться по мотивам голосования либо до, либо после голосования. Председатель может ограничить время, предоставляемое для выступлений с такими разъяснениями. Председатель не разрешает члену, внесшему предложение или поправку к предложению, выступать по мотивам его/ее голосования по его/ее собственному предложению или поправке, если в них не были внесены поправки.</w:t>
      </w:r>
    </w:p>
    <w:p w14:paraId="361E3589" w14:textId="77777777" w:rsidR="00C65D59" w:rsidRPr="00C65D59" w:rsidRDefault="00C65D59" w:rsidP="00C65D59">
      <w:pPr>
        <w:keepNext/>
        <w:keepLines/>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X.</w:t>
      </w:r>
      <w:r w:rsidRPr="00C65D59">
        <w:rPr>
          <w:b/>
          <w:bCs/>
          <w:sz w:val="28"/>
          <w:szCs w:val="28"/>
        </w:rPr>
        <w:tab/>
        <w:t>Выборы</w:t>
      </w:r>
    </w:p>
    <w:p w14:paraId="3FF8A1C9" w14:textId="77777777" w:rsidR="00C65D59" w:rsidRPr="00C65D59" w:rsidRDefault="00C65D59" w:rsidP="00C65D59">
      <w:pPr>
        <w:keepNext/>
        <w:keepLines/>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36</w:t>
      </w:r>
    </w:p>
    <w:p w14:paraId="40636DC4"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Выборы проводятся тайным голосованием.</w:t>
      </w:r>
    </w:p>
    <w:p w14:paraId="4176D890"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37</w:t>
      </w:r>
    </w:p>
    <w:p w14:paraId="075ED66C"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Если необходимо избрать одно лицо и ни один из кандидатов не получает при первом голосовании большинства голосов присутствующих и участвующих в голосовании членов, проводится второе голосование, ограниченное двумя кандидатами, набравшими наибольшее число голосов. Если при втором голосовании голоса разделяются поровну, Председатель выбирает кандидата по жребию.</w:t>
      </w:r>
    </w:p>
    <w:p w14:paraId="5C5492FF"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2.</w:t>
      </w:r>
      <w:r w:rsidRPr="00C65D59">
        <w:tab/>
        <w:t>Если при первом голосовании три или более кандидата получают равное наибольшее число голосов, проводится второе голосование. Если в результате голоса разделяются поровну между более чем двумя кандидатами, то число кандидатов сокращается до двух путем жеребьевки, и далее проводится голосование по этим двум кандидатам в соответствии с процедурой, установленной в пункте 1 настоящего правила.</w:t>
      </w:r>
    </w:p>
    <w:p w14:paraId="33982F75" w14:textId="77777777" w:rsidR="00C65D59" w:rsidRPr="00C65D59" w:rsidRDefault="00C65D59" w:rsidP="00C65D59">
      <w:pPr>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XI.</w:t>
      </w:r>
      <w:r w:rsidRPr="00C65D59">
        <w:rPr>
          <w:b/>
          <w:bCs/>
          <w:sz w:val="28"/>
          <w:szCs w:val="28"/>
        </w:rPr>
        <w:tab/>
        <w:t xml:space="preserve">Языки </w:t>
      </w:r>
    </w:p>
    <w:p w14:paraId="706167C7"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38</w:t>
      </w:r>
    </w:p>
    <w:p w14:paraId="63D73A0C"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Рабочим языком Комитета является английский.</w:t>
      </w:r>
    </w:p>
    <w:p w14:paraId="52DAC8D5"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39</w:t>
      </w:r>
    </w:p>
    <w:p w14:paraId="2E57717E"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1.</w:t>
      </w:r>
      <w:r w:rsidRPr="00C65D59">
        <w:tab/>
        <w:t>Заседания в рамках совещаний Комитета, на которых рассматривается осуществление и/или соблюдение конкретной Стороной, переводятся устно с одного из официальных языков Организации Объединенных Наций, помимо английского, на английский язык по просьбе данной Стороны.</w:t>
      </w:r>
    </w:p>
    <w:p w14:paraId="6BA9A7A4"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2.</w:t>
      </w:r>
      <w:r w:rsidRPr="00C65D59">
        <w:tab/>
        <w:t>Представитель любой Стороны может выступать на любом другом языке, помимо английского, если эта Сторона обеспечит устный перевод своего выступления на английский язык.</w:t>
      </w:r>
    </w:p>
    <w:p w14:paraId="6691399C"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40</w:t>
      </w:r>
    </w:p>
    <w:p w14:paraId="6C5BF966"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lastRenderedPageBreak/>
        <w:t>1.</w:t>
      </w:r>
      <w:r w:rsidRPr="00C65D59">
        <w:tab/>
        <w:t>Официальные документы совещаний составляются на английском языке.</w:t>
      </w:r>
    </w:p>
    <w:p w14:paraId="1F7BB531"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2.</w:t>
      </w:r>
      <w:r w:rsidRPr="00C65D59">
        <w:tab/>
        <w:t>Представления Сторон в соответствии с пунктом 4 а) статьи 15 Конвенции принимаются на одном из шести официальных языков Организации Объединенных Наций. Когда эти документы представляются на одном из официальных языков Организации Объединенных Наций, помимо английского, секретариат принимает меры для их перевода на английский язык до их распространения.</w:t>
      </w:r>
    </w:p>
    <w:p w14:paraId="67E2EB72"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3.</w:t>
      </w:r>
      <w:r w:rsidRPr="00C65D59">
        <w:tab/>
        <w:t>Секретариат также предпринимает меры для перевода на английский язык национальных докладов или их разделов, представленных на одном из официальных языков Организации Объединенных Наций, помимо английского, до их распространения, когда вопросы должны быть рассмотрены Комитетом на основе национальных докладов, в соответствии с пунктом 4 b) статьи 15 Конвенции, или в тех случаях, когда такие национальные доклады или их разделы необходимы для рассмотрения того или иного вопроса на основе просьб Конференции Сторон, в соответствии с пунктом 4 с) статьи 15 Конвенции.</w:t>
      </w:r>
    </w:p>
    <w:p w14:paraId="076F5BAB" w14:textId="77777777" w:rsidR="00C65D59" w:rsidRPr="00C65D59" w:rsidRDefault="00C65D59" w:rsidP="00C65D59">
      <w:pPr>
        <w:keepNext/>
        <w:keepLines/>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XII.</w:t>
      </w:r>
      <w:r w:rsidRPr="00C65D59">
        <w:rPr>
          <w:b/>
          <w:bCs/>
          <w:sz w:val="28"/>
          <w:szCs w:val="28"/>
        </w:rPr>
        <w:tab/>
        <w:t>Поправки к правилам процедуры</w:t>
      </w:r>
    </w:p>
    <w:p w14:paraId="561C6E23" w14:textId="77777777" w:rsidR="00C65D59" w:rsidRPr="00C65D59" w:rsidRDefault="00C65D59" w:rsidP="00C65D59">
      <w:pPr>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41</w:t>
      </w:r>
    </w:p>
    <w:p w14:paraId="1BBA0557" w14:textId="77777777" w:rsidR="00C65D59" w:rsidRPr="00C65D59" w:rsidRDefault="00C65D59" w:rsidP="00C65D59">
      <w:pPr>
        <w:tabs>
          <w:tab w:val="clear" w:pos="1247"/>
          <w:tab w:val="clear" w:pos="1814"/>
          <w:tab w:val="clear" w:pos="2381"/>
          <w:tab w:val="clear" w:pos="2948"/>
          <w:tab w:val="clear" w:pos="3515"/>
        </w:tabs>
        <w:spacing w:after="240"/>
        <w:ind w:left="1247" w:firstLine="624"/>
      </w:pPr>
      <w:r w:rsidRPr="00C65D59">
        <w:t>Поправки в настоящие правила процедуры могут вноситься с одобрения Конференции Сторон. Комитет может представить Конференции Сторон для рассмотрения и утверждения рекомендации по изменению настоящих правил процедуры.</w:t>
      </w:r>
    </w:p>
    <w:p w14:paraId="4A6B9F2A" w14:textId="77777777" w:rsidR="00C65D59" w:rsidRPr="00C65D59" w:rsidRDefault="00C65D59" w:rsidP="00C65D59">
      <w:pPr>
        <w:keepNext/>
        <w:keepLines/>
        <w:tabs>
          <w:tab w:val="clear" w:pos="1247"/>
          <w:tab w:val="clear" w:pos="1814"/>
          <w:tab w:val="clear" w:pos="2381"/>
          <w:tab w:val="clear" w:pos="2948"/>
          <w:tab w:val="clear" w:pos="3515"/>
          <w:tab w:val="right" w:pos="851"/>
        </w:tabs>
        <w:spacing w:after="120"/>
        <w:ind w:left="1247" w:right="284" w:hanging="1247"/>
        <w:rPr>
          <w:b/>
          <w:bCs/>
          <w:sz w:val="28"/>
          <w:szCs w:val="28"/>
        </w:rPr>
      </w:pPr>
      <w:r w:rsidRPr="00C65D59">
        <w:rPr>
          <w:b/>
          <w:bCs/>
          <w:sz w:val="28"/>
          <w:szCs w:val="28"/>
        </w:rPr>
        <w:tab/>
        <w:t>XIII.</w:t>
      </w:r>
      <w:r w:rsidRPr="00C65D59">
        <w:rPr>
          <w:b/>
          <w:bCs/>
          <w:sz w:val="28"/>
          <w:szCs w:val="28"/>
        </w:rPr>
        <w:tab/>
        <w:t>Преобладающая сила Конвенции</w:t>
      </w:r>
    </w:p>
    <w:p w14:paraId="1DC5EFD1" w14:textId="77777777" w:rsidR="00C65D59" w:rsidRPr="00C65D59" w:rsidRDefault="00C65D59" w:rsidP="00C65D59">
      <w:pPr>
        <w:keepNext/>
        <w:keepLines/>
        <w:tabs>
          <w:tab w:val="clear" w:pos="1247"/>
          <w:tab w:val="clear" w:pos="1814"/>
          <w:tab w:val="clear" w:pos="2381"/>
          <w:tab w:val="clear" w:pos="2948"/>
          <w:tab w:val="clear" w:pos="3515"/>
        </w:tabs>
        <w:spacing w:after="120"/>
        <w:ind w:left="1248"/>
        <w:rPr>
          <w:b/>
          <w:bCs/>
          <w:sz w:val="24"/>
          <w:szCs w:val="24"/>
        </w:rPr>
      </w:pPr>
      <w:r w:rsidRPr="00C65D59">
        <w:rPr>
          <w:b/>
          <w:bCs/>
          <w:sz w:val="24"/>
          <w:szCs w:val="24"/>
        </w:rPr>
        <w:t>Правило 42</w:t>
      </w:r>
    </w:p>
    <w:p w14:paraId="4D8DEB6F" w14:textId="77777777" w:rsidR="00C65D59" w:rsidRPr="00C65D59" w:rsidRDefault="00C65D59" w:rsidP="00C65D59">
      <w:pPr>
        <w:tabs>
          <w:tab w:val="clear" w:pos="1247"/>
          <w:tab w:val="clear" w:pos="1814"/>
          <w:tab w:val="clear" w:pos="2381"/>
          <w:tab w:val="clear" w:pos="2948"/>
          <w:tab w:val="clear" w:pos="3515"/>
        </w:tabs>
        <w:spacing w:after="120"/>
        <w:ind w:left="1247" w:firstLine="624"/>
      </w:pPr>
      <w:r w:rsidRPr="00C65D59">
        <w:t>В случае коллизии между любым положением настоящих правил и любым положением Конвенции преобладающую силу имеет Конвенция.</w:t>
      </w:r>
    </w:p>
    <w:p w14:paraId="7A425BC3" w14:textId="5776C72D" w:rsidR="009027BB" w:rsidRPr="00A6122E" w:rsidRDefault="009027BB" w:rsidP="00EC6EDA">
      <w:pPr>
        <w:tabs>
          <w:tab w:val="clear" w:pos="1247"/>
          <w:tab w:val="clear" w:pos="1814"/>
          <w:tab w:val="clear" w:pos="2381"/>
          <w:tab w:val="clear" w:pos="2948"/>
          <w:tab w:val="clear" w:pos="3515"/>
        </w:tabs>
      </w:pPr>
    </w:p>
    <w:sectPr w:rsidR="009027BB" w:rsidRPr="00A6122E"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A879" w14:textId="77777777" w:rsidR="00CB7024" w:rsidRDefault="00CB7024">
      <w:r>
        <w:separator/>
      </w:r>
    </w:p>
  </w:endnote>
  <w:endnote w:type="continuationSeparator" w:id="0">
    <w:p w14:paraId="242AEBAB" w14:textId="77777777" w:rsidR="00CB7024" w:rsidRDefault="00CB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9665" w14:textId="77777777" w:rsidR="00CB7024" w:rsidRDefault="00CB7024" w:rsidP="00851756">
      <w:pPr>
        <w:spacing w:before="60"/>
        <w:ind w:left="624"/>
      </w:pPr>
      <w:r>
        <w:separator/>
      </w:r>
    </w:p>
  </w:footnote>
  <w:footnote w:type="continuationSeparator" w:id="0">
    <w:p w14:paraId="331ADD52" w14:textId="77777777" w:rsidR="00CB7024" w:rsidRDefault="00CB7024">
      <w:r>
        <w:continuationSeparator/>
      </w:r>
    </w:p>
  </w:footnote>
  <w:footnote w:id="1">
    <w:p w14:paraId="219F811E" w14:textId="77777777" w:rsidR="00C65D59" w:rsidRPr="00046DAB" w:rsidRDefault="00C65D59" w:rsidP="00C65D59">
      <w:pPr>
        <w:pStyle w:val="FootnoteText"/>
        <w:tabs>
          <w:tab w:val="clear" w:pos="1247"/>
          <w:tab w:val="clear" w:pos="1814"/>
          <w:tab w:val="clear" w:pos="2381"/>
          <w:tab w:val="clear" w:pos="2948"/>
          <w:tab w:val="clear" w:pos="3515"/>
          <w:tab w:val="clear" w:pos="4082"/>
        </w:tabs>
        <w:rPr>
          <w:szCs w:val="18"/>
        </w:rPr>
      </w:pPr>
      <w:bookmarkStart w:id="6" w:name="_DV_C1316"/>
      <w:r w:rsidRPr="00046DAB">
        <w:rPr>
          <w:rStyle w:val="FootnoteReference"/>
          <w:sz w:val="18"/>
        </w:rPr>
        <w:footnoteRef/>
      </w:r>
      <w:r w:rsidRPr="00046DAB">
        <w:rPr>
          <w:szCs w:val="18"/>
        </w:rPr>
        <w:tab/>
      </w:r>
      <w:r w:rsidRPr="00046DAB">
        <w:rPr>
          <w:szCs w:val="18"/>
          <w:lang w:val="en-US"/>
        </w:rPr>
        <w:t>UNEP</w:t>
      </w:r>
      <w:r w:rsidRPr="00046DAB">
        <w:rPr>
          <w:szCs w:val="18"/>
        </w:rPr>
        <w:t>/</w:t>
      </w:r>
      <w:r w:rsidRPr="00046DAB">
        <w:rPr>
          <w:szCs w:val="18"/>
          <w:lang w:val="en-US"/>
        </w:rPr>
        <w:t>MC</w:t>
      </w:r>
      <w:r w:rsidRPr="00046DAB">
        <w:rPr>
          <w:szCs w:val="18"/>
        </w:rPr>
        <w:t>/</w:t>
      </w:r>
      <w:r w:rsidRPr="00046DAB">
        <w:rPr>
          <w:szCs w:val="18"/>
          <w:lang w:val="en-US"/>
        </w:rPr>
        <w:t>COP</w:t>
      </w:r>
      <w:r w:rsidRPr="00046DAB">
        <w:rPr>
          <w:szCs w:val="18"/>
        </w:rPr>
        <w:t xml:space="preserve">.2/11, приложение </w:t>
      </w:r>
      <w:r w:rsidRPr="00046DAB">
        <w:rPr>
          <w:szCs w:val="18"/>
          <w:lang w:val="en-US"/>
        </w:rPr>
        <w:t>I</w:t>
      </w:r>
      <w:r w:rsidRPr="00046DAB">
        <w:rPr>
          <w:szCs w:val="18"/>
        </w:rPr>
        <w:t>.</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67687D02" w:rsidR="00503842" w:rsidRPr="00942112" w:rsidRDefault="00503842" w:rsidP="000A2D09">
    <w:pPr>
      <w:pStyle w:val="Header"/>
      <w:tabs>
        <w:tab w:val="clear" w:pos="1247"/>
        <w:tab w:val="clear" w:pos="4536"/>
        <w:tab w:val="clear" w:pos="9072"/>
      </w:tabs>
      <w:rPr>
        <w:szCs w:val="18"/>
        <w:lang w:val="en-US"/>
      </w:rPr>
    </w:pPr>
    <w:r>
      <w:rPr>
        <w:lang w:val="en-US"/>
      </w:rPr>
      <w:t>UNEP/MC/COP.</w:t>
    </w:r>
    <w:r w:rsidR="00C67821">
      <w:rPr>
        <w:lang w:val="en-US"/>
      </w:rPr>
      <w:t>2</w:t>
    </w:r>
    <w:r>
      <w:rPr>
        <w:lang w:val="en-US"/>
      </w:rPr>
      <w:t>/</w:t>
    </w:r>
    <w:r w:rsidR="00801B64">
      <w:rPr>
        <w:lang w:val="en-US"/>
      </w:rPr>
      <w:t>Dec.</w:t>
    </w:r>
    <w:r w:rsidR="00C65D59">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183E4452"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2316D8">
      <w:rPr>
        <w:lang w:val="en-US"/>
      </w:rPr>
      <w:t>2</w:t>
    </w:r>
    <w:r>
      <w:rPr>
        <w:lang w:val="en-US"/>
      </w:rPr>
      <w:t>/</w:t>
    </w:r>
    <w:r w:rsidR="00801B64">
      <w:rPr>
        <w:lang w:val="en-US"/>
      </w:rPr>
      <w:t>Dec.</w:t>
    </w:r>
    <w:r w:rsidR="00C65D59">
      <w:rPr>
        <w:lang w:val="en-U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0AE6"/>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15C0"/>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16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02C"/>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3662"/>
    <w:rsid w:val="00A54CB9"/>
    <w:rsid w:val="00A55B01"/>
    <w:rsid w:val="00A55DA3"/>
    <w:rsid w:val="00A56158"/>
    <w:rsid w:val="00A56B5B"/>
    <w:rsid w:val="00A603FF"/>
    <w:rsid w:val="00A6122E"/>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5D59"/>
    <w:rsid w:val="00C67581"/>
    <w:rsid w:val="00C6769E"/>
    <w:rsid w:val="00C67821"/>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024"/>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0419"/>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6EDA"/>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4CA5"/>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C65D59"/>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70533277">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3.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AACAD0-4B06-400E-98B9-BF890AF8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3053</Words>
  <Characters>17406</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2020-11-09T11:46:00Z</cp:lastPrinted>
  <dcterms:created xsi:type="dcterms:W3CDTF">2020-11-06T10:37:00Z</dcterms:created>
  <dcterms:modified xsi:type="dcterms:W3CDTF">2020-11-09T11:46:00Z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