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7037A753"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7B7E76">
              <w:t>3</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003"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proofErr w:type="spellStart"/>
            <w:r w:rsidRPr="00A47916">
              <w:t>Distr</w:t>
            </w:r>
            <w:proofErr w:type="spellEnd"/>
            <w:r w:rsidRPr="00A47916">
              <w:t xml:space="preserve">.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2105E202" w14:textId="77777777" w:rsidR="00EA6B7C" w:rsidRDefault="00EA6B7C" w:rsidP="00EA6B7C">
      <w:pPr>
        <w:pStyle w:val="ZZAnxtitle"/>
      </w:pPr>
      <w:r>
        <w:t>Décision adoptée par la deuxième Conférence des Parties à la Convention de Minamata sur le mercure</w:t>
      </w:r>
    </w:p>
    <w:p w14:paraId="7F10E580" w14:textId="77777777" w:rsidR="007B7E76" w:rsidRPr="007B7E76" w:rsidRDefault="006739D3" w:rsidP="007B7E76">
      <w:pPr>
        <w:pStyle w:val="CH1"/>
        <w:rPr>
          <w:rFonts w:eastAsia="MS Mincho"/>
        </w:rPr>
      </w:pPr>
      <w:bookmarkStart w:id="4" w:name="_GoBack"/>
      <w:bookmarkEnd w:id="4"/>
      <w:r>
        <w:tab/>
      </w:r>
      <w:bookmarkStart w:id="5" w:name="_Toc13749994"/>
      <w:bookmarkStart w:id="6" w:name="_Toc14183182"/>
      <w:bookmarkStart w:id="7" w:name="_Toc14183343"/>
      <w:bookmarkStart w:id="8" w:name="_Toc14185112"/>
      <w:r w:rsidR="007B7E76">
        <w:tab/>
      </w:r>
      <w:bookmarkStart w:id="9" w:name="_Toc13750005"/>
      <w:bookmarkStart w:id="10" w:name="_Toc14183354"/>
      <w:bookmarkStart w:id="11" w:name="_Toc14185123"/>
      <w:bookmarkEnd w:id="5"/>
      <w:bookmarkEnd w:id="6"/>
      <w:bookmarkEnd w:id="7"/>
      <w:bookmarkEnd w:id="8"/>
      <w:r w:rsidR="007B7E76" w:rsidRPr="007B7E76">
        <w:rPr>
          <w:rFonts w:eastAsia="MS Mincho"/>
        </w:rPr>
        <w:t>MC-2/3 : Rejets</w:t>
      </w:r>
      <w:bookmarkEnd w:id="9"/>
      <w:bookmarkEnd w:id="10"/>
      <w:bookmarkEnd w:id="11"/>
    </w:p>
    <w:p w14:paraId="4641604D" w14:textId="77777777" w:rsidR="007B7E76" w:rsidRPr="007B7E76" w:rsidRDefault="007B7E76" w:rsidP="007B7E76">
      <w:pPr>
        <w:tabs>
          <w:tab w:val="left" w:pos="4082"/>
        </w:tabs>
        <w:spacing w:after="120"/>
        <w:ind w:left="1247"/>
        <w:rPr>
          <w:rFonts w:eastAsia="MS Mincho"/>
          <w:i/>
          <w:lang w:val="fr-CA"/>
        </w:rPr>
      </w:pPr>
      <w:r w:rsidRPr="007B7E76">
        <w:rPr>
          <w:rFonts w:eastAsia="MS Mincho"/>
          <w:lang w:val="fr-CA"/>
        </w:rPr>
        <w:tab/>
      </w:r>
      <w:r w:rsidRPr="007B7E76">
        <w:rPr>
          <w:rFonts w:eastAsia="MS Mincho"/>
          <w:i/>
          <w:lang w:val="fr-CA"/>
        </w:rPr>
        <w:t>La Conférence des Parties,</w:t>
      </w:r>
    </w:p>
    <w:p w14:paraId="55184D1A" w14:textId="77777777" w:rsidR="007B7E76" w:rsidRPr="007B7E76" w:rsidRDefault="007B7E76" w:rsidP="007B7E76">
      <w:pPr>
        <w:tabs>
          <w:tab w:val="left" w:pos="4082"/>
        </w:tabs>
        <w:spacing w:after="120"/>
        <w:ind w:left="1247"/>
        <w:rPr>
          <w:rFonts w:asciiTheme="majorBidi" w:eastAsia="MS Mincho" w:hAnsiTheme="majorBidi" w:cstheme="majorBidi"/>
          <w:i/>
          <w:lang w:val="fr-CA"/>
        </w:rPr>
      </w:pPr>
      <w:r w:rsidRPr="007B7E76">
        <w:rPr>
          <w:rFonts w:asciiTheme="majorBidi" w:eastAsia="MS Mincho" w:hAnsiTheme="majorBidi" w:cstheme="majorBidi"/>
          <w:i/>
          <w:lang w:val="fr-CA"/>
        </w:rPr>
        <w:tab/>
        <w:t xml:space="preserve">Consciente </w:t>
      </w:r>
      <w:r w:rsidRPr="007B7E76">
        <w:rPr>
          <w:rFonts w:asciiTheme="majorBidi" w:eastAsia="MS Mincho" w:hAnsiTheme="majorBidi" w:cstheme="majorBidi"/>
          <w:lang w:val="fr-CA"/>
        </w:rPr>
        <w:t>de la nécessité de réglementer et, dans la mesure du possible, de réduire les rejets de mercure et de composés du mercure dans les sols et l’eau provenant de sources ponctuelles non visées par d’autres dispositions de la Convention de Minamata sur le mercure,</w:t>
      </w:r>
    </w:p>
    <w:p w14:paraId="2052C433" w14:textId="77777777" w:rsidR="007B7E76" w:rsidRPr="007B7E76" w:rsidRDefault="007B7E76" w:rsidP="007B7E76">
      <w:pPr>
        <w:tabs>
          <w:tab w:val="left" w:pos="4082"/>
        </w:tabs>
        <w:spacing w:after="120"/>
        <w:ind w:left="1247"/>
        <w:rPr>
          <w:rFonts w:asciiTheme="majorBidi" w:eastAsia="MS Mincho" w:hAnsiTheme="majorBidi" w:cstheme="majorBidi"/>
          <w:lang w:val="fr-CA"/>
        </w:rPr>
      </w:pPr>
      <w:r w:rsidRPr="007B7E76">
        <w:rPr>
          <w:rFonts w:asciiTheme="majorBidi" w:eastAsia="MS Mincho" w:hAnsiTheme="majorBidi" w:cstheme="majorBidi"/>
          <w:i/>
          <w:lang w:val="fr-CA"/>
        </w:rPr>
        <w:tab/>
        <w:t xml:space="preserve">Consciente également </w:t>
      </w:r>
      <w:r w:rsidRPr="007B7E76">
        <w:rPr>
          <w:rFonts w:asciiTheme="majorBidi" w:eastAsia="MS Mincho" w:hAnsiTheme="majorBidi" w:cstheme="majorBidi"/>
          <w:lang w:val="fr-CA"/>
        </w:rPr>
        <w:t>du fait que la Conférence des Parties doit adopter dès que possible des orientations sur les meilleures techniques disponibles et les meilleures pratiques environnementales et sur la méthode à suivre pour dresser des inventaires des rejets provenant de ces sources,</w:t>
      </w:r>
    </w:p>
    <w:p w14:paraId="223DA5A1" w14:textId="77777777" w:rsidR="007B7E76" w:rsidRPr="007B7E76" w:rsidRDefault="007B7E76" w:rsidP="007B7E76">
      <w:pPr>
        <w:tabs>
          <w:tab w:val="left" w:pos="4082"/>
        </w:tabs>
        <w:spacing w:after="120"/>
        <w:ind w:left="1247"/>
        <w:rPr>
          <w:rFonts w:asciiTheme="majorBidi" w:eastAsia="MS Mincho" w:hAnsiTheme="majorBidi" w:cstheme="majorBidi"/>
          <w:lang w:val="fr-CA"/>
        </w:rPr>
      </w:pPr>
      <w:r w:rsidRPr="007B7E76">
        <w:rPr>
          <w:rFonts w:asciiTheme="majorBidi" w:eastAsia="MS Mincho" w:hAnsiTheme="majorBidi" w:cstheme="majorBidi"/>
          <w:i/>
          <w:lang w:val="fr-CA"/>
        </w:rPr>
        <w:tab/>
        <w:t xml:space="preserve">Consciente en outre </w:t>
      </w:r>
      <w:r w:rsidRPr="007B7E76">
        <w:rPr>
          <w:rFonts w:asciiTheme="majorBidi" w:eastAsia="MS Mincho" w:hAnsiTheme="majorBidi" w:cstheme="majorBidi"/>
          <w:lang w:val="fr-CA"/>
        </w:rPr>
        <w:t>du fait que chaque Partie doit, dans les trois ans qui suivent la date d’entrée en vigueur de la Convention à son endroit, et ensuite périodiquement, identifier les catégories de sources ponctuelles pertinentes,</w:t>
      </w:r>
    </w:p>
    <w:p w14:paraId="3207E7CF" w14:textId="77777777" w:rsidR="007B7E76" w:rsidRPr="007B7E76" w:rsidRDefault="007B7E76" w:rsidP="007B7E76">
      <w:pPr>
        <w:tabs>
          <w:tab w:val="left" w:pos="4082"/>
        </w:tabs>
        <w:spacing w:after="120"/>
        <w:ind w:left="1247"/>
        <w:rPr>
          <w:rFonts w:asciiTheme="majorBidi" w:hAnsiTheme="majorBidi" w:cstheme="majorBidi"/>
          <w:lang w:val="fr-CA"/>
        </w:rPr>
      </w:pPr>
      <w:r w:rsidRPr="007B7E76">
        <w:rPr>
          <w:rFonts w:asciiTheme="majorBidi" w:hAnsiTheme="majorBidi" w:cstheme="majorBidi"/>
          <w:i/>
          <w:lang w:val="fr-CA"/>
        </w:rPr>
        <w:tab/>
        <w:t xml:space="preserve">Sachant </w:t>
      </w:r>
      <w:r w:rsidRPr="007B7E76">
        <w:rPr>
          <w:rFonts w:asciiTheme="majorBidi" w:hAnsiTheme="majorBidi" w:cstheme="majorBidi"/>
          <w:lang w:val="fr-CA"/>
        </w:rPr>
        <w:t>que chaque Partie doit, dès que possible et pas plus tard que cinq ans après la date d’entrée en vigueur de la Convention à son endroit, établir et ensuite tenir à jour un inventaire des rejets provenant des sources pertinentes,</w:t>
      </w:r>
    </w:p>
    <w:p w14:paraId="7454AD43" w14:textId="77777777" w:rsidR="007B7E76" w:rsidRPr="007B7E76" w:rsidRDefault="007B7E76" w:rsidP="007B7E76">
      <w:pPr>
        <w:tabs>
          <w:tab w:val="left" w:pos="4082"/>
        </w:tabs>
        <w:spacing w:after="120"/>
        <w:ind w:left="1247"/>
        <w:rPr>
          <w:rFonts w:asciiTheme="majorBidi" w:hAnsiTheme="majorBidi" w:cstheme="majorBidi"/>
          <w:lang w:val="fr-CA"/>
        </w:rPr>
      </w:pPr>
      <w:r w:rsidRPr="007B7E76">
        <w:rPr>
          <w:rFonts w:asciiTheme="majorBidi" w:hAnsiTheme="majorBidi" w:cstheme="majorBidi"/>
          <w:i/>
          <w:lang w:val="fr-CA"/>
        </w:rPr>
        <w:tab/>
        <w:t xml:space="preserve">Sachant également </w:t>
      </w:r>
      <w:r w:rsidRPr="007B7E76">
        <w:rPr>
          <w:rFonts w:asciiTheme="majorBidi" w:hAnsiTheme="majorBidi" w:cstheme="majorBidi"/>
          <w:lang w:val="fr-CA"/>
        </w:rPr>
        <w:t>que, pour pouvoir évaluer l’efficacité de la Convention dans la durée, il importe de disposer de données comparables concernant ces rejets,</w:t>
      </w:r>
    </w:p>
    <w:p w14:paraId="6F87E4F7" w14:textId="77777777" w:rsidR="007B7E76" w:rsidRPr="007B7E76" w:rsidRDefault="007B7E76" w:rsidP="007B7E76">
      <w:pPr>
        <w:tabs>
          <w:tab w:val="left" w:pos="4082"/>
        </w:tabs>
        <w:spacing w:after="120"/>
        <w:ind w:left="1247"/>
        <w:rPr>
          <w:rFonts w:asciiTheme="majorBidi" w:hAnsiTheme="majorBidi" w:cstheme="majorBidi"/>
          <w:lang w:val="fr-CA"/>
        </w:rPr>
      </w:pPr>
      <w:r w:rsidRPr="007B7E76">
        <w:rPr>
          <w:rFonts w:asciiTheme="majorBidi" w:hAnsiTheme="majorBidi" w:cstheme="majorBidi"/>
          <w:i/>
          <w:lang w:val="fr-CA"/>
        </w:rPr>
        <w:tab/>
        <w:t xml:space="preserve">Sachant en outre </w:t>
      </w:r>
      <w:r w:rsidRPr="007B7E76">
        <w:rPr>
          <w:rFonts w:asciiTheme="majorBidi" w:hAnsiTheme="majorBidi" w:cstheme="majorBidi"/>
          <w:lang w:val="fr-CA"/>
        </w:rPr>
        <w:t>que les Parties feront rapport sur leurs sources pertinentes de rejets et sur les mesures prises pour les contrôler dans les rapports qu’elles établiront en application de l’article 21,</w:t>
      </w:r>
    </w:p>
    <w:p w14:paraId="4B67BADC" w14:textId="77777777" w:rsidR="007B7E76" w:rsidRPr="007B7E76" w:rsidRDefault="007B7E76" w:rsidP="007B7E76">
      <w:pPr>
        <w:tabs>
          <w:tab w:val="left" w:pos="4082"/>
        </w:tabs>
        <w:spacing w:after="120"/>
        <w:ind w:left="1247"/>
        <w:rPr>
          <w:rFonts w:asciiTheme="majorBidi" w:hAnsiTheme="majorBidi" w:cstheme="majorBidi"/>
          <w:lang w:val="fr-CA"/>
        </w:rPr>
      </w:pPr>
      <w:r w:rsidRPr="007B7E76">
        <w:rPr>
          <w:rFonts w:asciiTheme="majorBidi" w:hAnsiTheme="majorBidi" w:cstheme="majorBidi"/>
          <w:i/>
          <w:lang w:val="fr-CA"/>
        </w:rPr>
        <w:tab/>
        <w:t xml:space="preserve">Consciente </w:t>
      </w:r>
      <w:r w:rsidRPr="007B7E76">
        <w:rPr>
          <w:rFonts w:asciiTheme="majorBidi" w:hAnsiTheme="majorBidi" w:cstheme="majorBidi"/>
          <w:lang w:val="fr-CA"/>
        </w:rPr>
        <w:t>du fait que, pour pouvoir comparer les informations sur les rejets figurant dans les rapports nationaux, il importe d’appliquer des méthodes normalisées et connues pour établir les inventaires,</w:t>
      </w:r>
    </w:p>
    <w:p w14:paraId="65786FBF" w14:textId="77777777" w:rsidR="007B7E76" w:rsidRPr="007B7E76" w:rsidRDefault="007B7E76" w:rsidP="007B7E76">
      <w:pPr>
        <w:tabs>
          <w:tab w:val="left" w:pos="4082"/>
        </w:tabs>
        <w:spacing w:after="120"/>
        <w:ind w:left="1247"/>
        <w:rPr>
          <w:rFonts w:asciiTheme="majorBidi" w:hAnsiTheme="majorBidi" w:cstheme="majorBidi"/>
          <w:i/>
        </w:rPr>
      </w:pPr>
      <w:r w:rsidRPr="007B7E76">
        <w:rPr>
          <w:rFonts w:asciiTheme="majorBidi" w:hAnsiTheme="majorBidi" w:cstheme="majorBidi"/>
        </w:rPr>
        <w:tab/>
        <w:t>1.</w:t>
      </w:r>
      <w:r w:rsidRPr="007B7E76">
        <w:rPr>
          <w:rFonts w:asciiTheme="majorBidi" w:hAnsiTheme="majorBidi" w:cstheme="majorBidi"/>
        </w:rPr>
        <w:tab/>
      </w:r>
      <w:r w:rsidRPr="007B7E76">
        <w:rPr>
          <w:rFonts w:asciiTheme="majorBidi" w:hAnsiTheme="majorBidi" w:cstheme="majorBidi"/>
          <w:i/>
        </w:rPr>
        <w:t xml:space="preserve">Décide </w:t>
      </w:r>
      <w:r w:rsidRPr="007B7E76">
        <w:rPr>
          <w:rFonts w:asciiTheme="majorBidi" w:hAnsiTheme="majorBidi" w:cstheme="majorBidi"/>
        </w:rPr>
        <w:t>de créer un groupe d’experts techniques provenant de Parties des cinq régions de l’Organisation des Nations Unies, conformément au mandat figurant dans l’annexe I de la présente décision, en vue d’élaborer un projet d’orientations sur les méthodes d’établissement d’inventaires pour la définition d’une liste des catégories de sources ponctuelles potentiellement pertinentes ;</w:t>
      </w:r>
    </w:p>
    <w:p w14:paraId="5863ECD2" w14:textId="77777777" w:rsidR="007B7E76" w:rsidRPr="007B7E76" w:rsidRDefault="007B7E76" w:rsidP="007B7E76">
      <w:pPr>
        <w:tabs>
          <w:tab w:val="left" w:pos="4082"/>
        </w:tabs>
        <w:spacing w:after="120"/>
        <w:ind w:left="1247"/>
        <w:rPr>
          <w:rFonts w:asciiTheme="majorBidi" w:hAnsiTheme="majorBidi" w:cstheme="majorBidi"/>
          <w:iCs/>
        </w:rPr>
      </w:pPr>
      <w:r w:rsidRPr="007B7E76">
        <w:rPr>
          <w:rFonts w:asciiTheme="majorBidi" w:hAnsiTheme="majorBidi" w:cstheme="majorBidi"/>
        </w:rPr>
        <w:tab/>
        <w:t>2.</w:t>
      </w:r>
      <w:r w:rsidRPr="007B7E76">
        <w:rPr>
          <w:rFonts w:asciiTheme="majorBidi" w:hAnsiTheme="majorBidi" w:cstheme="majorBidi"/>
        </w:rPr>
        <w:tab/>
      </w:r>
      <w:r w:rsidRPr="007B7E76">
        <w:rPr>
          <w:rFonts w:asciiTheme="majorBidi" w:hAnsiTheme="majorBidi" w:cstheme="majorBidi"/>
          <w:i/>
        </w:rPr>
        <w:t>Prie le </w:t>
      </w:r>
      <w:r w:rsidRPr="007B7E76">
        <w:rPr>
          <w:rFonts w:asciiTheme="majorBidi" w:hAnsiTheme="majorBidi" w:cstheme="majorBidi"/>
          <w:iCs/>
        </w:rPr>
        <w:t>secrétariat d’inviter les Parties à désigner, d’ici au 15 janvier 2019, des candidats pour représenter chacune des cinq régions de l’Organisation des Nations Unies au sein du groupe et d’appuyer les travaux de ce dernier ;</w:t>
      </w:r>
    </w:p>
    <w:p w14:paraId="0C81067D" w14:textId="77777777" w:rsidR="007B7E76" w:rsidRPr="007B7E76" w:rsidRDefault="007B7E76" w:rsidP="007B7E76">
      <w:pPr>
        <w:tabs>
          <w:tab w:val="left" w:pos="4082"/>
        </w:tabs>
        <w:spacing w:after="120"/>
        <w:ind w:left="1247"/>
        <w:rPr>
          <w:rFonts w:asciiTheme="majorBidi" w:hAnsiTheme="majorBidi" w:cstheme="majorBidi"/>
        </w:rPr>
      </w:pPr>
      <w:r w:rsidRPr="007B7E76">
        <w:rPr>
          <w:rFonts w:asciiTheme="majorBidi" w:hAnsiTheme="majorBidi" w:cstheme="majorBidi"/>
        </w:rPr>
        <w:tab/>
        <w:t>3.</w:t>
      </w:r>
      <w:r w:rsidRPr="007B7E76">
        <w:rPr>
          <w:rFonts w:asciiTheme="majorBidi" w:hAnsiTheme="majorBidi" w:cstheme="majorBidi"/>
        </w:rPr>
        <w:tab/>
      </w:r>
      <w:r w:rsidRPr="007B7E76">
        <w:rPr>
          <w:rFonts w:asciiTheme="majorBidi" w:hAnsiTheme="majorBidi" w:cstheme="majorBidi"/>
          <w:i/>
        </w:rPr>
        <w:t>Prie le </w:t>
      </w:r>
      <w:r w:rsidRPr="007B7E76">
        <w:rPr>
          <w:rFonts w:asciiTheme="majorBidi" w:hAnsiTheme="majorBidi" w:cstheme="majorBidi"/>
        </w:rPr>
        <w:t>groupe, à des fins de maîtrise des dépenses, de travailler principalement par voie électronique, y compris par webinaires ;</w:t>
      </w:r>
    </w:p>
    <w:p w14:paraId="4CE2A6DA" w14:textId="77777777" w:rsidR="007B7E76" w:rsidRPr="007B7E76" w:rsidRDefault="007B7E76" w:rsidP="007B7E76">
      <w:pPr>
        <w:tabs>
          <w:tab w:val="left" w:pos="4082"/>
        </w:tabs>
        <w:spacing w:after="120"/>
        <w:ind w:left="1247"/>
        <w:rPr>
          <w:rFonts w:asciiTheme="majorBidi" w:hAnsiTheme="majorBidi" w:cstheme="majorBidi"/>
        </w:rPr>
      </w:pPr>
      <w:r w:rsidRPr="007B7E76">
        <w:rPr>
          <w:rFonts w:asciiTheme="majorBidi" w:hAnsiTheme="majorBidi" w:cstheme="majorBidi"/>
        </w:rPr>
        <w:lastRenderedPageBreak/>
        <w:tab/>
        <w:t>4.</w:t>
      </w:r>
      <w:r w:rsidRPr="007B7E76">
        <w:rPr>
          <w:rFonts w:asciiTheme="majorBidi" w:hAnsiTheme="majorBidi" w:cstheme="majorBidi"/>
        </w:rPr>
        <w:tab/>
      </w:r>
      <w:r w:rsidRPr="007B7E76">
        <w:rPr>
          <w:rFonts w:asciiTheme="majorBidi" w:hAnsiTheme="majorBidi" w:cstheme="majorBidi"/>
          <w:i/>
        </w:rPr>
        <w:t xml:space="preserve">Décide </w:t>
      </w:r>
      <w:r w:rsidRPr="007B7E76">
        <w:rPr>
          <w:rFonts w:asciiTheme="majorBidi" w:hAnsiTheme="majorBidi" w:cstheme="majorBidi"/>
          <w:iCs/>
        </w:rPr>
        <w:t>que la Conférence des Parties réexaminera, à sa troisième réunion, la composition du groupe d’experts et la nécessité d’une réunion en présentiel de ses membres </w:t>
      </w:r>
      <w:r w:rsidRPr="007B7E76">
        <w:rPr>
          <w:rFonts w:asciiTheme="majorBidi" w:hAnsiTheme="majorBidi" w:cstheme="majorBidi"/>
        </w:rPr>
        <w:t>;</w:t>
      </w:r>
    </w:p>
    <w:p w14:paraId="2E27D0F0" w14:textId="77777777" w:rsidR="007B7E76" w:rsidRPr="007B7E76" w:rsidRDefault="007B7E76" w:rsidP="007B7E76">
      <w:pPr>
        <w:tabs>
          <w:tab w:val="left" w:pos="4082"/>
        </w:tabs>
        <w:spacing w:after="120"/>
        <w:ind w:left="1247"/>
        <w:rPr>
          <w:rFonts w:asciiTheme="majorBidi" w:hAnsiTheme="majorBidi" w:cstheme="majorBidi"/>
        </w:rPr>
      </w:pPr>
      <w:r w:rsidRPr="007B7E76">
        <w:rPr>
          <w:rFonts w:asciiTheme="majorBidi" w:hAnsiTheme="majorBidi" w:cstheme="majorBidi"/>
        </w:rPr>
        <w:tab/>
        <w:t>5.</w:t>
      </w:r>
      <w:r w:rsidRPr="007B7E76">
        <w:rPr>
          <w:rFonts w:asciiTheme="majorBidi" w:hAnsiTheme="majorBidi" w:cstheme="majorBidi"/>
        </w:rPr>
        <w:tab/>
      </w:r>
      <w:r w:rsidRPr="007B7E76">
        <w:rPr>
          <w:rFonts w:asciiTheme="majorBidi" w:hAnsiTheme="majorBidi" w:cstheme="majorBidi"/>
          <w:i/>
        </w:rPr>
        <w:t>Prie le </w:t>
      </w:r>
      <w:r w:rsidRPr="007B7E76">
        <w:rPr>
          <w:rFonts w:asciiTheme="majorBidi" w:hAnsiTheme="majorBidi" w:cstheme="majorBidi"/>
        </w:rPr>
        <w:t>secrétariat d’inviter les Parties, les signataires et autres parties prenantes à identifier les catégories possibles de sources ponctuelles de rejets à inclure dans la liste visée au paragraphe 1 ci-dessus ;</w:t>
      </w:r>
    </w:p>
    <w:p w14:paraId="48875590" w14:textId="77777777" w:rsidR="007B7E76" w:rsidRPr="007B7E76" w:rsidRDefault="007B7E76" w:rsidP="007B7E76">
      <w:pPr>
        <w:tabs>
          <w:tab w:val="left" w:pos="4082"/>
        </w:tabs>
        <w:spacing w:after="120"/>
        <w:ind w:left="1247"/>
        <w:rPr>
          <w:rFonts w:asciiTheme="majorBidi" w:hAnsiTheme="majorBidi" w:cstheme="majorBidi"/>
          <w:i/>
        </w:rPr>
      </w:pPr>
      <w:r w:rsidRPr="007B7E76">
        <w:rPr>
          <w:rFonts w:asciiTheme="majorBidi" w:hAnsiTheme="majorBidi" w:cstheme="majorBidi"/>
        </w:rPr>
        <w:tab/>
        <w:t>6.</w:t>
      </w:r>
      <w:r w:rsidRPr="007B7E76">
        <w:rPr>
          <w:rFonts w:asciiTheme="majorBidi" w:hAnsiTheme="majorBidi" w:cstheme="majorBidi"/>
        </w:rPr>
        <w:tab/>
      </w:r>
      <w:r w:rsidRPr="007B7E76">
        <w:rPr>
          <w:rFonts w:asciiTheme="majorBidi" w:hAnsiTheme="majorBidi" w:cstheme="majorBidi"/>
          <w:i/>
        </w:rPr>
        <w:t>Prie également le </w:t>
      </w:r>
      <w:r w:rsidRPr="007B7E76">
        <w:rPr>
          <w:rFonts w:asciiTheme="majorBidi" w:hAnsiTheme="majorBidi" w:cstheme="majorBidi"/>
        </w:rPr>
        <w:t>secrétariat de compiler en un rapport les informations visées au paragraphe 5 ci-dessus et d’y inclure les catégories de sources ponctuelles pertinentes identifiées, notamment, au moyen de l’Outil pour l’identification et la quantification des rejets de mercure mis au point par le Programme des Nations Unies pour l’environnement, les évaluations initiales de la Convention de Minamata et l’</w:t>
      </w:r>
      <w:r w:rsidRPr="007B7E76">
        <w:rPr>
          <w:rFonts w:asciiTheme="majorBidi" w:hAnsiTheme="majorBidi" w:cstheme="majorBidi"/>
          <w:i/>
          <w:iCs/>
        </w:rPr>
        <w:t>Évaluation mondiale du mercure 2018</w:t>
      </w:r>
      <w:r w:rsidRPr="007B7E76">
        <w:rPr>
          <w:sz w:val="22"/>
          <w:szCs w:val="22"/>
        </w:rPr>
        <w:t xml:space="preserve"> </w:t>
      </w:r>
      <w:r w:rsidRPr="007B7E76">
        <w:rPr>
          <w:rFonts w:asciiTheme="majorBidi" w:hAnsiTheme="majorBidi" w:cstheme="majorBidi"/>
        </w:rPr>
        <w:t>qui paraîtra prochainement ;</w:t>
      </w:r>
    </w:p>
    <w:p w14:paraId="0AEA4F01" w14:textId="77777777" w:rsidR="007B7E76" w:rsidRPr="007B7E76" w:rsidRDefault="007B7E76" w:rsidP="007B7E76">
      <w:pPr>
        <w:tabs>
          <w:tab w:val="left" w:pos="4082"/>
        </w:tabs>
        <w:spacing w:after="120"/>
        <w:ind w:left="1247"/>
        <w:rPr>
          <w:rFonts w:asciiTheme="majorBidi" w:hAnsiTheme="majorBidi" w:cstheme="majorBidi"/>
        </w:rPr>
      </w:pPr>
      <w:r w:rsidRPr="007B7E76">
        <w:rPr>
          <w:rFonts w:asciiTheme="majorBidi" w:hAnsiTheme="majorBidi" w:cstheme="majorBidi"/>
        </w:rPr>
        <w:tab/>
        <w:t>7.</w:t>
      </w:r>
      <w:r w:rsidRPr="007B7E76">
        <w:rPr>
          <w:rFonts w:asciiTheme="majorBidi" w:hAnsiTheme="majorBidi" w:cstheme="majorBidi"/>
        </w:rPr>
        <w:tab/>
      </w:r>
      <w:r w:rsidRPr="007B7E76">
        <w:rPr>
          <w:rFonts w:asciiTheme="majorBidi" w:hAnsiTheme="majorBidi" w:cstheme="majorBidi"/>
          <w:i/>
        </w:rPr>
        <w:t>Prie en outre le </w:t>
      </w:r>
      <w:r w:rsidRPr="007B7E76">
        <w:rPr>
          <w:rFonts w:asciiTheme="majorBidi" w:hAnsiTheme="majorBidi" w:cstheme="majorBidi"/>
        </w:rPr>
        <w:t>secrétariat de mettre le rapport mentionné au paragraphe 6 ci-dessus à la disposition du groupe pour qu’il l’examine en se conformant au calendrier figurant dans l’annexe II de la présente décision ;</w:t>
      </w:r>
    </w:p>
    <w:p w14:paraId="59E59D19" w14:textId="77777777" w:rsidR="007B7E76" w:rsidRPr="007B7E76" w:rsidRDefault="007B7E76" w:rsidP="007B7E76">
      <w:pPr>
        <w:tabs>
          <w:tab w:val="left" w:pos="4082"/>
        </w:tabs>
        <w:spacing w:after="120"/>
        <w:ind w:left="1247"/>
        <w:rPr>
          <w:rFonts w:asciiTheme="majorBidi" w:hAnsiTheme="majorBidi" w:cstheme="majorBidi"/>
          <w:i/>
        </w:rPr>
      </w:pPr>
      <w:r w:rsidRPr="007B7E76">
        <w:rPr>
          <w:rFonts w:asciiTheme="majorBidi" w:hAnsiTheme="majorBidi" w:cstheme="majorBidi"/>
        </w:rPr>
        <w:tab/>
        <w:t>8.</w:t>
      </w:r>
      <w:r w:rsidRPr="007B7E76">
        <w:rPr>
          <w:rFonts w:asciiTheme="majorBidi" w:hAnsiTheme="majorBidi" w:cstheme="majorBidi"/>
        </w:rPr>
        <w:tab/>
      </w:r>
      <w:r w:rsidRPr="007B7E76">
        <w:rPr>
          <w:rFonts w:asciiTheme="majorBidi" w:hAnsiTheme="majorBidi" w:cstheme="majorBidi"/>
          <w:i/>
        </w:rPr>
        <w:t>Prie le </w:t>
      </w:r>
      <w:r w:rsidRPr="007B7E76">
        <w:rPr>
          <w:rFonts w:asciiTheme="majorBidi" w:hAnsiTheme="majorBidi" w:cstheme="majorBidi"/>
        </w:rPr>
        <w:t>groupe de présenter le rapport, y compris la liste de toutes les catégories importantes de sources anthropiques ponctuelles non visées par les dispositions de la Convention, à l’exception de l’article 9, ainsi qu’une proposition de feuille de route et de structure en vue de l’élaboration d’un projet d’orientations sur les méthodes à suivre pour l’établissement de ses inventaires, pour adoption éventuelle par la Conférence des Parties à sa troisième réunion ;</w:t>
      </w:r>
    </w:p>
    <w:p w14:paraId="58C8A9B6" w14:textId="77777777" w:rsidR="007B7E76" w:rsidRPr="007B7E76" w:rsidRDefault="007B7E76" w:rsidP="007B7E76">
      <w:pPr>
        <w:tabs>
          <w:tab w:val="left" w:pos="4082"/>
        </w:tabs>
        <w:spacing w:after="120"/>
        <w:ind w:left="1247"/>
        <w:rPr>
          <w:rFonts w:asciiTheme="majorBidi" w:hAnsiTheme="majorBidi" w:cstheme="majorBidi"/>
          <w:strike/>
        </w:rPr>
      </w:pPr>
      <w:r w:rsidRPr="007B7E76">
        <w:rPr>
          <w:rFonts w:asciiTheme="majorBidi" w:hAnsiTheme="majorBidi" w:cstheme="majorBidi"/>
        </w:rPr>
        <w:tab/>
        <w:t>9.</w:t>
      </w:r>
      <w:r w:rsidRPr="007B7E76">
        <w:rPr>
          <w:rFonts w:asciiTheme="majorBidi" w:hAnsiTheme="majorBidi" w:cstheme="majorBidi"/>
        </w:rPr>
        <w:tab/>
      </w:r>
      <w:r w:rsidRPr="007B7E76">
        <w:rPr>
          <w:rFonts w:asciiTheme="majorBidi" w:hAnsiTheme="majorBidi" w:cstheme="majorBidi"/>
          <w:i/>
        </w:rPr>
        <w:t>Prie également le </w:t>
      </w:r>
      <w:r w:rsidRPr="007B7E76">
        <w:rPr>
          <w:rFonts w:asciiTheme="majorBidi" w:hAnsiTheme="majorBidi" w:cstheme="majorBidi"/>
        </w:rPr>
        <w:t>groupe d’élaborer un projet d’orientations sur les méthodes normalisées et connues d’établissement d’inventaires applicables aux sources figurant dans la liste visée au paragraphe 8 ci-dessus, pour adoption éventuelle par la Conférence des Parties à sa quatrième réunion ;</w:t>
      </w:r>
    </w:p>
    <w:p w14:paraId="25239EF5" w14:textId="77777777" w:rsidR="007B7E76" w:rsidRPr="007B7E76" w:rsidRDefault="007B7E76" w:rsidP="007B7E76">
      <w:pPr>
        <w:tabs>
          <w:tab w:val="left" w:pos="4082"/>
        </w:tabs>
        <w:spacing w:after="120"/>
        <w:ind w:left="1247"/>
        <w:rPr>
          <w:rFonts w:asciiTheme="majorBidi" w:hAnsiTheme="majorBidi" w:cstheme="majorBidi"/>
        </w:rPr>
      </w:pPr>
      <w:r w:rsidRPr="007B7E76">
        <w:rPr>
          <w:rFonts w:asciiTheme="majorBidi" w:hAnsiTheme="majorBidi" w:cstheme="majorBidi"/>
          <w:i/>
        </w:rPr>
        <w:tab/>
      </w:r>
      <w:r w:rsidRPr="007B7E76">
        <w:rPr>
          <w:rFonts w:asciiTheme="majorBidi" w:hAnsiTheme="majorBidi" w:cstheme="majorBidi"/>
        </w:rPr>
        <w:t>10.</w:t>
      </w:r>
      <w:r w:rsidRPr="007B7E76">
        <w:rPr>
          <w:rFonts w:asciiTheme="majorBidi" w:hAnsiTheme="majorBidi" w:cstheme="majorBidi"/>
        </w:rPr>
        <w:tab/>
      </w:r>
      <w:r w:rsidRPr="007B7E76">
        <w:rPr>
          <w:rFonts w:asciiTheme="majorBidi" w:hAnsiTheme="majorBidi" w:cstheme="majorBidi"/>
          <w:i/>
        </w:rPr>
        <w:t>Décide</w:t>
      </w:r>
      <w:r w:rsidRPr="007B7E76">
        <w:rPr>
          <w:rFonts w:asciiTheme="majorBidi" w:hAnsiTheme="majorBidi" w:cstheme="majorBidi"/>
        </w:rPr>
        <w:t xml:space="preserve"> de différer les travaux d’élaboration des orientations sur les meilleures techniques disponibles et les meilleures pratiques environnementales jusqu’après l’achèvement du projet d’orientations sur les méthodes d’établissement d’inventaires.</w:t>
      </w:r>
    </w:p>
    <w:p w14:paraId="6295EFCC" w14:textId="77777777" w:rsidR="007B7E76" w:rsidRPr="007B7E76" w:rsidRDefault="007B7E76" w:rsidP="007B7E76">
      <w:pPr>
        <w:keepNext/>
        <w:keepLines/>
        <w:tabs>
          <w:tab w:val="right" w:pos="851"/>
          <w:tab w:val="left" w:pos="4082"/>
        </w:tabs>
        <w:suppressAutoHyphens/>
        <w:spacing w:before="80" w:after="120"/>
        <w:ind w:left="1247" w:right="284" w:hanging="1247"/>
        <w:rPr>
          <w:b/>
          <w:sz w:val="24"/>
          <w:szCs w:val="24"/>
          <w:lang w:val="fr-CA"/>
        </w:rPr>
      </w:pPr>
      <w:r w:rsidRPr="007B7E76">
        <w:rPr>
          <w:b/>
          <w:sz w:val="24"/>
          <w:szCs w:val="24"/>
          <w:lang w:val="fr-CA"/>
        </w:rPr>
        <w:tab/>
      </w:r>
      <w:r w:rsidRPr="007B7E76">
        <w:rPr>
          <w:b/>
          <w:sz w:val="24"/>
          <w:szCs w:val="24"/>
          <w:lang w:val="fr-CA"/>
        </w:rPr>
        <w:tab/>
      </w:r>
      <w:bookmarkStart w:id="12" w:name="_Toc13750006"/>
      <w:bookmarkStart w:id="13" w:name="_Toc14183355"/>
      <w:bookmarkStart w:id="14" w:name="_Toc14183515"/>
      <w:bookmarkStart w:id="15" w:name="_Toc14185124"/>
      <w:r w:rsidRPr="007B7E76">
        <w:rPr>
          <w:b/>
          <w:sz w:val="24"/>
          <w:szCs w:val="24"/>
          <w:lang w:val="fr-CA"/>
        </w:rPr>
        <w:t>Annexe I</w:t>
      </w:r>
      <w:r w:rsidRPr="007B7E76">
        <w:rPr>
          <w:b/>
          <w:bCs/>
          <w:lang w:val="fr-CA"/>
        </w:rPr>
        <w:t xml:space="preserve"> </w:t>
      </w:r>
      <w:r w:rsidRPr="007B7E76">
        <w:rPr>
          <w:b/>
          <w:sz w:val="24"/>
          <w:szCs w:val="24"/>
          <w:lang w:val="fr-CA"/>
        </w:rPr>
        <w:t>à la décision MC-2/3</w:t>
      </w:r>
      <w:bookmarkEnd w:id="12"/>
      <w:bookmarkEnd w:id="13"/>
      <w:bookmarkEnd w:id="14"/>
      <w:bookmarkEnd w:id="15"/>
    </w:p>
    <w:p w14:paraId="2D1D5A4C" w14:textId="77777777" w:rsidR="007B7E76" w:rsidRPr="007B7E76" w:rsidRDefault="007B7E76" w:rsidP="007B7E76">
      <w:pPr>
        <w:keepNext/>
        <w:keepLines/>
        <w:tabs>
          <w:tab w:val="right" w:pos="851"/>
          <w:tab w:val="left" w:pos="4082"/>
        </w:tabs>
        <w:suppressAutoHyphens/>
        <w:spacing w:before="80" w:after="120"/>
        <w:ind w:left="1247" w:right="284" w:hanging="1247"/>
        <w:rPr>
          <w:b/>
          <w:sz w:val="24"/>
          <w:szCs w:val="24"/>
          <w:lang w:val="fr-CA"/>
        </w:rPr>
      </w:pPr>
      <w:r w:rsidRPr="007B7E76">
        <w:rPr>
          <w:b/>
          <w:sz w:val="24"/>
          <w:szCs w:val="24"/>
          <w:lang w:val="fr-CA"/>
        </w:rPr>
        <w:tab/>
      </w:r>
      <w:r w:rsidRPr="007B7E76">
        <w:rPr>
          <w:b/>
          <w:sz w:val="24"/>
          <w:szCs w:val="24"/>
          <w:lang w:val="fr-CA"/>
        </w:rPr>
        <w:tab/>
      </w:r>
      <w:bookmarkStart w:id="16" w:name="_Toc13750007"/>
      <w:bookmarkStart w:id="17" w:name="_Toc14183356"/>
      <w:bookmarkStart w:id="18" w:name="_Toc14183516"/>
      <w:bookmarkStart w:id="19" w:name="_Toc14185125"/>
      <w:r w:rsidRPr="007B7E76">
        <w:rPr>
          <w:b/>
          <w:sz w:val="24"/>
          <w:szCs w:val="24"/>
          <w:lang w:val="fr-CA"/>
        </w:rPr>
        <w:t>Projet de mandat d’un groupe d’experts techniques sur les orientations concernant les rejets de mercure à établir conformément à l’article 9 de la Convention</w:t>
      </w:r>
      <w:bookmarkEnd w:id="16"/>
      <w:bookmarkEnd w:id="17"/>
      <w:bookmarkEnd w:id="18"/>
      <w:bookmarkEnd w:id="19"/>
    </w:p>
    <w:p w14:paraId="5A1DF2BE"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lang w:val="fr-CA"/>
        </w:rPr>
      </w:pPr>
      <w:r w:rsidRPr="007B7E76">
        <w:rPr>
          <w:b/>
          <w:sz w:val="28"/>
          <w:szCs w:val="28"/>
        </w:rPr>
        <w:tab/>
      </w:r>
      <w:bookmarkStart w:id="20" w:name="_Toc13750008"/>
      <w:bookmarkStart w:id="21" w:name="_Toc14183357"/>
      <w:bookmarkStart w:id="22" w:name="_Toc14183517"/>
      <w:bookmarkStart w:id="23" w:name="_Toc14185126"/>
      <w:r w:rsidRPr="007B7E76">
        <w:rPr>
          <w:b/>
          <w:sz w:val="28"/>
          <w:szCs w:val="28"/>
        </w:rPr>
        <w:t>I.</w:t>
      </w:r>
      <w:r w:rsidRPr="007B7E76">
        <w:rPr>
          <w:b/>
          <w:sz w:val="28"/>
          <w:szCs w:val="28"/>
        </w:rPr>
        <w:tab/>
      </w:r>
      <w:r w:rsidRPr="007B7E76">
        <w:rPr>
          <w:b/>
          <w:bCs/>
          <w:sz w:val="28"/>
          <w:szCs w:val="28"/>
        </w:rPr>
        <w:t>Mandat</w:t>
      </w:r>
      <w:bookmarkEnd w:id="20"/>
      <w:bookmarkEnd w:id="21"/>
      <w:bookmarkEnd w:id="22"/>
      <w:bookmarkEnd w:id="23"/>
    </w:p>
    <w:p w14:paraId="49F65AC2"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pPr>
      <w:r w:rsidRPr="007B7E76">
        <w:t>À sa deuxième réunion, la Conférence des Parties à la Convention de Minamata, par sa décision MC-2/3, a créé un groupe d’experts techniques chargé d’établir des orientations concernant les rejets de mercure, conformément au calendrier figurant à l’annexe II de ladite décision.</w:t>
      </w:r>
    </w:p>
    <w:p w14:paraId="0B04A85C"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Dans un premier temps, le groupe d’experts compilera dans un rapport les informations visées au paragraphe 5 de la décision MC-2/3.</w:t>
      </w:r>
    </w:p>
    <w:p w14:paraId="4CBB89C4"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Le rapport comprendra une liste de toutes les catégories importantes de sources anthropiques ponctuelles de rejets non visées par les dispositions de la Convention, à l’exception de l’article 9, ainsi qu’une proposition de feuille de route et de structure en vue de l’élaboration d’un projet d’orientations sur les méthodes à suivre pour l’établissement de ses inventaires, pour adoption éventuelle par la Conférence des Parties à sa troisième réunion.</w:t>
      </w:r>
    </w:p>
    <w:p w14:paraId="51A114D2"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Dans un deuxième temps, le groupe d’experts établira un projet d’orientations sur les méthodes normalisées et connues d’établissement d’inventaires applicables aux sources figurant dans la liste visée au paragraphe 8 de la décision MC-2/3, pour adoption éventuelle par la Conférence des Parties à sa quatrième réunion.</w:t>
      </w:r>
    </w:p>
    <w:p w14:paraId="2BA8965B"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lang w:val="fr-CA"/>
        </w:rPr>
      </w:pPr>
      <w:r w:rsidRPr="007B7E76">
        <w:rPr>
          <w:b/>
          <w:sz w:val="28"/>
          <w:szCs w:val="28"/>
        </w:rPr>
        <w:tab/>
      </w:r>
      <w:bookmarkStart w:id="24" w:name="_Toc13750009"/>
      <w:bookmarkStart w:id="25" w:name="_Toc14183358"/>
      <w:bookmarkStart w:id="26" w:name="_Toc14183518"/>
      <w:bookmarkStart w:id="27" w:name="_Toc14185127"/>
      <w:r w:rsidRPr="007B7E76">
        <w:rPr>
          <w:b/>
          <w:sz w:val="28"/>
          <w:szCs w:val="28"/>
        </w:rPr>
        <w:t>II.</w:t>
      </w:r>
      <w:r w:rsidRPr="007B7E76">
        <w:rPr>
          <w:b/>
          <w:sz w:val="28"/>
          <w:szCs w:val="28"/>
        </w:rPr>
        <w:tab/>
      </w:r>
      <w:r w:rsidRPr="007B7E76">
        <w:rPr>
          <w:b/>
          <w:bCs/>
          <w:sz w:val="28"/>
          <w:szCs w:val="28"/>
        </w:rPr>
        <w:t>Composition</w:t>
      </w:r>
      <w:bookmarkEnd w:id="24"/>
      <w:bookmarkEnd w:id="25"/>
      <w:bookmarkEnd w:id="26"/>
      <w:bookmarkEnd w:id="27"/>
    </w:p>
    <w:p w14:paraId="7D9CE145"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Jusqu’à la troisième réunion de la Conférence des Parties, le groupe sera composé de 25 experts techniques, avec chacune des cinq régions de l’Organisation des Nations Unies en désignant cinq. Avant la première réunion du groupe, le groupe et le secrétariat inviteront des experts d’organisations compétentes, du secteur industriel et de la société civile à participer en qualité d’observateurs, selon qu’il conviendra.</w:t>
      </w:r>
    </w:p>
    <w:p w14:paraId="067B0776"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rPr>
      </w:pPr>
      <w:r w:rsidRPr="007B7E76">
        <w:rPr>
          <w:b/>
          <w:sz w:val="28"/>
          <w:szCs w:val="28"/>
        </w:rPr>
        <w:lastRenderedPageBreak/>
        <w:tab/>
      </w:r>
      <w:bookmarkStart w:id="28" w:name="_Toc13750010"/>
      <w:bookmarkStart w:id="29" w:name="_Toc14183359"/>
      <w:bookmarkStart w:id="30" w:name="_Toc14183519"/>
      <w:bookmarkStart w:id="31" w:name="_Toc14185128"/>
      <w:r w:rsidRPr="007B7E76">
        <w:rPr>
          <w:b/>
          <w:sz w:val="28"/>
          <w:szCs w:val="28"/>
        </w:rPr>
        <w:t>III.</w:t>
      </w:r>
      <w:r w:rsidRPr="007B7E76">
        <w:rPr>
          <w:b/>
          <w:sz w:val="28"/>
          <w:szCs w:val="28"/>
        </w:rPr>
        <w:tab/>
      </w:r>
      <w:r w:rsidRPr="007B7E76">
        <w:rPr>
          <w:b/>
          <w:bCs/>
          <w:sz w:val="28"/>
          <w:szCs w:val="28"/>
        </w:rPr>
        <w:t xml:space="preserve">Qualifications recommandées pour les membres </w:t>
      </w:r>
      <w:r w:rsidRPr="007B7E76">
        <w:rPr>
          <w:b/>
          <w:bCs/>
          <w:sz w:val="28"/>
          <w:szCs w:val="28"/>
        </w:rPr>
        <w:br/>
        <w:t>et les observateurs</w:t>
      </w:r>
      <w:bookmarkEnd w:id="28"/>
      <w:bookmarkEnd w:id="29"/>
      <w:bookmarkEnd w:id="30"/>
      <w:bookmarkEnd w:id="31"/>
    </w:p>
    <w:p w14:paraId="38D9E2DB"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Les membres et les observateurs doivent posséder au moins une des qualifications suivantes :</w:t>
      </w:r>
    </w:p>
    <w:p w14:paraId="19E0ACC0" w14:textId="77777777" w:rsidR="007B7E76" w:rsidRPr="007B7E76" w:rsidRDefault="007B7E76" w:rsidP="007B7E76">
      <w:pPr>
        <w:numPr>
          <w:ilvl w:val="0"/>
          <w:numId w:val="53"/>
        </w:numPr>
        <w:tabs>
          <w:tab w:val="clear" w:pos="1247"/>
          <w:tab w:val="clear" w:pos="1814"/>
          <w:tab w:val="clear" w:pos="2381"/>
          <w:tab w:val="clear" w:pos="2948"/>
          <w:tab w:val="clear" w:pos="3515"/>
          <w:tab w:val="left" w:pos="624"/>
        </w:tabs>
        <w:suppressAutoHyphens/>
        <w:autoSpaceDN w:val="0"/>
        <w:spacing w:after="120"/>
        <w:ind w:left="1276" w:firstLine="595"/>
      </w:pPr>
      <w:r w:rsidRPr="007B7E76">
        <w:t>Connaissance du débit massique/bilan de masse du mercure dans les sous-catégories de sources de mercure pertinentes (découlant par exemple de travaux techniques dans/avec les secteurs concernés) ;</w:t>
      </w:r>
    </w:p>
    <w:p w14:paraId="5B4FF646" w14:textId="77777777" w:rsidR="007B7E76" w:rsidRPr="007B7E76" w:rsidRDefault="007B7E76" w:rsidP="007B7E76">
      <w:pPr>
        <w:numPr>
          <w:ilvl w:val="0"/>
          <w:numId w:val="53"/>
        </w:numPr>
        <w:tabs>
          <w:tab w:val="clear" w:pos="1247"/>
          <w:tab w:val="clear" w:pos="1814"/>
          <w:tab w:val="clear" w:pos="2381"/>
          <w:tab w:val="clear" w:pos="2948"/>
          <w:tab w:val="clear" w:pos="3515"/>
          <w:tab w:val="left" w:pos="624"/>
        </w:tabs>
        <w:suppressAutoHyphens/>
        <w:autoSpaceDN w:val="0"/>
        <w:spacing w:after="120"/>
        <w:ind w:left="1276" w:firstLine="595"/>
      </w:pPr>
      <w:r w:rsidRPr="007B7E76">
        <w:t>Compétences applicables aux différentes méthodes de suivi, de mesure et de calcul des émissions et rejets ;</w:t>
      </w:r>
    </w:p>
    <w:p w14:paraId="25A7C1EF" w14:textId="77777777" w:rsidR="007B7E76" w:rsidRPr="007B7E76" w:rsidRDefault="007B7E76" w:rsidP="007B7E76">
      <w:pPr>
        <w:numPr>
          <w:ilvl w:val="0"/>
          <w:numId w:val="53"/>
        </w:numPr>
        <w:tabs>
          <w:tab w:val="clear" w:pos="1247"/>
          <w:tab w:val="clear" w:pos="1814"/>
          <w:tab w:val="clear" w:pos="2381"/>
          <w:tab w:val="clear" w:pos="2948"/>
          <w:tab w:val="clear" w:pos="3515"/>
          <w:tab w:val="left" w:pos="624"/>
        </w:tabs>
        <w:suppressAutoHyphens/>
        <w:autoSpaceDN w:val="0"/>
        <w:spacing w:after="120"/>
        <w:ind w:left="1276" w:firstLine="595"/>
      </w:pPr>
      <w:r w:rsidRPr="007B7E76">
        <w:t>Connaissance des registres des rejets et transferts de polluants ;</w:t>
      </w:r>
    </w:p>
    <w:p w14:paraId="2FC7B3E2" w14:textId="77777777" w:rsidR="007B7E76" w:rsidRPr="007B7E76" w:rsidRDefault="007B7E76" w:rsidP="007B7E76">
      <w:pPr>
        <w:numPr>
          <w:ilvl w:val="0"/>
          <w:numId w:val="53"/>
        </w:numPr>
        <w:tabs>
          <w:tab w:val="clear" w:pos="1247"/>
          <w:tab w:val="clear" w:pos="1814"/>
          <w:tab w:val="clear" w:pos="2381"/>
          <w:tab w:val="clear" w:pos="2948"/>
          <w:tab w:val="clear" w:pos="3515"/>
          <w:tab w:val="left" w:pos="624"/>
        </w:tabs>
        <w:suppressAutoHyphens/>
        <w:autoSpaceDN w:val="0"/>
        <w:spacing w:after="120"/>
        <w:ind w:left="1276" w:firstLine="595"/>
      </w:pPr>
      <w:r w:rsidRPr="007B7E76">
        <w:t>Compétences ou expérience en matière d’utilisation de l’Outil d’identification et de quantification des rejets de mercure du Programme des Nations Unies pour l’environnement.</w:t>
      </w:r>
    </w:p>
    <w:p w14:paraId="1B4CB893"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lang w:val="fr-CA"/>
        </w:rPr>
      </w:pPr>
      <w:r w:rsidRPr="007B7E76">
        <w:rPr>
          <w:b/>
          <w:sz w:val="28"/>
          <w:szCs w:val="28"/>
        </w:rPr>
        <w:tab/>
      </w:r>
      <w:bookmarkStart w:id="32" w:name="_Toc13750011"/>
      <w:bookmarkStart w:id="33" w:name="_Toc14183360"/>
      <w:bookmarkStart w:id="34" w:name="_Toc14183520"/>
      <w:bookmarkStart w:id="35" w:name="_Toc14185129"/>
      <w:r w:rsidRPr="007B7E76">
        <w:rPr>
          <w:b/>
          <w:sz w:val="28"/>
          <w:szCs w:val="28"/>
        </w:rPr>
        <w:t>IV.</w:t>
      </w:r>
      <w:r w:rsidRPr="007B7E76">
        <w:rPr>
          <w:b/>
          <w:sz w:val="28"/>
          <w:szCs w:val="28"/>
        </w:rPr>
        <w:tab/>
        <w:t>Bureau</w:t>
      </w:r>
      <w:bookmarkEnd w:id="32"/>
      <w:bookmarkEnd w:id="33"/>
      <w:bookmarkEnd w:id="34"/>
      <w:bookmarkEnd w:id="35"/>
    </w:p>
    <w:p w14:paraId="6951A037"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Le groupe d’experts élira deux coprésidents pour faciliter ses réunions et autres travaux.</w:t>
      </w:r>
    </w:p>
    <w:p w14:paraId="7B7C3C63"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lang w:val="fr-CA"/>
        </w:rPr>
      </w:pPr>
      <w:r w:rsidRPr="007B7E76">
        <w:rPr>
          <w:b/>
          <w:sz w:val="28"/>
          <w:szCs w:val="28"/>
        </w:rPr>
        <w:tab/>
      </w:r>
      <w:bookmarkStart w:id="36" w:name="_Toc13750012"/>
      <w:bookmarkStart w:id="37" w:name="_Toc14183361"/>
      <w:bookmarkStart w:id="38" w:name="_Toc14183521"/>
      <w:bookmarkStart w:id="39" w:name="_Toc14185130"/>
      <w:r w:rsidRPr="007B7E76">
        <w:rPr>
          <w:b/>
          <w:sz w:val="28"/>
          <w:szCs w:val="28"/>
        </w:rPr>
        <w:t>V.</w:t>
      </w:r>
      <w:r w:rsidRPr="007B7E76">
        <w:rPr>
          <w:b/>
          <w:sz w:val="28"/>
          <w:szCs w:val="28"/>
        </w:rPr>
        <w:tab/>
      </w:r>
      <w:r w:rsidRPr="007B7E76">
        <w:rPr>
          <w:b/>
          <w:bCs/>
          <w:sz w:val="28"/>
          <w:szCs w:val="28"/>
        </w:rPr>
        <w:t>Secrétariat</w:t>
      </w:r>
      <w:bookmarkEnd w:id="36"/>
      <w:bookmarkEnd w:id="37"/>
      <w:bookmarkEnd w:id="38"/>
      <w:bookmarkEnd w:id="39"/>
    </w:p>
    <w:p w14:paraId="68259D12"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Le secrétariat fournira un appui administratif au groupe d’experts. Il compilera les contributions reçues ainsi que les résultats des consultations sur la question.</w:t>
      </w:r>
    </w:p>
    <w:p w14:paraId="0607A62A"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rPr>
      </w:pPr>
      <w:r w:rsidRPr="007B7E76">
        <w:rPr>
          <w:b/>
          <w:sz w:val="28"/>
          <w:szCs w:val="28"/>
        </w:rPr>
        <w:tab/>
      </w:r>
      <w:bookmarkStart w:id="40" w:name="_Toc13750013"/>
      <w:bookmarkStart w:id="41" w:name="_Toc14183362"/>
      <w:bookmarkStart w:id="42" w:name="_Toc14183522"/>
      <w:bookmarkStart w:id="43" w:name="_Toc14185131"/>
      <w:r w:rsidRPr="007B7E76">
        <w:rPr>
          <w:b/>
          <w:sz w:val="28"/>
          <w:szCs w:val="28"/>
        </w:rPr>
        <w:t>VI.</w:t>
      </w:r>
      <w:r w:rsidRPr="007B7E76">
        <w:rPr>
          <w:b/>
          <w:sz w:val="28"/>
          <w:szCs w:val="28"/>
        </w:rPr>
        <w:tab/>
      </w:r>
      <w:r w:rsidRPr="007B7E76">
        <w:rPr>
          <w:b/>
          <w:bCs/>
          <w:sz w:val="28"/>
          <w:szCs w:val="28"/>
        </w:rPr>
        <w:t>Questions administratives et procédurales</w:t>
      </w:r>
      <w:bookmarkEnd w:id="40"/>
      <w:bookmarkEnd w:id="41"/>
      <w:bookmarkEnd w:id="42"/>
      <w:bookmarkEnd w:id="43"/>
    </w:p>
    <w:p w14:paraId="6E7E5EF0"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 xml:space="preserve">Le règlement intérieur de la Conférence des Parties s’appliquera </w:t>
      </w:r>
      <w:r w:rsidRPr="007B7E76">
        <w:rPr>
          <w:i/>
        </w:rPr>
        <w:t>mutatis mutandis</w:t>
      </w:r>
      <w:r w:rsidRPr="007B7E76">
        <w:t xml:space="preserve"> au groupe d’experts.</w:t>
      </w:r>
    </w:p>
    <w:p w14:paraId="010D1A8C"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rPr>
      </w:pPr>
      <w:r w:rsidRPr="007B7E76">
        <w:rPr>
          <w:b/>
          <w:sz w:val="28"/>
          <w:szCs w:val="28"/>
        </w:rPr>
        <w:tab/>
      </w:r>
      <w:bookmarkStart w:id="44" w:name="_Toc13750014"/>
      <w:bookmarkStart w:id="45" w:name="_Toc14183363"/>
      <w:bookmarkStart w:id="46" w:name="_Toc14183523"/>
      <w:bookmarkStart w:id="47" w:name="_Toc14185132"/>
      <w:r w:rsidRPr="007B7E76">
        <w:rPr>
          <w:b/>
          <w:sz w:val="28"/>
          <w:szCs w:val="28"/>
        </w:rPr>
        <w:t>VII.</w:t>
      </w:r>
      <w:r w:rsidRPr="007B7E76">
        <w:rPr>
          <w:b/>
          <w:sz w:val="28"/>
          <w:szCs w:val="28"/>
        </w:rPr>
        <w:tab/>
      </w:r>
      <w:r w:rsidRPr="007B7E76">
        <w:rPr>
          <w:b/>
          <w:bCs/>
          <w:sz w:val="28"/>
          <w:szCs w:val="28"/>
        </w:rPr>
        <w:t>Réunions et modalités de travail</w:t>
      </w:r>
      <w:bookmarkEnd w:id="44"/>
      <w:bookmarkEnd w:id="45"/>
      <w:bookmarkEnd w:id="46"/>
      <w:bookmarkEnd w:id="47"/>
    </w:p>
    <w:p w14:paraId="6EC01BFD"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À des fins de maîtrise des dépenses, le groupe travaillera principalement par voie électronique, y compris par webinaires.</w:t>
      </w:r>
    </w:p>
    <w:p w14:paraId="5AFE9C6A"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La Conférence des Parties examinera à sa troisième réunion la question de savoir si le groupe devrait organiser une réunion en présentiel.</w:t>
      </w:r>
    </w:p>
    <w:p w14:paraId="74C37C46" w14:textId="77777777" w:rsidR="007B7E76" w:rsidRPr="007B7E76" w:rsidRDefault="007B7E76" w:rsidP="007B7E76">
      <w:pPr>
        <w:keepNext/>
        <w:keepLines/>
        <w:tabs>
          <w:tab w:val="right" w:pos="851"/>
          <w:tab w:val="left" w:pos="4082"/>
        </w:tabs>
        <w:suppressAutoHyphens/>
        <w:spacing w:before="240" w:after="120"/>
        <w:ind w:left="1247" w:right="284" w:hanging="1247"/>
        <w:rPr>
          <w:b/>
          <w:sz w:val="28"/>
          <w:szCs w:val="28"/>
          <w:lang w:val="fr-CA"/>
        </w:rPr>
      </w:pPr>
      <w:r w:rsidRPr="007B7E76">
        <w:rPr>
          <w:b/>
          <w:sz w:val="28"/>
          <w:szCs w:val="28"/>
        </w:rPr>
        <w:tab/>
      </w:r>
      <w:bookmarkStart w:id="48" w:name="_Toc13750015"/>
      <w:bookmarkStart w:id="49" w:name="_Toc14183364"/>
      <w:bookmarkStart w:id="50" w:name="_Toc14185133"/>
      <w:r w:rsidRPr="007B7E76">
        <w:rPr>
          <w:b/>
          <w:sz w:val="28"/>
          <w:szCs w:val="28"/>
        </w:rPr>
        <w:t>VIII.</w:t>
      </w:r>
      <w:r w:rsidRPr="007B7E76">
        <w:rPr>
          <w:b/>
          <w:sz w:val="28"/>
          <w:szCs w:val="28"/>
        </w:rPr>
        <w:tab/>
      </w:r>
      <w:r w:rsidRPr="007B7E76">
        <w:rPr>
          <w:b/>
          <w:bCs/>
          <w:sz w:val="28"/>
          <w:szCs w:val="28"/>
        </w:rPr>
        <w:t>Langue de travail</w:t>
      </w:r>
      <w:bookmarkEnd w:id="48"/>
      <w:bookmarkEnd w:id="49"/>
      <w:bookmarkEnd w:id="50"/>
    </w:p>
    <w:p w14:paraId="0A838D9B" w14:textId="77777777" w:rsidR="007B7E76" w:rsidRPr="007B7E76" w:rsidRDefault="007B7E76" w:rsidP="007B7E76">
      <w:pPr>
        <w:numPr>
          <w:ilvl w:val="0"/>
          <w:numId w:val="52"/>
        </w:numPr>
        <w:tabs>
          <w:tab w:val="clear" w:pos="1247"/>
          <w:tab w:val="clear" w:pos="1814"/>
          <w:tab w:val="clear" w:pos="2381"/>
          <w:tab w:val="clear" w:pos="2948"/>
          <w:tab w:val="clear" w:pos="3515"/>
          <w:tab w:val="left" w:pos="624"/>
        </w:tabs>
        <w:suppressAutoHyphens/>
        <w:autoSpaceDN w:val="0"/>
        <w:spacing w:after="120"/>
        <w:ind w:left="1247" w:firstLine="0"/>
        <w:rPr>
          <w:rFonts w:asciiTheme="majorBidi" w:hAnsiTheme="majorBidi" w:cstheme="majorBidi"/>
        </w:rPr>
      </w:pPr>
      <w:r w:rsidRPr="007B7E76">
        <w:t>La langue de travail du groupe d’experts sera l’anglais. Les projets d’orientations présentés pour examen à la Conférence des Parties ainsi que les orientations adoptées par la Conférence des Parties seront traduits en arabe, chinois, espagnol, français et russe.</w:t>
      </w:r>
    </w:p>
    <w:p w14:paraId="73DC36AB" w14:textId="77777777" w:rsidR="007B7E76" w:rsidRPr="007B7E76" w:rsidRDefault="007B7E76" w:rsidP="007B7E76">
      <w:pPr>
        <w:keepNext/>
        <w:keepLines/>
        <w:tabs>
          <w:tab w:val="right" w:pos="851"/>
          <w:tab w:val="left" w:pos="4082"/>
        </w:tabs>
        <w:suppressAutoHyphens/>
        <w:spacing w:before="80" w:after="120"/>
        <w:ind w:left="1247" w:right="284" w:hanging="1247"/>
        <w:rPr>
          <w:b/>
          <w:sz w:val="24"/>
          <w:szCs w:val="24"/>
          <w:lang w:val="fr-CA"/>
        </w:rPr>
      </w:pPr>
      <w:r w:rsidRPr="007B7E76">
        <w:rPr>
          <w:b/>
          <w:sz w:val="24"/>
          <w:szCs w:val="24"/>
          <w:lang w:val="fr-CA"/>
        </w:rPr>
        <w:tab/>
      </w:r>
      <w:r w:rsidRPr="007B7E76">
        <w:rPr>
          <w:b/>
          <w:sz w:val="24"/>
          <w:szCs w:val="24"/>
          <w:lang w:val="fr-CA"/>
        </w:rPr>
        <w:tab/>
      </w:r>
      <w:bookmarkStart w:id="51" w:name="_Toc13750016"/>
      <w:bookmarkStart w:id="52" w:name="_Toc14183365"/>
      <w:bookmarkStart w:id="53" w:name="_Toc14185134"/>
      <w:r w:rsidRPr="007B7E76">
        <w:rPr>
          <w:b/>
          <w:sz w:val="24"/>
          <w:szCs w:val="24"/>
          <w:lang w:val="fr-CA"/>
        </w:rPr>
        <w:t>Annexe II à la décision MC-2/3</w:t>
      </w:r>
      <w:bookmarkEnd w:id="51"/>
      <w:bookmarkEnd w:id="52"/>
      <w:bookmarkEnd w:id="53"/>
    </w:p>
    <w:p w14:paraId="622A2346" w14:textId="77777777" w:rsidR="007B7E76" w:rsidRPr="007B7E76" w:rsidRDefault="007B7E76" w:rsidP="007B7E76">
      <w:pPr>
        <w:keepNext/>
        <w:keepLines/>
        <w:tabs>
          <w:tab w:val="right" w:pos="851"/>
          <w:tab w:val="left" w:pos="4082"/>
        </w:tabs>
        <w:suppressAutoHyphens/>
        <w:spacing w:before="80" w:after="120"/>
        <w:ind w:left="1247" w:right="284" w:hanging="1247"/>
        <w:rPr>
          <w:b/>
          <w:sz w:val="24"/>
          <w:szCs w:val="24"/>
          <w:lang w:val="fr-CA"/>
        </w:rPr>
      </w:pPr>
      <w:r w:rsidRPr="007B7E76">
        <w:rPr>
          <w:b/>
          <w:sz w:val="24"/>
          <w:szCs w:val="24"/>
          <w:lang w:val="fr-CA"/>
        </w:rPr>
        <w:tab/>
      </w:r>
      <w:r w:rsidRPr="007B7E76">
        <w:rPr>
          <w:b/>
          <w:sz w:val="24"/>
          <w:szCs w:val="24"/>
          <w:lang w:val="fr-CA"/>
        </w:rPr>
        <w:tab/>
      </w:r>
      <w:bookmarkStart w:id="54" w:name="_Toc13750017"/>
      <w:bookmarkStart w:id="55" w:name="_Toc14183366"/>
      <w:bookmarkStart w:id="56" w:name="_Toc14185135"/>
      <w:r w:rsidRPr="007B7E76">
        <w:rPr>
          <w:b/>
          <w:sz w:val="24"/>
          <w:szCs w:val="24"/>
          <w:lang w:val="fr-CA"/>
        </w:rPr>
        <w:t>Calendrier des activités du groupe d’experts techniques sur les rejets jusqu’à la troisième réunion de la Conférence des Parties</w:t>
      </w:r>
      <w:bookmarkEnd w:id="54"/>
      <w:bookmarkEnd w:id="55"/>
      <w:bookmarkEnd w:id="56"/>
    </w:p>
    <w:tbl>
      <w:tblPr>
        <w:tblStyle w:val="TableGrid"/>
        <w:tblW w:w="836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0"/>
        <w:gridCol w:w="2463"/>
      </w:tblGrid>
      <w:tr w:rsidR="007B7E76" w:rsidRPr="007B7E76" w14:paraId="3A0A05CE" w14:textId="77777777" w:rsidTr="004E0423">
        <w:trPr>
          <w:jc w:val="right"/>
        </w:trPr>
        <w:tc>
          <w:tcPr>
            <w:tcW w:w="5331" w:type="dxa"/>
            <w:tcBorders>
              <w:top w:val="single" w:sz="4" w:space="0" w:color="auto"/>
              <w:left w:val="nil"/>
              <w:bottom w:val="single" w:sz="12" w:space="0" w:color="auto"/>
              <w:right w:val="nil"/>
            </w:tcBorders>
            <w:hideMark/>
          </w:tcPr>
          <w:p w14:paraId="059816AA" w14:textId="77777777" w:rsidR="007B7E76" w:rsidRPr="007B7E76" w:rsidRDefault="007B7E76" w:rsidP="007B7E76">
            <w:pPr>
              <w:tabs>
                <w:tab w:val="left" w:pos="624"/>
              </w:tabs>
              <w:spacing w:before="80" w:after="80"/>
              <w:rPr>
                <w:rFonts w:asciiTheme="majorBidi" w:hAnsiTheme="majorBidi" w:cstheme="majorBidi"/>
                <w:i/>
                <w:sz w:val="18"/>
                <w:szCs w:val="18"/>
                <w:lang w:val="en-GB" w:eastAsia="zh-CN"/>
              </w:rPr>
            </w:pPr>
            <w:r w:rsidRPr="007B7E76">
              <w:rPr>
                <w:i/>
                <w:iCs/>
                <w:sz w:val="18"/>
                <w:szCs w:val="18"/>
                <w:lang w:eastAsia="zh-CN"/>
              </w:rPr>
              <w:t>Activité</w:t>
            </w:r>
          </w:p>
        </w:tc>
        <w:tc>
          <w:tcPr>
            <w:tcW w:w="2226" w:type="dxa"/>
            <w:tcBorders>
              <w:top w:val="single" w:sz="4" w:space="0" w:color="auto"/>
              <w:left w:val="nil"/>
              <w:bottom w:val="single" w:sz="12" w:space="0" w:color="auto"/>
              <w:right w:val="nil"/>
            </w:tcBorders>
            <w:hideMark/>
          </w:tcPr>
          <w:p w14:paraId="36AA3041" w14:textId="77777777" w:rsidR="007B7E76" w:rsidRPr="007B7E76" w:rsidRDefault="007B7E76" w:rsidP="007B7E76">
            <w:pPr>
              <w:tabs>
                <w:tab w:val="left" w:pos="624"/>
              </w:tabs>
              <w:spacing w:before="80" w:after="80"/>
              <w:rPr>
                <w:rFonts w:asciiTheme="majorBidi" w:hAnsiTheme="majorBidi" w:cstheme="majorBidi"/>
                <w:i/>
                <w:sz w:val="18"/>
                <w:szCs w:val="18"/>
                <w:lang w:eastAsia="zh-CN"/>
              </w:rPr>
            </w:pPr>
            <w:r w:rsidRPr="007B7E76">
              <w:rPr>
                <w:i/>
                <w:iCs/>
                <w:sz w:val="18"/>
                <w:szCs w:val="18"/>
                <w:lang w:eastAsia="zh-CN"/>
              </w:rPr>
              <w:t>Calendrier</w:t>
            </w:r>
          </w:p>
        </w:tc>
      </w:tr>
      <w:tr w:rsidR="007B7E76" w:rsidRPr="007B7E76" w14:paraId="1A3F1C68" w14:textId="77777777" w:rsidTr="004E0423">
        <w:trPr>
          <w:jc w:val="right"/>
        </w:trPr>
        <w:tc>
          <w:tcPr>
            <w:tcW w:w="5331" w:type="dxa"/>
            <w:tcBorders>
              <w:top w:val="single" w:sz="12" w:space="0" w:color="auto"/>
              <w:left w:val="nil"/>
              <w:bottom w:val="nil"/>
              <w:right w:val="nil"/>
            </w:tcBorders>
            <w:hideMark/>
          </w:tcPr>
          <w:p w14:paraId="2D8D81A9"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 xml:space="preserve">Création du groupe d’experts </w:t>
            </w:r>
          </w:p>
        </w:tc>
        <w:tc>
          <w:tcPr>
            <w:tcW w:w="2226" w:type="dxa"/>
            <w:tcBorders>
              <w:top w:val="single" w:sz="12" w:space="0" w:color="auto"/>
              <w:left w:val="nil"/>
              <w:bottom w:val="nil"/>
              <w:right w:val="nil"/>
            </w:tcBorders>
            <w:hideMark/>
          </w:tcPr>
          <w:p w14:paraId="28B3F15C"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Janvier 2019</w:t>
            </w:r>
          </w:p>
        </w:tc>
      </w:tr>
      <w:tr w:rsidR="007B7E76" w:rsidRPr="007B7E76" w14:paraId="38577F2E" w14:textId="77777777" w:rsidTr="004E0423">
        <w:trPr>
          <w:trHeight w:val="57"/>
          <w:jc w:val="right"/>
        </w:trPr>
        <w:tc>
          <w:tcPr>
            <w:tcW w:w="5331" w:type="dxa"/>
            <w:hideMark/>
          </w:tcPr>
          <w:p w14:paraId="02318E4A"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Le secrétariat lance un appel aux Parties, signataires et autres parties prenantes les invitant à identifier les catégories possibles de sources ponctuelles de rejets à inclure dans la liste visée au paragraphe 1 de la décision</w:t>
            </w:r>
          </w:p>
        </w:tc>
        <w:tc>
          <w:tcPr>
            <w:tcW w:w="2226" w:type="dxa"/>
            <w:hideMark/>
          </w:tcPr>
          <w:p w14:paraId="422C4B74"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t>Décembre 2018</w:t>
            </w:r>
          </w:p>
        </w:tc>
      </w:tr>
      <w:tr w:rsidR="007B7E76" w:rsidRPr="007B7E76" w14:paraId="5FFA424A" w14:textId="77777777" w:rsidTr="004E0423">
        <w:trPr>
          <w:trHeight w:val="57"/>
          <w:jc w:val="right"/>
        </w:trPr>
        <w:tc>
          <w:tcPr>
            <w:tcW w:w="5331" w:type="dxa"/>
          </w:tcPr>
          <w:p w14:paraId="0FB6D09F" w14:textId="77777777" w:rsidR="007B7E76" w:rsidRPr="007B7E76" w:rsidRDefault="007B7E76" w:rsidP="007B7E76">
            <w:pPr>
              <w:tabs>
                <w:tab w:val="left" w:pos="624"/>
              </w:tabs>
              <w:spacing w:before="80" w:after="80"/>
              <w:rPr>
                <w:sz w:val="18"/>
                <w:szCs w:val="18"/>
                <w:lang w:eastAsia="zh-CN"/>
              </w:rPr>
            </w:pPr>
            <w:r w:rsidRPr="007B7E76">
              <w:rPr>
                <w:sz w:val="18"/>
                <w:szCs w:val="18"/>
                <w:lang w:eastAsia="zh-CN"/>
              </w:rPr>
              <w:t>Création du groupe d’experts</w:t>
            </w:r>
          </w:p>
        </w:tc>
        <w:tc>
          <w:tcPr>
            <w:tcW w:w="2226" w:type="dxa"/>
          </w:tcPr>
          <w:p w14:paraId="736E0D1F" w14:textId="77777777" w:rsidR="007B7E76" w:rsidRPr="007B7E76" w:rsidRDefault="007B7E76" w:rsidP="007B7E76">
            <w:pPr>
              <w:tabs>
                <w:tab w:val="left" w:pos="624"/>
              </w:tabs>
              <w:spacing w:before="80" w:after="80"/>
              <w:rPr>
                <w:sz w:val="18"/>
                <w:szCs w:val="18"/>
                <w:lang w:eastAsia="zh-CN"/>
              </w:rPr>
            </w:pPr>
            <w:r w:rsidRPr="007B7E76">
              <w:rPr>
                <w:sz w:val="18"/>
                <w:szCs w:val="18"/>
                <w:lang w:eastAsia="zh-CN"/>
              </w:rPr>
              <w:t>Janvier 2019</w:t>
            </w:r>
          </w:p>
        </w:tc>
      </w:tr>
      <w:tr w:rsidR="007B7E76" w:rsidRPr="007B7E76" w14:paraId="5623A993" w14:textId="77777777" w:rsidTr="004E0423">
        <w:trPr>
          <w:jc w:val="right"/>
        </w:trPr>
        <w:tc>
          <w:tcPr>
            <w:tcW w:w="5331" w:type="dxa"/>
            <w:hideMark/>
          </w:tcPr>
          <w:p w14:paraId="1ECDFD9B"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Le secrétariat communique au groupe d’experts la liste des catégories de sources ponctuelles et les résultats de l’appel lancé</w:t>
            </w:r>
          </w:p>
        </w:tc>
        <w:tc>
          <w:tcPr>
            <w:tcW w:w="2226" w:type="dxa"/>
            <w:hideMark/>
          </w:tcPr>
          <w:p w14:paraId="5F86EC4A"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t>Mars 2019</w:t>
            </w:r>
          </w:p>
        </w:tc>
      </w:tr>
      <w:tr w:rsidR="007B7E76" w:rsidRPr="007B7E76" w14:paraId="61C5FAB2" w14:textId="77777777" w:rsidTr="004E0423">
        <w:trPr>
          <w:jc w:val="right"/>
        </w:trPr>
        <w:tc>
          <w:tcPr>
            <w:tcW w:w="5331" w:type="dxa"/>
            <w:hideMark/>
          </w:tcPr>
          <w:p w14:paraId="312D4C50" w14:textId="77777777" w:rsidR="007B7E76" w:rsidRPr="007B7E76" w:rsidRDefault="007B7E76" w:rsidP="007B7E76">
            <w:pPr>
              <w:tabs>
                <w:tab w:val="left" w:pos="624"/>
                <w:tab w:val="left" w:pos="4200"/>
              </w:tabs>
              <w:spacing w:before="80" w:after="80"/>
              <w:rPr>
                <w:rFonts w:asciiTheme="majorBidi" w:hAnsiTheme="majorBidi" w:cstheme="majorBidi"/>
                <w:sz w:val="18"/>
                <w:szCs w:val="18"/>
                <w:lang w:eastAsia="zh-CN"/>
              </w:rPr>
            </w:pPr>
            <w:r w:rsidRPr="007B7E76">
              <w:rPr>
                <w:sz w:val="18"/>
                <w:szCs w:val="18"/>
                <w:lang w:eastAsia="zh-CN"/>
              </w:rPr>
              <w:t xml:space="preserve">Le groupe tient sa première réunion, par voie électronique, aux fins d’élaborer la première ébauche d’une liste de toute source anthropique ponctuelle notable de rejets appartenant aux catégories non visées dans les dispositions de la Convention, à l’exception de l’article 9, ainsi qu’une proposition de feuille </w:t>
            </w:r>
            <w:r w:rsidRPr="007B7E76">
              <w:rPr>
                <w:sz w:val="18"/>
                <w:szCs w:val="18"/>
                <w:lang w:eastAsia="zh-CN"/>
              </w:rPr>
              <w:lastRenderedPageBreak/>
              <w:t>de route et de structure pour l’élaboration d’un projet d’orientations sur les méthodes à suivre pour l’établissement de ses inventaires</w:t>
            </w:r>
          </w:p>
        </w:tc>
        <w:tc>
          <w:tcPr>
            <w:tcW w:w="2226" w:type="dxa"/>
            <w:hideMark/>
          </w:tcPr>
          <w:p w14:paraId="31D55FB9"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lastRenderedPageBreak/>
              <w:t>Avril 2019</w:t>
            </w:r>
          </w:p>
        </w:tc>
      </w:tr>
      <w:tr w:rsidR="007B7E76" w:rsidRPr="007B7E76" w14:paraId="085AAFD5" w14:textId="77777777" w:rsidTr="004E0423">
        <w:trPr>
          <w:jc w:val="right"/>
        </w:trPr>
        <w:tc>
          <w:tcPr>
            <w:tcW w:w="5331" w:type="dxa"/>
            <w:hideMark/>
          </w:tcPr>
          <w:p w14:paraId="032F6B3D"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 xml:space="preserve">Le secrétariat invite toutes les Parties, les signataires et les autres parties prenantes à présenter des observations </w:t>
            </w:r>
          </w:p>
        </w:tc>
        <w:tc>
          <w:tcPr>
            <w:tcW w:w="2226" w:type="dxa"/>
            <w:hideMark/>
          </w:tcPr>
          <w:p w14:paraId="4D31BE34"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t>Mai 2019</w:t>
            </w:r>
          </w:p>
        </w:tc>
      </w:tr>
      <w:tr w:rsidR="007B7E76" w:rsidRPr="007B7E76" w14:paraId="702BF379" w14:textId="77777777" w:rsidTr="004E0423">
        <w:trPr>
          <w:jc w:val="right"/>
        </w:trPr>
        <w:tc>
          <w:tcPr>
            <w:tcW w:w="5331" w:type="dxa"/>
            <w:hideMark/>
          </w:tcPr>
          <w:p w14:paraId="1A1827D1"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Le secrétariat compile et établit le rapport</w:t>
            </w:r>
          </w:p>
        </w:tc>
        <w:tc>
          <w:tcPr>
            <w:tcW w:w="2226" w:type="dxa"/>
            <w:hideMark/>
          </w:tcPr>
          <w:p w14:paraId="2BBC4190"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t>Juillet 2019</w:t>
            </w:r>
          </w:p>
        </w:tc>
      </w:tr>
      <w:tr w:rsidR="007B7E76" w:rsidRPr="007B7E76" w14:paraId="62B7AB07" w14:textId="77777777" w:rsidTr="004E0423">
        <w:trPr>
          <w:jc w:val="right"/>
        </w:trPr>
        <w:tc>
          <w:tcPr>
            <w:tcW w:w="5331" w:type="dxa"/>
            <w:hideMark/>
          </w:tcPr>
          <w:p w14:paraId="612851B5"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Le groupe révise et approuve le rapport</w:t>
            </w:r>
          </w:p>
        </w:tc>
        <w:tc>
          <w:tcPr>
            <w:tcW w:w="2226" w:type="dxa"/>
            <w:hideMark/>
          </w:tcPr>
          <w:p w14:paraId="62D36432"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t>Août 2019</w:t>
            </w:r>
          </w:p>
        </w:tc>
      </w:tr>
      <w:tr w:rsidR="007B7E76" w:rsidRPr="007B7E76" w14:paraId="68174CFB" w14:textId="77777777" w:rsidTr="004E0423">
        <w:trPr>
          <w:jc w:val="right"/>
        </w:trPr>
        <w:tc>
          <w:tcPr>
            <w:tcW w:w="5331" w:type="dxa"/>
            <w:tcBorders>
              <w:top w:val="nil"/>
              <w:left w:val="nil"/>
              <w:bottom w:val="single" w:sz="12" w:space="0" w:color="auto"/>
              <w:right w:val="nil"/>
            </w:tcBorders>
            <w:hideMark/>
          </w:tcPr>
          <w:p w14:paraId="3B2915B8" w14:textId="77777777" w:rsidR="007B7E76" w:rsidRPr="007B7E76" w:rsidRDefault="007B7E76" w:rsidP="007B7E76">
            <w:pPr>
              <w:tabs>
                <w:tab w:val="left" w:pos="624"/>
              </w:tabs>
              <w:spacing w:before="80" w:after="80"/>
              <w:rPr>
                <w:rFonts w:asciiTheme="majorBidi" w:hAnsiTheme="majorBidi" w:cstheme="majorBidi"/>
                <w:sz w:val="18"/>
                <w:szCs w:val="18"/>
                <w:lang w:eastAsia="zh-CN"/>
              </w:rPr>
            </w:pPr>
            <w:r w:rsidRPr="007B7E76">
              <w:rPr>
                <w:sz w:val="18"/>
                <w:szCs w:val="18"/>
                <w:lang w:eastAsia="zh-CN"/>
              </w:rPr>
              <w:t>Le rapport du groupe, comprenant une liste des catégories importantes de sources anthropiques ponctuelles de rejets non visées par les dispositions de la Convention à l’exception de l’article 9, ainsi qu’une proposition de feuille de route et de structure pour l’élaboration d’un projet d’orientations sur les méthodes à suivre pour l’établissement de ses inventaires, sont présentés pour examen par la Conférence des Parties à sa troisième réunion.</w:t>
            </w:r>
          </w:p>
        </w:tc>
        <w:tc>
          <w:tcPr>
            <w:tcW w:w="2226" w:type="dxa"/>
            <w:tcBorders>
              <w:top w:val="nil"/>
              <w:left w:val="nil"/>
              <w:bottom w:val="single" w:sz="12" w:space="0" w:color="auto"/>
              <w:right w:val="nil"/>
            </w:tcBorders>
            <w:hideMark/>
          </w:tcPr>
          <w:p w14:paraId="3232F615" w14:textId="77777777" w:rsidR="007B7E76" w:rsidRPr="007B7E76" w:rsidRDefault="007B7E76" w:rsidP="007B7E76">
            <w:pPr>
              <w:tabs>
                <w:tab w:val="left" w:pos="624"/>
              </w:tabs>
              <w:spacing w:before="80" w:after="80"/>
              <w:rPr>
                <w:rFonts w:asciiTheme="majorBidi" w:hAnsiTheme="majorBidi" w:cstheme="majorBidi"/>
                <w:sz w:val="18"/>
                <w:szCs w:val="18"/>
                <w:lang w:val="en-GB" w:eastAsia="zh-CN"/>
              </w:rPr>
            </w:pPr>
            <w:r w:rsidRPr="007B7E76">
              <w:rPr>
                <w:sz w:val="18"/>
                <w:szCs w:val="18"/>
                <w:lang w:eastAsia="zh-CN"/>
              </w:rPr>
              <w:t>Septembre 2019</w:t>
            </w:r>
          </w:p>
        </w:tc>
      </w:tr>
    </w:tbl>
    <w:p w14:paraId="7DB78889" w14:textId="60F132B7" w:rsidR="003D22DE" w:rsidRPr="006739D3" w:rsidRDefault="003D22DE" w:rsidP="007B7E76">
      <w:pPr>
        <w:pStyle w:val="CH1"/>
        <w:rPr>
          <w:lang w:val="fr-FR"/>
        </w:rPr>
      </w:pPr>
    </w:p>
    <w:p w14:paraId="29516043" w14:textId="1F055061" w:rsidR="003D22DE" w:rsidRPr="008E4D6C" w:rsidRDefault="003D22DE" w:rsidP="003D22DE">
      <w:pPr>
        <w:pStyle w:val="CH1"/>
        <w:rPr>
          <w:bCs/>
          <w:szCs w:val="22"/>
        </w:rPr>
      </w:pPr>
    </w:p>
    <w:sectPr w:rsidR="003D22DE" w:rsidRPr="008E4D6C"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3B49" w14:textId="77777777" w:rsidR="00573CCA" w:rsidRDefault="00573CCA">
      <w:r>
        <w:separator/>
      </w:r>
    </w:p>
  </w:endnote>
  <w:endnote w:type="continuationSeparator" w:id="0">
    <w:p w14:paraId="36A79367" w14:textId="77777777" w:rsidR="00573CCA" w:rsidRDefault="00573CCA">
      <w:r>
        <w:continuationSeparator/>
      </w:r>
    </w:p>
  </w:endnote>
  <w:endnote w:type="continuationNotice" w:id="1">
    <w:p w14:paraId="715BB30A" w14:textId="77777777" w:rsidR="00573CCA" w:rsidRDefault="00573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F94D" w14:textId="77777777" w:rsidR="00573CCA" w:rsidRDefault="00573CCA" w:rsidP="00D92DE0">
      <w:pPr>
        <w:ind w:left="624"/>
      </w:pPr>
      <w:r>
        <w:separator/>
      </w:r>
    </w:p>
  </w:footnote>
  <w:footnote w:type="continuationSeparator" w:id="0">
    <w:p w14:paraId="0D992CC2" w14:textId="77777777" w:rsidR="00573CCA" w:rsidRDefault="00573CCA">
      <w:r>
        <w:continuationSeparator/>
      </w:r>
    </w:p>
  </w:footnote>
  <w:footnote w:type="continuationNotice" w:id="1">
    <w:p w14:paraId="45750721" w14:textId="77777777" w:rsidR="00573CCA" w:rsidRDefault="00573C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2B501DC2" w:rsidR="00853842" w:rsidRPr="00CA5CA9" w:rsidRDefault="00853842" w:rsidP="006B4C09">
    <w:pPr>
      <w:pStyle w:val="Header-pool"/>
    </w:pPr>
    <w:r w:rsidRPr="00CA5CA9">
      <w:rPr>
        <w:bCs/>
      </w:rPr>
      <w:t>UNEP</w:t>
    </w:r>
    <w:r w:rsidRPr="00CA5CA9">
      <w:t>/</w:t>
    </w:r>
    <w:r>
      <w:t>MC</w:t>
    </w:r>
    <w:r w:rsidRPr="00CA5CA9">
      <w:t>/</w:t>
    </w:r>
    <w:r>
      <w:t>COP.</w:t>
    </w:r>
    <w:r w:rsidR="009B65E2">
      <w:t>2</w:t>
    </w:r>
    <w:r w:rsidRPr="00CA5CA9">
      <w:t>/</w:t>
    </w:r>
    <w:r w:rsidR="007B7E76">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7A838EED"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7B7E76">
      <w:rPr>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6B97A94"/>
    <w:multiLevelType w:val="hybridMultilevel"/>
    <w:tmpl w:val="79ECD2AC"/>
    <w:lvl w:ilvl="0" w:tplc="2000000F">
      <w:start w:val="1"/>
      <w:numFmt w:val="decimal"/>
      <w:lvlText w:val="%1."/>
      <w:lvlJc w:val="left"/>
      <w:pPr>
        <w:ind w:left="720" w:hanging="360"/>
      </w:pPr>
    </w:lvl>
    <w:lvl w:ilvl="1" w:tplc="C44653FC">
      <w:start w:val="1"/>
      <w:numFmt w:val="lowerLetter"/>
      <w:lvlText w:val="(%2)"/>
      <w:lvlJc w:val="left"/>
      <w:pPr>
        <w:ind w:left="1440" w:hanging="360"/>
      </w:pPr>
      <w:rPr>
        <w:rFonts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8" w15:restartNumberingAfterBreak="0">
    <w:nsid w:val="201C7F90"/>
    <w:multiLevelType w:val="hybridMultilevel"/>
    <w:tmpl w:val="D8445A48"/>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8C9598C"/>
    <w:multiLevelType w:val="hybridMultilevel"/>
    <w:tmpl w:val="2F66C8FA"/>
    <w:numStyleLink w:val="Importeradestilen12"/>
  </w:abstractNum>
  <w:abstractNum w:abstractNumId="11"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7"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8" w15:restartNumberingAfterBreak="0">
    <w:nsid w:val="391D4778"/>
    <w:multiLevelType w:val="hybridMultilevel"/>
    <w:tmpl w:val="383A7678"/>
    <w:numStyleLink w:val="Importeradestilen15"/>
  </w:abstractNum>
  <w:abstractNum w:abstractNumId="19"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1"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2"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3"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4" w15:restartNumberingAfterBreak="0">
    <w:nsid w:val="62291BF8"/>
    <w:multiLevelType w:val="multilevel"/>
    <w:tmpl w:val="F4ACF36E"/>
    <w:numStyleLink w:val="Normallist"/>
  </w:abstractNum>
  <w:abstractNum w:abstractNumId="25" w15:restartNumberingAfterBreak="0">
    <w:nsid w:val="658E3431"/>
    <w:multiLevelType w:val="hybridMultilevel"/>
    <w:tmpl w:val="F4ACF36E"/>
    <w:numStyleLink w:val="Normallist"/>
  </w:abstractNum>
  <w:abstractNum w:abstractNumId="26"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7" w15:restartNumberingAfterBreak="0">
    <w:nsid w:val="6AE80C79"/>
    <w:multiLevelType w:val="hybridMultilevel"/>
    <w:tmpl w:val="274E67C8"/>
    <w:lvl w:ilvl="0" w:tplc="94FCEAC4">
      <w:start w:val="1"/>
      <w:numFmt w:val="lowerLetter"/>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8"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9"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4"/>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6"/>
  </w:num>
  <w:num w:numId="3">
    <w:abstractNumId w:val="16"/>
  </w:num>
  <w:num w:numId="4">
    <w:abstractNumId w:val="22"/>
  </w:num>
  <w:num w:numId="5">
    <w:abstractNumId w:val="24"/>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3"/>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3"/>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5"/>
    <w:lvlOverride w:ilvl="0">
      <w:lvl w:ilvl="0" w:tplc="2C56628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5"/>
    <w:lvlOverride w:ilvl="0">
      <w:lvl w:ilvl="0" w:tplc="2C56628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BAE869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8CC37C">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F6B42A">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BEF5C0">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E809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FC02D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2C013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92CADD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5"/>
    <w:lvlOverride w:ilvl="0">
      <w:lvl w:ilvl="0" w:tplc="2C566282">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BAE869E">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8CC37C">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F6B42A">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BEF5C0">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E809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FC02D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2C013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92CADDA">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5"/>
    <w:lvlOverride w:ilvl="0">
      <w:lvl w:ilvl="0" w:tplc="2C566282">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BAE869E">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C8CC37C">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1F6B42A">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0BEF5C0">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60E8090">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BFC02D8">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32C0130">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92CADDA">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9"/>
    <w:lvlOverride w:ilvl="0">
      <w:lvl w:ilvl="0" w:tplc="781E9398">
        <w:start w:val="1"/>
        <w:numFmt w:val="decimal"/>
        <w:lvlText w:val="%1."/>
        <w:lvlJc w:val="left"/>
        <w:pPr>
          <w:ind w:left="720" w:hanging="360"/>
        </w:pPr>
        <w:rPr>
          <w:strike w:val="0"/>
        </w:rPr>
      </w:lvl>
    </w:lvlOverride>
  </w:num>
  <w:num w:numId="18">
    <w:abstractNumId w:val="13"/>
  </w:num>
  <w:num w:numId="19">
    <w:abstractNumId w:val="11"/>
  </w:num>
  <w:num w:numId="20">
    <w:abstractNumId w:val="10"/>
  </w:num>
  <w:num w:numId="21">
    <w:abstractNumId w:val="1"/>
  </w:num>
  <w:num w:numId="22">
    <w:abstractNumId w:val="3"/>
  </w:num>
  <w:num w:numId="23">
    <w:abstractNumId w:val="3"/>
    <w:lvlOverride w:ilvl="0">
      <w:lvl w:ilvl="0" w:tplc="D004C5DA">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3FE966E">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65BEC974">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152290A">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E958968A">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CFF8DF0C">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7E62EB4E">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90602A20">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58D69164">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9"/>
  </w:num>
  <w:num w:numId="25">
    <w:abstractNumId w:val="18"/>
  </w:num>
  <w:num w:numId="26">
    <w:abstractNumId w:val="10"/>
    <w:lvlOverride w:ilvl="0">
      <w:startOverride w:val="2"/>
      <w:lvl w:ilvl="0" w:tplc="9ADA49C6">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C5FAB19A">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FFB6B47A">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4016F150">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272C3300">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E83622DA">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899A81D4">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086EA008">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CFDA5FC2">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6"/>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4"/>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7"/>
  </w:num>
  <w:num w:numId="34">
    <w:abstractNumId w:val="28"/>
  </w:num>
  <w:num w:numId="35">
    <w:abstractNumId w:val="15"/>
  </w:num>
  <w:num w:numId="36">
    <w:abstractNumId w:val="4"/>
  </w:num>
  <w:num w:numId="37">
    <w:abstractNumId w:val="20"/>
    <w:lvlOverride w:ilvl="0">
      <w:lvl w:ilvl="0" w:tplc="4D1CB634">
        <w:start w:val="1"/>
        <w:numFmt w:val="decimal"/>
        <w:lvlText w:val="%1."/>
        <w:lvlJc w:val="left"/>
        <w:pPr>
          <w:ind w:left="2231" w:hanging="360"/>
        </w:pPr>
        <w:rPr>
          <w:rFonts w:hint="default"/>
          <w:i w:val="0"/>
          <w:iCs/>
        </w:rPr>
      </w:lvl>
    </w:lvlOverride>
  </w:num>
  <w:num w:numId="38">
    <w:abstractNumId w:val="24"/>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4"/>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2"/>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21"/>
  </w:num>
  <w:num w:numId="44">
    <w:abstractNumId w:val="29"/>
  </w:num>
  <w:num w:numId="45">
    <w:abstractNumId w:val="24"/>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6"/>
  </w:num>
  <w:num w:numId="47">
    <w:abstractNumId w:val="7"/>
  </w:num>
  <w:num w:numId="48">
    <w:abstractNumId w:val="24"/>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4"/>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4"/>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1">
    <w:abstractNumId w:val="5"/>
    <w:lvlOverride w:ilvl="0">
      <w:lvl w:ilvl="0" w:tplc="2000000F">
        <w:start w:val="1"/>
        <w:numFmt w:val="decimal"/>
        <w:lvlText w:val="%1."/>
        <w:lvlJc w:val="left"/>
        <w:pPr>
          <w:ind w:left="720" w:hanging="360"/>
        </w:pPr>
      </w:lvl>
    </w:lvlOverride>
    <w:lvlOverride w:ilvl="1">
      <w:lvl w:ilvl="1" w:tplc="C44653FC">
        <w:start w:val="1"/>
        <w:numFmt w:val="lowerLetter"/>
        <w:lvlText w:val="%2)"/>
        <w:lvlJc w:val="left"/>
        <w:pPr>
          <w:ind w:left="1440" w:hanging="360"/>
        </w:pPr>
        <w:rPr>
          <w:rFonts w:hint="default"/>
        </w:rPr>
      </w:lvl>
    </w:lvlOverride>
  </w:num>
  <w:num w:numId="52">
    <w:abstractNumId w:val="8"/>
    <w:lvlOverride w:ilvl="0">
      <w:startOverride w:val="1"/>
      <w:lvl w:ilvl="0" w:tplc="EDF6B5B0">
        <w:start w:val="1"/>
        <w:numFmt w:val="decimal"/>
        <w:lvlText w:val="%1."/>
        <w:lvlJc w:val="left"/>
        <w:pPr>
          <w:ind w:left="315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8090019">
        <w:start w:val="1"/>
        <w:numFmt w:val="decimal"/>
        <w:lvlText w:val=""/>
        <w:lvlJc w:val="left"/>
      </w:lvl>
    </w:lvlOverride>
    <w:lvlOverride w:ilvl="2">
      <w:startOverride w:val="1"/>
      <w:lvl w:ilvl="2" w:tplc="0809001B">
        <w:start w:val="1"/>
        <w:numFmt w:val="decimal"/>
        <w:lvlText w:val=""/>
        <w:lvlJc w:val="left"/>
      </w:lvl>
    </w:lvlOverride>
    <w:lvlOverride w:ilvl="3">
      <w:startOverride w:val="1"/>
      <w:lvl w:ilvl="3" w:tplc="0809000F">
        <w:start w:val="1"/>
        <w:numFmt w:val="decimal"/>
        <w:lvlText w:val=""/>
        <w:lvlJc w:val="left"/>
      </w:lvl>
    </w:lvlOverride>
    <w:lvlOverride w:ilvl="4">
      <w:startOverride w:val="1"/>
      <w:lvl w:ilvl="4" w:tplc="08090019">
        <w:start w:val="1"/>
        <w:numFmt w:val="decimal"/>
        <w:lvlText w:val=""/>
        <w:lvlJc w:val="left"/>
      </w:lvl>
    </w:lvlOverride>
    <w:lvlOverride w:ilvl="5">
      <w:startOverride w:val="1"/>
      <w:lvl w:ilvl="5" w:tplc="0809001B">
        <w:start w:val="1"/>
        <w:numFmt w:val="decimal"/>
        <w:lvlText w:val=""/>
        <w:lvlJc w:val="left"/>
      </w:lvl>
    </w:lvlOverride>
    <w:lvlOverride w:ilvl="6">
      <w:startOverride w:val="1"/>
      <w:lvl w:ilvl="6" w:tplc="0809000F">
        <w:start w:val="1"/>
        <w:numFmt w:val="decimal"/>
        <w:lvlText w:val=""/>
        <w:lvlJc w:val="left"/>
      </w:lvl>
    </w:lvlOverride>
    <w:lvlOverride w:ilvl="7">
      <w:startOverride w:val="1"/>
      <w:lvl w:ilvl="7" w:tplc="08090019">
        <w:start w:val="1"/>
        <w:numFmt w:val="decimal"/>
        <w:lvlText w:val=""/>
        <w:lvlJc w:val="left"/>
      </w:lvl>
    </w:lvlOverride>
    <w:lvlOverride w:ilvl="8">
      <w:startOverride w:val="1"/>
      <w:lvl w:ilvl="8" w:tplc="0809001B">
        <w:start w:val="1"/>
        <w:numFmt w:val="decimal"/>
        <w:lvlText w:val=""/>
        <w:lvlJc w:val="left"/>
      </w:lvl>
    </w:lvlOverride>
  </w:num>
  <w:num w:numId="53">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3CCA"/>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9D3"/>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B7E76"/>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B65E2"/>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0CCD"/>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6431"/>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A6B7C"/>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611669156">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D2044-3728-46B4-A572-4B009957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1536</Words>
  <Characters>8756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2020-11-09T12:17:00Z</cp:lastPrinted>
  <dcterms:created xsi:type="dcterms:W3CDTF">2020-11-06T12:04:00Z</dcterms:created>
  <dcterms:modified xsi:type="dcterms:W3CDTF">2020-11-09T12:17:00Z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