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7"/>
        <w:gridCol w:w="4640"/>
        <w:gridCol w:w="3333"/>
      </w:tblGrid>
      <w:tr w:rsidR="0099003C" w:rsidRPr="00A7082A" w14:paraId="0EB4B852" w14:textId="77777777" w:rsidTr="00417FE2">
        <w:trPr>
          <w:cantSplit/>
          <w:trHeight w:val="57"/>
          <w:jc w:val="right"/>
        </w:trPr>
        <w:tc>
          <w:tcPr>
            <w:tcW w:w="1517" w:type="dxa"/>
          </w:tcPr>
          <w:p w14:paraId="72B540E8" w14:textId="77777777" w:rsidR="0099003C" w:rsidRPr="00A7082A" w:rsidRDefault="0099003C" w:rsidP="00320066">
            <w:pPr>
              <w:pStyle w:val="Normal-pool"/>
              <w:rPr>
                <w:rFonts w:ascii="Arial" w:hAnsi="Arial"/>
                <w:b/>
                <w:sz w:val="27"/>
              </w:rPr>
            </w:pPr>
            <w:r w:rsidRPr="00A7082A">
              <w:rPr>
                <w:rFonts w:ascii="Arial" w:hAnsi="Arial"/>
                <w:b/>
                <w:sz w:val="27"/>
              </w:rPr>
              <w:t xml:space="preserve">UNITED </w:t>
            </w:r>
            <w:r w:rsidRPr="00A7082A">
              <w:rPr>
                <w:rFonts w:ascii="Arial" w:hAnsi="Arial"/>
                <w:b/>
                <w:sz w:val="27"/>
              </w:rPr>
              <w:br/>
              <w:t>NATIONS</w:t>
            </w:r>
          </w:p>
        </w:tc>
        <w:tc>
          <w:tcPr>
            <w:tcW w:w="4640" w:type="dxa"/>
          </w:tcPr>
          <w:p w14:paraId="2E87FABF" w14:textId="77777777" w:rsidR="0099003C" w:rsidRPr="00A7082A" w:rsidRDefault="0099003C" w:rsidP="00320066">
            <w:pPr>
              <w:pStyle w:val="Normal-pool"/>
              <w:rPr>
                <w:rFonts w:ascii="Univers" w:hAnsi="Univers"/>
              </w:rPr>
            </w:pPr>
          </w:p>
        </w:tc>
        <w:tc>
          <w:tcPr>
            <w:tcW w:w="3333" w:type="dxa"/>
          </w:tcPr>
          <w:p w14:paraId="31AB2B9B" w14:textId="77777777" w:rsidR="0099003C" w:rsidRPr="00A7082A" w:rsidRDefault="0099003C" w:rsidP="00320066">
            <w:pPr>
              <w:pStyle w:val="Normal-pool"/>
              <w:jc w:val="right"/>
              <w:rPr>
                <w:rFonts w:ascii="Arial" w:hAnsi="Arial"/>
                <w:b/>
                <w:sz w:val="64"/>
              </w:rPr>
            </w:pPr>
            <w:r w:rsidRPr="00A7082A">
              <w:rPr>
                <w:rFonts w:ascii="Arial" w:hAnsi="Arial"/>
                <w:b/>
                <w:sz w:val="64"/>
              </w:rPr>
              <w:t>MC</w:t>
            </w:r>
          </w:p>
        </w:tc>
      </w:tr>
      <w:tr w:rsidR="0099003C" w:rsidRPr="00A7082A" w14:paraId="2708E72F" w14:textId="77777777" w:rsidTr="00417FE2">
        <w:trPr>
          <w:cantSplit/>
          <w:trHeight w:val="57"/>
          <w:jc w:val="right"/>
        </w:trPr>
        <w:tc>
          <w:tcPr>
            <w:tcW w:w="1517" w:type="dxa"/>
            <w:tcBorders>
              <w:bottom w:val="single" w:sz="4" w:space="0" w:color="auto"/>
            </w:tcBorders>
          </w:tcPr>
          <w:p w14:paraId="460FE18E" w14:textId="77777777" w:rsidR="0099003C" w:rsidRPr="00A7082A" w:rsidRDefault="0099003C" w:rsidP="00320066">
            <w:pPr>
              <w:pStyle w:val="Normal-pool"/>
              <w:rPr>
                <w:sz w:val="18"/>
              </w:rPr>
            </w:pPr>
          </w:p>
        </w:tc>
        <w:tc>
          <w:tcPr>
            <w:tcW w:w="4640" w:type="dxa"/>
            <w:tcBorders>
              <w:bottom w:val="single" w:sz="4" w:space="0" w:color="auto"/>
            </w:tcBorders>
          </w:tcPr>
          <w:p w14:paraId="6A4CCE2A" w14:textId="77777777" w:rsidR="0099003C" w:rsidRPr="00A7082A" w:rsidRDefault="0099003C" w:rsidP="00320066">
            <w:pPr>
              <w:pStyle w:val="Normal-pool"/>
              <w:rPr>
                <w:rFonts w:ascii="Univers" w:hAnsi="Univers"/>
                <w:sz w:val="18"/>
              </w:rPr>
            </w:pPr>
          </w:p>
        </w:tc>
        <w:tc>
          <w:tcPr>
            <w:tcW w:w="3333" w:type="dxa"/>
            <w:tcBorders>
              <w:bottom w:val="single" w:sz="4" w:space="0" w:color="auto"/>
            </w:tcBorders>
          </w:tcPr>
          <w:p w14:paraId="1F8E0956" w14:textId="2536184C" w:rsidR="0099003C" w:rsidRPr="00A7082A" w:rsidRDefault="0099003C" w:rsidP="00320066">
            <w:pPr>
              <w:pStyle w:val="Normal-pool"/>
              <w:rPr>
                <w:sz w:val="18"/>
              </w:rPr>
            </w:pPr>
            <w:r w:rsidRPr="00A7082A">
              <w:rPr>
                <w:b/>
                <w:sz w:val="28"/>
              </w:rPr>
              <w:t>UNEP</w:t>
            </w:r>
            <w:r w:rsidRPr="00A7082A">
              <w:t>/MC/COP.</w:t>
            </w:r>
            <w:r w:rsidR="001328DA">
              <w:t>2</w:t>
            </w:r>
            <w:r w:rsidRPr="00A7082A">
              <w:t>/</w:t>
            </w:r>
            <w:r w:rsidR="00C870D0">
              <w:t>Dec.</w:t>
            </w:r>
            <w:r w:rsidR="00F100F2">
              <w:t>3</w:t>
            </w:r>
          </w:p>
        </w:tc>
      </w:tr>
      <w:tr w:rsidR="0099003C" w:rsidRPr="00A7082A" w14:paraId="561B5AE7" w14:textId="77777777" w:rsidTr="00417FE2">
        <w:trPr>
          <w:cantSplit/>
          <w:trHeight w:val="57"/>
          <w:jc w:val="right"/>
        </w:trPr>
        <w:tc>
          <w:tcPr>
            <w:tcW w:w="1517" w:type="dxa"/>
            <w:tcBorders>
              <w:top w:val="single" w:sz="4" w:space="0" w:color="auto"/>
              <w:bottom w:val="single" w:sz="24" w:space="0" w:color="auto"/>
            </w:tcBorders>
          </w:tcPr>
          <w:p w14:paraId="1B99BFBB" w14:textId="77777777" w:rsidR="0099003C" w:rsidRPr="00A7082A" w:rsidRDefault="0099003C" w:rsidP="00320066">
            <w:pPr>
              <w:pStyle w:val="Normal-pool"/>
            </w:pPr>
            <w:r w:rsidRPr="00A7082A">
              <w:rPr>
                <w:noProof/>
                <w:lang w:eastAsia="en-GB"/>
              </w:rPr>
              <w:drawing>
                <wp:inline distT="0" distB="0" distL="0" distR="0" wp14:anchorId="0EF83FA0" wp14:editId="64AD8C7A">
                  <wp:extent cx="828040" cy="76898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768985"/>
                          </a:xfrm>
                          <a:prstGeom prst="rect">
                            <a:avLst/>
                          </a:prstGeom>
                          <a:noFill/>
                          <a:ln>
                            <a:noFill/>
                          </a:ln>
                        </pic:spPr>
                      </pic:pic>
                    </a:graphicData>
                  </a:graphic>
                </wp:inline>
              </w:drawing>
            </w:r>
            <w:r w:rsidRPr="00A7082A">
              <w:rPr>
                <w:noProof/>
                <w:lang w:eastAsia="en-GB"/>
              </w:rPr>
              <w:drawing>
                <wp:inline distT="0" distB="0" distL="0" distR="0" wp14:anchorId="70F31CBA" wp14:editId="39A207CD">
                  <wp:extent cx="723900" cy="769620"/>
                  <wp:effectExtent l="0" t="0" r="0" b="0"/>
                  <wp:docPr id="4" name="Picture 4"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0" w:type="dxa"/>
            <w:tcBorders>
              <w:top w:val="single" w:sz="4" w:space="0" w:color="auto"/>
              <w:bottom w:val="single" w:sz="24" w:space="0" w:color="auto"/>
            </w:tcBorders>
          </w:tcPr>
          <w:p w14:paraId="745D319C" w14:textId="77777777" w:rsidR="0099003C" w:rsidRPr="00A7082A" w:rsidRDefault="0099003C">
            <w:pPr>
              <w:pStyle w:val="Normal-pool"/>
              <w:spacing w:before="1200"/>
              <w:rPr>
                <w:rFonts w:ascii="Arial" w:hAnsi="Arial"/>
                <w:sz w:val="32"/>
              </w:rPr>
            </w:pPr>
            <w:r w:rsidRPr="00A7082A">
              <w:rPr>
                <w:rFonts w:ascii="Arial" w:hAnsi="Arial"/>
                <w:b/>
                <w:sz w:val="32"/>
              </w:rPr>
              <w:t xml:space="preserve">United Nations </w:t>
            </w:r>
            <w:r w:rsidRPr="00A7082A">
              <w:rPr>
                <w:rFonts w:ascii="Arial" w:hAnsi="Arial"/>
                <w:b/>
                <w:sz w:val="32"/>
              </w:rPr>
              <w:br/>
              <w:t xml:space="preserve">Environment </w:t>
            </w:r>
            <w:r w:rsidRPr="00A7082A">
              <w:rPr>
                <w:rFonts w:ascii="Arial" w:hAnsi="Arial"/>
                <w:b/>
                <w:sz w:val="32"/>
              </w:rPr>
              <w:br/>
              <w:t>Programme</w:t>
            </w:r>
          </w:p>
        </w:tc>
        <w:tc>
          <w:tcPr>
            <w:tcW w:w="3333" w:type="dxa"/>
            <w:tcBorders>
              <w:top w:val="single" w:sz="4" w:space="0" w:color="auto"/>
              <w:bottom w:val="single" w:sz="24" w:space="0" w:color="auto"/>
            </w:tcBorders>
          </w:tcPr>
          <w:p w14:paraId="36453538" w14:textId="7E1AD8D3" w:rsidR="0099003C" w:rsidRPr="00A7082A" w:rsidRDefault="0099003C" w:rsidP="00320066">
            <w:pPr>
              <w:pStyle w:val="Normal-pool"/>
              <w:spacing w:before="120"/>
            </w:pPr>
            <w:r w:rsidRPr="00A7082A">
              <w:t xml:space="preserve">Distr.: </w:t>
            </w:r>
            <w:r w:rsidR="00F56012" w:rsidRPr="00A7082A">
              <w:t xml:space="preserve">General </w:t>
            </w:r>
            <w:r w:rsidRPr="00A7082A">
              <w:br/>
            </w:r>
            <w:r w:rsidR="004A730E">
              <w:t>6 December</w:t>
            </w:r>
            <w:r w:rsidR="009C52E8" w:rsidRPr="00A7082A">
              <w:t xml:space="preserve"> 20</w:t>
            </w:r>
            <w:r w:rsidR="004A730E">
              <w:t>18</w:t>
            </w:r>
          </w:p>
          <w:p w14:paraId="18176F73" w14:textId="77777777" w:rsidR="0099003C" w:rsidRPr="00A7082A" w:rsidRDefault="0099003C" w:rsidP="00320066">
            <w:pPr>
              <w:pStyle w:val="Normal-pool"/>
              <w:spacing w:before="120"/>
            </w:pPr>
            <w:r w:rsidRPr="00A7082A">
              <w:t>Original: English</w:t>
            </w:r>
          </w:p>
        </w:tc>
      </w:tr>
    </w:tbl>
    <w:p w14:paraId="727B3EBC" w14:textId="77777777" w:rsidR="0099003C" w:rsidRPr="00A7082A" w:rsidRDefault="0099003C" w:rsidP="00587D09">
      <w:pPr>
        <w:pStyle w:val="AATitle"/>
      </w:pPr>
      <w:r w:rsidRPr="00A7082A">
        <w:t xml:space="preserve">Conference of the Parties to the </w:t>
      </w:r>
      <w:r w:rsidRPr="00A7082A">
        <w:br/>
        <w:t>Minamata Convention on Mercury</w:t>
      </w:r>
    </w:p>
    <w:p w14:paraId="7D22A4EF" w14:textId="44FAF5EE" w:rsidR="0099003C" w:rsidRPr="00A7082A" w:rsidRDefault="004A730E" w:rsidP="00587D09">
      <w:pPr>
        <w:pStyle w:val="AATitle"/>
      </w:pPr>
      <w:r>
        <w:t>Second</w:t>
      </w:r>
      <w:r w:rsidR="00076758" w:rsidRPr="00A7082A">
        <w:t xml:space="preserve"> </w:t>
      </w:r>
      <w:r w:rsidR="0099003C" w:rsidRPr="00A7082A">
        <w:t>meeting</w:t>
      </w:r>
    </w:p>
    <w:p w14:paraId="351E61BB" w14:textId="6B632402" w:rsidR="0099003C" w:rsidRPr="00A7082A" w:rsidRDefault="0099003C" w:rsidP="0099003C">
      <w:pPr>
        <w:pStyle w:val="AATitle"/>
        <w:rPr>
          <w:b w:val="0"/>
        </w:rPr>
      </w:pPr>
      <w:r w:rsidRPr="00A7082A">
        <w:rPr>
          <w:b w:val="0"/>
        </w:rPr>
        <w:t xml:space="preserve">Geneva, </w:t>
      </w:r>
      <w:r w:rsidR="004A730E">
        <w:rPr>
          <w:b w:val="0"/>
        </w:rPr>
        <w:t>19</w:t>
      </w:r>
      <w:r w:rsidRPr="00A7082A">
        <w:rPr>
          <w:b w:val="0"/>
        </w:rPr>
        <w:t>–2</w:t>
      </w:r>
      <w:r w:rsidR="004A730E">
        <w:rPr>
          <w:b w:val="0"/>
        </w:rPr>
        <w:t>3</w:t>
      </w:r>
      <w:r w:rsidRPr="00A7082A">
        <w:rPr>
          <w:b w:val="0"/>
        </w:rPr>
        <w:t xml:space="preserve"> November 201</w:t>
      </w:r>
      <w:r w:rsidR="004A730E">
        <w:rPr>
          <w:b w:val="0"/>
        </w:rPr>
        <w:t>8</w:t>
      </w:r>
    </w:p>
    <w:p w14:paraId="699814FA" w14:textId="0AAB7C90" w:rsidR="0099003C" w:rsidRPr="00A7082A" w:rsidRDefault="001D1473" w:rsidP="0099003C">
      <w:pPr>
        <w:pStyle w:val="BBTitle"/>
      </w:pPr>
      <w:r>
        <w:t>Decision adopted by</w:t>
      </w:r>
      <w:r w:rsidR="00661B39">
        <w:t xml:space="preserve"> the </w:t>
      </w:r>
      <w:r w:rsidR="001F0056">
        <w:t>second</w:t>
      </w:r>
      <w:r w:rsidR="0099003C" w:rsidRPr="00A7082A">
        <w:t xml:space="preserve"> Conference of the Parties to the Minamata Convention on Mercury</w:t>
      </w:r>
    </w:p>
    <w:p w14:paraId="55AA1BF3" w14:textId="1D10246C" w:rsidR="00CB2628" w:rsidRPr="00A7082A" w:rsidRDefault="0099003C" w:rsidP="006713D2">
      <w:pPr>
        <w:pStyle w:val="CH1"/>
      </w:pPr>
      <w:r w:rsidRPr="00A7082A">
        <w:tab/>
      </w:r>
      <w:bookmarkStart w:id="0" w:name="_GoBack"/>
      <w:bookmarkEnd w:id="0"/>
    </w:p>
    <w:p w14:paraId="5CDFCE82" w14:textId="77777777" w:rsidR="00F100F2" w:rsidRPr="00815F2E" w:rsidRDefault="00CB2628" w:rsidP="00F100F2">
      <w:pPr>
        <w:pStyle w:val="CH1"/>
        <w:rPr>
          <w:rFonts w:eastAsia="MS Mincho"/>
        </w:rPr>
      </w:pPr>
      <w:r w:rsidRPr="00A7082A">
        <w:rPr>
          <w:bCs/>
        </w:rPr>
        <w:tab/>
      </w:r>
      <w:r w:rsidRPr="00A7082A">
        <w:rPr>
          <w:bCs/>
        </w:rPr>
        <w:tab/>
      </w:r>
      <w:bookmarkStart w:id="1" w:name="_Toc7079422"/>
      <w:r w:rsidR="00F100F2" w:rsidRPr="00815F2E">
        <w:rPr>
          <w:rFonts w:eastAsia="MS Mincho"/>
        </w:rPr>
        <w:t>MC-2/3: Releases</w:t>
      </w:r>
      <w:bookmarkEnd w:id="1"/>
      <w:r w:rsidR="00F100F2" w:rsidRPr="00815F2E">
        <w:rPr>
          <w:rFonts w:eastAsia="MS Mincho"/>
        </w:rPr>
        <w:t xml:space="preserve"> </w:t>
      </w:r>
    </w:p>
    <w:p w14:paraId="1102418C" w14:textId="77777777" w:rsidR="00F100F2" w:rsidRPr="00815F2E" w:rsidRDefault="00F100F2" w:rsidP="00F100F2">
      <w:pPr>
        <w:pStyle w:val="Normal-pool"/>
        <w:spacing w:after="120"/>
        <w:ind w:left="1247" w:firstLine="624"/>
        <w:rPr>
          <w:rFonts w:eastAsia="MS Mincho"/>
          <w:i/>
        </w:rPr>
      </w:pPr>
      <w:r w:rsidRPr="00815F2E">
        <w:rPr>
          <w:rFonts w:eastAsia="MS Mincho"/>
          <w:i/>
        </w:rPr>
        <w:t>The Conference of the Parties,</w:t>
      </w:r>
    </w:p>
    <w:p w14:paraId="1E99560D" w14:textId="77777777" w:rsidR="00F100F2" w:rsidRPr="00815F2E" w:rsidRDefault="00F100F2" w:rsidP="00F100F2">
      <w:pPr>
        <w:pStyle w:val="Normal-pool"/>
        <w:spacing w:after="120"/>
        <w:ind w:left="1247" w:firstLine="624"/>
        <w:rPr>
          <w:rFonts w:eastAsia="MS Mincho"/>
        </w:rPr>
      </w:pPr>
      <w:r w:rsidRPr="00815F2E">
        <w:rPr>
          <w:rFonts w:eastAsia="MS Mincho"/>
          <w:i/>
        </w:rPr>
        <w:t>Recognizing</w:t>
      </w:r>
      <w:r w:rsidRPr="00815F2E">
        <w:rPr>
          <w:rFonts w:eastAsia="MS Mincho"/>
        </w:rPr>
        <w:t xml:space="preserve"> the need for controlling and, where feasible, reducing releases of mercury and mercury compounds to land and water from relevant point sources not addressed in other provisions of the Minamata Convention on Mercury,</w:t>
      </w:r>
    </w:p>
    <w:p w14:paraId="7B87016B" w14:textId="77777777" w:rsidR="00F100F2" w:rsidRPr="00815F2E" w:rsidRDefault="00F100F2" w:rsidP="00F100F2">
      <w:pPr>
        <w:pStyle w:val="Normal-pool"/>
        <w:spacing w:after="120"/>
        <w:ind w:left="1247" w:firstLine="624"/>
        <w:rPr>
          <w:rFonts w:eastAsia="MS Mincho"/>
        </w:rPr>
      </w:pPr>
      <w:r w:rsidRPr="00815F2E">
        <w:rPr>
          <w:rFonts w:eastAsia="MS Mincho"/>
        </w:rPr>
        <w:t>Recognizing also the requirement for the Conference of the Parties to adopt, as soon as practicable, guidance on best available techniques and best environmental practices and on the methodology for preparing inventories of releases from such sources,</w:t>
      </w:r>
    </w:p>
    <w:p w14:paraId="054E57C4" w14:textId="77777777" w:rsidR="00F100F2" w:rsidRPr="00815F2E" w:rsidRDefault="00F100F2" w:rsidP="00F100F2">
      <w:pPr>
        <w:pStyle w:val="Normal-pool"/>
        <w:spacing w:after="120"/>
        <w:ind w:left="1247" w:firstLine="624"/>
        <w:rPr>
          <w:rFonts w:eastAsia="MS Mincho"/>
        </w:rPr>
      </w:pPr>
      <w:r w:rsidRPr="00815F2E">
        <w:rPr>
          <w:rFonts w:eastAsia="MS Mincho"/>
          <w:i/>
        </w:rPr>
        <w:t>Recognizing further</w:t>
      </w:r>
      <w:r w:rsidRPr="00815F2E">
        <w:rPr>
          <w:rFonts w:eastAsia="MS Mincho"/>
        </w:rPr>
        <w:t xml:space="preserve"> that each party shall, no later than three years after the date of entry into force of the Convention for it and on a regular </w:t>
      </w:r>
      <w:proofErr w:type="gramStart"/>
      <w:r w:rsidRPr="00815F2E">
        <w:rPr>
          <w:rFonts w:eastAsia="MS Mincho"/>
        </w:rPr>
        <w:t>basis</w:t>
      </w:r>
      <w:proofErr w:type="gramEnd"/>
      <w:r w:rsidRPr="00815F2E">
        <w:rPr>
          <w:rFonts w:eastAsia="MS Mincho"/>
        </w:rPr>
        <w:t xml:space="preserve"> thereafter, identify the relevant point source categories,</w:t>
      </w:r>
    </w:p>
    <w:p w14:paraId="2989B147" w14:textId="77777777" w:rsidR="00F100F2" w:rsidRPr="00815F2E" w:rsidRDefault="00F100F2" w:rsidP="00F100F2">
      <w:pPr>
        <w:pStyle w:val="Normal-pool"/>
        <w:spacing w:after="120"/>
        <w:ind w:left="1247" w:firstLine="624"/>
      </w:pPr>
      <w:r w:rsidRPr="00815F2E">
        <w:rPr>
          <w:i/>
        </w:rPr>
        <w:t>Recognizing</w:t>
      </w:r>
      <w:r w:rsidRPr="00815F2E">
        <w:t xml:space="preserve"> that each party shall establish, as soon as practicable and no later than five years after the date of entry into force of the Convention for it, and thereafter maintain an inventory of releases from relevant sources,</w:t>
      </w:r>
    </w:p>
    <w:p w14:paraId="2262B7AD" w14:textId="77777777" w:rsidR="00F100F2" w:rsidRPr="00815F2E" w:rsidRDefault="00F100F2" w:rsidP="00F100F2">
      <w:pPr>
        <w:pStyle w:val="Normal-pool"/>
        <w:spacing w:after="120"/>
        <w:ind w:left="1247" w:firstLine="624"/>
      </w:pPr>
      <w:r w:rsidRPr="00815F2E">
        <w:rPr>
          <w:i/>
        </w:rPr>
        <w:t>Recognizing also</w:t>
      </w:r>
      <w:r w:rsidRPr="00815F2E">
        <w:t xml:space="preserve"> that, in order to assess the effectiveness of the Convention over time, it is important to have comparable information regarding releases, </w:t>
      </w:r>
    </w:p>
    <w:p w14:paraId="402D3B3E" w14:textId="77777777" w:rsidR="00F100F2" w:rsidRPr="00815F2E" w:rsidRDefault="00F100F2" w:rsidP="00F100F2">
      <w:pPr>
        <w:pStyle w:val="Normal-pool"/>
        <w:spacing w:after="120"/>
        <w:ind w:left="1247" w:firstLine="624"/>
      </w:pPr>
      <w:r w:rsidRPr="00815F2E">
        <w:rPr>
          <w:i/>
        </w:rPr>
        <w:t>Recognizing further</w:t>
      </w:r>
      <w:r w:rsidRPr="00815F2E">
        <w:t xml:space="preserve"> that parties will report on their relevant sources of releases and on measures for controlling them in their reports pursuant to article 21,</w:t>
      </w:r>
    </w:p>
    <w:p w14:paraId="224699BC" w14:textId="77777777" w:rsidR="00F100F2" w:rsidRPr="00815F2E" w:rsidRDefault="00F100F2" w:rsidP="00F100F2">
      <w:pPr>
        <w:pStyle w:val="Normal-pool"/>
        <w:spacing w:after="120"/>
        <w:ind w:left="1247" w:firstLine="624"/>
      </w:pPr>
      <w:r w:rsidRPr="00815F2E">
        <w:rPr>
          <w:i/>
        </w:rPr>
        <w:t>Recognizing</w:t>
      </w:r>
      <w:r w:rsidRPr="00815F2E">
        <w:t xml:space="preserve"> that, in order to compare the information on releases included in national reports, the use of standardized and known methodologies for preparing inventories is important,</w:t>
      </w:r>
    </w:p>
    <w:p w14:paraId="09847D78" w14:textId="77777777" w:rsidR="00F100F2" w:rsidRPr="00815F2E" w:rsidRDefault="00F100F2" w:rsidP="00F100F2">
      <w:pPr>
        <w:pStyle w:val="Normal-pool"/>
        <w:numPr>
          <w:ilvl w:val="0"/>
          <w:numId w:val="12"/>
        </w:numPr>
        <w:tabs>
          <w:tab w:val="clear" w:pos="1247"/>
          <w:tab w:val="clear" w:pos="1814"/>
          <w:tab w:val="clear" w:pos="2381"/>
          <w:tab w:val="clear" w:pos="2948"/>
          <w:tab w:val="clear" w:pos="3515"/>
          <w:tab w:val="clear" w:pos="4082"/>
          <w:tab w:val="left" w:pos="624"/>
        </w:tabs>
        <w:spacing w:after="120"/>
        <w:ind w:left="1247" w:firstLine="624"/>
        <w:rPr>
          <w:i/>
        </w:rPr>
      </w:pPr>
      <w:r w:rsidRPr="00815F2E">
        <w:rPr>
          <w:i/>
        </w:rPr>
        <w:t xml:space="preserve">Decides </w:t>
      </w:r>
      <w:r w:rsidRPr="00815F2E">
        <w:t>to establish a group of technical experts drawn from parties in the five United Nations regions, in accordance with the terms of reference set out in annex I to the present decision, to develop draft guidance on methodologies for the preparation of inventories for a list of potentially relevant point source categories;</w:t>
      </w:r>
    </w:p>
    <w:p w14:paraId="3ACE129A" w14:textId="77777777" w:rsidR="00F100F2" w:rsidRPr="00815F2E" w:rsidRDefault="00F100F2" w:rsidP="00F100F2">
      <w:pPr>
        <w:pStyle w:val="Normal-pool"/>
        <w:numPr>
          <w:ilvl w:val="0"/>
          <w:numId w:val="12"/>
        </w:numPr>
        <w:tabs>
          <w:tab w:val="clear" w:pos="1247"/>
          <w:tab w:val="clear" w:pos="1814"/>
          <w:tab w:val="clear" w:pos="2381"/>
          <w:tab w:val="clear" w:pos="2948"/>
          <w:tab w:val="clear" w:pos="3515"/>
          <w:tab w:val="clear" w:pos="4082"/>
          <w:tab w:val="left" w:pos="624"/>
        </w:tabs>
        <w:spacing w:after="120"/>
        <w:ind w:left="1247" w:firstLine="624"/>
        <w:rPr>
          <w:iCs/>
        </w:rPr>
      </w:pPr>
      <w:r w:rsidRPr="00815F2E">
        <w:rPr>
          <w:i/>
        </w:rPr>
        <w:t xml:space="preserve">Requests </w:t>
      </w:r>
      <w:r w:rsidRPr="00815F2E">
        <w:rPr>
          <w:iCs/>
        </w:rPr>
        <w:t xml:space="preserve">the secretariat to call for nominations of group members from parties by 15 January 2019 through the five United </w:t>
      </w:r>
      <w:r w:rsidRPr="00815F2E">
        <w:t>Nations</w:t>
      </w:r>
      <w:r w:rsidRPr="00815F2E">
        <w:rPr>
          <w:iCs/>
        </w:rPr>
        <w:t xml:space="preserve"> regions and to support the work of the group;</w:t>
      </w:r>
    </w:p>
    <w:p w14:paraId="0EAC65A8" w14:textId="77777777" w:rsidR="00F100F2" w:rsidRPr="00815F2E" w:rsidRDefault="00F100F2" w:rsidP="00F100F2">
      <w:pPr>
        <w:pStyle w:val="Normal-pool"/>
        <w:numPr>
          <w:ilvl w:val="0"/>
          <w:numId w:val="12"/>
        </w:numPr>
        <w:tabs>
          <w:tab w:val="clear" w:pos="1247"/>
          <w:tab w:val="clear" w:pos="1814"/>
          <w:tab w:val="clear" w:pos="2381"/>
          <w:tab w:val="clear" w:pos="2948"/>
          <w:tab w:val="clear" w:pos="3515"/>
          <w:tab w:val="clear" w:pos="4082"/>
          <w:tab w:val="left" w:pos="624"/>
        </w:tabs>
        <w:spacing w:after="120"/>
        <w:ind w:left="1247" w:firstLine="624"/>
      </w:pPr>
      <w:r w:rsidRPr="00815F2E">
        <w:rPr>
          <w:i/>
        </w:rPr>
        <w:t xml:space="preserve">Instructs </w:t>
      </w:r>
      <w:r w:rsidRPr="00815F2E">
        <w:t>the group, with a view to cost-effectiveness, to work primarily through electronic means, including webinars;</w:t>
      </w:r>
    </w:p>
    <w:p w14:paraId="06C48AFE" w14:textId="77777777" w:rsidR="00F100F2" w:rsidRPr="00815F2E" w:rsidRDefault="00F100F2" w:rsidP="00F100F2">
      <w:pPr>
        <w:pStyle w:val="Normal-pool"/>
        <w:numPr>
          <w:ilvl w:val="0"/>
          <w:numId w:val="12"/>
        </w:numPr>
        <w:tabs>
          <w:tab w:val="clear" w:pos="1247"/>
          <w:tab w:val="clear" w:pos="1814"/>
          <w:tab w:val="clear" w:pos="2381"/>
          <w:tab w:val="clear" w:pos="2948"/>
          <w:tab w:val="clear" w:pos="3515"/>
          <w:tab w:val="clear" w:pos="4082"/>
          <w:tab w:val="left" w:pos="624"/>
        </w:tabs>
        <w:spacing w:after="120"/>
        <w:ind w:left="1247" w:firstLine="624"/>
      </w:pPr>
      <w:r w:rsidRPr="00815F2E">
        <w:rPr>
          <w:i/>
        </w:rPr>
        <w:lastRenderedPageBreak/>
        <w:t xml:space="preserve">Decides </w:t>
      </w:r>
      <w:r w:rsidRPr="00815F2E">
        <w:rPr>
          <w:iCs/>
        </w:rPr>
        <w:t xml:space="preserve">that the Conference of the Parties will at its third meeting again consider the composition of the expert group </w:t>
      </w:r>
      <w:r w:rsidRPr="00815F2E">
        <w:t>and</w:t>
      </w:r>
      <w:r w:rsidRPr="00815F2E">
        <w:rPr>
          <w:iCs/>
        </w:rPr>
        <w:t xml:space="preserve"> the need for the expert group to meet face to face</w:t>
      </w:r>
      <w:r w:rsidRPr="00815F2E">
        <w:t>;</w:t>
      </w:r>
    </w:p>
    <w:p w14:paraId="3D14E526" w14:textId="77777777" w:rsidR="00F100F2" w:rsidRPr="00815F2E" w:rsidRDefault="00F100F2" w:rsidP="00F100F2">
      <w:pPr>
        <w:pStyle w:val="Normal-pool"/>
        <w:numPr>
          <w:ilvl w:val="0"/>
          <w:numId w:val="12"/>
        </w:numPr>
        <w:tabs>
          <w:tab w:val="clear" w:pos="1247"/>
          <w:tab w:val="clear" w:pos="1814"/>
          <w:tab w:val="clear" w:pos="2381"/>
          <w:tab w:val="clear" w:pos="2948"/>
          <w:tab w:val="clear" w:pos="3515"/>
          <w:tab w:val="clear" w:pos="4082"/>
          <w:tab w:val="left" w:pos="624"/>
        </w:tabs>
        <w:spacing w:after="120"/>
        <w:ind w:left="1247" w:firstLine="624"/>
      </w:pPr>
      <w:r w:rsidRPr="00815F2E">
        <w:rPr>
          <w:i/>
        </w:rPr>
        <w:t xml:space="preserve">Requests </w:t>
      </w:r>
      <w:r w:rsidRPr="00815F2E">
        <w:t xml:space="preserve">the secretariat to invite parties, signatories and other stakeholders to identify possible point source categories of releases to be included in the list referred to in paragraph 1 above; </w:t>
      </w:r>
    </w:p>
    <w:p w14:paraId="65A7C974" w14:textId="77777777" w:rsidR="00F100F2" w:rsidRPr="00815F2E" w:rsidRDefault="00F100F2" w:rsidP="00F100F2">
      <w:pPr>
        <w:pStyle w:val="Normal-pool"/>
        <w:numPr>
          <w:ilvl w:val="0"/>
          <w:numId w:val="12"/>
        </w:numPr>
        <w:tabs>
          <w:tab w:val="clear" w:pos="1247"/>
          <w:tab w:val="clear" w:pos="1814"/>
          <w:tab w:val="clear" w:pos="2381"/>
          <w:tab w:val="clear" w:pos="2948"/>
          <w:tab w:val="clear" w:pos="3515"/>
          <w:tab w:val="clear" w:pos="4082"/>
          <w:tab w:val="left" w:pos="624"/>
        </w:tabs>
        <w:spacing w:after="120"/>
        <w:ind w:left="1247" w:firstLine="624"/>
        <w:rPr>
          <w:i/>
        </w:rPr>
      </w:pPr>
      <w:r w:rsidRPr="00815F2E">
        <w:rPr>
          <w:i/>
        </w:rPr>
        <w:t>Also requests</w:t>
      </w:r>
      <w:r w:rsidRPr="00815F2E">
        <w:t xml:space="preserve"> the secretariat to compile in a report the information referred to in paragraph 5 above and to include in the report the relevant point source categories identified in, inter alia, the United Nations Environment Programme toolkit for Identification and Quantification of Mercury Releases, the Minamata initial assessments and the forthcoming </w:t>
      </w:r>
      <w:r w:rsidRPr="00815F2E">
        <w:rPr>
          <w:i/>
          <w:iCs/>
        </w:rPr>
        <w:t>Global Mercury Assessment 2018</w:t>
      </w:r>
      <w:r w:rsidRPr="00815F2E">
        <w:t>;</w:t>
      </w:r>
    </w:p>
    <w:p w14:paraId="70E8617F" w14:textId="77777777" w:rsidR="00F100F2" w:rsidRPr="00815F2E" w:rsidRDefault="00F100F2" w:rsidP="00F100F2">
      <w:pPr>
        <w:pStyle w:val="Normal-pool"/>
        <w:numPr>
          <w:ilvl w:val="0"/>
          <w:numId w:val="12"/>
        </w:numPr>
        <w:tabs>
          <w:tab w:val="clear" w:pos="1247"/>
          <w:tab w:val="clear" w:pos="1814"/>
          <w:tab w:val="clear" w:pos="2381"/>
          <w:tab w:val="clear" w:pos="2948"/>
          <w:tab w:val="clear" w:pos="3515"/>
          <w:tab w:val="clear" w:pos="4082"/>
          <w:tab w:val="left" w:pos="624"/>
        </w:tabs>
        <w:spacing w:after="120"/>
        <w:ind w:left="1247" w:firstLine="624"/>
      </w:pPr>
      <w:r w:rsidRPr="00815F2E">
        <w:rPr>
          <w:i/>
        </w:rPr>
        <w:t xml:space="preserve">Further requests </w:t>
      </w:r>
      <w:r w:rsidRPr="00815F2E">
        <w:t>the secretariat to share the report mentioned in paragraph 6 above with the group for its consideration in accordance with the timeline set out in annex II to the present decision;</w:t>
      </w:r>
    </w:p>
    <w:p w14:paraId="1DF136BB" w14:textId="77777777" w:rsidR="00F100F2" w:rsidRPr="00815F2E" w:rsidRDefault="00F100F2" w:rsidP="00F100F2">
      <w:pPr>
        <w:pStyle w:val="Normal-pool"/>
        <w:numPr>
          <w:ilvl w:val="0"/>
          <w:numId w:val="12"/>
        </w:numPr>
        <w:tabs>
          <w:tab w:val="clear" w:pos="1247"/>
          <w:tab w:val="clear" w:pos="1814"/>
          <w:tab w:val="clear" w:pos="2381"/>
          <w:tab w:val="clear" w:pos="2948"/>
          <w:tab w:val="clear" w:pos="3515"/>
          <w:tab w:val="clear" w:pos="4082"/>
          <w:tab w:val="left" w:pos="624"/>
        </w:tabs>
        <w:spacing w:after="120"/>
        <w:ind w:left="1247" w:firstLine="624"/>
        <w:rPr>
          <w:i/>
        </w:rPr>
      </w:pPr>
      <w:r w:rsidRPr="00815F2E">
        <w:rPr>
          <w:i/>
        </w:rPr>
        <w:t xml:space="preserve">Requests </w:t>
      </w:r>
      <w:r w:rsidRPr="00815F2E">
        <w:t>the group to present the report, including a list of any significant anthropogenic point source of release categories not addressed in provisions of the Convention other than article 9, along with a suggested road map and structure for the development of draft guidance on methodologies for preparing its inventories, for possible adoption by the Conference of the Parties at its third meeting;</w:t>
      </w:r>
    </w:p>
    <w:p w14:paraId="49CD657F" w14:textId="77777777" w:rsidR="00F100F2" w:rsidRPr="00815F2E" w:rsidRDefault="00F100F2" w:rsidP="00F100F2">
      <w:pPr>
        <w:pStyle w:val="Normal-pool"/>
        <w:numPr>
          <w:ilvl w:val="0"/>
          <w:numId w:val="12"/>
        </w:numPr>
        <w:tabs>
          <w:tab w:val="clear" w:pos="1247"/>
          <w:tab w:val="clear" w:pos="1814"/>
          <w:tab w:val="clear" w:pos="2381"/>
          <w:tab w:val="clear" w:pos="2948"/>
          <w:tab w:val="clear" w:pos="3515"/>
          <w:tab w:val="clear" w:pos="4082"/>
          <w:tab w:val="left" w:pos="624"/>
        </w:tabs>
        <w:spacing w:after="120"/>
        <w:ind w:left="1247" w:firstLine="624"/>
        <w:rPr>
          <w:strike/>
        </w:rPr>
      </w:pPr>
      <w:r w:rsidRPr="00815F2E">
        <w:rPr>
          <w:i/>
        </w:rPr>
        <w:t xml:space="preserve">Also requests </w:t>
      </w:r>
      <w:r w:rsidRPr="00815F2E">
        <w:t>the group to develop draft guidance on standardized and known methodologies for preparing inventories for the sources in the list referred to in paragraph 7 above for possible adoption by the Conference of the Parties at its fourth meeting;</w:t>
      </w:r>
    </w:p>
    <w:p w14:paraId="67BB9080" w14:textId="77777777" w:rsidR="00F100F2" w:rsidRPr="00815F2E" w:rsidRDefault="00F100F2" w:rsidP="00F100F2">
      <w:pPr>
        <w:pStyle w:val="Normal-pool"/>
        <w:numPr>
          <w:ilvl w:val="0"/>
          <w:numId w:val="12"/>
        </w:numPr>
        <w:tabs>
          <w:tab w:val="clear" w:pos="1247"/>
          <w:tab w:val="clear" w:pos="1814"/>
          <w:tab w:val="clear" w:pos="2381"/>
          <w:tab w:val="clear" w:pos="2948"/>
          <w:tab w:val="clear" w:pos="3515"/>
          <w:tab w:val="clear" w:pos="4082"/>
          <w:tab w:val="left" w:pos="624"/>
        </w:tabs>
        <w:spacing w:after="120"/>
        <w:ind w:left="1247" w:firstLine="624"/>
      </w:pPr>
      <w:r w:rsidRPr="00815F2E">
        <w:rPr>
          <w:i/>
        </w:rPr>
        <w:t>Decides</w:t>
      </w:r>
      <w:r w:rsidRPr="00815F2E">
        <w:t xml:space="preserve"> that work to develop guidance on best available techniques and best environmental practices will be deferred until after the draft guidance on methodologies for preparing inventories is completed. </w:t>
      </w:r>
    </w:p>
    <w:p w14:paraId="57A06961" w14:textId="77777777" w:rsidR="00BB781D" w:rsidRDefault="00F100F2" w:rsidP="00F100F2">
      <w:pPr>
        <w:pStyle w:val="CH2"/>
      </w:pPr>
      <w:r w:rsidRPr="00815F2E">
        <w:tab/>
      </w:r>
      <w:r w:rsidRPr="00815F2E">
        <w:tab/>
      </w:r>
      <w:r w:rsidR="00BB781D">
        <w:br w:type="page"/>
      </w:r>
    </w:p>
    <w:p w14:paraId="21A376C3" w14:textId="4AA5D9C6" w:rsidR="00F100F2" w:rsidRPr="00815F2E" w:rsidRDefault="00F100F2" w:rsidP="00F100F2">
      <w:pPr>
        <w:pStyle w:val="CH2"/>
      </w:pPr>
      <w:r w:rsidRPr="00815F2E">
        <w:lastRenderedPageBreak/>
        <w:t xml:space="preserve">Annex I to decision MC-2/3 </w:t>
      </w:r>
    </w:p>
    <w:p w14:paraId="170FDEC6" w14:textId="77777777" w:rsidR="00F100F2" w:rsidRPr="00815F2E" w:rsidRDefault="00F100F2" w:rsidP="00F100F2">
      <w:pPr>
        <w:pStyle w:val="CH2"/>
      </w:pPr>
      <w:r w:rsidRPr="00815F2E">
        <w:tab/>
      </w:r>
      <w:r w:rsidRPr="00815F2E">
        <w:tab/>
        <w:t>Draft terms of reference for a group of technical experts on guidance in relation to mercury releases to be established pursuant to article 9 of the Convention</w:t>
      </w:r>
    </w:p>
    <w:p w14:paraId="56E213CA" w14:textId="77777777" w:rsidR="00F100F2" w:rsidRPr="00815F2E" w:rsidRDefault="00F100F2" w:rsidP="00F100F2">
      <w:pPr>
        <w:pStyle w:val="CH1"/>
      </w:pPr>
      <w:r w:rsidRPr="00815F2E">
        <w:tab/>
      </w:r>
      <w:bookmarkStart w:id="2" w:name="_Toc7079423"/>
      <w:r w:rsidRPr="00815F2E">
        <w:t>I.</w:t>
      </w:r>
      <w:r w:rsidRPr="00815F2E">
        <w:tab/>
        <w:t>Mandate</w:t>
      </w:r>
      <w:bookmarkEnd w:id="2"/>
    </w:p>
    <w:p w14:paraId="3A1E1FA0" w14:textId="77777777" w:rsidR="00F100F2" w:rsidRPr="00815F2E" w:rsidRDefault="00F100F2" w:rsidP="00F100F2">
      <w:pPr>
        <w:pStyle w:val="Normal-pool"/>
        <w:numPr>
          <w:ilvl w:val="0"/>
          <w:numId w:val="13"/>
        </w:numPr>
        <w:tabs>
          <w:tab w:val="clear" w:pos="1247"/>
          <w:tab w:val="clear" w:pos="1814"/>
          <w:tab w:val="clear" w:pos="2381"/>
          <w:tab w:val="clear" w:pos="2948"/>
          <w:tab w:val="clear" w:pos="3515"/>
          <w:tab w:val="clear" w:pos="4082"/>
          <w:tab w:val="left" w:pos="624"/>
        </w:tabs>
        <w:spacing w:after="120"/>
        <w:ind w:left="1247" w:firstLine="0"/>
      </w:pPr>
      <w:r w:rsidRPr="00815F2E">
        <w:t xml:space="preserve">The Conference of the Parties to the Minamata Convention, at its second meeting, by its decision MC-2/3, established a group of technical experts to work on guidance in relation to mercury releases, in accordance with the timeline set out in annex II to the decision. </w:t>
      </w:r>
    </w:p>
    <w:p w14:paraId="30AFFE8A" w14:textId="77777777" w:rsidR="00F100F2" w:rsidRPr="00815F2E" w:rsidRDefault="00F100F2" w:rsidP="00F100F2">
      <w:pPr>
        <w:pStyle w:val="Normal-pool"/>
        <w:numPr>
          <w:ilvl w:val="0"/>
          <w:numId w:val="13"/>
        </w:numPr>
        <w:tabs>
          <w:tab w:val="clear" w:pos="1247"/>
          <w:tab w:val="clear" w:pos="1814"/>
          <w:tab w:val="clear" w:pos="2381"/>
          <w:tab w:val="clear" w:pos="2948"/>
          <w:tab w:val="clear" w:pos="3515"/>
          <w:tab w:val="clear" w:pos="4082"/>
          <w:tab w:val="left" w:pos="624"/>
        </w:tabs>
        <w:spacing w:after="120"/>
        <w:ind w:left="1247" w:firstLine="0"/>
        <w:rPr>
          <w:rFonts w:asciiTheme="majorBidi" w:hAnsiTheme="majorBidi" w:cstheme="majorBidi"/>
        </w:rPr>
      </w:pPr>
      <w:r w:rsidRPr="00815F2E">
        <w:rPr>
          <w:rFonts w:asciiTheme="majorBidi" w:hAnsiTheme="majorBidi" w:cstheme="majorBidi"/>
        </w:rPr>
        <w:t xml:space="preserve">The group of experts will, as a first step, </w:t>
      </w:r>
      <w:proofErr w:type="gramStart"/>
      <w:r w:rsidRPr="00815F2E">
        <w:rPr>
          <w:rFonts w:asciiTheme="majorBidi" w:hAnsiTheme="majorBidi" w:cstheme="majorBidi"/>
        </w:rPr>
        <w:t>take into account</w:t>
      </w:r>
      <w:proofErr w:type="gramEnd"/>
      <w:r w:rsidRPr="00815F2E">
        <w:rPr>
          <w:rFonts w:asciiTheme="majorBidi" w:hAnsiTheme="majorBidi" w:cstheme="majorBidi"/>
        </w:rPr>
        <w:t xml:space="preserve"> in a report the information referred to in paragraph 5 of decision MC-2/3.</w:t>
      </w:r>
    </w:p>
    <w:p w14:paraId="6AC4BD8F" w14:textId="77777777" w:rsidR="00F100F2" w:rsidRPr="00815F2E" w:rsidRDefault="00F100F2" w:rsidP="00F100F2">
      <w:pPr>
        <w:pStyle w:val="Normal-pool"/>
        <w:numPr>
          <w:ilvl w:val="0"/>
          <w:numId w:val="13"/>
        </w:numPr>
        <w:tabs>
          <w:tab w:val="clear" w:pos="1247"/>
          <w:tab w:val="clear" w:pos="1814"/>
          <w:tab w:val="clear" w:pos="2381"/>
          <w:tab w:val="clear" w:pos="2948"/>
          <w:tab w:val="clear" w:pos="3515"/>
          <w:tab w:val="clear" w:pos="4082"/>
          <w:tab w:val="left" w:pos="624"/>
        </w:tabs>
        <w:spacing w:after="120"/>
        <w:ind w:left="1247" w:firstLine="0"/>
        <w:rPr>
          <w:rFonts w:asciiTheme="majorBidi" w:hAnsiTheme="majorBidi" w:cstheme="majorBidi"/>
        </w:rPr>
      </w:pPr>
      <w:r w:rsidRPr="00815F2E">
        <w:rPr>
          <w:rFonts w:asciiTheme="majorBidi" w:hAnsiTheme="majorBidi" w:cstheme="majorBidi"/>
        </w:rPr>
        <w:t>The group of experts will prepare a report including a list of any significant anthropogenic point source of release categories not addressed in provisions of the Convention other than article 9, along with a suggested road map and structure for the development of draft guidance on methodologies for preparing its inventories, for possible adoption by the Conference of the Parties at its third meeting.</w:t>
      </w:r>
    </w:p>
    <w:p w14:paraId="18A91774" w14:textId="77777777" w:rsidR="00F100F2" w:rsidRPr="00815F2E" w:rsidRDefault="00F100F2" w:rsidP="00F100F2">
      <w:pPr>
        <w:pStyle w:val="Normal-pool"/>
        <w:numPr>
          <w:ilvl w:val="0"/>
          <w:numId w:val="13"/>
        </w:numPr>
        <w:tabs>
          <w:tab w:val="clear" w:pos="1247"/>
          <w:tab w:val="clear" w:pos="1814"/>
          <w:tab w:val="clear" w:pos="2381"/>
          <w:tab w:val="clear" w:pos="2948"/>
          <w:tab w:val="clear" w:pos="3515"/>
          <w:tab w:val="clear" w:pos="4082"/>
          <w:tab w:val="left" w:pos="624"/>
        </w:tabs>
        <w:spacing w:after="120"/>
        <w:ind w:left="1247" w:firstLine="0"/>
        <w:rPr>
          <w:rFonts w:asciiTheme="majorBidi" w:hAnsiTheme="majorBidi" w:cstheme="majorBidi"/>
        </w:rPr>
      </w:pPr>
      <w:r w:rsidRPr="00815F2E">
        <w:rPr>
          <w:rFonts w:asciiTheme="majorBidi" w:hAnsiTheme="majorBidi" w:cstheme="majorBidi"/>
        </w:rPr>
        <w:t>As a next step, the group of experts will develop draft guidance on standardized and known methodologies for preparing inventories for the sources included in the list referred to in paragraph 1 of decision MC-2/3, for possible adoption by the Conference of the Parties at its fourth meeting.</w:t>
      </w:r>
    </w:p>
    <w:p w14:paraId="29F58466" w14:textId="77777777" w:rsidR="00F100F2" w:rsidRPr="00815F2E" w:rsidRDefault="00F100F2" w:rsidP="00F100F2">
      <w:pPr>
        <w:pStyle w:val="CH1"/>
      </w:pPr>
      <w:r w:rsidRPr="00815F2E">
        <w:tab/>
      </w:r>
      <w:bookmarkStart w:id="3" w:name="_Toc7079424"/>
      <w:r w:rsidRPr="00815F2E">
        <w:t>II.</w:t>
      </w:r>
      <w:r w:rsidRPr="00815F2E">
        <w:tab/>
        <w:t>Membership</w:t>
      </w:r>
      <w:bookmarkEnd w:id="3"/>
    </w:p>
    <w:p w14:paraId="4AE50CEE" w14:textId="77777777" w:rsidR="00F100F2" w:rsidRPr="00815F2E" w:rsidRDefault="00F100F2" w:rsidP="00F100F2">
      <w:pPr>
        <w:pStyle w:val="Normal-pool"/>
        <w:numPr>
          <w:ilvl w:val="0"/>
          <w:numId w:val="13"/>
        </w:numPr>
        <w:tabs>
          <w:tab w:val="clear" w:pos="1247"/>
          <w:tab w:val="clear" w:pos="1814"/>
          <w:tab w:val="clear" w:pos="2381"/>
          <w:tab w:val="clear" w:pos="2948"/>
          <w:tab w:val="clear" w:pos="3515"/>
          <w:tab w:val="clear" w:pos="4082"/>
          <w:tab w:val="left" w:pos="624"/>
        </w:tabs>
        <w:spacing w:after="120"/>
        <w:ind w:left="1247" w:firstLine="0"/>
        <w:rPr>
          <w:rFonts w:asciiTheme="majorBidi" w:hAnsiTheme="majorBidi" w:cstheme="majorBidi"/>
        </w:rPr>
      </w:pPr>
      <w:r w:rsidRPr="00815F2E">
        <w:rPr>
          <w:rFonts w:asciiTheme="majorBidi" w:hAnsiTheme="majorBidi" w:cstheme="majorBidi"/>
        </w:rPr>
        <w:t xml:space="preserve">Until the third meeting of the Conference of the Parties, the group will comprise 25 technical experts, five being nominated from each of the five United Nations regions. Before the group’s first meeting, the group and the secretariat will invite experts from relevant organizations, industry and civil society to participate as observers, as appropriate. </w:t>
      </w:r>
    </w:p>
    <w:p w14:paraId="502DD210" w14:textId="77777777" w:rsidR="00F100F2" w:rsidRPr="00815F2E" w:rsidRDefault="00F100F2" w:rsidP="00F100F2">
      <w:pPr>
        <w:pStyle w:val="CH1"/>
      </w:pPr>
      <w:r w:rsidRPr="00815F2E">
        <w:tab/>
      </w:r>
      <w:bookmarkStart w:id="4" w:name="_Toc7079425"/>
      <w:r w:rsidRPr="00815F2E">
        <w:t>III.</w:t>
      </w:r>
      <w:r w:rsidRPr="00815F2E">
        <w:tab/>
        <w:t>Recommended qualifications of members and observers</w:t>
      </w:r>
      <w:bookmarkEnd w:id="4"/>
    </w:p>
    <w:p w14:paraId="08E09438" w14:textId="77777777" w:rsidR="00F100F2" w:rsidRPr="00815F2E" w:rsidRDefault="00F100F2" w:rsidP="00F100F2">
      <w:pPr>
        <w:pStyle w:val="Normal-pool"/>
        <w:numPr>
          <w:ilvl w:val="0"/>
          <w:numId w:val="13"/>
        </w:numPr>
        <w:tabs>
          <w:tab w:val="clear" w:pos="1247"/>
          <w:tab w:val="clear" w:pos="1814"/>
          <w:tab w:val="clear" w:pos="2381"/>
          <w:tab w:val="clear" w:pos="2948"/>
          <w:tab w:val="clear" w:pos="3515"/>
          <w:tab w:val="clear" w:pos="4082"/>
          <w:tab w:val="left" w:pos="624"/>
        </w:tabs>
        <w:spacing w:after="120"/>
        <w:ind w:left="1247" w:firstLine="0"/>
        <w:rPr>
          <w:rFonts w:asciiTheme="majorBidi" w:hAnsiTheme="majorBidi" w:cstheme="majorBidi"/>
        </w:rPr>
      </w:pPr>
      <w:r w:rsidRPr="00815F2E">
        <w:t>Members</w:t>
      </w:r>
      <w:r w:rsidRPr="00815F2E">
        <w:rPr>
          <w:rFonts w:asciiTheme="majorBidi" w:hAnsiTheme="majorBidi" w:cstheme="majorBidi"/>
        </w:rPr>
        <w:t xml:space="preserve"> and observers shall have at least one of the following:</w:t>
      </w:r>
    </w:p>
    <w:p w14:paraId="2AA2EB1B" w14:textId="77777777" w:rsidR="00F100F2" w:rsidRPr="00815F2E" w:rsidRDefault="00F100F2" w:rsidP="00F100F2">
      <w:pPr>
        <w:pStyle w:val="Normal-pool"/>
        <w:numPr>
          <w:ilvl w:val="0"/>
          <w:numId w:val="14"/>
        </w:numPr>
        <w:tabs>
          <w:tab w:val="clear" w:pos="1247"/>
          <w:tab w:val="clear" w:pos="1814"/>
          <w:tab w:val="clear" w:pos="2381"/>
          <w:tab w:val="clear" w:pos="2948"/>
          <w:tab w:val="clear" w:pos="3515"/>
          <w:tab w:val="clear" w:pos="4082"/>
          <w:tab w:val="left" w:pos="624"/>
        </w:tabs>
        <w:spacing w:after="120"/>
        <w:ind w:left="1247" w:firstLine="624"/>
      </w:pPr>
      <w:r w:rsidRPr="00815F2E">
        <w:t>Knowledge of the mass flow/mass balance of mercury in relevant mercury source subcategories (e.g., from technical work in/with the relevant sectors);</w:t>
      </w:r>
    </w:p>
    <w:p w14:paraId="47223E94" w14:textId="77777777" w:rsidR="00F100F2" w:rsidRPr="00815F2E" w:rsidRDefault="00F100F2" w:rsidP="00F100F2">
      <w:pPr>
        <w:pStyle w:val="Normal-pool"/>
        <w:numPr>
          <w:ilvl w:val="0"/>
          <w:numId w:val="14"/>
        </w:numPr>
        <w:tabs>
          <w:tab w:val="clear" w:pos="1247"/>
          <w:tab w:val="clear" w:pos="1814"/>
          <w:tab w:val="clear" w:pos="2381"/>
          <w:tab w:val="clear" w:pos="2948"/>
          <w:tab w:val="clear" w:pos="3515"/>
          <w:tab w:val="clear" w:pos="4082"/>
          <w:tab w:val="left" w:pos="624"/>
        </w:tabs>
        <w:spacing w:after="120"/>
        <w:ind w:left="1247" w:firstLine="624"/>
      </w:pPr>
      <w:r w:rsidRPr="00815F2E">
        <w:t>Expertise relevant to different approaches for monitoring, measuring and calculating emissions and releases;</w:t>
      </w:r>
    </w:p>
    <w:p w14:paraId="07C79075" w14:textId="77777777" w:rsidR="00F100F2" w:rsidRPr="00815F2E" w:rsidRDefault="00F100F2" w:rsidP="00F100F2">
      <w:pPr>
        <w:pStyle w:val="Normal-pool"/>
        <w:numPr>
          <w:ilvl w:val="0"/>
          <w:numId w:val="14"/>
        </w:numPr>
        <w:tabs>
          <w:tab w:val="clear" w:pos="1247"/>
          <w:tab w:val="clear" w:pos="1814"/>
          <w:tab w:val="clear" w:pos="2381"/>
          <w:tab w:val="clear" w:pos="2948"/>
          <w:tab w:val="clear" w:pos="3515"/>
          <w:tab w:val="clear" w:pos="4082"/>
          <w:tab w:val="left" w:pos="624"/>
        </w:tabs>
        <w:spacing w:after="120"/>
        <w:ind w:left="1247" w:firstLine="624"/>
      </w:pPr>
      <w:r w:rsidRPr="00815F2E">
        <w:t xml:space="preserve">Knowledge of pollution release and transfer registers; </w:t>
      </w:r>
    </w:p>
    <w:p w14:paraId="0DFD8012" w14:textId="77777777" w:rsidR="00F100F2" w:rsidRPr="00815F2E" w:rsidRDefault="00F100F2" w:rsidP="00F100F2">
      <w:pPr>
        <w:pStyle w:val="Normal-pool"/>
        <w:numPr>
          <w:ilvl w:val="0"/>
          <w:numId w:val="14"/>
        </w:numPr>
        <w:tabs>
          <w:tab w:val="clear" w:pos="1247"/>
          <w:tab w:val="clear" w:pos="1814"/>
          <w:tab w:val="clear" w:pos="2381"/>
          <w:tab w:val="clear" w:pos="2948"/>
          <w:tab w:val="clear" w:pos="3515"/>
          <w:tab w:val="clear" w:pos="4082"/>
          <w:tab w:val="left" w:pos="624"/>
        </w:tabs>
        <w:spacing w:after="120"/>
        <w:ind w:left="1247" w:firstLine="624"/>
      </w:pPr>
      <w:r w:rsidRPr="00815F2E">
        <w:t xml:space="preserve">Expertise concerning or experience in using the United Nations Environment Programme </w:t>
      </w:r>
      <w:bookmarkStart w:id="5" w:name="_Hlk12539724"/>
      <w:r w:rsidRPr="00815F2E">
        <w:t>Toolkit</w:t>
      </w:r>
      <w:bookmarkEnd w:id="5"/>
      <w:r w:rsidRPr="00815F2E">
        <w:t xml:space="preserve"> for Identification and Quantification of Mercury Releases.</w:t>
      </w:r>
    </w:p>
    <w:p w14:paraId="5126E26B" w14:textId="77777777" w:rsidR="00F100F2" w:rsidRPr="00815F2E" w:rsidRDefault="00F100F2" w:rsidP="00F100F2">
      <w:pPr>
        <w:pStyle w:val="CH1"/>
      </w:pPr>
      <w:r w:rsidRPr="00815F2E">
        <w:tab/>
      </w:r>
      <w:bookmarkStart w:id="6" w:name="_Toc7079426"/>
      <w:r w:rsidRPr="00815F2E">
        <w:t>IV.</w:t>
      </w:r>
      <w:r w:rsidRPr="00815F2E">
        <w:tab/>
        <w:t>Officers</w:t>
      </w:r>
      <w:bookmarkEnd w:id="6"/>
    </w:p>
    <w:p w14:paraId="5BC8FF55" w14:textId="77777777" w:rsidR="00F100F2" w:rsidRPr="00815F2E" w:rsidRDefault="00F100F2" w:rsidP="00F100F2">
      <w:pPr>
        <w:pStyle w:val="Normal-pool"/>
        <w:numPr>
          <w:ilvl w:val="0"/>
          <w:numId w:val="13"/>
        </w:numPr>
        <w:tabs>
          <w:tab w:val="clear" w:pos="1247"/>
          <w:tab w:val="clear" w:pos="1814"/>
          <w:tab w:val="clear" w:pos="2381"/>
          <w:tab w:val="clear" w:pos="2948"/>
          <w:tab w:val="clear" w:pos="3515"/>
          <w:tab w:val="clear" w:pos="4082"/>
          <w:tab w:val="left" w:pos="624"/>
        </w:tabs>
        <w:spacing w:after="120"/>
        <w:ind w:left="1247" w:firstLine="0"/>
        <w:rPr>
          <w:rFonts w:asciiTheme="majorBidi" w:hAnsiTheme="majorBidi" w:cstheme="majorBidi"/>
        </w:rPr>
      </w:pPr>
      <w:r w:rsidRPr="00815F2E">
        <w:rPr>
          <w:rFonts w:asciiTheme="majorBidi" w:hAnsiTheme="majorBidi" w:cstheme="majorBidi"/>
        </w:rPr>
        <w:t xml:space="preserve">The </w:t>
      </w:r>
      <w:r w:rsidRPr="00815F2E">
        <w:t>group</w:t>
      </w:r>
      <w:r w:rsidRPr="00815F2E">
        <w:rPr>
          <w:rFonts w:asciiTheme="majorBidi" w:hAnsiTheme="majorBidi" w:cstheme="majorBidi"/>
        </w:rPr>
        <w:t xml:space="preserve"> of experts will elect two co-chairs to facilitate its meetings and other work. </w:t>
      </w:r>
    </w:p>
    <w:p w14:paraId="48F83F43" w14:textId="77777777" w:rsidR="00F100F2" w:rsidRPr="00815F2E" w:rsidRDefault="00F100F2" w:rsidP="00F100F2">
      <w:pPr>
        <w:pStyle w:val="CH1"/>
      </w:pPr>
      <w:r w:rsidRPr="00815F2E">
        <w:tab/>
      </w:r>
      <w:bookmarkStart w:id="7" w:name="_Toc7079427"/>
      <w:r w:rsidRPr="00815F2E">
        <w:t>V.</w:t>
      </w:r>
      <w:r w:rsidRPr="00815F2E">
        <w:tab/>
        <w:t>Secretariat</w:t>
      </w:r>
      <w:bookmarkEnd w:id="7"/>
    </w:p>
    <w:p w14:paraId="769FCFF1" w14:textId="77777777" w:rsidR="00F100F2" w:rsidRPr="00815F2E" w:rsidRDefault="00F100F2" w:rsidP="00F100F2">
      <w:pPr>
        <w:pStyle w:val="Normal-pool"/>
        <w:numPr>
          <w:ilvl w:val="0"/>
          <w:numId w:val="13"/>
        </w:numPr>
        <w:tabs>
          <w:tab w:val="clear" w:pos="1247"/>
          <w:tab w:val="clear" w:pos="1814"/>
          <w:tab w:val="clear" w:pos="2381"/>
          <w:tab w:val="clear" w:pos="2948"/>
          <w:tab w:val="clear" w:pos="3515"/>
          <w:tab w:val="clear" w:pos="4082"/>
          <w:tab w:val="left" w:pos="624"/>
        </w:tabs>
        <w:spacing w:after="120"/>
        <w:ind w:left="1247" w:firstLine="0"/>
        <w:rPr>
          <w:rFonts w:asciiTheme="majorBidi" w:hAnsiTheme="majorBidi" w:cstheme="majorBidi"/>
        </w:rPr>
      </w:pPr>
      <w:r w:rsidRPr="00815F2E">
        <w:rPr>
          <w:rFonts w:asciiTheme="majorBidi" w:hAnsiTheme="majorBidi" w:cstheme="majorBidi"/>
        </w:rPr>
        <w:t xml:space="preserve">The </w:t>
      </w:r>
      <w:r w:rsidRPr="00815F2E">
        <w:t>secretariat</w:t>
      </w:r>
      <w:r w:rsidRPr="00815F2E">
        <w:rPr>
          <w:rFonts w:asciiTheme="majorBidi" w:hAnsiTheme="majorBidi" w:cstheme="majorBidi"/>
        </w:rPr>
        <w:t xml:space="preserve"> of the Convention will provide administrative support to the group of experts. It will compile submissions received and the outcome of consultations on the matter.</w:t>
      </w:r>
    </w:p>
    <w:p w14:paraId="6BF95240" w14:textId="77777777" w:rsidR="00F100F2" w:rsidRPr="00815F2E" w:rsidRDefault="00F100F2" w:rsidP="00F100F2">
      <w:pPr>
        <w:pStyle w:val="CH1"/>
      </w:pPr>
      <w:r w:rsidRPr="00815F2E">
        <w:tab/>
      </w:r>
      <w:bookmarkStart w:id="8" w:name="_Toc7079428"/>
      <w:r w:rsidRPr="00815F2E">
        <w:t>VI.</w:t>
      </w:r>
      <w:r w:rsidRPr="00815F2E">
        <w:tab/>
        <w:t>Administrative and procedural matters</w:t>
      </w:r>
      <w:bookmarkEnd w:id="8"/>
    </w:p>
    <w:p w14:paraId="56D54B46" w14:textId="77777777" w:rsidR="00F100F2" w:rsidRPr="00815F2E" w:rsidRDefault="00F100F2" w:rsidP="00F100F2">
      <w:pPr>
        <w:pStyle w:val="Normal-pool"/>
        <w:numPr>
          <w:ilvl w:val="0"/>
          <w:numId w:val="13"/>
        </w:numPr>
        <w:tabs>
          <w:tab w:val="clear" w:pos="1247"/>
          <w:tab w:val="clear" w:pos="1814"/>
          <w:tab w:val="clear" w:pos="2381"/>
          <w:tab w:val="clear" w:pos="2948"/>
          <w:tab w:val="clear" w:pos="3515"/>
          <w:tab w:val="clear" w:pos="4082"/>
          <w:tab w:val="left" w:pos="624"/>
        </w:tabs>
        <w:spacing w:after="120"/>
        <w:ind w:left="1247" w:firstLine="0"/>
        <w:rPr>
          <w:rFonts w:asciiTheme="majorBidi" w:hAnsiTheme="majorBidi" w:cstheme="majorBidi"/>
        </w:rPr>
      </w:pPr>
      <w:r w:rsidRPr="00815F2E">
        <w:rPr>
          <w:rFonts w:asciiTheme="majorBidi" w:hAnsiTheme="majorBidi" w:cstheme="majorBidi"/>
        </w:rPr>
        <w:t xml:space="preserve">The </w:t>
      </w:r>
      <w:r w:rsidRPr="00815F2E">
        <w:t>rules</w:t>
      </w:r>
      <w:r w:rsidRPr="00815F2E">
        <w:rPr>
          <w:rFonts w:asciiTheme="majorBidi" w:hAnsiTheme="majorBidi" w:cstheme="majorBidi"/>
        </w:rPr>
        <w:t xml:space="preserve"> of procedure of the Conference of the Parties will apply, mutatis mutandis, to the group of experts.</w:t>
      </w:r>
    </w:p>
    <w:p w14:paraId="4FB5972B" w14:textId="77777777" w:rsidR="00F100F2" w:rsidRPr="00815F2E" w:rsidRDefault="00F100F2" w:rsidP="00F100F2">
      <w:pPr>
        <w:pStyle w:val="CH1"/>
      </w:pPr>
      <w:r w:rsidRPr="00815F2E">
        <w:tab/>
      </w:r>
      <w:bookmarkStart w:id="9" w:name="_Toc7079429"/>
      <w:r w:rsidRPr="00815F2E">
        <w:t>VII.</w:t>
      </w:r>
      <w:r w:rsidRPr="00815F2E">
        <w:tab/>
        <w:t>Meetings and working arrangements</w:t>
      </w:r>
      <w:bookmarkEnd w:id="9"/>
    </w:p>
    <w:p w14:paraId="04752531" w14:textId="77777777" w:rsidR="00F100F2" w:rsidRPr="00815F2E" w:rsidRDefault="00F100F2" w:rsidP="00F100F2">
      <w:pPr>
        <w:pStyle w:val="Normal-pool"/>
        <w:numPr>
          <w:ilvl w:val="0"/>
          <w:numId w:val="13"/>
        </w:numPr>
        <w:tabs>
          <w:tab w:val="clear" w:pos="1247"/>
          <w:tab w:val="clear" w:pos="1814"/>
          <w:tab w:val="clear" w:pos="2381"/>
          <w:tab w:val="clear" w:pos="2948"/>
          <w:tab w:val="clear" w:pos="3515"/>
          <w:tab w:val="clear" w:pos="4082"/>
          <w:tab w:val="left" w:pos="624"/>
        </w:tabs>
        <w:spacing w:after="120"/>
        <w:ind w:left="1247" w:firstLine="0"/>
        <w:rPr>
          <w:rFonts w:asciiTheme="majorBidi" w:hAnsiTheme="majorBidi" w:cstheme="majorBidi"/>
        </w:rPr>
      </w:pPr>
      <w:r w:rsidRPr="00815F2E">
        <w:rPr>
          <w:rFonts w:asciiTheme="majorBidi" w:hAnsiTheme="majorBidi" w:cstheme="majorBidi"/>
        </w:rPr>
        <w:t>With a view to cost-effectiveness, the group will work primarily through electronic means, including webinars.</w:t>
      </w:r>
    </w:p>
    <w:p w14:paraId="1D2070BD" w14:textId="77777777" w:rsidR="00F100F2" w:rsidRPr="00815F2E" w:rsidRDefault="00F100F2" w:rsidP="00F100F2">
      <w:pPr>
        <w:pStyle w:val="Normal-pool"/>
        <w:numPr>
          <w:ilvl w:val="0"/>
          <w:numId w:val="13"/>
        </w:numPr>
        <w:tabs>
          <w:tab w:val="clear" w:pos="1247"/>
          <w:tab w:val="clear" w:pos="1814"/>
          <w:tab w:val="clear" w:pos="2381"/>
          <w:tab w:val="clear" w:pos="2948"/>
          <w:tab w:val="clear" w:pos="3515"/>
          <w:tab w:val="clear" w:pos="4082"/>
          <w:tab w:val="left" w:pos="624"/>
        </w:tabs>
        <w:spacing w:after="120"/>
        <w:ind w:left="1247" w:firstLine="0"/>
        <w:rPr>
          <w:rFonts w:asciiTheme="majorBidi" w:hAnsiTheme="majorBidi" w:cstheme="majorBidi"/>
        </w:rPr>
      </w:pPr>
      <w:r w:rsidRPr="00815F2E">
        <w:rPr>
          <w:rFonts w:asciiTheme="majorBidi" w:hAnsiTheme="majorBidi" w:cstheme="majorBidi"/>
        </w:rPr>
        <w:lastRenderedPageBreak/>
        <w:t xml:space="preserve">The </w:t>
      </w:r>
      <w:r w:rsidRPr="00815F2E">
        <w:t>Conference</w:t>
      </w:r>
      <w:r w:rsidRPr="00815F2E">
        <w:rPr>
          <w:rFonts w:asciiTheme="majorBidi" w:hAnsiTheme="majorBidi" w:cstheme="majorBidi"/>
        </w:rPr>
        <w:t xml:space="preserve"> of the Parties will consider at its third meeting whether the group should hold a face-to-face meeting.</w:t>
      </w:r>
    </w:p>
    <w:p w14:paraId="0091D563" w14:textId="77777777" w:rsidR="00F100F2" w:rsidRPr="00815F2E" w:rsidRDefault="00F100F2" w:rsidP="00F100F2">
      <w:pPr>
        <w:pStyle w:val="CH1"/>
      </w:pPr>
      <w:r w:rsidRPr="00815F2E">
        <w:tab/>
      </w:r>
      <w:bookmarkStart w:id="10" w:name="_Toc7079430"/>
      <w:r w:rsidRPr="00815F2E">
        <w:t>VIII.</w:t>
      </w:r>
      <w:r w:rsidRPr="00815F2E">
        <w:tab/>
        <w:t>Language</w:t>
      </w:r>
      <w:bookmarkEnd w:id="10"/>
    </w:p>
    <w:p w14:paraId="75B3D874" w14:textId="77777777" w:rsidR="00F100F2" w:rsidRPr="00815F2E" w:rsidRDefault="00F100F2" w:rsidP="00F100F2">
      <w:pPr>
        <w:pStyle w:val="Normal-pool"/>
        <w:numPr>
          <w:ilvl w:val="0"/>
          <w:numId w:val="13"/>
        </w:numPr>
        <w:tabs>
          <w:tab w:val="clear" w:pos="1247"/>
          <w:tab w:val="clear" w:pos="1814"/>
          <w:tab w:val="clear" w:pos="2381"/>
          <w:tab w:val="clear" w:pos="2948"/>
          <w:tab w:val="clear" w:pos="3515"/>
          <w:tab w:val="clear" w:pos="4082"/>
          <w:tab w:val="left" w:pos="624"/>
        </w:tabs>
        <w:spacing w:after="120"/>
        <w:ind w:left="1247" w:firstLine="0"/>
        <w:rPr>
          <w:rFonts w:asciiTheme="majorBidi" w:hAnsiTheme="majorBidi" w:cstheme="majorBidi"/>
        </w:rPr>
      </w:pPr>
      <w:r w:rsidRPr="00815F2E">
        <w:rPr>
          <w:rFonts w:asciiTheme="majorBidi" w:hAnsiTheme="majorBidi" w:cstheme="majorBidi"/>
        </w:rPr>
        <w:t xml:space="preserve">The </w:t>
      </w:r>
      <w:r w:rsidRPr="00815F2E">
        <w:t>working</w:t>
      </w:r>
      <w:r w:rsidRPr="00815F2E">
        <w:rPr>
          <w:rFonts w:asciiTheme="majorBidi" w:hAnsiTheme="majorBidi" w:cstheme="majorBidi"/>
        </w:rPr>
        <w:t xml:space="preserve"> language of the group of experts will be English. Draft guidance submitted for consideration to the Conference of the Parties and guidance adopted by the Conference of the Parties will be translated into Arabic, Chinese, French, Russian and Spanish.</w:t>
      </w:r>
    </w:p>
    <w:p w14:paraId="0F83E1C4" w14:textId="77777777" w:rsidR="00F100F2" w:rsidRPr="00815F2E" w:rsidRDefault="00F100F2" w:rsidP="00F100F2">
      <w:pPr>
        <w:pStyle w:val="CH2"/>
      </w:pPr>
      <w:r w:rsidRPr="00815F2E">
        <w:tab/>
      </w:r>
      <w:r w:rsidRPr="00815F2E">
        <w:tab/>
        <w:t>Annex II to decision MC-2/3</w:t>
      </w:r>
    </w:p>
    <w:p w14:paraId="5178D260" w14:textId="77777777" w:rsidR="00F100F2" w:rsidRPr="00815F2E" w:rsidRDefault="00F100F2" w:rsidP="00F100F2">
      <w:pPr>
        <w:pStyle w:val="CH2"/>
      </w:pPr>
      <w:r w:rsidRPr="00815F2E">
        <w:tab/>
      </w:r>
      <w:r w:rsidRPr="00815F2E">
        <w:tab/>
        <w:t>Timeline for activities of the group of technical experts on releases until the third meeting of the Conference of the Parties</w:t>
      </w:r>
    </w:p>
    <w:tbl>
      <w:tblPr>
        <w:tblW w:w="8307" w:type="dxa"/>
        <w:jc w:val="right"/>
        <w:tblLook w:val="04A0" w:firstRow="1" w:lastRow="0" w:firstColumn="1" w:lastColumn="0" w:noHBand="0" w:noVBand="1"/>
      </w:tblPr>
      <w:tblGrid>
        <w:gridCol w:w="5874"/>
        <w:gridCol w:w="2433"/>
      </w:tblGrid>
      <w:tr w:rsidR="00F100F2" w:rsidRPr="00815F2E" w14:paraId="1AEE814D" w14:textId="77777777" w:rsidTr="00503B52">
        <w:trPr>
          <w:trHeight w:val="57"/>
          <w:jc w:val="right"/>
        </w:trPr>
        <w:tc>
          <w:tcPr>
            <w:tcW w:w="5874" w:type="dxa"/>
            <w:tcBorders>
              <w:top w:val="single" w:sz="4" w:space="0" w:color="auto"/>
              <w:bottom w:val="single" w:sz="12" w:space="0" w:color="auto"/>
            </w:tcBorders>
            <w:shd w:val="clear" w:color="auto" w:fill="auto"/>
          </w:tcPr>
          <w:p w14:paraId="232B933B" w14:textId="77777777" w:rsidR="00F100F2" w:rsidRPr="00815F2E" w:rsidRDefault="00F100F2" w:rsidP="00503B52">
            <w:pPr>
              <w:pStyle w:val="Normal-pool"/>
              <w:spacing w:before="40" w:after="40"/>
              <w:rPr>
                <w:i/>
                <w:sz w:val="18"/>
                <w:szCs w:val="18"/>
                <w:lang w:eastAsia="ja-JP"/>
              </w:rPr>
            </w:pPr>
            <w:r w:rsidRPr="00815F2E">
              <w:rPr>
                <w:i/>
                <w:sz w:val="18"/>
                <w:szCs w:val="18"/>
                <w:lang w:eastAsia="ja-JP"/>
              </w:rPr>
              <w:t>Activity</w:t>
            </w:r>
          </w:p>
        </w:tc>
        <w:tc>
          <w:tcPr>
            <w:tcW w:w="2433" w:type="dxa"/>
            <w:tcBorders>
              <w:top w:val="single" w:sz="4" w:space="0" w:color="auto"/>
              <w:bottom w:val="single" w:sz="12" w:space="0" w:color="auto"/>
            </w:tcBorders>
            <w:shd w:val="clear" w:color="auto" w:fill="auto"/>
          </w:tcPr>
          <w:p w14:paraId="59BBF68E" w14:textId="77777777" w:rsidR="00F100F2" w:rsidRPr="00815F2E" w:rsidRDefault="00F100F2" w:rsidP="00503B52">
            <w:pPr>
              <w:pStyle w:val="Normal-pool"/>
              <w:spacing w:before="40" w:after="40"/>
              <w:rPr>
                <w:i/>
                <w:sz w:val="18"/>
                <w:szCs w:val="18"/>
                <w:lang w:eastAsia="ja-JP"/>
              </w:rPr>
            </w:pPr>
            <w:r w:rsidRPr="00815F2E">
              <w:rPr>
                <w:i/>
                <w:sz w:val="18"/>
                <w:szCs w:val="18"/>
                <w:lang w:eastAsia="ja-JP"/>
              </w:rPr>
              <w:t>Timing</w:t>
            </w:r>
          </w:p>
        </w:tc>
      </w:tr>
      <w:tr w:rsidR="00F100F2" w:rsidRPr="00815F2E" w14:paraId="25ADB5CD" w14:textId="77777777" w:rsidTr="00503B52">
        <w:trPr>
          <w:trHeight w:val="57"/>
          <w:jc w:val="right"/>
        </w:trPr>
        <w:tc>
          <w:tcPr>
            <w:tcW w:w="5874" w:type="dxa"/>
            <w:tcBorders>
              <w:top w:val="single" w:sz="12" w:space="0" w:color="auto"/>
            </w:tcBorders>
            <w:shd w:val="clear" w:color="auto" w:fill="auto"/>
          </w:tcPr>
          <w:p w14:paraId="4AE32709" w14:textId="77777777" w:rsidR="00F100F2" w:rsidRPr="00815F2E" w:rsidRDefault="00F100F2" w:rsidP="00503B52">
            <w:pPr>
              <w:pStyle w:val="Normal-pool"/>
              <w:spacing w:before="40" w:after="40"/>
              <w:rPr>
                <w:sz w:val="18"/>
                <w:szCs w:val="18"/>
                <w:lang w:eastAsia="ja-JP"/>
              </w:rPr>
            </w:pPr>
            <w:r w:rsidRPr="00815F2E">
              <w:rPr>
                <w:sz w:val="18"/>
                <w:szCs w:val="18"/>
                <w:lang w:eastAsia="ja-JP"/>
              </w:rPr>
              <w:t>The secretariat circulates a call to parties, signatories and other stakeholders to identify possible point source categories of releases to be included in the list referred to in paragraph 1 of the decision.</w:t>
            </w:r>
          </w:p>
        </w:tc>
        <w:tc>
          <w:tcPr>
            <w:tcW w:w="2433" w:type="dxa"/>
            <w:tcBorders>
              <w:top w:val="single" w:sz="12" w:space="0" w:color="auto"/>
            </w:tcBorders>
            <w:shd w:val="clear" w:color="auto" w:fill="auto"/>
          </w:tcPr>
          <w:p w14:paraId="075D69BA" w14:textId="77777777" w:rsidR="00F100F2" w:rsidRPr="00815F2E" w:rsidRDefault="00F100F2" w:rsidP="00503B52">
            <w:pPr>
              <w:pStyle w:val="Normal-pool"/>
              <w:spacing w:before="40" w:after="40"/>
              <w:rPr>
                <w:sz w:val="18"/>
                <w:szCs w:val="18"/>
                <w:lang w:eastAsia="ja-JP"/>
              </w:rPr>
            </w:pPr>
            <w:r w:rsidRPr="00815F2E">
              <w:rPr>
                <w:sz w:val="18"/>
                <w:szCs w:val="18"/>
                <w:lang w:eastAsia="ja-JP"/>
              </w:rPr>
              <w:t>December 2018</w:t>
            </w:r>
          </w:p>
        </w:tc>
      </w:tr>
      <w:tr w:rsidR="00F100F2" w:rsidRPr="00815F2E" w14:paraId="294DCDC1" w14:textId="77777777" w:rsidTr="00503B52">
        <w:trPr>
          <w:trHeight w:val="57"/>
          <w:jc w:val="right"/>
        </w:trPr>
        <w:tc>
          <w:tcPr>
            <w:tcW w:w="5874" w:type="dxa"/>
            <w:shd w:val="clear" w:color="auto" w:fill="auto"/>
          </w:tcPr>
          <w:p w14:paraId="142439EA" w14:textId="77777777" w:rsidR="00F100F2" w:rsidRPr="00815F2E" w:rsidRDefault="00F100F2" w:rsidP="00503B52">
            <w:pPr>
              <w:pStyle w:val="Normal-pool"/>
              <w:spacing w:before="40" w:after="40"/>
              <w:rPr>
                <w:sz w:val="18"/>
                <w:szCs w:val="18"/>
                <w:lang w:eastAsia="ja-JP"/>
              </w:rPr>
            </w:pPr>
            <w:r w:rsidRPr="00815F2E">
              <w:rPr>
                <w:sz w:val="18"/>
                <w:szCs w:val="18"/>
                <w:lang w:eastAsia="ja-JP"/>
              </w:rPr>
              <w:t xml:space="preserve">Establishment of the group of experts </w:t>
            </w:r>
          </w:p>
        </w:tc>
        <w:tc>
          <w:tcPr>
            <w:tcW w:w="2433" w:type="dxa"/>
            <w:shd w:val="clear" w:color="auto" w:fill="auto"/>
          </w:tcPr>
          <w:p w14:paraId="4CCE8193" w14:textId="77777777" w:rsidR="00F100F2" w:rsidRPr="00815F2E" w:rsidRDefault="00F100F2" w:rsidP="00503B52">
            <w:pPr>
              <w:pStyle w:val="Normal-pool"/>
              <w:spacing w:before="40" w:after="40"/>
              <w:rPr>
                <w:sz w:val="18"/>
                <w:szCs w:val="18"/>
                <w:lang w:eastAsia="ja-JP"/>
              </w:rPr>
            </w:pPr>
            <w:r w:rsidRPr="00815F2E">
              <w:rPr>
                <w:sz w:val="18"/>
                <w:szCs w:val="18"/>
                <w:lang w:eastAsia="ja-JP"/>
              </w:rPr>
              <w:t xml:space="preserve">January 2019 </w:t>
            </w:r>
          </w:p>
        </w:tc>
      </w:tr>
      <w:tr w:rsidR="00F100F2" w:rsidRPr="00815F2E" w14:paraId="41213CC9" w14:textId="77777777" w:rsidTr="00503B52">
        <w:trPr>
          <w:trHeight w:val="57"/>
          <w:jc w:val="right"/>
        </w:trPr>
        <w:tc>
          <w:tcPr>
            <w:tcW w:w="5874" w:type="dxa"/>
            <w:shd w:val="clear" w:color="auto" w:fill="auto"/>
          </w:tcPr>
          <w:p w14:paraId="28DB276D" w14:textId="77777777" w:rsidR="00F100F2" w:rsidRPr="00815F2E" w:rsidRDefault="00F100F2" w:rsidP="00503B52">
            <w:pPr>
              <w:pStyle w:val="Normal-pool"/>
              <w:spacing w:before="40" w:after="40"/>
              <w:rPr>
                <w:sz w:val="18"/>
                <w:szCs w:val="18"/>
                <w:lang w:eastAsia="ja-JP"/>
              </w:rPr>
            </w:pPr>
            <w:r w:rsidRPr="00815F2E">
              <w:rPr>
                <w:sz w:val="18"/>
                <w:szCs w:val="18"/>
                <w:lang w:eastAsia="ja-JP"/>
              </w:rPr>
              <w:t>The secretariat shares the list of point source categories and results of the call with the group of experts.</w:t>
            </w:r>
          </w:p>
        </w:tc>
        <w:tc>
          <w:tcPr>
            <w:tcW w:w="2433" w:type="dxa"/>
            <w:shd w:val="clear" w:color="auto" w:fill="auto"/>
          </w:tcPr>
          <w:p w14:paraId="7A8450EB" w14:textId="77777777" w:rsidR="00F100F2" w:rsidRPr="00815F2E" w:rsidRDefault="00F100F2" w:rsidP="00503B52">
            <w:pPr>
              <w:pStyle w:val="Normal-pool"/>
              <w:spacing w:before="40" w:after="40"/>
              <w:rPr>
                <w:sz w:val="18"/>
                <w:szCs w:val="18"/>
                <w:lang w:eastAsia="ja-JP"/>
              </w:rPr>
            </w:pPr>
            <w:r w:rsidRPr="00815F2E">
              <w:rPr>
                <w:sz w:val="18"/>
                <w:szCs w:val="18"/>
                <w:lang w:eastAsia="ja-JP"/>
              </w:rPr>
              <w:t>March 2019</w:t>
            </w:r>
          </w:p>
        </w:tc>
      </w:tr>
      <w:tr w:rsidR="00F100F2" w:rsidRPr="00815F2E" w14:paraId="1140C62B" w14:textId="77777777" w:rsidTr="00503B52">
        <w:trPr>
          <w:trHeight w:val="57"/>
          <w:jc w:val="right"/>
        </w:trPr>
        <w:tc>
          <w:tcPr>
            <w:tcW w:w="5874" w:type="dxa"/>
            <w:shd w:val="clear" w:color="auto" w:fill="auto"/>
          </w:tcPr>
          <w:p w14:paraId="3325B6C6" w14:textId="77777777" w:rsidR="00F100F2" w:rsidRPr="00815F2E" w:rsidRDefault="00F100F2" w:rsidP="00503B52">
            <w:pPr>
              <w:pStyle w:val="Normal-pool"/>
              <w:spacing w:before="40" w:after="40"/>
              <w:rPr>
                <w:sz w:val="18"/>
                <w:szCs w:val="18"/>
                <w:lang w:eastAsia="ja-JP"/>
              </w:rPr>
            </w:pPr>
            <w:r w:rsidRPr="00815F2E">
              <w:rPr>
                <w:sz w:val="18"/>
                <w:szCs w:val="18"/>
                <w:lang w:eastAsia="ja-JP"/>
              </w:rPr>
              <w:t>The group holds its first meeting, by electronic means, to prepare a first draft of a list of any significant anthropogenic point source of release categories not addressed in provisions of the Convention other than article 9, along with a suggested road map and structure for the development of draft guidance on methodologies for preparing its inventories.</w:t>
            </w:r>
          </w:p>
        </w:tc>
        <w:tc>
          <w:tcPr>
            <w:tcW w:w="2433" w:type="dxa"/>
            <w:shd w:val="clear" w:color="auto" w:fill="auto"/>
          </w:tcPr>
          <w:p w14:paraId="48E195E8" w14:textId="77777777" w:rsidR="00F100F2" w:rsidRPr="00815F2E" w:rsidRDefault="00F100F2" w:rsidP="00503B52">
            <w:pPr>
              <w:pStyle w:val="Normal-pool"/>
              <w:spacing w:before="40" w:after="40"/>
              <w:rPr>
                <w:sz w:val="18"/>
                <w:szCs w:val="18"/>
                <w:lang w:eastAsia="ja-JP"/>
              </w:rPr>
            </w:pPr>
            <w:r w:rsidRPr="00815F2E">
              <w:rPr>
                <w:sz w:val="18"/>
                <w:szCs w:val="18"/>
                <w:lang w:eastAsia="ja-JP"/>
              </w:rPr>
              <w:t>April 2019</w:t>
            </w:r>
          </w:p>
        </w:tc>
      </w:tr>
      <w:tr w:rsidR="00F100F2" w:rsidRPr="00815F2E" w14:paraId="7253A256" w14:textId="77777777" w:rsidTr="00503B52">
        <w:trPr>
          <w:trHeight w:val="57"/>
          <w:jc w:val="right"/>
        </w:trPr>
        <w:tc>
          <w:tcPr>
            <w:tcW w:w="5874" w:type="dxa"/>
            <w:shd w:val="clear" w:color="auto" w:fill="auto"/>
          </w:tcPr>
          <w:p w14:paraId="7CFF0DC6" w14:textId="77777777" w:rsidR="00F100F2" w:rsidRPr="00815F2E" w:rsidRDefault="00F100F2" w:rsidP="00503B52">
            <w:pPr>
              <w:pStyle w:val="Normal-pool"/>
              <w:spacing w:before="40" w:after="40"/>
              <w:rPr>
                <w:sz w:val="18"/>
                <w:szCs w:val="18"/>
                <w:lang w:eastAsia="ja-JP"/>
              </w:rPr>
            </w:pPr>
            <w:r w:rsidRPr="00815F2E">
              <w:rPr>
                <w:sz w:val="18"/>
                <w:szCs w:val="18"/>
                <w:lang w:eastAsia="ja-JP"/>
              </w:rPr>
              <w:t>The secretariat invites all parties, signatories and other stakeholders to submit comments.</w:t>
            </w:r>
          </w:p>
        </w:tc>
        <w:tc>
          <w:tcPr>
            <w:tcW w:w="2433" w:type="dxa"/>
            <w:shd w:val="clear" w:color="auto" w:fill="auto"/>
          </w:tcPr>
          <w:p w14:paraId="5FC060EF" w14:textId="77777777" w:rsidR="00F100F2" w:rsidRPr="00815F2E" w:rsidRDefault="00F100F2" w:rsidP="00503B52">
            <w:pPr>
              <w:pStyle w:val="Normal-pool"/>
              <w:spacing w:before="40" w:after="40"/>
              <w:rPr>
                <w:sz w:val="18"/>
                <w:szCs w:val="18"/>
                <w:lang w:eastAsia="ja-JP"/>
              </w:rPr>
            </w:pPr>
            <w:r w:rsidRPr="00815F2E">
              <w:rPr>
                <w:sz w:val="18"/>
                <w:szCs w:val="18"/>
                <w:lang w:eastAsia="ja-JP"/>
              </w:rPr>
              <w:t>May 2019</w:t>
            </w:r>
          </w:p>
        </w:tc>
      </w:tr>
      <w:tr w:rsidR="00F100F2" w:rsidRPr="00815F2E" w14:paraId="2A7A80BD" w14:textId="77777777" w:rsidTr="00503B52">
        <w:trPr>
          <w:trHeight w:val="57"/>
          <w:jc w:val="right"/>
        </w:trPr>
        <w:tc>
          <w:tcPr>
            <w:tcW w:w="5874" w:type="dxa"/>
            <w:shd w:val="clear" w:color="auto" w:fill="auto"/>
          </w:tcPr>
          <w:p w14:paraId="0D87C491" w14:textId="77777777" w:rsidR="00F100F2" w:rsidRPr="00815F2E" w:rsidRDefault="00F100F2" w:rsidP="00503B52">
            <w:pPr>
              <w:pStyle w:val="Normal-pool"/>
              <w:spacing w:before="40" w:after="40"/>
              <w:rPr>
                <w:sz w:val="18"/>
                <w:szCs w:val="18"/>
                <w:lang w:eastAsia="ja-JP"/>
              </w:rPr>
            </w:pPr>
            <w:r w:rsidRPr="00815F2E">
              <w:rPr>
                <w:sz w:val="18"/>
                <w:szCs w:val="18"/>
                <w:lang w:eastAsia="ja-JP"/>
              </w:rPr>
              <w:t xml:space="preserve">The secretariat compiles and develops the draft report. </w:t>
            </w:r>
          </w:p>
        </w:tc>
        <w:tc>
          <w:tcPr>
            <w:tcW w:w="2433" w:type="dxa"/>
            <w:shd w:val="clear" w:color="auto" w:fill="auto"/>
          </w:tcPr>
          <w:p w14:paraId="2C8CA3F4" w14:textId="77777777" w:rsidR="00F100F2" w:rsidRPr="00815F2E" w:rsidRDefault="00F100F2" w:rsidP="00503B52">
            <w:pPr>
              <w:pStyle w:val="Normal-pool"/>
              <w:spacing w:before="40" w:after="40"/>
              <w:rPr>
                <w:sz w:val="18"/>
                <w:szCs w:val="18"/>
                <w:lang w:eastAsia="ja-JP"/>
              </w:rPr>
            </w:pPr>
            <w:r w:rsidRPr="00815F2E">
              <w:rPr>
                <w:sz w:val="18"/>
                <w:szCs w:val="18"/>
                <w:lang w:eastAsia="ja-JP"/>
              </w:rPr>
              <w:t>July 2019</w:t>
            </w:r>
          </w:p>
        </w:tc>
      </w:tr>
      <w:tr w:rsidR="00F100F2" w:rsidRPr="00815F2E" w14:paraId="33D69265" w14:textId="77777777" w:rsidTr="00503B52">
        <w:trPr>
          <w:trHeight w:val="57"/>
          <w:jc w:val="right"/>
        </w:trPr>
        <w:tc>
          <w:tcPr>
            <w:tcW w:w="5874" w:type="dxa"/>
            <w:shd w:val="clear" w:color="auto" w:fill="auto"/>
          </w:tcPr>
          <w:p w14:paraId="38A995DF" w14:textId="77777777" w:rsidR="00F100F2" w:rsidRPr="00815F2E" w:rsidRDefault="00F100F2" w:rsidP="00503B52">
            <w:pPr>
              <w:pStyle w:val="Normal-pool"/>
              <w:spacing w:before="40" w:after="40"/>
              <w:rPr>
                <w:sz w:val="18"/>
                <w:szCs w:val="18"/>
                <w:lang w:eastAsia="ja-JP"/>
              </w:rPr>
            </w:pPr>
            <w:r w:rsidRPr="00815F2E">
              <w:rPr>
                <w:sz w:val="18"/>
                <w:szCs w:val="18"/>
                <w:lang w:eastAsia="ja-JP"/>
              </w:rPr>
              <w:t>The group revises and approves the report.</w:t>
            </w:r>
          </w:p>
        </w:tc>
        <w:tc>
          <w:tcPr>
            <w:tcW w:w="2433" w:type="dxa"/>
            <w:shd w:val="clear" w:color="auto" w:fill="auto"/>
          </w:tcPr>
          <w:p w14:paraId="5CE7633A" w14:textId="77777777" w:rsidR="00F100F2" w:rsidRPr="00815F2E" w:rsidRDefault="00F100F2" w:rsidP="00503B52">
            <w:pPr>
              <w:pStyle w:val="Normal-pool"/>
              <w:spacing w:before="40" w:after="40"/>
              <w:rPr>
                <w:sz w:val="18"/>
                <w:szCs w:val="18"/>
                <w:lang w:eastAsia="ja-JP"/>
              </w:rPr>
            </w:pPr>
            <w:r w:rsidRPr="00815F2E">
              <w:rPr>
                <w:sz w:val="18"/>
                <w:szCs w:val="18"/>
                <w:lang w:eastAsia="ja-JP"/>
              </w:rPr>
              <w:t>August 2019</w:t>
            </w:r>
          </w:p>
        </w:tc>
      </w:tr>
      <w:tr w:rsidR="00F100F2" w:rsidRPr="00815F2E" w14:paraId="437BB9C2" w14:textId="77777777" w:rsidTr="00503B52">
        <w:trPr>
          <w:trHeight w:val="57"/>
          <w:jc w:val="right"/>
        </w:trPr>
        <w:tc>
          <w:tcPr>
            <w:tcW w:w="5874" w:type="dxa"/>
            <w:tcBorders>
              <w:bottom w:val="single" w:sz="12" w:space="0" w:color="auto"/>
            </w:tcBorders>
            <w:shd w:val="clear" w:color="auto" w:fill="auto"/>
          </w:tcPr>
          <w:p w14:paraId="49BAFCDD" w14:textId="77777777" w:rsidR="00F100F2" w:rsidRPr="00815F2E" w:rsidRDefault="00F100F2" w:rsidP="00503B52">
            <w:pPr>
              <w:pStyle w:val="Normal-pool"/>
              <w:spacing w:before="40" w:after="40"/>
              <w:rPr>
                <w:sz w:val="18"/>
                <w:szCs w:val="18"/>
                <w:lang w:eastAsia="ja-JP"/>
              </w:rPr>
            </w:pPr>
            <w:r w:rsidRPr="00815F2E">
              <w:rPr>
                <w:sz w:val="18"/>
                <w:szCs w:val="18"/>
                <w:lang w:eastAsia="ja-JP"/>
              </w:rPr>
              <w:t>The group’s report, including a list of any significant anthropogenic point source of release categories not addressed in provisions of the Convention other than article 9, and a suggested road map and structure leading to the development of draft guidance on methodologies for preparing its inventories are submitted for consideration by the Conference of the Parties at its third meeting.</w:t>
            </w:r>
          </w:p>
        </w:tc>
        <w:tc>
          <w:tcPr>
            <w:tcW w:w="2433" w:type="dxa"/>
            <w:tcBorders>
              <w:bottom w:val="single" w:sz="12" w:space="0" w:color="auto"/>
            </w:tcBorders>
            <w:shd w:val="clear" w:color="auto" w:fill="auto"/>
          </w:tcPr>
          <w:p w14:paraId="258391C3" w14:textId="77777777" w:rsidR="00F100F2" w:rsidRPr="00815F2E" w:rsidRDefault="00F100F2" w:rsidP="00503B52">
            <w:pPr>
              <w:pStyle w:val="Normal-pool"/>
              <w:spacing w:before="40" w:after="40"/>
              <w:rPr>
                <w:sz w:val="18"/>
                <w:szCs w:val="18"/>
                <w:lang w:eastAsia="ja-JP"/>
              </w:rPr>
            </w:pPr>
            <w:r w:rsidRPr="00815F2E">
              <w:rPr>
                <w:sz w:val="18"/>
                <w:szCs w:val="18"/>
                <w:lang w:eastAsia="ja-JP"/>
              </w:rPr>
              <w:t>September 2019</w:t>
            </w:r>
          </w:p>
        </w:tc>
      </w:tr>
    </w:tbl>
    <w:p w14:paraId="74A2DEE9" w14:textId="7C923219" w:rsidR="003F4DA7" w:rsidRPr="00711DBB" w:rsidRDefault="003F4DA7" w:rsidP="00F100F2">
      <w:pPr>
        <w:pStyle w:val="CH1"/>
        <w:rPr>
          <w:sz w:val="24"/>
        </w:rPr>
      </w:pPr>
    </w:p>
    <w:sectPr w:rsidR="003F4DA7" w:rsidRPr="00711DBB" w:rsidSect="007D789B">
      <w:headerReference w:type="even" r:id="rId13"/>
      <w:headerReference w:type="default" r:id="rId14"/>
      <w:headerReference w:type="first" r:id="rId15"/>
      <w:footerReference w:type="first" r:id="rId16"/>
      <w:pgSz w:w="11900" w:h="16840" w:code="9"/>
      <w:pgMar w:top="907" w:right="992" w:bottom="1418" w:left="1418" w:header="539"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22938" w14:textId="77777777" w:rsidR="00436962" w:rsidRDefault="00436962">
      <w:r>
        <w:separator/>
      </w:r>
    </w:p>
  </w:endnote>
  <w:endnote w:type="continuationSeparator" w:id="0">
    <w:p w14:paraId="388E661C" w14:textId="77777777" w:rsidR="00436962" w:rsidRDefault="00436962">
      <w:r>
        <w:continuationSeparator/>
      </w:r>
    </w:p>
  </w:endnote>
  <w:endnote w:type="continuationNotice" w:id="1">
    <w:p w14:paraId="1C8726BA" w14:textId="77777777" w:rsidR="00436962" w:rsidRDefault="004369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EEB3" w14:textId="363F725D" w:rsidR="005629FD" w:rsidRPr="003F4DA7" w:rsidRDefault="005629FD" w:rsidP="003F4DA7">
    <w:pPr>
      <w:pStyle w:val="Foote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E0272" w14:textId="77777777" w:rsidR="00436962" w:rsidRPr="008D1ED6" w:rsidRDefault="00436962" w:rsidP="009A29A2">
      <w:pPr>
        <w:tabs>
          <w:tab w:val="clear" w:pos="1247"/>
          <w:tab w:val="clear" w:pos="1814"/>
          <w:tab w:val="clear" w:pos="2381"/>
          <w:tab w:val="clear" w:pos="2948"/>
          <w:tab w:val="clear" w:pos="3515"/>
          <w:tab w:val="left" w:pos="624"/>
        </w:tabs>
        <w:spacing w:before="60"/>
        <w:ind w:left="624"/>
        <w:rPr>
          <w:sz w:val="18"/>
          <w:szCs w:val="18"/>
        </w:rPr>
      </w:pPr>
      <w:r w:rsidRPr="008D1ED6">
        <w:rPr>
          <w:sz w:val="18"/>
          <w:szCs w:val="18"/>
        </w:rPr>
        <w:separator/>
      </w:r>
    </w:p>
  </w:footnote>
  <w:footnote w:type="continuationSeparator" w:id="0">
    <w:p w14:paraId="583FAFC6" w14:textId="77777777" w:rsidR="00436962" w:rsidRDefault="00436962">
      <w:r>
        <w:continuationSeparator/>
      </w:r>
    </w:p>
  </w:footnote>
  <w:footnote w:type="continuationNotice" w:id="1">
    <w:p w14:paraId="2ADE3499" w14:textId="77777777" w:rsidR="00436962" w:rsidRDefault="004369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8387" w14:textId="4D1C0557" w:rsidR="005629FD" w:rsidRPr="00417FE2" w:rsidRDefault="005629FD">
    <w:pPr>
      <w:pStyle w:val="Header"/>
      <w:rPr>
        <w:szCs w:val="18"/>
      </w:rPr>
    </w:pPr>
    <w:r w:rsidRPr="009C52E8">
      <w:rPr>
        <w:bCs/>
        <w:szCs w:val="18"/>
      </w:rPr>
      <w:t>UNEP</w:t>
    </w:r>
    <w:r w:rsidRPr="009C52E8">
      <w:rPr>
        <w:szCs w:val="18"/>
      </w:rPr>
      <w:t>/MC/COP.</w:t>
    </w:r>
    <w:r w:rsidR="005033B1">
      <w:rPr>
        <w:szCs w:val="18"/>
      </w:rPr>
      <w:t>2</w:t>
    </w:r>
    <w:r w:rsidRPr="009C52E8">
      <w:rPr>
        <w:szCs w:val="18"/>
      </w:rPr>
      <w:t>/</w:t>
    </w:r>
    <w:r w:rsidR="006B4F0C">
      <w:rPr>
        <w:szCs w:val="18"/>
      </w:rPr>
      <w:t>Dec.</w:t>
    </w:r>
    <w:r w:rsidR="00F100F2">
      <w:rPr>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5B4E" w14:textId="4061312A" w:rsidR="005629FD" w:rsidRPr="00417FE2" w:rsidRDefault="005629FD" w:rsidP="00417FE2">
    <w:pPr>
      <w:pStyle w:val="Header"/>
      <w:jc w:val="right"/>
      <w:rPr>
        <w:szCs w:val="18"/>
      </w:rPr>
    </w:pPr>
    <w:r w:rsidRPr="009C52E8">
      <w:rPr>
        <w:bCs/>
        <w:szCs w:val="18"/>
      </w:rPr>
      <w:t>UNEP</w:t>
    </w:r>
    <w:r w:rsidRPr="009C52E8">
      <w:rPr>
        <w:szCs w:val="18"/>
      </w:rPr>
      <w:t>/MC/COP.</w:t>
    </w:r>
    <w:r w:rsidR="005033B1">
      <w:rPr>
        <w:szCs w:val="18"/>
      </w:rPr>
      <w:t>2</w:t>
    </w:r>
    <w:r w:rsidRPr="009C52E8">
      <w:rPr>
        <w:szCs w:val="18"/>
      </w:rPr>
      <w:t>/</w:t>
    </w:r>
    <w:r w:rsidR="009F2A42">
      <w:rPr>
        <w:szCs w:val="18"/>
      </w:rPr>
      <w:t>Dec.</w:t>
    </w:r>
    <w:r w:rsidR="00F100F2">
      <w:rPr>
        <w:szCs w:val="18"/>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9D83" w14:textId="4AEB5220" w:rsidR="005629FD" w:rsidRPr="003F4DA7" w:rsidRDefault="005629FD" w:rsidP="00417FE2">
    <w:pPr>
      <w:pStyle w:val="Header"/>
      <w:jc w:val="right"/>
      <w:rPr>
        <w:szCs w:val="18"/>
      </w:rPr>
    </w:pPr>
    <w:r w:rsidRPr="009C52E8">
      <w:rPr>
        <w:bCs/>
        <w:szCs w:val="18"/>
      </w:rPr>
      <w:t>UNEP</w:t>
    </w:r>
    <w:r w:rsidRPr="009C52E8">
      <w:rPr>
        <w:szCs w:val="18"/>
      </w:rPr>
      <w:t>/MC/COP.</w:t>
    </w:r>
    <w:r w:rsidR="005033B1">
      <w:rPr>
        <w:szCs w:val="18"/>
      </w:rPr>
      <w:t>2</w:t>
    </w:r>
    <w:r w:rsidRPr="009C52E8">
      <w:rPr>
        <w:szCs w:val="18"/>
      </w:rPr>
      <w:t>/</w:t>
    </w:r>
    <w:r w:rsidR="009F2A42">
      <w:rPr>
        <w:szCs w:val="18"/>
      </w:rPr>
      <w:t>Dec.</w:t>
    </w:r>
    <w:r w:rsidR="00F100F2">
      <w:rPr>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D1585F"/>
    <w:multiLevelType w:val="hybridMultilevel"/>
    <w:tmpl w:val="E35276A8"/>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232457AC"/>
    <w:multiLevelType w:val="hybridMultilevel"/>
    <w:tmpl w:val="2E90A81C"/>
    <w:lvl w:ilvl="0" w:tplc="780836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884FA4"/>
    <w:multiLevelType w:val="hybridMultilevel"/>
    <w:tmpl w:val="00AE56BA"/>
    <w:styleLink w:val="Importovanstyl8"/>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3BF7C5D"/>
    <w:multiLevelType w:val="hybridMultilevel"/>
    <w:tmpl w:val="A2287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8"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9"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2A66A9D"/>
    <w:multiLevelType w:val="multilevel"/>
    <w:tmpl w:val="FB0485AE"/>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2" w15:restartNumberingAfterBreak="0">
    <w:nsid w:val="7FF52208"/>
    <w:multiLevelType w:val="hybridMultilevel"/>
    <w:tmpl w:val="989637C6"/>
    <w:lvl w:ilvl="0" w:tplc="F34895DE">
      <w:start w:val="1"/>
      <w:numFmt w:val="decimal"/>
      <w:lvlText w:val="%1."/>
      <w:lvlJc w:val="left"/>
      <w:pPr>
        <w:ind w:left="720" w:hanging="360"/>
      </w:pPr>
      <w:rPr>
        <w:i w:val="0"/>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
  </w:num>
  <w:num w:numId="3">
    <w:abstractNumId w:val="8"/>
  </w:num>
  <w:num w:numId="4">
    <w:abstractNumId w:val="11"/>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7"/>
  </w:num>
  <w:num w:numId="6">
    <w:abstractNumId w:val="0"/>
  </w:num>
  <w:num w:numId="7">
    <w:abstractNumId w:val="6"/>
  </w:num>
  <w:num w:numId="8">
    <w:abstractNumId w:val="9"/>
  </w:num>
  <w:num w:numId="9">
    <w:abstractNumId w:val="4"/>
  </w:num>
  <w:num w:numId="10">
    <w:abstractNumId w:val="10"/>
  </w:num>
  <w:num w:numId="11">
    <w:abstractNumId w:val="1"/>
  </w:num>
  <w:num w:numId="12">
    <w:abstractNumId w:val="12"/>
  </w:num>
  <w:num w:numId="13">
    <w:abstractNumId w:val="5"/>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1E5"/>
    <w:rsid w:val="00000E4A"/>
    <w:rsid w:val="000024A3"/>
    <w:rsid w:val="00003786"/>
    <w:rsid w:val="00004299"/>
    <w:rsid w:val="000057BB"/>
    <w:rsid w:val="000077AD"/>
    <w:rsid w:val="00011A16"/>
    <w:rsid w:val="000149E6"/>
    <w:rsid w:val="00016424"/>
    <w:rsid w:val="000171FD"/>
    <w:rsid w:val="00022680"/>
    <w:rsid w:val="0002372D"/>
    <w:rsid w:val="00023DA9"/>
    <w:rsid w:val="00024235"/>
    <w:rsid w:val="000247B0"/>
    <w:rsid w:val="000249AF"/>
    <w:rsid w:val="00026997"/>
    <w:rsid w:val="00026A08"/>
    <w:rsid w:val="00032E4E"/>
    <w:rsid w:val="000338A8"/>
    <w:rsid w:val="00033E0B"/>
    <w:rsid w:val="000347CB"/>
    <w:rsid w:val="00035EDE"/>
    <w:rsid w:val="00041EB8"/>
    <w:rsid w:val="00042EFC"/>
    <w:rsid w:val="00045C5B"/>
    <w:rsid w:val="00046230"/>
    <w:rsid w:val="00046DB6"/>
    <w:rsid w:val="000475E2"/>
    <w:rsid w:val="000509B4"/>
    <w:rsid w:val="00053CC2"/>
    <w:rsid w:val="00053E20"/>
    <w:rsid w:val="00053FF1"/>
    <w:rsid w:val="000543A8"/>
    <w:rsid w:val="00054828"/>
    <w:rsid w:val="000548F9"/>
    <w:rsid w:val="00054C83"/>
    <w:rsid w:val="00055DC5"/>
    <w:rsid w:val="0005743F"/>
    <w:rsid w:val="0006035B"/>
    <w:rsid w:val="0006096F"/>
    <w:rsid w:val="000632BF"/>
    <w:rsid w:val="000649C5"/>
    <w:rsid w:val="00067A62"/>
    <w:rsid w:val="00067DDB"/>
    <w:rsid w:val="000712DE"/>
    <w:rsid w:val="00071652"/>
    <w:rsid w:val="00071886"/>
    <w:rsid w:val="00071AFC"/>
    <w:rsid w:val="00071C12"/>
    <w:rsid w:val="00073984"/>
    <w:rsid w:val="000742BC"/>
    <w:rsid w:val="00076758"/>
    <w:rsid w:val="00076CC6"/>
    <w:rsid w:val="00077945"/>
    <w:rsid w:val="00077F12"/>
    <w:rsid w:val="00080762"/>
    <w:rsid w:val="0008244A"/>
    <w:rsid w:val="00082A0C"/>
    <w:rsid w:val="00083504"/>
    <w:rsid w:val="000860C3"/>
    <w:rsid w:val="000874FC"/>
    <w:rsid w:val="000878B8"/>
    <w:rsid w:val="00092C24"/>
    <w:rsid w:val="0009366E"/>
    <w:rsid w:val="0009509A"/>
    <w:rsid w:val="0009640C"/>
    <w:rsid w:val="00096F57"/>
    <w:rsid w:val="00097305"/>
    <w:rsid w:val="0009789E"/>
    <w:rsid w:val="000A1B30"/>
    <w:rsid w:val="000A2C42"/>
    <w:rsid w:val="000A50C8"/>
    <w:rsid w:val="000A6D5B"/>
    <w:rsid w:val="000A6D92"/>
    <w:rsid w:val="000A751B"/>
    <w:rsid w:val="000B1B03"/>
    <w:rsid w:val="000B22A2"/>
    <w:rsid w:val="000B24AD"/>
    <w:rsid w:val="000B502C"/>
    <w:rsid w:val="000B541B"/>
    <w:rsid w:val="000B5B4C"/>
    <w:rsid w:val="000B73F9"/>
    <w:rsid w:val="000C2A52"/>
    <w:rsid w:val="000C2A88"/>
    <w:rsid w:val="000C4F45"/>
    <w:rsid w:val="000C5F5C"/>
    <w:rsid w:val="000C690C"/>
    <w:rsid w:val="000D07BE"/>
    <w:rsid w:val="000D1282"/>
    <w:rsid w:val="000D2FAB"/>
    <w:rsid w:val="000D3391"/>
    <w:rsid w:val="000D33C0"/>
    <w:rsid w:val="000D49CE"/>
    <w:rsid w:val="000D4CF6"/>
    <w:rsid w:val="000D5F2E"/>
    <w:rsid w:val="000D6941"/>
    <w:rsid w:val="000D78F4"/>
    <w:rsid w:val="000E06DF"/>
    <w:rsid w:val="000E08E0"/>
    <w:rsid w:val="000E215D"/>
    <w:rsid w:val="000E2A2E"/>
    <w:rsid w:val="000E4923"/>
    <w:rsid w:val="000E74B4"/>
    <w:rsid w:val="000F2A9B"/>
    <w:rsid w:val="000F4829"/>
    <w:rsid w:val="000F6B21"/>
    <w:rsid w:val="001000BC"/>
    <w:rsid w:val="001004E7"/>
    <w:rsid w:val="001018D1"/>
    <w:rsid w:val="00102557"/>
    <w:rsid w:val="00102B48"/>
    <w:rsid w:val="00102EFB"/>
    <w:rsid w:val="00106D20"/>
    <w:rsid w:val="00112CBE"/>
    <w:rsid w:val="00113D26"/>
    <w:rsid w:val="0011707E"/>
    <w:rsid w:val="001170B8"/>
    <w:rsid w:val="001202E3"/>
    <w:rsid w:val="0012067A"/>
    <w:rsid w:val="00120E0C"/>
    <w:rsid w:val="00121E44"/>
    <w:rsid w:val="00123699"/>
    <w:rsid w:val="00123A93"/>
    <w:rsid w:val="001241FB"/>
    <w:rsid w:val="001248F8"/>
    <w:rsid w:val="00124F1B"/>
    <w:rsid w:val="0013059D"/>
    <w:rsid w:val="001328DA"/>
    <w:rsid w:val="0013548D"/>
    <w:rsid w:val="00135ADF"/>
    <w:rsid w:val="00136187"/>
    <w:rsid w:val="001413D1"/>
    <w:rsid w:val="001413F6"/>
    <w:rsid w:val="00141A55"/>
    <w:rsid w:val="0014293F"/>
    <w:rsid w:val="001431B1"/>
    <w:rsid w:val="0014370B"/>
    <w:rsid w:val="0014397D"/>
    <w:rsid w:val="00143DDD"/>
    <w:rsid w:val="001446A3"/>
    <w:rsid w:val="00146792"/>
    <w:rsid w:val="001472C1"/>
    <w:rsid w:val="00152B6B"/>
    <w:rsid w:val="00154BAE"/>
    <w:rsid w:val="00155395"/>
    <w:rsid w:val="00155A2F"/>
    <w:rsid w:val="00155EA1"/>
    <w:rsid w:val="00156B6B"/>
    <w:rsid w:val="00160397"/>
    <w:rsid w:val="00160D74"/>
    <w:rsid w:val="00163711"/>
    <w:rsid w:val="001646EA"/>
    <w:rsid w:val="00164C8D"/>
    <w:rsid w:val="00167D02"/>
    <w:rsid w:val="00170792"/>
    <w:rsid w:val="0017355C"/>
    <w:rsid w:val="00173A13"/>
    <w:rsid w:val="00174D64"/>
    <w:rsid w:val="001751B3"/>
    <w:rsid w:val="001759D8"/>
    <w:rsid w:val="00177D7F"/>
    <w:rsid w:val="00180C3F"/>
    <w:rsid w:val="00181EC8"/>
    <w:rsid w:val="00182BC7"/>
    <w:rsid w:val="00184349"/>
    <w:rsid w:val="00186790"/>
    <w:rsid w:val="00186A59"/>
    <w:rsid w:val="00187284"/>
    <w:rsid w:val="00190CE3"/>
    <w:rsid w:val="0019194B"/>
    <w:rsid w:val="00191FB2"/>
    <w:rsid w:val="001921DA"/>
    <w:rsid w:val="00193CBE"/>
    <w:rsid w:val="00193F1E"/>
    <w:rsid w:val="001955C0"/>
    <w:rsid w:val="00195AEC"/>
    <w:rsid w:val="00195F33"/>
    <w:rsid w:val="00196E6D"/>
    <w:rsid w:val="001A07BC"/>
    <w:rsid w:val="001A2FF9"/>
    <w:rsid w:val="001A3452"/>
    <w:rsid w:val="001A3953"/>
    <w:rsid w:val="001A47E5"/>
    <w:rsid w:val="001A7E53"/>
    <w:rsid w:val="001B02D6"/>
    <w:rsid w:val="001B0D65"/>
    <w:rsid w:val="001B1617"/>
    <w:rsid w:val="001B303B"/>
    <w:rsid w:val="001B504B"/>
    <w:rsid w:val="001B62F1"/>
    <w:rsid w:val="001B6F98"/>
    <w:rsid w:val="001C04F4"/>
    <w:rsid w:val="001C191A"/>
    <w:rsid w:val="001C1FC1"/>
    <w:rsid w:val="001C3AD9"/>
    <w:rsid w:val="001C7C06"/>
    <w:rsid w:val="001D1053"/>
    <w:rsid w:val="001D1473"/>
    <w:rsid w:val="001D3874"/>
    <w:rsid w:val="001D3B61"/>
    <w:rsid w:val="001D4900"/>
    <w:rsid w:val="001D516A"/>
    <w:rsid w:val="001D5DEF"/>
    <w:rsid w:val="001D65B7"/>
    <w:rsid w:val="001D7E75"/>
    <w:rsid w:val="001E0D73"/>
    <w:rsid w:val="001E239B"/>
    <w:rsid w:val="001E45BD"/>
    <w:rsid w:val="001E56D2"/>
    <w:rsid w:val="001E7D56"/>
    <w:rsid w:val="001F0056"/>
    <w:rsid w:val="001F3DF8"/>
    <w:rsid w:val="001F5186"/>
    <w:rsid w:val="001F6928"/>
    <w:rsid w:val="001F75DE"/>
    <w:rsid w:val="0020005A"/>
    <w:rsid w:val="002007CF"/>
    <w:rsid w:val="00200D58"/>
    <w:rsid w:val="002011C1"/>
    <w:rsid w:val="002013BE"/>
    <w:rsid w:val="00201EDC"/>
    <w:rsid w:val="0020364F"/>
    <w:rsid w:val="00203D4C"/>
    <w:rsid w:val="00205538"/>
    <w:rsid w:val="00205869"/>
    <w:rsid w:val="002063A4"/>
    <w:rsid w:val="0021145B"/>
    <w:rsid w:val="00211475"/>
    <w:rsid w:val="00213D57"/>
    <w:rsid w:val="002148FB"/>
    <w:rsid w:val="00214D18"/>
    <w:rsid w:val="00215CF4"/>
    <w:rsid w:val="00220C23"/>
    <w:rsid w:val="00223DB3"/>
    <w:rsid w:val="002247F6"/>
    <w:rsid w:val="00225BA1"/>
    <w:rsid w:val="00225E21"/>
    <w:rsid w:val="00225E44"/>
    <w:rsid w:val="0023014E"/>
    <w:rsid w:val="002326B2"/>
    <w:rsid w:val="002349CA"/>
    <w:rsid w:val="00234E78"/>
    <w:rsid w:val="00236D9B"/>
    <w:rsid w:val="002378F0"/>
    <w:rsid w:val="00237A9E"/>
    <w:rsid w:val="00240A60"/>
    <w:rsid w:val="00241339"/>
    <w:rsid w:val="00241BDC"/>
    <w:rsid w:val="002434DA"/>
    <w:rsid w:val="00243D36"/>
    <w:rsid w:val="002441ED"/>
    <w:rsid w:val="00245877"/>
    <w:rsid w:val="00246151"/>
    <w:rsid w:val="002464A9"/>
    <w:rsid w:val="0024719B"/>
    <w:rsid w:val="00247707"/>
    <w:rsid w:val="00252145"/>
    <w:rsid w:val="00252456"/>
    <w:rsid w:val="0025346F"/>
    <w:rsid w:val="0025789B"/>
    <w:rsid w:val="0026018E"/>
    <w:rsid w:val="00262301"/>
    <w:rsid w:val="00264E2F"/>
    <w:rsid w:val="0026572F"/>
    <w:rsid w:val="0026615A"/>
    <w:rsid w:val="00266CB7"/>
    <w:rsid w:val="00271237"/>
    <w:rsid w:val="00271861"/>
    <w:rsid w:val="00275DD0"/>
    <w:rsid w:val="00275E07"/>
    <w:rsid w:val="00281B88"/>
    <w:rsid w:val="00281CAF"/>
    <w:rsid w:val="00282D2D"/>
    <w:rsid w:val="00283CDD"/>
    <w:rsid w:val="00285B55"/>
    <w:rsid w:val="00286740"/>
    <w:rsid w:val="00286BF5"/>
    <w:rsid w:val="00287038"/>
    <w:rsid w:val="00290418"/>
    <w:rsid w:val="00291EAE"/>
    <w:rsid w:val="002929D8"/>
    <w:rsid w:val="00294ACF"/>
    <w:rsid w:val="002A237D"/>
    <w:rsid w:val="002A4C53"/>
    <w:rsid w:val="002A50B3"/>
    <w:rsid w:val="002A6C21"/>
    <w:rsid w:val="002B0323"/>
    <w:rsid w:val="002B0672"/>
    <w:rsid w:val="002B247F"/>
    <w:rsid w:val="002B50D4"/>
    <w:rsid w:val="002B58BF"/>
    <w:rsid w:val="002B6D5E"/>
    <w:rsid w:val="002C0E7A"/>
    <w:rsid w:val="002C145D"/>
    <w:rsid w:val="002C2C3E"/>
    <w:rsid w:val="002C2C8B"/>
    <w:rsid w:val="002C533E"/>
    <w:rsid w:val="002C7987"/>
    <w:rsid w:val="002D027F"/>
    <w:rsid w:val="002D04FB"/>
    <w:rsid w:val="002D275C"/>
    <w:rsid w:val="002D3E15"/>
    <w:rsid w:val="002D56AE"/>
    <w:rsid w:val="002D7867"/>
    <w:rsid w:val="002D7A85"/>
    <w:rsid w:val="002D7B60"/>
    <w:rsid w:val="002D7BCA"/>
    <w:rsid w:val="002E05D2"/>
    <w:rsid w:val="002E0944"/>
    <w:rsid w:val="002E3FD9"/>
    <w:rsid w:val="002E728C"/>
    <w:rsid w:val="002F2529"/>
    <w:rsid w:val="002F29FC"/>
    <w:rsid w:val="002F2B44"/>
    <w:rsid w:val="002F2E0D"/>
    <w:rsid w:val="002F2E7B"/>
    <w:rsid w:val="002F4297"/>
    <w:rsid w:val="002F4761"/>
    <w:rsid w:val="002F4928"/>
    <w:rsid w:val="002F5391"/>
    <w:rsid w:val="002F5C79"/>
    <w:rsid w:val="002F6236"/>
    <w:rsid w:val="002F6441"/>
    <w:rsid w:val="002F68EE"/>
    <w:rsid w:val="003019E2"/>
    <w:rsid w:val="003037C3"/>
    <w:rsid w:val="00303850"/>
    <w:rsid w:val="003051A1"/>
    <w:rsid w:val="0030535E"/>
    <w:rsid w:val="00305B9F"/>
    <w:rsid w:val="00306CEE"/>
    <w:rsid w:val="003071D7"/>
    <w:rsid w:val="00310BEB"/>
    <w:rsid w:val="003114F5"/>
    <w:rsid w:val="00311769"/>
    <w:rsid w:val="00311CAC"/>
    <w:rsid w:val="00311F6A"/>
    <w:rsid w:val="00312895"/>
    <w:rsid w:val="0031413F"/>
    <w:rsid w:val="00314854"/>
    <w:rsid w:val="003148BB"/>
    <w:rsid w:val="00317976"/>
    <w:rsid w:val="00320066"/>
    <w:rsid w:val="00320F2F"/>
    <w:rsid w:val="00321D40"/>
    <w:rsid w:val="0032457E"/>
    <w:rsid w:val="00325CBF"/>
    <w:rsid w:val="00325D38"/>
    <w:rsid w:val="00326DDB"/>
    <w:rsid w:val="0032700A"/>
    <w:rsid w:val="00335455"/>
    <w:rsid w:val="00337AFC"/>
    <w:rsid w:val="0034200A"/>
    <w:rsid w:val="00343F65"/>
    <w:rsid w:val="00345D7F"/>
    <w:rsid w:val="00345E23"/>
    <w:rsid w:val="00347F8B"/>
    <w:rsid w:val="00350059"/>
    <w:rsid w:val="00352668"/>
    <w:rsid w:val="0035277E"/>
    <w:rsid w:val="00352BCD"/>
    <w:rsid w:val="00353228"/>
    <w:rsid w:val="0035573D"/>
    <w:rsid w:val="00355EA9"/>
    <w:rsid w:val="003578DE"/>
    <w:rsid w:val="003610B8"/>
    <w:rsid w:val="00361688"/>
    <w:rsid w:val="003655AC"/>
    <w:rsid w:val="00367266"/>
    <w:rsid w:val="00372928"/>
    <w:rsid w:val="00380921"/>
    <w:rsid w:val="00382DD5"/>
    <w:rsid w:val="003858F9"/>
    <w:rsid w:val="003877D5"/>
    <w:rsid w:val="003912D6"/>
    <w:rsid w:val="003929B8"/>
    <w:rsid w:val="00393432"/>
    <w:rsid w:val="00394A5E"/>
    <w:rsid w:val="00396257"/>
    <w:rsid w:val="00397781"/>
    <w:rsid w:val="00397EB8"/>
    <w:rsid w:val="003A006F"/>
    <w:rsid w:val="003A11B3"/>
    <w:rsid w:val="003A2652"/>
    <w:rsid w:val="003A2669"/>
    <w:rsid w:val="003A36C0"/>
    <w:rsid w:val="003A4FD0"/>
    <w:rsid w:val="003A6893"/>
    <w:rsid w:val="003A69D1"/>
    <w:rsid w:val="003A7705"/>
    <w:rsid w:val="003A77F1"/>
    <w:rsid w:val="003B1545"/>
    <w:rsid w:val="003B2CAC"/>
    <w:rsid w:val="003B2D02"/>
    <w:rsid w:val="003B69F0"/>
    <w:rsid w:val="003C09F2"/>
    <w:rsid w:val="003C2150"/>
    <w:rsid w:val="003C3219"/>
    <w:rsid w:val="003C409D"/>
    <w:rsid w:val="003C4544"/>
    <w:rsid w:val="003C4AD3"/>
    <w:rsid w:val="003C5583"/>
    <w:rsid w:val="003C5BA6"/>
    <w:rsid w:val="003C5C2C"/>
    <w:rsid w:val="003C625B"/>
    <w:rsid w:val="003C6916"/>
    <w:rsid w:val="003C74CF"/>
    <w:rsid w:val="003D18B2"/>
    <w:rsid w:val="003D2643"/>
    <w:rsid w:val="003D3752"/>
    <w:rsid w:val="003D42CF"/>
    <w:rsid w:val="003D5434"/>
    <w:rsid w:val="003D7662"/>
    <w:rsid w:val="003E0FFF"/>
    <w:rsid w:val="003E1AFF"/>
    <w:rsid w:val="003E3257"/>
    <w:rsid w:val="003E339D"/>
    <w:rsid w:val="003E35DA"/>
    <w:rsid w:val="003E455D"/>
    <w:rsid w:val="003E4E1E"/>
    <w:rsid w:val="003E793F"/>
    <w:rsid w:val="003F0DEC"/>
    <w:rsid w:val="003F0E85"/>
    <w:rsid w:val="003F20F5"/>
    <w:rsid w:val="003F3608"/>
    <w:rsid w:val="003F3E2F"/>
    <w:rsid w:val="003F4B01"/>
    <w:rsid w:val="003F4DA7"/>
    <w:rsid w:val="003F5091"/>
    <w:rsid w:val="003F51C7"/>
    <w:rsid w:val="00401A45"/>
    <w:rsid w:val="00406DA0"/>
    <w:rsid w:val="00410C55"/>
    <w:rsid w:val="00415171"/>
    <w:rsid w:val="00416854"/>
    <w:rsid w:val="00416DEA"/>
    <w:rsid w:val="0041747D"/>
    <w:rsid w:val="00417725"/>
    <w:rsid w:val="00417FE2"/>
    <w:rsid w:val="00421BCD"/>
    <w:rsid w:val="0042266F"/>
    <w:rsid w:val="004233DC"/>
    <w:rsid w:val="004250EB"/>
    <w:rsid w:val="00425504"/>
    <w:rsid w:val="00425F8B"/>
    <w:rsid w:val="00426C5A"/>
    <w:rsid w:val="00430363"/>
    <w:rsid w:val="0043165A"/>
    <w:rsid w:val="00432222"/>
    <w:rsid w:val="0043263A"/>
    <w:rsid w:val="0043334D"/>
    <w:rsid w:val="004334A6"/>
    <w:rsid w:val="00434321"/>
    <w:rsid w:val="0043587E"/>
    <w:rsid w:val="00436962"/>
    <w:rsid w:val="00437F26"/>
    <w:rsid w:val="00444097"/>
    <w:rsid w:val="004447B6"/>
    <w:rsid w:val="00445487"/>
    <w:rsid w:val="004478CD"/>
    <w:rsid w:val="00447E0D"/>
    <w:rsid w:val="004510EE"/>
    <w:rsid w:val="0045134A"/>
    <w:rsid w:val="00453EA8"/>
    <w:rsid w:val="00454769"/>
    <w:rsid w:val="00455C83"/>
    <w:rsid w:val="00456C71"/>
    <w:rsid w:val="004605BC"/>
    <w:rsid w:val="00465501"/>
    <w:rsid w:val="00465AF0"/>
    <w:rsid w:val="00466991"/>
    <w:rsid w:val="0047064C"/>
    <w:rsid w:val="0047119C"/>
    <w:rsid w:val="00476ADD"/>
    <w:rsid w:val="00477A76"/>
    <w:rsid w:val="004822B7"/>
    <w:rsid w:val="00482B20"/>
    <w:rsid w:val="0048379A"/>
    <w:rsid w:val="00487880"/>
    <w:rsid w:val="0049106E"/>
    <w:rsid w:val="00491DAD"/>
    <w:rsid w:val="0049469E"/>
    <w:rsid w:val="00497E01"/>
    <w:rsid w:val="004A2217"/>
    <w:rsid w:val="004A24F9"/>
    <w:rsid w:val="004A2D55"/>
    <w:rsid w:val="004A42E1"/>
    <w:rsid w:val="004A4DA1"/>
    <w:rsid w:val="004A730E"/>
    <w:rsid w:val="004A7615"/>
    <w:rsid w:val="004A766B"/>
    <w:rsid w:val="004A7EE0"/>
    <w:rsid w:val="004B162C"/>
    <w:rsid w:val="004B2ABE"/>
    <w:rsid w:val="004B3ADA"/>
    <w:rsid w:val="004B48BE"/>
    <w:rsid w:val="004B4D52"/>
    <w:rsid w:val="004B57E1"/>
    <w:rsid w:val="004B5C11"/>
    <w:rsid w:val="004C3DBE"/>
    <w:rsid w:val="004C4AE8"/>
    <w:rsid w:val="004C5C96"/>
    <w:rsid w:val="004D06A4"/>
    <w:rsid w:val="004D3A31"/>
    <w:rsid w:val="004D5441"/>
    <w:rsid w:val="004D60D7"/>
    <w:rsid w:val="004D65A6"/>
    <w:rsid w:val="004E0AB7"/>
    <w:rsid w:val="004E2C3A"/>
    <w:rsid w:val="004E5024"/>
    <w:rsid w:val="004E58BA"/>
    <w:rsid w:val="004E6B38"/>
    <w:rsid w:val="004F111A"/>
    <w:rsid w:val="004F1A81"/>
    <w:rsid w:val="004F5C75"/>
    <w:rsid w:val="004F5D88"/>
    <w:rsid w:val="005007C0"/>
    <w:rsid w:val="00501354"/>
    <w:rsid w:val="005033B1"/>
    <w:rsid w:val="00504D3B"/>
    <w:rsid w:val="005050D2"/>
    <w:rsid w:val="00512ECA"/>
    <w:rsid w:val="0051483C"/>
    <w:rsid w:val="005218D9"/>
    <w:rsid w:val="00522167"/>
    <w:rsid w:val="00524D33"/>
    <w:rsid w:val="0052730B"/>
    <w:rsid w:val="005273AE"/>
    <w:rsid w:val="0053069F"/>
    <w:rsid w:val="0053138D"/>
    <w:rsid w:val="00531BE0"/>
    <w:rsid w:val="00536186"/>
    <w:rsid w:val="00536E61"/>
    <w:rsid w:val="00536F53"/>
    <w:rsid w:val="00537F88"/>
    <w:rsid w:val="00540628"/>
    <w:rsid w:val="00544CBB"/>
    <w:rsid w:val="00544DB7"/>
    <w:rsid w:val="00546E2E"/>
    <w:rsid w:val="00547AF3"/>
    <w:rsid w:val="00550A9F"/>
    <w:rsid w:val="00551B65"/>
    <w:rsid w:val="00556704"/>
    <w:rsid w:val="005629FD"/>
    <w:rsid w:val="00563292"/>
    <w:rsid w:val="005645B1"/>
    <w:rsid w:val="005655AA"/>
    <w:rsid w:val="005656D7"/>
    <w:rsid w:val="00565CE7"/>
    <w:rsid w:val="0057315F"/>
    <w:rsid w:val="00573E7F"/>
    <w:rsid w:val="00576104"/>
    <w:rsid w:val="00582E46"/>
    <w:rsid w:val="00582F02"/>
    <w:rsid w:val="00583314"/>
    <w:rsid w:val="005841FC"/>
    <w:rsid w:val="005853CB"/>
    <w:rsid w:val="00586418"/>
    <w:rsid w:val="00587D09"/>
    <w:rsid w:val="00592B21"/>
    <w:rsid w:val="00592F59"/>
    <w:rsid w:val="00593714"/>
    <w:rsid w:val="00596957"/>
    <w:rsid w:val="005A0CCE"/>
    <w:rsid w:val="005A1A70"/>
    <w:rsid w:val="005A3334"/>
    <w:rsid w:val="005A3B3E"/>
    <w:rsid w:val="005A5A62"/>
    <w:rsid w:val="005B2DF4"/>
    <w:rsid w:val="005B3107"/>
    <w:rsid w:val="005B364D"/>
    <w:rsid w:val="005B427A"/>
    <w:rsid w:val="005B44BF"/>
    <w:rsid w:val="005B514F"/>
    <w:rsid w:val="005B5CF4"/>
    <w:rsid w:val="005B6D98"/>
    <w:rsid w:val="005C0019"/>
    <w:rsid w:val="005C0132"/>
    <w:rsid w:val="005C09DE"/>
    <w:rsid w:val="005C39AB"/>
    <w:rsid w:val="005C5239"/>
    <w:rsid w:val="005C5B32"/>
    <w:rsid w:val="005C67C8"/>
    <w:rsid w:val="005D0249"/>
    <w:rsid w:val="005D03D4"/>
    <w:rsid w:val="005D1761"/>
    <w:rsid w:val="005D18FA"/>
    <w:rsid w:val="005D4FD4"/>
    <w:rsid w:val="005D6E8C"/>
    <w:rsid w:val="005E262E"/>
    <w:rsid w:val="005E3004"/>
    <w:rsid w:val="005E6CAE"/>
    <w:rsid w:val="005F100C"/>
    <w:rsid w:val="005F1DE6"/>
    <w:rsid w:val="005F4391"/>
    <w:rsid w:val="005F4E03"/>
    <w:rsid w:val="005F68DA"/>
    <w:rsid w:val="005F7419"/>
    <w:rsid w:val="006006B1"/>
    <w:rsid w:val="00601BC9"/>
    <w:rsid w:val="006040B4"/>
    <w:rsid w:val="00605283"/>
    <w:rsid w:val="0060773B"/>
    <w:rsid w:val="006077FF"/>
    <w:rsid w:val="00607C33"/>
    <w:rsid w:val="00612D58"/>
    <w:rsid w:val="00613FD6"/>
    <w:rsid w:val="006157B5"/>
    <w:rsid w:val="0061654B"/>
    <w:rsid w:val="00617224"/>
    <w:rsid w:val="00617FDE"/>
    <w:rsid w:val="006201E6"/>
    <w:rsid w:val="00620F0B"/>
    <w:rsid w:val="00623D70"/>
    <w:rsid w:val="006258C9"/>
    <w:rsid w:val="00625E09"/>
    <w:rsid w:val="00626FC6"/>
    <w:rsid w:val="006303B4"/>
    <w:rsid w:val="00630ADC"/>
    <w:rsid w:val="00631729"/>
    <w:rsid w:val="00631ACD"/>
    <w:rsid w:val="00633D3D"/>
    <w:rsid w:val="00636791"/>
    <w:rsid w:val="00636B12"/>
    <w:rsid w:val="00641703"/>
    <w:rsid w:val="006431A6"/>
    <w:rsid w:val="00643E3A"/>
    <w:rsid w:val="00644ECE"/>
    <w:rsid w:val="006459F6"/>
    <w:rsid w:val="006501AD"/>
    <w:rsid w:val="00651BFA"/>
    <w:rsid w:val="00652D1E"/>
    <w:rsid w:val="00653DA0"/>
    <w:rsid w:val="00654475"/>
    <w:rsid w:val="00656DF0"/>
    <w:rsid w:val="00657CD1"/>
    <w:rsid w:val="00660CBD"/>
    <w:rsid w:val="00661B39"/>
    <w:rsid w:val="006622A7"/>
    <w:rsid w:val="00665A4B"/>
    <w:rsid w:val="00670C29"/>
    <w:rsid w:val="00670FAE"/>
    <w:rsid w:val="006713D2"/>
    <w:rsid w:val="00676D88"/>
    <w:rsid w:val="00677DBF"/>
    <w:rsid w:val="00681A4E"/>
    <w:rsid w:val="00682F43"/>
    <w:rsid w:val="00683434"/>
    <w:rsid w:val="00686B1D"/>
    <w:rsid w:val="00686C40"/>
    <w:rsid w:val="00687D9F"/>
    <w:rsid w:val="00692A11"/>
    <w:rsid w:val="00692E2A"/>
    <w:rsid w:val="00693481"/>
    <w:rsid w:val="0069496A"/>
    <w:rsid w:val="006968AB"/>
    <w:rsid w:val="00696C1C"/>
    <w:rsid w:val="00697127"/>
    <w:rsid w:val="006A7696"/>
    <w:rsid w:val="006A76F2"/>
    <w:rsid w:val="006A7AA0"/>
    <w:rsid w:val="006B1AD4"/>
    <w:rsid w:val="006B3037"/>
    <w:rsid w:val="006B4C7F"/>
    <w:rsid w:val="006B4F0C"/>
    <w:rsid w:val="006B4F1D"/>
    <w:rsid w:val="006B7260"/>
    <w:rsid w:val="006B7D29"/>
    <w:rsid w:val="006C05B7"/>
    <w:rsid w:val="006C1088"/>
    <w:rsid w:val="006C4068"/>
    <w:rsid w:val="006C5082"/>
    <w:rsid w:val="006C5749"/>
    <w:rsid w:val="006D145A"/>
    <w:rsid w:val="006D169F"/>
    <w:rsid w:val="006D19D4"/>
    <w:rsid w:val="006D214C"/>
    <w:rsid w:val="006D4DE3"/>
    <w:rsid w:val="006D5644"/>
    <w:rsid w:val="006D5BCA"/>
    <w:rsid w:val="006D667A"/>
    <w:rsid w:val="006D7923"/>
    <w:rsid w:val="006D7C69"/>
    <w:rsid w:val="006D7EFB"/>
    <w:rsid w:val="006E0C39"/>
    <w:rsid w:val="006E1A2E"/>
    <w:rsid w:val="006E4FAF"/>
    <w:rsid w:val="006E58D7"/>
    <w:rsid w:val="006E6672"/>
    <w:rsid w:val="006E6722"/>
    <w:rsid w:val="006E7101"/>
    <w:rsid w:val="006F7AFF"/>
    <w:rsid w:val="007004FB"/>
    <w:rsid w:val="007027B9"/>
    <w:rsid w:val="007047D5"/>
    <w:rsid w:val="007055F4"/>
    <w:rsid w:val="00705951"/>
    <w:rsid w:val="007066B5"/>
    <w:rsid w:val="00706E76"/>
    <w:rsid w:val="007114C6"/>
    <w:rsid w:val="00711DBB"/>
    <w:rsid w:val="00711DD6"/>
    <w:rsid w:val="007145A7"/>
    <w:rsid w:val="007145DA"/>
    <w:rsid w:val="00715280"/>
    <w:rsid w:val="00715BC2"/>
    <w:rsid w:val="00715E88"/>
    <w:rsid w:val="00716803"/>
    <w:rsid w:val="00716D8B"/>
    <w:rsid w:val="007170F7"/>
    <w:rsid w:val="0072039D"/>
    <w:rsid w:val="00723437"/>
    <w:rsid w:val="00723B6C"/>
    <w:rsid w:val="00726051"/>
    <w:rsid w:val="007265D5"/>
    <w:rsid w:val="00727394"/>
    <w:rsid w:val="00730218"/>
    <w:rsid w:val="007311EE"/>
    <w:rsid w:val="00731576"/>
    <w:rsid w:val="00731C4E"/>
    <w:rsid w:val="00731F8D"/>
    <w:rsid w:val="007330F9"/>
    <w:rsid w:val="00734CAA"/>
    <w:rsid w:val="0073584A"/>
    <w:rsid w:val="007363EE"/>
    <w:rsid w:val="00737EF7"/>
    <w:rsid w:val="00740EE2"/>
    <w:rsid w:val="00742680"/>
    <w:rsid w:val="007445C6"/>
    <w:rsid w:val="007479FE"/>
    <w:rsid w:val="00747B72"/>
    <w:rsid w:val="00751825"/>
    <w:rsid w:val="00755079"/>
    <w:rsid w:val="0075533C"/>
    <w:rsid w:val="00755A18"/>
    <w:rsid w:val="00755D83"/>
    <w:rsid w:val="00757380"/>
    <w:rsid w:val="00757581"/>
    <w:rsid w:val="007602F5"/>
    <w:rsid w:val="00760D36"/>
    <w:rsid w:val="007611A0"/>
    <w:rsid w:val="007636C4"/>
    <w:rsid w:val="007661A1"/>
    <w:rsid w:val="00767BFE"/>
    <w:rsid w:val="00767D30"/>
    <w:rsid w:val="00767F6B"/>
    <w:rsid w:val="00772574"/>
    <w:rsid w:val="00773E54"/>
    <w:rsid w:val="0077441D"/>
    <w:rsid w:val="007746F5"/>
    <w:rsid w:val="00774B38"/>
    <w:rsid w:val="00776BEA"/>
    <w:rsid w:val="0077732E"/>
    <w:rsid w:val="0078183C"/>
    <w:rsid w:val="00781DFC"/>
    <w:rsid w:val="0078701E"/>
    <w:rsid w:val="007875B8"/>
    <w:rsid w:val="00787688"/>
    <w:rsid w:val="00790F4A"/>
    <w:rsid w:val="007935E6"/>
    <w:rsid w:val="0079421B"/>
    <w:rsid w:val="007968AD"/>
    <w:rsid w:val="00796D3F"/>
    <w:rsid w:val="007A131C"/>
    <w:rsid w:val="007A1683"/>
    <w:rsid w:val="007A1BFB"/>
    <w:rsid w:val="007A3B6F"/>
    <w:rsid w:val="007A5C12"/>
    <w:rsid w:val="007A64F3"/>
    <w:rsid w:val="007A7CB0"/>
    <w:rsid w:val="007B0270"/>
    <w:rsid w:val="007B1846"/>
    <w:rsid w:val="007B1A70"/>
    <w:rsid w:val="007B31FB"/>
    <w:rsid w:val="007B4546"/>
    <w:rsid w:val="007B512C"/>
    <w:rsid w:val="007B5A1D"/>
    <w:rsid w:val="007B6424"/>
    <w:rsid w:val="007B68A3"/>
    <w:rsid w:val="007C2541"/>
    <w:rsid w:val="007C3941"/>
    <w:rsid w:val="007D4814"/>
    <w:rsid w:val="007D4E66"/>
    <w:rsid w:val="007D6524"/>
    <w:rsid w:val="007D66A8"/>
    <w:rsid w:val="007D736F"/>
    <w:rsid w:val="007D789B"/>
    <w:rsid w:val="007E003F"/>
    <w:rsid w:val="007E0C1B"/>
    <w:rsid w:val="007E511B"/>
    <w:rsid w:val="007E78E9"/>
    <w:rsid w:val="007E7A7B"/>
    <w:rsid w:val="007F0033"/>
    <w:rsid w:val="007F0CF8"/>
    <w:rsid w:val="007F427B"/>
    <w:rsid w:val="007F5E1B"/>
    <w:rsid w:val="007F62CB"/>
    <w:rsid w:val="007F7A62"/>
    <w:rsid w:val="00800080"/>
    <w:rsid w:val="00802517"/>
    <w:rsid w:val="00802BE4"/>
    <w:rsid w:val="008142EC"/>
    <w:rsid w:val="00815020"/>
    <w:rsid w:val="00815F2E"/>
    <w:rsid w:val="008164F2"/>
    <w:rsid w:val="00821395"/>
    <w:rsid w:val="00824F2D"/>
    <w:rsid w:val="0082626E"/>
    <w:rsid w:val="00830E26"/>
    <w:rsid w:val="0083340D"/>
    <w:rsid w:val="00834368"/>
    <w:rsid w:val="0083441A"/>
    <w:rsid w:val="008349B1"/>
    <w:rsid w:val="0083636C"/>
    <w:rsid w:val="00836EBA"/>
    <w:rsid w:val="00841043"/>
    <w:rsid w:val="008425D8"/>
    <w:rsid w:val="00843576"/>
    <w:rsid w:val="00843B64"/>
    <w:rsid w:val="00844147"/>
    <w:rsid w:val="00845261"/>
    <w:rsid w:val="008478FC"/>
    <w:rsid w:val="00851014"/>
    <w:rsid w:val="00851C51"/>
    <w:rsid w:val="008538F7"/>
    <w:rsid w:val="008541DC"/>
    <w:rsid w:val="008549ED"/>
    <w:rsid w:val="00860AC0"/>
    <w:rsid w:val="008643EE"/>
    <w:rsid w:val="00865EB1"/>
    <w:rsid w:val="0086757E"/>
    <w:rsid w:val="00867BFF"/>
    <w:rsid w:val="00870215"/>
    <w:rsid w:val="00871542"/>
    <w:rsid w:val="00871A7D"/>
    <w:rsid w:val="00871F2F"/>
    <w:rsid w:val="00872BF6"/>
    <w:rsid w:val="008735C5"/>
    <w:rsid w:val="0087433C"/>
    <w:rsid w:val="0087796B"/>
    <w:rsid w:val="0088480A"/>
    <w:rsid w:val="0088650A"/>
    <w:rsid w:val="0088757A"/>
    <w:rsid w:val="00890358"/>
    <w:rsid w:val="0089120E"/>
    <w:rsid w:val="00891EA5"/>
    <w:rsid w:val="00892910"/>
    <w:rsid w:val="00892DE1"/>
    <w:rsid w:val="00893D2A"/>
    <w:rsid w:val="0089431B"/>
    <w:rsid w:val="00895668"/>
    <w:rsid w:val="008957DD"/>
    <w:rsid w:val="00897D98"/>
    <w:rsid w:val="008A032F"/>
    <w:rsid w:val="008A05C2"/>
    <w:rsid w:val="008A261B"/>
    <w:rsid w:val="008A2801"/>
    <w:rsid w:val="008A6DF2"/>
    <w:rsid w:val="008A743C"/>
    <w:rsid w:val="008A7807"/>
    <w:rsid w:val="008B1DF7"/>
    <w:rsid w:val="008B4CC9"/>
    <w:rsid w:val="008B725B"/>
    <w:rsid w:val="008C0B15"/>
    <w:rsid w:val="008C1FBD"/>
    <w:rsid w:val="008C3DA2"/>
    <w:rsid w:val="008C7C57"/>
    <w:rsid w:val="008D01BD"/>
    <w:rsid w:val="008D0E97"/>
    <w:rsid w:val="008D1ED6"/>
    <w:rsid w:val="008D2CA9"/>
    <w:rsid w:val="008D3539"/>
    <w:rsid w:val="008D4674"/>
    <w:rsid w:val="008D75E4"/>
    <w:rsid w:val="008D7ADA"/>
    <w:rsid w:val="008D7C99"/>
    <w:rsid w:val="008E0FCB"/>
    <w:rsid w:val="008E34D9"/>
    <w:rsid w:val="008F25AA"/>
    <w:rsid w:val="008F3D2B"/>
    <w:rsid w:val="008F4D12"/>
    <w:rsid w:val="008F5CA8"/>
    <w:rsid w:val="008F6DFE"/>
    <w:rsid w:val="008F77F9"/>
    <w:rsid w:val="00901DBE"/>
    <w:rsid w:val="00905166"/>
    <w:rsid w:val="0090529F"/>
    <w:rsid w:val="009053C3"/>
    <w:rsid w:val="00905AD7"/>
    <w:rsid w:val="00906F0A"/>
    <w:rsid w:val="009125AF"/>
    <w:rsid w:val="00920EF1"/>
    <w:rsid w:val="0092178C"/>
    <w:rsid w:val="0092538E"/>
    <w:rsid w:val="0092628E"/>
    <w:rsid w:val="00930B88"/>
    <w:rsid w:val="0093456E"/>
    <w:rsid w:val="00935376"/>
    <w:rsid w:val="00935817"/>
    <w:rsid w:val="00940DCC"/>
    <w:rsid w:val="0094179A"/>
    <w:rsid w:val="00943DC4"/>
    <w:rsid w:val="0094459E"/>
    <w:rsid w:val="00944DBC"/>
    <w:rsid w:val="009451BB"/>
    <w:rsid w:val="00946A93"/>
    <w:rsid w:val="009473E1"/>
    <w:rsid w:val="00947CFA"/>
    <w:rsid w:val="00950977"/>
    <w:rsid w:val="0095102B"/>
    <w:rsid w:val="00951A7B"/>
    <w:rsid w:val="00955512"/>
    <w:rsid w:val="009557F8"/>
    <w:rsid w:val="009564A6"/>
    <w:rsid w:val="00957120"/>
    <w:rsid w:val="00957EF8"/>
    <w:rsid w:val="009617AB"/>
    <w:rsid w:val="0096247A"/>
    <w:rsid w:val="00963095"/>
    <w:rsid w:val="0096553B"/>
    <w:rsid w:val="00966A53"/>
    <w:rsid w:val="00966E25"/>
    <w:rsid w:val="0096715A"/>
    <w:rsid w:val="00967621"/>
    <w:rsid w:val="00967E6A"/>
    <w:rsid w:val="00972425"/>
    <w:rsid w:val="00972C49"/>
    <w:rsid w:val="0098077A"/>
    <w:rsid w:val="0099003C"/>
    <w:rsid w:val="009907B9"/>
    <w:rsid w:val="00990918"/>
    <w:rsid w:val="00990DF9"/>
    <w:rsid w:val="00990E1B"/>
    <w:rsid w:val="00995DBC"/>
    <w:rsid w:val="00995F3C"/>
    <w:rsid w:val="00996BF1"/>
    <w:rsid w:val="009A061D"/>
    <w:rsid w:val="009A12C3"/>
    <w:rsid w:val="009A29A2"/>
    <w:rsid w:val="009A3A83"/>
    <w:rsid w:val="009A3FB1"/>
    <w:rsid w:val="009A6BF1"/>
    <w:rsid w:val="009B2DF7"/>
    <w:rsid w:val="009B32D1"/>
    <w:rsid w:val="009B44C9"/>
    <w:rsid w:val="009B4A0F"/>
    <w:rsid w:val="009B546A"/>
    <w:rsid w:val="009B5684"/>
    <w:rsid w:val="009B691D"/>
    <w:rsid w:val="009B71AB"/>
    <w:rsid w:val="009C11D2"/>
    <w:rsid w:val="009C2532"/>
    <w:rsid w:val="009C2A09"/>
    <w:rsid w:val="009C4F01"/>
    <w:rsid w:val="009C52E8"/>
    <w:rsid w:val="009C55D7"/>
    <w:rsid w:val="009C6C70"/>
    <w:rsid w:val="009C7B0A"/>
    <w:rsid w:val="009D036D"/>
    <w:rsid w:val="009D0B63"/>
    <w:rsid w:val="009D12F5"/>
    <w:rsid w:val="009D294E"/>
    <w:rsid w:val="009D4F1A"/>
    <w:rsid w:val="009D4F21"/>
    <w:rsid w:val="009D509F"/>
    <w:rsid w:val="009D5C92"/>
    <w:rsid w:val="009D5CB8"/>
    <w:rsid w:val="009E0120"/>
    <w:rsid w:val="009E027F"/>
    <w:rsid w:val="009E307E"/>
    <w:rsid w:val="009E63BD"/>
    <w:rsid w:val="009E64B0"/>
    <w:rsid w:val="009F2A42"/>
    <w:rsid w:val="009F2E94"/>
    <w:rsid w:val="009F596E"/>
    <w:rsid w:val="00A023C0"/>
    <w:rsid w:val="00A05DAE"/>
    <w:rsid w:val="00A06A39"/>
    <w:rsid w:val="00A07870"/>
    <w:rsid w:val="00A07B09"/>
    <w:rsid w:val="00A07C54"/>
    <w:rsid w:val="00A07F01"/>
    <w:rsid w:val="00A07F19"/>
    <w:rsid w:val="00A10ABB"/>
    <w:rsid w:val="00A1348D"/>
    <w:rsid w:val="00A138A1"/>
    <w:rsid w:val="00A13C99"/>
    <w:rsid w:val="00A15C38"/>
    <w:rsid w:val="00A16415"/>
    <w:rsid w:val="00A176CA"/>
    <w:rsid w:val="00A2178F"/>
    <w:rsid w:val="00A220F7"/>
    <w:rsid w:val="00A232EE"/>
    <w:rsid w:val="00A23B74"/>
    <w:rsid w:val="00A23EA7"/>
    <w:rsid w:val="00A25F9E"/>
    <w:rsid w:val="00A26651"/>
    <w:rsid w:val="00A27D30"/>
    <w:rsid w:val="00A31E85"/>
    <w:rsid w:val="00A32D85"/>
    <w:rsid w:val="00A34AD8"/>
    <w:rsid w:val="00A35572"/>
    <w:rsid w:val="00A35F55"/>
    <w:rsid w:val="00A3778C"/>
    <w:rsid w:val="00A4175F"/>
    <w:rsid w:val="00A44411"/>
    <w:rsid w:val="00A469FA"/>
    <w:rsid w:val="00A46AE2"/>
    <w:rsid w:val="00A47FB0"/>
    <w:rsid w:val="00A53662"/>
    <w:rsid w:val="00A55B01"/>
    <w:rsid w:val="00A56B5B"/>
    <w:rsid w:val="00A60181"/>
    <w:rsid w:val="00A60336"/>
    <w:rsid w:val="00A603FF"/>
    <w:rsid w:val="00A619B6"/>
    <w:rsid w:val="00A64160"/>
    <w:rsid w:val="00A648CA"/>
    <w:rsid w:val="00A657DD"/>
    <w:rsid w:val="00A66558"/>
    <w:rsid w:val="00A666A6"/>
    <w:rsid w:val="00A673FE"/>
    <w:rsid w:val="00A675FD"/>
    <w:rsid w:val="00A7033C"/>
    <w:rsid w:val="00A7082A"/>
    <w:rsid w:val="00A72437"/>
    <w:rsid w:val="00A8048B"/>
    <w:rsid w:val="00A80611"/>
    <w:rsid w:val="00A81499"/>
    <w:rsid w:val="00A81A69"/>
    <w:rsid w:val="00A84C80"/>
    <w:rsid w:val="00A85D3F"/>
    <w:rsid w:val="00A87154"/>
    <w:rsid w:val="00A9471A"/>
    <w:rsid w:val="00A94D54"/>
    <w:rsid w:val="00A95DE3"/>
    <w:rsid w:val="00A965EE"/>
    <w:rsid w:val="00A9792E"/>
    <w:rsid w:val="00A97AC8"/>
    <w:rsid w:val="00AA210D"/>
    <w:rsid w:val="00AA2E51"/>
    <w:rsid w:val="00AA31B0"/>
    <w:rsid w:val="00AA40F8"/>
    <w:rsid w:val="00AA4A0E"/>
    <w:rsid w:val="00AA5BF4"/>
    <w:rsid w:val="00AA5D77"/>
    <w:rsid w:val="00AB3B26"/>
    <w:rsid w:val="00AB3E9B"/>
    <w:rsid w:val="00AB5340"/>
    <w:rsid w:val="00AB79ED"/>
    <w:rsid w:val="00AB7FBE"/>
    <w:rsid w:val="00AC0A89"/>
    <w:rsid w:val="00AC0CCA"/>
    <w:rsid w:val="00AC0FC9"/>
    <w:rsid w:val="00AC30F5"/>
    <w:rsid w:val="00AC39AF"/>
    <w:rsid w:val="00AC65D1"/>
    <w:rsid w:val="00AC680B"/>
    <w:rsid w:val="00AC6CC5"/>
    <w:rsid w:val="00AC7C96"/>
    <w:rsid w:val="00AD1D7F"/>
    <w:rsid w:val="00AD29EE"/>
    <w:rsid w:val="00AD2FC4"/>
    <w:rsid w:val="00AD3593"/>
    <w:rsid w:val="00AD37EC"/>
    <w:rsid w:val="00AD4503"/>
    <w:rsid w:val="00AD7ACF"/>
    <w:rsid w:val="00AE0812"/>
    <w:rsid w:val="00AE118E"/>
    <w:rsid w:val="00AE119F"/>
    <w:rsid w:val="00AE237D"/>
    <w:rsid w:val="00AE2C51"/>
    <w:rsid w:val="00AE2D06"/>
    <w:rsid w:val="00AE502A"/>
    <w:rsid w:val="00AF0010"/>
    <w:rsid w:val="00AF094D"/>
    <w:rsid w:val="00AF0CF7"/>
    <w:rsid w:val="00AF1AA8"/>
    <w:rsid w:val="00AF2C1F"/>
    <w:rsid w:val="00AF2EEB"/>
    <w:rsid w:val="00AF5000"/>
    <w:rsid w:val="00AF549A"/>
    <w:rsid w:val="00AF7C07"/>
    <w:rsid w:val="00B0048F"/>
    <w:rsid w:val="00B00667"/>
    <w:rsid w:val="00B03CDB"/>
    <w:rsid w:val="00B06C64"/>
    <w:rsid w:val="00B07D8E"/>
    <w:rsid w:val="00B118EA"/>
    <w:rsid w:val="00B11CAC"/>
    <w:rsid w:val="00B1232F"/>
    <w:rsid w:val="00B13D2A"/>
    <w:rsid w:val="00B14C4B"/>
    <w:rsid w:val="00B15A29"/>
    <w:rsid w:val="00B17724"/>
    <w:rsid w:val="00B179BF"/>
    <w:rsid w:val="00B22C93"/>
    <w:rsid w:val="00B22E9B"/>
    <w:rsid w:val="00B2441D"/>
    <w:rsid w:val="00B24582"/>
    <w:rsid w:val="00B26660"/>
    <w:rsid w:val="00B27203"/>
    <w:rsid w:val="00B27589"/>
    <w:rsid w:val="00B31474"/>
    <w:rsid w:val="00B33D33"/>
    <w:rsid w:val="00B405B7"/>
    <w:rsid w:val="00B426CD"/>
    <w:rsid w:val="00B451B8"/>
    <w:rsid w:val="00B468C0"/>
    <w:rsid w:val="00B505A2"/>
    <w:rsid w:val="00B50AB4"/>
    <w:rsid w:val="00B52222"/>
    <w:rsid w:val="00B531DA"/>
    <w:rsid w:val="00B54895"/>
    <w:rsid w:val="00B54ABB"/>
    <w:rsid w:val="00B54FE7"/>
    <w:rsid w:val="00B56FE3"/>
    <w:rsid w:val="00B57520"/>
    <w:rsid w:val="00B605AA"/>
    <w:rsid w:val="00B62407"/>
    <w:rsid w:val="00B647C6"/>
    <w:rsid w:val="00B655F9"/>
    <w:rsid w:val="00B66901"/>
    <w:rsid w:val="00B66F60"/>
    <w:rsid w:val="00B67989"/>
    <w:rsid w:val="00B70CE2"/>
    <w:rsid w:val="00B71453"/>
    <w:rsid w:val="00B71E6D"/>
    <w:rsid w:val="00B72070"/>
    <w:rsid w:val="00B739CC"/>
    <w:rsid w:val="00B73F5A"/>
    <w:rsid w:val="00B779E1"/>
    <w:rsid w:val="00B81E3A"/>
    <w:rsid w:val="00B8595C"/>
    <w:rsid w:val="00B85CFB"/>
    <w:rsid w:val="00B90B5B"/>
    <w:rsid w:val="00B914E9"/>
    <w:rsid w:val="00B91EE1"/>
    <w:rsid w:val="00B94602"/>
    <w:rsid w:val="00BA0090"/>
    <w:rsid w:val="00BA133D"/>
    <w:rsid w:val="00BA1A67"/>
    <w:rsid w:val="00BA6A80"/>
    <w:rsid w:val="00BA6CFA"/>
    <w:rsid w:val="00BB26EB"/>
    <w:rsid w:val="00BB2C85"/>
    <w:rsid w:val="00BB4ABB"/>
    <w:rsid w:val="00BB7121"/>
    <w:rsid w:val="00BB7647"/>
    <w:rsid w:val="00BB781D"/>
    <w:rsid w:val="00BC0F67"/>
    <w:rsid w:val="00BC254A"/>
    <w:rsid w:val="00BC351B"/>
    <w:rsid w:val="00BC3F9F"/>
    <w:rsid w:val="00BC4BFC"/>
    <w:rsid w:val="00BC507E"/>
    <w:rsid w:val="00BC53BA"/>
    <w:rsid w:val="00BC5645"/>
    <w:rsid w:val="00BC57A1"/>
    <w:rsid w:val="00BC62BA"/>
    <w:rsid w:val="00BC67D7"/>
    <w:rsid w:val="00BD473C"/>
    <w:rsid w:val="00BD604A"/>
    <w:rsid w:val="00BD704B"/>
    <w:rsid w:val="00BD77E5"/>
    <w:rsid w:val="00BE03D7"/>
    <w:rsid w:val="00BE0EC1"/>
    <w:rsid w:val="00BE13CD"/>
    <w:rsid w:val="00BE4B84"/>
    <w:rsid w:val="00BE5431"/>
    <w:rsid w:val="00BE5B5F"/>
    <w:rsid w:val="00BE5BE5"/>
    <w:rsid w:val="00BE7993"/>
    <w:rsid w:val="00BE7E28"/>
    <w:rsid w:val="00BF0CFE"/>
    <w:rsid w:val="00BF1456"/>
    <w:rsid w:val="00BF19F2"/>
    <w:rsid w:val="00BF2AF8"/>
    <w:rsid w:val="00BF507F"/>
    <w:rsid w:val="00BF54D6"/>
    <w:rsid w:val="00C0043D"/>
    <w:rsid w:val="00C00A80"/>
    <w:rsid w:val="00C01AD3"/>
    <w:rsid w:val="00C031D0"/>
    <w:rsid w:val="00C03257"/>
    <w:rsid w:val="00C03D2E"/>
    <w:rsid w:val="00C06EA9"/>
    <w:rsid w:val="00C07333"/>
    <w:rsid w:val="00C114B7"/>
    <w:rsid w:val="00C11971"/>
    <w:rsid w:val="00C179DE"/>
    <w:rsid w:val="00C202B3"/>
    <w:rsid w:val="00C20EFE"/>
    <w:rsid w:val="00C217A2"/>
    <w:rsid w:val="00C268DF"/>
    <w:rsid w:val="00C26F55"/>
    <w:rsid w:val="00C30206"/>
    <w:rsid w:val="00C3080B"/>
    <w:rsid w:val="00C30C63"/>
    <w:rsid w:val="00C30FF3"/>
    <w:rsid w:val="00C32A9A"/>
    <w:rsid w:val="00C33ECE"/>
    <w:rsid w:val="00C34D5C"/>
    <w:rsid w:val="00C3589A"/>
    <w:rsid w:val="00C36B8B"/>
    <w:rsid w:val="00C37932"/>
    <w:rsid w:val="00C37B74"/>
    <w:rsid w:val="00C40D44"/>
    <w:rsid w:val="00C41424"/>
    <w:rsid w:val="00C415C1"/>
    <w:rsid w:val="00C422E3"/>
    <w:rsid w:val="00C42763"/>
    <w:rsid w:val="00C433AC"/>
    <w:rsid w:val="00C43F22"/>
    <w:rsid w:val="00C457D8"/>
    <w:rsid w:val="00C47DBF"/>
    <w:rsid w:val="00C5004A"/>
    <w:rsid w:val="00C5197A"/>
    <w:rsid w:val="00C5288F"/>
    <w:rsid w:val="00C54FDE"/>
    <w:rsid w:val="00C552FF"/>
    <w:rsid w:val="00C558DA"/>
    <w:rsid w:val="00C55AF3"/>
    <w:rsid w:val="00C56BC2"/>
    <w:rsid w:val="00C60C79"/>
    <w:rsid w:val="00C60E1C"/>
    <w:rsid w:val="00C611FC"/>
    <w:rsid w:val="00C771A9"/>
    <w:rsid w:val="00C80A1D"/>
    <w:rsid w:val="00C82943"/>
    <w:rsid w:val="00C832DE"/>
    <w:rsid w:val="00C8347D"/>
    <w:rsid w:val="00C84759"/>
    <w:rsid w:val="00C8535A"/>
    <w:rsid w:val="00C860C6"/>
    <w:rsid w:val="00C86AD9"/>
    <w:rsid w:val="00C86C21"/>
    <w:rsid w:val="00C870D0"/>
    <w:rsid w:val="00C870D3"/>
    <w:rsid w:val="00C87D9C"/>
    <w:rsid w:val="00C93096"/>
    <w:rsid w:val="00C93888"/>
    <w:rsid w:val="00C943B2"/>
    <w:rsid w:val="00C95B7D"/>
    <w:rsid w:val="00CA1198"/>
    <w:rsid w:val="00CA141F"/>
    <w:rsid w:val="00CA161C"/>
    <w:rsid w:val="00CA2647"/>
    <w:rsid w:val="00CA5CA9"/>
    <w:rsid w:val="00CA6154"/>
    <w:rsid w:val="00CA6C7F"/>
    <w:rsid w:val="00CB007D"/>
    <w:rsid w:val="00CB1EBE"/>
    <w:rsid w:val="00CB229E"/>
    <w:rsid w:val="00CB2628"/>
    <w:rsid w:val="00CB38F6"/>
    <w:rsid w:val="00CB60CA"/>
    <w:rsid w:val="00CC0FC7"/>
    <w:rsid w:val="00CC10A6"/>
    <w:rsid w:val="00CC19E4"/>
    <w:rsid w:val="00CC2EF0"/>
    <w:rsid w:val="00CC57F8"/>
    <w:rsid w:val="00CC6D5F"/>
    <w:rsid w:val="00CD282C"/>
    <w:rsid w:val="00CD2A00"/>
    <w:rsid w:val="00CD3A0F"/>
    <w:rsid w:val="00CD585A"/>
    <w:rsid w:val="00CD5EB8"/>
    <w:rsid w:val="00CD6283"/>
    <w:rsid w:val="00CD7044"/>
    <w:rsid w:val="00CE08B9"/>
    <w:rsid w:val="00CE13C3"/>
    <w:rsid w:val="00CE25B9"/>
    <w:rsid w:val="00CE29CB"/>
    <w:rsid w:val="00CE3515"/>
    <w:rsid w:val="00CE502E"/>
    <w:rsid w:val="00CE524C"/>
    <w:rsid w:val="00CE5F69"/>
    <w:rsid w:val="00CE7722"/>
    <w:rsid w:val="00CF0BFD"/>
    <w:rsid w:val="00CF141F"/>
    <w:rsid w:val="00CF4777"/>
    <w:rsid w:val="00CF65C8"/>
    <w:rsid w:val="00CF73E2"/>
    <w:rsid w:val="00D013F5"/>
    <w:rsid w:val="00D01C9C"/>
    <w:rsid w:val="00D02286"/>
    <w:rsid w:val="00D03046"/>
    <w:rsid w:val="00D035C4"/>
    <w:rsid w:val="00D036A3"/>
    <w:rsid w:val="00D049C8"/>
    <w:rsid w:val="00D05E3F"/>
    <w:rsid w:val="00D067BB"/>
    <w:rsid w:val="00D07009"/>
    <w:rsid w:val="00D1352A"/>
    <w:rsid w:val="00D14D8F"/>
    <w:rsid w:val="00D14FE4"/>
    <w:rsid w:val="00D157F5"/>
    <w:rsid w:val="00D15BB4"/>
    <w:rsid w:val="00D1638E"/>
    <w:rsid w:val="00D169AF"/>
    <w:rsid w:val="00D200EF"/>
    <w:rsid w:val="00D24300"/>
    <w:rsid w:val="00D24A13"/>
    <w:rsid w:val="00D25175"/>
    <w:rsid w:val="00D25249"/>
    <w:rsid w:val="00D26854"/>
    <w:rsid w:val="00D26BF5"/>
    <w:rsid w:val="00D34FF8"/>
    <w:rsid w:val="00D35835"/>
    <w:rsid w:val="00D417B1"/>
    <w:rsid w:val="00D44172"/>
    <w:rsid w:val="00D47BE3"/>
    <w:rsid w:val="00D50042"/>
    <w:rsid w:val="00D505FA"/>
    <w:rsid w:val="00D51FD9"/>
    <w:rsid w:val="00D5234D"/>
    <w:rsid w:val="00D540A5"/>
    <w:rsid w:val="00D5474A"/>
    <w:rsid w:val="00D57009"/>
    <w:rsid w:val="00D60B33"/>
    <w:rsid w:val="00D60C5A"/>
    <w:rsid w:val="00D61551"/>
    <w:rsid w:val="00D638E0"/>
    <w:rsid w:val="00D63B8C"/>
    <w:rsid w:val="00D64654"/>
    <w:rsid w:val="00D648F6"/>
    <w:rsid w:val="00D6688B"/>
    <w:rsid w:val="00D67D13"/>
    <w:rsid w:val="00D739CC"/>
    <w:rsid w:val="00D75F73"/>
    <w:rsid w:val="00D766F6"/>
    <w:rsid w:val="00D76CD4"/>
    <w:rsid w:val="00D77C35"/>
    <w:rsid w:val="00D80134"/>
    <w:rsid w:val="00D806F9"/>
    <w:rsid w:val="00D8093D"/>
    <w:rsid w:val="00D8108C"/>
    <w:rsid w:val="00D842AE"/>
    <w:rsid w:val="00D90BAA"/>
    <w:rsid w:val="00D9211C"/>
    <w:rsid w:val="00D92DE0"/>
    <w:rsid w:val="00D92FEF"/>
    <w:rsid w:val="00D931F9"/>
    <w:rsid w:val="00D93A0F"/>
    <w:rsid w:val="00D94081"/>
    <w:rsid w:val="00D94609"/>
    <w:rsid w:val="00D95755"/>
    <w:rsid w:val="00D97546"/>
    <w:rsid w:val="00D97A8A"/>
    <w:rsid w:val="00DA11EA"/>
    <w:rsid w:val="00DA1BCA"/>
    <w:rsid w:val="00DA324E"/>
    <w:rsid w:val="00DA3663"/>
    <w:rsid w:val="00DA610F"/>
    <w:rsid w:val="00DA659A"/>
    <w:rsid w:val="00DA68FD"/>
    <w:rsid w:val="00DA780B"/>
    <w:rsid w:val="00DB1640"/>
    <w:rsid w:val="00DB1C90"/>
    <w:rsid w:val="00DC1845"/>
    <w:rsid w:val="00DC22D3"/>
    <w:rsid w:val="00DC274A"/>
    <w:rsid w:val="00DC46FF"/>
    <w:rsid w:val="00DC497A"/>
    <w:rsid w:val="00DC5254"/>
    <w:rsid w:val="00DC569D"/>
    <w:rsid w:val="00DC6661"/>
    <w:rsid w:val="00DD1A4F"/>
    <w:rsid w:val="00DD3107"/>
    <w:rsid w:val="00DD3130"/>
    <w:rsid w:val="00DD5908"/>
    <w:rsid w:val="00DD7C2C"/>
    <w:rsid w:val="00DE298C"/>
    <w:rsid w:val="00DE2DE4"/>
    <w:rsid w:val="00DE335D"/>
    <w:rsid w:val="00DE3DD2"/>
    <w:rsid w:val="00DE5BDA"/>
    <w:rsid w:val="00DE7BA0"/>
    <w:rsid w:val="00DF0641"/>
    <w:rsid w:val="00DF174D"/>
    <w:rsid w:val="00DF30E2"/>
    <w:rsid w:val="00DF344A"/>
    <w:rsid w:val="00DF38B8"/>
    <w:rsid w:val="00DF433C"/>
    <w:rsid w:val="00DF519F"/>
    <w:rsid w:val="00DF5F15"/>
    <w:rsid w:val="00E00008"/>
    <w:rsid w:val="00E0035A"/>
    <w:rsid w:val="00E00A79"/>
    <w:rsid w:val="00E05356"/>
    <w:rsid w:val="00E0673E"/>
    <w:rsid w:val="00E06797"/>
    <w:rsid w:val="00E06D79"/>
    <w:rsid w:val="00E07443"/>
    <w:rsid w:val="00E1265B"/>
    <w:rsid w:val="00E12E09"/>
    <w:rsid w:val="00E13B48"/>
    <w:rsid w:val="00E1404F"/>
    <w:rsid w:val="00E14B9C"/>
    <w:rsid w:val="00E17780"/>
    <w:rsid w:val="00E17F33"/>
    <w:rsid w:val="00E20086"/>
    <w:rsid w:val="00E20B37"/>
    <w:rsid w:val="00E21C83"/>
    <w:rsid w:val="00E21E02"/>
    <w:rsid w:val="00E2232C"/>
    <w:rsid w:val="00E2358D"/>
    <w:rsid w:val="00E23737"/>
    <w:rsid w:val="00E24ADA"/>
    <w:rsid w:val="00E27760"/>
    <w:rsid w:val="00E311E8"/>
    <w:rsid w:val="00E321C7"/>
    <w:rsid w:val="00E323FA"/>
    <w:rsid w:val="00E32F59"/>
    <w:rsid w:val="00E33B25"/>
    <w:rsid w:val="00E34240"/>
    <w:rsid w:val="00E34BC4"/>
    <w:rsid w:val="00E35212"/>
    <w:rsid w:val="00E360AB"/>
    <w:rsid w:val="00E3750A"/>
    <w:rsid w:val="00E41908"/>
    <w:rsid w:val="00E439D3"/>
    <w:rsid w:val="00E46D9A"/>
    <w:rsid w:val="00E472C8"/>
    <w:rsid w:val="00E51E24"/>
    <w:rsid w:val="00E544F4"/>
    <w:rsid w:val="00E55328"/>
    <w:rsid w:val="00E565FF"/>
    <w:rsid w:val="00E56D6B"/>
    <w:rsid w:val="00E64DCB"/>
    <w:rsid w:val="00E65388"/>
    <w:rsid w:val="00E6633B"/>
    <w:rsid w:val="00E6709E"/>
    <w:rsid w:val="00E67667"/>
    <w:rsid w:val="00E73A69"/>
    <w:rsid w:val="00E74160"/>
    <w:rsid w:val="00E752A1"/>
    <w:rsid w:val="00E75BE3"/>
    <w:rsid w:val="00E7741D"/>
    <w:rsid w:val="00E77445"/>
    <w:rsid w:val="00E808CD"/>
    <w:rsid w:val="00E8348F"/>
    <w:rsid w:val="00E853C8"/>
    <w:rsid w:val="00E85854"/>
    <w:rsid w:val="00E85B7D"/>
    <w:rsid w:val="00E87919"/>
    <w:rsid w:val="00E9121B"/>
    <w:rsid w:val="00E92FAF"/>
    <w:rsid w:val="00E9302E"/>
    <w:rsid w:val="00E951E7"/>
    <w:rsid w:val="00E976AB"/>
    <w:rsid w:val="00EA0AE2"/>
    <w:rsid w:val="00EA157D"/>
    <w:rsid w:val="00EA239D"/>
    <w:rsid w:val="00EA39E5"/>
    <w:rsid w:val="00EA5785"/>
    <w:rsid w:val="00EA57A3"/>
    <w:rsid w:val="00EA57CE"/>
    <w:rsid w:val="00EA5FE9"/>
    <w:rsid w:val="00EA7037"/>
    <w:rsid w:val="00EB07D6"/>
    <w:rsid w:val="00EB3633"/>
    <w:rsid w:val="00EB3B1D"/>
    <w:rsid w:val="00EB7249"/>
    <w:rsid w:val="00EC2813"/>
    <w:rsid w:val="00EC349F"/>
    <w:rsid w:val="00EC362A"/>
    <w:rsid w:val="00EC5A46"/>
    <w:rsid w:val="00EC636E"/>
    <w:rsid w:val="00EC63E2"/>
    <w:rsid w:val="00ED0225"/>
    <w:rsid w:val="00ED1E2C"/>
    <w:rsid w:val="00ED366A"/>
    <w:rsid w:val="00ED4699"/>
    <w:rsid w:val="00ED510A"/>
    <w:rsid w:val="00ED6BB7"/>
    <w:rsid w:val="00EE120F"/>
    <w:rsid w:val="00EE18A1"/>
    <w:rsid w:val="00EE54A1"/>
    <w:rsid w:val="00EE6A6E"/>
    <w:rsid w:val="00EE6BE4"/>
    <w:rsid w:val="00EE7010"/>
    <w:rsid w:val="00EF0296"/>
    <w:rsid w:val="00EF0951"/>
    <w:rsid w:val="00EF0D69"/>
    <w:rsid w:val="00EF22B3"/>
    <w:rsid w:val="00EF314F"/>
    <w:rsid w:val="00EF3808"/>
    <w:rsid w:val="00EF5366"/>
    <w:rsid w:val="00EF7CA8"/>
    <w:rsid w:val="00F01791"/>
    <w:rsid w:val="00F03235"/>
    <w:rsid w:val="00F03979"/>
    <w:rsid w:val="00F03B69"/>
    <w:rsid w:val="00F03D2F"/>
    <w:rsid w:val="00F07A50"/>
    <w:rsid w:val="00F100F2"/>
    <w:rsid w:val="00F113DA"/>
    <w:rsid w:val="00F15160"/>
    <w:rsid w:val="00F1559E"/>
    <w:rsid w:val="00F22310"/>
    <w:rsid w:val="00F22360"/>
    <w:rsid w:val="00F22967"/>
    <w:rsid w:val="00F266FC"/>
    <w:rsid w:val="00F27FFB"/>
    <w:rsid w:val="00F30105"/>
    <w:rsid w:val="00F3037A"/>
    <w:rsid w:val="00F3091C"/>
    <w:rsid w:val="00F317CD"/>
    <w:rsid w:val="00F3395A"/>
    <w:rsid w:val="00F3465A"/>
    <w:rsid w:val="00F37DC8"/>
    <w:rsid w:val="00F40C70"/>
    <w:rsid w:val="00F4294B"/>
    <w:rsid w:val="00F439B3"/>
    <w:rsid w:val="00F47865"/>
    <w:rsid w:val="00F505E0"/>
    <w:rsid w:val="00F519E9"/>
    <w:rsid w:val="00F51B63"/>
    <w:rsid w:val="00F528E0"/>
    <w:rsid w:val="00F53463"/>
    <w:rsid w:val="00F55A86"/>
    <w:rsid w:val="00F55F57"/>
    <w:rsid w:val="00F56012"/>
    <w:rsid w:val="00F56194"/>
    <w:rsid w:val="00F572BB"/>
    <w:rsid w:val="00F57BFC"/>
    <w:rsid w:val="00F63534"/>
    <w:rsid w:val="00F650C3"/>
    <w:rsid w:val="00F65CA1"/>
    <w:rsid w:val="00F65CC1"/>
    <w:rsid w:val="00F65D85"/>
    <w:rsid w:val="00F6700B"/>
    <w:rsid w:val="00F679EA"/>
    <w:rsid w:val="00F7137B"/>
    <w:rsid w:val="00F75E76"/>
    <w:rsid w:val="00F8084E"/>
    <w:rsid w:val="00F8091E"/>
    <w:rsid w:val="00F85716"/>
    <w:rsid w:val="00F8615C"/>
    <w:rsid w:val="00F8699A"/>
    <w:rsid w:val="00F87352"/>
    <w:rsid w:val="00F91C4F"/>
    <w:rsid w:val="00F922D3"/>
    <w:rsid w:val="00F93600"/>
    <w:rsid w:val="00F94207"/>
    <w:rsid w:val="00F94B1B"/>
    <w:rsid w:val="00F969E5"/>
    <w:rsid w:val="00FA12A8"/>
    <w:rsid w:val="00FA3406"/>
    <w:rsid w:val="00FA4972"/>
    <w:rsid w:val="00FA6144"/>
    <w:rsid w:val="00FA6BB0"/>
    <w:rsid w:val="00FB142F"/>
    <w:rsid w:val="00FB2324"/>
    <w:rsid w:val="00FB2DBD"/>
    <w:rsid w:val="00FB3481"/>
    <w:rsid w:val="00FB4230"/>
    <w:rsid w:val="00FB539E"/>
    <w:rsid w:val="00FB5830"/>
    <w:rsid w:val="00FC34A7"/>
    <w:rsid w:val="00FC3DA6"/>
    <w:rsid w:val="00FC485A"/>
    <w:rsid w:val="00FD2698"/>
    <w:rsid w:val="00FD48DF"/>
    <w:rsid w:val="00FD5860"/>
    <w:rsid w:val="00FD6D11"/>
    <w:rsid w:val="00FE1452"/>
    <w:rsid w:val="00FE352D"/>
    <w:rsid w:val="00FE40EB"/>
    <w:rsid w:val="00FE4D02"/>
    <w:rsid w:val="00FE67ED"/>
    <w:rsid w:val="00FE7D62"/>
    <w:rsid w:val="00FF0DA0"/>
    <w:rsid w:val="00FF1231"/>
    <w:rsid w:val="00FF3819"/>
    <w:rsid w:val="00FF3822"/>
    <w:rsid w:val="00FF476C"/>
    <w:rsid w:val="00FF4DE7"/>
    <w:rsid w:val="00FF556A"/>
    <w:rsid w:val="00FF73EB"/>
    <w:rsid w:val="00FF7D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06B4B"/>
  <w15:docId w15:val="{509422EE-C704-4A03-9F39-2CC478C4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55A86"/>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5A3334"/>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AD2FC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uiPriority w:val="99"/>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qFormat/>
    <w:rsid w:val="00AD2FC4"/>
    <w:pPr>
      <w:spacing w:after="120"/>
      <w:ind w:left="1247"/>
    </w:pPr>
    <w:rPr>
      <w:lang w:val="en-GB"/>
    </w:rPr>
  </w:style>
  <w:style w:type="paragraph" w:customStyle="1" w:styleId="Normalnumber">
    <w:name w:val="Normal_number"/>
    <w:basedOn w:val="Normalpool"/>
    <w:link w:val="NormalnumberChar"/>
    <w:rsid w:val="008F77F9"/>
    <w:pPr>
      <w:numPr>
        <w:numId w:val="4"/>
      </w:numPr>
      <w:tabs>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qFormat/>
    <w:rsid w:val="00AD2FC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CH2Char">
    <w:name w:val="CH2 Char"/>
    <w:link w:val="CH2"/>
    <w:locked/>
    <w:rsid w:val="00F55A86"/>
    <w:rPr>
      <w:b/>
      <w:sz w:val="24"/>
      <w:szCs w:val="24"/>
      <w:lang w:eastAsia="en-US"/>
    </w:rPr>
  </w:style>
  <w:style w:type="character" w:customStyle="1" w:styleId="CH3Char">
    <w:name w:val="CH3 Char"/>
    <w:link w:val="CH3"/>
    <w:locked/>
    <w:rsid w:val="005A3334"/>
    <w:rPr>
      <w:b/>
      <w:lang w:eastAsia="en-US"/>
    </w:rPr>
  </w:style>
  <w:style w:type="character" w:customStyle="1" w:styleId="ZZAnxheaderChar">
    <w:name w:val="ZZ_Anx_header Char"/>
    <w:link w:val="ZZAnxheader"/>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rsid w:val="0099003C"/>
    <w:rPr>
      <w:snapToGrid w:val="0"/>
      <w:u w:val="single"/>
      <w:lang w:val="en-US" w:eastAsia="en-US"/>
    </w:rPr>
  </w:style>
  <w:style w:type="character" w:customStyle="1" w:styleId="NormalnumberChar">
    <w:name w:val="Normal_number Char"/>
    <w:link w:val="Normalnumber"/>
    <w:locked/>
    <w:rsid w:val="008F77F9"/>
    <w:rPr>
      <w:lang w:eastAsia="en-US"/>
    </w:rPr>
  </w:style>
  <w:style w:type="numbering" w:customStyle="1" w:styleId="WWNum25">
    <w:name w:val="WWNum25"/>
    <w:rsid w:val="0099003C"/>
    <w:pPr>
      <w:numPr>
        <w:numId w:val="5"/>
      </w:numPr>
    </w:pPr>
  </w:style>
  <w:style w:type="character" w:customStyle="1" w:styleId="Heading1Char">
    <w:name w:val="Heading 1 Char"/>
    <w:basedOn w:val="DefaultParagraphFont"/>
    <w:link w:val="Heading1"/>
    <w:rsid w:val="0099003C"/>
    <w:rPr>
      <w:b/>
      <w:sz w:val="28"/>
      <w:lang w:eastAsia="en-US"/>
    </w:rPr>
  </w:style>
  <w:style w:type="character" w:customStyle="1" w:styleId="Normal-poolChar">
    <w:name w:val="Normal-pool Char"/>
    <w:link w:val="Normal-pool"/>
    <w:rsid w:val="00547AF3"/>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4F5C75"/>
    <w:rPr>
      <w:lang w:eastAsia="en-US"/>
    </w:rPr>
  </w:style>
  <w:style w:type="numbering" w:customStyle="1" w:styleId="Importovanstyl4">
    <w:name w:val="Importovaný styl 4"/>
    <w:rsid w:val="0099003C"/>
    <w:pPr>
      <w:numPr>
        <w:numId w:val="6"/>
      </w:numPr>
    </w:pPr>
  </w:style>
  <w:style w:type="numbering" w:customStyle="1" w:styleId="Importovanstyl5">
    <w:name w:val="Importovaný styl 5"/>
    <w:rsid w:val="0099003C"/>
    <w:pPr>
      <w:numPr>
        <w:numId w:val="7"/>
      </w:numPr>
    </w:pPr>
  </w:style>
  <w:style w:type="numbering" w:customStyle="1" w:styleId="Importovanstyl6">
    <w:name w:val="Importovaný styl 6"/>
    <w:rsid w:val="0099003C"/>
    <w:pPr>
      <w:numPr>
        <w:numId w:val="8"/>
      </w:numPr>
    </w:pPr>
  </w:style>
  <w:style w:type="numbering" w:customStyle="1" w:styleId="Importovanstyl8">
    <w:name w:val="Importovaný styl 8"/>
    <w:rsid w:val="0099003C"/>
    <w:pPr>
      <w:numPr>
        <w:numId w:val="9"/>
      </w:numPr>
    </w:pPr>
  </w:style>
  <w:style w:type="numbering" w:customStyle="1" w:styleId="Importovanstyl9">
    <w:name w:val="Importovaný styl 9"/>
    <w:rsid w:val="0099003C"/>
    <w:pPr>
      <w:numPr>
        <w:numId w:val="10"/>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rsid w:val="0099003C"/>
    <w:rPr>
      <w:b/>
      <w:bCs/>
      <w:sz w:val="24"/>
      <w:lang w:eastAsia="en-US"/>
    </w:rPr>
  </w:style>
  <w:style w:type="character" w:customStyle="1" w:styleId="Heading7Char">
    <w:name w:val="Heading 7 Char"/>
    <w:basedOn w:val="DefaultParagraphFont"/>
    <w:link w:val="Heading7"/>
    <w:rsid w:val="0099003C"/>
    <w:rPr>
      <w:snapToGrid w:val="0"/>
      <w:u w:val="single"/>
      <w:lang w:val="en-US" w:eastAsia="en-US"/>
    </w:rPr>
  </w:style>
  <w:style w:type="character" w:customStyle="1" w:styleId="Heading8Char">
    <w:name w:val="Heading 8 Char"/>
    <w:basedOn w:val="DefaultParagraphFont"/>
    <w:link w:val="Heading8"/>
    <w:rsid w:val="0099003C"/>
    <w:rPr>
      <w:snapToGrid w:val="0"/>
      <w:u w:val="single"/>
      <w:lang w:val="en-US" w:eastAsia="en-US"/>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iPriority w:val="99"/>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1"/>
      </w:numPr>
    </w:pPr>
  </w:style>
  <w:style w:type="character" w:customStyle="1" w:styleId="FooterChar">
    <w:name w:val="Footer Char"/>
    <w:basedOn w:val="DefaultParagraphFont"/>
    <w:link w:val="Footer"/>
    <w:uiPriority w:val="99"/>
    <w:rsid w:val="009B44C9"/>
    <w:rPr>
      <w:sz w:val="18"/>
      <w:lang w:eastAsia="en-US"/>
    </w:rPr>
  </w:style>
  <w:style w:type="paragraph" w:styleId="BodyText">
    <w:name w:val="Body Text"/>
    <w:basedOn w:val="Normal"/>
    <w:link w:val="BodyTextChar"/>
    <w:rsid w:val="00681A4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681A4E"/>
    <w:rPr>
      <w:rFonts w:eastAsia="SimSun"/>
      <w:sz w:val="22"/>
      <w:szCs w:val="24"/>
      <w:lang w:val="en-US" w:eastAsia="en-US"/>
    </w:rPr>
  </w:style>
  <w:style w:type="paragraph" w:customStyle="1" w:styleId="Default">
    <w:name w:val="Default"/>
    <w:rsid w:val="006D667A"/>
    <w:pPr>
      <w:suppressAutoHyphens/>
      <w:autoSpaceDE w:val="0"/>
    </w:pPr>
    <w:rPr>
      <w:rFonts w:ascii="Calibri" w:eastAsia="Arial" w:hAnsi="Calibri" w:cs="Calibri"/>
      <w:color w:val="000000"/>
      <w:sz w:val="24"/>
      <w:szCs w:val="24"/>
      <w:lang w:val="cs-CZ" w:eastAsia="ar-SA"/>
    </w:rPr>
  </w:style>
  <w:style w:type="paragraph" w:styleId="Caption">
    <w:name w:val="caption"/>
    <w:next w:val="Normal"/>
    <w:rsid w:val="008B1DF7"/>
    <w:pPr>
      <w:pBdr>
        <w:top w:val="nil"/>
        <w:left w:val="nil"/>
        <w:bottom w:val="nil"/>
        <w:right w:val="nil"/>
        <w:between w:val="nil"/>
        <w:bar w:val="nil"/>
      </w:pBdr>
      <w:spacing w:after="200"/>
    </w:pPr>
    <w:rPr>
      <w:rFonts w:ascii="Calibri" w:eastAsia="Arial Unicode MS" w:hAnsi="Calibri" w:cs="Arial Unicode MS"/>
      <w:i/>
      <w:iCs/>
      <w:color w:val="44546A"/>
      <w:sz w:val="18"/>
      <w:szCs w:val="18"/>
      <w:u w:color="44546A"/>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18155">
      <w:bodyDiv w:val="1"/>
      <w:marLeft w:val="0"/>
      <w:marRight w:val="0"/>
      <w:marTop w:val="0"/>
      <w:marBottom w:val="0"/>
      <w:divBdr>
        <w:top w:val="none" w:sz="0" w:space="0" w:color="auto"/>
        <w:left w:val="none" w:sz="0" w:space="0" w:color="auto"/>
        <w:bottom w:val="none" w:sz="0" w:space="0" w:color="auto"/>
        <w:right w:val="none" w:sz="0" w:space="0" w:color="auto"/>
      </w:divBdr>
    </w:div>
    <w:div w:id="319626271">
      <w:bodyDiv w:val="1"/>
      <w:marLeft w:val="0"/>
      <w:marRight w:val="0"/>
      <w:marTop w:val="0"/>
      <w:marBottom w:val="0"/>
      <w:divBdr>
        <w:top w:val="none" w:sz="0" w:space="0" w:color="auto"/>
        <w:left w:val="none" w:sz="0" w:space="0" w:color="auto"/>
        <w:bottom w:val="none" w:sz="0" w:space="0" w:color="auto"/>
        <w:right w:val="none" w:sz="0" w:space="0" w:color="auto"/>
      </w:divBdr>
    </w:div>
    <w:div w:id="32200983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2952047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33921-26AF-4E11-964E-295FF7E461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96084F-283E-48F9-BBCD-F32F33F87FA7}">
  <ds:schemaRefs>
    <ds:schemaRef ds:uri="http://schemas.microsoft.com/sharepoint/v3/contenttype/forms"/>
  </ds:schemaRefs>
</ds:datastoreItem>
</file>

<file path=customXml/itemProps3.xml><?xml version="1.0" encoding="utf-8"?>
<ds:datastoreItem xmlns:ds="http://schemas.openxmlformats.org/officeDocument/2006/customXml" ds:itemID="{467E7182-E151-448B-A5E3-79FC485B2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845FDA-747E-41E3-B54D-7F6876AE9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1009</TotalTime>
  <Pages>4</Pages>
  <Words>1420</Words>
  <Characters>7702</Characters>
  <Application>Microsoft Office Word</Application>
  <DocSecurity>0</DocSecurity>
  <Lines>145</Lines>
  <Paragraphs>70</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9052</CharactersWithSpaces>
  <SharedDoc>false</SharedDoc>
  <HLinks>
    <vt:vector size="90" baseType="variant">
      <vt:variant>
        <vt:i4>4194315</vt:i4>
      </vt:variant>
      <vt:variant>
        <vt:i4>84</vt:i4>
      </vt:variant>
      <vt:variant>
        <vt:i4>0</vt:i4>
      </vt:variant>
      <vt:variant>
        <vt:i4>5</vt:i4>
      </vt:variant>
      <vt:variant>
        <vt:lpwstr>http://www.mercuryconvention.org/</vt:lpwstr>
      </vt:variant>
      <vt:variant>
        <vt:lpwstr/>
      </vt:variant>
      <vt:variant>
        <vt:i4>5505083</vt:i4>
      </vt:variant>
      <vt:variant>
        <vt:i4>81</vt:i4>
      </vt:variant>
      <vt:variant>
        <vt:i4>0</vt:i4>
      </vt:variant>
      <vt:variant>
        <vt:i4>5</vt:i4>
      </vt:variant>
      <vt:variant>
        <vt:lpwstr>mailto:mea-minamatasecretariat@un.org</vt:lpwstr>
      </vt:variant>
      <vt:variant>
        <vt:lpwstr/>
      </vt:variant>
      <vt:variant>
        <vt:i4>1114162</vt:i4>
      </vt:variant>
      <vt:variant>
        <vt:i4>74</vt:i4>
      </vt:variant>
      <vt:variant>
        <vt:i4>0</vt:i4>
      </vt:variant>
      <vt:variant>
        <vt:i4>5</vt:i4>
      </vt:variant>
      <vt:variant>
        <vt:lpwstr/>
      </vt:variant>
      <vt:variant>
        <vt:lpwstr>_Toc27124754</vt:lpwstr>
      </vt:variant>
      <vt:variant>
        <vt:i4>1441842</vt:i4>
      </vt:variant>
      <vt:variant>
        <vt:i4>68</vt:i4>
      </vt:variant>
      <vt:variant>
        <vt:i4>0</vt:i4>
      </vt:variant>
      <vt:variant>
        <vt:i4>5</vt:i4>
      </vt:variant>
      <vt:variant>
        <vt:lpwstr/>
      </vt:variant>
      <vt:variant>
        <vt:lpwstr>_Toc27124753</vt:lpwstr>
      </vt:variant>
      <vt:variant>
        <vt:i4>1507378</vt:i4>
      </vt:variant>
      <vt:variant>
        <vt:i4>62</vt:i4>
      </vt:variant>
      <vt:variant>
        <vt:i4>0</vt:i4>
      </vt:variant>
      <vt:variant>
        <vt:i4>5</vt:i4>
      </vt:variant>
      <vt:variant>
        <vt:lpwstr/>
      </vt:variant>
      <vt:variant>
        <vt:lpwstr>_Toc27124752</vt:lpwstr>
      </vt:variant>
      <vt:variant>
        <vt:i4>1310770</vt:i4>
      </vt:variant>
      <vt:variant>
        <vt:i4>56</vt:i4>
      </vt:variant>
      <vt:variant>
        <vt:i4>0</vt:i4>
      </vt:variant>
      <vt:variant>
        <vt:i4>5</vt:i4>
      </vt:variant>
      <vt:variant>
        <vt:lpwstr/>
      </vt:variant>
      <vt:variant>
        <vt:lpwstr>_Toc27124751</vt:lpwstr>
      </vt:variant>
      <vt:variant>
        <vt:i4>1376306</vt:i4>
      </vt:variant>
      <vt:variant>
        <vt:i4>50</vt:i4>
      </vt:variant>
      <vt:variant>
        <vt:i4>0</vt:i4>
      </vt:variant>
      <vt:variant>
        <vt:i4>5</vt:i4>
      </vt:variant>
      <vt:variant>
        <vt:lpwstr/>
      </vt:variant>
      <vt:variant>
        <vt:lpwstr>_Toc27124750</vt:lpwstr>
      </vt:variant>
      <vt:variant>
        <vt:i4>1835059</vt:i4>
      </vt:variant>
      <vt:variant>
        <vt:i4>44</vt:i4>
      </vt:variant>
      <vt:variant>
        <vt:i4>0</vt:i4>
      </vt:variant>
      <vt:variant>
        <vt:i4>5</vt:i4>
      </vt:variant>
      <vt:variant>
        <vt:lpwstr/>
      </vt:variant>
      <vt:variant>
        <vt:lpwstr>_Toc27124749</vt:lpwstr>
      </vt:variant>
      <vt:variant>
        <vt:i4>1900595</vt:i4>
      </vt:variant>
      <vt:variant>
        <vt:i4>38</vt:i4>
      </vt:variant>
      <vt:variant>
        <vt:i4>0</vt:i4>
      </vt:variant>
      <vt:variant>
        <vt:i4>5</vt:i4>
      </vt:variant>
      <vt:variant>
        <vt:lpwstr/>
      </vt:variant>
      <vt:variant>
        <vt:lpwstr>_Toc27124748</vt:lpwstr>
      </vt:variant>
      <vt:variant>
        <vt:i4>1179699</vt:i4>
      </vt:variant>
      <vt:variant>
        <vt:i4>32</vt:i4>
      </vt:variant>
      <vt:variant>
        <vt:i4>0</vt:i4>
      </vt:variant>
      <vt:variant>
        <vt:i4>5</vt:i4>
      </vt:variant>
      <vt:variant>
        <vt:lpwstr/>
      </vt:variant>
      <vt:variant>
        <vt:lpwstr>_Toc27124747</vt:lpwstr>
      </vt:variant>
      <vt:variant>
        <vt:i4>1245235</vt:i4>
      </vt:variant>
      <vt:variant>
        <vt:i4>26</vt:i4>
      </vt:variant>
      <vt:variant>
        <vt:i4>0</vt:i4>
      </vt:variant>
      <vt:variant>
        <vt:i4>5</vt:i4>
      </vt:variant>
      <vt:variant>
        <vt:lpwstr/>
      </vt:variant>
      <vt:variant>
        <vt:lpwstr>_Toc27124746</vt:lpwstr>
      </vt:variant>
      <vt:variant>
        <vt:i4>1114163</vt:i4>
      </vt:variant>
      <vt:variant>
        <vt:i4>20</vt:i4>
      </vt:variant>
      <vt:variant>
        <vt:i4>0</vt:i4>
      </vt:variant>
      <vt:variant>
        <vt:i4>5</vt:i4>
      </vt:variant>
      <vt:variant>
        <vt:lpwstr/>
      </vt:variant>
      <vt:variant>
        <vt:lpwstr>_Toc27124744</vt:lpwstr>
      </vt:variant>
      <vt:variant>
        <vt:i4>1441843</vt:i4>
      </vt:variant>
      <vt:variant>
        <vt:i4>14</vt:i4>
      </vt:variant>
      <vt:variant>
        <vt:i4>0</vt:i4>
      </vt:variant>
      <vt:variant>
        <vt:i4>5</vt:i4>
      </vt:variant>
      <vt:variant>
        <vt:lpwstr/>
      </vt:variant>
      <vt:variant>
        <vt:lpwstr>_Toc27124743</vt:lpwstr>
      </vt:variant>
      <vt:variant>
        <vt:i4>1507379</vt:i4>
      </vt:variant>
      <vt:variant>
        <vt:i4>8</vt:i4>
      </vt:variant>
      <vt:variant>
        <vt:i4>0</vt:i4>
      </vt:variant>
      <vt:variant>
        <vt:i4>5</vt:i4>
      </vt:variant>
      <vt:variant>
        <vt:lpwstr/>
      </vt:variant>
      <vt:variant>
        <vt:lpwstr>_Toc27124742</vt:lpwstr>
      </vt:variant>
      <vt:variant>
        <vt:i4>1310771</vt:i4>
      </vt:variant>
      <vt:variant>
        <vt:i4>2</vt:i4>
      </vt:variant>
      <vt:variant>
        <vt:i4>0</vt:i4>
      </vt:variant>
      <vt:variant>
        <vt:i4>5</vt:i4>
      </vt:variant>
      <vt:variant>
        <vt:lpwstr/>
      </vt:variant>
      <vt:variant>
        <vt:lpwstr>_Toc27124741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Linh DOAN</cp:lastModifiedBy>
  <cp:revision>20</cp:revision>
  <cp:lastPrinted>2020-05-15T11:26:00Z</cp:lastPrinted>
  <dcterms:created xsi:type="dcterms:W3CDTF">2020-10-15T16:27:00Z</dcterms:created>
  <dcterms:modified xsi:type="dcterms:W3CDTF">2020-10-29T12:38:00Z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