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4F57619C"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5A3B9C">
              <w:rPr>
                <w:rFonts w:cs="Times New Roman"/>
                <w:szCs w:val="20"/>
              </w:rPr>
              <w:t>3</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48689399" w14:textId="2680CD26"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351DCC2D" w14:textId="77777777" w:rsidR="005A3B9C" w:rsidRPr="002B23AC" w:rsidRDefault="005A3B9C" w:rsidP="005A3B9C">
      <w:pPr>
        <w:pStyle w:val="Normalnumber"/>
        <w:numPr>
          <w:ilvl w:val="0"/>
          <w:numId w:val="0"/>
        </w:numPr>
        <w:tabs>
          <w:tab w:val="left" w:pos="1841"/>
          <w:tab w:val="left" w:pos="2408"/>
          <w:tab w:val="left" w:pos="2975"/>
        </w:tabs>
        <w:bidi/>
        <w:spacing w:before="240" w:after="240" w:line="400" w:lineRule="exact"/>
        <w:ind w:left="1134"/>
        <w:jc w:val="both"/>
        <w:textDirection w:val="tbRlV"/>
        <w:outlineLvl w:val="0"/>
        <w:rPr>
          <w:rFonts w:ascii="Traditional Arabic" w:hAnsi="Traditional Arabic" w:cs="Traditional Arabic"/>
          <w:b/>
          <w:bCs/>
          <w:sz w:val="32"/>
          <w:szCs w:val="32"/>
          <w:rtl/>
          <w:lang w:eastAsia="zh-TW"/>
        </w:rPr>
      </w:pPr>
      <w:bookmarkStart w:id="3" w:name="_Toc11753087"/>
      <w:bookmarkEnd w:id="2"/>
      <w:r>
        <w:rPr>
          <w:rFonts w:ascii="Traditional Arabic" w:hAnsi="Traditional Arabic" w:cs="Traditional Arabic" w:hint="cs"/>
          <w:b/>
          <w:bCs/>
          <w:sz w:val="32"/>
          <w:szCs w:val="32"/>
          <w:rtl/>
          <w:lang w:eastAsia="zh-TW"/>
        </w:rPr>
        <w:t>المقرر ا م-2/3: الإطلاقات</w:t>
      </w:r>
      <w:bookmarkEnd w:id="3"/>
    </w:p>
    <w:p w14:paraId="532EA281" w14:textId="77777777" w:rsidR="005A3B9C" w:rsidRDefault="005A3B9C" w:rsidP="005A3B9C">
      <w:pPr>
        <w:tabs>
          <w:tab w:val="left" w:pos="2408"/>
        </w:tabs>
        <w:bidi/>
        <w:spacing w:after="120" w:line="400" w:lineRule="exact"/>
        <w:ind w:left="1132" w:firstLine="709"/>
        <w:jc w:val="both"/>
        <w:textDirection w:val="tbRlV"/>
        <w:rPr>
          <w:rFonts w:ascii="Traditional Arabic" w:hAnsi="Traditional Arabic"/>
          <w:i/>
          <w:sz w:val="30"/>
          <w:rtl/>
          <w:lang w:val="en-GB" w:eastAsia="zh-TW"/>
        </w:rPr>
      </w:pPr>
      <w:r w:rsidRPr="001A41B1">
        <w:rPr>
          <w:rFonts w:ascii="Traditional Arabic" w:hAnsi="Traditional Arabic"/>
          <w:i/>
          <w:iCs/>
          <w:sz w:val="30"/>
          <w:rtl/>
          <w:lang w:val="en-GB" w:eastAsia="zh-TW"/>
        </w:rPr>
        <w:t>إن مؤتمر الأطراف،</w:t>
      </w:r>
    </w:p>
    <w:p w14:paraId="3F1D1122" w14:textId="77777777" w:rsidR="005A3B9C" w:rsidRPr="00617CE1" w:rsidRDefault="005A3B9C" w:rsidP="005A3B9C">
      <w:pPr>
        <w:tabs>
          <w:tab w:val="left" w:pos="2408"/>
        </w:tabs>
        <w:bidi/>
        <w:spacing w:after="120" w:line="400" w:lineRule="exact"/>
        <w:ind w:left="1134" w:firstLine="709"/>
        <w:jc w:val="both"/>
        <w:textDirection w:val="tbRlV"/>
        <w:rPr>
          <w:rFonts w:asciiTheme="majorBidi" w:eastAsia="MS Mincho" w:hAnsiTheme="majorBidi" w:cstheme="majorBidi"/>
          <w:i/>
          <w:rtl/>
          <w:lang w:val="en-GB" w:eastAsia="zh-TW"/>
        </w:rPr>
      </w:pPr>
      <w:r w:rsidRPr="00FF3368">
        <w:rPr>
          <w:i/>
          <w:iCs/>
          <w:rtl/>
          <w:lang w:val="en-GB" w:eastAsia="zh-TW"/>
        </w:rPr>
        <w:t>إذ يدرك</w:t>
      </w:r>
      <w:r w:rsidRPr="00617CE1">
        <w:rPr>
          <w:rtl/>
          <w:lang w:val="en-GB" w:eastAsia="zh-TW"/>
        </w:rPr>
        <w:t xml:space="preserve"> الحاجة إلى ضبط، وحيثما أمكن، خفض إطلاقات الزئبق ومركّبات الزئبق إلى الأراضي والمياه من مصادر ثابتة ذات صلة لا ت</w:t>
      </w:r>
      <w:r>
        <w:rPr>
          <w:rtl/>
          <w:lang w:val="en-GB" w:eastAsia="zh-TW"/>
        </w:rPr>
        <w:t>تناولها أحكام أخرى من اتفاقية</w:t>
      </w:r>
      <w:r>
        <w:rPr>
          <w:rFonts w:hint="cs"/>
          <w:rtl/>
          <w:lang w:val="en-GB" w:eastAsia="zh-TW"/>
        </w:rPr>
        <w:t xml:space="preserve"> </w:t>
      </w:r>
      <w:proofErr w:type="spellStart"/>
      <w:r>
        <w:rPr>
          <w:rFonts w:hint="cs"/>
          <w:rtl/>
          <w:lang w:val="en-GB" w:eastAsia="zh-TW"/>
        </w:rPr>
        <w:t>ميناماتا</w:t>
      </w:r>
      <w:proofErr w:type="spellEnd"/>
      <w:r>
        <w:rPr>
          <w:rFonts w:hint="cs"/>
          <w:rtl/>
          <w:lang w:val="en-GB" w:eastAsia="zh-TW"/>
        </w:rPr>
        <w:t xml:space="preserve"> بشأن الزئبق،</w:t>
      </w:r>
    </w:p>
    <w:p w14:paraId="5927147A" w14:textId="77777777" w:rsidR="005A3B9C" w:rsidRPr="00617CE1" w:rsidRDefault="005A3B9C" w:rsidP="005A3B9C">
      <w:pPr>
        <w:tabs>
          <w:tab w:val="left" w:pos="2408"/>
        </w:tabs>
        <w:bidi/>
        <w:spacing w:after="120" w:line="400" w:lineRule="exact"/>
        <w:ind w:left="1134" w:firstLine="709"/>
        <w:jc w:val="both"/>
        <w:textDirection w:val="tbRlV"/>
        <w:rPr>
          <w:rFonts w:asciiTheme="majorBidi" w:eastAsia="MS Mincho" w:hAnsiTheme="majorBidi" w:cstheme="majorBidi"/>
          <w:rtl/>
          <w:lang w:val="en-GB" w:eastAsia="zh-TW"/>
        </w:rPr>
      </w:pPr>
      <w:r w:rsidRPr="00FF3368">
        <w:rPr>
          <w:i/>
          <w:iCs/>
          <w:rtl/>
          <w:lang w:val="en-GB" w:eastAsia="zh-TW"/>
        </w:rPr>
        <w:t>وإذ يسلم أيضاً</w:t>
      </w:r>
      <w:r w:rsidRPr="00617CE1">
        <w:rPr>
          <w:rtl/>
          <w:lang w:val="en-GB" w:eastAsia="zh-TW"/>
        </w:rPr>
        <w:t xml:space="preserve"> بأنه يتعين على مؤتمر الأطراف أن يعتمد، في أقرب وقت ممكن عملياً، توجيهات تتعلق بأفضل التقنيات المتاحة وأفضل الممارسات البيئية وبأساليب إعداد قوائم الجرد للإطلاقات من تلك المصادر،</w:t>
      </w:r>
    </w:p>
    <w:p w14:paraId="4B495EF7" w14:textId="77777777" w:rsidR="005A3B9C" w:rsidRPr="00617CE1" w:rsidRDefault="005A3B9C" w:rsidP="005A3B9C">
      <w:pPr>
        <w:tabs>
          <w:tab w:val="left" w:pos="2408"/>
        </w:tabs>
        <w:bidi/>
        <w:spacing w:after="120" w:line="400" w:lineRule="exact"/>
        <w:ind w:left="1134" w:firstLine="709"/>
        <w:jc w:val="both"/>
        <w:textDirection w:val="tbRlV"/>
        <w:rPr>
          <w:rFonts w:asciiTheme="majorBidi" w:eastAsia="MS Mincho" w:hAnsiTheme="majorBidi" w:cstheme="majorBidi"/>
          <w:rtl/>
          <w:lang w:val="en-GB" w:eastAsia="zh-TW"/>
        </w:rPr>
      </w:pPr>
      <w:r w:rsidRPr="00FF3368">
        <w:rPr>
          <w:i/>
          <w:iCs/>
          <w:rtl/>
          <w:lang w:val="en-GB" w:eastAsia="zh-TW"/>
        </w:rPr>
        <w:t>وإذ يدرك كذلك</w:t>
      </w:r>
      <w:r w:rsidRPr="00617CE1">
        <w:rPr>
          <w:rtl/>
          <w:lang w:val="en-GB" w:eastAsia="zh-TW"/>
        </w:rPr>
        <w:t xml:space="preserve"> أنه يتعين على كل طرف أن يحدد فئات المصادر الثابتة ذات الصلة، في موعد أقصاه ثلاثة أعوام من تاريخ دخول الاتفاقية حيّز النفاذ بال</w:t>
      </w:r>
      <w:r>
        <w:rPr>
          <w:rtl/>
          <w:lang w:val="en-GB" w:eastAsia="zh-TW"/>
        </w:rPr>
        <w:t>نسبة له، وبعد ذلك على نحو منتظم</w:t>
      </w:r>
      <w:r>
        <w:rPr>
          <w:rFonts w:hint="cs"/>
          <w:rtl/>
          <w:lang w:val="en-GB" w:eastAsia="zh-TW"/>
        </w:rPr>
        <w:t>،</w:t>
      </w:r>
    </w:p>
    <w:p w14:paraId="58CD10FB" w14:textId="77777777" w:rsidR="005A3B9C" w:rsidRPr="00617CE1" w:rsidRDefault="005A3B9C" w:rsidP="005A3B9C">
      <w:pPr>
        <w:tabs>
          <w:tab w:val="left" w:pos="2408"/>
        </w:tabs>
        <w:bidi/>
        <w:spacing w:after="120" w:line="400" w:lineRule="exact"/>
        <w:ind w:left="1134" w:firstLine="709"/>
        <w:jc w:val="both"/>
        <w:textDirection w:val="tbRlV"/>
        <w:rPr>
          <w:rFonts w:asciiTheme="majorBidi" w:hAnsiTheme="majorBidi" w:cstheme="majorBidi"/>
          <w:rtl/>
          <w:lang w:val="en-GB" w:eastAsia="zh-TW"/>
        </w:rPr>
      </w:pPr>
      <w:r w:rsidRPr="00FF3368">
        <w:rPr>
          <w:i/>
          <w:iCs/>
          <w:rtl/>
          <w:lang w:val="en-GB" w:eastAsia="zh-TW"/>
        </w:rPr>
        <w:t xml:space="preserve">وإذ يدرك </w:t>
      </w:r>
      <w:r w:rsidRPr="008554EB">
        <w:rPr>
          <w:rtl/>
          <w:lang w:val="en-GB" w:eastAsia="zh-TW"/>
        </w:rPr>
        <w:t>أنه</w:t>
      </w:r>
      <w:r w:rsidRPr="00617CE1">
        <w:rPr>
          <w:rtl/>
          <w:lang w:val="en-GB" w:eastAsia="zh-TW"/>
        </w:rPr>
        <w:t xml:space="preserve"> يتعين على كل طرف أن يضع قائمة جرد للإطلاقات من المصادر ذات الصلة، وذلك في أقرب وقت ممكن عملياً وفي أجل أقصاه خمسة أعوام بعد تاريخ دخول الاتفاقية حيِّز النفاذ با</w:t>
      </w:r>
      <w:r>
        <w:rPr>
          <w:rtl/>
          <w:lang w:val="en-GB" w:eastAsia="zh-TW"/>
        </w:rPr>
        <w:t>لنسبة له، وأن يحتفظ بها بعد ذلك</w:t>
      </w:r>
      <w:r>
        <w:rPr>
          <w:rFonts w:hint="cs"/>
          <w:rtl/>
          <w:lang w:val="en-GB" w:eastAsia="zh-TW"/>
        </w:rPr>
        <w:t>،</w:t>
      </w:r>
    </w:p>
    <w:p w14:paraId="4E115290" w14:textId="77777777" w:rsidR="005A3B9C" w:rsidRPr="00617CE1" w:rsidRDefault="005A3B9C" w:rsidP="005A3B9C">
      <w:pPr>
        <w:tabs>
          <w:tab w:val="left" w:pos="2408"/>
        </w:tabs>
        <w:bidi/>
        <w:spacing w:after="120" w:line="400" w:lineRule="exact"/>
        <w:ind w:left="1134" w:firstLine="709"/>
        <w:jc w:val="both"/>
        <w:textDirection w:val="tbRlV"/>
        <w:rPr>
          <w:rFonts w:asciiTheme="majorBidi" w:hAnsiTheme="majorBidi" w:cstheme="majorBidi"/>
          <w:rtl/>
          <w:lang w:val="en-GB" w:eastAsia="zh-TW"/>
        </w:rPr>
      </w:pPr>
      <w:r w:rsidRPr="00FF3368">
        <w:rPr>
          <w:i/>
          <w:iCs/>
          <w:rtl/>
          <w:lang w:val="en-GB" w:eastAsia="zh-TW"/>
        </w:rPr>
        <w:t>وإذ يسلم أيضا</w:t>
      </w:r>
      <w:r w:rsidRPr="00FF3368">
        <w:rPr>
          <w:rFonts w:hint="cs"/>
          <w:i/>
          <w:iCs/>
          <w:rtl/>
          <w:lang w:val="en-GB" w:eastAsia="zh-TW"/>
        </w:rPr>
        <w:t>ً</w:t>
      </w:r>
      <w:r w:rsidRPr="00617CE1">
        <w:rPr>
          <w:rtl/>
          <w:lang w:val="en-GB" w:eastAsia="zh-TW"/>
        </w:rPr>
        <w:t xml:space="preserve"> بأنه بغية تقييم فعالية الاتفاقية مع مرور الوقت فإن من المهم الحصول على معلومات قابلة للمقارنة ف</w:t>
      </w:r>
      <w:r>
        <w:rPr>
          <w:rtl/>
          <w:lang w:val="en-GB" w:eastAsia="zh-TW"/>
        </w:rPr>
        <w:t>يما يتعلق بالإطلاقات،</w:t>
      </w:r>
    </w:p>
    <w:p w14:paraId="09992EF0" w14:textId="77777777" w:rsidR="005A3B9C" w:rsidRPr="00617CE1" w:rsidRDefault="005A3B9C" w:rsidP="005A3B9C">
      <w:pPr>
        <w:tabs>
          <w:tab w:val="left" w:pos="2408"/>
        </w:tabs>
        <w:bidi/>
        <w:spacing w:after="120" w:line="400" w:lineRule="exact"/>
        <w:ind w:left="1134" w:firstLine="709"/>
        <w:jc w:val="both"/>
        <w:textDirection w:val="tbRlV"/>
        <w:rPr>
          <w:rFonts w:asciiTheme="majorBidi" w:hAnsiTheme="majorBidi" w:cstheme="majorBidi"/>
          <w:rtl/>
          <w:lang w:val="en-GB" w:eastAsia="zh-TW"/>
        </w:rPr>
      </w:pPr>
      <w:r w:rsidRPr="00FF3368">
        <w:rPr>
          <w:i/>
          <w:iCs/>
          <w:rtl/>
          <w:lang w:val="en-GB" w:eastAsia="zh-TW"/>
        </w:rPr>
        <w:t>وإذ يسلم كذلك</w:t>
      </w:r>
      <w:r w:rsidRPr="00617CE1">
        <w:rPr>
          <w:rtl/>
          <w:lang w:val="en-GB" w:eastAsia="zh-TW"/>
        </w:rPr>
        <w:t xml:space="preserve"> بأن الأطراف ستقدم تقارير عن مصادر إطلاقاتها ذات الصلة وعن تدابير للتحكم فيها</w:t>
      </w:r>
      <w:r>
        <w:rPr>
          <w:rFonts w:hint="cs"/>
          <w:rtl/>
          <w:lang w:val="en-GB" w:eastAsia="zh-TW"/>
        </w:rPr>
        <w:t>،</w:t>
      </w:r>
      <w:r w:rsidRPr="00617CE1">
        <w:rPr>
          <w:rtl/>
          <w:lang w:val="en-GB" w:eastAsia="zh-TW"/>
        </w:rPr>
        <w:t xml:space="preserve"> في تقاريرها عملاً بالمادة ٢١،</w:t>
      </w:r>
    </w:p>
    <w:p w14:paraId="54AA71BF" w14:textId="77777777" w:rsidR="005A3B9C" w:rsidRPr="00617CE1" w:rsidRDefault="005A3B9C" w:rsidP="005A3B9C">
      <w:pPr>
        <w:tabs>
          <w:tab w:val="left" w:pos="2408"/>
        </w:tabs>
        <w:bidi/>
        <w:spacing w:after="120" w:line="400" w:lineRule="exact"/>
        <w:ind w:left="1134" w:firstLine="709"/>
        <w:jc w:val="both"/>
        <w:textDirection w:val="tbRlV"/>
        <w:rPr>
          <w:rFonts w:asciiTheme="majorBidi" w:hAnsiTheme="majorBidi" w:cstheme="majorBidi"/>
          <w:rtl/>
          <w:lang w:val="en-GB" w:eastAsia="zh-TW"/>
        </w:rPr>
      </w:pPr>
      <w:r w:rsidRPr="00FF3368">
        <w:rPr>
          <w:i/>
          <w:iCs/>
          <w:rtl/>
          <w:lang w:val="en-GB" w:eastAsia="zh-TW"/>
        </w:rPr>
        <w:lastRenderedPageBreak/>
        <w:t>وإذ يسلم</w:t>
      </w:r>
      <w:r w:rsidRPr="00617CE1">
        <w:rPr>
          <w:rtl/>
          <w:lang w:val="en-GB" w:eastAsia="zh-TW"/>
        </w:rPr>
        <w:t xml:space="preserve"> بأنه من أجل مقارنة المعلومات المضمنة في التقارير الوطنية عن الإطلاقات فإن من المهم استخدام منهجيات موحدة ومعروفة لإعداد قوائم الجرد،</w:t>
      </w:r>
    </w:p>
    <w:p w14:paraId="29DA8DF2" w14:textId="77777777" w:rsidR="005A3B9C" w:rsidRPr="00617CE1" w:rsidRDefault="005A3B9C" w:rsidP="005A3B9C">
      <w:pPr>
        <w:numPr>
          <w:ilvl w:val="0"/>
          <w:numId w:val="9"/>
        </w:numPr>
        <w:tabs>
          <w:tab w:val="left" w:pos="2408"/>
          <w:tab w:val="left" w:pos="2948"/>
          <w:tab w:val="left" w:pos="3515"/>
        </w:tabs>
        <w:bidi/>
        <w:spacing w:after="120" w:line="400" w:lineRule="exact"/>
        <w:ind w:left="1134" w:firstLine="709"/>
        <w:jc w:val="both"/>
        <w:textDirection w:val="tbRlV"/>
        <w:rPr>
          <w:rFonts w:ascii="Traditional Arabic" w:hAnsi="Traditional Arabic"/>
          <w:i/>
          <w:sz w:val="30"/>
          <w:rtl/>
          <w:lang w:val="en-GB" w:eastAsia="zh-TW"/>
        </w:rPr>
      </w:pPr>
      <w:r w:rsidRPr="00D85464">
        <w:rPr>
          <w:rFonts w:ascii="Traditional Arabic" w:hAnsi="Traditional Arabic"/>
          <w:i/>
          <w:iCs/>
          <w:sz w:val="30"/>
          <w:rtl/>
          <w:lang w:val="en-GB" w:eastAsia="zh-TW"/>
        </w:rPr>
        <w:t>يقرر</w:t>
      </w:r>
      <w:r w:rsidRPr="00617CE1">
        <w:rPr>
          <w:rFonts w:ascii="Traditional Arabic" w:hAnsi="Traditional Arabic"/>
          <w:sz w:val="30"/>
          <w:rtl/>
          <w:lang w:val="en-GB" w:eastAsia="zh-TW"/>
        </w:rPr>
        <w:t xml:space="preserve"> إنشاء فريق خبراء تقنيين يشكل من الأطراف في مناطق الأمم المتحدة الخمس، وفقا</w:t>
      </w:r>
      <w:r>
        <w:rPr>
          <w:rFonts w:ascii="Traditional Arabic" w:hAnsi="Traditional Arabic" w:hint="cs"/>
          <w:sz w:val="30"/>
          <w:rtl/>
          <w:lang w:val="en-GB" w:eastAsia="zh-TW"/>
        </w:rPr>
        <w:t>ً</w:t>
      </w:r>
      <w:r w:rsidRPr="00617CE1">
        <w:rPr>
          <w:rFonts w:ascii="Traditional Arabic" w:hAnsi="Traditional Arabic"/>
          <w:sz w:val="30"/>
          <w:rtl/>
          <w:lang w:val="en-GB" w:eastAsia="zh-TW"/>
        </w:rPr>
        <w:t xml:space="preserve"> للاختصاصات الواردة في المرفق الأول لهذا المقرر، لإعداد مشروع توجيهات بشأن المنهجيات الخاصة بإعداد قوائم الجرد لفئات المصادر الثابتة التي يحتمل أن تكون ذات صلة؛</w:t>
      </w:r>
    </w:p>
    <w:p w14:paraId="4084436C" w14:textId="77777777" w:rsidR="005A3B9C" w:rsidRPr="00A75287"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i/>
          <w:sz w:val="30"/>
          <w:rtl/>
          <w:lang w:val="en-GB" w:eastAsia="zh-TW"/>
        </w:rPr>
      </w:pPr>
      <w:r w:rsidRPr="00D85464">
        <w:rPr>
          <w:rFonts w:ascii="Traditional Arabic" w:hAnsi="Traditional Arabic"/>
          <w:i/>
          <w:iCs/>
          <w:sz w:val="30"/>
          <w:rtl/>
          <w:lang w:val="en-GB" w:eastAsia="zh-TW"/>
        </w:rPr>
        <w:t>يطلب</w:t>
      </w:r>
      <w:r w:rsidRPr="00617CE1">
        <w:rPr>
          <w:rFonts w:ascii="Traditional Arabic" w:hAnsi="Traditional Arabic"/>
          <w:sz w:val="30"/>
          <w:rtl/>
          <w:lang w:val="en-GB" w:eastAsia="zh-TW"/>
        </w:rPr>
        <w:t xml:space="preserve"> إلى الأمانة الدعوة إلى تقديم ترشيحات من الأطراف لأعضاء الفريق بحلول 15 كانون الثاني/يناير ٢٠١٩ عبر مناطق الأمم المتحدة الخمس، ودعم عمل </w:t>
      </w:r>
      <w:r>
        <w:rPr>
          <w:rFonts w:ascii="Traditional Arabic" w:hAnsi="Traditional Arabic" w:hint="cs"/>
          <w:sz w:val="30"/>
          <w:rtl/>
          <w:lang w:val="en-GB" w:eastAsia="zh-TW"/>
        </w:rPr>
        <w:t>ال</w:t>
      </w:r>
      <w:r w:rsidRPr="00617CE1">
        <w:rPr>
          <w:rFonts w:ascii="Traditional Arabic" w:hAnsi="Traditional Arabic"/>
          <w:sz w:val="30"/>
          <w:rtl/>
          <w:lang w:val="en-GB" w:eastAsia="zh-TW"/>
        </w:rPr>
        <w:t>فريق؛</w:t>
      </w:r>
    </w:p>
    <w:p w14:paraId="2D1B5D27"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z w:val="30"/>
          <w:rtl/>
          <w:lang w:val="en-GB" w:eastAsia="zh-TW"/>
        </w:rPr>
      </w:pPr>
      <w:r w:rsidRPr="00D85464">
        <w:rPr>
          <w:rFonts w:ascii="Traditional Arabic" w:hAnsi="Traditional Arabic"/>
          <w:i/>
          <w:iCs/>
          <w:sz w:val="30"/>
          <w:rtl/>
          <w:lang w:val="en-GB" w:eastAsia="zh-TW"/>
        </w:rPr>
        <w:t>يوجه</w:t>
      </w:r>
      <w:r w:rsidRPr="00617CE1">
        <w:rPr>
          <w:rFonts w:ascii="Traditional Arabic" w:hAnsi="Traditional Arabic"/>
          <w:sz w:val="30"/>
          <w:rtl/>
          <w:lang w:val="en-GB" w:eastAsia="zh-TW"/>
        </w:rPr>
        <w:t xml:space="preserve"> الفريق إلى أن يعمل، بغرض تحقيق الفعالية من حيث التكلفة، في المقام الأول من خلال الوسائل الإلكترونية، بما في ذلك الحلقات الدراسية الشبكية؛</w:t>
      </w:r>
    </w:p>
    <w:p w14:paraId="0DD16F9F"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z w:val="30"/>
          <w:rtl/>
          <w:lang w:val="en-GB" w:eastAsia="zh-TW"/>
        </w:rPr>
      </w:pPr>
      <w:r w:rsidRPr="00D85464">
        <w:rPr>
          <w:rFonts w:ascii="Traditional Arabic" w:hAnsi="Traditional Arabic"/>
          <w:i/>
          <w:iCs/>
          <w:sz w:val="30"/>
          <w:rtl/>
          <w:lang w:val="en-GB" w:eastAsia="zh-TW"/>
        </w:rPr>
        <w:t>يقرر</w:t>
      </w:r>
      <w:r w:rsidRPr="00617CE1">
        <w:rPr>
          <w:rFonts w:ascii="Traditional Arabic" w:hAnsi="Traditional Arabic"/>
          <w:sz w:val="30"/>
          <w:rtl/>
          <w:lang w:val="en-GB" w:eastAsia="zh-TW"/>
        </w:rPr>
        <w:t xml:space="preserve"> أن ينظر مؤتمر الأطراف </w:t>
      </w:r>
      <w:r>
        <w:rPr>
          <w:rFonts w:ascii="Traditional Arabic" w:hAnsi="Traditional Arabic" w:hint="cs"/>
          <w:sz w:val="30"/>
          <w:rtl/>
          <w:lang w:val="en-GB" w:eastAsia="zh-TW"/>
        </w:rPr>
        <w:t xml:space="preserve">مرة أخرى </w:t>
      </w:r>
      <w:r w:rsidRPr="00617CE1">
        <w:rPr>
          <w:rFonts w:ascii="Traditional Arabic" w:hAnsi="Traditional Arabic"/>
          <w:sz w:val="30"/>
          <w:rtl/>
          <w:lang w:val="en-GB" w:eastAsia="zh-TW"/>
        </w:rPr>
        <w:t xml:space="preserve">في اجتماعه الثالث في </w:t>
      </w:r>
      <w:r>
        <w:rPr>
          <w:rFonts w:ascii="Traditional Arabic" w:hAnsi="Traditional Arabic" w:hint="cs"/>
          <w:sz w:val="30"/>
          <w:rtl/>
          <w:lang w:val="en-GB" w:eastAsia="zh-TW"/>
        </w:rPr>
        <w:t xml:space="preserve">تركيبة </w:t>
      </w:r>
      <w:r w:rsidRPr="00617CE1">
        <w:rPr>
          <w:rFonts w:ascii="Traditional Arabic" w:hAnsi="Traditional Arabic"/>
          <w:sz w:val="30"/>
          <w:rtl/>
          <w:lang w:val="en-GB" w:eastAsia="zh-TW"/>
        </w:rPr>
        <w:t>فريق الخبراء و</w:t>
      </w:r>
      <w:r>
        <w:rPr>
          <w:rFonts w:ascii="Traditional Arabic" w:hAnsi="Traditional Arabic" w:hint="cs"/>
          <w:sz w:val="30"/>
          <w:rtl/>
          <w:lang w:val="en-GB" w:eastAsia="zh-TW"/>
        </w:rPr>
        <w:t>الحاجة إلى أن يعقد الفريق</w:t>
      </w:r>
      <w:r w:rsidRPr="00617CE1">
        <w:rPr>
          <w:rFonts w:ascii="Traditional Arabic" w:hAnsi="Traditional Arabic"/>
          <w:sz w:val="30"/>
          <w:rtl/>
          <w:lang w:val="en-GB" w:eastAsia="zh-TW"/>
        </w:rPr>
        <w:t xml:space="preserve"> اجتماع</w:t>
      </w:r>
      <w:r>
        <w:rPr>
          <w:rFonts w:ascii="Traditional Arabic" w:hAnsi="Traditional Arabic" w:hint="cs"/>
          <w:sz w:val="30"/>
          <w:rtl/>
          <w:lang w:val="en-GB" w:eastAsia="zh-TW"/>
        </w:rPr>
        <w:t>اً</w:t>
      </w:r>
      <w:r w:rsidRPr="00617CE1">
        <w:rPr>
          <w:rFonts w:ascii="Traditional Arabic" w:hAnsi="Traditional Arabic"/>
          <w:sz w:val="30"/>
          <w:rtl/>
          <w:lang w:val="en-GB" w:eastAsia="zh-TW"/>
        </w:rPr>
        <w:t xml:space="preserve"> مباشر</w:t>
      </w:r>
      <w:r>
        <w:rPr>
          <w:rFonts w:ascii="Traditional Arabic" w:hAnsi="Traditional Arabic" w:hint="cs"/>
          <w:sz w:val="30"/>
          <w:rtl/>
          <w:lang w:val="en-GB" w:eastAsia="zh-TW"/>
        </w:rPr>
        <w:t>اً</w:t>
      </w:r>
      <w:r w:rsidRPr="00617CE1">
        <w:rPr>
          <w:rFonts w:ascii="Traditional Arabic" w:hAnsi="Traditional Arabic"/>
          <w:sz w:val="30"/>
          <w:rtl/>
          <w:lang w:val="en-GB" w:eastAsia="zh-TW"/>
        </w:rPr>
        <w:t>؛</w:t>
      </w:r>
    </w:p>
    <w:p w14:paraId="36B3E10F"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z w:val="30"/>
          <w:rtl/>
          <w:lang w:val="en-GB" w:eastAsia="zh-TW"/>
        </w:rPr>
      </w:pPr>
      <w:r w:rsidRPr="00D85464">
        <w:rPr>
          <w:rFonts w:ascii="Traditional Arabic" w:hAnsi="Traditional Arabic"/>
          <w:i/>
          <w:iCs/>
          <w:sz w:val="30"/>
          <w:rtl/>
          <w:lang w:val="en-GB" w:eastAsia="zh-TW"/>
        </w:rPr>
        <w:t>يطلب</w:t>
      </w:r>
      <w:r w:rsidRPr="00617CE1">
        <w:rPr>
          <w:rFonts w:ascii="Traditional Arabic" w:hAnsi="Traditional Arabic"/>
          <w:sz w:val="30"/>
          <w:rtl/>
          <w:lang w:val="en-GB" w:eastAsia="zh-TW"/>
        </w:rPr>
        <w:t xml:space="preserve"> إلى الأمانة أن تدعو الأطراف والجهات الموقعة والجهات الأخرى صاحبة المصلحة إلى تحديد فئات المصادر الثابتة المحتملة للإطلاقات لكي تدرج في القائمة </w:t>
      </w:r>
      <w:r>
        <w:rPr>
          <w:rFonts w:ascii="Traditional Arabic" w:hAnsi="Traditional Arabic"/>
          <w:sz w:val="30"/>
          <w:rtl/>
          <w:lang w:val="en-GB" w:eastAsia="zh-TW"/>
        </w:rPr>
        <w:t>المشار إليها في الفقرة ١ أعلاه؛</w:t>
      </w:r>
    </w:p>
    <w:p w14:paraId="2DCDBC11"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i/>
          <w:sz w:val="30"/>
          <w:rtl/>
          <w:lang w:val="en-GB" w:eastAsia="zh-TW"/>
        </w:rPr>
      </w:pPr>
      <w:r w:rsidRPr="00D85464">
        <w:rPr>
          <w:rFonts w:ascii="Traditional Arabic" w:hAnsi="Traditional Arabic"/>
          <w:i/>
          <w:iCs/>
          <w:sz w:val="30"/>
          <w:rtl/>
          <w:lang w:val="en-GB" w:eastAsia="zh-TW"/>
        </w:rPr>
        <w:t>يطلب أيضا</w:t>
      </w:r>
      <w:r w:rsidRPr="00D85464">
        <w:rPr>
          <w:rFonts w:ascii="Traditional Arabic" w:hAnsi="Traditional Arabic" w:hint="cs"/>
          <w:i/>
          <w:iCs/>
          <w:sz w:val="30"/>
          <w:rtl/>
          <w:lang w:val="en-GB" w:eastAsia="zh-TW"/>
        </w:rPr>
        <w:t>ً</w:t>
      </w:r>
      <w:r w:rsidRPr="00617CE1">
        <w:rPr>
          <w:rFonts w:ascii="Traditional Arabic" w:hAnsi="Traditional Arabic"/>
          <w:sz w:val="30"/>
          <w:rtl/>
          <w:lang w:val="en-GB" w:eastAsia="zh-TW"/>
        </w:rPr>
        <w:t xml:space="preserve"> إلى الأمانة أن تجمع في تقرير</w:t>
      </w:r>
      <w:r>
        <w:rPr>
          <w:rFonts w:ascii="Traditional Arabic" w:hAnsi="Traditional Arabic" w:hint="cs"/>
          <w:sz w:val="30"/>
          <w:rtl/>
          <w:lang w:val="en-GB" w:eastAsia="zh-TW"/>
        </w:rPr>
        <w:t>ٍ</w:t>
      </w:r>
      <w:r w:rsidRPr="00617CE1">
        <w:rPr>
          <w:rFonts w:ascii="Traditional Arabic" w:hAnsi="Traditional Arabic"/>
          <w:sz w:val="30"/>
          <w:rtl/>
          <w:lang w:val="en-GB" w:eastAsia="zh-TW"/>
        </w:rPr>
        <w:t xml:space="preserve"> المعلومات المشار إليها في الفقرة ٥ أعلاه وأن تدرج في التقرير فئات المصادر الثابتة ذات الصلة المحددة في جملة وثائق من بينها عُدة تحديد الزئبق المتسرِّب وتقدير كميته الصادرة عن برنامج الأمم المتحدة للبيئة، والتقييمات الأولية بموجب اتفاقية </w:t>
      </w:r>
      <w:proofErr w:type="spellStart"/>
      <w:r w:rsidRPr="00617CE1">
        <w:rPr>
          <w:rFonts w:ascii="Traditional Arabic" w:hAnsi="Traditional Arabic"/>
          <w:sz w:val="30"/>
          <w:rtl/>
          <w:lang w:val="en-GB" w:eastAsia="zh-TW"/>
        </w:rPr>
        <w:t>ميناماتا</w:t>
      </w:r>
      <w:proofErr w:type="spellEnd"/>
      <w:r w:rsidRPr="00617CE1">
        <w:rPr>
          <w:rFonts w:ascii="Traditional Arabic" w:hAnsi="Traditional Arabic"/>
          <w:sz w:val="30"/>
          <w:rtl/>
          <w:lang w:val="en-GB" w:eastAsia="zh-TW"/>
        </w:rPr>
        <w:t xml:space="preserve">، </w:t>
      </w:r>
      <w:r w:rsidRPr="008554EB">
        <w:rPr>
          <w:rFonts w:ascii="Traditional Arabic" w:hAnsi="Traditional Arabic"/>
          <w:i/>
          <w:iCs/>
          <w:sz w:val="30"/>
          <w:rtl/>
          <w:lang w:val="en-GB" w:eastAsia="zh-TW"/>
        </w:rPr>
        <w:t>والتقييم العالمي المقبل للزئبق</w:t>
      </w:r>
      <w:r w:rsidRPr="008554EB">
        <w:rPr>
          <w:rFonts w:ascii="Traditional Arabic" w:hAnsi="Traditional Arabic" w:hint="cs"/>
          <w:i/>
          <w:iCs/>
          <w:sz w:val="30"/>
          <w:rtl/>
          <w:lang w:val="en-GB" w:eastAsia="zh-TW"/>
        </w:rPr>
        <w:t xml:space="preserve"> لعام 2018</w:t>
      </w:r>
      <w:r w:rsidRPr="00617CE1">
        <w:rPr>
          <w:rFonts w:ascii="Traditional Arabic" w:hAnsi="Traditional Arabic"/>
          <w:sz w:val="30"/>
          <w:rtl/>
          <w:lang w:val="en-GB" w:eastAsia="zh-TW"/>
        </w:rPr>
        <w:t>؛</w:t>
      </w:r>
    </w:p>
    <w:p w14:paraId="48B493D2"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z w:val="30"/>
          <w:rtl/>
          <w:lang w:val="en-GB" w:eastAsia="zh-TW"/>
        </w:rPr>
      </w:pPr>
      <w:r w:rsidRPr="00D85464">
        <w:rPr>
          <w:rFonts w:ascii="Traditional Arabic" w:hAnsi="Traditional Arabic"/>
          <w:i/>
          <w:iCs/>
          <w:sz w:val="30"/>
          <w:rtl/>
          <w:lang w:val="en-GB" w:eastAsia="zh-TW"/>
        </w:rPr>
        <w:t>يطلب كذلك</w:t>
      </w:r>
      <w:r w:rsidRPr="00617CE1">
        <w:rPr>
          <w:rFonts w:ascii="Traditional Arabic" w:hAnsi="Traditional Arabic"/>
          <w:sz w:val="30"/>
          <w:rtl/>
          <w:lang w:val="en-GB" w:eastAsia="zh-TW"/>
        </w:rPr>
        <w:t xml:space="preserve"> إلى الأمانة أن تتبادل التقرير المذكور في الفقرة ٦ أعلاه مع </w:t>
      </w:r>
      <w:r>
        <w:rPr>
          <w:rFonts w:ascii="Traditional Arabic" w:hAnsi="Traditional Arabic" w:hint="cs"/>
          <w:sz w:val="30"/>
          <w:rtl/>
          <w:lang w:val="en-GB" w:eastAsia="zh-TW"/>
        </w:rPr>
        <w:t>ال</w:t>
      </w:r>
      <w:r w:rsidRPr="00617CE1">
        <w:rPr>
          <w:rFonts w:ascii="Traditional Arabic" w:hAnsi="Traditional Arabic"/>
          <w:sz w:val="30"/>
          <w:rtl/>
          <w:lang w:val="en-GB" w:eastAsia="zh-TW"/>
        </w:rPr>
        <w:t>فريق لكي ينظر فيه وفقا</w:t>
      </w:r>
      <w:r>
        <w:rPr>
          <w:rFonts w:ascii="Traditional Arabic" w:hAnsi="Traditional Arabic" w:hint="cs"/>
          <w:sz w:val="30"/>
          <w:rtl/>
          <w:lang w:val="en-GB" w:eastAsia="zh-TW"/>
        </w:rPr>
        <w:t>ً</w:t>
      </w:r>
      <w:r w:rsidRPr="00617CE1">
        <w:rPr>
          <w:rFonts w:ascii="Traditional Arabic" w:hAnsi="Traditional Arabic"/>
          <w:sz w:val="30"/>
          <w:rtl/>
          <w:lang w:val="en-GB" w:eastAsia="zh-TW"/>
        </w:rPr>
        <w:t xml:space="preserve"> للجدول الزمني المحدد في المرفق الثاني لهذا المقرر؛</w:t>
      </w:r>
    </w:p>
    <w:p w14:paraId="5297A93E"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i/>
          <w:sz w:val="30"/>
          <w:rtl/>
          <w:lang w:val="en-GB" w:eastAsia="zh-TW"/>
        </w:rPr>
      </w:pPr>
      <w:r w:rsidRPr="00D85464">
        <w:rPr>
          <w:rFonts w:ascii="Traditional Arabic" w:hAnsi="Traditional Arabic"/>
          <w:i/>
          <w:iCs/>
          <w:sz w:val="30"/>
          <w:rtl/>
          <w:lang w:val="en-GB" w:eastAsia="zh-TW"/>
        </w:rPr>
        <w:t>يطلب</w:t>
      </w:r>
      <w:r w:rsidRPr="00617CE1">
        <w:rPr>
          <w:rFonts w:ascii="Traditional Arabic" w:hAnsi="Traditional Arabic"/>
          <w:sz w:val="30"/>
          <w:rtl/>
          <w:lang w:val="en-GB" w:eastAsia="zh-TW"/>
        </w:rPr>
        <w:t xml:space="preserve"> إلى </w:t>
      </w:r>
      <w:r>
        <w:rPr>
          <w:rFonts w:ascii="Traditional Arabic" w:hAnsi="Traditional Arabic" w:hint="cs"/>
          <w:sz w:val="30"/>
          <w:rtl/>
          <w:lang w:val="en-GB" w:eastAsia="zh-TW"/>
        </w:rPr>
        <w:t>ال</w:t>
      </w:r>
      <w:r w:rsidRPr="00617CE1">
        <w:rPr>
          <w:rFonts w:ascii="Traditional Arabic" w:hAnsi="Traditional Arabic"/>
          <w:sz w:val="30"/>
          <w:rtl/>
          <w:lang w:val="en-GB" w:eastAsia="zh-TW"/>
        </w:rPr>
        <w:t xml:space="preserve">فريق أن يقدم التقرير، بما في ذلك قائمة بأي فئات لمصادر إطلاقات ثابتة </w:t>
      </w:r>
      <w:proofErr w:type="gramStart"/>
      <w:r w:rsidRPr="00617CE1">
        <w:rPr>
          <w:rFonts w:ascii="Traditional Arabic" w:hAnsi="Traditional Arabic"/>
          <w:sz w:val="30"/>
          <w:rtl/>
          <w:lang w:val="en-GB" w:eastAsia="zh-TW"/>
        </w:rPr>
        <w:t>هامة</w:t>
      </w:r>
      <w:proofErr w:type="gramEnd"/>
      <w:r w:rsidRPr="00617CE1">
        <w:rPr>
          <w:rFonts w:ascii="Traditional Arabic" w:hAnsi="Traditional Arabic"/>
          <w:sz w:val="30"/>
          <w:rtl/>
          <w:lang w:val="en-GB" w:eastAsia="zh-TW"/>
        </w:rPr>
        <w:t xml:space="preserve"> بشرية المنشأ لا</w:t>
      </w:r>
      <w:r>
        <w:rPr>
          <w:rFonts w:ascii="Traditional Arabic" w:hAnsi="Traditional Arabic" w:hint="cs"/>
          <w:sz w:val="30"/>
          <w:rtl/>
          <w:lang w:val="en-GB" w:eastAsia="zh-TW"/>
        </w:rPr>
        <w:t> </w:t>
      </w:r>
      <w:r w:rsidRPr="00617CE1">
        <w:rPr>
          <w:rFonts w:ascii="Traditional Arabic" w:hAnsi="Traditional Arabic"/>
          <w:sz w:val="30"/>
          <w:rtl/>
          <w:lang w:val="en-GB" w:eastAsia="zh-TW"/>
        </w:rPr>
        <w:t>تتناولها أحكام الاتفاقية عدا المادة ٩، إلى جانب هيكل وخريطة طريق مقترحة لوضع مشروع توجيهات بشأن منهجيات لإعداد قوائم الجرد الخاصة به، لكي يعتمدها مؤتمر الأطراف إن أمكن في اجتماعه الثالث؛</w:t>
      </w:r>
    </w:p>
    <w:p w14:paraId="1F449414" w14:textId="77777777" w:rsidR="005A3B9C" w:rsidRPr="00617CE1"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trike/>
          <w:sz w:val="30"/>
          <w:rtl/>
          <w:lang w:val="en-GB" w:eastAsia="zh-TW"/>
        </w:rPr>
      </w:pPr>
      <w:r w:rsidRPr="00D85464">
        <w:rPr>
          <w:rFonts w:ascii="Traditional Arabic" w:hAnsi="Traditional Arabic"/>
          <w:i/>
          <w:iCs/>
          <w:sz w:val="30"/>
          <w:rtl/>
          <w:lang w:val="en-GB" w:eastAsia="zh-TW"/>
        </w:rPr>
        <w:t>يطلب أيضا</w:t>
      </w:r>
      <w:r w:rsidRPr="00D85464">
        <w:rPr>
          <w:rFonts w:ascii="Traditional Arabic" w:hAnsi="Traditional Arabic" w:hint="cs"/>
          <w:i/>
          <w:iCs/>
          <w:sz w:val="30"/>
          <w:rtl/>
          <w:lang w:val="en-GB" w:eastAsia="zh-TW"/>
        </w:rPr>
        <w:t>ً</w:t>
      </w:r>
      <w:r w:rsidRPr="00617CE1">
        <w:rPr>
          <w:rFonts w:ascii="Traditional Arabic" w:hAnsi="Traditional Arabic"/>
          <w:sz w:val="30"/>
          <w:rtl/>
          <w:lang w:val="en-GB" w:eastAsia="zh-TW"/>
        </w:rPr>
        <w:t xml:space="preserve"> إلى </w:t>
      </w:r>
      <w:r>
        <w:rPr>
          <w:rFonts w:ascii="Traditional Arabic" w:hAnsi="Traditional Arabic" w:hint="cs"/>
          <w:sz w:val="30"/>
          <w:rtl/>
          <w:lang w:val="en-GB" w:eastAsia="zh-TW"/>
        </w:rPr>
        <w:t>ال</w:t>
      </w:r>
      <w:r w:rsidRPr="00617CE1">
        <w:rPr>
          <w:rFonts w:ascii="Traditional Arabic" w:hAnsi="Traditional Arabic"/>
          <w:sz w:val="30"/>
          <w:rtl/>
          <w:lang w:val="en-GB" w:eastAsia="zh-TW"/>
        </w:rPr>
        <w:t xml:space="preserve">فريق أن يضع مشروع توجيهات بشأن منهجيات موحدة ومعروفة لإعداد قوائم جرد </w:t>
      </w:r>
      <w:r>
        <w:rPr>
          <w:rFonts w:ascii="Traditional Arabic" w:hAnsi="Traditional Arabic" w:hint="cs"/>
          <w:sz w:val="30"/>
          <w:rtl/>
          <w:lang w:val="en-GB" w:eastAsia="zh-TW"/>
        </w:rPr>
        <w:t>ل</w:t>
      </w:r>
      <w:r w:rsidRPr="00617CE1">
        <w:rPr>
          <w:rFonts w:ascii="Traditional Arabic" w:hAnsi="Traditional Arabic"/>
          <w:sz w:val="30"/>
          <w:rtl/>
          <w:lang w:val="en-GB" w:eastAsia="zh-TW"/>
        </w:rPr>
        <w:t>لمصادر المذكورة في القائمة المشار إليها في الفقرة ٧ أعلاه لكي يعتمدها مؤتمر الأطراف إن أمكن في اجتماعه الرابع؛</w:t>
      </w:r>
    </w:p>
    <w:p w14:paraId="24F193F7" w14:textId="77777777" w:rsidR="005A3B9C" w:rsidRDefault="005A3B9C" w:rsidP="005A3B9C">
      <w:pPr>
        <w:tabs>
          <w:tab w:val="left" w:pos="2408"/>
          <w:tab w:val="left" w:pos="2948"/>
          <w:tab w:val="left" w:pos="3515"/>
        </w:tabs>
        <w:bidi/>
        <w:spacing w:after="120" w:line="400" w:lineRule="exact"/>
        <w:ind w:left="1132" w:firstLine="709"/>
        <w:jc w:val="both"/>
        <w:textDirection w:val="tbRlV"/>
        <w:rPr>
          <w:rFonts w:ascii="Traditional Arabic" w:hAnsi="Traditional Arabic"/>
          <w:sz w:val="30"/>
          <w:lang w:val="en-GB" w:eastAsia="zh-TW"/>
        </w:rPr>
      </w:pPr>
      <w:r>
        <w:rPr>
          <w:rFonts w:ascii="Traditional Arabic" w:hAnsi="Traditional Arabic" w:hint="cs"/>
          <w:i/>
          <w:iCs/>
          <w:sz w:val="30"/>
          <w:rtl/>
          <w:lang w:val="en-GB" w:eastAsia="zh-TW"/>
        </w:rPr>
        <w:t>يقرر</w:t>
      </w:r>
      <w:r w:rsidRPr="00617CE1">
        <w:rPr>
          <w:rFonts w:ascii="Traditional Arabic" w:hAnsi="Traditional Arabic"/>
          <w:sz w:val="30"/>
          <w:rtl/>
          <w:lang w:val="en-GB" w:eastAsia="zh-TW"/>
        </w:rPr>
        <w:t xml:space="preserve"> أن يؤجل العمل على </w:t>
      </w:r>
      <w:r>
        <w:rPr>
          <w:rFonts w:ascii="Traditional Arabic" w:hAnsi="Traditional Arabic" w:hint="cs"/>
          <w:sz w:val="30"/>
          <w:rtl/>
          <w:lang w:val="en-GB" w:eastAsia="zh-TW"/>
        </w:rPr>
        <w:t xml:space="preserve">صعيد </w:t>
      </w:r>
      <w:r w:rsidRPr="00617CE1">
        <w:rPr>
          <w:rFonts w:ascii="Traditional Arabic" w:hAnsi="Traditional Arabic"/>
          <w:sz w:val="30"/>
          <w:rtl/>
          <w:lang w:val="en-GB" w:eastAsia="zh-TW"/>
        </w:rPr>
        <w:t xml:space="preserve">وضع توجيهات بشأن أفضل التقنيات المتاحة وأفضل الممارسات البيئية إلى حين الفراغ من </w:t>
      </w:r>
      <w:r>
        <w:rPr>
          <w:rFonts w:ascii="Traditional Arabic" w:hAnsi="Traditional Arabic" w:hint="cs"/>
          <w:sz w:val="30"/>
          <w:rtl/>
          <w:lang w:val="en-GB" w:eastAsia="zh-TW"/>
        </w:rPr>
        <w:t>إ</w:t>
      </w:r>
      <w:r w:rsidRPr="00617CE1">
        <w:rPr>
          <w:rFonts w:ascii="Traditional Arabic" w:hAnsi="Traditional Arabic"/>
          <w:sz w:val="30"/>
          <w:rtl/>
          <w:lang w:val="en-GB" w:eastAsia="zh-TW"/>
        </w:rPr>
        <w:t>عداد مشروع التوجيهات ب</w:t>
      </w:r>
      <w:r>
        <w:rPr>
          <w:rFonts w:ascii="Traditional Arabic" w:hAnsi="Traditional Arabic"/>
          <w:sz w:val="30"/>
          <w:rtl/>
          <w:lang w:val="en-GB" w:eastAsia="zh-TW"/>
        </w:rPr>
        <w:t>شأن منهجيات لإعداد قوائم الجرد.</w:t>
      </w:r>
    </w:p>
    <w:p w14:paraId="62C63642" w14:textId="77777777" w:rsidR="005A3B9C" w:rsidRPr="00CA2B73" w:rsidRDefault="005A3B9C" w:rsidP="005A3B9C">
      <w:pPr>
        <w:tabs>
          <w:tab w:val="left" w:pos="1814"/>
          <w:tab w:val="left" w:pos="2381"/>
          <w:tab w:val="left" w:pos="2948"/>
          <w:tab w:val="left" w:pos="3515"/>
          <w:tab w:val="left" w:pos="4082"/>
        </w:tabs>
        <w:bidi/>
        <w:spacing w:before="240" w:after="120" w:line="400" w:lineRule="exact"/>
        <w:ind w:left="1134"/>
        <w:jc w:val="both"/>
        <w:textDirection w:val="tbRlV"/>
        <w:rPr>
          <w:rFonts w:ascii="Traditional Arabic" w:hAnsi="Traditional Arabic"/>
          <w:b/>
          <w:bCs/>
          <w:sz w:val="32"/>
          <w:szCs w:val="32"/>
          <w:rtl/>
          <w:lang w:val="en-GB" w:eastAsia="zh-TW"/>
        </w:rPr>
      </w:pPr>
      <w:r>
        <w:rPr>
          <w:rFonts w:ascii="Traditional Arabic" w:hAnsi="Traditional Arabic"/>
          <w:b/>
          <w:bCs/>
          <w:sz w:val="34"/>
          <w:szCs w:val="34"/>
          <w:rtl/>
          <w:lang w:val="en-GB" w:eastAsia="zh-TW"/>
        </w:rPr>
        <w:t xml:space="preserve">المرفق </w:t>
      </w:r>
      <w:r w:rsidRPr="00CA2B73">
        <w:rPr>
          <w:rFonts w:ascii="Traditional Arabic" w:hAnsi="Traditional Arabic"/>
          <w:b/>
          <w:bCs/>
          <w:sz w:val="32"/>
          <w:szCs w:val="32"/>
          <w:rtl/>
          <w:lang w:val="en-GB" w:eastAsia="zh-TW"/>
        </w:rPr>
        <w:t>الأول</w:t>
      </w:r>
      <w:r w:rsidRPr="00CA2B73">
        <w:rPr>
          <w:rFonts w:ascii="Traditional Arabic" w:hAnsi="Traditional Arabic" w:hint="cs"/>
          <w:b/>
          <w:bCs/>
          <w:sz w:val="32"/>
          <w:szCs w:val="32"/>
          <w:rtl/>
          <w:lang w:val="en-GB" w:eastAsia="zh-TW"/>
        </w:rPr>
        <w:t xml:space="preserve"> بالمقرر ا م-2/3</w:t>
      </w:r>
    </w:p>
    <w:p w14:paraId="691C5F69" w14:textId="77777777" w:rsidR="005A3B9C" w:rsidRPr="00CA2B73" w:rsidRDefault="005A3B9C" w:rsidP="005A3B9C">
      <w:pPr>
        <w:tabs>
          <w:tab w:val="left" w:pos="1814"/>
          <w:tab w:val="left" w:pos="2381"/>
          <w:tab w:val="left" w:pos="2948"/>
          <w:tab w:val="left" w:pos="3515"/>
          <w:tab w:val="left" w:pos="4082"/>
        </w:tabs>
        <w:bidi/>
        <w:spacing w:after="120" w:line="400" w:lineRule="exact"/>
        <w:ind w:left="1132"/>
        <w:jc w:val="both"/>
        <w:textDirection w:val="tbRlV"/>
        <w:rPr>
          <w:rFonts w:ascii="Traditional Arabic" w:hAnsi="Traditional Arabic"/>
          <w:b/>
          <w:bCs/>
          <w:sz w:val="32"/>
          <w:szCs w:val="32"/>
          <w:rtl/>
          <w:lang w:val="en-GB" w:eastAsia="zh-TW"/>
        </w:rPr>
      </w:pPr>
      <w:r w:rsidRPr="00CA2B73">
        <w:rPr>
          <w:rFonts w:ascii="Traditional Arabic" w:hAnsi="Traditional Arabic"/>
          <w:b/>
          <w:bCs/>
          <w:sz w:val="32"/>
          <w:szCs w:val="32"/>
          <w:rtl/>
          <w:lang w:val="en-GB" w:eastAsia="zh-TW"/>
        </w:rPr>
        <w:t>مشروع اختصاصات فريق خبراء تقنيين معني بالتوجيهات المتعلقة بإطلاقات الزئبق سينشأ عملاً بالمادة ٩ من الاتفاقية</w:t>
      </w:r>
    </w:p>
    <w:p w14:paraId="00852C65" w14:textId="77777777" w:rsidR="005A3B9C" w:rsidRPr="00677AE8" w:rsidRDefault="005A3B9C" w:rsidP="005A3B9C">
      <w:pPr>
        <w:keepNext/>
        <w:keepLines/>
        <w:tabs>
          <w:tab w:val="left" w:pos="1814"/>
          <w:tab w:val="left" w:pos="2381"/>
          <w:tab w:val="left" w:pos="2948"/>
          <w:tab w:val="left" w:pos="3515"/>
          <w:tab w:val="left" w:pos="4082"/>
        </w:tabs>
        <w:suppressAutoHyphens/>
        <w:bidi/>
        <w:spacing w:before="240" w:after="120" w:line="400" w:lineRule="exact"/>
        <w:ind w:left="1132" w:right="284" w:hanging="708"/>
        <w:jc w:val="both"/>
        <w:textDirection w:val="tbRlV"/>
        <w:rPr>
          <w:rFonts w:ascii="Traditional Arabic" w:hAnsi="Traditional Arabic"/>
          <w:bCs/>
          <w:sz w:val="32"/>
          <w:szCs w:val="32"/>
          <w:rtl/>
          <w:lang w:val="en-GB" w:eastAsia="zh-TW"/>
        </w:rPr>
      </w:pPr>
      <w:r w:rsidRPr="00677AE8">
        <w:rPr>
          <w:rFonts w:ascii="Traditional Arabic" w:hAnsi="Traditional Arabic"/>
          <w:bCs/>
          <w:sz w:val="32"/>
          <w:szCs w:val="32"/>
          <w:rtl/>
          <w:lang w:val="en-GB" w:eastAsia="zh-TW"/>
        </w:rPr>
        <w:lastRenderedPageBreak/>
        <w:t>أولا</w:t>
      </w:r>
      <w:r>
        <w:rPr>
          <w:rFonts w:ascii="Traditional Arabic" w:hAnsi="Traditional Arabic" w:hint="cs"/>
          <w:bCs/>
          <w:sz w:val="32"/>
          <w:szCs w:val="32"/>
          <w:rtl/>
          <w:lang w:val="en-GB" w:eastAsia="zh-TW"/>
        </w:rPr>
        <w:t>ً</w:t>
      </w:r>
      <w:r w:rsidRPr="00677AE8">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الولاية</w:t>
      </w:r>
    </w:p>
    <w:p w14:paraId="1004CBBA"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1-</w:t>
      </w:r>
      <w:r>
        <w:rPr>
          <w:rFonts w:ascii="Traditional Arabic" w:hAnsi="Traditional Arabic"/>
          <w:b/>
          <w:sz w:val="30"/>
          <w:rtl/>
          <w:lang w:val="en-GB" w:eastAsia="zh-TW"/>
        </w:rPr>
        <w:tab/>
      </w:r>
      <w:r w:rsidRPr="00617CE1">
        <w:rPr>
          <w:rFonts w:ascii="Traditional Arabic" w:hAnsi="Traditional Arabic"/>
          <w:b/>
          <w:sz w:val="30"/>
          <w:rtl/>
          <w:lang w:val="en-GB" w:eastAsia="zh-TW"/>
        </w:rPr>
        <w:t xml:space="preserve">أنشأ مؤتمر الأطراف في اتفاقية </w:t>
      </w:r>
      <w:proofErr w:type="spellStart"/>
      <w:r w:rsidRPr="00617CE1">
        <w:rPr>
          <w:rFonts w:ascii="Traditional Arabic" w:hAnsi="Traditional Arabic"/>
          <w:b/>
          <w:sz w:val="30"/>
          <w:rtl/>
          <w:lang w:val="en-GB" w:eastAsia="zh-TW"/>
        </w:rPr>
        <w:t>ميناماتا</w:t>
      </w:r>
      <w:proofErr w:type="spellEnd"/>
      <w:r w:rsidRPr="00617CE1">
        <w:rPr>
          <w:rFonts w:ascii="Traditional Arabic" w:hAnsi="Traditional Arabic"/>
          <w:b/>
          <w:sz w:val="30"/>
          <w:rtl/>
          <w:lang w:val="en-GB" w:eastAsia="zh-TW"/>
        </w:rPr>
        <w:t xml:space="preserve"> في اجتماعه الثاني، بموجب مقرر</w:t>
      </w:r>
      <w:r>
        <w:rPr>
          <w:rFonts w:ascii="Traditional Arabic" w:hAnsi="Traditional Arabic" w:hint="cs"/>
          <w:b/>
          <w:sz w:val="30"/>
          <w:rtl/>
          <w:lang w:val="en-GB" w:eastAsia="zh-TW"/>
        </w:rPr>
        <w:t>ه</w:t>
      </w:r>
      <w:r w:rsidRPr="00617CE1">
        <w:rPr>
          <w:rFonts w:ascii="Traditional Arabic" w:hAnsi="Traditional Arabic"/>
          <w:b/>
          <w:sz w:val="30"/>
          <w:rtl/>
          <w:lang w:val="en-GB" w:eastAsia="zh-TW"/>
        </w:rPr>
        <w:t xml:space="preserve"> ا</w:t>
      </w:r>
      <w:r>
        <w:rPr>
          <w:rFonts w:ascii="Traditional Arabic" w:hAnsi="Traditional Arabic" w:hint="cs"/>
          <w:b/>
          <w:sz w:val="30"/>
          <w:rtl/>
          <w:lang w:val="en-GB" w:eastAsia="zh-TW"/>
        </w:rPr>
        <w:t xml:space="preserve"> </w:t>
      </w:r>
      <w:r w:rsidRPr="00617CE1">
        <w:rPr>
          <w:rFonts w:ascii="Traditional Arabic" w:hAnsi="Traditional Arabic"/>
          <w:b/>
          <w:sz w:val="30"/>
          <w:rtl/>
          <w:lang w:val="en-GB" w:eastAsia="zh-TW"/>
        </w:rPr>
        <w:t>م-٢/٣، فريق خبراء تقنيين للعمل على توجيهات تتعلق بإطلاقات الزئبق، وفقا</w:t>
      </w:r>
      <w:r>
        <w:rPr>
          <w:rFonts w:ascii="Traditional Arabic" w:hAnsi="Traditional Arabic" w:hint="cs"/>
          <w:b/>
          <w:sz w:val="30"/>
          <w:rtl/>
          <w:lang w:val="en-GB" w:eastAsia="zh-TW"/>
        </w:rPr>
        <w:t>ً</w:t>
      </w:r>
      <w:r w:rsidRPr="00617CE1">
        <w:rPr>
          <w:rFonts w:ascii="Traditional Arabic" w:hAnsi="Traditional Arabic"/>
          <w:b/>
          <w:sz w:val="30"/>
          <w:rtl/>
          <w:lang w:val="en-GB" w:eastAsia="zh-TW"/>
        </w:rPr>
        <w:t xml:space="preserve"> للجدول الزمني المحد</w:t>
      </w:r>
      <w:r>
        <w:rPr>
          <w:rFonts w:ascii="Traditional Arabic" w:hAnsi="Traditional Arabic"/>
          <w:b/>
          <w:sz w:val="30"/>
          <w:rtl/>
          <w:lang w:val="en-GB" w:eastAsia="zh-TW"/>
        </w:rPr>
        <w:t>د في المرفق الثاني لهذا المقرر.</w:t>
      </w:r>
    </w:p>
    <w:p w14:paraId="2308586B"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2-</w:t>
      </w:r>
      <w:r>
        <w:rPr>
          <w:rFonts w:ascii="Traditional Arabic" w:hAnsi="Traditional Arabic"/>
          <w:b/>
          <w:sz w:val="30"/>
          <w:rtl/>
          <w:lang w:val="en-GB" w:eastAsia="zh-TW"/>
        </w:rPr>
        <w:tab/>
      </w:r>
      <w:r w:rsidRPr="00617CE1">
        <w:rPr>
          <w:rFonts w:ascii="Traditional Arabic" w:hAnsi="Traditional Arabic"/>
          <w:b/>
          <w:sz w:val="30"/>
          <w:rtl/>
          <w:lang w:val="en-GB" w:eastAsia="zh-TW"/>
        </w:rPr>
        <w:t>وسيأخذ فريق الخبراء، كخطوة أولى، في الاعتبار في تقرير</w:t>
      </w:r>
      <w:r>
        <w:rPr>
          <w:rFonts w:ascii="Traditional Arabic" w:hAnsi="Traditional Arabic" w:hint="cs"/>
          <w:b/>
          <w:sz w:val="30"/>
          <w:rtl/>
          <w:lang w:val="en-GB" w:eastAsia="zh-TW"/>
        </w:rPr>
        <w:t>ٍ</w:t>
      </w:r>
      <w:r w:rsidRPr="00617CE1">
        <w:rPr>
          <w:rFonts w:ascii="Traditional Arabic" w:hAnsi="Traditional Arabic"/>
          <w:b/>
          <w:sz w:val="30"/>
          <w:rtl/>
          <w:lang w:val="en-GB" w:eastAsia="zh-TW"/>
        </w:rPr>
        <w:t xml:space="preserve"> المعلومات المشار إليها في الفقرة ٥ من المقرر ا</w:t>
      </w:r>
      <w:r>
        <w:rPr>
          <w:rFonts w:ascii="Traditional Arabic" w:hAnsi="Traditional Arabic" w:hint="eastAsia"/>
          <w:b/>
          <w:sz w:val="30"/>
          <w:rtl/>
          <w:lang w:val="en-GB" w:eastAsia="zh-TW"/>
        </w:rPr>
        <w:t> </w:t>
      </w:r>
      <w:r w:rsidRPr="00617CE1">
        <w:rPr>
          <w:rFonts w:ascii="Traditional Arabic" w:hAnsi="Traditional Arabic"/>
          <w:b/>
          <w:sz w:val="30"/>
          <w:rtl/>
          <w:lang w:val="en-GB" w:eastAsia="zh-TW"/>
        </w:rPr>
        <w:t>م-٢/٣.</w:t>
      </w:r>
    </w:p>
    <w:p w14:paraId="1234C88B"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3-</w:t>
      </w:r>
      <w:r>
        <w:rPr>
          <w:rFonts w:ascii="Traditional Arabic" w:hAnsi="Traditional Arabic"/>
          <w:b/>
          <w:sz w:val="30"/>
          <w:rtl/>
          <w:lang w:val="en-GB" w:eastAsia="zh-TW"/>
        </w:rPr>
        <w:tab/>
      </w:r>
      <w:r w:rsidRPr="00617CE1">
        <w:rPr>
          <w:rFonts w:ascii="Traditional Arabic" w:hAnsi="Traditional Arabic"/>
          <w:b/>
          <w:sz w:val="30"/>
          <w:rtl/>
          <w:lang w:val="en-GB" w:eastAsia="zh-TW"/>
        </w:rPr>
        <w:t xml:space="preserve">وسوف يعد فريق الخبراء تقريراً يشتمل على قائمة بأي فئات لمصادر إطلاقات ثابتة </w:t>
      </w:r>
      <w:proofErr w:type="gramStart"/>
      <w:r w:rsidRPr="00617CE1">
        <w:rPr>
          <w:rFonts w:ascii="Traditional Arabic" w:hAnsi="Traditional Arabic"/>
          <w:b/>
          <w:sz w:val="30"/>
          <w:rtl/>
          <w:lang w:val="en-GB" w:eastAsia="zh-TW"/>
        </w:rPr>
        <w:t>هامة</w:t>
      </w:r>
      <w:proofErr w:type="gramEnd"/>
      <w:r w:rsidRPr="00617CE1">
        <w:rPr>
          <w:rFonts w:ascii="Traditional Arabic" w:hAnsi="Traditional Arabic"/>
          <w:b/>
          <w:sz w:val="30"/>
          <w:rtl/>
          <w:lang w:val="en-GB" w:eastAsia="zh-TW"/>
        </w:rPr>
        <w:t xml:space="preserve"> بشرية المنشأ لا تتناولها أحكام الاتفاقية عدا المادة ٩، إلى جانب هيكل وخريطة طريق مقترحة لوضع مشروع توجيهات بشأن منهجيات لإعداد قوائم الجرد الخاصة به، لكي يعتمدها مؤتمر الأطراف إن أمكن في اجتماعه الثالث.</w:t>
      </w:r>
    </w:p>
    <w:p w14:paraId="0DFE3927"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4-</w:t>
      </w:r>
      <w:r>
        <w:rPr>
          <w:rFonts w:ascii="Traditional Arabic" w:hAnsi="Traditional Arabic"/>
          <w:b/>
          <w:sz w:val="30"/>
          <w:rtl/>
          <w:lang w:val="en-GB" w:eastAsia="zh-TW"/>
        </w:rPr>
        <w:tab/>
      </w:r>
      <w:r w:rsidRPr="00617CE1">
        <w:rPr>
          <w:rFonts w:ascii="Traditional Arabic" w:hAnsi="Traditional Arabic"/>
          <w:b/>
          <w:sz w:val="30"/>
          <w:rtl/>
          <w:lang w:val="en-GB" w:eastAsia="zh-TW"/>
        </w:rPr>
        <w:t xml:space="preserve">وفي الخطوة التالية سيضع فريق الخبراء مشروع توجيهات بشأن منهجيات موحدة ومعروفة لإعداد قوائم جرد </w:t>
      </w:r>
      <w:r>
        <w:rPr>
          <w:rFonts w:ascii="Traditional Arabic" w:hAnsi="Traditional Arabic" w:hint="cs"/>
          <w:b/>
          <w:sz w:val="30"/>
          <w:rtl/>
          <w:lang w:val="en-GB" w:eastAsia="zh-TW"/>
        </w:rPr>
        <w:t>ل</w:t>
      </w:r>
      <w:r w:rsidRPr="00617CE1">
        <w:rPr>
          <w:rFonts w:ascii="Traditional Arabic" w:hAnsi="Traditional Arabic"/>
          <w:b/>
          <w:sz w:val="30"/>
          <w:rtl/>
          <w:lang w:val="en-GB" w:eastAsia="zh-TW"/>
        </w:rPr>
        <w:t>لمصادر المدرجة في القائمة المشار إليها في الفقرة 8 من المقرر ا</w:t>
      </w:r>
      <w:r>
        <w:rPr>
          <w:rFonts w:ascii="Traditional Arabic" w:hAnsi="Traditional Arabic" w:hint="cs"/>
          <w:b/>
          <w:sz w:val="30"/>
          <w:rtl/>
          <w:lang w:val="en-GB" w:eastAsia="zh-TW"/>
        </w:rPr>
        <w:t xml:space="preserve"> </w:t>
      </w:r>
      <w:r w:rsidRPr="00617CE1">
        <w:rPr>
          <w:rFonts w:ascii="Traditional Arabic" w:hAnsi="Traditional Arabic"/>
          <w:b/>
          <w:sz w:val="30"/>
          <w:rtl/>
          <w:lang w:val="en-GB" w:eastAsia="zh-TW"/>
        </w:rPr>
        <w:t>م-2/</w:t>
      </w:r>
      <w:r>
        <w:rPr>
          <w:rFonts w:ascii="Traditional Arabic" w:hAnsi="Traditional Arabic" w:hint="cs"/>
          <w:b/>
          <w:sz w:val="30"/>
          <w:rtl/>
          <w:lang w:val="en-GB" w:eastAsia="zh-TW"/>
        </w:rPr>
        <w:t>3</w:t>
      </w:r>
      <w:r w:rsidRPr="00617CE1">
        <w:rPr>
          <w:rFonts w:ascii="Traditional Arabic" w:hAnsi="Traditional Arabic"/>
          <w:b/>
          <w:sz w:val="30"/>
          <w:rtl/>
          <w:lang w:val="en-GB" w:eastAsia="zh-TW"/>
        </w:rPr>
        <w:t xml:space="preserve"> لكي يعتمدها مؤتمر الأطراف إن أمكن في اجتماعه الرابع.</w:t>
      </w:r>
    </w:p>
    <w:p w14:paraId="6CE35549" w14:textId="77777777" w:rsidR="005A3B9C" w:rsidRPr="00677AE8" w:rsidRDefault="005A3B9C" w:rsidP="005A3B9C">
      <w:pPr>
        <w:keepNext/>
        <w:keepLines/>
        <w:tabs>
          <w:tab w:val="left" w:pos="1841"/>
          <w:tab w:val="left" w:pos="2408"/>
          <w:tab w:val="left" w:pos="2948"/>
          <w:tab w:val="left" w:pos="3515"/>
          <w:tab w:val="left" w:pos="4082"/>
        </w:tabs>
        <w:suppressAutoHyphens/>
        <w:bidi/>
        <w:spacing w:before="240" w:after="120" w:line="400" w:lineRule="exact"/>
        <w:ind w:left="1134" w:right="284" w:hanging="710"/>
        <w:jc w:val="both"/>
        <w:textDirection w:val="tbRlV"/>
        <w:rPr>
          <w:rFonts w:ascii="Traditional Arabic" w:hAnsi="Traditional Arabic"/>
          <w:bCs/>
          <w:sz w:val="32"/>
          <w:szCs w:val="32"/>
          <w:rtl/>
          <w:lang w:val="en-GB" w:eastAsia="zh-TW"/>
        </w:rPr>
      </w:pPr>
      <w:r w:rsidRPr="00677AE8">
        <w:rPr>
          <w:rFonts w:ascii="Traditional Arabic" w:hAnsi="Traditional Arabic"/>
          <w:bCs/>
          <w:sz w:val="32"/>
          <w:szCs w:val="32"/>
          <w:rtl/>
          <w:lang w:val="en-GB" w:eastAsia="zh-TW"/>
        </w:rPr>
        <w:t>ثانيا</w:t>
      </w:r>
      <w:r>
        <w:rPr>
          <w:rFonts w:ascii="Traditional Arabic" w:hAnsi="Traditional Arabic" w:hint="cs"/>
          <w:bCs/>
          <w:sz w:val="32"/>
          <w:szCs w:val="32"/>
          <w:rtl/>
          <w:lang w:val="en-GB" w:eastAsia="zh-TW"/>
        </w:rPr>
        <w:t>ً</w:t>
      </w:r>
      <w:r>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العضوية</w:t>
      </w:r>
    </w:p>
    <w:p w14:paraId="684BB7FB"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5-</w:t>
      </w:r>
      <w:r>
        <w:rPr>
          <w:rFonts w:ascii="Traditional Arabic" w:hAnsi="Traditional Arabic"/>
          <w:b/>
          <w:sz w:val="30"/>
          <w:rtl/>
          <w:lang w:val="en-GB" w:eastAsia="zh-TW"/>
        </w:rPr>
        <w:tab/>
      </w:r>
      <w:r w:rsidRPr="00617CE1">
        <w:rPr>
          <w:rFonts w:ascii="Traditional Arabic" w:hAnsi="Traditional Arabic"/>
          <w:b/>
          <w:sz w:val="30"/>
          <w:rtl/>
          <w:lang w:val="en-GB" w:eastAsia="zh-TW"/>
        </w:rPr>
        <w:t xml:space="preserve">حتى الاجتماع الثالث لمؤتمر الأطراف، سيضم الفريق خمسة </w:t>
      </w:r>
      <w:r>
        <w:rPr>
          <w:rFonts w:ascii="Traditional Arabic" w:hAnsi="Traditional Arabic" w:hint="cs"/>
          <w:b/>
          <w:sz w:val="30"/>
          <w:rtl/>
          <w:lang w:val="en-GB" w:eastAsia="zh-TW"/>
        </w:rPr>
        <w:t xml:space="preserve">وعشرين </w:t>
      </w:r>
      <w:r w:rsidRPr="00617CE1">
        <w:rPr>
          <w:rFonts w:ascii="Traditional Arabic" w:hAnsi="Traditional Arabic"/>
          <w:b/>
          <w:sz w:val="30"/>
          <w:rtl/>
          <w:lang w:val="en-GB" w:eastAsia="zh-TW"/>
        </w:rPr>
        <w:t>خب</w:t>
      </w:r>
      <w:r>
        <w:rPr>
          <w:rFonts w:ascii="Traditional Arabic" w:hAnsi="Traditional Arabic" w:hint="cs"/>
          <w:b/>
          <w:sz w:val="30"/>
          <w:rtl/>
          <w:lang w:val="en-GB" w:eastAsia="zh-TW"/>
        </w:rPr>
        <w:t>ي</w:t>
      </w:r>
      <w:r w:rsidRPr="00617CE1">
        <w:rPr>
          <w:rFonts w:ascii="Traditional Arabic" w:hAnsi="Traditional Arabic"/>
          <w:b/>
          <w:sz w:val="30"/>
          <w:rtl/>
          <w:lang w:val="en-GB" w:eastAsia="zh-TW"/>
        </w:rPr>
        <w:t>را</w:t>
      </w:r>
      <w:r>
        <w:rPr>
          <w:rFonts w:ascii="Traditional Arabic" w:hAnsi="Traditional Arabic" w:hint="cs"/>
          <w:b/>
          <w:sz w:val="30"/>
          <w:rtl/>
          <w:lang w:val="en-GB" w:eastAsia="zh-TW"/>
        </w:rPr>
        <w:t>ً</w:t>
      </w:r>
      <w:r w:rsidRPr="00617CE1">
        <w:rPr>
          <w:rFonts w:ascii="Traditional Arabic" w:hAnsi="Traditional Arabic"/>
          <w:b/>
          <w:sz w:val="30"/>
          <w:rtl/>
          <w:lang w:val="en-GB" w:eastAsia="zh-TW"/>
        </w:rPr>
        <w:t xml:space="preserve"> تقني</w:t>
      </w:r>
      <w:r>
        <w:rPr>
          <w:rFonts w:ascii="Traditional Arabic" w:hAnsi="Traditional Arabic" w:hint="cs"/>
          <w:b/>
          <w:sz w:val="30"/>
          <w:rtl/>
          <w:lang w:val="en-GB" w:eastAsia="zh-TW"/>
        </w:rPr>
        <w:t>اً،</w:t>
      </w:r>
      <w:r w:rsidRPr="00617CE1">
        <w:rPr>
          <w:rFonts w:ascii="Traditional Arabic" w:hAnsi="Traditional Arabic"/>
          <w:b/>
          <w:sz w:val="30"/>
          <w:rtl/>
          <w:lang w:val="en-GB" w:eastAsia="zh-TW"/>
        </w:rPr>
        <w:t xml:space="preserve"> </w:t>
      </w:r>
      <w:r>
        <w:rPr>
          <w:rFonts w:ascii="Traditional Arabic" w:hAnsi="Traditional Arabic" w:hint="cs"/>
          <w:b/>
          <w:sz w:val="30"/>
          <w:rtl/>
          <w:lang w:val="en-GB" w:eastAsia="zh-TW"/>
        </w:rPr>
        <w:t xml:space="preserve">يعين خمسةٌ منهم </w:t>
      </w:r>
      <w:r w:rsidRPr="00617CE1">
        <w:rPr>
          <w:rFonts w:ascii="Traditional Arabic" w:hAnsi="Traditional Arabic"/>
          <w:b/>
          <w:sz w:val="30"/>
          <w:rtl/>
          <w:lang w:val="en-GB" w:eastAsia="zh-TW"/>
        </w:rPr>
        <w:t xml:space="preserve">من </w:t>
      </w:r>
      <w:r>
        <w:rPr>
          <w:rFonts w:ascii="Traditional Arabic" w:hAnsi="Traditional Arabic" w:hint="cs"/>
          <w:b/>
          <w:sz w:val="30"/>
          <w:rtl/>
          <w:lang w:val="en-GB" w:eastAsia="zh-TW"/>
        </w:rPr>
        <w:t xml:space="preserve">كل منطقة من </w:t>
      </w:r>
      <w:r w:rsidRPr="00617CE1">
        <w:rPr>
          <w:rFonts w:ascii="Traditional Arabic" w:hAnsi="Traditional Arabic"/>
          <w:b/>
          <w:sz w:val="30"/>
          <w:rtl/>
          <w:lang w:val="en-GB" w:eastAsia="zh-TW"/>
        </w:rPr>
        <w:t>مناطق الأمم المتحدة الخمس. وقبل الاجتماع الأول للفريق، سيدعو الفريق والأمانة خبراء من المنظمات ذات الصلة والصناعة والمجتمع المدني إلى المشا</w:t>
      </w:r>
      <w:r>
        <w:rPr>
          <w:rFonts w:ascii="Traditional Arabic" w:hAnsi="Traditional Arabic"/>
          <w:b/>
          <w:sz w:val="30"/>
          <w:rtl/>
          <w:lang w:val="en-GB" w:eastAsia="zh-TW"/>
        </w:rPr>
        <w:t>ركة بصفة مراقبين، حسب الاقتضاء.</w:t>
      </w:r>
    </w:p>
    <w:p w14:paraId="3BDE1457" w14:textId="77777777" w:rsidR="005A3B9C" w:rsidRPr="00677AE8" w:rsidRDefault="005A3B9C" w:rsidP="005A3B9C">
      <w:pPr>
        <w:keepNext/>
        <w:keepLines/>
        <w:tabs>
          <w:tab w:val="left" w:pos="1814"/>
          <w:tab w:val="left" w:pos="1841"/>
          <w:tab w:val="left" w:pos="2381"/>
          <w:tab w:val="left" w:pos="2408"/>
          <w:tab w:val="left" w:pos="2948"/>
          <w:tab w:val="left" w:pos="3515"/>
          <w:tab w:val="left" w:pos="4082"/>
        </w:tabs>
        <w:suppressAutoHyphens/>
        <w:bidi/>
        <w:spacing w:before="240" w:after="120" w:line="400" w:lineRule="exact"/>
        <w:ind w:left="1134" w:right="284" w:hanging="710"/>
        <w:jc w:val="both"/>
        <w:textDirection w:val="tbRlV"/>
        <w:rPr>
          <w:rFonts w:ascii="Traditional Arabic" w:hAnsi="Traditional Arabic"/>
          <w:bCs/>
          <w:sz w:val="32"/>
          <w:szCs w:val="32"/>
          <w:rtl/>
          <w:lang w:val="en-GB" w:eastAsia="zh-TW"/>
        </w:rPr>
      </w:pPr>
      <w:r w:rsidRPr="00677AE8">
        <w:rPr>
          <w:rFonts w:ascii="Traditional Arabic" w:hAnsi="Traditional Arabic"/>
          <w:bCs/>
          <w:sz w:val="32"/>
          <w:szCs w:val="32"/>
          <w:rtl/>
          <w:lang w:val="en-GB" w:eastAsia="zh-TW"/>
        </w:rPr>
        <w:t>ثالثا</w:t>
      </w:r>
      <w:r>
        <w:rPr>
          <w:rFonts w:ascii="Traditional Arabic" w:hAnsi="Traditional Arabic" w:hint="cs"/>
          <w:bCs/>
          <w:sz w:val="32"/>
          <w:szCs w:val="32"/>
          <w:rtl/>
          <w:lang w:val="en-GB" w:eastAsia="zh-TW"/>
        </w:rPr>
        <w:t>ً</w:t>
      </w:r>
      <w:r>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 xml:space="preserve">مؤهلات الأعضاء والمراقبين </w:t>
      </w:r>
      <w:proofErr w:type="spellStart"/>
      <w:r w:rsidRPr="00677AE8">
        <w:rPr>
          <w:rFonts w:ascii="Traditional Arabic" w:hAnsi="Traditional Arabic"/>
          <w:bCs/>
          <w:sz w:val="32"/>
          <w:szCs w:val="32"/>
          <w:rtl/>
          <w:lang w:val="en-GB" w:eastAsia="zh-TW"/>
        </w:rPr>
        <w:t>الموصى</w:t>
      </w:r>
      <w:proofErr w:type="spellEnd"/>
      <w:r w:rsidRPr="00677AE8">
        <w:rPr>
          <w:rFonts w:ascii="Traditional Arabic" w:hAnsi="Traditional Arabic"/>
          <w:bCs/>
          <w:sz w:val="32"/>
          <w:szCs w:val="32"/>
          <w:rtl/>
          <w:lang w:val="en-GB" w:eastAsia="zh-TW"/>
        </w:rPr>
        <w:t xml:space="preserve"> بها</w:t>
      </w:r>
    </w:p>
    <w:p w14:paraId="51BF269F"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6-</w:t>
      </w:r>
      <w:r>
        <w:rPr>
          <w:rFonts w:ascii="Traditional Arabic" w:hAnsi="Traditional Arabic"/>
          <w:b/>
          <w:sz w:val="30"/>
          <w:rtl/>
          <w:lang w:val="en-GB" w:eastAsia="zh-TW"/>
        </w:rPr>
        <w:tab/>
      </w:r>
      <w:r w:rsidRPr="00617CE1">
        <w:rPr>
          <w:rFonts w:ascii="Traditional Arabic" w:hAnsi="Traditional Arabic"/>
          <w:b/>
          <w:sz w:val="30"/>
          <w:rtl/>
          <w:lang w:val="en-GB" w:eastAsia="zh-TW"/>
        </w:rPr>
        <w:t>يتعين أن يتميز الأعضاء والمراقبون بواحد على الأقل من المؤهلات التالية:</w:t>
      </w:r>
    </w:p>
    <w:p w14:paraId="2D397383" w14:textId="77777777" w:rsidR="005A3B9C" w:rsidRPr="00617CE1" w:rsidRDefault="005A3B9C" w:rsidP="005A3B9C">
      <w:pPr>
        <w:numPr>
          <w:ilvl w:val="0"/>
          <w:numId w:val="10"/>
        </w:numPr>
        <w:tabs>
          <w:tab w:val="left" w:pos="2408"/>
          <w:tab w:val="left" w:pos="2948"/>
          <w:tab w:val="left" w:pos="3515"/>
        </w:tabs>
        <w:suppressAutoHyphens/>
        <w:autoSpaceDN w:val="0"/>
        <w:bidi/>
        <w:spacing w:after="120" w:line="400" w:lineRule="exact"/>
        <w:ind w:left="1134" w:firstLine="707"/>
        <w:jc w:val="both"/>
        <w:textDirection w:val="tbRlV"/>
        <w:textAlignment w:val="baseline"/>
        <w:rPr>
          <w:rFonts w:ascii="Traditional Arabic" w:hAnsi="Traditional Arabic"/>
          <w:b/>
          <w:sz w:val="30"/>
          <w:rtl/>
          <w:lang w:val="en-GB" w:eastAsia="zh-TW"/>
        </w:rPr>
      </w:pPr>
      <w:r w:rsidRPr="00617CE1">
        <w:rPr>
          <w:rFonts w:ascii="Traditional Arabic" w:hAnsi="Traditional Arabic"/>
          <w:b/>
          <w:sz w:val="30"/>
          <w:rtl/>
          <w:lang w:val="en-GB" w:eastAsia="zh-TW"/>
        </w:rPr>
        <w:t xml:space="preserve">معرفة التدفق </w:t>
      </w:r>
      <w:r>
        <w:rPr>
          <w:rFonts w:ascii="Traditional Arabic" w:hAnsi="Traditional Arabic"/>
          <w:b/>
          <w:sz w:val="30"/>
          <w:rtl/>
          <w:lang w:val="en-GB" w:eastAsia="zh-TW"/>
        </w:rPr>
        <w:t>الكتلي/التوزان الكتلي للزئبق في</w:t>
      </w:r>
      <w:r w:rsidRPr="00617CE1">
        <w:rPr>
          <w:rFonts w:ascii="Traditional Arabic" w:hAnsi="Traditional Arabic"/>
          <w:b/>
          <w:sz w:val="30"/>
          <w:rtl/>
          <w:lang w:val="en-GB" w:eastAsia="zh-TW"/>
        </w:rPr>
        <w:t xml:space="preserve"> الفئات الفرعية ذات الصل</w:t>
      </w:r>
      <w:r>
        <w:rPr>
          <w:rFonts w:ascii="Traditional Arabic" w:hAnsi="Traditional Arabic"/>
          <w:b/>
          <w:sz w:val="30"/>
          <w:rtl/>
          <w:lang w:val="en-GB" w:eastAsia="zh-TW"/>
        </w:rPr>
        <w:t>ة لمصادر الزئبق (مثلاً من العمل</w:t>
      </w:r>
      <w:r w:rsidRPr="00617CE1">
        <w:rPr>
          <w:rFonts w:ascii="Traditional Arabic" w:hAnsi="Traditional Arabic"/>
          <w:b/>
          <w:sz w:val="30"/>
          <w:rtl/>
          <w:lang w:val="en-GB" w:eastAsia="zh-TW"/>
        </w:rPr>
        <w:t xml:space="preserve"> التقني في/مع القطاعات ذات الصلة)؛</w:t>
      </w:r>
    </w:p>
    <w:p w14:paraId="10112296" w14:textId="77777777" w:rsidR="005A3B9C" w:rsidRPr="00617CE1" w:rsidRDefault="005A3B9C" w:rsidP="005A3B9C">
      <w:pPr>
        <w:numPr>
          <w:ilvl w:val="0"/>
          <w:numId w:val="10"/>
        </w:numPr>
        <w:tabs>
          <w:tab w:val="left" w:pos="2408"/>
          <w:tab w:val="left" w:pos="2948"/>
          <w:tab w:val="left" w:pos="3515"/>
        </w:tabs>
        <w:suppressAutoHyphens/>
        <w:autoSpaceDN w:val="0"/>
        <w:bidi/>
        <w:spacing w:after="120" w:line="400" w:lineRule="exact"/>
        <w:ind w:left="1134" w:firstLine="707"/>
        <w:jc w:val="both"/>
        <w:textDirection w:val="tbRlV"/>
        <w:textAlignment w:val="baseline"/>
        <w:rPr>
          <w:rFonts w:ascii="Traditional Arabic" w:hAnsi="Traditional Arabic"/>
          <w:b/>
          <w:sz w:val="30"/>
          <w:rtl/>
          <w:lang w:val="en-GB" w:eastAsia="zh-TW"/>
        </w:rPr>
      </w:pPr>
      <w:r w:rsidRPr="00617CE1">
        <w:rPr>
          <w:rFonts w:ascii="Traditional Arabic" w:hAnsi="Traditional Arabic"/>
          <w:b/>
          <w:sz w:val="30"/>
          <w:rtl/>
          <w:lang w:val="en-GB" w:eastAsia="zh-TW"/>
        </w:rPr>
        <w:t>الخبرة ذات الصلة بالنهج المختلفة للرصد والقياس وحساب الانبعاثات والإطلاقات؛</w:t>
      </w:r>
    </w:p>
    <w:p w14:paraId="7C689E98" w14:textId="77777777" w:rsidR="005A3B9C" w:rsidRPr="00617CE1" w:rsidRDefault="005A3B9C" w:rsidP="005A3B9C">
      <w:pPr>
        <w:numPr>
          <w:ilvl w:val="0"/>
          <w:numId w:val="10"/>
        </w:numPr>
        <w:tabs>
          <w:tab w:val="left" w:pos="2408"/>
          <w:tab w:val="left" w:pos="2948"/>
          <w:tab w:val="left" w:pos="3515"/>
        </w:tabs>
        <w:suppressAutoHyphens/>
        <w:autoSpaceDN w:val="0"/>
        <w:bidi/>
        <w:spacing w:after="120" w:line="400" w:lineRule="exact"/>
        <w:ind w:left="1134" w:firstLine="707"/>
        <w:jc w:val="both"/>
        <w:textDirection w:val="tbRlV"/>
        <w:textAlignment w:val="baseline"/>
        <w:rPr>
          <w:rFonts w:ascii="Traditional Arabic" w:hAnsi="Traditional Arabic"/>
          <w:b/>
          <w:sz w:val="30"/>
          <w:rtl/>
          <w:lang w:val="en-GB" w:eastAsia="zh-TW"/>
        </w:rPr>
      </w:pPr>
      <w:r w:rsidRPr="00617CE1">
        <w:rPr>
          <w:rFonts w:ascii="Traditional Arabic" w:hAnsi="Traditional Arabic"/>
          <w:b/>
          <w:sz w:val="30"/>
          <w:rtl/>
          <w:lang w:val="en-GB" w:eastAsia="zh-TW"/>
        </w:rPr>
        <w:t>المعرفة بسج</w:t>
      </w:r>
      <w:r>
        <w:rPr>
          <w:rFonts w:ascii="Traditional Arabic" w:hAnsi="Traditional Arabic"/>
          <w:b/>
          <w:sz w:val="30"/>
          <w:rtl/>
          <w:lang w:val="en-GB" w:eastAsia="zh-TW"/>
        </w:rPr>
        <w:t>لات إطلاقات الملوثات وانتقالها؛</w:t>
      </w:r>
    </w:p>
    <w:p w14:paraId="54991FB5" w14:textId="77777777" w:rsidR="005A3B9C" w:rsidRPr="00617CE1" w:rsidRDefault="005A3B9C" w:rsidP="005A3B9C">
      <w:pPr>
        <w:numPr>
          <w:ilvl w:val="0"/>
          <w:numId w:val="10"/>
        </w:numPr>
        <w:tabs>
          <w:tab w:val="left" w:pos="2408"/>
          <w:tab w:val="left" w:pos="2948"/>
          <w:tab w:val="left" w:pos="3515"/>
        </w:tabs>
        <w:suppressAutoHyphens/>
        <w:autoSpaceDN w:val="0"/>
        <w:bidi/>
        <w:spacing w:after="120" w:line="400" w:lineRule="exact"/>
        <w:ind w:left="1134" w:firstLine="707"/>
        <w:jc w:val="both"/>
        <w:textDirection w:val="tbRlV"/>
        <w:textAlignment w:val="baseline"/>
        <w:rPr>
          <w:rFonts w:ascii="Traditional Arabic" w:hAnsi="Traditional Arabic"/>
          <w:b/>
          <w:sz w:val="30"/>
          <w:rtl/>
          <w:lang w:val="en-GB" w:eastAsia="zh-TW"/>
        </w:rPr>
      </w:pPr>
      <w:r w:rsidRPr="00617CE1">
        <w:rPr>
          <w:rFonts w:ascii="Traditional Arabic" w:hAnsi="Traditional Arabic"/>
          <w:b/>
          <w:sz w:val="30"/>
          <w:rtl/>
          <w:lang w:val="en-GB" w:eastAsia="zh-TW"/>
        </w:rPr>
        <w:t>الخبرة أو التجربة في استخدام عدة</w:t>
      </w:r>
      <w:r>
        <w:rPr>
          <w:rFonts w:ascii="Traditional Arabic" w:hAnsi="Traditional Arabic" w:hint="cs"/>
          <w:b/>
          <w:sz w:val="30"/>
          <w:rtl/>
          <w:lang w:val="en-GB" w:eastAsia="zh-TW"/>
        </w:rPr>
        <w:t xml:space="preserve"> أدوات</w:t>
      </w:r>
      <w:r w:rsidRPr="00617CE1">
        <w:rPr>
          <w:rFonts w:ascii="Traditional Arabic" w:hAnsi="Traditional Arabic"/>
          <w:b/>
          <w:sz w:val="30"/>
          <w:rtl/>
          <w:lang w:val="en-GB" w:eastAsia="zh-TW"/>
        </w:rPr>
        <w:t xml:space="preserve"> </w:t>
      </w:r>
      <w:r>
        <w:rPr>
          <w:rFonts w:ascii="Traditional Arabic" w:hAnsi="Traditional Arabic" w:hint="cs"/>
          <w:b/>
          <w:sz w:val="30"/>
          <w:rtl/>
          <w:lang w:val="en-GB" w:eastAsia="zh-TW"/>
        </w:rPr>
        <w:t>تحديد إطلاقات</w:t>
      </w:r>
      <w:r w:rsidRPr="00617CE1">
        <w:rPr>
          <w:rFonts w:ascii="Traditional Arabic" w:hAnsi="Traditional Arabic"/>
          <w:b/>
          <w:sz w:val="30"/>
          <w:rtl/>
          <w:lang w:val="en-GB" w:eastAsia="zh-TW"/>
        </w:rPr>
        <w:t xml:space="preserve"> الزئبق </w:t>
      </w:r>
      <w:r>
        <w:rPr>
          <w:rFonts w:ascii="Traditional Arabic" w:hAnsi="Traditional Arabic" w:hint="cs"/>
          <w:b/>
          <w:sz w:val="30"/>
          <w:rtl/>
          <w:lang w:val="en-GB" w:eastAsia="zh-TW"/>
        </w:rPr>
        <w:t>وقياس كمياتها التي طورها</w:t>
      </w:r>
      <w:r w:rsidRPr="00617CE1">
        <w:rPr>
          <w:rFonts w:ascii="Traditional Arabic" w:hAnsi="Traditional Arabic"/>
          <w:b/>
          <w:sz w:val="30"/>
          <w:rtl/>
          <w:lang w:val="en-GB" w:eastAsia="zh-TW"/>
        </w:rPr>
        <w:t xml:space="preserve"> برنامج الأمم المتحدة للبيئة.</w:t>
      </w:r>
    </w:p>
    <w:p w14:paraId="11625193" w14:textId="77777777" w:rsidR="005A3B9C" w:rsidRPr="00617CE1" w:rsidRDefault="005A3B9C" w:rsidP="005A3B9C">
      <w:pPr>
        <w:keepNext/>
        <w:keepLines/>
        <w:tabs>
          <w:tab w:val="left" w:pos="1841"/>
          <w:tab w:val="left" w:pos="2381"/>
          <w:tab w:val="left" w:pos="2408"/>
          <w:tab w:val="left" w:pos="2948"/>
          <w:tab w:val="left" w:pos="3515"/>
          <w:tab w:val="left" w:pos="4082"/>
        </w:tabs>
        <w:suppressAutoHyphens/>
        <w:bidi/>
        <w:spacing w:before="240" w:after="120" w:line="400" w:lineRule="exact"/>
        <w:ind w:left="1134" w:right="284" w:hanging="710"/>
        <w:jc w:val="both"/>
        <w:textDirection w:val="tbRlV"/>
        <w:rPr>
          <w:rFonts w:ascii="Traditional Arabic" w:hAnsi="Traditional Arabic"/>
          <w:bCs/>
          <w:sz w:val="30"/>
          <w:rtl/>
          <w:lang w:val="en-GB" w:eastAsia="zh-TW"/>
        </w:rPr>
      </w:pPr>
      <w:r w:rsidRPr="00617CE1">
        <w:rPr>
          <w:rFonts w:ascii="Traditional Arabic" w:hAnsi="Traditional Arabic"/>
          <w:bCs/>
          <w:sz w:val="30"/>
          <w:rtl/>
          <w:lang w:val="en-GB" w:eastAsia="zh-TW"/>
        </w:rPr>
        <w:t>رابعا</w:t>
      </w:r>
      <w:r>
        <w:rPr>
          <w:rFonts w:ascii="Traditional Arabic" w:hAnsi="Traditional Arabic" w:hint="cs"/>
          <w:bCs/>
          <w:sz w:val="30"/>
          <w:rtl/>
          <w:lang w:val="en-GB" w:eastAsia="zh-TW"/>
        </w:rPr>
        <w:t>ً</w:t>
      </w:r>
      <w:r>
        <w:rPr>
          <w:rFonts w:ascii="Traditional Arabic" w:hAnsi="Traditional Arabic"/>
          <w:bCs/>
          <w:sz w:val="30"/>
          <w:rtl/>
          <w:lang w:val="en-GB" w:eastAsia="zh-TW"/>
        </w:rPr>
        <w:t>-</w:t>
      </w:r>
      <w:r>
        <w:rPr>
          <w:rFonts w:ascii="Traditional Arabic" w:hAnsi="Traditional Arabic" w:hint="cs"/>
          <w:bCs/>
          <w:sz w:val="30"/>
          <w:rtl/>
          <w:lang w:val="en-GB" w:eastAsia="zh-TW"/>
        </w:rPr>
        <w:tab/>
      </w:r>
      <w:r w:rsidRPr="00617CE1">
        <w:rPr>
          <w:rFonts w:ascii="Traditional Arabic" w:hAnsi="Traditional Arabic"/>
          <w:bCs/>
          <w:sz w:val="30"/>
          <w:rtl/>
          <w:lang w:val="en-GB" w:eastAsia="zh-TW"/>
        </w:rPr>
        <w:t>أعضاء المكتب</w:t>
      </w:r>
    </w:p>
    <w:p w14:paraId="03E040AF"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7-</w:t>
      </w:r>
      <w:r>
        <w:rPr>
          <w:rFonts w:ascii="Traditional Arabic" w:hAnsi="Traditional Arabic"/>
          <w:b/>
          <w:sz w:val="30"/>
          <w:rtl/>
          <w:lang w:val="en-GB" w:eastAsia="zh-TW"/>
        </w:rPr>
        <w:tab/>
      </w:r>
      <w:r w:rsidRPr="00617CE1">
        <w:rPr>
          <w:rFonts w:ascii="Traditional Arabic" w:hAnsi="Traditional Arabic"/>
          <w:b/>
          <w:sz w:val="30"/>
          <w:rtl/>
          <w:lang w:val="en-GB" w:eastAsia="zh-TW"/>
        </w:rPr>
        <w:t>سينتخب فريق الخبراء الرئيسين المشاركين لت</w:t>
      </w:r>
      <w:r>
        <w:rPr>
          <w:rFonts w:ascii="Traditional Arabic" w:hAnsi="Traditional Arabic"/>
          <w:b/>
          <w:sz w:val="30"/>
          <w:rtl/>
          <w:lang w:val="en-GB" w:eastAsia="zh-TW"/>
        </w:rPr>
        <w:t>يسير اجتماعاته والأعمال الأخرى.</w:t>
      </w:r>
    </w:p>
    <w:p w14:paraId="4D1E299A" w14:textId="77777777" w:rsidR="005A3B9C" w:rsidRPr="00677AE8" w:rsidRDefault="005A3B9C" w:rsidP="005A3B9C">
      <w:pPr>
        <w:keepNext/>
        <w:keepLines/>
        <w:tabs>
          <w:tab w:val="left" w:pos="1841"/>
          <w:tab w:val="left" w:pos="2381"/>
          <w:tab w:val="left" w:pos="2408"/>
          <w:tab w:val="left" w:pos="2948"/>
          <w:tab w:val="left" w:pos="3515"/>
          <w:tab w:val="left" w:pos="4082"/>
        </w:tabs>
        <w:suppressAutoHyphens/>
        <w:bidi/>
        <w:spacing w:before="240" w:after="120" w:line="400" w:lineRule="exact"/>
        <w:ind w:left="1134" w:right="284" w:hanging="852"/>
        <w:jc w:val="both"/>
        <w:textDirection w:val="tbRlV"/>
        <w:rPr>
          <w:rFonts w:ascii="Traditional Arabic" w:hAnsi="Traditional Arabic"/>
          <w:bCs/>
          <w:sz w:val="32"/>
          <w:szCs w:val="32"/>
          <w:rtl/>
          <w:lang w:val="en-GB" w:eastAsia="zh-TW"/>
        </w:rPr>
      </w:pPr>
      <w:r>
        <w:rPr>
          <w:rFonts w:ascii="Traditional Arabic" w:hAnsi="Traditional Arabic"/>
          <w:bCs/>
          <w:sz w:val="32"/>
          <w:szCs w:val="32"/>
          <w:rtl/>
          <w:lang w:val="en-GB" w:eastAsia="zh-TW"/>
        </w:rPr>
        <w:t>خامساً-</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الأمانة</w:t>
      </w:r>
    </w:p>
    <w:p w14:paraId="192EE359"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8-</w:t>
      </w:r>
      <w:r>
        <w:rPr>
          <w:rFonts w:ascii="Traditional Arabic" w:hAnsi="Traditional Arabic"/>
          <w:b/>
          <w:sz w:val="30"/>
          <w:rtl/>
          <w:lang w:val="en-GB" w:eastAsia="zh-TW"/>
        </w:rPr>
        <w:tab/>
      </w:r>
      <w:r w:rsidRPr="00617CE1">
        <w:rPr>
          <w:rFonts w:ascii="Traditional Arabic" w:hAnsi="Traditional Arabic"/>
          <w:b/>
          <w:sz w:val="30"/>
          <w:rtl/>
          <w:lang w:val="en-GB" w:eastAsia="zh-TW"/>
        </w:rPr>
        <w:t>تقدم أمانة الاتفاقية الدعم الإداري لفريق الخبراء. وسوف تجمع الإفادات المقدمة الواردة ونتائج المشاورات بشأن هذه المسألة.</w:t>
      </w:r>
    </w:p>
    <w:p w14:paraId="36D47E1C" w14:textId="77777777" w:rsidR="005A3B9C" w:rsidRPr="00677AE8" w:rsidRDefault="005A3B9C" w:rsidP="005A3B9C">
      <w:pPr>
        <w:keepNext/>
        <w:keepLines/>
        <w:tabs>
          <w:tab w:val="left" w:pos="1814"/>
          <w:tab w:val="left" w:pos="1841"/>
          <w:tab w:val="left" w:pos="2381"/>
          <w:tab w:val="left" w:pos="2408"/>
          <w:tab w:val="left" w:pos="2948"/>
          <w:tab w:val="left" w:pos="3515"/>
          <w:tab w:val="left" w:pos="4082"/>
        </w:tabs>
        <w:suppressAutoHyphens/>
        <w:bidi/>
        <w:spacing w:before="240" w:after="120" w:line="400" w:lineRule="exact"/>
        <w:ind w:left="1134" w:right="284" w:hanging="852"/>
        <w:jc w:val="both"/>
        <w:textDirection w:val="tbRlV"/>
        <w:rPr>
          <w:rFonts w:ascii="Traditional Arabic" w:hAnsi="Traditional Arabic"/>
          <w:bCs/>
          <w:sz w:val="32"/>
          <w:szCs w:val="32"/>
          <w:rtl/>
          <w:lang w:val="en-GB" w:eastAsia="zh-TW"/>
        </w:rPr>
      </w:pPr>
      <w:r w:rsidRPr="00677AE8">
        <w:rPr>
          <w:rFonts w:ascii="Traditional Arabic" w:hAnsi="Traditional Arabic"/>
          <w:bCs/>
          <w:sz w:val="32"/>
          <w:szCs w:val="32"/>
          <w:rtl/>
          <w:lang w:val="en-GB" w:eastAsia="zh-TW"/>
        </w:rPr>
        <w:lastRenderedPageBreak/>
        <w:t>سادسا</w:t>
      </w:r>
      <w:r>
        <w:rPr>
          <w:rFonts w:ascii="Traditional Arabic" w:hAnsi="Traditional Arabic" w:hint="cs"/>
          <w:bCs/>
          <w:sz w:val="32"/>
          <w:szCs w:val="32"/>
          <w:rtl/>
          <w:lang w:val="en-GB" w:eastAsia="zh-TW"/>
        </w:rPr>
        <w:t>ً</w:t>
      </w:r>
      <w:r>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المسائل الإدارية والإجرائية</w:t>
      </w:r>
    </w:p>
    <w:p w14:paraId="10F6DB88"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9-</w:t>
      </w:r>
      <w:r>
        <w:rPr>
          <w:rFonts w:ascii="Traditional Arabic" w:hAnsi="Traditional Arabic"/>
          <w:b/>
          <w:sz w:val="30"/>
          <w:rtl/>
          <w:lang w:val="en-GB" w:eastAsia="zh-TW"/>
        </w:rPr>
        <w:tab/>
      </w:r>
      <w:r w:rsidRPr="00617CE1">
        <w:rPr>
          <w:rFonts w:ascii="Traditional Arabic" w:hAnsi="Traditional Arabic"/>
          <w:b/>
          <w:sz w:val="30"/>
          <w:rtl/>
          <w:lang w:val="en-GB" w:eastAsia="zh-TW"/>
        </w:rPr>
        <w:t>ينطبق النظام الداخلي لمؤتمر الأطراف، مع تعديل ما يلزم تعديله، على فريق الخبراء.</w:t>
      </w:r>
    </w:p>
    <w:p w14:paraId="69509E56" w14:textId="77777777" w:rsidR="005A3B9C" w:rsidRPr="00677AE8" w:rsidRDefault="005A3B9C" w:rsidP="005A3B9C">
      <w:pPr>
        <w:keepNext/>
        <w:keepLines/>
        <w:tabs>
          <w:tab w:val="left" w:pos="1247"/>
          <w:tab w:val="left" w:pos="1814"/>
          <w:tab w:val="left" w:pos="1841"/>
          <w:tab w:val="left" w:pos="2381"/>
          <w:tab w:val="left" w:pos="2408"/>
          <w:tab w:val="left" w:pos="2948"/>
          <w:tab w:val="left" w:pos="3515"/>
          <w:tab w:val="left" w:pos="4082"/>
        </w:tabs>
        <w:suppressAutoHyphens/>
        <w:bidi/>
        <w:spacing w:before="240" w:after="120" w:line="400" w:lineRule="exact"/>
        <w:ind w:left="1134" w:right="284" w:hanging="852"/>
        <w:jc w:val="both"/>
        <w:textDirection w:val="tbRlV"/>
        <w:rPr>
          <w:rFonts w:ascii="Traditional Arabic" w:hAnsi="Traditional Arabic"/>
          <w:bCs/>
          <w:sz w:val="32"/>
          <w:szCs w:val="32"/>
          <w:rtl/>
          <w:lang w:val="en-GB" w:eastAsia="zh-TW"/>
        </w:rPr>
      </w:pPr>
      <w:r w:rsidRPr="00677AE8">
        <w:rPr>
          <w:rFonts w:ascii="Traditional Arabic" w:hAnsi="Traditional Arabic"/>
          <w:bCs/>
          <w:sz w:val="32"/>
          <w:szCs w:val="32"/>
          <w:rtl/>
          <w:lang w:val="en-GB" w:eastAsia="zh-TW"/>
        </w:rPr>
        <w:t>سابعا</w:t>
      </w:r>
      <w:r>
        <w:rPr>
          <w:rFonts w:ascii="Traditional Arabic" w:hAnsi="Traditional Arabic" w:hint="cs"/>
          <w:bCs/>
          <w:sz w:val="32"/>
          <w:szCs w:val="32"/>
          <w:rtl/>
          <w:lang w:val="en-GB" w:eastAsia="zh-TW"/>
        </w:rPr>
        <w:t>ً</w:t>
      </w:r>
      <w:r w:rsidRPr="00677AE8">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677AE8">
        <w:rPr>
          <w:rFonts w:ascii="Traditional Arabic" w:hAnsi="Traditional Arabic"/>
          <w:bCs/>
          <w:sz w:val="32"/>
          <w:szCs w:val="32"/>
          <w:rtl/>
          <w:lang w:val="en-GB" w:eastAsia="zh-TW"/>
        </w:rPr>
        <w:t>الاجتماعات وترتيبات العمل</w:t>
      </w:r>
    </w:p>
    <w:p w14:paraId="54D73058"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10-</w:t>
      </w:r>
      <w:r>
        <w:rPr>
          <w:rFonts w:ascii="Traditional Arabic" w:hAnsi="Traditional Arabic"/>
          <w:b/>
          <w:sz w:val="30"/>
          <w:rtl/>
          <w:lang w:val="en-GB" w:eastAsia="zh-TW"/>
        </w:rPr>
        <w:tab/>
      </w:r>
      <w:r w:rsidRPr="00617CE1">
        <w:rPr>
          <w:rFonts w:ascii="Traditional Arabic" w:hAnsi="Traditional Arabic"/>
          <w:b/>
          <w:sz w:val="30"/>
          <w:rtl/>
          <w:lang w:val="en-GB" w:eastAsia="zh-TW"/>
        </w:rPr>
        <w:t>بهدف تحقيق فعالية الكلفة، سيعمل الفريق في المقام الأول عن طريق الوسائل الإلكترونية، بما في ذلك الحلقات الدراسية الشبكية.</w:t>
      </w:r>
    </w:p>
    <w:p w14:paraId="5E667769"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11-</w:t>
      </w:r>
      <w:r>
        <w:rPr>
          <w:rFonts w:ascii="Traditional Arabic" w:hAnsi="Traditional Arabic"/>
          <w:b/>
          <w:sz w:val="30"/>
          <w:rtl/>
          <w:lang w:val="en-GB" w:eastAsia="zh-TW"/>
        </w:rPr>
        <w:tab/>
      </w:r>
      <w:r>
        <w:rPr>
          <w:rFonts w:ascii="Traditional Arabic" w:hAnsi="Traditional Arabic" w:hint="cs"/>
          <w:b/>
          <w:sz w:val="30"/>
          <w:rtl/>
          <w:lang w:val="en-GB" w:eastAsia="zh-TW"/>
        </w:rPr>
        <w:t>و</w:t>
      </w:r>
      <w:r w:rsidRPr="00617CE1">
        <w:rPr>
          <w:rFonts w:ascii="Traditional Arabic" w:hAnsi="Traditional Arabic"/>
          <w:b/>
          <w:sz w:val="30"/>
          <w:rtl/>
          <w:lang w:val="en-GB" w:eastAsia="zh-TW"/>
        </w:rPr>
        <w:t xml:space="preserve">سينظر مؤتمر الأطراف في اجتماعه الثالث </w:t>
      </w:r>
      <w:r w:rsidRPr="00617CE1">
        <w:rPr>
          <w:rFonts w:ascii="Traditional Arabic" w:hAnsi="Traditional Arabic" w:hint="cs"/>
          <w:b/>
          <w:sz w:val="30"/>
          <w:rtl/>
          <w:lang w:val="en-GB" w:eastAsia="zh-TW"/>
        </w:rPr>
        <w:t>فيما</w:t>
      </w:r>
      <w:r w:rsidRPr="00617CE1">
        <w:rPr>
          <w:rFonts w:ascii="Traditional Arabic" w:hAnsi="Traditional Arabic"/>
          <w:b/>
          <w:sz w:val="30"/>
          <w:rtl/>
          <w:lang w:val="en-GB" w:eastAsia="zh-TW"/>
        </w:rPr>
        <w:t xml:space="preserve"> إذا كان الفريق سيعقد اجتماعاً مباشراً</w:t>
      </w:r>
      <w:r>
        <w:rPr>
          <w:rFonts w:ascii="Traditional Arabic" w:hAnsi="Traditional Arabic" w:hint="cs"/>
          <w:b/>
          <w:sz w:val="30"/>
          <w:rtl/>
          <w:lang w:val="en-GB" w:eastAsia="zh-TW"/>
        </w:rPr>
        <w:t>.</w:t>
      </w:r>
    </w:p>
    <w:p w14:paraId="1BFFD003" w14:textId="77777777" w:rsidR="005A3B9C" w:rsidRPr="00A75287" w:rsidRDefault="005A3B9C" w:rsidP="005A3B9C">
      <w:pPr>
        <w:keepNext/>
        <w:keepLines/>
        <w:tabs>
          <w:tab w:val="left" w:pos="2381"/>
          <w:tab w:val="left" w:pos="2408"/>
          <w:tab w:val="left" w:pos="2948"/>
          <w:tab w:val="left" w:pos="3515"/>
          <w:tab w:val="left" w:pos="4082"/>
          <w:tab w:val="left" w:pos="7936"/>
        </w:tabs>
        <w:suppressAutoHyphens/>
        <w:bidi/>
        <w:spacing w:before="240" w:after="120" w:line="400" w:lineRule="exact"/>
        <w:ind w:left="1132" w:right="7513" w:hanging="850"/>
        <w:jc w:val="both"/>
        <w:textDirection w:val="tbRlV"/>
        <w:rPr>
          <w:rFonts w:ascii="Traditional Arabic" w:hAnsi="Traditional Arabic"/>
          <w:bCs/>
          <w:sz w:val="32"/>
          <w:szCs w:val="32"/>
          <w:rtl/>
          <w:lang w:val="en-GB" w:eastAsia="zh-TW"/>
        </w:rPr>
      </w:pPr>
      <w:r w:rsidRPr="00A75287">
        <w:rPr>
          <w:rFonts w:ascii="Traditional Arabic" w:hAnsi="Traditional Arabic"/>
          <w:bCs/>
          <w:sz w:val="32"/>
          <w:szCs w:val="32"/>
          <w:rtl/>
          <w:lang w:val="en-GB" w:eastAsia="zh-TW"/>
        </w:rPr>
        <w:t>ثامنا</w:t>
      </w:r>
      <w:r>
        <w:rPr>
          <w:rFonts w:ascii="Traditional Arabic" w:hAnsi="Traditional Arabic" w:hint="cs"/>
          <w:bCs/>
          <w:sz w:val="32"/>
          <w:szCs w:val="32"/>
          <w:rtl/>
          <w:lang w:val="en-GB" w:eastAsia="zh-TW"/>
        </w:rPr>
        <w:t>ً</w:t>
      </w:r>
      <w:r>
        <w:rPr>
          <w:rFonts w:ascii="Traditional Arabic" w:hAnsi="Traditional Arabic"/>
          <w:bCs/>
          <w:sz w:val="32"/>
          <w:szCs w:val="32"/>
          <w:rtl/>
          <w:lang w:val="en-GB" w:eastAsia="zh-TW"/>
        </w:rPr>
        <w:t>-</w:t>
      </w:r>
      <w:r>
        <w:rPr>
          <w:rFonts w:ascii="Traditional Arabic" w:hAnsi="Traditional Arabic" w:hint="cs"/>
          <w:bCs/>
          <w:sz w:val="32"/>
          <w:szCs w:val="32"/>
          <w:rtl/>
          <w:lang w:val="en-GB" w:eastAsia="zh-TW"/>
        </w:rPr>
        <w:tab/>
      </w:r>
      <w:r w:rsidRPr="00A75287">
        <w:rPr>
          <w:rFonts w:ascii="Traditional Arabic" w:hAnsi="Traditional Arabic"/>
          <w:bCs/>
          <w:sz w:val="32"/>
          <w:szCs w:val="32"/>
          <w:rtl/>
          <w:lang w:val="en-GB" w:eastAsia="zh-TW"/>
        </w:rPr>
        <w:t>اللغة</w:t>
      </w:r>
    </w:p>
    <w:p w14:paraId="3FDBC6E6" w14:textId="77777777" w:rsidR="005A3B9C" w:rsidRPr="00617CE1" w:rsidRDefault="005A3B9C" w:rsidP="005A3B9C">
      <w:pPr>
        <w:tabs>
          <w:tab w:val="left" w:pos="1841"/>
          <w:tab w:val="left" w:pos="2408"/>
        </w:tabs>
        <w:suppressAutoHyphens/>
        <w:autoSpaceDN w:val="0"/>
        <w:bidi/>
        <w:spacing w:after="120" w:line="400" w:lineRule="exact"/>
        <w:ind w:left="1134"/>
        <w:jc w:val="both"/>
        <w:textDirection w:val="tbRlV"/>
        <w:textAlignment w:val="baseline"/>
        <w:rPr>
          <w:rFonts w:ascii="Traditional Arabic" w:hAnsi="Traditional Arabic"/>
          <w:b/>
          <w:sz w:val="30"/>
          <w:rtl/>
          <w:lang w:val="en-GB" w:eastAsia="zh-TW"/>
        </w:rPr>
      </w:pPr>
      <w:r>
        <w:rPr>
          <w:rFonts w:ascii="Traditional Arabic" w:hAnsi="Traditional Arabic" w:hint="cs"/>
          <w:b/>
          <w:sz w:val="30"/>
          <w:rtl/>
          <w:lang w:val="en-GB" w:eastAsia="zh-TW"/>
        </w:rPr>
        <w:t>12-</w:t>
      </w:r>
      <w:r>
        <w:rPr>
          <w:rFonts w:ascii="Traditional Arabic" w:hAnsi="Traditional Arabic" w:hint="cs"/>
          <w:b/>
          <w:sz w:val="30"/>
          <w:rtl/>
          <w:lang w:val="en-GB" w:eastAsia="zh-TW"/>
        </w:rPr>
        <w:tab/>
      </w:r>
      <w:r w:rsidRPr="00617CE1">
        <w:rPr>
          <w:rFonts w:ascii="Traditional Arabic" w:hAnsi="Traditional Arabic"/>
          <w:b/>
          <w:sz w:val="30"/>
          <w:rtl/>
          <w:lang w:val="en-GB" w:eastAsia="zh-TW"/>
        </w:rPr>
        <w:t xml:space="preserve">اللغة </w:t>
      </w:r>
      <w:r w:rsidRPr="00617CE1">
        <w:rPr>
          <w:rFonts w:ascii="Traditional Arabic" w:hAnsi="Traditional Arabic" w:hint="cs"/>
          <w:b/>
          <w:sz w:val="30"/>
          <w:rtl/>
          <w:lang w:val="en-GB" w:eastAsia="zh-TW"/>
        </w:rPr>
        <w:t>الإنجليزية</w:t>
      </w:r>
      <w:r w:rsidRPr="00617CE1">
        <w:rPr>
          <w:rFonts w:ascii="Traditional Arabic" w:hAnsi="Traditional Arabic"/>
          <w:b/>
          <w:sz w:val="30"/>
          <w:rtl/>
          <w:lang w:val="en-GB" w:eastAsia="zh-TW"/>
        </w:rPr>
        <w:t xml:space="preserve"> هي لغة عمل فريق الخبراء. وسيترجم مشروع التوجيهات المقدم للنظر فيه إلى مؤتمر الأطراف والتوجيهات التي اعتمدها مؤتمر الأطراف إلى اللغات العربية والصينية والفرنسية والروسية والإسبانية.</w:t>
      </w:r>
    </w:p>
    <w:p w14:paraId="6D6A4E27" w14:textId="77777777" w:rsidR="005A3B9C" w:rsidRPr="00DD5088" w:rsidRDefault="005A3B9C" w:rsidP="005A3B9C">
      <w:pPr>
        <w:rPr>
          <w:rFonts w:ascii="Traditional Arabic" w:hAnsi="Traditional Arabic"/>
          <w:bCs/>
          <w:sz w:val="32"/>
          <w:szCs w:val="32"/>
          <w:rtl/>
          <w:lang w:eastAsia="zh-TW"/>
        </w:rPr>
      </w:pPr>
      <w:r>
        <w:rPr>
          <w:rFonts w:ascii="Traditional Arabic" w:hAnsi="Traditional Arabic"/>
          <w:bCs/>
          <w:sz w:val="32"/>
          <w:szCs w:val="32"/>
          <w:rtl/>
          <w:lang w:val="en-GB" w:eastAsia="zh-TW"/>
        </w:rPr>
        <w:br w:type="page"/>
      </w:r>
    </w:p>
    <w:p w14:paraId="22451DE3" w14:textId="77777777" w:rsidR="005A3B9C" w:rsidRPr="00CA2B73" w:rsidRDefault="005A3B9C" w:rsidP="005A3B9C">
      <w:pPr>
        <w:tabs>
          <w:tab w:val="left" w:pos="1814"/>
          <w:tab w:val="left" w:pos="2381"/>
          <w:tab w:val="left" w:pos="2948"/>
          <w:tab w:val="left" w:pos="3515"/>
          <w:tab w:val="left" w:pos="4082"/>
        </w:tabs>
        <w:bidi/>
        <w:spacing w:line="400" w:lineRule="exact"/>
        <w:ind w:left="1134"/>
        <w:jc w:val="both"/>
        <w:textDirection w:val="tbRlV"/>
        <w:rPr>
          <w:rFonts w:ascii="Traditional Arabic" w:hAnsi="Traditional Arabic"/>
          <w:bCs/>
          <w:sz w:val="32"/>
          <w:szCs w:val="32"/>
          <w:rtl/>
          <w:lang w:val="en-GB" w:eastAsia="zh-TW"/>
        </w:rPr>
      </w:pPr>
      <w:r w:rsidRPr="00CA2B73">
        <w:rPr>
          <w:rFonts w:ascii="Traditional Arabic" w:hAnsi="Traditional Arabic"/>
          <w:bCs/>
          <w:sz w:val="32"/>
          <w:szCs w:val="32"/>
          <w:rtl/>
          <w:lang w:val="en-GB" w:eastAsia="zh-TW"/>
        </w:rPr>
        <w:lastRenderedPageBreak/>
        <w:t>المرفق الثاني</w:t>
      </w:r>
      <w:r w:rsidRPr="00CA2B73">
        <w:rPr>
          <w:rFonts w:ascii="Traditional Arabic" w:hAnsi="Traditional Arabic" w:hint="cs"/>
          <w:bCs/>
          <w:sz w:val="32"/>
          <w:szCs w:val="32"/>
          <w:rtl/>
          <w:lang w:val="en-GB" w:eastAsia="zh-TW"/>
        </w:rPr>
        <w:t xml:space="preserve"> بالمقرر ا م-2/3</w:t>
      </w:r>
    </w:p>
    <w:p w14:paraId="509860B6" w14:textId="77777777" w:rsidR="005A3B9C" w:rsidRPr="00CA2B73" w:rsidRDefault="005A3B9C" w:rsidP="005A3B9C">
      <w:pPr>
        <w:tabs>
          <w:tab w:val="left" w:pos="1814"/>
          <w:tab w:val="left" w:pos="2381"/>
          <w:tab w:val="left" w:pos="2948"/>
          <w:tab w:val="left" w:pos="3515"/>
          <w:tab w:val="left" w:pos="4082"/>
        </w:tabs>
        <w:bidi/>
        <w:spacing w:before="240" w:after="120" w:line="400" w:lineRule="exact"/>
        <w:ind w:left="1134"/>
        <w:jc w:val="both"/>
        <w:textDirection w:val="tbRlV"/>
        <w:rPr>
          <w:rFonts w:ascii="Traditional Arabic" w:hAnsi="Traditional Arabic"/>
          <w:bCs/>
          <w:sz w:val="32"/>
          <w:szCs w:val="32"/>
          <w:rtl/>
          <w:lang w:val="en-GB" w:eastAsia="zh-TW"/>
        </w:rPr>
      </w:pPr>
      <w:r w:rsidRPr="00CA2B73">
        <w:rPr>
          <w:rFonts w:ascii="Traditional Arabic" w:hAnsi="Traditional Arabic"/>
          <w:bCs/>
          <w:sz w:val="32"/>
          <w:szCs w:val="32"/>
          <w:rtl/>
          <w:lang w:val="en-GB" w:eastAsia="zh-TW"/>
        </w:rPr>
        <w:t>الجدول الزمني لأنشطة فريق الخبراء التقنيين المعني بالإطلاقات حتى الاجتماع الثالث لمؤتمر الأطراف</w:t>
      </w:r>
    </w:p>
    <w:tbl>
      <w:tblPr>
        <w:tblStyle w:val="TableGrid"/>
        <w:bidiVisual/>
        <w:tblW w:w="8264"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1"/>
        <w:gridCol w:w="2933"/>
      </w:tblGrid>
      <w:tr w:rsidR="005A3B9C" w:rsidRPr="00617CE1" w14:paraId="24EA9E49" w14:textId="77777777" w:rsidTr="009C6CEE">
        <w:tc>
          <w:tcPr>
            <w:tcW w:w="5331" w:type="dxa"/>
            <w:tcBorders>
              <w:top w:val="single" w:sz="4" w:space="0" w:color="auto"/>
              <w:bottom w:val="single" w:sz="12" w:space="0" w:color="auto"/>
            </w:tcBorders>
            <w:shd w:val="clear" w:color="auto" w:fill="auto"/>
          </w:tcPr>
          <w:p w14:paraId="00C2F865"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b/>
                <w:i/>
                <w:iCs/>
                <w:sz w:val="28"/>
                <w:szCs w:val="28"/>
                <w:rtl/>
                <w:lang w:val="en-GB" w:eastAsia="zh-TW"/>
              </w:rPr>
            </w:pPr>
            <w:r w:rsidRPr="007B3C47">
              <w:rPr>
                <w:rFonts w:ascii="Traditional Arabic" w:hAnsi="Traditional Arabic" w:cs="Traditional Arabic"/>
                <w:b/>
                <w:i/>
                <w:iCs/>
                <w:sz w:val="28"/>
                <w:szCs w:val="28"/>
                <w:rtl/>
                <w:lang w:val="en-GB" w:eastAsia="zh-TW"/>
              </w:rPr>
              <w:t>النشاط</w:t>
            </w:r>
          </w:p>
        </w:tc>
        <w:tc>
          <w:tcPr>
            <w:tcW w:w="2933" w:type="dxa"/>
            <w:tcBorders>
              <w:top w:val="single" w:sz="4" w:space="0" w:color="auto"/>
              <w:bottom w:val="single" w:sz="12" w:space="0" w:color="auto"/>
            </w:tcBorders>
            <w:shd w:val="clear" w:color="auto" w:fill="auto"/>
          </w:tcPr>
          <w:p w14:paraId="52BFD8BD"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b/>
                <w:i/>
                <w:iCs/>
                <w:sz w:val="28"/>
                <w:szCs w:val="28"/>
                <w:rtl/>
                <w:lang w:val="en-GB" w:eastAsia="zh-TW"/>
              </w:rPr>
            </w:pPr>
            <w:r w:rsidRPr="007B3C47">
              <w:rPr>
                <w:rFonts w:ascii="Traditional Arabic" w:hAnsi="Traditional Arabic" w:cs="Traditional Arabic"/>
                <w:b/>
                <w:i/>
                <w:iCs/>
                <w:sz w:val="28"/>
                <w:szCs w:val="28"/>
                <w:rtl/>
                <w:lang w:val="en-GB" w:eastAsia="zh-TW"/>
              </w:rPr>
              <w:t>التوقيت</w:t>
            </w:r>
          </w:p>
        </w:tc>
      </w:tr>
      <w:tr w:rsidR="005A3B9C" w:rsidRPr="00617CE1" w14:paraId="4B1DBA8B" w14:textId="77777777" w:rsidTr="009C6CEE">
        <w:tc>
          <w:tcPr>
            <w:tcW w:w="5331" w:type="dxa"/>
            <w:tcBorders>
              <w:top w:val="single" w:sz="12" w:space="0" w:color="auto"/>
            </w:tcBorders>
            <w:shd w:val="clear" w:color="auto" w:fill="auto"/>
          </w:tcPr>
          <w:p w14:paraId="57C70A5E"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تعمم الأمانة دعوةً إلى الأطراف والجهات الموقعة والجهات الأخرى صاحبة المصلحة لتحديد فئات المصادر الثابتة المحتملة للإطلاقات لكي تدرج في القائمة المشار إليها في الفقرة ١ من هذا المقرر</w:t>
            </w:r>
            <w:r w:rsidRPr="007B3C47">
              <w:rPr>
                <w:rFonts w:ascii="Traditional Arabic" w:hAnsi="Traditional Arabic" w:cs="Traditional Arabic" w:hint="cs"/>
                <w:b/>
                <w:sz w:val="28"/>
                <w:szCs w:val="28"/>
                <w:rtl/>
                <w:lang w:val="en-GB" w:eastAsia="zh-TW"/>
              </w:rPr>
              <w:t>.</w:t>
            </w:r>
          </w:p>
        </w:tc>
        <w:tc>
          <w:tcPr>
            <w:tcW w:w="2933" w:type="dxa"/>
            <w:tcBorders>
              <w:top w:val="single" w:sz="12" w:space="0" w:color="auto"/>
            </w:tcBorders>
            <w:shd w:val="clear" w:color="auto" w:fill="auto"/>
          </w:tcPr>
          <w:p w14:paraId="09E5ACAA"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كانون الأول/ديسمبر ٢٠١٨</w:t>
            </w:r>
          </w:p>
        </w:tc>
      </w:tr>
      <w:tr w:rsidR="005A3B9C" w:rsidRPr="00617CE1" w14:paraId="4048C89D" w14:textId="77777777" w:rsidTr="009C6CEE">
        <w:tc>
          <w:tcPr>
            <w:tcW w:w="5331" w:type="dxa"/>
            <w:shd w:val="clear" w:color="auto" w:fill="auto"/>
          </w:tcPr>
          <w:p w14:paraId="4E8A3698"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إنشاء فريق الخبراء</w:t>
            </w:r>
          </w:p>
        </w:tc>
        <w:tc>
          <w:tcPr>
            <w:tcW w:w="2933" w:type="dxa"/>
            <w:shd w:val="clear" w:color="auto" w:fill="auto"/>
          </w:tcPr>
          <w:p w14:paraId="275D45BA"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كانون الثاني/يناير ٢٠١٩</w:t>
            </w:r>
          </w:p>
        </w:tc>
      </w:tr>
      <w:tr w:rsidR="005A3B9C" w:rsidRPr="00617CE1" w14:paraId="671EB2C8" w14:textId="77777777" w:rsidTr="009C6CEE">
        <w:tc>
          <w:tcPr>
            <w:tcW w:w="5331" w:type="dxa"/>
            <w:shd w:val="clear" w:color="auto" w:fill="auto"/>
          </w:tcPr>
          <w:p w14:paraId="4344F2EC"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تتقاسم الأمانة قائمة فئات المصادر الثابتة ونتائج الدعوة مع فريق الخبراء</w:t>
            </w:r>
            <w:r w:rsidRPr="007B3C47">
              <w:rPr>
                <w:rFonts w:ascii="Traditional Arabic" w:hAnsi="Traditional Arabic" w:cs="Traditional Arabic" w:hint="cs"/>
                <w:b/>
                <w:sz w:val="28"/>
                <w:szCs w:val="28"/>
                <w:rtl/>
                <w:lang w:val="en-GB" w:eastAsia="zh-TW"/>
              </w:rPr>
              <w:t>.</w:t>
            </w:r>
          </w:p>
        </w:tc>
        <w:tc>
          <w:tcPr>
            <w:tcW w:w="2933" w:type="dxa"/>
            <w:shd w:val="clear" w:color="auto" w:fill="auto"/>
          </w:tcPr>
          <w:p w14:paraId="472810F0"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آذار/مارس ٢٠١٩</w:t>
            </w:r>
          </w:p>
        </w:tc>
      </w:tr>
      <w:tr w:rsidR="005A3B9C" w:rsidRPr="00617CE1" w14:paraId="61FF18CA" w14:textId="77777777" w:rsidTr="009C6CEE">
        <w:tc>
          <w:tcPr>
            <w:tcW w:w="5331" w:type="dxa"/>
            <w:shd w:val="clear" w:color="auto" w:fill="auto"/>
          </w:tcPr>
          <w:p w14:paraId="1FBD9C91" w14:textId="77777777" w:rsidR="005A3B9C" w:rsidRPr="007B3C47" w:rsidRDefault="005A3B9C" w:rsidP="009C6CEE">
            <w:pPr>
              <w:tabs>
                <w:tab w:val="left" w:pos="624"/>
                <w:tab w:val="left" w:pos="1247"/>
                <w:tab w:val="left" w:pos="1814"/>
                <w:tab w:val="left" w:pos="2381"/>
                <w:tab w:val="left" w:pos="2948"/>
                <w:tab w:val="left" w:pos="3515"/>
                <w:tab w:val="left" w:pos="4200"/>
              </w:tabs>
              <w:bidi/>
              <w:spacing w:before="40" w:after="40" w:line="340" w:lineRule="exact"/>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 xml:space="preserve">يعقد الفريق اجتماعه الأول بالوسائل الإلكترونية لإعداد أول مشروع لقائمة بأي فئات لمصادر إطلاقات ثابتة </w:t>
            </w:r>
            <w:proofErr w:type="gramStart"/>
            <w:r w:rsidRPr="007B3C47">
              <w:rPr>
                <w:rFonts w:ascii="Traditional Arabic" w:hAnsi="Traditional Arabic" w:cs="Traditional Arabic"/>
                <w:b/>
                <w:sz w:val="28"/>
                <w:szCs w:val="28"/>
                <w:rtl/>
                <w:lang w:val="en-GB" w:eastAsia="zh-TW"/>
              </w:rPr>
              <w:t>هامة</w:t>
            </w:r>
            <w:proofErr w:type="gramEnd"/>
            <w:r w:rsidRPr="007B3C47">
              <w:rPr>
                <w:rFonts w:ascii="Traditional Arabic" w:hAnsi="Traditional Arabic" w:cs="Traditional Arabic"/>
                <w:b/>
                <w:sz w:val="28"/>
                <w:szCs w:val="28"/>
                <w:rtl/>
                <w:lang w:val="en-GB" w:eastAsia="zh-TW"/>
              </w:rPr>
              <w:t xml:space="preserve"> بشرية المنشأ لا تتناولها أحكام الاتفاقية عدا المادة ٩، إلى جانب هيكل وخريطة طريق مقترحة لوضع مشروع توجيهات بشأن منهجيات لإعداد قوائم الجرد الخاصة به</w:t>
            </w:r>
            <w:r w:rsidRPr="007B3C47">
              <w:rPr>
                <w:rFonts w:ascii="Traditional Arabic" w:hAnsi="Traditional Arabic" w:cs="Traditional Arabic" w:hint="cs"/>
                <w:b/>
                <w:sz w:val="28"/>
                <w:szCs w:val="28"/>
                <w:rtl/>
                <w:lang w:val="en-GB" w:eastAsia="zh-TW"/>
              </w:rPr>
              <w:t>.</w:t>
            </w:r>
          </w:p>
        </w:tc>
        <w:tc>
          <w:tcPr>
            <w:tcW w:w="2933" w:type="dxa"/>
            <w:shd w:val="clear" w:color="auto" w:fill="auto"/>
          </w:tcPr>
          <w:p w14:paraId="482C2E75"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b/>
                <w:sz w:val="28"/>
                <w:szCs w:val="28"/>
                <w:rtl/>
                <w:lang w:val="en-GB" w:eastAsia="zh-TW"/>
              </w:rPr>
            </w:pPr>
            <w:r w:rsidRPr="007B3C47">
              <w:rPr>
                <w:rFonts w:ascii="Traditional Arabic" w:hAnsi="Traditional Arabic" w:cs="Traditional Arabic"/>
                <w:b/>
                <w:sz w:val="28"/>
                <w:szCs w:val="28"/>
                <w:rtl/>
                <w:lang w:val="en-GB" w:eastAsia="zh-TW"/>
              </w:rPr>
              <w:t>نيسان/أبريل ٢٠١٩</w:t>
            </w:r>
          </w:p>
        </w:tc>
      </w:tr>
      <w:tr w:rsidR="005A3B9C" w:rsidRPr="00617CE1" w14:paraId="4F7F5689" w14:textId="77777777" w:rsidTr="009C6CEE">
        <w:tc>
          <w:tcPr>
            <w:tcW w:w="5331" w:type="dxa"/>
            <w:shd w:val="clear" w:color="auto" w:fill="auto"/>
          </w:tcPr>
          <w:p w14:paraId="1266F8DE"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sz w:val="28"/>
                <w:szCs w:val="28"/>
                <w:rtl/>
                <w:lang w:val="en-GB" w:eastAsia="zh-TW" w:bidi="ar-EG"/>
              </w:rPr>
            </w:pPr>
            <w:r w:rsidRPr="007B3C47">
              <w:rPr>
                <w:rFonts w:ascii="Traditional Arabic" w:hAnsi="Traditional Arabic" w:cs="Traditional Arabic"/>
                <w:sz w:val="28"/>
                <w:szCs w:val="28"/>
                <w:rtl/>
                <w:lang w:val="en-GB" w:eastAsia="zh-TW"/>
              </w:rPr>
              <w:t>تدعو الأمانة جميع الأطراف والجهات الموقعة والجهات الأخرى صاحبة المصلحة إلى تقديم تعليقات</w:t>
            </w:r>
            <w:r w:rsidRPr="007B3C47">
              <w:rPr>
                <w:rFonts w:ascii="Traditional Arabic" w:hAnsi="Traditional Arabic" w:cs="Traditional Arabic" w:hint="cs"/>
                <w:sz w:val="28"/>
                <w:szCs w:val="28"/>
                <w:rtl/>
                <w:lang w:val="en-GB" w:eastAsia="zh-TW" w:bidi="ar-EG"/>
              </w:rPr>
              <w:t>.</w:t>
            </w:r>
          </w:p>
        </w:tc>
        <w:tc>
          <w:tcPr>
            <w:tcW w:w="2933" w:type="dxa"/>
            <w:shd w:val="clear" w:color="auto" w:fill="auto"/>
          </w:tcPr>
          <w:p w14:paraId="13661D51"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أيار/مايو ٢٠١٩</w:t>
            </w:r>
          </w:p>
        </w:tc>
      </w:tr>
      <w:tr w:rsidR="005A3B9C" w:rsidRPr="00617CE1" w14:paraId="29B869C5" w14:textId="77777777" w:rsidTr="009C6CEE">
        <w:tc>
          <w:tcPr>
            <w:tcW w:w="5331" w:type="dxa"/>
            <w:shd w:val="clear" w:color="auto" w:fill="auto"/>
          </w:tcPr>
          <w:p w14:paraId="6327A2C1"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 xml:space="preserve">تجمع </w:t>
            </w:r>
            <w:r w:rsidRPr="007B3C47">
              <w:rPr>
                <w:rFonts w:ascii="Traditional Arabic" w:hAnsi="Traditional Arabic" w:cs="Traditional Arabic" w:hint="cs"/>
                <w:sz w:val="28"/>
                <w:szCs w:val="28"/>
                <w:rtl/>
                <w:lang w:val="en-GB" w:eastAsia="zh-TW"/>
              </w:rPr>
              <w:t xml:space="preserve">الأمانة </w:t>
            </w:r>
            <w:r w:rsidRPr="007B3C47">
              <w:rPr>
                <w:rFonts w:ascii="Traditional Arabic" w:hAnsi="Traditional Arabic" w:cs="Traditional Arabic"/>
                <w:sz w:val="28"/>
                <w:szCs w:val="28"/>
                <w:rtl/>
                <w:lang w:val="en-GB" w:eastAsia="zh-TW"/>
              </w:rPr>
              <w:t>و</w:t>
            </w:r>
            <w:r w:rsidRPr="007B3C47">
              <w:rPr>
                <w:rFonts w:ascii="Traditional Arabic" w:hAnsi="Traditional Arabic" w:cs="Traditional Arabic" w:hint="cs"/>
                <w:sz w:val="28"/>
                <w:szCs w:val="28"/>
                <w:rtl/>
                <w:lang w:val="en-GB" w:eastAsia="zh-TW"/>
              </w:rPr>
              <w:t>ت</w:t>
            </w:r>
            <w:r w:rsidRPr="007B3C47">
              <w:rPr>
                <w:rFonts w:ascii="Traditional Arabic" w:hAnsi="Traditional Arabic" w:cs="Traditional Arabic"/>
                <w:sz w:val="28"/>
                <w:szCs w:val="28"/>
                <w:rtl/>
                <w:lang w:val="en-GB" w:eastAsia="zh-TW"/>
              </w:rPr>
              <w:t>ضع مشروع التقرير</w:t>
            </w:r>
            <w:r w:rsidRPr="007B3C47">
              <w:rPr>
                <w:rFonts w:ascii="Traditional Arabic" w:hAnsi="Traditional Arabic" w:cs="Traditional Arabic" w:hint="cs"/>
                <w:sz w:val="28"/>
                <w:szCs w:val="28"/>
                <w:rtl/>
                <w:lang w:val="en-GB" w:eastAsia="zh-TW"/>
              </w:rPr>
              <w:t>.</w:t>
            </w:r>
          </w:p>
        </w:tc>
        <w:tc>
          <w:tcPr>
            <w:tcW w:w="2933" w:type="dxa"/>
            <w:shd w:val="clear" w:color="auto" w:fill="auto"/>
          </w:tcPr>
          <w:p w14:paraId="029BAFEB"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تموز/يوليه ٢٠١٩</w:t>
            </w:r>
          </w:p>
        </w:tc>
      </w:tr>
      <w:tr w:rsidR="005A3B9C" w:rsidRPr="00617CE1" w14:paraId="3E82BACB" w14:textId="77777777" w:rsidTr="009C6CEE">
        <w:tc>
          <w:tcPr>
            <w:tcW w:w="5331" w:type="dxa"/>
            <w:shd w:val="clear" w:color="auto" w:fill="auto"/>
          </w:tcPr>
          <w:p w14:paraId="22BE622B"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hint="cs"/>
                <w:sz w:val="28"/>
                <w:szCs w:val="28"/>
                <w:rtl/>
                <w:lang w:val="en-GB" w:eastAsia="zh-TW"/>
              </w:rPr>
              <w:t>ي</w:t>
            </w:r>
            <w:r w:rsidRPr="007B3C47">
              <w:rPr>
                <w:rFonts w:ascii="Traditional Arabic" w:hAnsi="Traditional Arabic" w:cs="Traditional Arabic"/>
                <w:sz w:val="28"/>
                <w:szCs w:val="28"/>
                <w:rtl/>
                <w:lang w:val="en-GB" w:eastAsia="zh-TW"/>
              </w:rPr>
              <w:t xml:space="preserve">نقح </w:t>
            </w:r>
            <w:r w:rsidRPr="007B3C47">
              <w:rPr>
                <w:rFonts w:ascii="Traditional Arabic" w:hAnsi="Traditional Arabic" w:cs="Traditional Arabic" w:hint="cs"/>
                <w:sz w:val="28"/>
                <w:szCs w:val="28"/>
                <w:rtl/>
                <w:lang w:val="en-GB" w:eastAsia="zh-TW"/>
              </w:rPr>
              <w:t xml:space="preserve">الفريق </w:t>
            </w:r>
            <w:r w:rsidRPr="007B3C47">
              <w:rPr>
                <w:rFonts w:ascii="Traditional Arabic" w:hAnsi="Traditional Arabic" w:cs="Traditional Arabic"/>
                <w:sz w:val="28"/>
                <w:szCs w:val="28"/>
                <w:rtl/>
                <w:lang w:val="en-GB" w:eastAsia="zh-TW"/>
              </w:rPr>
              <w:t xml:space="preserve">التقرير </w:t>
            </w:r>
            <w:r w:rsidRPr="007B3C47">
              <w:rPr>
                <w:rFonts w:ascii="Traditional Arabic" w:hAnsi="Traditional Arabic" w:cs="Traditional Arabic" w:hint="cs"/>
                <w:sz w:val="28"/>
                <w:szCs w:val="28"/>
                <w:rtl/>
                <w:lang w:val="en-GB" w:eastAsia="zh-TW"/>
              </w:rPr>
              <w:t>ويوافق عليه.</w:t>
            </w:r>
          </w:p>
        </w:tc>
        <w:tc>
          <w:tcPr>
            <w:tcW w:w="2933" w:type="dxa"/>
            <w:shd w:val="clear" w:color="auto" w:fill="auto"/>
          </w:tcPr>
          <w:p w14:paraId="7CC8CD8E"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آب/أغسطس ٢٠١٩</w:t>
            </w:r>
          </w:p>
        </w:tc>
      </w:tr>
      <w:tr w:rsidR="005A3B9C" w:rsidRPr="00617CE1" w14:paraId="7A442936" w14:textId="77777777" w:rsidTr="009C6CEE">
        <w:tc>
          <w:tcPr>
            <w:tcW w:w="5331" w:type="dxa"/>
            <w:tcBorders>
              <w:bottom w:val="single" w:sz="12" w:space="0" w:color="auto"/>
            </w:tcBorders>
            <w:shd w:val="clear" w:color="auto" w:fill="auto"/>
          </w:tcPr>
          <w:p w14:paraId="3844E17A"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 xml:space="preserve">تقديم تقرير الفريق، بما في ذلك قائمة بأي فئات لمصادر إطلاقات ثابتة </w:t>
            </w:r>
            <w:proofErr w:type="gramStart"/>
            <w:r w:rsidRPr="007B3C47">
              <w:rPr>
                <w:rFonts w:ascii="Traditional Arabic" w:hAnsi="Traditional Arabic" w:cs="Traditional Arabic"/>
                <w:sz w:val="28"/>
                <w:szCs w:val="28"/>
                <w:rtl/>
                <w:lang w:val="en-GB" w:eastAsia="zh-TW"/>
              </w:rPr>
              <w:t>هامة</w:t>
            </w:r>
            <w:proofErr w:type="gramEnd"/>
            <w:r w:rsidRPr="007B3C47">
              <w:rPr>
                <w:rFonts w:ascii="Traditional Arabic" w:hAnsi="Traditional Arabic" w:cs="Traditional Arabic"/>
                <w:sz w:val="28"/>
                <w:szCs w:val="28"/>
                <w:rtl/>
                <w:lang w:val="en-GB" w:eastAsia="zh-TW"/>
              </w:rPr>
              <w:t xml:space="preserve"> بشرية المنشأ لا تتناولها أحكام الاتفاقية عدا المادة ٩، وهيكل وخريطة طريق مقترحة يفضيان إلى وضع مشروع توجيهات بشأن منهجيات لإعداد قوائم الجرد الخاصة به، لكي ينظر فيها مؤتمر الأطراف في اجتماعه الثالث.</w:t>
            </w:r>
          </w:p>
        </w:tc>
        <w:tc>
          <w:tcPr>
            <w:tcW w:w="2933" w:type="dxa"/>
            <w:tcBorders>
              <w:bottom w:val="single" w:sz="12" w:space="0" w:color="auto"/>
            </w:tcBorders>
            <w:shd w:val="clear" w:color="auto" w:fill="auto"/>
          </w:tcPr>
          <w:p w14:paraId="458AD618" w14:textId="77777777" w:rsidR="005A3B9C" w:rsidRPr="007B3C47" w:rsidRDefault="005A3B9C" w:rsidP="009C6CEE">
            <w:pPr>
              <w:tabs>
                <w:tab w:val="left" w:pos="624"/>
                <w:tab w:val="left" w:pos="1247"/>
                <w:tab w:val="left" w:pos="1814"/>
                <w:tab w:val="left" w:pos="2381"/>
                <w:tab w:val="left" w:pos="2948"/>
                <w:tab w:val="left" w:pos="3515"/>
              </w:tabs>
              <w:bidi/>
              <w:spacing w:before="40" w:after="40" w:line="340" w:lineRule="exact"/>
              <w:ind w:left="132"/>
              <w:jc w:val="both"/>
              <w:textDirection w:val="tbRlV"/>
              <w:rPr>
                <w:rFonts w:ascii="Traditional Arabic" w:hAnsi="Traditional Arabic" w:cs="Traditional Arabic"/>
                <w:sz w:val="28"/>
                <w:szCs w:val="28"/>
                <w:rtl/>
                <w:lang w:val="en-GB" w:eastAsia="zh-TW"/>
              </w:rPr>
            </w:pPr>
            <w:r w:rsidRPr="007B3C47">
              <w:rPr>
                <w:rFonts w:ascii="Traditional Arabic" w:hAnsi="Traditional Arabic" w:cs="Traditional Arabic"/>
                <w:sz w:val="28"/>
                <w:szCs w:val="28"/>
                <w:rtl/>
                <w:lang w:val="en-GB" w:eastAsia="zh-TW"/>
              </w:rPr>
              <w:t>أيلول/سبتمبر ٢٠١٩</w:t>
            </w:r>
          </w:p>
        </w:tc>
      </w:tr>
    </w:tbl>
    <w:p w14:paraId="23EDFC4C" w14:textId="77777777" w:rsidR="005A3B9C" w:rsidRDefault="005A3B9C" w:rsidP="005A3B9C">
      <w:pPr>
        <w:tabs>
          <w:tab w:val="right" w:pos="1841"/>
        </w:tabs>
        <w:bidi/>
        <w:spacing w:line="400" w:lineRule="exact"/>
        <w:jc w:val="both"/>
        <w:rPr>
          <w:rtl/>
        </w:rPr>
      </w:pPr>
    </w:p>
    <w:p w14:paraId="7BF4B6DD" w14:textId="77777777" w:rsidR="005A3B9C" w:rsidRPr="00B063F1" w:rsidRDefault="005A3B9C" w:rsidP="005A3B9C">
      <w:pPr>
        <w:pStyle w:val="Normalnumber"/>
        <w:numPr>
          <w:ilvl w:val="0"/>
          <w:numId w:val="0"/>
        </w:numPr>
        <w:tabs>
          <w:tab w:val="left" w:pos="1841"/>
          <w:tab w:val="left" w:pos="2408"/>
          <w:tab w:val="left" w:pos="2975"/>
        </w:tabs>
        <w:bidi/>
        <w:spacing w:before="240" w:line="400" w:lineRule="exact"/>
        <w:ind w:left="1134"/>
        <w:jc w:val="both"/>
        <w:textDirection w:val="tbRlV"/>
        <w:outlineLvl w:val="0"/>
        <w:rPr>
          <w:rFonts w:ascii="Traditional Arabic" w:hAnsi="Traditional Arabic"/>
          <w:sz w:val="30"/>
          <w:lang w:val="en-GB" w:eastAsia="zh-TW"/>
        </w:rPr>
      </w:pPr>
    </w:p>
    <w:p w14:paraId="715774C6" w14:textId="0133A3C1" w:rsidR="00770CC9" w:rsidRPr="00B063F1" w:rsidRDefault="00770CC9" w:rsidP="005A3B9C">
      <w:pPr>
        <w:pStyle w:val="Heading1"/>
        <w:bidi/>
        <w:ind w:left="1132"/>
        <w:jc w:val="both"/>
        <w:rPr>
          <w:rFonts w:ascii="Traditional Arabic" w:hAnsi="Traditional Arabic"/>
          <w:sz w:val="30"/>
          <w:lang w:val="en-GB" w:eastAsia="zh-TW"/>
        </w:rPr>
      </w:pPr>
    </w:p>
    <w:sectPr w:rsidR="00770CC9" w:rsidRPr="00B063F1"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8D4F" w14:textId="77777777" w:rsidR="00957930" w:rsidRDefault="00957930">
      <w:r>
        <w:separator/>
      </w:r>
    </w:p>
  </w:endnote>
  <w:endnote w:type="continuationSeparator" w:id="0">
    <w:p w14:paraId="784E8B87" w14:textId="77777777" w:rsidR="00957930" w:rsidRDefault="0095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2955" w14:textId="77777777" w:rsidR="00957930" w:rsidRDefault="00957930" w:rsidP="008A79DC">
      <w:pPr>
        <w:bidi/>
        <w:ind w:left="720"/>
      </w:pPr>
      <w:r>
        <w:separator/>
      </w:r>
    </w:p>
  </w:footnote>
  <w:footnote w:type="continuationSeparator" w:id="0">
    <w:p w14:paraId="63CDF01D" w14:textId="77777777" w:rsidR="00957930" w:rsidRDefault="0095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04950687"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w:t>
    </w:r>
    <w:r w:rsidR="00401827">
      <w:rPr>
        <w:b/>
        <w:bCs/>
        <w:sz w:val="17"/>
        <w:szCs w:val="17"/>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743690D4"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w:t>
    </w:r>
    <w:r w:rsidR="00401827">
      <w:rPr>
        <w:rFonts w:cs="Times New Roman"/>
        <w:b/>
        <w:bCs/>
        <w:sz w:val="17"/>
        <w:szCs w:val="1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B348664C">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EE446FEA" w:tentative="1">
        <w:start w:val="1"/>
        <w:numFmt w:val="lowerLetter"/>
        <w:lvlText w:val="%2."/>
        <w:lvlJc w:val="left"/>
        <w:pPr>
          <w:ind w:left="1440" w:hanging="360"/>
        </w:pPr>
      </w:lvl>
    </w:lvlOverride>
    <w:lvlOverride w:ilvl="2">
      <w:lvl w:ilvl="2" w:tplc="C75A6F32" w:tentative="1">
        <w:start w:val="1"/>
        <w:numFmt w:val="lowerRoman"/>
        <w:lvlText w:val="%3."/>
        <w:lvlJc w:val="right"/>
        <w:pPr>
          <w:ind w:left="2160" w:hanging="180"/>
        </w:pPr>
      </w:lvl>
    </w:lvlOverride>
    <w:lvlOverride w:ilvl="3">
      <w:lvl w:ilvl="3" w:tplc="6CC2B51C" w:tentative="1">
        <w:start w:val="1"/>
        <w:numFmt w:val="decimal"/>
        <w:lvlText w:val="%4."/>
        <w:lvlJc w:val="left"/>
        <w:pPr>
          <w:ind w:left="2880" w:hanging="360"/>
        </w:pPr>
      </w:lvl>
    </w:lvlOverride>
    <w:lvlOverride w:ilvl="4">
      <w:lvl w:ilvl="4" w:tplc="920EB8E8" w:tentative="1">
        <w:start w:val="1"/>
        <w:numFmt w:val="lowerLetter"/>
        <w:lvlText w:val="%5."/>
        <w:lvlJc w:val="left"/>
        <w:pPr>
          <w:ind w:left="3600" w:hanging="360"/>
        </w:pPr>
      </w:lvl>
    </w:lvlOverride>
    <w:lvlOverride w:ilvl="5">
      <w:lvl w:ilvl="5" w:tplc="3E942FA0" w:tentative="1">
        <w:start w:val="1"/>
        <w:numFmt w:val="lowerRoman"/>
        <w:lvlText w:val="%6."/>
        <w:lvlJc w:val="right"/>
        <w:pPr>
          <w:ind w:left="4320" w:hanging="180"/>
        </w:pPr>
      </w:lvl>
    </w:lvlOverride>
    <w:lvlOverride w:ilvl="6">
      <w:lvl w:ilvl="6" w:tplc="6864332C" w:tentative="1">
        <w:start w:val="1"/>
        <w:numFmt w:val="decimal"/>
        <w:lvlText w:val="%7."/>
        <w:lvlJc w:val="left"/>
        <w:pPr>
          <w:ind w:left="5040" w:hanging="360"/>
        </w:pPr>
      </w:lvl>
    </w:lvlOverride>
    <w:lvlOverride w:ilvl="7">
      <w:lvl w:ilvl="7" w:tplc="6A4ED07E" w:tentative="1">
        <w:start w:val="1"/>
        <w:numFmt w:val="lowerLetter"/>
        <w:lvlText w:val="%8."/>
        <w:lvlJc w:val="left"/>
        <w:pPr>
          <w:ind w:left="5760" w:hanging="360"/>
        </w:pPr>
      </w:lvl>
    </w:lvlOverride>
    <w:lvlOverride w:ilvl="8">
      <w:lvl w:ilvl="8" w:tplc="2BBA00A2" w:tentative="1">
        <w:start w:val="1"/>
        <w:numFmt w:val="lowerRoman"/>
        <w:lvlText w:val="%9."/>
        <w:lvlJc w:val="right"/>
        <w:pPr>
          <w:ind w:left="6480" w:hanging="180"/>
        </w:pPr>
      </w:lvl>
    </w:lvlOverride>
  </w:num>
  <w:num w:numId="15">
    <w:abstractNumId w:val="13"/>
    <w:lvlOverride w:ilvl="0">
      <w:lvl w:ilvl="0" w:tplc="B348664C">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E446FE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5A6F3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CC2B51C">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20EB8E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942FA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864332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4ED07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BA00A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09B9"/>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11DDA"/>
    <w:rsid w:val="001122CD"/>
    <w:rsid w:val="00114D54"/>
    <w:rsid w:val="00115715"/>
    <w:rsid w:val="0012040B"/>
    <w:rsid w:val="00121BB5"/>
    <w:rsid w:val="001223A2"/>
    <w:rsid w:val="00124CC4"/>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6450"/>
    <w:rsid w:val="003F77FF"/>
    <w:rsid w:val="004012C9"/>
    <w:rsid w:val="00401827"/>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6C8A"/>
    <w:rsid w:val="00584DBF"/>
    <w:rsid w:val="00584E4D"/>
    <w:rsid w:val="00590B41"/>
    <w:rsid w:val="00591B2C"/>
    <w:rsid w:val="00591B8E"/>
    <w:rsid w:val="00591CA9"/>
    <w:rsid w:val="005938BC"/>
    <w:rsid w:val="00594173"/>
    <w:rsid w:val="005945AA"/>
    <w:rsid w:val="0059523B"/>
    <w:rsid w:val="00597815"/>
    <w:rsid w:val="00597972"/>
    <w:rsid w:val="005A3B9C"/>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6852"/>
    <w:rsid w:val="00712158"/>
    <w:rsid w:val="00717FD1"/>
    <w:rsid w:val="00720D77"/>
    <w:rsid w:val="007248E8"/>
    <w:rsid w:val="00724D33"/>
    <w:rsid w:val="00726240"/>
    <w:rsid w:val="007275EE"/>
    <w:rsid w:val="00731B36"/>
    <w:rsid w:val="00731DAA"/>
    <w:rsid w:val="00734EE4"/>
    <w:rsid w:val="007377B9"/>
    <w:rsid w:val="007418BE"/>
    <w:rsid w:val="00743AAE"/>
    <w:rsid w:val="00743DD8"/>
    <w:rsid w:val="00744D3B"/>
    <w:rsid w:val="00751096"/>
    <w:rsid w:val="0075378C"/>
    <w:rsid w:val="00753AEB"/>
    <w:rsid w:val="007552BE"/>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20062"/>
    <w:rsid w:val="0092201E"/>
    <w:rsid w:val="0092522D"/>
    <w:rsid w:val="00926C1F"/>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57930"/>
    <w:rsid w:val="009601C3"/>
    <w:rsid w:val="009614F6"/>
    <w:rsid w:val="0096449B"/>
    <w:rsid w:val="009658BC"/>
    <w:rsid w:val="009660EF"/>
    <w:rsid w:val="009664A0"/>
    <w:rsid w:val="00971BC4"/>
    <w:rsid w:val="00974845"/>
    <w:rsid w:val="00974A6B"/>
    <w:rsid w:val="00975EF7"/>
    <w:rsid w:val="009809EE"/>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7B76"/>
    <w:rsid w:val="00BF549B"/>
    <w:rsid w:val="00BF64C6"/>
    <w:rsid w:val="00BF7F42"/>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82D"/>
    <w:rsid w:val="00E323C0"/>
    <w:rsid w:val="00E369DB"/>
    <w:rsid w:val="00E36EB2"/>
    <w:rsid w:val="00E40300"/>
    <w:rsid w:val="00E42B70"/>
    <w:rsid w:val="00E430D3"/>
    <w:rsid w:val="00E45B05"/>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20835D7C-D61B-49DB-AB0C-774981FBC3A1}"/>
</file>

<file path=customXml/itemProps3.xml><?xml version="1.0" encoding="utf-8"?>
<ds:datastoreItem xmlns:ds="http://schemas.openxmlformats.org/officeDocument/2006/customXml" ds:itemID="{904E17D2-9983-485C-84AD-585B155DF34A}"/>
</file>

<file path=customXml/itemProps4.xml><?xml version="1.0" encoding="utf-8"?>
<ds:datastoreItem xmlns:ds="http://schemas.openxmlformats.org/officeDocument/2006/customXml" ds:itemID="{BE285D6A-7BF0-4C4D-A9AF-D25071F2E16E}"/>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4</cp:revision>
  <cp:lastPrinted>2019-07-17T13:13:00Z</cp:lastPrinted>
  <dcterms:created xsi:type="dcterms:W3CDTF">2020-12-17T09:27:00Z</dcterms:created>
  <dcterms:modified xsi:type="dcterms:W3CDTF">2020-12-17T10:00:00Z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