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2316D8">
        <w:trPr>
          <w:cantSplit/>
          <w:trHeight w:val="850"/>
          <w:jc w:val="right"/>
        </w:trPr>
        <w:tc>
          <w:tcPr>
            <w:tcW w:w="269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09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292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2316D8">
        <w:trPr>
          <w:cantSplit/>
          <w:trHeight w:val="281"/>
          <w:jc w:val="right"/>
        </w:trPr>
        <w:tc>
          <w:tcPr>
            <w:tcW w:w="1521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3D105487" w14:textId="30FBD3B1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2316D8">
              <w:rPr>
                <w:lang w:val="en-GB"/>
              </w:rPr>
              <w:t>2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C67821">
              <w:rPr>
                <w:lang w:val="en-GB"/>
              </w:rPr>
              <w:t>2</w:t>
            </w:r>
          </w:p>
        </w:tc>
      </w:tr>
      <w:tr w:rsidR="00032E4E" w:rsidRPr="00545231" w14:paraId="0344FC84" w14:textId="77777777" w:rsidTr="002316D8">
        <w:trPr>
          <w:cantSplit/>
          <w:trHeight w:val="2549"/>
          <w:jc w:val="right"/>
        </w:trPr>
        <w:tc>
          <w:tcPr>
            <w:tcW w:w="1521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24" w:space="0" w:color="auto"/>
            </w:tcBorders>
          </w:tcPr>
          <w:p w14:paraId="16160027" w14:textId="77777777" w:rsidR="002316D8" w:rsidRPr="00826AF3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65108D37" w14:textId="77777777" w:rsidR="002316D8" w:rsidRPr="00620245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6 December</w:t>
            </w:r>
            <w:r w:rsidRPr="00826AF3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</w:p>
          <w:p w14:paraId="6F78AAFF" w14:textId="470667E6" w:rsidR="00032E4E" w:rsidRPr="00826AF3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347B989F" w14:textId="77777777" w:rsidR="002316D8" w:rsidRPr="00A54CB9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Pr="00A54CB9">
        <w:rPr>
          <w:b/>
        </w:rPr>
        <w:t>Минаматск</w:t>
      </w:r>
      <w:r>
        <w:rPr>
          <w:b/>
        </w:rPr>
        <w:t>ой</w:t>
      </w:r>
      <w:proofErr w:type="spellEnd"/>
      <w:r w:rsidRPr="00A54CB9">
        <w:rPr>
          <w:b/>
        </w:rPr>
        <w:t xml:space="preserve"> конвенци</w:t>
      </w:r>
      <w:r>
        <w:rPr>
          <w:b/>
        </w:rPr>
        <w:t>и</w:t>
      </w:r>
      <w:r w:rsidRPr="00A54CB9">
        <w:rPr>
          <w:b/>
        </w:rPr>
        <w:t xml:space="preserve"> о ртути</w:t>
      </w:r>
    </w:p>
    <w:p w14:paraId="049AE5AE" w14:textId="77777777" w:rsidR="002316D8" w:rsidRPr="00A54CB9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Pr="00A54CB9">
        <w:rPr>
          <w:b/>
        </w:rPr>
        <w:t xml:space="preserve"> совещание</w:t>
      </w:r>
    </w:p>
    <w:p w14:paraId="4569F67D" w14:textId="77777777" w:rsidR="002316D8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>
        <w:t>19-23</w:t>
      </w:r>
      <w:r w:rsidRPr="00A54CB9">
        <w:t xml:space="preserve"> </w:t>
      </w:r>
      <w:r>
        <w:t>сентября</w:t>
      </w:r>
      <w:r w:rsidRPr="00A54CB9">
        <w:t xml:space="preserve"> 201</w:t>
      </w:r>
      <w:r>
        <w:t>8</w:t>
      </w:r>
      <w:r w:rsidRPr="00A54CB9">
        <w:t xml:space="preserve"> года</w:t>
      </w:r>
    </w:p>
    <w:p w14:paraId="46DE627B" w14:textId="77777777" w:rsidR="00545231" w:rsidRDefault="00545231" w:rsidP="00545231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13575447"/>
      <w:bookmarkStart w:id="3" w:name="_Toc13575571"/>
      <w:r>
        <w:rPr>
          <w:b/>
          <w:bCs/>
          <w:sz w:val="28"/>
          <w:szCs w:val="28"/>
        </w:rPr>
        <w:t xml:space="preserve">Решение принятое на втором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0077EC7D" w14:textId="77777777" w:rsidR="00C67821" w:rsidRPr="00C67821" w:rsidRDefault="00C67821" w:rsidP="00C67821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outlineLvl w:val="0"/>
        <w:rPr>
          <w:b/>
          <w:sz w:val="28"/>
        </w:rPr>
      </w:pPr>
      <w:bookmarkStart w:id="4" w:name="_GoBack"/>
      <w:bookmarkEnd w:id="4"/>
      <w:r w:rsidRPr="00C67821">
        <w:rPr>
          <w:b/>
          <w:sz w:val="28"/>
        </w:rPr>
        <w:t xml:space="preserve">MК-2/2: </w:t>
      </w:r>
      <w:bookmarkStart w:id="5" w:name="_Hlk13475930"/>
      <w:r w:rsidRPr="00C67821">
        <w:rPr>
          <w:b/>
          <w:sz w:val="28"/>
        </w:rPr>
        <w:t>Пороговые уровни для ртутных отходов</w:t>
      </w:r>
      <w:bookmarkEnd w:id="2"/>
      <w:bookmarkEnd w:id="3"/>
      <w:bookmarkEnd w:id="5"/>
    </w:p>
    <w:p w14:paraId="13B81DA0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  <w:i/>
          <w:iCs/>
        </w:rPr>
      </w:pPr>
      <w:r w:rsidRPr="00C67821">
        <w:rPr>
          <w:i/>
          <w:iCs/>
        </w:rPr>
        <w:t>Конференция Сторон,</w:t>
      </w:r>
    </w:p>
    <w:p w14:paraId="19554F08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rPr>
          <w:i/>
          <w:iCs/>
        </w:rPr>
        <w:t>приветствуя</w:t>
      </w:r>
      <w:r w:rsidRPr="00C67821">
        <w:t xml:space="preserve"> доклад о результатах открытого процесса о пороговых уровнях для отходов, предусмотренного в статье 11 Конвенции (UNEP/MC/COP.2/6),</w:t>
      </w:r>
    </w:p>
    <w:p w14:paraId="78C5A4F5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rPr>
          <w:i/>
          <w:iCs/>
        </w:rPr>
        <w:t xml:space="preserve">учитывая, </w:t>
      </w:r>
      <w:r w:rsidRPr="00C67821">
        <w:t>что основным правовым последствием установления пороговых уровней для ртутных отходов станет исключение из сферы действия статьи 11 Конвенции отходов, указанных в пунктах 2 a), b) и c) статьи 11, для которых не превышены эти пороговые уровни,</w:t>
      </w:r>
    </w:p>
    <w:p w14:paraId="5156324B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67821">
        <w:rPr>
          <w:i/>
          <w:iCs/>
        </w:rPr>
        <w:t xml:space="preserve">учитывая также, </w:t>
      </w:r>
      <w:r w:rsidRPr="00C67821">
        <w:t>что определение ртутных отходов в статье 11 не включает вскрышные и пустые породы и отвалы, образующиеся в процессе горной добычи, за исключением первичной добычи ртути, если только они не содержат ртуть или ртутные соединения в количестве, превышающем пороговые уровни, которые будут определены Конференцией Сторон, и учитывая, что одним из главных последствий установления этих пороговых значений станет включение таких отходов, превышающих эти пороговые уровни, в сферу действия статьи 11,</w:t>
      </w:r>
    </w:p>
    <w:p w14:paraId="72D43D09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rPr>
          <w:i/>
          <w:iCs/>
        </w:rPr>
        <w:t>признавая</w:t>
      </w:r>
      <w:r w:rsidRPr="00C67821">
        <w:t xml:space="preserve"> актуальность и приоритетность установления пороговых уровней для ртутных отходов, загрязненных ртутью или ртутными соединениями, указанными в пункте 2 с) статьи 11, и важность оценки актуальности пороговых значений для категорий, упомянутых в пунктах 2 а) и b) статьи 11,</w:t>
      </w:r>
    </w:p>
    <w:p w14:paraId="533681A6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t>1.</w:t>
      </w:r>
      <w:r w:rsidRPr="00C67821">
        <w:tab/>
      </w:r>
      <w:r w:rsidRPr="00C67821">
        <w:rPr>
          <w:i/>
          <w:iCs/>
        </w:rPr>
        <w:t xml:space="preserve">постановляет </w:t>
      </w:r>
      <w:r w:rsidRPr="00C67821">
        <w:t>учредить группу технических экспертов для продолжения обсуждения пороговых значений для ртутных отходов в межсессионный период до третьего совещания Конференции Сторон, в соответствии с положениями пункта 2 статьи 11 Конвенции и в соответствии с Положением, изложенным в приложении к настоящему решению;</w:t>
      </w:r>
    </w:p>
    <w:p w14:paraId="6D188F0D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t>2.</w:t>
      </w:r>
      <w:r w:rsidRPr="00C67821">
        <w:tab/>
      </w:r>
      <w:r w:rsidRPr="00C67821">
        <w:rPr>
          <w:i/>
          <w:iCs/>
        </w:rPr>
        <w:t>поручает</w:t>
      </w:r>
      <w:r w:rsidRPr="00C67821">
        <w:t xml:space="preserve"> секретариату обеспечить выдвижение Сторонами через представителей Бюро кандидатур пяти экспертов от каждого из пяти регионов Организации Объединенных Наций до 15 января 2019 года и оказать группе поддержку в ее работе;</w:t>
      </w:r>
    </w:p>
    <w:p w14:paraId="6234C614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t>3.</w:t>
      </w:r>
      <w:r w:rsidRPr="00C67821">
        <w:tab/>
      </w:r>
      <w:r w:rsidRPr="00C67821">
        <w:rPr>
          <w:i/>
          <w:iCs/>
        </w:rPr>
        <w:t>предлагает</w:t>
      </w:r>
      <w:r w:rsidRPr="00C67821">
        <w:t xml:space="preserve"> Конференции Сторон Базельской конвенции о контроле за трансграничной перевозкой опасных отходов и их удалением рассмотреть вопрос о проведении обзора, в случае целесообразности, технических руководящих принципов экологически обоснованного регулирования отходов, состоящих из ртути или ртутных соединений, содержащих их или загрязненных ими (UNEP/CHW.12/5/Add.8/Rev.1), вместе с дополнительными руководящими указаниями в отношении определенных ртутных отходов;</w:t>
      </w:r>
    </w:p>
    <w:p w14:paraId="1D9FDDE3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lastRenderedPageBreak/>
        <w:t>4.</w:t>
      </w:r>
      <w:r w:rsidRPr="00C67821">
        <w:tab/>
      </w:r>
      <w:r w:rsidRPr="00C67821">
        <w:rPr>
          <w:i/>
          <w:iCs/>
        </w:rPr>
        <w:t>предлагает</w:t>
      </w:r>
      <w:r w:rsidRPr="00C67821">
        <w:t xml:space="preserve"> Сторонам представить следующую информацию, принимая во внимание соответствующую информацию, содержащуюся в технических руководящих принципах, указанных в пункте 3 настоящего решения, с тем чтобы эта информация могла быть обобщена секретариатом </w:t>
      </w:r>
      <w:proofErr w:type="spellStart"/>
      <w:r w:rsidRPr="00C67821">
        <w:t>Минаматской</w:t>
      </w:r>
      <w:proofErr w:type="spellEnd"/>
      <w:r w:rsidRPr="00C67821">
        <w:t xml:space="preserve"> конвенции:</w:t>
      </w:r>
    </w:p>
    <w:p w14:paraId="1910012B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t>a)</w:t>
      </w:r>
      <w:r w:rsidRPr="00C67821">
        <w:tab/>
        <w:t>примеры отходов для добавления в приложение к документу UNEP/MC/COP.2/6, в том числе для отходов, состоящих из ртути и ртутных соединений, – конкретные наименования соединений, а для отходов, содержащих ртуть или ртутные соединения (т.е. ртутьсодержащих продуктов), – наименования и виды ртути или ртутных соединений и фотографии, если таковые имеются;</w:t>
      </w:r>
    </w:p>
    <w:p w14:paraId="16098ED6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t>b)</w:t>
      </w:r>
      <w:r w:rsidRPr="00C67821">
        <w:tab/>
        <w:t>применяемые в настоящее время методы регулирования вскрышных и пустых пород и отвалов, образующихся в процессе горной добычи, за исключением первичной добычи ртути (например, законы, нормативные положения и руководящие принципы) и различные подходы к пороговым уровням, при которых требуются особая осторожность или обращение, если таковые имеются; и</w:t>
      </w:r>
    </w:p>
    <w:p w14:paraId="07B974C6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t>c)</w:t>
      </w:r>
      <w:r w:rsidRPr="00C67821">
        <w:tab/>
        <w:t>методы отбора проб и анализа, которые могут быть полезны для проверки пороговых уровней для отходов;</w:t>
      </w:r>
    </w:p>
    <w:p w14:paraId="70C178EA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67821">
        <w:t>5.</w:t>
      </w:r>
      <w:r w:rsidRPr="00C67821">
        <w:tab/>
      </w:r>
      <w:r w:rsidRPr="00C67821">
        <w:rPr>
          <w:i/>
          <w:iCs/>
        </w:rPr>
        <w:t>поручает</w:t>
      </w:r>
      <w:r w:rsidRPr="00C67821">
        <w:t xml:space="preserve"> секретариату представить Конференции Сторон на ее третьем совещании доклад об итогах работы группы технических экспертов; </w:t>
      </w:r>
    </w:p>
    <w:p w14:paraId="4948908F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PGothic"/>
        </w:rPr>
      </w:pPr>
      <w:r w:rsidRPr="00C67821">
        <w:t>6.</w:t>
      </w:r>
      <w:r w:rsidRPr="00C67821">
        <w:tab/>
      </w:r>
      <w:r w:rsidRPr="00C67821">
        <w:rPr>
          <w:i/>
          <w:iCs/>
        </w:rPr>
        <w:t>постановляет</w:t>
      </w:r>
      <w:r w:rsidRPr="00C67821">
        <w:t xml:space="preserve"> на своем третьем совещании провести обзор результатов работы группы технических экспертов, и принять решение относительно дальнейших действий.</w:t>
      </w:r>
    </w:p>
    <w:p w14:paraId="7FDE98FC" w14:textId="77777777" w:rsidR="00C67821" w:rsidRPr="00C67821" w:rsidRDefault="00C67821" w:rsidP="00C67821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PGothic"/>
          <w:b/>
          <w:bCs/>
          <w:sz w:val="24"/>
          <w:szCs w:val="24"/>
        </w:rPr>
      </w:pPr>
      <w:r w:rsidRPr="00C67821">
        <w:rPr>
          <w:b/>
          <w:bCs/>
          <w:sz w:val="24"/>
          <w:szCs w:val="24"/>
        </w:rPr>
        <w:t>Приложение к решению МК-2/2</w:t>
      </w:r>
    </w:p>
    <w:p w14:paraId="199FEFFD" w14:textId="77777777" w:rsidR="00C67821" w:rsidRPr="00C67821" w:rsidRDefault="00C67821" w:rsidP="00C67821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bCs/>
          <w:sz w:val="24"/>
          <w:szCs w:val="24"/>
        </w:rPr>
      </w:pPr>
      <w:r w:rsidRPr="00C67821">
        <w:rPr>
          <w:b/>
          <w:bCs/>
          <w:sz w:val="24"/>
          <w:szCs w:val="24"/>
        </w:rPr>
        <w:t>Проект положения о группе технических экспертов по вопросу о пороговых уровнях для ртутных отходов, учреждаемой в соответствии с пунктом 2 статьи 11 Конвенции</w:t>
      </w:r>
    </w:p>
    <w:p w14:paraId="27C67AE1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I.</w:t>
      </w:r>
      <w:r w:rsidRPr="00C67821">
        <w:rPr>
          <w:b/>
          <w:bCs/>
          <w:sz w:val="28"/>
          <w:szCs w:val="28"/>
        </w:rPr>
        <w:tab/>
        <w:t>Мандат</w:t>
      </w:r>
    </w:p>
    <w:p w14:paraId="0464C589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67821">
        <w:t>1.</w:t>
      </w:r>
      <w:r w:rsidRPr="00C67821">
        <w:tab/>
        <w:t xml:space="preserve">Конференция Сторон </w:t>
      </w:r>
      <w:proofErr w:type="spellStart"/>
      <w:r w:rsidRPr="00C67821">
        <w:t>Минаматской</w:t>
      </w:r>
      <w:proofErr w:type="spellEnd"/>
      <w:r w:rsidRPr="00C67821">
        <w:t xml:space="preserve"> конвенции о ртути на своем втором совещании решением МК-2/2 учредила группу технических экспертов для начала обсуждения пороговых уровней для ртутных отходов в межсессионный период до третьего совещания Конференции Сторон, в соответствии с положениями пункта 2 статьи 11 Конвенции, и просила секретариат предложить Сторонам выдвинуть кандидатуры членов группы до 15 января 2019 года. Она также просила, чтобы группа провела свое первое совещание в возможно кратчайшие сроки после завершения второго совещания Конференции Сторон.</w:t>
      </w:r>
    </w:p>
    <w:p w14:paraId="28FACA4D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67821">
        <w:t>2.</w:t>
      </w:r>
      <w:r w:rsidRPr="00C67821">
        <w:tab/>
        <w:t>Группа экспертов сосредоточит свое внимание на следующих вопросах, принимая во внимание работу, проделанную ранее экспертами в рамках открытого процесса согласно решению МК-1/19 и в период до начала второго совещания Конференции Сторон:</w:t>
      </w:r>
    </w:p>
    <w:p w14:paraId="382FA1EC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67821">
        <w:t>a)</w:t>
      </w:r>
      <w:r w:rsidRPr="00C67821">
        <w:tab/>
        <w:t xml:space="preserve">работа по дальнейшему уточнению и улучшению охвата каждой из трех категорий ртутных отходов, перечисленных в пункте 2 статьи 11; </w:t>
      </w:r>
    </w:p>
    <w:p w14:paraId="1663AC2F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67821">
        <w:t>b)</w:t>
      </w:r>
      <w:r w:rsidRPr="00C67821">
        <w:tab/>
        <w:t>составление всеобъемлющего перечня ртутных отходов, подпадающих под действие подпункта 2 а) статьи 11, а также ориентировочного перечня ртутных отходов, которые могут подпадать под действие подпунктов 2 b) и c) статьи 11;</w:t>
      </w:r>
    </w:p>
    <w:p w14:paraId="08D14B90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67821">
        <w:t>c)</w:t>
      </w:r>
      <w:r w:rsidRPr="00C67821">
        <w:tab/>
        <w:t>разработка, в первоочередном порядке, соответствующих подходов и методологий для установления пороговых уровней для ртутных отходов, подпадающих под действие подпункта 2 с) статьи 11, и, если это возможно, выработка рекомендаций относительно конкретных пороговых уровней для этих отходов; группа также рассмотрит вопрос об актуальности пороговых уровней для категорий отходов, подпадающих под действие подпунктов 2 а) и 2 b) статьи 11;</w:t>
      </w:r>
    </w:p>
    <w:p w14:paraId="604C8789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C67821">
        <w:t>d)</w:t>
      </w:r>
      <w:r w:rsidRPr="00C67821">
        <w:tab/>
        <w:t>работа, в качестве отдельного и дифференцированного вопроса, по выявлению подходов для установления пороговых уровней для вскрышных и пустых пород и отвалов, за исключением первичной добычи ртути, в межсессионный период.</w:t>
      </w:r>
    </w:p>
    <w:p w14:paraId="72F883C2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II.</w:t>
      </w:r>
      <w:r w:rsidRPr="00C67821">
        <w:rPr>
          <w:b/>
          <w:bCs/>
          <w:sz w:val="28"/>
          <w:szCs w:val="28"/>
        </w:rPr>
        <w:tab/>
        <w:t>Членский состав</w:t>
      </w:r>
    </w:p>
    <w:p w14:paraId="42E3A662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67821">
        <w:t>3.</w:t>
      </w:r>
      <w:r w:rsidRPr="00C67821">
        <w:tab/>
        <w:t xml:space="preserve">В состав группы, которая на своем первом совещании изберет двух сопредседателей, войдут технические эксперты, выдвинутые пятью регионами Организации Объединенных </w:t>
      </w:r>
      <w:r w:rsidRPr="00C67821">
        <w:lastRenderedPageBreak/>
        <w:t>Наций, а именно: пять – от государств Африки, пять – от государств Азии и Тихого океана, пять – от государств Восточной Европы, пять – от государств Латинской Америки и Карибского бассейна и пять – от государств Западной Европы и других государств. До своего первого совещания группа и секретариат Конвенции предложат восьми экспертам из промышленного сектора и гражданского общества принять участие в качестве наблюдателей. Группа также будет приветствовать помощь со стороны экспертов, работающих с Базельской конвенцией о контроле за трансграничной перевозкой опасных отходов и их удалением, правительств, межправительственных организаций, организаций промышленного сектора и гражданского общества для оказания ей содействия в ее работе, по мере необходимости.</w:t>
      </w:r>
    </w:p>
    <w:p w14:paraId="3272CFA6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III.</w:t>
      </w:r>
      <w:r w:rsidRPr="00C67821">
        <w:rPr>
          <w:b/>
          <w:bCs/>
          <w:sz w:val="28"/>
          <w:szCs w:val="28"/>
        </w:rPr>
        <w:tab/>
        <w:t>Рекомендуемые квалификационные требования к членам и наблюдателям</w:t>
      </w:r>
    </w:p>
    <w:p w14:paraId="7994E92B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67821">
        <w:t>4.</w:t>
      </w:r>
      <w:r w:rsidRPr="00C67821">
        <w:tab/>
        <w:t>Члены и наблюдатели группы технических экспертов должны иметь по крайней мере одно из следующих качеств:</w:t>
      </w:r>
    </w:p>
    <w:p w14:paraId="60C21CF7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67821">
        <w:t>a)</w:t>
      </w:r>
      <w:r w:rsidRPr="00C67821">
        <w:tab/>
        <w:t>значительный опыт в вопросах утилизации и удаления отходов, включая регулирование различных видов отходов (промышленных, бытовых и опасных отходов);</w:t>
      </w:r>
    </w:p>
    <w:p w14:paraId="11DE23CC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67821">
        <w:t>b)</w:t>
      </w:r>
      <w:r w:rsidRPr="00C67821">
        <w:tab/>
        <w:t>экспертные знания, актуальные для различных подходов к установлению пороговых значений, включая подходы, основанные на степени опасности и рисках, а также другие возможные подходы;</w:t>
      </w:r>
    </w:p>
    <w:p w14:paraId="12100A73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C67821">
        <w:t>c)</w:t>
      </w:r>
      <w:r w:rsidRPr="00C67821">
        <w:tab/>
        <w:t>специальные знания в области воздействия ртути на окружающую среду и здоровье человека;</w:t>
      </w:r>
    </w:p>
    <w:p w14:paraId="0C6DA03E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C67821">
        <w:t>d)</w:t>
      </w:r>
      <w:r w:rsidRPr="00C67821">
        <w:tab/>
        <w:t>технические знания и опыт и знания в области горной добычи, в частности в том, что касается экологически обоснованного регулирования вскрышных и пустых пород и отвалов.</w:t>
      </w:r>
    </w:p>
    <w:p w14:paraId="64A9226B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IV.</w:t>
      </w:r>
      <w:r w:rsidRPr="00C67821">
        <w:rPr>
          <w:b/>
          <w:bCs/>
          <w:sz w:val="28"/>
          <w:szCs w:val="28"/>
        </w:rPr>
        <w:tab/>
        <w:t>Должностные лица</w:t>
      </w:r>
    </w:p>
    <w:p w14:paraId="479A500B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67821">
        <w:t>5.</w:t>
      </w:r>
      <w:r w:rsidRPr="00C67821">
        <w:tab/>
        <w:t>Группа экспертов избирает двух сопредседателей для содействия проведению совещания.</w:t>
      </w:r>
    </w:p>
    <w:p w14:paraId="05FD826D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V.</w:t>
      </w:r>
      <w:r w:rsidRPr="00C67821">
        <w:rPr>
          <w:b/>
          <w:bCs/>
          <w:sz w:val="28"/>
          <w:szCs w:val="28"/>
        </w:rPr>
        <w:tab/>
        <w:t>Секретариат</w:t>
      </w:r>
    </w:p>
    <w:p w14:paraId="69814D90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67821">
        <w:t>6.</w:t>
      </w:r>
      <w:r w:rsidRPr="00C67821">
        <w:tab/>
        <w:t>Секретариат Конвенции оказывает группе экспертов административную поддержку.</w:t>
      </w:r>
    </w:p>
    <w:p w14:paraId="20896F79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VI.</w:t>
      </w:r>
      <w:r w:rsidRPr="00C67821">
        <w:rPr>
          <w:b/>
          <w:bCs/>
          <w:sz w:val="28"/>
          <w:szCs w:val="28"/>
        </w:rPr>
        <w:tab/>
        <w:t>Административные и процедурные вопросы</w:t>
      </w:r>
    </w:p>
    <w:p w14:paraId="5386267C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67821">
        <w:t>7.</w:t>
      </w:r>
      <w:r w:rsidRPr="00C67821">
        <w:tab/>
        <w:t xml:space="preserve">Правила процедуры Конференции Сторон применяются </w:t>
      </w:r>
      <w:proofErr w:type="spellStart"/>
      <w:r w:rsidRPr="00C67821">
        <w:t>mutatis</w:t>
      </w:r>
      <w:proofErr w:type="spellEnd"/>
      <w:r w:rsidRPr="00C67821">
        <w:t xml:space="preserve"> </w:t>
      </w:r>
      <w:proofErr w:type="spellStart"/>
      <w:r w:rsidRPr="00C67821">
        <w:t>mutandis</w:t>
      </w:r>
      <w:proofErr w:type="spellEnd"/>
      <w:r w:rsidRPr="00C67821">
        <w:t xml:space="preserve"> к группе экспертов.</w:t>
      </w:r>
    </w:p>
    <w:p w14:paraId="5C7F3F5B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VII.</w:t>
      </w:r>
      <w:r w:rsidRPr="00C67821">
        <w:rPr>
          <w:b/>
          <w:bCs/>
          <w:sz w:val="28"/>
          <w:szCs w:val="28"/>
        </w:rPr>
        <w:tab/>
        <w:t>Совещания</w:t>
      </w:r>
    </w:p>
    <w:p w14:paraId="18AE7DDF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C67821">
        <w:t>8.</w:t>
      </w:r>
      <w:r w:rsidRPr="00C67821">
        <w:tab/>
        <w:t>Группа экспертов работает с помощью электронных средств и проводит по меньшей мере одно очное совещание в течение межсессионного периода до третьего совещания Конференции Сторон.</w:t>
      </w:r>
    </w:p>
    <w:p w14:paraId="791F987E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</w:rPr>
      </w:pPr>
      <w:r w:rsidRPr="00C67821">
        <w:rPr>
          <w:b/>
          <w:bCs/>
          <w:sz w:val="28"/>
          <w:szCs w:val="28"/>
        </w:rPr>
        <w:tab/>
        <w:t>VIII.</w:t>
      </w:r>
      <w:r w:rsidRPr="00C67821">
        <w:rPr>
          <w:b/>
          <w:bCs/>
          <w:sz w:val="28"/>
          <w:szCs w:val="28"/>
        </w:rPr>
        <w:tab/>
        <w:t>Язык</w:t>
      </w:r>
    </w:p>
    <w:p w14:paraId="4C2A1ABA" w14:textId="77777777" w:rsidR="00C67821" w:rsidRPr="00C67821" w:rsidRDefault="00C67821" w:rsidP="00C678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C67821">
        <w:t>9.</w:t>
      </w:r>
      <w:r w:rsidRPr="00C67821">
        <w:tab/>
        <w:t>Рабочим языком группы технических экспертов является английский язык.</w:t>
      </w:r>
    </w:p>
    <w:p w14:paraId="460E954A" w14:textId="77777777" w:rsidR="00F55458" w:rsidRPr="003D1E1C" w:rsidRDefault="00F55458" w:rsidP="003D1E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8B88" w14:textId="77777777" w:rsidR="00CA03B9" w:rsidRDefault="00CA03B9">
      <w:r>
        <w:separator/>
      </w:r>
    </w:p>
  </w:endnote>
  <w:endnote w:type="continuationSeparator" w:id="0">
    <w:p w14:paraId="10BBC00F" w14:textId="77777777" w:rsidR="00CA03B9" w:rsidRDefault="00CA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77A7" w14:textId="77777777" w:rsidR="00CA03B9" w:rsidRDefault="00CA03B9" w:rsidP="00851756">
      <w:pPr>
        <w:spacing w:before="60"/>
        <w:ind w:left="624"/>
      </w:pPr>
      <w:r>
        <w:separator/>
      </w:r>
    </w:p>
  </w:footnote>
  <w:footnote w:type="continuationSeparator" w:id="0">
    <w:p w14:paraId="06B1BA98" w14:textId="77777777" w:rsidR="00CA03B9" w:rsidRDefault="00CA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17C0AA71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C67821">
      <w:rPr>
        <w:lang w:val="en-US"/>
      </w:rPr>
      <w:t>2</w:t>
    </w:r>
    <w:r>
      <w:rPr>
        <w:lang w:val="en-US"/>
      </w:rPr>
      <w:t>/</w:t>
    </w:r>
    <w:r w:rsidR="00801B64">
      <w:rPr>
        <w:lang w:val="en-US"/>
      </w:rPr>
      <w:t>Dec.</w:t>
    </w:r>
    <w:r w:rsidR="00C67821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670AB18D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2316D8">
      <w:rPr>
        <w:lang w:val="en-US"/>
      </w:rPr>
      <w:t>2</w:t>
    </w:r>
    <w:r>
      <w:rPr>
        <w:lang w:val="en-US"/>
      </w:rPr>
      <w:t>/</w:t>
    </w:r>
    <w:r w:rsidR="00801B64">
      <w:rPr>
        <w:lang w:val="en-US"/>
      </w:rPr>
      <w:t>Dec.</w:t>
    </w:r>
    <w:r w:rsidR="00C67821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0AE6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16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36FCA"/>
    <w:rsid w:val="00540154"/>
    <w:rsid w:val="00543515"/>
    <w:rsid w:val="00544CBB"/>
    <w:rsid w:val="00545231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02C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67821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03B9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17793-DDCC-47A6-A7A6-731C2A5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2020-11-06T10:34:00Z</cp:lastPrinted>
  <dcterms:created xsi:type="dcterms:W3CDTF">2020-11-06T10:35:00Z</dcterms:created>
  <dcterms:modified xsi:type="dcterms:W3CDTF">2020-11-09T11:45:00Z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